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FD7A" w14:textId="77777777" w:rsidR="00320E5B" w:rsidRPr="005010C7" w:rsidRDefault="00320E5B" w:rsidP="00320E5B">
      <w:pPr>
        <w:rPr>
          <w:szCs w:val="22"/>
        </w:rPr>
      </w:pPr>
      <w:bookmarkStart w:id="0" w:name="_Hlk87023090"/>
    </w:p>
    <w:p w14:paraId="218AFB94" w14:textId="77777777" w:rsidR="00320E5B" w:rsidRPr="005010C7" w:rsidRDefault="00AD44D4" w:rsidP="00320E5B">
      <w:pPr>
        <w:ind w:right="-1109"/>
        <w:rPr>
          <w:szCs w:val="22"/>
          <w:lang w:val="fr-CA"/>
        </w:rPr>
      </w:pPr>
      <w:r>
        <w:rPr>
          <w:szCs w:val="22"/>
        </w:rPr>
        <w:object w:dxaOrig="1440" w:dyaOrig="1440" w14:anchorId="1D292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653881" r:id="rId9"/>
        </w:object>
      </w:r>
      <w:r w:rsidR="00320E5B" w:rsidRPr="005010C7">
        <w:rPr>
          <w:szCs w:val="22"/>
          <w:lang w:val="fr-CA"/>
        </w:rPr>
        <w:t>CINQUANTE-ET-UNIÈME SESSION ORDINAIRE</w:t>
      </w:r>
      <w:r w:rsidR="00320E5B" w:rsidRPr="005010C7">
        <w:rPr>
          <w:szCs w:val="22"/>
          <w:lang w:val="fr-CA"/>
        </w:rPr>
        <w:tab/>
      </w:r>
      <w:r w:rsidR="00320E5B" w:rsidRPr="005010C7">
        <w:rPr>
          <w:szCs w:val="22"/>
          <w:lang w:val="fr-CA"/>
        </w:rPr>
        <w:tab/>
      </w:r>
      <w:r w:rsidR="00320E5B" w:rsidRPr="005010C7">
        <w:rPr>
          <w:szCs w:val="22"/>
          <w:lang w:val="fr-CA"/>
        </w:rPr>
        <w:tab/>
      </w:r>
      <w:r w:rsidR="00320E5B" w:rsidRPr="005010C7">
        <w:rPr>
          <w:szCs w:val="22"/>
          <w:lang w:val="fr-CA"/>
        </w:rPr>
        <w:tab/>
        <w:t>OEA/</w:t>
      </w:r>
      <w:proofErr w:type="spellStart"/>
      <w:r w:rsidR="00320E5B" w:rsidRPr="005010C7">
        <w:rPr>
          <w:szCs w:val="22"/>
          <w:lang w:val="fr-CA"/>
        </w:rPr>
        <w:t>Ser.P</w:t>
      </w:r>
      <w:proofErr w:type="spellEnd"/>
    </w:p>
    <w:p w14:paraId="6BE21077" w14:textId="77777777" w:rsidR="00320E5B" w:rsidRPr="005010C7" w:rsidRDefault="00320E5B" w:rsidP="00320E5B">
      <w:pPr>
        <w:ind w:right="-1469"/>
        <w:rPr>
          <w:szCs w:val="22"/>
          <w:lang w:val="fr-CA"/>
        </w:rPr>
      </w:pPr>
      <w:r w:rsidRPr="005010C7">
        <w:rPr>
          <w:szCs w:val="22"/>
          <w:lang w:val="fr-CA"/>
        </w:rPr>
        <w:t>Du 10 au 12 novembre 2021</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AG/doc.573</w:t>
      </w:r>
      <w:r>
        <w:rPr>
          <w:lang w:val="fr-CA"/>
        </w:rPr>
        <w:t>9</w:t>
      </w:r>
      <w:r w:rsidRPr="005010C7">
        <w:rPr>
          <w:szCs w:val="22"/>
          <w:lang w:val="fr-CA"/>
        </w:rPr>
        <w:t>/21</w:t>
      </w:r>
    </w:p>
    <w:p w14:paraId="5A9E8BCE" w14:textId="77777777" w:rsidR="00320E5B" w:rsidRPr="005010C7" w:rsidRDefault="00320E5B" w:rsidP="00320E5B">
      <w:pPr>
        <w:ind w:right="-1109"/>
        <w:rPr>
          <w:szCs w:val="22"/>
          <w:lang w:val="fr-CA"/>
        </w:rPr>
      </w:pPr>
      <w:r w:rsidRPr="005010C7">
        <w:rPr>
          <w:color w:val="0D0C12"/>
          <w:szCs w:val="22"/>
          <w:lang w:val="fr-CA"/>
        </w:rPr>
        <w:t>Guatemala</w:t>
      </w:r>
      <w:r w:rsidRPr="005010C7">
        <w:rPr>
          <w:szCs w:val="22"/>
          <w:lang w:val="fr-CA"/>
        </w:rPr>
        <w:t xml:space="preserve">, République du </w:t>
      </w:r>
      <w:r w:rsidRPr="005010C7">
        <w:rPr>
          <w:color w:val="0D0C12"/>
          <w:szCs w:val="22"/>
          <w:lang w:val="fr-CA"/>
        </w:rPr>
        <w:t>Guatemala</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5 novembre 2021</w:t>
      </w:r>
    </w:p>
    <w:p w14:paraId="0F66514E" w14:textId="77777777" w:rsidR="00320E5B" w:rsidRPr="005010C7" w:rsidRDefault="00320E5B" w:rsidP="00320E5B">
      <w:pPr>
        <w:ind w:right="-1109"/>
        <w:rPr>
          <w:szCs w:val="22"/>
          <w:lang w:val="fr-CA"/>
        </w:rPr>
      </w:pPr>
      <w:r w:rsidRPr="005010C7">
        <w:rPr>
          <w:szCs w:val="22"/>
          <w:lang w:val="fr-CA"/>
        </w:rPr>
        <w:t>SESSION VIRTUELLE</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Original: espagnol</w:t>
      </w:r>
    </w:p>
    <w:bookmarkEnd w:id="0"/>
    <w:p w14:paraId="6349CD4A" w14:textId="77777777" w:rsidR="00320E5B" w:rsidRDefault="00320E5B" w:rsidP="00320E5B">
      <w:pPr>
        <w:ind w:right="-1109"/>
        <w:rPr>
          <w:u w:val="single"/>
          <w:lang w:val="fr-FR"/>
        </w:rPr>
      </w:pPr>
    </w:p>
    <w:p w14:paraId="21557351" w14:textId="6720B657" w:rsidR="00320E5B" w:rsidRPr="005010C7" w:rsidRDefault="00320E5B" w:rsidP="00320E5B">
      <w:pPr>
        <w:ind w:left="5760" w:right="-1109" w:firstLine="720"/>
        <w:jc w:val="center"/>
        <w:rPr>
          <w:szCs w:val="22"/>
          <w:lang w:val="fr-CA"/>
        </w:rPr>
      </w:pPr>
      <w:r>
        <w:rPr>
          <w:u w:val="single"/>
          <w:lang w:val="fr-FR"/>
        </w:rPr>
        <w:t>Point 22 de l’ordre du jour</w:t>
      </w:r>
    </w:p>
    <w:p w14:paraId="60199ABF" w14:textId="1528BDDB" w:rsidR="001D344A" w:rsidRPr="00320E5B" w:rsidRDefault="001D344A" w:rsidP="00563957">
      <w:pPr>
        <w:rPr>
          <w:szCs w:val="22"/>
          <w:lang w:val="fr-CA"/>
        </w:rPr>
      </w:pPr>
    </w:p>
    <w:p w14:paraId="570832D4" w14:textId="1DCC36D5" w:rsidR="00563957" w:rsidRPr="00563957" w:rsidRDefault="00563957" w:rsidP="00563957">
      <w:pPr>
        <w:rPr>
          <w:szCs w:val="22"/>
          <w:lang w:val="fr-FR"/>
        </w:rPr>
      </w:pPr>
    </w:p>
    <w:p w14:paraId="3E603A88" w14:textId="43DCCD98" w:rsidR="00563957" w:rsidRPr="00563957" w:rsidRDefault="00563957" w:rsidP="00563957">
      <w:pPr>
        <w:rPr>
          <w:szCs w:val="22"/>
          <w:lang w:val="fr-FR"/>
        </w:rPr>
      </w:pPr>
    </w:p>
    <w:p w14:paraId="10FD8BC4" w14:textId="1436CFE8" w:rsidR="00A404B3" w:rsidRPr="00563957" w:rsidRDefault="00A404B3" w:rsidP="00563957">
      <w:pPr>
        <w:jc w:val="center"/>
        <w:rPr>
          <w:color w:val="000000"/>
          <w:szCs w:val="22"/>
          <w:lang w:val="fr-FR"/>
        </w:rPr>
      </w:pPr>
      <w:bookmarkStart w:id="1" w:name="_Toc12117116"/>
      <w:bookmarkStart w:id="2" w:name="_Toc12118537"/>
      <w:bookmarkStart w:id="3" w:name="_Toc14803660"/>
      <w:r w:rsidRPr="00563957">
        <w:rPr>
          <w:szCs w:val="22"/>
          <w:lang w:val="fr-FR"/>
        </w:rPr>
        <w:t xml:space="preserve">PROJET DE RÉSOLUTION </w:t>
      </w:r>
    </w:p>
    <w:p w14:paraId="69E7944D" w14:textId="77777777" w:rsidR="00A404B3" w:rsidRPr="00563957" w:rsidRDefault="00A404B3" w:rsidP="00563957">
      <w:pPr>
        <w:rPr>
          <w:color w:val="000000"/>
          <w:szCs w:val="22"/>
          <w:lang w:val="fr-FR"/>
        </w:rPr>
      </w:pPr>
    </w:p>
    <w:p w14:paraId="74312D5A" w14:textId="77777777" w:rsidR="00A404B3" w:rsidRPr="00563957" w:rsidRDefault="00A404B3" w:rsidP="00563957">
      <w:pPr>
        <w:jc w:val="center"/>
        <w:rPr>
          <w:szCs w:val="22"/>
          <w:lang w:val="fr-FR"/>
        </w:rPr>
      </w:pPr>
      <w:r w:rsidRPr="00563957">
        <w:rPr>
          <w:szCs w:val="22"/>
          <w:lang w:val="fr-FR"/>
        </w:rPr>
        <w:t>INITIATIVES POUR L’EXPANSION DES TÉLÉCOMMUNICATIONS/TIC DANS LES ZONES RURALES ET DANS LES ZONES NON DESSERVIES OU INSUFFISAMMENT DESSERVIES</w:t>
      </w:r>
    </w:p>
    <w:p w14:paraId="1DA5DEAB" w14:textId="77777777" w:rsidR="00A404B3" w:rsidRPr="00563957" w:rsidRDefault="00A404B3" w:rsidP="00563957">
      <w:pPr>
        <w:jc w:val="both"/>
        <w:rPr>
          <w:szCs w:val="22"/>
          <w:lang w:val="fr-FR"/>
        </w:rPr>
      </w:pPr>
    </w:p>
    <w:p w14:paraId="7F5BFB18" w14:textId="4040B6DA" w:rsidR="00A404B3" w:rsidRPr="00563957" w:rsidRDefault="00A404B3" w:rsidP="00563957">
      <w:pPr>
        <w:jc w:val="center"/>
        <w:rPr>
          <w:szCs w:val="22"/>
          <w:lang w:val="fr-FR"/>
        </w:rPr>
      </w:pPr>
      <w:r w:rsidRPr="00563957">
        <w:rPr>
          <w:szCs w:val="22"/>
          <w:lang w:val="fr-FR"/>
        </w:rPr>
        <w:t>(</w:t>
      </w:r>
      <w:r w:rsidR="00563957" w:rsidRPr="00AF627E">
        <w:rPr>
          <w:szCs w:val="22"/>
          <w:lang w:val="fr-FR"/>
        </w:rPr>
        <w:t xml:space="preserve">Convenu par le Conseil permanent lors de sa séance virtuelle tenue le </w:t>
      </w:r>
      <w:r w:rsidR="00563957">
        <w:rPr>
          <w:szCs w:val="22"/>
          <w:lang w:val="fr-FR"/>
        </w:rPr>
        <w:t>20</w:t>
      </w:r>
      <w:r w:rsidR="00563957" w:rsidRPr="00AF627E">
        <w:rPr>
          <w:szCs w:val="22"/>
          <w:lang w:val="fr-FR"/>
        </w:rPr>
        <w:t xml:space="preserve"> octobre </w:t>
      </w:r>
      <w:r w:rsidR="00563957">
        <w:rPr>
          <w:szCs w:val="22"/>
          <w:lang w:val="fr-FR"/>
        </w:rPr>
        <w:t>2021</w:t>
      </w:r>
      <w:r w:rsidR="00563957" w:rsidRPr="00AF627E">
        <w:rPr>
          <w:szCs w:val="22"/>
          <w:lang w:val="fr-FR"/>
        </w:rPr>
        <w:t xml:space="preserve">, </w:t>
      </w:r>
      <w:r w:rsidR="00AF791D">
        <w:rPr>
          <w:szCs w:val="22"/>
          <w:lang w:val="fr-FR"/>
        </w:rPr>
        <w:br/>
      </w:r>
      <w:r w:rsidR="00563957" w:rsidRPr="00AF627E">
        <w:rPr>
          <w:szCs w:val="22"/>
          <w:lang w:val="fr-FR"/>
        </w:rPr>
        <w:t>et transmis à la séance plénière de l’Assemblée générale pour examen</w:t>
      </w:r>
      <w:r w:rsidRPr="00563957">
        <w:rPr>
          <w:szCs w:val="22"/>
          <w:lang w:val="fr-FR"/>
        </w:rPr>
        <w:t>)</w:t>
      </w:r>
    </w:p>
    <w:bookmarkEnd w:id="1"/>
    <w:bookmarkEnd w:id="2"/>
    <w:bookmarkEnd w:id="3"/>
    <w:p w14:paraId="06BCB1AC" w14:textId="77777777" w:rsidR="00A404B3" w:rsidRPr="00563957" w:rsidRDefault="00A404B3" w:rsidP="00563957">
      <w:pPr>
        <w:jc w:val="both"/>
        <w:rPr>
          <w:szCs w:val="22"/>
          <w:lang w:val="fr-FR"/>
        </w:rPr>
      </w:pPr>
    </w:p>
    <w:p w14:paraId="0FF8C0F8" w14:textId="77777777" w:rsidR="00A404B3" w:rsidRPr="00563957" w:rsidRDefault="00A404B3" w:rsidP="00563957">
      <w:pPr>
        <w:jc w:val="both"/>
        <w:rPr>
          <w:szCs w:val="22"/>
          <w:lang w:val="fr-FR"/>
        </w:rPr>
      </w:pPr>
    </w:p>
    <w:p w14:paraId="550FA762" w14:textId="77777777" w:rsidR="00A404B3" w:rsidRPr="00563957" w:rsidRDefault="00A404B3" w:rsidP="00563957">
      <w:pPr>
        <w:ind w:firstLine="720"/>
        <w:rPr>
          <w:szCs w:val="22"/>
          <w:lang w:val="fr-FR"/>
        </w:rPr>
      </w:pPr>
      <w:r w:rsidRPr="00563957">
        <w:rPr>
          <w:szCs w:val="22"/>
          <w:lang w:val="fr-FR"/>
        </w:rPr>
        <w:t>L’ASSEMBLÉE GÉNÉRALE,</w:t>
      </w:r>
    </w:p>
    <w:p w14:paraId="54954AC5" w14:textId="77777777" w:rsidR="00A404B3" w:rsidRPr="00563957" w:rsidRDefault="00A404B3" w:rsidP="00563957">
      <w:pPr>
        <w:rPr>
          <w:szCs w:val="22"/>
          <w:lang w:val="fr-FR"/>
        </w:rPr>
      </w:pPr>
    </w:p>
    <w:p w14:paraId="7E623E2E" w14:textId="77777777" w:rsidR="00A404B3" w:rsidRPr="00563957" w:rsidRDefault="00A404B3" w:rsidP="00563957">
      <w:pPr>
        <w:jc w:val="both"/>
        <w:rPr>
          <w:szCs w:val="22"/>
          <w:lang w:val="fr-FR"/>
        </w:rPr>
      </w:pPr>
      <w:r w:rsidRPr="00563957">
        <w:rPr>
          <w:szCs w:val="22"/>
          <w:lang w:val="fr-FR"/>
        </w:rPr>
        <w:t>CONSIDÉRANT :</w:t>
      </w:r>
    </w:p>
    <w:p w14:paraId="19F86A04" w14:textId="77777777" w:rsidR="00A404B3" w:rsidRPr="00563957" w:rsidRDefault="00A404B3" w:rsidP="00563957">
      <w:pPr>
        <w:jc w:val="both"/>
        <w:rPr>
          <w:szCs w:val="22"/>
          <w:lang w:val="fr-FR"/>
        </w:rPr>
      </w:pPr>
    </w:p>
    <w:p w14:paraId="6A07E64E" w14:textId="52AA43F0" w:rsidR="00A404B3" w:rsidRPr="00563957" w:rsidRDefault="00A404B3" w:rsidP="00563957">
      <w:pPr>
        <w:jc w:val="both"/>
        <w:rPr>
          <w:szCs w:val="22"/>
          <w:lang w:val="fr-FR"/>
        </w:rPr>
      </w:pPr>
      <w:r w:rsidRPr="00563957">
        <w:rPr>
          <w:szCs w:val="22"/>
          <w:lang w:val="fr-FR"/>
        </w:rPr>
        <w:tab/>
        <w:t xml:space="preserve">Que les télécommunications/TIC sont un outil essentiel pour le développement des activités quotidiennes des personnes et qu’elles ont un impact direct sur l’environnement économique, social et culturel des pays,  </w:t>
      </w:r>
    </w:p>
    <w:p w14:paraId="4C1B29C8" w14:textId="77777777" w:rsidR="00A404B3" w:rsidRPr="00563957" w:rsidRDefault="00A404B3" w:rsidP="00563957">
      <w:pPr>
        <w:jc w:val="both"/>
        <w:rPr>
          <w:szCs w:val="22"/>
          <w:lang w:val="fr-FR"/>
        </w:rPr>
      </w:pPr>
    </w:p>
    <w:p w14:paraId="491EC9A1" w14:textId="68FD364C" w:rsidR="00A404B3" w:rsidRPr="00563957" w:rsidRDefault="00A404B3" w:rsidP="00563957">
      <w:pPr>
        <w:jc w:val="both"/>
        <w:rPr>
          <w:szCs w:val="22"/>
          <w:lang w:val="fr-FR"/>
        </w:rPr>
      </w:pPr>
      <w:r w:rsidRPr="00563957">
        <w:rPr>
          <w:szCs w:val="22"/>
          <w:lang w:val="fr-FR"/>
        </w:rPr>
        <w:tab/>
        <w:t>Que l’infrastructure mondiale des télécommunications/TIC représente un apport fondamental et indispensable pour les économies mondiales et nationales et pour le bien-être de toutes les sociétés,</w:t>
      </w:r>
    </w:p>
    <w:p w14:paraId="3D29F583" w14:textId="77777777" w:rsidR="00A404B3" w:rsidRPr="00563957" w:rsidRDefault="00A404B3" w:rsidP="00563957">
      <w:pPr>
        <w:jc w:val="both"/>
        <w:rPr>
          <w:szCs w:val="22"/>
          <w:lang w:val="fr-FR"/>
        </w:rPr>
      </w:pPr>
    </w:p>
    <w:p w14:paraId="0DBC7C22" w14:textId="5518FD8A" w:rsidR="00A404B3" w:rsidRPr="00563957" w:rsidRDefault="00A404B3" w:rsidP="00563957">
      <w:pPr>
        <w:jc w:val="both"/>
        <w:rPr>
          <w:szCs w:val="22"/>
          <w:lang w:val="fr-FR"/>
        </w:rPr>
      </w:pPr>
      <w:r w:rsidRPr="00563957">
        <w:rPr>
          <w:szCs w:val="22"/>
          <w:lang w:val="fr-FR"/>
        </w:rPr>
        <w:tab/>
        <w:t>Que la participation des communautés, des ONG et des autorités locales est essentielle au succès d’une initiative de connectivité rurale,</w:t>
      </w:r>
    </w:p>
    <w:p w14:paraId="12F2DA27" w14:textId="77777777" w:rsidR="00A404B3" w:rsidRPr="00563957" w:rsidRDefault="00A404B3" w:rsidP="00563957">
      <w:pPr>
        <w:jc w:val="both"/>
        <w:rPr>
          <w:szCs w:val="22"/>
          <w:lang w:val="fr-FR"/>
        </w:rPr>
      </w:pPr>
    </w:p>
    <w:p w14:paraId="09A7CDAF" w14:textId="794FF56A" w:rsidR="00A404B3" w:rsidRPr="00563957" w:rsidRDefault="00A404B3" w:rsidP="00563957">
      <w:pPr>
        <w:jc w:val="both"/>
        <w:rPr>
          <w:szCs w:val="22"/>
          <w:lang w:val="fr-FR"/>
        </w:rPr>
      </w:pPr>
      <w:r w:rsidRPr="00563957">
        <w:rPr>
          <w:szCs w:val="22"/>
          <w:lang w:val="fr-FR"/>
        </w:rPr>
        <w:tab/>
        <w:t>Que la résolution 200 (Rev. Dubaï 2018) de la Conférence de plénipotentiaires sur le « Programme Connexion 2020 pour le développement mondial des télécommunications/technologies de l’information et de la communication (TIC) » ; en particulier la cible 2, qui vise à « réduire la fracture numérique et à assurer l’accès universel au haut débit »,</w:t>
      </w:r>
    </w:p>
    <w:p w14:paraId="058A58F1" w14:textId="77777777" w:rsidR="00A404B3" w:rsidRPr="00563957" w:rsidRDefault="00A404B3" w:rsidP="00563957">
      <w:pPr>
        <w:jc w:val="both"/>
        <w:rPr>
          <w:szCs w:val="22"/>
          <w:lang w:val="fr-FR"/>
        </w:rPr>
      </w:pPr>
    </w:p>
    <w:p w14:paraId="2782C907" w14:textId="0B86E91C" w:rsidR="00A404B3" w:rsidRPr="00563957" w:rsidRDefault="00A404B3" w:rsidP="00563957">
      <w:pPr>
        <w:jc w:val="both"/>
        <w:rPr>
          <w:szCs w:val="22"/>
          <w:lang w:val="fr-FR"/>
        </w:rPr>
      </w:pPr>
      <w:r w:rsidRPr="00563957">
        <w:rPr>
          <w:szCs w:val="22"/>
          <w:lang w:val="fr-FR"/>
        </w:rPr>
        <w:tab/>
        <w:t>Que la recommandation ITU-D 19 (Rev. Buenos Aires 2017) de la Conférence mondiale sur le développement des télécommunications (CMDT) « Télécommunications pour les zones rurales et éloignées », établit que l’existence de services de télécommunications et d’applications TIC, contribue de manière significative à améliorer la qualité de vie de la population, maximise le bien-être social, augmente la productivité, économise des ressources et contribue à la sauvegarde des droits de l’homme,</w:t>
      </w:r>
    </w:p>
    <w:p w14:paraId="5F66E337" w14:textId="77777777" w:rsidR="00A404B3" w:rsidRPr="00563957" w:rsidRDefault="00A404B3" w:rsidP="00563957">
      <w:pPr>
        <w:jc w:val="both"/>
        <w:rPr>
          <w:szCs w:val="22"/>
          <w:lang w:val="fr-FR"/>
        </w:rPr>
      </w:pPr>
    </w:p>
    <w:p w14:paraId="09278E60" w14:textId="51A9858D" w:rsidR="00A404B3" w:rsidRPr="00563957" w:rsidRDefault="00A404B3" w:rsidP="00563957">
      <w:pPr>
        <w:jc w:val="both"/>
        <w:rPr>
          <w:szCs w:val="22"/>
          <w:lang w:val="fr-FR"/>
        </w:rPr>
      </w:pPr>
      <w:r w:rsidRPr="00563957">
        <w:rPr>
          <w:szCs w:val="22"/>
          <w:lang w:val="fr-FR"/>
        </w:rPr>
        <w:tab/>
        <w:t>La résolution CCP. I/RES. 268 (XXVIII-16) de la CITEL, qui mentionne qu’il faut assurer la mise en place équitable de services de télécommunications/TIC, qui favorisent le développement socio-</w:t>
      </w:r>
      <w:r w:rsidRPr="00563957">
        <w:rPr>
          <w:szCs w:val="22"/>
          <w:lang w:val="fr-FR"/>
        </w:rPr>
        <w:lastRenderedPageBreak/>
        <w:t>économique durable, minimisent la pauvreté et les inégalités sociales au sein des communautés rurales et autochtones isolées,</w:t>
      </w:r>
    </w:p>
    <w:p w14:paraId="4D5C3E6A" w14:textId="6F755CC5" w:rsidR="00A404B3" w:rsidRPr="00563957" w:rsidRDefault="00A404B3" w:rsidP="00563957">
      <w:pPr>
        <w:jc w:val="both"/>
        <w:rPr>
          <w:szCs w:val="22"/>
          <w:lang w:val="fr-FR"/>
        </w:rPr>
      </w:pPr>
      <w:r w:rsidRPr="00563957">
        <w:rPr>
          <w:szCs w:val="22"/>
          <w:lang w:val="fr-FR"/>
        </w:rPr>
        <w:tab/>
        <w:t xml:space="preserve">Que la recommandation CCP. I/REC. 28 (XXXIII-18) de la CITEL a recommandé aux États Membres de faciliter la mise au point de modèles réglementaires encourageant le déploiement d’infrastructures dans les zones rurales éloignées ou insuffisamment desservies en identifiant les changements nécessaires dans a) les </w:t>
      </w:r>
      <w:r w:rsidR="00BB18E2" w:rsidRPr="00563957">
        <w:rPr>
          <w:szCs w:val="22"/>
          <w:lang w:val="fr-FR"/>
        </w:rPr>
        <w:t>p</w:t>
      </w:r>
      <w:r w:rsidRPr="00563957">
        <w:rPr>
          <w:szCs w:val="22"/>
          <w:lang w:val="fr-FR"/>
        </w:rPr>
        <w:t xml:space="preserve">olitiques réglementaires et b) les </w:t>
      </w:r>
      <w:r w:rsidR="00BB18E2" w:rsidRPr="00563957">
        <w:rPr>
          <w:szCs w:val="22"/>
          <w:lang w:val="fr-FR"/>
        </w:rPr>
        <w:t>m</w:t>
      </w:r>
      <w:r w:rsidRPr="00563957">
        <w:rPr>
          <w:szCs w:val="22"/>
          <w:lang w:val="fr-FR"/>
        </w:rPr>
        <w:t>odèles pour parvenir à l’accès universel,</w:t>
      </w:r>
    </w:p>
    <w:p w14:paraId="66D3347C" w14:textId="77777777" w:rsidR="00A404B3" w:rsidRPr="00563957" w:rsidRDefault="00A404B3" w:rsidP="00563957">
      <w:pPr>
        <w:jc w:val="both"/>
        <w:rPr>
          <w:szCs w:val="22"/>
          <w:lang w:val="fr-FR"/>
        </w:rPr>
      </w:pPr>
    </w:p>
    <w:p w14:paraId="4F9159EE" w14:textId="0474D6A6" w:rsidR="00A404B3" w:rsidRPr="00563957" w:rsidRDefault="00A404B3" w:rsidP="00563957">
      <w:pPr>
        <w:jc w:val="both"/>
        <w:rPr>
          <w:szCs w:val="22"/>
          <w:lang w:val="fr-FR"/>
        </w:rPr>
      </w:pPr>
      <w:r w:rsidRPr="00563957">
        <w:rPr>
          <w:szCs w:val="22"/>
          <w:lang w:val="fr-FR"/>
        </w:rPr>
        <w:tab/>
        <w:t>Qu’il faut trouver de nouvelles solutions pour remédier à court terme au manque de connectivité et de services de télécommunication/TIC dans les zones qui n’en disposent pas ou qui ne leur sont pas abordables,</w:t>
      </w:r>
    </w:p>
    <w:p w14:paraId="1633D3FC" w14:textId="77777777" w:rsidR="00A404B3" w:rsidRPr="00563957" w:rsidRDefault="00A404B3" w:rsidP="00563957">
      <w:pPr>
        <w:jc w:val="both"/>
        <w:rPr>
          <w:szCs w:val="22"/>
          <w:lang w:val="fr-FR"/>
        </w:rPr>
      </w:pPr>
    </w:p>
    <w:p w14:paraId="5D5819D3" w14:textId="115B5322" w:rsidR="00A404B3" w:rsidRPr="00563957" w:rsidRDefault="00A404B3" w:rsidP="00563957">
      <w:pPr>
        <w:jc w:val="both"/>
        <w:rPr>
          <w:szCs w:val="22"/>
          <w:lang w:val="fr-FR"/>
        </w:rPr>
      </w:pPr>
      <w:r w:rsidRPr="00563957">
        <w:rPr>
          <w:szCs w:val="22"/>
          <w:lang w:val="fr-FR"/>
        </w:rPr>
        <w:tab/>
        <w:t>Que les États Membres doivent prendre des mesures urgentes pour faciliter le développement technologique et la connectivité aux réseaux à large bande, qui doivent être abordables pour tous les secteurs de la population</w:t>
      </w:r>
      <w:r w:rsidR="00BB18E2" w:rsidRPr="00563957">
        <w:rPr>
          <w:szCs w:val="22"/>
          <w:lang w:val="fr-FR"/>
        </w:rPr>
        <w:t> ;</w:t>
      </w:r>
    </w:p>
    <w:p w14:paraId="17E3A519" w14:textId="77777777" w:rsidR="00A404B3" w:rsidRPr="00563957" w:rsidRDefault="00A404B3" w:rsidP="00563957">
      <w:pPr>
        <w:jc w:val="both"/>
        <w:rPr>
          <w:szCs w:val="22"/>
          <w:lang w:val="fr-FR"/>
        </w:rPr>
      </w:pPr>
    </w:p>
    <w:p w14:paraId="134163B6" w14:textId="77777777" w:rsidR="00A404B3" w:rsidRPr="00563957" w:rsidRDefault="00A404B3" w:rsidP="00563957">
      <w:pPr>
        <w:jc w:val="both"/>
        <w:rPr>
          <w:szCs w:val="22"/>
          <w:lang w:val="fr-FR"/>
        </w:rPr>
      </w:pPr>
      <w:r w:rsidRPr="00563957">
        <w:rPr>
          <w:szCs w:val="22"/>
          <w:lang w:val="fr-FR"/>
        </w:rPr>
        <w:t>RECONNAISSANT :</w:t>
      </w:r>
    </w:p>
    <w:p w14:paraId="4E9AF65D" w14:textId="77777777" w:rsidR="00A404B3" w:rsidRPr="00563957" w:rsidRDefault="00A404B3" w:rsidP="00563957">
      <w:pPr>
        <w:jc w:val="both"/>
        <w:rPr>
          <w:szCs w:val="22"/>
          <w:lang w:val="fr-FR"/>
        </w:rPr>
      </w:pPr>
    </w:p>
    <w:p w14:paraId="29EA1EEF" w14:textId="7790F4FF" w:rsidR="00A404B3" w:rsidRPr="00563957" w:rsidRDefault="00A404B3" w:rsidP="00563957">
      <w:pPr>
        <w:jc w:val="both"/>
        <w:rPr>
          <w:szCs w:val="22"/>
          <w:lang w:val="fr-FR"/>
        </w:rPr>
      </w:pPr>
      <w:r w:rsidRPr="00563957">
        <w:rPr>
          <w:szCs w:val="22"/>
          <w:lang w:val="fr-FR"/>
        </w:rPr>
        <w:tab/>
        <w:t>Que l’échange de données d’expérience contenu dans le document « </w:t>
      </w:r>
      <w:r w:rsidRPr="00563957">
        <w:rPr>
          <w:i/>
          <w:iCs/>
          <w:szCs w:val="22"/>
          <w:lang w:val="fr-FR"/>
        </w:rPr>
        <w:t>Meilleures pratiques pour réduire la fracture numérique en reliant les non connectés dans les zones rurales non desservies ou insuffisamment desservies</w:t>
      </w:r>
      <w:r w:rsidRPr="00563957">
        <w:rPr>
          <w:szCs w:val="22"/>
          <w:lang w:val="fr-FR"/>
        </w:rPr>
        <w:t xml:space="preserve"> » de la CITEL, est une contribution importante qui a permis de recueillir et d’analyser le statu quo en ce qui concerne la connectivité dans les zones rurales de la région,</w:t>
      </w:r>
    </w:p>
    <w:p w14:paraId="15B185CD" w14:textId="77777777" w:rsidR="00A404B3" w:rsidRPr="00563957" w:rsidRDefault="00A404B3" w:rsidP="00563957">
      <w:pPr>
        <w:jc w:val="both"/>
        <w:rPr>
          <w:szCs w:val="22"/>
          <w:lang w:val="fr-FR"/>
        </w:rPr>
      </w:pPr>
    </w:p>
    <w:p w14:paraId="5666CE2E" w14:textId="0F13DCF1" w:rsidR="00A404B3" w:rsidRPr="00563957" w:rsidRDefault="00A404B3" w:rsidP="00563957">
      <w:pPr>
        <w:jc w:val="both"/>
        <w:rPr>
          <w:szCs w:val="22"/>
          <w:lang w:val="fr-FR"/>
        </w:rPr>
      </w:pPr>
      <w:r w:rsidRPr="00563957">
        <w:rPr>
          <w:szCs w:val="22"/>
          <w:lang w:val="fr-FR"/>
        </w:rPr>
        <w:tab/>
        <w:t>Qu’un déploiement accru des infrastructures peut assurer l’accès aux services, à l’éducation et à l’emploi,</w:t>
      </w:r>
    </w:p>
    <w:p w14:paraId="4100AA34" w14:textId="77777777" w:rsidR="00A404B3" w:rsidRPr="00563957" w:rsidRDefault="00A404B3" w:rsidP="00563957">
      <w:pPr>
        <w:jc w:val="both"/>
        <w:rPr>
          <w:szCs w:val="22"/>
          <w:lang w:val="fr-FR"/>
        </w:rPr>
      </w:pPr>
    </w:p>
    <w:p w14:paraId="518E7185" w14:textId="080FB83C" w:rsidR="00A404B3" w:rsidRPr="00563957" w:rsidRDefault="00A404B3" w:rsidP="00563957">
      <w:pPr>
        <w:jc w:val="both"/>
        <w:rPr>
          <w:szCs w:val="22"/>
          <w:lang w:val="fr-FR"/>
        </w:rPr>
      </w:pPr>
      <w:r w:rsidRPr="00563957">
        <w:rPr>
          <w:szCs w:val="22"/>
          <w:lang w:val="fr-FR"/>
        </w:rPr>
        <w:tab/>
        <w:t>Qu’un meilleur accès aux services de télécommunications et de TIC peut assurer l’inclusion économique et sociale et l’égalité des genres,</w:t>
      </w:r>
    </w:p>
    <w:p w14:paraId="60A5D2FB" w14:textId="77777777" w:rsidR="00A404B3" w:rsidRPr="00563957" w:rsidRDefault="00A404B3" w:rsidP="00563957">
      <w:pPr>
        <w:jc w:val="both"/>
        <w:rPr>
          <w:szCs w:val="22"/>
          <w:lang w:val="fr-FR"/>
        </w:rPr>
      </w:pPr>
    </w:p>
    <w:p w14:paraId="549BD4F4" w14:textId="5E1B8F7D" w:rsidR="00A404B3" w:rsidRPr="00563957" w:rsidRDefault="00A404B3" w:rsidP="00563957">
      <w:pPr>
        <w:jc w:val="both"/>
        <w:rPr>
          <w:szCs w:val="22"/>
          <w:lang w:val="fr-FR"/>
        </w:rPr>
      </w:pPr>
      <w:r w:rsidRPr="00563957">
        <w:rPr>
          <w:szCs w:val="22"/>
          <w:lang w:val="fr-FR"/>
        </w:rPr>
        <w:tab/>
        <w:t>Que les innovations en cours dans le domaine réglementaire et technologique peuvent accélérer la réduction de la fracture numérique</w:t>
      </w:r>
      <w:r w:rsidR="00BB18E2" w:rsidRPr="00563957">
        <w:rPr>
          <w:szCs w:val="22"/>
          <w:lang w:val="fr-FR"/>
        </w:rPr>
        <w:t> ;</w:t>
      </w:r>
    </w:p>
    <w:p w14:paraId="79457273" w14:textId="77777777" w:rsidR="00A404B3" w:rsidRPr="00563957" w:rsidRDefault="00A404B3" w:rsidP="00563957">
      <w:pPr>
        <w:jc w:val="both"/>
        <w:rPr>
          <w:szCs w:val="22"/>
          <w:lang w:val="fr-FR"/>
        </w:rPr>
      </w:pPr>
    </w:p>
    <w:p w14:paraId="78448F80" w14:textId="77777777" w:rsidR="00A404B3" w:rsidRPr="00563957" w:rsidRDefault="00A404B3" w:rsidP="00563957">
      <w:pPr>
        <w:jc w:val="both"/>
        <w:rPr>
          <w:szCs w:val="22"/>
          <w:lang w:val="fr-FR"/>
        </w:rPr>
      </w:pPr>
      <w:r w:rsidRPr="00563957">
        <w:rPr>
          <w:szCs w:val="22"/>
          <w:lang w:val="fr-FR"/>
        </w:rPr>
        <w:t>RECONNAISSANT EN OUTRE :</w:t>
      </w:r>
    </w:p>
    <w:p w14:paraId="794206BA" w14:textId="77777777" w:rsidR="00A404B3" w:rsidRPr="00563957" w:rsidRDefault="00A404B3" w:rsidP="00563957">
      <w:pPr>
        <w:jc w:val="both"/>
        <w:rPr>
          <w:szCs w:val="22"/>
          <w:lang w:val="fr-FR"/>
        </w:rPr>
      </w:pPr>
    </w:p>
    <w:p w14:paraId="7508F6B1" w14:textId="625CA95E" w:rsidR="00A404B3" w:rsidRPr="00563957" w:rsidRDefault="00A404B3" w:rsidP="00563957">
      <w:pPr>
        <w:jc w:val="both"/>
        <w:rPr>
          <w:szCs w:val="22"/>
          <w:lang w:val="fr-FR"/>
        </w:rPr>
      </w:pPr>
      <w:r w:rsidRPr="00563957">
        <w:rPr>
          <w:szCs w:val="22"/>
          <w:lang w:val="fr-FR"/>
        </w:rPr>
        <w:tab/>
        <w:t>Que la conjoncture provoquée par la pandémie de COVID-19 réclame l’accélération de la mise en place de solutions de connectivité permettant de répondre aux besoins des citoyens,</w:t>
      </w:r>
    </w:p>
    <w:p w14:paraId="73ECDE82" w14:textId="77777777" w:rsidR="00A404B3" w:rsidRPr="00563957" w:rsidRDefault="00A404B3" w:rsidP="00563957">
      <w:pPr>
        <w:jc w:val="both"/>
        <w:rPr>
          <w:szCs w:val="22"/>
          <w:lang w:val="fr-FR"/>
        </w:rPr>
      </w:pPr>
    </w:p>
    <w:p w14:paraId="612104F4" w14:textId="17DA57C3" w:rsidR="00A404B3" w:rsidRPr="00563957" w:rsidRDefault="00A404B3" w:rsidP="00563957">
      <w:pPr>
        <w:jc w:val="both"/>
        <w:rPr>
          <w:szCs w:val="22"/>
          <w:lang w:val="fr-FR"/>
        </w:rPr>
      </w:pPr>
      <w:r w:rsidRPr="00563957">
        <w:rPr>
          <w:szCs w:val="22"/>
          <w:lang w:val="fr-FR"/>
        </w:rPr>
        <w:tab/>
        <w:t>L’importance du principe de neutralité technologique,</w:t>
      </w:r>
    </w:p>
    <w:p w14:paraId="4AC7FBDA" w14:textId="77777777" w:rsidR="00A404B3" w:rsidRPr="00563957" w:rsidRDefault="00A404B3" w:rsidP="00563957">
      <w:pPr>
        <w:jc w:val="both"/>
        <w:rPr>
          <w:szCs w:val="22"/>
          <w:lang w:val="fr-FR"/>
        </w:rPr>
      </w:pPr>
    </w:p>
    <w:p w14:paraId="7515B3A8" w14:textId="2E659ACC" w:rsidR="00A404B3" w:rsidRPr="00563957" w:rsidRDefault="00A404B3" w:rsidP="00563957">
      <w:pPr>
        <w:jc w:val="both"/>
        <w:rPr>
          <w:szCs w:val="22"/>
          <w:lang w:val="fr-FR"/>
        </w:rPr>
      </w:pPr>
      <w:r w:rsidRPr="00563957">
        <w:rPr>
          <w:szCs w:val="22"/>
          <w:lang w:val="fr-FR"/>
        </w:rPr>
        <w:tab/>
        <w:t>Que la ressource orbitale/le spectre est un apport d’une extrême importance pour réduire l’écart de connectivité et qu’elle doit être utilisée comme le recommandent l’UIT-R et d’autres organisations connexes.</w:t>
      </w:r>
    </w:p>
    <w:p w14:paraId="5C9A2F96" w14:textId="77777777" w:rsidR="00A404B3" w:rsidRPr="00563957" w:rsidRDefault="00A404B3" w:rsidP="00563957">
      <w:pPr>
        <w:jc w:val="both"/>
        <w:rPr>
          <w:szCs w:val="22"/>
          <w:lang w:val="fr-FR"/>
        </w:rPr>
      </w:pPr>
    </w:p>
    <w:p w14:paraId="22207B90" w14:textId="0AF05E7A" w:rsidR="00A404B3" w:rsidRPr="00563957" w:rsidRDefault="00A404B3" w:rsidP="00563957">
      <w:pPr>
        <w:jc w:val="both"/>
        <w:rPr>
          <w:szCs w:val="22"/>
          <w:lang w:val="fr-FR"/>
        </w:rPr>
      </w:pPr>
      <w:r w:rsidRPr="00563957">
        <w:rPr>
          <w:szCs w:val="22"/>
          <w:lang w:val="fr-FR"/>
        </w:rPr>
        <w:tab/>
        <w:t>Que les administrations peuvent avoir différentes priorités, exigences légales et réglementaires, conditions socio-économiques et financières et autre disponibilité du spectre radioélectrique,</w:t>
      </w:r>
    </w:p>
    <w:p w14:paraId="533116A2" w14:textId="77777777" w:rsidR="00A404B3" w:rsidRPr="00563957" w:rsidRDefault="00A404B3" w:rsidP="00563957">
      <w:pPr>
        <w:jc w:val="both"/>
        <w:rPr>
          <w:szCs w:val="22"/>
          <w:lang w:val="fr-FR"/>
        </w:rPr>
      </w:pPr>
    </w:p>
    <w:p w14:paraId="1D3E1E18" w14:textId="4265240B" w:rsidR="00A404B3" w:rsidRPr="00563957" w:rsidRDefault="00A404B3" w:rsidP="00563957">
      <w:pPr>
        <w:jc w:val="both"/>
        <w:rPr>
          <w:szCs w:val="22"/>
          <w:lang w:val="fr-FR"/>
        </w:rPr>
      </w:pPr>
      <w:r w:rsidRPr="00563957">
        <w:rPr>
          <w:szCs w:val="22"/>
          <w:lang w:val="fr-FR"/>
        </w:rPr>
        <w:lastRenderedPageBreak/>
        <w:tab/>
        <w:t>Qu’il faut envisager de nouvelles solutions, technologies, moyens d’accès et services susceptibles de remédier à court terme au manque de connectivité et de services de Télécommunications/TIC dans les zones qui n’en disposent pas ou qui ne leur sont pas abordables</w:t>
      </w:r>
      <w:r w:rsidR="00BB18E2" w:rsidRPr="00563957">
        <w:rPr>
          <w:szCs w:val="22"/>
          <w:lang w:val="fr-FR"/>
        </w:rPr>
        <w:t> ;</w:t>
      </w:r>
    </w:p>
    <w:p w14:paraId="73153F01" w14:textId="77777777" w:rsidR="00A404B3" w:rsidRPr="00563957" w:rsidRDefault="00A404B3" w:rsidP="00563957">
      <w:pPr>
        <w:jc w:val="both"/>
        <w:rPr>
          <w:szCs w:val="22"/>
          <w:lang w:val="fr-FR"/>
        </w:rPr>
      </w:pPr>
    </w:p>
    <w:p w14:paraId="111F03B9" w14:textId="77777777" w:rsidR="00A404B3" w:rsidRPr="00563957" w:rsidRDefault="00A404B3" w:rsidP="00563957">
      <w:pPr>
        <w:jc w:val="both"/>
        <w:rPr>
          <w:szCs w:val="22"/>
          <w:lang w:val="fr-FR"/>
        </w:rPr>
      </w:pPr>
      <w:r w:rsidRPr="00563957">
        <w:rPr>
          <w:szCs w:val="22"/>
          <w:lang w:val="fr-FR"/>
        </w:rPr>
        <w:t>INVITE LES ÉTATS MEMBRES :</w:t>
      </w:r>
    </w:p>
    <w:p w14:paraId="6DDE9B82" w14:textId="77777777" w:rsidR="00A404B3" w:rsidRPr="00563957" w:rsidRDefault="00A404B3" w:rsidP="00563957">
      <w:pPr>
        <w:jc w:val="both"/>
        <w:rPr>
          <w:szCs w:val="22"/>
          <w:lang w:val="fr-FR"/>
        </w:rPr>
      </w:pPr>
    </w:p>
    <w:p w14:paraId="1000B920" w14:textId="79859228" w:rsidR="00A404B3" w:rsidRPr="00563957" w:rsidRDefault="00BB18E2" w:rsidP="00563957">
      <w:pPr>
        <w:jc w:val="both"/>
        <w:rPr>
          <w:szCs w:val="22"/>
          <w:lang w:val="fr-FR"/>
        </w:rPr>
      </w:pPr>
      <w:r w:rsidRPr="00563957">
        <w:rPr>
          <w:szCs w:val="22"/>
          <w:lang w:val="fr-FR"/>
        </w:rPr>
        <w:tab/>
      </w:r>
      <w:r w:rsidR="00A404B3" w:rsidRPr="00563957">
        <w:rPr>
          <w:szCs w:val="22"/>
          <w:lang w:val="fr-FR"/>
        </w:rPr>
        <w:t>Que les administrations de la CITEL qui souhaitent développer des projets ou des initiatives d’expansion des Télécommunications/TIC dans des zones rurales et dans des zones non desservies ou insuffisamment desservies, en observant les dispositions réglementaires applicables dans chaque pays, prévoient les initiatives suivantes :</w:t>
      </w:r>
    </w:p>
    <w:p w14:paraId="06CAAD83" w14:textId="139CBABD" w:rsidR="00A404B3" w:rsidRPr="00563957" w:rsidRDefault="00A404B3" w:rsidP="00563957">
      <w:pPr>
        <w:jc w:val="both"/>
        <w:rPr>
          <w:szCs w:val="22"/>
          <w:lang w:val="fr-FR"/>
        </w:rPr>
      </w:pPr>
    </w:p>
    <w:p w14:paraId="286F2680" w14:textId="77777777" w:rsidR="00A404B3" w:rsidRPr="00563957" w:rsidRDefault="00A404B3" w:rsidP="00563957">
      <w:pPr>
        <w:jc w:val="both"/>
        <w:rPr>
          <w:szCs w:val="22"/>
          <w:lang w:val="fr-FR"/>
        </w:rPr>
      </w:pPr>
      <w:r w:rsidRPr="00563957">
        <w:rPr>
          <w:szCs w:val="22"/>
          <w:lang w:val="fr-FR"/>
        </w:rPr>
        <w:tab/>
        <w:t>1.</w:t>
      </w:r>
      <w:r w:rsidRPr="00563957">
        <w:rPr>
          <w:szCs w:val="22"/>
          <w:lang w:val="fr-FR"/>
        </w:rPr>
        <w:tab/>
        <w:t xml:space="preserve"> Promouvoir l’utilisation de fonds de service universel ou de fonds d’aide pour des projets de connectivité destinés à des zones rurales, éloignées ou insuffisamment desservies et disposer des facilités permettant d’accéder à tous les types d’opérateurs.</w:t>
      </w:r>
    </w:p>
    <w:p w14:paraId="4B24C0E9" w14:textId="77777777" w:rsidR="00A404B3" w:rsidRPr="00563957" w:rsidRDefault="00A404B3" w:rsidP="00563957">
      <w:pPr>
        <w:jc w:val="both"/>
        <w:rPr>
          <w:szCs w:val="22"/>
          <w:lang w:val="fr-FR"/>
        </w:rPr>
      </w:pPr>
    </w:p>
    <w:p w14:paraId="5C097E43" w14:textId="77777777" w:rsidR="00A404B3" w:rsidRPr="00563957" w:rsidRDefault="00A404B3" w:rsidP="00563957">
      <w:pPr>
        <w:jc w:val="both"/>
        <w:rPr>
          <w:szCs w:val="22"/>
          <w:lang w:val="fr-FR"/>
        </w:rPr>
      </w:pPr>
      <w:r w:rsidRPr="00563957">
        <w:rPr>
          <w:szCs w:val="22"/>
          <w:lang w:val="fr-FR"/>
        </w:rPr>
        <w:tab/>
        <w:t>2.</w:t>
      </w:r>
      <w:r w:rsidRPr="00563957">
        <w:rPr>
          <w:szCs w:val="22"/>
          <w:lang w:val="fr-FR"/>
        </w:rPr>
        <w:tab/>
        <w:t xml:space="preserve"> Encourager et soutenir la mise en œuvre de modèles économiques qui promeuvent l’entrée de nouveaux acteurs économiques et favorisent leur viabilité financière.</w:t>
      </w:r>
    </w:p>
    <w:p w14:paraId="733DC573" w14:textId="77777777" w:rsidR="00A404B3" w:rsidRPr="00563957" w:rsidRDefault="00A404B3" w:rsidP="00563957">
      <w:pPr>
        <w:jc w:val="both"/>
        <w:rPr>
          <w:szCs w:val="22"/>
          <w:lang w:val="fr-FR"/>
        </w:rPr>
      </w:pPr>
    </w:p>
    <w:p w14:paraId="23CCC94F" w14:textId="38DCD57E" w:rsidR="00A404B3" w:rsidRPr="00563957" w:rsidRDefault="00A404B3" w:rsidP="00563957">
      <w:pPr>
        <w:jc w:val="both"/>
        <w:rPr>
          <w:szCs w:val="22"/>
          <w:lang w:val="fr-FR"/>
        </w:rPr>
      </w:pPr>
      <w:r w:rsidRPr="00563957">
        <w:rPr>
          <w:szCs w:val="22"/>
          <w:lang w:val="fr-FR"/>
        </w:rPr>
        <w:tab/>
        <w:t>3.</w:t>
      </w:r>
      <w:r w:rsidRPr="00563957">
        <w:rPr>
          <w:szCs w:val="22"/>
          <w:lang w:val="fr-FR"/>
        </w:rPr>
        <w:tab/>
        <w:t>Encourager la discussion dans les pays de la région en ce qui concerne l’analyse des mesures fiscales favorisant la connectivité.</w:t>
      </w:r>
    </w:p>
    <w:p w14:paraId="0253B159" w14:textId="77777777" w:rsidR="00A404B3" w:rsidRPr="00563957" w:rsidRDefault="00A404B3" w:rsidP="00563957">
      <w:pPr>
        <w:jc w:val="both"/>
        <w:rPr>
          <w:szCs w:val="22"/>
          <w:lang w:val="fr-FR"/>
        </w:rPr>
      </w:pPr>
    </w:p>
    <w:p w14:paraId="5FC7480C" w14:textId="0AF7065D" w:rsidR="00A404B3" w:rsidRPr="00563957" w:rsidRDefault="00A404B3" w:rsidP="00563957">
      <w:pPr>
        <w:jc w:val="both"/>
        <w:rPr>
          <w:szCs w:val="22"/>
          <w:lang w:val="fr-FR"/>
        </w:rPr>
      </w:pPr>
      <w:r w:rsidRPr="00563957">
        <w:rPr>
          <w:szCs w:val="22"/>
          <w:lang w:val="fr-FR"/>
        </w:rPr>
        <w:tab/>
        <w:t>4.</w:t>
      </w:r>
      <w:r w:rsidRPr="00563957">
        <w:rPr>
          <w:szCs w:val="22"/>
          <w:lang w:val="fr-FR"/>
        </w:rPr>
        <w:tab/>
        <w:t>Encourager des politiques de connectivité rurale qui privilégient les technologies et les projets qui démontrent une durabilité, une efficacité et une rapidité de mise en œuvre dans les zones rurales.</w:t>
      </w:r>
    </w:p>
    <w:p w14:paraId="7B23CE59" w14:textId="77777777" w:rsidR="00A404B3" w:rsidRPr="00563957" w:rsidRDefault="00A404B3" w:rsidP="00563957">
      <w:pPr>
        <w:jc w:val="both"/>
        <w:rPr>
          <w:szCs w:val="22"/>
          <w:lang w:val="fr-FR"/>
        </w:rPr>
      </w:pPr>
    </w:p>
    <w:p w14:paraId="27B022F2" w14:textId="41BBCB1E" w:rsidR="00A404B3" w:rsidRPr="00563957" w:rsidRDefault="00A404B3" w:rsidP="00563957">
      <w:pPr>
        <w:jc w:val="both"/>
        <w:rPr>
          <w:szCs w:val="22"/>
          <w:lang w:val="fr-FR"/>
        </w:rPr>
      </w:pPr>
      <w:r w:rsidRPr="00563957">
        <w:rPr>
          <w:szCs w:val="22"/>
          <w:lang w:val="fr-FR"/>
        </w:rPr>
        <w:tab/>
        <w:t>5.</w:t>
      </w:r>
      <w:r w:rsidRPr="00563957">
        <w:rPr>
          <w:szCs w:val="22"/>
          <w:lang w:val="fr-FR"/>
        </w:rPr>
        <w:tab/>
        <w:t xml:space="preserve">Stimuler l’investissement, tant public que privé et les partenariats public-privé, ainsi que le partenariat et le partage des infrastructures dans les zones rurales. </w:t>
      </w:r>
    </w:p>
    <w:p w14:paraId="2B396612" w14:textId="77777777" w:rsidR="00A404B3" w:rsidRPr="00563957" w:rsidRDefault="00A404B3" w:rsidP="00563957">
      <w:pPr>
        <w:jc w:val="both"/>
        <w:rPr>
          <w:szCs w:val="22"/>
          <w:lang w:val="fr-FR"/>
        </w:rPr>
      </w:pPr>
    </w:p>
    <w:p w14:paraId="540D974E" w14:textId="39396672" w:rsidR="00A404B3" w:rsidRPr="00563957" w:rsidRDefault="00A404B3" w:rsidP="00563957">
      <w:pPr>
        <w:jc w:val="both"/>
        <w:rPr>
          <w:szCs w:val="22"/>
          <w:lang w:val="fr-FR"/>
        </w:rPr>
      </w:pPr>
      <w:r w:rsidRPr="00563957">
        <w:rPr>
          <w:szCs w:val="22"/>
          <w:lang w:val="fr-FR"/>
        </w:rPr>
        <w:tab/>
        <w:t>6.</w:t>
      </w:r>
      <w:r w:rsidRPr="00563957">
        <w:rPr>
          <w:szCs w:val="22"/>
          <w:lang w:val="fr-FR"/>
        </w:rPr>
        <w:tab/>
        <w:t>Promouvoir des écosystèmes locaux innovants ainsi que des stratégies d’appropriation technologique dans les zones rurales.</w:t>
      </w:r>
    </w:p>
    <w:p w14:paraId="28727237" w14:textId="77777777" w:rsidR="00A404B3" w:rsidRPr="00563957" w:rsidRDefault="00A404B3" w:rsidP="00563957">
      <w:pPr>
        <w:jc w:val="both"/>
        <w:rPr>
          <w:szCs w:val="22"/>
          <w:lang w:val="fr-FR"/>
        </w:rPr>
      </w:pPr>
    </w:p>
    <w:p w14:paraId="49946A84" w14:textId="6A1BF948" w:rsidR="00A404B3" w:rsidRPr="00563957" w:rsidRDefault="00A404B3" w:rsidP="00563957">
      <w:pPr>
        <w:jc w:val="both"/>
        <w:rPr>
          <w:szCs w:val="22"/>
          <w:lang w:val="fr-FR"/>
        </w:rPr>
      </w:pPr>
      <w:r w:rsidRPr="00563957">
        <w:rPr>
          <w:szCs w:val="22"/>
          <w:lang w:val="fr-FR"/>
        </w:rPr>
        <w:tab/>
        <w:t>7.</w:t>
      </w:r>
      <w:r w:rsidRPr="00563957">
        <w:rPr>
          <w:szCs w:val="22"/>
          <w:lang w:val="fr-FR"/>
        </w:rPr>
        <w:tab/>
        <w:t>Encourager la participation des petits opérateurs et opérateurs communautaires à la prise en charge des zones non couvertes par des mesures d’octroi de licences spécifiques, l’accès aux infrastructures essentielles et aux programmes de promotion de la couverture sociale.</w:t>
      </w:r>
    </w:p>
    <w:p w14:paraId="5DC72F2E" w14:textId="77777777" w:rsidR="00A404B3" w:rsidRPr="00563957" w:rsidRDefault="00A404B3" w:rsidP="00563957">
      <w:pPr>
        <w:jc w:val="both"/>
        <w:rPr>
          <w:szCs w:val="22"/>
          <w:lang w:val="fr-FR"/>
        </w:rPr>
      </w:pPr>
    </w:p>
    <w:p w14:paraId="3D69E0C3" w14:textId="4E371F24" w:rsidR="00A404B3" w:rsidRPr="00563957" w:rsidRDefault="00A404B3" w:rsidP="00563957">
      <w:pPr>
        <w:jc w:val="both"/>
        <w:rPr>
          <w:szCs w:val="22"/>
          <w:lang w:val="fr-FR"/>
        </w:rPr>
      </w:pPr>
      <w:r w:rsidRPr="00563957">
        <w:rPr>
          <w:szCs w:val="22"/>
          <w:lang w:val="fr-FR"/>
        </w:rPr>
        <w:tab/>
        <w:t>8.</w:t>
      </w:r>
      <w:r w:rsidRPr="00563957">
        <w:rPr>
          <w:szCs w:val="22"/>
          <w:lang w:val="fr-FR"/>
        </w:rPr>
        <w:tab/>
        <w:t>Promouvoir la coopération et l’élimination des obstacles au déploiement d’infrastructures entre les administrations centrales et locales pour résoudre les problèmes de permis et de droits de passage.</w:t>
      </w:r>
    </w:p>
    <w:p w14:paraId="21E065A5" w14:textId="77777777" w:rsidR="00A404B3" w:rsidRPr="00563957" w:rsidRDefault="00A404B3" w:rsidP="00563957">
      <w:pPr>
        <w:jc w:val="both"/>
        <w:rPr>
          <w:szCs w:val="22"/>
          <w:lang w:val="fr-FR"/>
        </w:rPr>
      </w:pPr>
    </w:p>
    <w:p w14:paraId="38A82563" w14:textId="33B275B4" w:rsidR="00A404B3" w:rsidRPr="00563957" w:rsidRDefault="00A404B3" w:rsidP="00563957">
      <w:pPr>
        <w:jc w:val="both"/>
        <w:rPr>
          <w:szCs w:val="22"/>
          <w:lang w:val="fr-FR"/>
        </w:rPr>
      </w:pPr>
      <w:r w:rsidRPr="00563957">
        <w:rPr>
          <w:szCs w:val="22"/>
          <w:lang w:val="fr-FR"/>
        </w:rPr>
        <w:tab/>
        <w:t>9.</w:t>
      </w:r>
      <w:r w:rsidRPr="00563957">
        <w:rPr>
          <w:szCs w:val="22"/>
          <w:lang w:val="fr-FR"/>
        </w:rPr>
        <w:tab/>
        <w:t xml:space="preserve">Promouvoir l’élaboration de manuels de bonnes pratiques concernant le déploiement des infrastructures, ainsi que l’homogénéité des exigences et réglementations locales. </w:t>
      </w:r>
    </w:p>
    <w:p w14:paraId="25AF1484" w14:textId="77777777" w:rsidR="00A404B3" w:rsidRPr="00563957" w:rsidRDefault="00A404B3" w:rsidP="00563957">
      <w:pPr>
        <w:jc w:val="both"/>
        <w:rPr>
          <w:szCs w:val="22"/>
          <w:lang w:val="fr-FR"/>
        </w:rPr>
      </w:pPr>
    </w:p>
    <w:p w14:paraId="48B2E5B8" w14:textId="605A5B1F" w:rsidR="00A404B3" w:rsidRPr="00563957" w:rsidRDefault="00A404B3" w:rsidP="00563957">
      <w:pPr>
        <w:jc w:val="both"/>
        <w:rPr>
          <w:szCs w:val="22"/>
          <w:lang w:val="fr-FR"/>
        </w:rPr>
      </w:pPr>
      <w:r w:rsidRPr="00563957">
        <w:rPr>
          <w:szCs w:val="22"/>
          <w:lang w:val="fr-FR"/>
        </w:rPr>
        <w:tab/>
        <w:t>10.</w:t>
      </w:r>
      <w:r w:rsidRPr="00563957">
        <w:rPr>
          <w:szCs w:val="22"/>
          <w:lang w:val="fr-FR"/>
        </w:rPr>
        <w:tab/>
        <w:t>Revoir périodiquement la réglementation applicable à la connectivité rurale pour répondre rapidement aux demandes et besoins spécifiques de la connectivité dans les zones rurales.</w:t>
      </w:r>
    </w:p>
    <w:p w14:paraId="12238E8D" w14:textId="77777777" w:rsidR="00A404B3" w:rsidRPr="00563957" w:rsidRDefault="00A404B3" w:rsidP="00563957">
      <w:pPr>
        <w:jc w:val="both"/>
        <w:rPr>
          <w:szCs w:val="22"/>
          <w:lang w:val="fr-FR"/>
        </w:rPr>
      </w:pPr>
    </w:p>
    <w:p w14:paraId="79206E5E" w14:textId="4D434C23" w:rsidR="00A404B3" w:rsidRPr="00563957" w:rsidRDefault="00A404B3" w:rsidP="00563957">
      <w:pPr>
        <w:jc w:val="both"/>
        <w:rPr>
          <w:szCs w:val="22"/>
          <w:lang w:val="fr-FR"/>
        </w:rPr>
      </w:pPr>
      <w:r w:rsidRPr="00563957">
        <w:rPr>
          <w:szCs w:val="22"/>
          <w:lang w:val="fr-FR"/>
        </w:rPr>
        <w:tab/>
        <w:t>11.</w:t>
      </w:r>
      <w:r w:rsidRPr="00563957">
        <w:rPr>
          <w:szCs w:val="22"/>
          <w:lang w:val="fr-FR"/>
        </w:rPr>
        <w:tab/>
        <w:t xml:space="preserve">Adapter les normes minimales de qualité, de rapidité et de continuité du service dans les communautés rurales. </w:t>
      </w:r>
    </w:p>
    <w:p w14:paraId="6C37005C" w14:textId="77777777" w:rsidR="00A404B3" w:rsidRPr="00563957" w:rsidRDefault="00A404B3" w:rsidP="00563957">
      <w:pPr>
        <w:jc w:val="both"/>
        <w:rPr>
          <w:szCs w:val="22"/>
          <w:lang w:val="fr-FR"/>
        </w:rPr>
      </w:pPr>
    </w:p>
    <w:p w14:paraId="1515BF23" w14:textId="48E29329" w:rsidR="00A404B3" w:rsidRPr="00563957" w:rsidRDefault="00A404B3" w:rsidP="00563957">
      <w:pPr>
        <w:jc w:val="both"/>
        <w:rPr>
          <w:szCs w:val="22"/>
          <w:lang w:val="fr-FR"/>
        </w:rPr>
      </w:pPr>
      <w:r w:rsidRPr="00563957">
        <w:rPr>
          <w:szCs w:val="22"/>
          <w:lang w:val="fr-FR"/>
        </w:rPr>
        <w:lastRenderedPageBreak/>
        <w:tab/>
        <w:t>12.</w:t>
      </w:r>
      <w:r w:rsidR="00BB18E2" w:rsidRPr="00563957">
        <w:rPr>
          <w:szCs w:val="22"/>
          <w:lang w:val="fr-FR"/>
        </w:rPr>
        <w:tab/>
      </w:r>
      <w:r w:rsidRPr="00563957">
        <w:rPr>
          <w:szCs w:val="22"/>
          <w:lang w:val="fr-FR"/>
        </w:rPr>
        <w:t>Promouvoir des incitations spécifiques pour les zones rurales (investissements, redevances, contributions, etc.).</w:t>
      </w:r>
    </w:p>
    <w:p w14:paraId="7E5262F9" w14:textId="77777777" w:rsidR="00A404B3" w:rsidRPr="00563957" w:rsidRDefault="00A404B3" w:rsidP="00563957">
      <w:pPr>
        <w:jc w:val="both"/>
        <w:rPr>
          <w:szCs w:val="22"/>
          <w:lang w:val="fr-FR"/>
        </w:rPr>
      </w:pPr>
    </w:p>
    <w:p w14:paraId="39ABF2AD" w14:textId="00B3793F" w:rsidR="00A404B3" w:rsidRPr="00563957" w:rsidRDefault="00A404B3" w:rsidP="00563957">
      <w:pPr>
        <w:jc w:val="both"/>
        <w:rPr>
          <w:szCs w:val="22"/>
          <w:lang w:val="fr-FR"/>
        </w:rPr>
      </w:pPr>
      <w:r w:rsidRPr="00563957">
        <w:rPr>
          <w:szCs w:val="22"/>
          <w:lang w:val="fr-FR"/>
        </w:rPr>
        <w:tab/>
        <w:t>13.</w:t>
      </w:r>
      <w:r w:rsidRPr="00563957">
        <w:rPr>
          <w:szCs w:val="22"/>
          <w:lang w:val="fr-FR"/>
        </w:rPr>
        <w:tab/>
        <w:t>Mesurer en permanence l’état d’avancement des projets afin de promouvoir la connectivité, les publier de manière systémique et continue, mesurer l’impact et prendre les mesures correctives nécessaires, le cas échéant.</w:t>
      </w:r>
    </w:p>
    <w:p w14:paraId="1489B962" w14:textId="77777777" w:rsidR="00A404B3" w:rsidRPr="00563957" w:rsidRDefault="00A404B3" w:rsidP="00563957">
      <w:pPr>
        <w:jc w:val="both"/>
        <w:rPr>
          <w:szCs w:val="22"/>
          <w:lang w:val="fr-FR"/>
        </w:rPr>
      </w:pPr>
    </w:p>
    <w:p w14:paraId="0299929D" w14:textId="713577E6" w:rsidR="00A404B3" w:rsidRPr="00563957" w:rsidRDefault="00A404B3" w:rsidP="00563957">
      <w:pPr>
        <w:jc w:val="both"/>
        <w:rPr>
          <w:szCs w:val="22"/>
          <w:lang w:val="fr-FR"/>
        </w:rPr>
      </w:pPr>
      <w:r w:rsidRPr="00563957">
        <w:rPr>
          <w:szCs w:val="22"/>
          <w:lang w:val="fr-FR"/>
        </w:rPr>
        <w:tab/>
        <w:t xml:space="preserve">14. </w:t>
      </w:r>
      <w:r w:rsidR="00BB18E2" w:rsidRPr="00563957">
        <w:rPr>
          <w:szCs w:val="22"/>
          <w:lang w:val="fr-FR"/>
        </w:rPr>
        <w:tab/>
      </w:r>
      <w:r w:rsidRPr="00563957">
        <w:rPr>
          <w:szCs w:val="22"/>
          <w:lang w:val="fr-FR"/>
        </w:rPr>
        <w:t xml:space="preserve">Encourager le développement d’un système de cartographie de la connectivité qui identifie les endroits où l’infrastructure et la connectivité sont installées. </w:t>
      </w:r>
    </w:p>
    <w:p w14:paraId="589A3261" w14:textId="77777777" w:rsidR="00A404B3" w:rsidRPr="00563957" w:rsidRDefault="00A404B3" w:rsidP="00563957">
      <w:pPr>
        <w:jc w:val="both"/>
        <w:rPr>
          <w:szCs w:val="22"/>
          <w:lang w:val="fr-FR"/>
        </w:rPr>
      </w:pPr>
    </w:p>
    <w:p w14:paraId="2E8B8690" w14:textId="3E44715F" w:rsidR="00A404B3" w:rsidRPr="00563957" w:rsidRDefault="00A404B3" w:rsidP="00563957">
      <w:pPr>
        <w:jc w:val="both"/>
        <w:rPr>
          <w:szCs w:val="22"/>
          <w:lang w:val="fr-FR"/>
        </w:rPr>
      </w:pPr>
      <w:r w:rsidRPr="00563957">
        <w:rPr>
          <w:szCs w:val="22"/>
          <w:lang w:val="fr-FR"/>
        </w:rPr>
        <w:tab/>
        <w:t>15.</w:t>
      </w:r>
      <w:r w:rsidRPr="00563957">
        <w:rPr>
          <w:szCs w:val="22"/>
          <w:lang w:val="fr-FR"/>
        </w:rPr>
        <w:tab/>
        <w:t>Créer un environnement réglementaire qui encourage l’innovation et l’investissement pour le développement technologique, en analysant toute l’offre technologique de connectivité en fonction des besoins de chaque pays.</w:t>
      </w:r>
    </w:p>
    <w:p w14:paraId="39B60C31" w14:textId="77777777" w:rsidR="00A404B3" w:rsidRPr="00563957" w:rsidRDefault="00A404B3" w:rsidP="00563957">
      <w:pPr>
        <w:jc w:val="both"/>
        <w:rPr>
          <w:szCs w:val="22"/>
          <w:lang w:val="fr-FR"/>
        </w:rPr>
      </w:pPr>
    </w:p>
    <w:p w14:paraId="17FE9164" w14:textId="76F91112" w:rsidR="00A404B3" w:rsidRPr="00563957" w:rsidRDefault="00A404B3" w:rsidP="00563957">
      <w:pPr>
        <w:jc w:val="both"/>
        <w:rPr>
          <w:szCs w:val="22"/>
          <w:lang w:val="fr-FR"/>
        </w:rPr>
      </w:pPr>
      <w:r w:rsidRPr="00563957">
        <w:rPr>
          <w:szCs w:val="22"/>
          <w:lang w:val="fr-FR"/>
        </w:rPr>
        <w:tab/>
        <w:t>16.</w:t>
      </w:r>
      <w:r w:rsidRPr="00563957">
        <w:rPr>
          <w:szCs w:val="22"/>
          <w:lang w:val="fr-FR"/>
        </w:rPr>
        <w:tab/>
        <w:t>Analyser la pertinence pour les opérateurs de l’affectation partielle ou totale du montant de la contribution due aux fonds d’accès et de service universel pour des projets de connectivité rurale définis par les politiques de connectivité en fonction des besoins de chaque pays.</w:t>
      </w:r>
    </w:p>
    <w:p w14:paraId="1C1C57C9" w14:textId="69399292" w:rsidR="00A404B3" w:rsidRPr="00563957" w:rsidRDefault="00A404B3" w:rsidP="00563957">
      <w:pPr>
        <w:jc w:val="both"/>
        <w:rPr>
          <w:szCs w:val="22"/>
          <w:lang w:val="fr-FR"/>
        </w:rPr>
      </w:pPr>
    </w:p>
    <w:p w14:paraId="0660852D" w14:textId="1C4A7D86" w:rsidR="00A404B3" w:rsidRPr="00563957" w:rsidRDefault="00A404B3" w:rsidP="00563957">
      <w:pPr>
        <w:jc w:val="both"/>
        <w:rPr>
          <w:szCs w:val="22"/>
          <w:lang w:val="fr-FR"/>
        </w:rPr>
      </w:pPr>
      <w:r w:rsidRPr="00563957">
        <w:rPr>
          <w:szCs w:val="22"/>
          <w:lang w:val="fr-FR"/>
        </w:rPr>
        <w:tab/>
        <w:t>17.</w:t>
      </w:r>
      <w:r w:rsidRPr="00563957">
        <w:rPr>
          <w:szCs w:val="22"/>
          <w:lang w:val="fr-FR"/>
        </w:rPr>
        <w:tab/>
        <w:t>Envisager, en accord avec les politiques et si la législation nationale le permet, que les entreprises qui ont déployé la connectivité dans les zones rurales puissent être exemptées de l’obligation de contribution au fonds d’accès et de service universel.</w:t>
      </w:r>
    </w:p>
    <w:p w14:paraId="3FE1C9F1" w14:textId="77777777" w:rsidR="00A404B3" w:rsidRPr="00563957" w:rsidRDefault="00A404B3" w:rsidP="00563957">
      <w:pPr>
        <w:jc w:val="both"/>
        <w:rPr>
          <w:szCs w:val="22"/>
          <w:lang w:val="fr-FR"/>
        </w:rPr>
      </w:pPr>
    </w:p>
    <w:p w14:paraId="540CFE0A" w14:textId="7BECE3DD" w:rsidR="00A404B3" w:rsidRPr="00563957" w:rsidRDefault="00A404B3" w:rsidP="00563957">
      <w:pPr>
        <w:ind w:firstLine="708"/>
        <w:jc w:val="both"/>
        <w:rPr>
          <w:szCs w:val="22"/>
          <w:lang w:val="fr-FR"/>
        </w:rPr>
      </w:pPr>
      <w:r w:rsidRPr="00563957">
        <w:rPr>
          <w:szCs w:val="22"/>
          <w:lang w:val="fr-FR"/>
        </w:rPr>
        <w:t xml:space="preserve">18. </w:t>
      </w:r>
      <w:r w:rsidRPr="00563957">
        <w:rPr>
          <w:szCs w:val="22"/>
          <w:lang w:val="fr-FR"/>
        </w:rPr>
        <w:tab/>
        <w:t xml:space="preserve">Envisager des mesures d’incitation pour étendre la couverture des services de télécommunication/TIC à des conditions abordables et de qualité grâce à une utilisation appropriée du spectre radioélectrique ; en mettant en œuvre des cadres réglementaires flexibles facilitant l’accès aux services et l’utilisation du spectre radioélectrique, dans le but d’encourager les investissements dans ces zones et de promouvoir le respect des obligations de la couverture de service. </w:t>
      </w:r>
    </w:p>
    <w:p w14:paraId="117A9728" w14:textId="494E6080" w:rsidR="00A404B3" w:rsidRPr="00563957" w:rsidRDefault="00A404B3" w:rsidP="00563957">
      <w:pPr>
        <w:jc w:val="both"/>
        <w:rPr>
          <w:szCs w:val="22"/>
          <w:lang w:val="fr-FR"/>
        </w:rPr>
      </w:pPr>
    </w:p>
    <w:p w14:paraId="2705A4FC" w14:textId="20FC4C1F" w:rsidR="00A404B3" w:rsidRPr="00563957" w:rsidRDefault="00A404B3" w:rsidP="00563957">
      <w:pPr>
        <w:ind w:firstLine="708"/>
        <w:jc w:val="both"/>
        <w:rPr>
          <w:szCs w:val="22"/>
          <w:lang w:val="fr-FR"/>
        </w:rPr>
      </w:pPr>
      <w:r w:rsidRPr="00563957">
        <w:rPr>
          <w:szCs w:val="22"/>
          <w:lang w:val="fr-FR"/>
        </w:rPr>
        <w:t xml:space="preserve">19. </w:t>
      </w:r>
      <w:r w:rsidRPr="00563957">
        <w:rPr>
          <w:szCs w:val="22"/>
          <w:lang w:val="fr-FR"/>
        </w:rPr>
        <w:tab/>
        <w:t>Envisager des modèles alternatifs et innovants d’attribution, de licence et de paiement pour l’utilisation du spectre radioélectrique, visant à faciliter l’extension de la couverture.</w:t>
      </w:r>
    </w:p>
    <w:p w14:paraId="1E972E04" w14:textId="67DB8948" w:rsidR="00A404B3" w:rsidRPr="00563957" w:rsidRDefault="00A404B3" w:rsidP="00563957">
      <w:pPr>
        <w:jc w:val="both"/>
        <w:rPr>
          <w:szCs w:val="22"/>
          <w:lang w:val="fr-FR"/>
        </w:rPr>
      </w:pPr>
    </w:p>
    <w:p w14:paraId="28CD1A75" w14:textId="62B22493" w:rsidR="00A404B3" w:rsidRPr="00563957" w:rsidRDefault="00A404B3" w:rsidP="00563957">
      <w:pPr>
        <w:ind w:firstLine="708"/>
        <w:jc w:val="both"/>
        <w:rPr>
          <w:szCs w:val="22"/>
          <w:lang w:val="fr-FR"/>
        </w:rPr>
      </w:pPr>
      <w:r w:rsidRPr="00563957">
        <w:rPr>
          <w:szCs w:val="22"/>
          <w:lang w:val="fr-FR"/>
        </w:rPr>
        <w:t xml:space="preserve">20. </w:t>
      </w:r>
      <w:r w:rsidRPr="00563957">
        <w:rPr>
          <w:szCs w:val="22"/>
          <w:lang w:val="fr-FR"/>
        </w:rPr>
        <w:tab/>
        <w:t xml:space="preserve"> Envisager des politiques pour encourager les investissements dans les technologies satellitaires, aéronautiques et terrestres, y compris les plates-formes stratosphériques, entre autres, qui pourraient fournir des services de Télécommunications/TIC à court terme.</w:t>
      </w:r>
    </w:p>
    <w:p w14:paraId="5F7CCD86" w14:textId="270217AD" w:rsidR="00A404B3" w:rsidRPr="00563957" w:rsidRDefault="00A404B3" w:rsidP="00563957">
      <w:pPr>
        <w:jc w:val="both"/>
        <w:rPr>
          <w:szCs w:val="22"/>
          <w:lang w:val="fr-FR"/>
        </w:rPr>
      </w:pPr>
    </w:p>
    <w:p w14:paraId="51E57169" w14:textId="02B22AE4" w:rsidR="00A404B3" w:rsidRPr="00563957" w:rsidRDefault="00A404B3" w:rsidP="00563957">
      <w:pPr>
        <w:ind w:firstLine="708"/>
        <w:jc w:val="both"/>
        <w:rPr>
          <w:szCs w:val="22"/>
          <w:lang w:val="fr-FR"/>
        </w:rPr>
      </w:pPr>
      <w:r w:rsidRPr="00563957">
        <w:rPr>
          <w:szCs w:val="22"/>
          <w:lang w:val="fr-FR"/>
        </w:rPr>
        <w:t xml:space="preserve">21. </w:t>
      </w:r>
      <w:r w:rsidRPr="00563957">
        <w:rPr>
          <w:szCs w:val="22"/>
          <w:lang w:val="fr-FR"/>
        </w:rPr>
        <w:tab/>
        <w:t>Envisager la mise en œuvre de nouvelles technologies et techniques de gestion dynamique du spectre radioélectrique permettant son utilisation flexible ou partagée, y compris le spectre sous licence et le spectre non sous licence.</w:t>
      </w:r>
    </w:p>
    <w:p w14:paraId="65D0E2D6" w14:textId="620FCE00" w:rsidR="00EE508E" w:rsidRDefault="00EE508E" w:rsidP="00563957">
      <w:pPr>
        <w:jc w:val="both"/>
        <w:rPr>
          <w:spacing w:val="-2"/>
          <w:szCs w:val="22"/>
          <w:u w:val="single"/>
          <w:lang w:val="fr-FR"/>
        </w:rPr>
      </w:pPr>
    </w:p>
    <w:p w14:paraId="6AFB1C3E" w14:textId="1230D01E" w:rsidR="00CF2135" w:rsidRDefault="00CF2135" w:rsidP="00563957">
      <w:pPr>
        <w:jc w:val="both"/>
        <w:rPr>
          <w:spacing w:val="-2"/>
          <w:szCs w:val="22"/>
          <w:u w:val="single"/>
          <w:lang w:val="fr-FR"/>
        </w:rPr>
      </w:pPr>
    </w:p>
    <w:p w14:paraId="05D688FB" w14:textId="55D5C475" w:rsidR="00CF2135" w:rsidRPr="00AF791D" w:rsidRDefault="00CF2135" w:rsidP="00563957">
      <w:pPr>
        <w:jc w:val="both"/>
        <w:rPr>
          <w:spacing w:val="-2"/>
          <w:szCs w:val="22"/>
          <w:u w:val="single"/>
          <w:lang w:val="fr-FR"/>
        </w:rPr>
      </w:pPr>
      <w:r>
        <w:rPr>
          <w:noProof/>
        </w:rPr>
        <w:drawing>
          <wp:anchor distT="0" distB="0" distL="114300" distR="114300" simplePos="0" relativeHeight="251660288" behindDoc="0" locked="0" layoutInCell="1" allowOverlap="1" wp14:anchorId="2DD9A81F" wp14:editId="4BF2E424">
            <wp:simplePos x="0" y="0"/>
            <wp:positionH relativeFrom="margin">
              <wp:align>right</wp:align>
            </wp:positionH>
            <wp:positionV relativeFrom="paragraph">
              <wp:posOffset>1204878</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D44D4">
        <w:rPr>
          <w:noProof/>
          <w:spacing w:val="-2"/>
          <w:szCs w:val="22"/>
          <w:u w:val="single"/>
          <w:lang w:val="fr-FR"/>
        </w:rPr>
        <mc:AlternateContent>
          <mc:Choice Requires="wps">
            <w:drawing>
              <wp:anchor distT="0" distB="0" distL="114300" distR="114300" simplePos="0" relativeHeight="251661312" behindDoc="0" locked="1" layoutInCell="1" allowOverlap="1" wp14:anchorId="04DE9FB7" wp14:editId="5F17FEC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C614D0" w14:textId="7D0B942E" w:rsidR="00AD44D4" w:rsidRPr="00AD44D4" w:rsidRDefault="00AD44D4">
                            <w:pPr>
                              <w:rPr>
                                <w:sz w:val="18"/>
                              </w:rPr>
                            </w:pPr>
                            <w:r>
                              <w:rPr>
                                <w:sz w:val="18"/>
                              </w:rPr>
                              <w:fldChar w:fldCharType="begin"/>
                            </w:r>
                            <w:r>
                              <w:rPr>
                                <w:sz w:val="18"/>
                              </w:rPr>
                              <w:instrText xml:space="preserve"> FILENAME  \* MERGEFORMAT </w:instrText>
                            </w:r>
                            <w:r>
                              <w:rPr>
                                <w:sz w:val="18"/>
                              </w:rPr>
                              <w:fldChar w:fldCharType="separate"/>
                            </w:r>
                            <w:r>
                              <w:rPr>
                                <w:noProof/>
                                <w:sz w:val="18"/>
                              </w:rPr>
                              <w:t>AG08390F01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E9FB7"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7AC614D0" w14:textId="7D0B942E" w:rsidR="00AD44D4" w:rsidRPr="00AD44D4" w:rsidRDefault="00AD44D4">
                      <w:pPr>
                        <w:rPr>
                          <w:sz w:val="18"/>
                        </w:rPr>
                      </w:pPr>
                      <w:r>
                        <w:rPr>
                          <w:sz w:val="18"/>
                        </w:rPr>
                        <w:fldChar w:fldCharType="begin"/>
                      </w:r>
                      <w:r>
                        <w:rPr>
                          <w:sz w:val="18"/>
                        </w:rPr>
                        <w:instrText xml:space="preserve"> FILENAME  \* MERGEFORMAT </w:instrText>
                      </w:r>
                      <w:r>
                        <w:rPr>
                          <w:sz w:val="18"/>
                        </w:rPr>
                        <w:fldChar w:fldCharType="separate"/>
                      </w:r>
                      <w:r>
                        <w:rPr>
                          <w:noProof/>
                          <w:sz w:val="18"/>
                        </w:rPr>
                        <w:t>AG08390F01</w:t>
                      </w:r>
                      <w:r>
                        <w:rPr>
                          <w:sz w:val="18"/>
                        </w:rPr>
                        <w:fldChar w:fldCharType="end"/>
                      </w:r>
                    </w:p>
                  </w:txbxContent>
                </v:textbox>
                <w10:wrap anchory="page"/>
                <w10:anchorlock/>
              </v:shape>
            </w:pict>
          </mc:Fallback>
        </mc:AlternateContent>
      </w:r>
    </w:p>
    <w:sectPr w:rsidR="00CF2135" w:rsidRPr="00AF791D" w:rsidSect="004E60C3">
      <w:headerReference w:type="default" r:id="rId11"/>
      <w:type w:val="oddPage"/>
      <w:pgSz w:w="12240" w:h="15840" w:code="1"/>
      <w:pgMar w:top="2160" w:right="1570" w:bottom="1296" w:left="1699" w:header="1296" w:footer="1296" w:gutter="0"/>
      <w:pgNumType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1DFA" w14:textId="77777777" w:rsidR="005C1EDE" w:rsidRDefault="005C1EDE">
      <w:r>
        <w:separator/>
      </w:r>
    </w:p>
  </w:endnote>
  <w:endnote w:type="continuationSeparator" w:id="0">
    <w:p w14:paraId="477A6407" w14:textId="77777777" w:rsidR="005C1EDE" w:rsidRDefault="005C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1C6F" w14:textId="77777777" w:rsidR="005C1EDE" w:rsidRDefault="005C1EDE">
      <w:r>
        <w:separator/>
      </w:r>
    </w:p>
  </w:footnote>
  <w:footnote w:type="continuationSeparator" w:id="0">
    <w:p w14:paraId="37DFBC66" w14:textId="77777777" w:rsidR="005C1EDE" w:rsidRDefault="005C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87313"/>
      <w:docPartObj>
        <w:docPartGallery w:val="Page Numbers (Top of Page)"/>
        <w:docPartUnique/>
      </w:docPartObj>
    </w:sdtPr>
    <w:sdtEndPr>
      <w:rPr>
        <w:noProof/>
      </w:rPr>
    </w:sdtEndPr>
    <w:sdtContent>
      <w:p w14:paraId="3B6AB259" w14:textId="77777777" w:rsidR="004E60C3" w:rsidRDefault="004E60C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E"/>
    <w:multiLevelType w:val="hybridMultilevel"/>
    <w:tmpl w:val="9C26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D37"/>
    <w:multiLevelType w:val="hybridMultilevel"/>
    <w:tmpl w:val="295C346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7B54BD6"/>
    <w:multiLevelType w:val="hybridMultilevel"/>
    <w:tmpl w:val="079C5910"/>
    <w:lvl w:ilvl="0" w:tplc="707819E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E0B7DBD"/>
    <w:multiLevelType w:val="multilevel"/>
    <w:tmpl w:val="295C346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0E9B0533"/>
    <w:multiLevelType w:val="multilevel"/>
    <w:tmpl w:val="7348F466"/>
    <w:lvl w:ilvl="0">
      <w:start w:val="1"/>
      <w:numFmt w:val="decimal"/>
      <w:lvlText w:val="%1."/>
      <w:lvlJc w:val="left"/>
      <w:pPr>
        <w:tabs>
          <w:tab w:val="num" w:pos="1260"/>
        </w:tabs>
        <w:ind w:left="1260" w:hanging="1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84A9A"/>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F29BC"/>
    <w:multiLevelType w:val="hybridMultilevel"/>
    <w:tmpl w:val="7348F466"/>
    <w:lvl w:ilvl="0" w:tplc="9C76F5EC">
      <w:start w:val="1"/>
      <w:numFmt w:val="decimal"/>
      <w:lvlText w:val="%1."/>
      <w:lvlJc w:val="left"/>
      <w:pPr>
        <w:tabs>
          <w:tab w:val="num" w:pos="1260"/>
        </w:tabs>
        <w:ind w:left="1260"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D005A"/>
    <w:multiLevelType w:val="hybridMultilevel"/>
    <w:tmpl w:val="3796E112"/>
    <w:lvl w:ilvl="0" w:tplc="A6860C7C">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0034"/>
    <w:multiLevelType w:val="hybridMultilevel"/>
    <w:tmpl w:val="0524B182"/>
    <w:lvl w:ilvl="0" w:tplc="06322860">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7752"/>
    <w:multiLevelType w:val="hybridMultilevel"/>
    <w:tmpl w:val="978414E2"/>
    <w:lvl w:ilvl="0" w:tplc="9FD8AA08">
      <w:start w:val="4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77B3"/>
    <w:multiLevelType w:val="multilevel"/>
    <w:tmpl w:val="F1D8981E"/>
    <w:lvl w:ilvl="0">
      <w:start w:val="1"/>
      <w:numFmt w:val="decimal"/>
      <w:lvlText w:val="%1."/>
      <w:lvlJc w:val="left"/>
      <w:pPr>
        <w:tabs>
          <w:tab w:val="num" w:pos="1800"/>
        </w:tabs>
        <w:ind w:left="180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0781D6E"/>
    <w:multiLevelType w:val="hybridMultilevel"/>
    <w:tmpl w:val="6B2256AE"/>
    <w:lvl w:ilvl="0" w:tplc="348082D8">
      <w:start w:val="1"/>
      <w:numFmt w:val="decimal"/>
      <w:lvlText w:val="%1."/>
      <w:lvlJc w:val="left"/>
      <w:pPr>
        <w:tabs>
          <w:tab w:val="num" w:pos="828"/>
        </w:tabs>
        <w:ind w:left="828" w:firstLine="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7054C"/>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35846F4"/>
    <w:multiLevelType w:val="multilevel"/>
    <w:tmpl w:val="91F4E3D2"/>
    <w:lvl w:ilvl="0">
      <w:start w:val="498"/>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E77CCC"/>
    <w:multiLevelType w:val="hybridMultilevel"/>
    <w:tmpl w:val="011E4B7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7414"/>
    <w:multiLevelType w:val="multilevel"/>
    <w:tmpl w:val="2D10282A"/>
    <w:lvl w:ilvl="0">
      <w:start w:val="1"/>
      <w:numFmt w:val="decimal"/>
      <w:lvlText w:val="%1."/>
      <w:lvlJc w:val="left"/>
      <w:pPr>
        <w:tabs>
          <w:tab w:val="num" w:pos="144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0427C"/>
    <w:multiLevelType w:val="multilevel"/>
    <w:tmpl w:val="70DABCF8"/>
    <w:lvl w:ilvl="0">
      <w:start w:val="1"/>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36A4"/>
    <w:multiLevelType w:val="hybridMultilevel"/>
    <w:tmpl w:val="D9DC4E1E"/>
    <w:lvl w:ilvl="0" w:tplc="2820DE0E">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30F65"/>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19E6AD1"/>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01C76"/>
    <w:multiLevelType w:val="multilevel"/>
    <w:tmpl w:val="57C80E0A"/>
    <w:lvl w:ilvl="0">
      <w:start w:val="1"/>
      <w:numFmt w:val="decimal"/>
      <w:lvlText w:val="%1."/>
      <w:lvlJc w:val="left"/>
      <w:pPr>
        <w:tabs>
          <w:tab w:val="num" w:pos="684"/>
        </w:tabs>
        <w:ind w:left="684" w:firstLine="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4E716A"/>
    <w:multiLevelType w:val="hybridMultilevel"/>
    <w:tmpl w:val="69485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A3784B"/>
    <w:multiLevelType w:val="hybridMultilevel"/>
    <w:tmpl w:val="8790209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85465AB"/>
    <w:multiLevelType w:val="multilevel"/>
    <w:tmpl w:val="58869F4C"/>
    <w:lvl w:ilvl="0">
      <w:start w:val="1"/>
      <w:numFmt w:val="decimal"/>
      <w:lvlText w:val="%1."/>
      <w:lvlJc w:val="left"/>
      <w:pPr>
        <w:tabs>
          <w:tab w:val="num" w:pos="18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25F03"/>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C724BC5"/>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DFE16F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64334C97"/>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C1E7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6A7F4B2E"/>
    <w:multiLevelType w:val="multilevel"/>
    <w:tmpl w:val="D2E4F718"/>
    <w:lvl w:ilvl="0">
      <w:start w:val="1"/>
      <w:numFmt w:val="decimal"/>
      <w:lvlText w:val="%1."/>
      <w:lvlJc w:val="left"/>
      <w:pPr>
        <w:tabs>
          <w:tab w:val="num" w:pos="1440"/>
        </w:tabs>
        <w:ind w:left="14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EE61D7"/>
    <w:multiLevelType w:val="hybridMultilevel"/>
    <w:tmpl w:val="89528DBA"/>
    <w:lvl w:ilvl="0" w:tplc="F1FE63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C6067"/>
    <w:multiLevelType w:val="hybridMultilevel"/>
    <w:tmpl w:val="DF2074EA"/>
    <w:lvl w:ilvl="0" w:tplc="FB6E6760">
      <w:start w:val="49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E464440"/>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2904D4A"/>
    <w:multiLevelType w:val="hybridMultilevel"/>
    <w:tmpl w:val="09EC2064"/>
    <w:lvl w:ilvl="0" w:tplc="EF7E425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D92C76"/>
    <w:multiLevelType w:val="multilevel"/>
    <w:tmpl w:val="6B2256AE"/>
    <w:lvl w:ilvl="0">
      <w:start w:val="1"/>
      <w:numFmt w:val="decimal"/>
      <w:lvlText w:val="%1."/>
      <w:lvlJc w:val="left"/>
      <w:pPr>
        <w:tabs>
          <w:tab w:val="num" w:pos="828"/>
        </w:tabs>
        <w:ind w:left="828" w:firstLine="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36C8C"/>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8460B1"/>
    <w:multiLevelType w:val="hybridMultilevel"/>
    <w:tmpl w:val="57C80E0A"/>
    <w:lvl w:ilvl="0" w:tplc="4466697A">
      <w:start w:val="1"/>
      <w:numFmt w:val="decimal"/>
      <w:lvlText w:val="%1."/>
      <w:lvlJc w:val="left"/>
      <w:pPr>
        <w:tabs>
          <w:tab w:val="num" w:pos="684"/>
        </w:tabs>
        <w:ind w:left="684"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D4353"/>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473E98"/>
    <w:multiLevelType w:val="hybridMultilevel"/>
    <w:tmpl w:val="0DB0937A"/>
    <w:lvl w:ilvl="0" w:tplc="7B725E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D21FFC"/>
    <w:multiLevelType w:val="hybridMultilevel"/>
    <w:tmpl w:val="9050D9AC"/>
    <w:lvl w:ilvl="0" w:tplc="707819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CC5"/>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7FE078DF"/>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1"/>
  </w:num>
  <w:num w:numId="2">
    <w:abstractNumId w:val="39"/>
  </w:num>
  <w:num w:numId="3">
    <w:abstractNumId w:val="34"/>
  </w:num>
  <w:num w:numId="4">
    <w:abstractNumId w:val="26"/>
  </w:num>
  <w:num w:numId="5">
    <w:abstractNumId w:val="29"/>
  </w:num>
  <w:num w:numId="6">
    <w:abstractNumId w:val="17"/>
  </w:num>
  <w:num w:numId="7">
    <w:abstractNumId w:val="27"/>
  </w:num>
  <w:num w:numId="8">
    <w:abstractNumId w:val="12"/>
  </w:num>
  <w:num w:numId="9">
    <w:abstractNumId w:val="36"/>
  </w:num>
  <w:num w:numId="10">
    <w:abstractNumId w:val="22"/>
  </w:num>
  <w:num w:numId="11">
    <w:abstractNumId w:val="18"/>
  </w:num>
  <w:num w:numId="12">
    <w:abstractNumId w:val="33"/>
  </w:num>
  <w:num w:numId="13">
    <w:abstractNumId w:val="24"/>
  </w:num>
  <w:num w:numId="14">
    <w:abstractNumId w:val="25"/>
  </w:num>
  <w:num w:numId="15">
    <w:abstractNumId w:val="21"/>
  </w:num>
  <w:num w:numId="16">
    <w:abstractNumId w:val="14"/>
  </w:num>
  <w:num w:numId="17">
    <w:abstractNumId w:val="0"/>
  </w:num>
  <w:num w:numId="18">
    <w:abstractNumId w:val="1"/>
  </w:num>
  <w:num w:numId="19">
    <w:abstractNumId w:val="3"/>
  </w:num>
  <w:num w:numId="20">
    <w:abstractNumId w:val="6"/>
  </w:num>
  <w:num w:numId="21">
    <w:abstractNumId w:val="4"/>
  </w:num>
  <w:num w:numId="22">
    <w:abstractNumId w:val="11"/>
  </w:num>
  <w:num w:numId="23">
    <w:abstractNumId w:val="35"/>
  </w:num>
  <w:num w:numId="24">
    <w:abstractNumId w:val="37"/>
  </w:num>
  <w:num w:numId="25">
    <w:abstractNumId w:val="20"/>
  </w:num>
  <w:num w:numId="26">
    <w:abstractNumId w:val="5"/>
  </w:num>
  <w:num w:numId="27">
    <w:abstractNumId w:val="23"/>
  </w:num>
  <w:num w:numId="28">
    <w:abstractNumId w:val="15"/>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num>
  <w:num w:numId="35">
    <w:abstractNumId w:val="32"/>
  </w:num>
  <w:num w:numId="36">
    <w:abstractNumId w:val="40"/>
  </w:num>
  <w:num w:numId="37">
    <w:abstractNumId w:val="2"/>
  </w:num>
  <w:num w:numId="38">
    <w:abstractNumId w:val="8"/>
  </w:num>
  <w:num w:numId="39">
    <w:abstractNumId w:val="7"/>
  </w:num>
  <w:num w:numId="40">
    <w:abstractNumId w:val="28"/>
  </w:num>
  <w:num w:numId="41">
    <w:abstractNumId w:val="9"/>
  </w:num>
  <w:num w:numId="42">
    <w:abstractNumId w:val="19"/>
  </w:num>
  <w:num w:numId="43">
    <w:abstractNumId w:val="13"/>
  </w:num>
  <w:num w:numId="44">
    <w:abstractNumId w:val="10"/>
  </w:num>
  <w:num w:numId="45">
    <w:abstractNumId w:val="16"/>
  </w:num>
  <w:num w:numId="4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4A"/>
    <w:rsid w:val="00002A93"/>
    <w:rsid w:val="000057B9"/>
    <w:rsid w:val="00010744"/>
    <w:rsid w:val="00014210"/>
    <w:rsid w:val="0001713C"/>
    <w:rsid w:val="000263A1"/>
    <w:rsid w:val="00047072"/>
    <w:rsid w:val="000557E4"/>
    <w:rsid w:val="000562B6"/>
    <w:rsid w:val="00067961"/>
    <w:rsid w:val="00067EDD"/>
    <w:rsid w:val="00073F78"/>
    <w:rsid w:val="000806CC"/>
    <w:rsid w:val="00087F30"/>
    <w:rsid w:val="00095BC9"/>
    <w:rsid w:val="00097D4B"/>
    <w:rsid w:val="000A4B7A"/>
    <w:rsid w:val="000B058C"/>
    <w:rsid w:val="000B4368"/>
    <w:rsid w:val="000B7F25"/>
    <w:rsid w:val="000C70DB"/>
    <w:rsid w:val="000E2EC1"/>
    <w:rsid w:val="000F0BCA"/>
    <w:rsid w:val="000F0D26"/>
    <w:rsid w:val="000F50AD"/>
    <w:rsid w:val="00116A65"/>
    <w:rsid w:val="00124895"/>
    <w:rsid w:val="00133BD0"/>
    <w:rsid w:val="001352C8"/>
    <w:rsid w:val="00145A80"/>
    <w:rsid w:val="001472C8"/>
    <w:rsid w:val="00147567"/>
    <w:rsid w:val="00152D16"/>
    <w:rsid w:val="00153606"/>
    <w:rsid w:val="0016229A"/>
    <w:rsid w:val="00162CE7"/>
    <w:rsid w:val="0017115F"/>
    <w:rsid w:val="00186C60"/>
    <w:rsid w:val="00186FD4"/>
    <w:rsid w:val="0019706D"/>
    <w:rsid w:val="001A11A6"/>
    <w:rsid w:val="001A5EF7"/>
    <w:rsid w:val="001C545D"/>
    <w:rsid w:val="001D344A"/>
    <w:rsid w:val="001D4CC1"/>
    <w:rsid w:val="001D6D92"/>
    <w:rsid w:val="001D72C2"/>
    <w:rsid w:val="001E18DF"/>
    <w:rsid w:val="001F07DC"/>
    <w:rsid w:val="001F1A66"/>
    <w:rsid w:val="001F6387"/>
    <w:rsid w:val="002003C9"/>
    <w:rsid w:val="0020041D"/>
    <w:rsid w:val="00215D1E"/>
    <w:rsid w:val="00216D47"/>
    <w:rsid w:val="00222071"/>
    <w:rsid w:val="00222771"/>
    <w:rsid w:val="00236123"/>
    <w:rsid w:val="0023773F"/>
    <w:rsid w:val="002446B9"/>
    <w:rsid w:val="0025278B"/>
    <w:rsid w:val="0026585C"/>
    <w:rsid w:val="00272C72"/>
    <w:rsid w:val="00283A48"/>
    <w:rsid w:val="002848E1"/>
    <w:rsid w:val="00294A9C"/>
    <w:rsid w:val="002A0107"/>
    <w:rsid w:val="002A45FE"/>
    <w:rsid w:val="002C3427"/>
    <w:rsid w:val="002C4709"/>
    <w:rsid w:val="002F2C92"/>
    <w:rsid w:val="00300EF1"/>
    <w:rsid w:val="00306284"/>
    <w:rsid w:val="00306DBF"/>
    <w:rsid w:val="003072D6"/>
    <w:rsid w:val="00320841"/>
    <w:rsid w:val="00320E5B"/>
    <w:rsid w:val="00322CB1"/>
    <w:rsid w:val="0032387B"/>
    <w:rsid w:val="003241F3"/>
    <w:rsid w:val="00337709"/>
    <w:rsid w:val="00341033"/>
    <w:rsid w:val="00374C77"/>
    <w:rsid w:val="00376000"/>
    <w:rsid w:val="00380C00"/>
    <w:rsid w:val="00383660"/>
    <w:rsid w:val="00391A8F"/>
    <w:rsid w:val="003B000F"/>
    <w:rsid w:val="003B1FDE"/>
    <w:rsid w:val="003B33E1"/>
    <w:rsid w:val="003B4059"/>
    <w:rsid w:val="003B4A0F"/>
    <w:rsid w:val="003B62C7"/>
    <w:rsid w:val="003D206E"/>
    <w:rsid w:val="003D30B7"/>
    <w:rsid w:val="003D56AE"/>
    <w:rsid w:val="003E2AB7"/>
    <w:rsid w:val="003E4B2F"/>
    <w:rsid w:val="003F03FA"/>
    <w:rsid w:val="003F05C0"/>
    <w:rsid w:val="003F3B9A"/>
    <w:rsid w:val="004155AE"/>
    <w:rsid w:val="00421CBD"/>
    <w:rsid w:val="00424188"/>
    <w:rsid w:val="004408D6"/>
    <w:rsid w:val="0044159C"/>
    <w:rsid w:val="00444197"/>
    <w:rsid w:val="00452108"/>
    <w:rsid w:val="00461451"/>
    <w:rsid w:val="004742D2"/>
    <w:rsid w:val="00480569"/>
    <w:rsid w:val="0049231D"/>
    <w:rsid w:val="0049326E"/>
    <w:rsid w:val="00496A26"/>
    <w:rsid w:val="00497CBE"/>
    <w:rsid w:val="004A03E2"/>
    <w:rsid w:val="004A3074"/>
    <w:rsid w:val="004B5E65"/>
    <w:rsid w:val="004B6E3F"/>
    <w:rsid w:val="004C2773"/>
    <w:rsid w:val="004C3139"/>
    <w:rsid w:val="004C5788"/>
    <w:rsid w:val="004C6DF0"/>
    <w:rsid w:val="004D1846"/>
    <w:rsid w:val="004D45F0"/>
    <w:rsid w:val="004E3295"/>
    <w:rsid w:val="004E4B62"/>
    <w:rsid w:val="004E60C3"/>
    <w:rsid w:val="004F250C"/>
    <w:rsid w:val="004F4F0C"/>
    <w:rsid w:val="005053AC"/>
    <w:rsid w:val="00507057"/>
    <w:rsid w:val="005101DC"/>
    <w:rsid w:val="005165BE"/>
    <w:rsid w:val="005327B2"/>
    <w:rsid w:val="005423B2"/>
    <w:rsid w:val="00544C27"/>
    <w:rsid w:val="005505F5"/>
    <w:rsid w:val="00561349"/>
    <w:rsid w:val="00563957"/>
    <w:rsid w:val="0057759B"/>
    <w:rsid w:val="0058109F"/>
    <w:rsid w:val="00582643"/>
    <w:rsid w:val="00593AA3"/>
    <w:rsid w:val="0059721C"/>
    <w:rsid w:val="005A02EB"/>
    <w:rsid w:val="005A307F"/>
    <w:rsid w:val="005A3B23"/>
    <w:rsid w:val="005A583D"/>
    <w:rsid w:val="005C1EDE"/>
    <w:rsid w:val="005C505B"/>
    <w:rsid w:val="005C7097"/>
    <w:rsid w:val="005D1757"/>
    <w:rsid w:val="005D1F72"/>
    <w:rsid w:val="005E0CFE"/>
    <w:rsid w:val="005F1633"/>
    <w:rsid w:val="005F4489"/>
    <w:rsid w:val="00602775"/>
    <w:rsid w:val="00603700"/>
    <w:rsid w:val="00605E64"/>
    <w:rsid w:val="0061052D"/>
    <w:rsid w:val="00617121"/>
    <w:rsid w:val="00621064"/>
    <w:rsid w:val="00624F4F"/>
    <w:rsid w:val="00627343"/>
    <w:rsid w:val="006322AE"/>
    <w:rsid w:val="00633999"/>
    <w:rsid w:val="00644A46"/>
    <w:rsid w:val="0065169F"/>
    <w:rsid w:val="0065301F"/>
    <w:rsid w:val="00655545"/>
    <w:rsid w:val="00655722"/>
    <w:rsid w:val="00662CFB"/>
    <w:rsid w:val="00673D5E"/>
    <w:rsid w:val="006751F2"/>
    <w:rsid w:val="00675B48"/>
    <w:rsid w:val="006768C9"/>
    <w:rsid w:val="006832F6"/>
    <w:rsid w:val="0068570F"/>
    <w:rsid w:val="00686E3D"/>
    <w:rsid w:val="0068789F"/>
    <w:rsid w:val="006957E8"/>
    <w:rsid w:val="006A3FC4"/>
    <w:rsid w:val="006D11D5"/>
    <w:rsid w:val="006D2624"/>
    <w:rsid w:val="006E3924"/>
    <w:rsid w:val="006E643B"/>
    <w:rsid w:val="006F47E2"/>
    <w:rsid w:val="007051EB"/>
    <w:rsid w:val="00727AEE"/>
    <w:rsid w:val="0074080B"/>
    <w:rsid w:val="00742D2C"/>
    <w:rsid w:val="00743E17"/>
    <w:rsid w:val="00753047"/>
    <w:rsid w:val="00761E73"/>
    <w:rsid w:val="00765317"/>
    <w:rsid w:val="00766BFF"/>
    <w:rsid w:val="00771C0D"/>
    <w:rsid w:val="00775738"/>
    <w:rsid w:val="007768A0"/>
    <w:rsid w:val="00776F0E"/>
    <w:rsid w:val="00781D96"/>
    <w:rsid w:val="00786E5B"/>
    <w:rsid w:val="007915BD"/>
    <w:rsid w:val="007A6B5B"/>
    <w:rsid w:val="007A7F36"/>
    <w:rsid w:val="007D5B75"/>
    <w:rsid w:val="007E007B"/>
    <w:rsid w:val="007E362F"/>
    <w:rsid w:val="007E431A"/>
    <w:rsid w:val="007E5DF9"/>
    <w:rsid w:val="00800127"/>
    <w:rsid w:val="0080447E"/>
    <w:rsid w:val="008103B1"/>
    <w:rsid w:val="00824A34"/>
    <w:rsid w:val="00826582"/>
    <w:rsid w:val="00830A99"/>
    <w:rsid w:val="008369FB"/>
    <w:rsid w:val="00837936"/>
    <w:rsid w:val="008506DF"/>
    <w:rsid w:val="00877C67"/>
    <w:rsid w:val="008A4520"/>
    <w:rsid w:val="008A4F85"/>
    <w:rsid w:val="008A6A2B"/>
    <w:rsid w:val="008B36B5"/>
    <w:rsid w:val="008B6A8D"/>
    <w:rsid w:val="008B6E76"/>
    <w:rsid w:val="008C17A5"/>
    <w:rsid w:val="008C2A8B"/>
    <w:rsid w:val="008D0390"/>
    <w:rsid w:val="008D1406"/>
    <w:rsid w:val="008D3107"/>
    <w:rsid w:val="008D4284"/>
    <w:rsid w:val="008F7DBF"/>
    <w:rsid w:val="009121C5"/>
    <w:rsid w:val="009346C8"/>
    <w:rsid w:val="00937302"/>
    <w:rsid w:val="00940938"/>
    <w:rsid w:val="009437A0"/>
    <w:rsid w:val="009503A5"/>
    <w:rsid w:val="00955E8A"/>
    <w:rsid w:val="009778AA"/>
    <w:rsid w:val="0098381B"/>
    <w:rsid w:val="009864A1"/>
    <w:rsid w:val="009915F1"/>
    <w:rsid w:val="00992775"/>
    <w:rsid w:val="00997A7E"/>
    <w:rsid w:val="009A546D"/>
    <w:rsid w:val="009B273E"/>
    <w:rsid w:val="009D26A9"/>
    <w:rsid w:val="009D7801"/>
    <w:rsid w:val="009E463E"/>
    <w:rsid w:val="009E4AB9"/>
    <w:rsid w:val="009E5B4F"/>
    <w:rsid w:val="009F03F1"/>
    <w:rsid w:val="009F2E27"/>
    <w:rsid w:val="009F357E"/>
    <w:rsid w:val="00A0341E"/>
    <w:rsid w:val="00A16432"/>
    <w:rsid w:val="00A20BD7"/>
    <w:rsid w:val="00A2259D"/>
    <w:rsid w:val="00A33D4A"/>
    <w:rsid w:val="00A37952"/>
    <w:rsid w:val="00A404B3"/>
    <w:rsid w:val="00A4208C"/>
    <w:rsid w:val="00A428B9"/>
    <w:rsid w:val="00A511E0"/>
    <w:rsid w:val="00A6713E"/>
    <w:rsid w:val="00A826CF"/>
    <w:rsid w:val="00A82DE4"/>
    <w:rsid w:val="00A91854"/>
    <w:rsid w:val="00A94705"/>
    <w:rsid w:val="00AA139A"/>
    <w:rsid w:val="00AA6B39"/>
    <w:rsid w:val="00AC1BF1"/>
    <w:rsid w:val="00AC3988"/>
    <w:rsid w:val="00AC493B"/>
    <w:rsid w:val="00AC4A96"/>
    <w:rsid w:val="00AD22EA"/>
    <w:rsid w:val="00AD396A"/>
    <w:rsid w:val="00AD44D4"/>
    <w:rsid w:val="00AE18B9"/>
    <w:rsid w:val="00AF791D"/>
    <w:rsid w:val="00B03496"/>
    <w:rsid w:val="00B10410"/>
    <w:rsid w:val="00B224B6"/>
    <w:rsid w:val="00B229E0"/>
    <w:rsid w:val="00B23B9E"/>
    <w:rsid w:val="00B24A34"/>
    <w:rsid w:val="00B30965"/>
    <w:rsid w:val="00B50F3A"/>
    <w:rsid w:val="00B51A90"/>
    <w:rsid w:val="00B52AB6"/>
    <w:rsid w:val="00B539DC"/>
    <w:rsid w:val="00B53E83"/>
    <w:rsid w:val="00B5700C"/>
    <w:rsid w:val="00B62CAF"/>
    <w:rsid w:val="00B64943"/>
    <w:rsid w:val="00B81867"/>
    <w:rsid w:val="00B825AC"/>
    <w:rsid w:val="00B8670E"/>
    <w:rsid w:val="00B90C9E"/>
    <w:rsid w:val="00B934AB"/>
    <w:rsid w:val="00BA5AB1"/>
    <w:rsid w:val="00BB18E2"/>
    <w:rsid w:val="00BC0077"/>
    <w:rsid w:val="00BC02B3"/>
    <w:rsid w:val="00BD18A4"/>
    <w:rsid w:val="00BD5276"/>
    <w:rsid w:val="00BD6A5A"/>
    <w:rsid w:val="00BE0EE5"/>
    <w:rsid w:val="00BE7C7A"/>
    <w:rsid w:val="00BF3503"/>
    <w:rsid w:val="00C045BA"/>
    <w:rsid w:val="00C07F83"/>
    <w:rsid w:val="00C117D2"/>
    <w:rsid w:val="00C1184D"/>
    <w:rsid w:val="00C12604"/>
    <w:rsid w:val="00C14539"/>
    <w:rsid w:val="00C174DD"/>
    <w:rsid w:val="00C23284"/>
    <w:rsid w:val="00C31F7C"/>
    <w:rsid w:val="00C33164"/>
    <w:rsid w:val="00C33F9C"/>
    <w:rsid w:val="00C53A79"/>
    <w:rsid w:val="00C5745A"/>
    <w:rsid w:val="00C6418B"/>
    <w:rsid w:val="00C737F7"/>
    <w:rsid w:val="00C777C7"/>
    <w:rsid w:val="00C82343"/>
    <w:rsid w:val="00C82602"/>
    <w:rsid w:val="00CA36C7"/>
    <w:rsid w:val="00CC0EC3"/>
    <w:rsid w:val="00CC3300"/>
    <w:rsid w:val="00CC7AB7"/>
    <w:rsid w:val="00CD0B89"/>
    <w:rsid w:val="00CD4F89"/>
    <w:rsid w:val="00CF2135"/>
    <w:rsid w:val="00CF3F8D"/>
    <w:rsid w:val="00D07DA5"/>
    <w:rsid w:val="00D20647"/>
    <w:rsid w:val="00D20A03"/>
    <w:rsid w:val="00D21DEC"/>
    <w:rsid w:val="00D22C26"/>
    <w:rsid w:val="00D22E90"/>
    <w:rsid w:val="00D25D26"/>
    <w:rsid w:val="00D305B0"/>
    <w:rsid w:val="00D42A1E"/>
    <w:rsid w:val="00D466FB"/>
    <w:rsid w:val="00D649AF"/>
    <w:rsid w:val="00D7667F"/>
    <w:rsid w:val="00D804B6"/>
    <w:rsid w:val="00D81775"/>
    <w:rsid w:val="00D861D7"/>
    <w:rsid w:val="00DB21F6"/>
    <w:rsid w:val="00DB3753"/>
    <w:rsid w:val="00DC2D9E"/>
    <w:rsid w:val="00DC5C15"/>
    <w:rsid w:val="00DC7F91"/>
    <w:rsid w:val="00DD4B6C"/>
    <w:rsid w:val="00DD74CF"/>
    <w:rsid w:val="00DF3422"/>
    <w:rsid w:val="00DF383A"/>
    <w:rsid w:val="00DF3CCA"/>
    <w:rsid w:val="00DF41BF"/>
    <w:rsid w:val="00DF77E1"/>
    <w:rsid w:val="00E00CC8"/>
    <w:rsid w:val="00E018EA"/>
    <w:rsid w:val="00E14DF5"/>
    <w:rsid w:val="00E170E3"/>
    <w:rsid w:val="00E20C7B"/>
    <w:rsid w:val="00E24C29"/>
    <w:rsid w:val="00E3246B"/>
    <w:rsid w:val="00E33A3B"/>
    <w:rsid w:val="00E4028F"/>
    <w:rsid w:val="00E4109B"/>
    <w:rsid w:val="00E479CB"/>
    <w:rsid w:val="00E546D5"/>
    <w:rsid w:val="00E557BF"/>
    <w:rsid w:val="00E74612"/>
    <w:rsid w:val="00E94388"/>
    <w:rsid w:val="00E979C6"/>
    <w:rsid w:val="00EB4B2D"/>
    <w:rsid w:val="00EB7B1D"/>
    <w:rsid w:val="00EB7D00"/>
    <w:rsid w:val="00EC3C7F"/>
    <w:rsid w:val="00EC582B"/>
    <w:rsid w:val="00ED4046"/>
    <w:rsid w:val="00ED659E"/>
    <w:rsid w:val="00EE0C2C"/>
    <w:rsid w:val="00EE508E"/>
    <w:rsid w:val="00EF31F9"/>
    <w:rsid w:val="00F03736"/>
    <w:rsid w:val="00F06218"/>
    <w:rsid w:val="00F26299"/>
    <w:rsid w:val="00F2720D"/>
    <w:rsid w:val="00F65964"/>
    <w:rsid w:val="00F7373C"/>
    <w:rsid w:val="00F820AC"/>
    <w:rsid w:val="00F87EBF"/>
    <w:rsid w:val="00F94A96"/>
    <w:rsid w:val="00F96F53"/>
    <w:rsid w:val="00F97285"/>
    <w:rsid w:val="00FA111F"/>
    <w:rsid w:val="00FA2DD5"/>
    <w:rsid w:val="00FA71C0"/>
    <w:rsid w:val="00FB6E98"/>
    <w:rsid w:val="00FC60C1"/>
    <w:rsid w:val="00FC7243"/>
    <w:rsid w:val="00FC7CCC"/>
    <w:rsid w:val="00FD1E59"/>
    <w:rsid w:val="00FE1169"/>
    <w:rsid w:val="00FE28D8"/>
    <w:rsid w:val="00FE7342"/>
    <w:rsid w:val="00FF0414"/>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5969C89"/>
  <w15:docId w15:val="{A18442C7-7CC1-4B57-9874-AF33C20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styleId="ListParagraph">
    <w:name w:val="List Paragraph"/>
    <w:basedOn w:val="Normal"/>
    <w:link w:val="ListParagraphChar"/>
    <w:uiPriority w:val="34"/>
    <w:qFormat/>
    <w:rsid w:val="002A45FE"/>
    <w:pPr>
      <w:ind w:left="720"/>
    </w:pPr>
    <w:rPr>
      <w:rFonts w:ascii="Calibri" w:eastAsia="Calibri" w:hAnsi="Calibri"/>
      <w:szCs w:val="22"/>
    </w:rPr>
  </w:style>
  <w:style w:type="paragraph" w:styleId="FootnoteText">
    <w:name w:val="footnote text"/>
    <w:basedOn w:val="Normal"/>
    <w:link w:val="FootnoteTextChar"/>
    <w:rsid w:val="00D07DA5"/>
    <w:rPr>
      <w:sz w:val="20"/>
    </w:rPr>
  </w:style>
  <w:style w:type="character" w:customStyle="1" w:styleId="FootnoteTextChar">
    <w:name w:val="Footnote Text Char"/>
    <w:link w:val="FootnoteText"/>
    <w:rsid w:val="00D07DA5"/>
    <w:rPr>
      <w:lang w:val="en-US" w:eastAsia="en-US"/>
    </w:rPr>
  </w:style>
  <w:style w:type="character" w:styleId="FootnoteReference">
    <w:name w:val="footnote reference"/>
    <w:rsid w:val="00D07DA5"/>
    <w:rPr>
      <w:vertAlign w:val="superscript"/>
    </w:rPr>
  </w:style>
  <w:style w:type="character" w:customStyle="1" w:styleId="HeaderChar">
    <w:name w:val="Header Char"/>
    <w:link w:val="Header"/>
    <w:uiPriority w:val="99"/>
    <w:rsid w:val="00D649AF"/>
    <w:rPr>
      <w:sz w:val="22"/>
    </w:rPr>
  </w:style>
  <w:style w:type="character" w:styleId="CommentReference">
    <w:name w:val="annotation reference"/>
    <w:basedOn w:val="DefaultParagraphFont"/>
    <w:semiHidden/>
    <w:unhideWhenUsed/>
    <w:rsid w:val="00124895"/>
    <w:rPr>
      <w:sz w:val="16"/>
      <w:szCs w:val="16"/>
    </w:rPr>
  </w:style>
  <w:style w:type="paragraph" w:styleId="CommentText">
    <w:name w:val="annotation text"/>
    <w:basedOn w:val="Normal"/>
    <w:link w:val="CommentTextChar"/>
    <w:semiHidden/>
    <w:unhideWhenUsed/>
    <w:rsid w:val="00124895"/>
    <w:rPr>
      <w:sz w:val="20"/>
    </w:rPr>
  </w:style>
  <w:style w:type="character" w:customStyle="1" w:styleId="CommentTextChar">
    <w:name w:val="Comment Text Char"/>
    <w:basedOn w:val="DefaultParagraphFont"/>
    <w:link w:val="CommentText"/>
    <w:semiHidden/>
    <w:rsid w:val="00124895"/>
  </w:style>
  <w:style w:type="paragraph" w:styleId="CommentSubject">
    <w:name w:val="annotation subject"/>
    <w:basedOn w:val="CommentText"/>
    <w:next w:val="CommentText"/>
    <w:link w:val="CommentSubjectChar"/>
    <w:semiHidden/>
    <w:unhideWhenUsed/>
    <w:rsid w:val="00124895"/>
    <w:rPr>
      <w:b/>
      <w:bCs/>
    </w:rPr>
  </w:style>
  <w:style w:type="character" w:customStyle="1" w:styleId="CommentSubjectChar">
    <w:name w:val="Comment Subject Char"/>
    <w:basedOn w:val="CommentTextChar"/>
    <w:link w:val="CommentSubject"/>
    <w:semiHidden/>
    <w:rsid w:val="00124895"/>
    <w:rPr>
      <w:b/>
      <w:bCs/>
    </w:rPr>
  </w:style>
  <w:style w:type="paragraph" w:styleId="BodyTextIndent3">
    <w:name w:val="Body Text Indent 3"/>
    <w:basedOn w:val="Normal"/>
    <w:link w:val="BodyTextIndent3Char"/>
    <w:semiHidden/>
    <w:unhideWhenUsed/>
    <w:rsid w:val="00EE508E"/>
    <w:pPr>
      <w:spacing w:after="120"/>
      <w:ind w:left="283"/>
    </w:pPr>
    <w:rPr>
      <w:sz w:val="16"/>
      <w:szCs w:val="16"/>
    </w:rPr>
  </w:style>
  <w:style w:type="character" w:customStyle="1" w:styleId="BodyTextIndent3Char">
    <w:name w:val="Body Text Indent 3 Char"/>
    <w:basedOn w:val="DefaultParagraphFont"/>
    <w:link w:val="BodyTextIndent3"/>
    <w:semiHidden/>
    <w:rsid w:val="00EE508E"/>
    <w:rPr>
      <w:sz w:val="16"/>
      <w:szCs w:val="16"/>
    </w:rPr>
  </w:style>
  <w:style w:type="character" w:customStyle="1" w:styleId="ListParagraphChar">
    <w:name w:val="List Paragraph Char"/>
    <w:link w:val="ListParagraph"/>
    <w:uiPriority w:val="34"/>
    <w:locked/>
    <w:rsid w:val="00EE508E"/>
    <w:rPr>
      <w:rFonts w:ascii="Calibri" w:eastAsia="Calibri" w:hAnsi="Calibri"/>
      <w:sz w:val="22"/>
      <w:szCs w:val="22"/>
    </w:rPr>
  </w:style>
  <w:style w:type="character" w:customStyle="1" w:styleId="Heading3Char">
    <w:name w:val="Heading 3 Char"/>
    <w:locked/>
    <w:rsid w:val="00EE508E"/>
    <w:rPr>
      <w:rFonts w:ascii="Cambria" w:hAnsi="Cambria" w:cs="Times New Roman" w:hint="default"/>
      <w:b/>
      <w:bCs/>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125860052">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68372130">
      <w:bodyDiv w:val="1"/>
      <w:marLeft w:val="0"/>
      <w:marRight w:val="0"/>
      <w:marTop w:val="0"/>
      <w:marBottom w:val="0"/>
      <w:divBdr>
        <w:top w:val="none" w:sz="0" w:space="0" w:color="auto"/>
        <w:left w:val="none" w:sz="0" w:space="0" w:color="auto"/>
        <w:bottom w:val="none" w:sz="0" w:space="0" w:color="auto"/>
        <w:right w:val="none" w:sz="0" w:space="0" w:color="auto"/>
      </w:divBdr>
    </w:div>
    <w:div w:id="919292154">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196887827">
      <w:bodyDiv w:val="1"/>
      <w:marLeft w:val="0"/>
      <w:marRight w:val="0"/>
      <w:marTop w:val="0"/>
      <w:marBottom w:val="0"/>
      <w:divBdr>
        <w:top w:val="none" w:sz="0" w:space="0" w:color="auto"/>
        <w:left w:val="none" w:sz="0" w:space="0" w:color="auto"/>
        <w:bottom w:val="none" w:sz="0" w:space="0" w:color="auto"/>
        <w:right w:val="none" w:sz="0" w:space="0" w:color="auto"/>
      </w:divBdr>
    </w:div>
    <w:div w:id="1295061858">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940142386">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4275-BFAA-4EB4-8FAA-E8E14D6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2014-04-28T12:53:00Z</cp:lastPrinted>
  <dcterms:created xsi:type="dcterms:W3CDTF">2021-11-06T01:41:00Z</dcterms:created>
  <dcterms:modified xsi:type="dcterms:W3CDTF">2021-11-06T01:42:00Z</dcterms:modified>
</cp:coreProperties>
</file>