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7A0" w14:textId="77777777" w:rsidR="00444642" w:rsidRPr="00E81D2C" w:rsidRDefault="008B76CB" w:rsidP="0081056B">
      <w:pPr>
        <w:tabs>
          <w:tab w:val="left" w:pos="7200"/>
        </w:tabs>
        <w:spacing w:after="0" w:line="240" w:lineRule="auto"/>
        <w:ind w:right="-1109"/>
        <w:rPr>
          <w:rFonts w:ascii="Times New Roman" w:hAnsi="Times New Roman"/>
          <w:lang w:val="fr-FR"/>
        </w:rPr>
      </w:pPr>
      <w:r>
        <w:rPr>
          <w:rFonts w:ascii="Times New Roman" w:hAnsi="Times New Roman"/>
        </w:rPr>
        <w:object w:dxaOrig="1440" w:dyaOrig="1440" w14:anchorId="070F6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33.85pt;margin-top:-45.45pt;width:320.1pt;height:28.05pt;z-index:251660288;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1030" DrawAspect="Content" ObjectID="_1699866384" r:id="rId8"/>
        </w:object>
      </w:r>
      <w:r w:rsidR="00444642" w:rsidRPr="00E81D2C">
        <w:rPr>
          <w:rFonts w:ascii="Times New Roman" w:hAnsi="Times New Roman"/>
          <w:lang w:val="fr-FR"/>
        </w:rPr>
        <w:t>CINQUANTE-ET-UNIÈME SESSION ORDINAIRE</w:t>
      </w:r>
      <w:r w:rsidR="00444642" w:rsidRPr="00E81D2C">
        <w:rPr>
          <w:rFonts w:ascii="Times New Roman" w:hAnsi="Times New Roman"/>
          <w:lang w:val="fr-FR"/>
        </w:rPr>
        <w:tab/>
        <w:t>OEA/</w:t>
      </w:r>
      <w:proofErr w:type="spellStart"/>
      <w:r w:rsidR="00444642" w:rsidRPr="00E81D2C">
        <w:rPr>
          <w:rFonts w:ascii="Times New Roman" w:hAnsi="Times New Roman"/>
          <w:lang w:val="fr-FR"/>
        </w:rPr>
        <w:t>Ser.P</w:t>
      </w:r>
      <w:proofErr w:type="spellEnd"/>
    </w:p>
    <w:p w14:paraId="5080EBF7" w14:textId="44171A92" w:rsidR="00444642" w:rsidRPr="00E81D2C" w:rsidRDefault="00444642" w:rsidP="0081056B">
      <w:pPr>
        <w:tabs>
          <w:tab w:val="left" w:pos="7200"/>
        </w:tabs>
        <w:spacing w:after="0" w:line="240" w:lineRule="auto"/>
        <w:ind w:right="-1109"/>
        <w:jc w:val="both"/>
        <w:rPr>
          <w:rFonts w:ascii="Times New Roman" w:hAnsi="Times New Roman"/>
          <w:lang w:val="fr-FR"/>
        </w:rPr>
      </w:pPr>
      <w:r w:rsidRPr="00E81D2C">
        <w:rPr>
          <w:rFonts w:ascii="Times New Roman" w:hAnsi="Times New Roman"/>
          <w:lang w:val="fr-FR"/>
        </w:rPr>
        <w:t>Du 10 au 12 novembre 2021</w:t>
      </w:r>
      <w:r w:rsidRPr="00E81D2C">
        <w:rPr>
          <w:rFonts w:ascii="Times New Roman" w:hAnsi="Times New Roman"/>
          <w:lang w:val="fr-FR"/>
        </w:rPr>
        <w:tab/>
        <w:t>AG/doc.5744/21</w:t>
      </w:r>
      <w:r w:rsidR="0081056B">
        <w:rPr>
          <w:rFonts w:ascii="Times New Roman" w:hAnsi="Times New Roman"/>
          <w:lang w:val="fr-FR"/>
        </w:rPr>
        <w:t xml:space="preserve"> </w:t>
      </w:r>
      <w:proofErr w:type="spellStart"/>
      <w:r w:rsidR="0081056B">
        <w:rPr>
          <w:rFonts w:ascii="Times New Roman" w:hAnsi="Times New Roman"/>
          <w:lang w:val="fr-FR"/>
        </w:rPr>
        <w:t>rev</w:t>
      </w:r>
      <w:proofErr w:type="spellEnd"/>
      <w:r w:rsidR="0081056B">
        <w:rPr>
          <w:rFonts w:ascii="Times New Roman" w:hAnsi="Times New Roman"/>
          <w:lang w:val="fr-FR"/>
        </w:rPr>
        <w:t>. 1</w:t>
      </w:r>
    </w:p>
    <w:p w14:paraId="7CE95092" w14:textId="37C26F79" w:rsidR="00444642" w:rsidRPr="00E81D2C" w:rsidRDefault="00444642" w:rsidP="0081056B">
      <w:pPr>
        <w:tabs>
          <w:tab w:val="left" w:pos="7200"/>
        </w:tabs>
        <w:spacing w:after="0" w:line="240" w:lineRule="auto"/>
        <w:ind w:right="-1109"/>
        <w:rPr>
          <w:rFonts w:ascii="Times New Roman" w:hAnsi="Times New Roman"/>
          <w:lang w:val="fr-FR"/>
        </w:rPr>
      </w:pPr>
      <w:r w:rsidRPr="00E81D2C">
        <w:rPr>
          <w:rFonts w:ascii="Times New Roman" w:hAnsi="Times New Roman"/>
          <w:color w:val="0D0C12"/>
          <w:lang w:val="fr-FR"/>
        </w:rPr>
        <w:t>Guatemala</w:t>
      </w:r>
      <w:r w:rsidRPr="00E81D2C">
        <w:rPr>
          <w:rFonts w:ascii="Times New Roman" w:hAnsi="Times New Roman"/>
          <w:lang w:val="fr-FR"/>
        </w:rPr>
        <w:t xml:space="preserve">, République du </w:t>
      </w:r>
      <w:r w:rsidRPr="00E81D2C">
        <w:rPr>
          <w:rFonts w:ascii="Times New Roman" w:hAnsi="Times New Roman"/>
          <w:color w:val="0D0C12"/>
          <w:lang w:val="fr-FR"/>
        </w:rPr>
        <w:t>Guatemala</w:t>
      </w:r>
      <w:r w:rsidRPr="00E81D2C">
        <w:rPr>
          <w:rFonts w:ascii="Times New Roman" w:hAnsi="Times New Roman"/>
          <w:lang w:val="fr-FR"/>
        </w:rPr>
        <w:tab/>
      </w:r>
      <w:r w:rsidR="0081056B">
        <w:rPr>
          <w:rFonts w:ascii="Times New Roman" w:hAnsi="Times New Roman"/>
          <w:lang w:val="fr-FR"/>
        </w:rPr>
        <w:t>23</w:t>
      </w:r>
      <w:r w:rsidRPr="00E81D2C">
        <w:rPr>
          <w:rFonts w:ascii="Times New Roman" w:hAnsi="Times New Roman"/>
          <w:lang w:val="fr-FR"/>
        </w:rPr>
        <w:t xml:space="preserve"> novembre 2021</w:t>
      </w:r>
    </w:p>
    <w:p w14:paraId="1DC4FC2F" w14:textId="0D9C901E" w:rsidR="00444642" w:rsidRPr="00E81D2C" w:rsidRDefault="00444642" w:rsidP="0081056B">
      <w:pPr>
        <w:tabs>
          <w:tab w:val="left" w:pos="7200"/>
        </w:tabs>
        <w:spacing w:after="0" w:line="240" w:lineRule="auto"/>
        <w:ind w:right="-1109"/>
        <w:rPr>
          <w:rFonts w:ascii="Times New Roman" w:hAnsi="Times New Roman"/>
          <w:lang w:val="fr-FR"/>
        </w:rPr>
      </w:pPr>
      <w:r w:rsidRPr="00E81D2C">
        <w:rPr>
          <w:rFonts w:ascii="Times New Roman" w:hAnsi="Times New Roman"/>
          <w:lang w:val="fr-FR"/>
        </w:rPr>
        <w:t>VIRTUELLE</w:t>
      </w:r>
      <w:r w:rsidRPr="00E81D2C">
        <w:rPr>
          <w:rFonts w:ascii="Times New Roman" w:hAnsi="Times New Roman"/>
          <w:lang w:val="fr-FR"/>
        </w:rPr>
        <w:tab/>
      </w:r>
      <w:r w:rsidR="0081056B" w:rsidRPr="00E81D2C">
        <w:rPr>
          <w:rFonts w:ascii="Times New Roman" w:hAnsi="Times New Roman"/>
          <w:lang w:val="fr-FR"/>
        </w:rPr>
        <w:t>Original :</w:t>
      </w:r>
      <w:r w:rsidRPr="00E81D2C">
        <w:rPr>
          <w:rFonts w:ascii="Times New Roman" w:hAnsi="Times New Roman"/>
          <w:lang w:val="fr-FR"/>
        </w:rPr>
        <w:t xml:space="preserve"> espagnol</w:t>
      </w:r>
    </w:p>
    <w:p w14:paraId="31EEE24E" w14:textId="77777777" w:rsidR="00EF296C" w:rsidRPr="00E81D2C" w:rsidRDefault="00EF296C" w:rsidP="0081056B">
      <w:pPr>
        <w:tabs>
          <w:tab w:val="left" w:pos="7200"/>
        </w:tabs>
        <w:spacing w:after="0" w:line="240" w:lineRule="auto"/>
        <w:ind w:right="-29"/>
        <w:rPr>
          <w:rFonts w:ascii="Times New Roman" w:eastAsia="Times New Roman" w:hAnsi="Times New Roman"/>
          <w:lang w:val="fr-FR"/>
        </w:rPr>
      </w:pPr>
    </w:p>
    <w:p w14:paraId="346CA17B" w14:textId="77777777" w:rsidR="00157056" w:rsidRPr="00AF7AE0" w:rsidRDefault="00157056" w:rsidP="0081056B">
      <w:pPr>
        <w:tabs>
          <w:tab w:val="left" w:pos="7200"/>
        </w:tabs>
        <w:spacing w:after="0" w:line="240" w:lineRule="auto"/>
        <w:ind w:right="-479"/>
        <w:jc w:val="right"/>
        <w:rPr>
          <w:rFonts w:ascii="Times New Roman" w:hAnsi="Times New Roman"/>
          <w:u w:val="single"/>
          <w:lang w:val="fr-FR"/>
        </w:rPr>
      </w:pPr>
      <w:r w:rsidRPr="00E81D2C">
        <w:rPr>
          <w:rFonts w:ascii="Times New Roman" w:hAnsi="Times New Roman"/>
          <w:u w:val="single"/>
          <w:lang w:val="fr-FR"/>
        </w:rPr>
        <w:t>Point 4 de l’ordre du jour</w:t>
      </w:r>
    </w:p>
    <w:p w14:paraId="467BA8AD" w14:textId="77777777" w:rsidR="00157056" w:rsidRDefault="00157056" w:rsidP="0081056B">
      <w:pPr>
        <w:spacing w:after="0" w:line="240" w:lineRule="auto"/>
        <w:rPr>
          <w:rFonts w:ascii="Times New Roman" w:hAnsi="Times New Roman"/>
          <w:lang w:val="fr-FR"/>
        </w:rPr>
      </w:pPr>
    </w:p>
    <w:p w14:paraId="32EB512E" w14:textId="77777777" w:rsidR="00AF7AE0" w:rsidRPr="00AF7AE0" w:rsidRDefault="00AF7AE0" w:rsidP="0081056B">
      <w:pPr>
        <w:spacing w:after="0" w:line="240" w:lineRule="auto"/>
        <w:rPr>
          <w:rFonts w:ascii="Times New Roman" w:hAnsi="Times New Roman"/>
          <w:lang w:val="fr-FR"/>
        </w:rPr>
      </w:pPr>
    </w:p>
    <w:p w14:paraId="08962928" w14:textId="77777777" w:rsidR="00AF7AE0" w:rsidRPr="00AF7AE0" w:rsidRDefault="00AF7AE0" w:rsidP="0081056B">
      <w:pPr>
        <w:spacing w:after="0" w:line="240" w:lineRule="auto"/>
        <w:rPr>
          <w:rFonts w:ascii="Times New Roman" w:hAnsi="Times New Roman"/>
          <w:lang w:val="fr-FR"/>
        </w:rPr>
      </w:pPr>
    </w:p>
    <w:p w14:paraId="03B59609" w14:textId="77777777" w:rsidR="00157056" w:rsidRPr="00AF7AE0" w:rsidRDefault="00157056" w:rsidP="0081056B">
      <w:pPr>
        <w:spacing w:after="0" w:line="240" w:lineRule="auto"/>
        <w:jc w:val="center"/>
        <w:rPr>
          <w:rFonts w:ascii="Times New Roman" w:hAnsi="Times New Roman"/>
          <w:lang w:val="fr-FR"/>
        </w:rPr>
      </w:pPr>
      <w:r w:rsidRPr="00AF7AE0">
        <w:rPr>
          <w:rFonts w:ascii="Times New Roman" w:hAnsi="Times New Roman"/>
          <w:lang w:val="fr-FR"/>
        </w:rPr>
        <w:t>RAPPORT DU SECRÉTAIRE GÉNÉRAL SUR LA</w:t>
      </w:r>
      <w:r w:rsidRPr="00AF7AE0">
        <w:rPr>
          <w:rFonts w:ascii="Times New Roman" w:hAnsi="Times New Roman"/>
          <w:lang w:val="fr-FR"/>
        </w:rPr>
        <w:br/>
        <w:t xml:space="preserve">PRÉSENTATION DES LETTRES DE CRÉANCES DES DÉLÉGATIONS PARTICIPANT </w:t>
      </w:r>
    </w:p>
    <w:p w14:paraId="68499B14" w14:textId="1AC9D26C" w:rsidR="00157056" w:rsidRPr="0081056B" w:rsidRDefault="00157056" w:rsidP="0081056B">
      <w:pPr>
        <w:spacing w:after="0" w:line="240" w:lineRule="auto"/>
        <w:jc w:val="center"/>
        <w:rPr>
          <w:rFonts w:ascii="Times New Roman" w:hAnsi="Times New Roman"/>
        </w:rPr>
      </w:pPr>
      <w:r w:rsidRPr="00AF7AE0">
        <w:rPr>
          <w:rFonts w:ascii="Times New Roman" w:hAnsi="Times New Roman"/>
          <w:lang w:val="fr-FR"/>
        </w:rPr>
        <w:t>À LA QUARANTE-</w:t>
      </w:r>
      <w:r w:rsidR="001865E3" w:rsidRPr="001865E3">
        <w:rPr>
          <w:rFonts w:ascii="Times New Roman" w:eastAsia="Times New Roman" w:hAnsi="Times New Roman"/>
          <w:lang w:eastAsia="en-US"/>
        </w:rPr>
        <w:t xml:space="preserve"> NEUVIÈME</w:t>
      </w:r>
      <w:r w:rsidR="00EF296C" w:rsidRPr="00AF7AE0">
        <w:rPr>
          <w:rFonts w:ascii="Times New Roman" w:hAnsi="Times New Roman"/>
          <w:lang w:val="fr-FR"/>
        </w:rPr>
        <w:t xml:space="preserve"> </w:t>
      </w:r>
      <w:r w:rsidRPr="00AF7AE0">
        <w:rPr>
          <w:rFonts w:ascii="Times New Roman" w:hAnsi="Times New Roman"/>
          <w:lang w:val="fr-FR"/>
        </w:rPr>
        <w:t>SESSION DE L’ASSEMBLÉE GÉNÉRALE</w:t>
      </w:r>
      <w:r w:rsidR="0081056B" w:rsidRPr="00AF7AE0">
        <w:rPr>
          <w:rStyle w:val="FootnoteReference"/>
          <w:rFonts w:ascii="Times New Roman" w:hAnsi="Times New Roman"/>
          <w:u w:val="single"/>
          <w:vertAlign w:val="superscript"/>
          <w:lang w:val="fr-FR"/>
        </w:rPr>
        <w:footnoteReference w:id="1"/>
      </w:r>
      <w:r w:rsidR="0081056B" w:rsidRPr="00AF7AE0">
        <w:rPr>
          <w:rFonts w:ascii="Times New Roman" w:hAnsi="Times New Roman"/>
          <w:vertAlign w:val="superscript"/>
          <w:lang w:val="fr-FR"/>
        </w:rPr>
        <w:t>/</w:t>
      </w:r>
      <w:r w:rsidR="0081056B" w:rsidRPr="00AF7AE0">
        <w:rPr>
          <w:rStyle w:val="FootnoteReference"/>
          <w:rFonts w:ascii="Times New Roman" w:hAnsi="Times New Roman"/>
          <w:u w:val="single"/>
          <w:vertAlign w:val="superscript"/>
          <w:lang w:val="fr-FR"/>
        </w:rPr>
        <w:footnoteReference w:id="2"/>
      </w:r>
      <w:r w:rsidR="0081056B" w:rsidRPr="00AF7AE0">
        <w:rPr>
          <w:rFonts w:ascii="Times New Roman" w:hAnsi="Times New Roman"/>
          <w:vertAlign w:val="superscript"/>
          <w:lang w:val="fr-FR"/>
        </w:rPr>
        <w:t>/</w:t>
      </w:r>
      <w:r w:rsidR="0081056B" w:rsidRPr="00AF7AE0">
        <w:rPr>
          <w:rStyle w:val="FootnoteReference"/>
          <w:rFonts w:ascii="Times New Roman" w:hAnsi="Times New Roman"/>
          <w:u w:val="single"/>
          <w:vertAlign w:val="superscript"/>
          <w:lang w:val="fr-FR"/>
        </w:rPr>
        <w:footnoteReference w:id="3"/>
      </w:r>
      <w:r w:rsidR="0081056B" w:rsidRPr="00AF7AE0">
        <w:rPr>
          <w:rFonts w:ascii="Times New Roman" w:hAnsi="Times New Roman"/>
          <w:vertAlign w:val="superscript"/>
          <w:lang w:val="fr-FR"/>
        </w:rPr>
        <w:t>/</w:t>
      </w:r>
      <w:r w:rsidR="0081056B" w:rsidRPr="00AF7AE0">
        <w:rPr>
          <w:rStyle w:val="FootnoteReference"/>
          <w:rFonts w:ascii="Times New Roman" w:hAnsi="Times New Roman"/>
          <w:u w:val="single"/>
          <w:vertAlign w:val="superscript"/>
          <w:lang w:val="fr-FR"/>
        </w:rPr>
        <w:footnoteReference w:id="4"/>
      </w:r>
      <w:r w:rsidR="0081056B" w:rsidRPr="00AF7AE0">
        <w:rPr>
          <w:rFonts w:ascii="Times New Roman" w:hAnsi="Times New Roman"/>
          <w:vertAlign w:val="superscript"/>
          <w:lang w:val="fr-FR"/>
        </w:rPr>
        <w:t>/</w:t>
      </w:r>
      <w:r w:rsidR="0081056B" w:rsidRPr="00AF7AE0">
        <w:rPr>
          <w:rStyle w:val="FootnoteReference"/>
          <w:rFonts w:ascii="Times New Roman" w:hAnsi="Times New Roman"/>
          <w:u w:val="single"/>
          <w:vertAlign w:val="superscript"/>
          <w:lang w:val="fr-FR"/>
        </w:rPr>
        <w:footnoteReference w:id="5"/>
      </w:r>
      <w:r w:rsidR="0081056B" w:rsidRPr="00AF7AE0">
        <w:rPr>
          <w:rFonts w:ascii="Times New Roman" w:hAnsi="Times New Roman"/>
          <w:vertAlign w:val="superscript"/>
          <w:lang w:val="fr-FR"/>
        </w:rPr>
        <w:t>/</w:t>
      </w:r>
      <w:r w:rsidR="0081056B" w:rsidRPr="00AF7AE0">
        <w:rPr>
          <w:rStyle w:val="FootnoteReference"/>
          <w:rFonts w:ascii="Times New Roman" w:hAnsi="Times New Roman"/>
          <w:u w:val="single"/>
          <w:vertAlign w:val="superscript"/>
          <w:lang w:val="fr-FR"/>
        </w:rPr>
        <w:footnoteReference w:id="6"/>
      </w:r>
      <w:r w:rsidR="0081056B" w:rsidRPr="00AF7AE0">
        <w:rPr>
          <w:rFonts w:ascii="Times New Roman" w:hAnsi="Times New Roman"/>
          <w:vertAlign w:val="superscript"/>
          <w:lang w:val="fr-FR"/>
        </w:rPr>
        <w:t>/</w:t>
      </w:r>
      <w:r w:rsidR="0081056B" w:rsidRPr="00AF7AE0">
        <w:rPr>
          <w:rStyle w:val="FootnoteReference"/>
          <w:rFonts w:ascii="Times New Roman" w:hAnsi="Times New Roman"/>
          <w:u w:val="single"/>
          <w:vertAlign w:val="superscript"/>
          <w:lang w:val="fr-FR"/>
        </w:rPr>
        <w:footnoteReference w:id="7"/>
      </w:r>
      <w:r w:rsidR="0081056B" w:rsidRPr="00AF7AE0">
        <w:rPr>
          <w:rFonts w:ascii="Times New Roman" w:hAnsi="Times New Roman"/>
          <w:vertAlign w:val="superscript"/>
          <w:lang w:val="fr-FR"/>
        </w:rPr>
        <w:t>/</w:t>
      </w:r>
      <w:r w:rsidR="0081056B" w:rsidRPr="00AF7AE0">
        <w:rPr>
          <w:rStyle w:val="FootnoteReference"/>
          <w:rFonts w:ascii="Times New Roman" w:hAnsi="Times New Roman"/>
          <w:u w:val="single"/>
          <w:vertAlign w:val="superscript"/>
          <w:lang w:val="fr-FR"/>
        </w:rPr>
        <w:footnoteReference w:id="8"/>
      </w:r>
      <w:r w:rsidR="0081056B" w:rsidRPr="00AF7AE0">
        <w:rPr>
          <w:rFonts w:ascii="Times New Roman" w:hAnsi="Times New Roman"/>
          <w:vertAlign w:val="superscript"/>
          <w:lang w:val="fr-FR"/>
        </w:rPr>
        <w:t>/</w:t>
      </w:r>
      <w:r w:rsidR="0081056B" w:rsidRPr="00AF7AE0">
        <w:rPr>
          <w:rStyle w:val="FootnoteReference"/>
          <w:rFonts w:ascii="Times New Roman" w:hAnsi="Times New Roman"/>
          <w:u w:val="single"/>
          <w:vertAlign w:val="superscript"/>
          <w:lang w:val="fr-FR"/>
        </w:rPr>
        <w:footnoteReference w:id="9"/>
      </w:r>
      <w:r w:rsidR="0081056B" w:rsidRPr="00AF7AE0">
        <w:rPr>
          <w:rFonts w:ascii="Times New Roman" w:hAnsi="Times New Roman"/>
          <w:vertAlign w:val="superscript"/>
          <w:lang w:val="fr-FR"/>
        </w:rPr>
        <w:t>/</w:t>
      </w:r>
      <w:r w:rsidR="0081056B" w:rsidRPr="00AF7AE0">
        <w:rPr>
          <w:rStyle w:val="FootnoteReference"/>
          <w:rFonts w:ascii="Times New Roman" w:hAnsi="Times New Roman"/>
          <w:u w:val="single"/>
          <w:vertAlign w:val="superscript"/>
          <w:lang w:val="fr-FR"/>
        </w:rPr>
        <w:footnoteReference w:id="10"/>
      </w:r>
      <w:r w:rsidR="0081056B" w:rsidRPr="00AF7AE0">
        <w:rPr>
          <w:rFonts w:ascii="Times New Roman" w:hAnsi="Times New Roman"/>
          <w:vertAlign w:val="superscript"/>
          <w:lang w:val="fr-FR"/>
        </w:rPr>
        <w:t>/</w:t>
      </w:r>
    </w:p>
    <w:p w14:paraId="2A78AC01" w14:textId="77777777" w:rsidR="00AF7AE0" w:rsidRPr="00AF7AE0" w:rsidRDefault="00AF7AE0" w:rsidP="0081056B">
      <w:pPr>
        <w:tabs>
          <w:tab w:val="left" w:pos="720"/>
          <w:tab w:val="left" w:pos="1440"/>
          <w:tab w:val="left" w:pos="2160"/>
          <w:tab w:val="left" w:pos="2880"/>
          <w:tab w:val="left" w:pos="6480"/>
          <w:tab w:val="left" w:pos="7200"/>
          <w:tab w:val="left" w:pos="7920"/>
          <w:tab w:val="left" w:pos="8640"/>
        </w:tabs>
        <w:spacing w:after="0" w:line="240" w:lineRule="auto"/>
        <w:rPr>
          <w:rFonts w:ascii="Times New Roman" w:hAnsi="Times New Roman"/>
          <w:lang w:val="fr-FR"/>
        </w:rPr>
      </w:pPr>
    </w:p>
    <w:p w14:paraId="726B759B" w14:textId="4563247C" w:rsidR="00AF7AE0" w:rsidRPr="00AF7AE0" w:rsidRDefault="00AF7AE0" w:rsidP="0081056B">
      <w:pPr>
        <w:tabs>
          <w:tab w:val="left" w:pos="720"/>
          <w:tab w:val="left" w:pos="1440"/>
          <w:tab w:val="left" w:pos="2160"/>
          <w:tab w:val="left" w:pos="2880"/>
          <w:tab w:val="left" w:pos="6480"/>
          <w:tab w:val="left" w:pos="7200"/>
          <w:tab w:val="left" w:pos="7920"/>
          <w:tab w:val="left" w:pos="8640"/>
        </w:tabs>
        <w:spacing w:after="0" w:line="240" w:lineRule="auto"/>
        <w:rPr>
          <w:rFonts w:ascii="Times New Roman" w:hAnsi="Times New Roman"/>
          <w:lang w:val="fr-FR"/>
        </w:rPr>
      </w:pPr>
    </w:p>
    <w:p w14:paraId="1F8BB3F2" w14:textId="77777777" w:rsidR="00157056" w:rsidRPr="00AF7AE0" w:rsidRDefault="00157056" w:rsidP="0081056B">
      <w:pPr>
        <w:spacing w:after="0" w:line="240" w:lineRule="auto"/>
        <w:jc w:val="both"/>
        <w:rPr>
          <w:rFonts w:ascii="Times New Roman" w:hAnsi="Times New Roman"/>
          <w:lang w:val="fr-FR"/>
        </w:rPr>
      </w:pPr>
      <w:r w:rsidRPr="00AF7AE0">
        <w:rPr>
          <w:rFonts w:ascii="Times New Roman" w:hAnsi="Times New Roman"/>
          <w:lang w:val="fr-FR"/>
        </w:rPr>
        <w:tab/>
        <w:t xml:space="preserve">Conformément aux dispositions de l’article 27 du Règlement de l’Assemblée générale, j’ai l’honneur d’informer la plénière que tous les pouvoirs présentés par les délégations des États membres et ceux des pays Observateurs permanents auprès de l’Organisation des États Américains ont été </w:t>
      </w:r>
      <w:r w:rsidR="008B279F">
        <w:rPr>
          <w:rFonts w:ascii="Times New Roman" w:hAnsi="Times New Roman"/>
          <w:lang w:val="fr-FR"/>
        </w:rPr>
        <w:t>reçus et enregistrés</w:t>
      </w:r>
      <w:r w:rsidRPr="00AF7AE0">
        <w:rPr>
          <w:rFonts w:ascii="Times New Roman" w:hAnsi="Times New Roman"/>
          <w:lang w:val="fr-FR"/>
        </w:rPr>
        <w:t>.</w:t>
      </w:r>
    </w:p>
    <w:p w14:paraId="4D830F79" w14:textId="090E3672" w:rsidR="00157056" w:rsidRPr="00AF7AE0" w:rsidRDefault="00157056" w:rsidP="0081056B">
      <w:pPr>
        <w:spacing w:after="0" w:line="240" w:lineRule="auto"/>
        <w:jc w:val="both"/>
        <w:rPr>
          <w:rFonts w:ascii="Times New Roman" w:hAnsi="Times New Roman"/>
          <w:lang w:val="fr-FR"/>
        </w:rPr>
      </w:pPr>
    </w:p>
    <w:p w14:paraId="37F57684" w14:textId="01888C97" w:rsidR="00157056" w:rsidRPr="00AF7AE0" w:rsidRDefault="00157056" w:rsidP="0081056B">
      <w:pPr>
        <w:pStyle w:val="BodyText"/>
        <w:spacing w:line="240" w:lineRule="auto"/>
        <w:rPr>
          <w:szCs w:val="22"/>
          <w:lang w:val="fr-FR"/>
        </w:rPr>
      </w:pPr>
      <w:r w:rsidRPr="00AF7AE0">
        <w:rPr>
          <w:szCs w:val="22"/>
          <w:lang w:val="fr-FR"/>
        </w:rPr>
        <w:tab/>
        <w:t xml:space="preserve">Ont également été </w:t>
      </w:r>
      <w:r w:rsidR="008B279F">
        <w:rPr>
          <w:szCs w:val="22"/>
          <w:lang w:val="fr-FR"/>
        </w:rPr>
        <w:t>enregistr</w:t>
      </w:r>
      <w:r w:rsidRPr="00AF7AE0">
        <w:rPr>
          <w:szCs w:val="22"/>
          <w:lang w:val="fr-FR"/>
        </w:rPr>
        <w:t>és en bonne et due forme les pouvoirs présentés par les représentants des organes, organismes et entités du système interaméricain, des entités et organismes interaméricains gouvernementaux de niveau régional ou sous-régional, des organismes spécialisés associés aux Nations Unies, ainsi que ceux des organisations internationales et des invités spéciaux.</w:t>
      </w:r>
    </w:p>
    <w:p w14:paraId="5ED06C76" w14:textId="33816DC6" w:rsidR="00157056" w:rsidRPr="00AF7AE0" w:rsidRDefault="00157056" w:rsidP="0081056B">
      <w:pPr>
        <w:pStyle w:val="BodyText"/>
        <w:spacing w:line="240" w:lineRule="auto"/>
        <w:rPr>
          <w:szCs w:val="22"/>
          <w:lang w:val="fr-FR"/>
        </w:rPr>
      </w:pPr>
    </w:p>
    <w:p w14:paraId="10C2CAEA" w14:textId="2BB2C1A1" w:rsidR="0081056B" w:rsidRDefault="00157056" w:rsidP="0081056B">
      <w:pPr>
        <w:spacing w:after="0" w:line="240" w:lineRule="auto"/>
        <w:jc w:val="both"/>
        <w:rPr>
          <w:rFonts w:ascii="Times New Roman" w:hAnsi="Times New Roman"/>
          <w:vertAlign w:val="superscript"/>
          <w:lang w:val="fr-FR"/>
        </w:rPr>
      </w:pPr>
      <w:r w:rsidRPr="00AF7AE0">
        <w:rPr>
          <w:rFonts w:ascii="Times New Roman" w:hAnsi="Times New Roman"/>
          <w:lang w:val="fr-FR"/>
        </w:rPr>
        <w:tab/>
        <w:t>Les noms de tous les participants à la présente Session ordinaire de l’Assemblée générale figurent dans la Liste des participants.</w:t>
      </w:r>
      <w:r w:rsidRPr="00AF7AE0">
        <w:rPr>
          <w:rStyle w:val="FootnoteReference"/>
          <w:rFonts w:ascii="Times New Roman" w:hAnsi="Times New Roman"/>
          <w:u w:val="single"/>
          <w:vertAlign w:val="superscript"/>
          <w:lang w:val="fr-FR"/>
        </w:rPr>
        <w:footnoteReference w:id="11"/>
      </w:r>
      <w:r w:rsidRPr="00AF7AE0">
        <w:rPr>
          <w:rFonts w:ascii="Times New Roman" w:hAnsi="Times New Roman"/>
          <w:vertAlign w:val="superscript"/>
          <w:lang w:val="fr-FR"/>
        </w:rPr>
        <w:t>/</w:t>
      </w:r>
    </w:p>
    <w:p w14:paraId="212297BA" w14:textId="61F8DA62" w:rsidR="0081056B" w:rsidRDefault="0081056B">
      <w:pPr>
        <w:spacing w:after="0" w:line="240" w:lineRule="auto"/>
        <w:rPr>
          <w:rFonts w:ascii="Times New Roman" w:hAnsi="Times New Roman"/>
          <w:vertAlign w:val="superscript"/>
          <w:lang w:val="fr-FR"/>
        </w:rPr>
      </w:pPr>
      <w:r>
        <w:rPr>
          <w:rFonts w:ascii="Times New Roman" w:hAnsi="Times New Roman"/>
          <w:vertAlign w:val="superscript"/>
          <w:lang w:val="fr-FR"/>
        </w:rPr>
        <w:br w:type="page"/>
      </w:r>
    </w:p>
    <w:p w14:paraId="1181B35F" w14:textId="77777777" w:rsidR="0081056B" w:rsidRPr="0081056B" w:rsidRDefault="0081056B" w:rsidP="0081056B">
      <w:pPr>
        <w:suppressAutoHyphens/>
        <w:spacing w:after="0" w:line="240" w:lineRule="auto"/>
        <w:jc w:val="center"/>
        <w:rPr>
          <w:rFonts w:ascii="Times New Roman" w:hAnsi="Times New Roman"/>
          <w:sz w:val="20"/>
        </w:rPr>
      </w:pPr>
      <w:r w:rsidRPr="0081056B">
        <w:rPr>
          <w:rFonts w:ascii="Times New Roman" w:hAnsi="Times New Roman"/>
          <w:sz w:val="20"/>
        </w:rPr>
        <w:lastRenderedPageBreak/>
        <w:t>NOTES DE BAS DE PAGE</w:t>
      </w:r>
    </w:p>
    <w:p w14:paraId="37CAFE08" w14:textId="77777777" w:rsidR="0081056B" w:rsidRPr="0081056B" w:rsidRDefault="0081056B" w:rsidP="0081056B">
      <w:pPr>
        <w:spacing w:after="0" w:line="240" w:lineRule="auto"/>
        <w:rPr>
          <w:rFonts w:ascii="Times New Roman" w:hAnsi="Times New Roman"/>
          <w:sz w:val="20"/>
        </w:rPr>
      </w:pPr>
    </w:p>
    <w:p w14:paraId="01804D6E" w14:textId="77777777" w:rsidR="0081056B" w:rsidRPr="0081056B" w:rsidRDefault="0081056B" w:rsidP="0081056B">
      <w:pPr>
        <w:spacing w:after="0" w:line="240" w:lineRule="auto"/>
        <w:rPr>
          <w:rFonts w:ascii="Times New Roman" w:hAnsi="Times New Roman"/>
          <w:sz w:val="20"/>
        </w:rPr>
      </w:pPr>
    </w:p>
    <w:p w14:paraId="3227243E" w14:textId="77777777" w:rsidR="0081056B" w:rsidRPr="0081056B" w:rsidRDefault="0081056B" w:rsidP="0081056B">
      <w:pPr>
        <w:pStyle w:val="FootnoteText"/>
        <w:tabs>
          <w:tab w:val="clear" w:pos="360"/>
        </w:tabs>
        <w:ind w:left="0" w:firstLine="360"/>
        <w:rPr>
          <w:rFonts w:ascii="Times New Roman" w:hAnsi="Times New Roman"/>
          <w:sz w:val="20"/>
          <w:lang w:val="fr-CA"/>
        </w:rPr>
      </w:pPr>
      <w:r w:rsidRPr="0081056B">
        <w:rPr>
          <w:rFonts w:ascii="Times New Roman" w:hAnsi="Times New Roman"/>
          <w:sz w:val="20"/>
          <w:lang w:val="fr-CA"/>
        </w:rPr>
        <w:tab/>
        <w:t>1.</w:t>
      </w:r>
      <w:r w:rsidRPr="0081056B">
        <w:rPr>
          <w:rFonts w:ascii="Times New Roman" w:hAnsi="Times New Roman"/>
          <w:sz w:val="20"/>
          <w:lang w:val="fr-CA"/>
        </w:rPr>
        <w:tab/>
        <w:t>… Cinquante-et-unième Session ordinaire de l’Assemblée générale de l’Organisation des États Américains (OEA), lesquelles constituent des actes contraires au droit international.</w:t>
      </w:r>
    </w:p>
    <w:p w14:paraId="22A6299B" w14:textId="77777777" w:rsidR="0081056B" w:rsidRPr="0081056B" w:rsidRDefault="0081056B" w:rsidP="0081056B">
      <w:pPr>
        <w:pStyle w:val="FootnoteText"/>
        <w:tabs>
          <w:tab w:val="clear" w:pos="360"/>
        </w:tabs>
        <w:ind w:left="0" w:firstLine="360"/>
        <w:rPr>
          <w:rFonts w:ascii="Times New Roman" w:hAnsi="Times New Roman"/>
          <w:sz w:val="20"/>
          <w:lang w:val="fr-CA"/>
        </w:rPr>
      </w:pPr>
    </w:p>
    <w:p w14:paraId="5B96DE6F" w14:textId="77777777" w:rsidR="0081056B" w:rsidRPr="0081056B" w:rsidRDefault="0081056B" w:rsidP="0081056B">
      <w:pPr>
        <w:pStyle w:val="FootnoteText"/>
        <w:tabs>
          <w:tab w:val="clear" w:pos="360"/>
        </w:tabs>
        <w:ind w:left="0" w:firstLine="720"/>
        <w:rPr>
          <w:rFonts w:ascii="Times New Roman" w:hAnsi="Times New Roman"/>
          <w:sz w:val="20"/>
          <w:lang w:val="fr-CA"/>
        </w:rPr>
      </w:pPr>
      <w:r w:rsidRPr="0081056B">
        <w:rPr>
          <w:rFonts w:ascii="Times New Roman" w:hAnsi="Times New Roman"/>
          <w:sz w:val="20"/>
          <w:lang w:val="fr-CA"/>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45E03695" w14:textId="77777777" w:rsidR="0081056B" w:rsidRPr="0081056B" w:rsidRDefault="0081056B" w:rsidP="0081056B">
      <w:pPr>
        <w:pStyle w:val="FootnoteText"/>
        <w:tabs>
          <w:tab w:val="clear" w:pos="360"/>
        </w:tabs>
        <w:ind w:left="0" w:firstLine="360"/>
        <w:rPr>
          <w:rFonts w:ascii="Times New Roman" w:hAnsi="Times New Roman"/>
          <w:sz w:val="20"/>
          <w:lang w:val="fr-CA"/>
        </w:rPr>
      </w:pPr>
    </w:p>
    <w:p w14:paraId="459AC3A7" w14:textId="77777777" w:rsidR="0081056B" w:rsidRPr="0081056B" w:rsidRDefault="0081056B" w:rsidP="0081056B">
      <w:pPr>
        <w:pStyle w:val="FootnoteText"/>
        <w:tabs>
          <w:tab w:val="clear" w:pos="360"/>
        </w:tabs>
        <w:ind w:left="0" w:firstLine="720"/>
        <w:rPr>
          <w:rFonts w:ascii="Times New Roman" w:hAnsi="Times New Roman"/>
          <w:sz w:val="20"/>
          <w:lang w:val="fr-CA"/>
        </w:rPr>
      </w:pPr>
      <w:r w:rsidRPr="0081056B">
        <w:rPr>
          <w:rFonts w:ascii="Times New Roman" w:hAnsi="Times New Roman"/>
          <w:sz w:val="20"/>
          <w:lang w:val="fr-CA"/>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5D50A91F" w14:textId="77777777" w:rsidR="0081056B" w:rsidRPr="0081056B" w:rsidRDefault="0081056B" w:rsidP="0081056B">
      <w:pPr>
        <w:pStyle w:val="FootnoteText"/>
        <w:tabs>
          <w:tab w:val="clear" w:pos="360"/>
        </w:tabs>
        <w:ind w:left="0" w:firstLine="360"/>
        <w:rPr>
          <w:rFonts w:ascii="Times New Roman" w:hAnsi="Times New Roman"/>
          <w:sz w:val="20"/>
          <w:lang w:val="fr-CA"/>
        </w:rPr>
      </w:pPr>
    </w:p>
    <w:p w14:paraId="7A74E0BA" w14:textId="77777777" w:rsidR="0081056B" w:rsidRPr="0081056B" w:rsidRDefault="0081056B" w:rsidP="0081056B">
      <w:pPr>
        <w:pStyle w:val="FootnoteText"/>
        <w:tabs>
          <w:tab w:val="clear" w:pos="360"/>
        </w:tabs>
        <w:ind w:left="0" w:firstLine="720"/>
        <w:rPr>
          <w:rFonts w:ascii="Times New Roman" w:hAnsi="Times New Roman"/>
          <w:sz w:val="20"/>
          <w:lang w:val="fr-CA"/>
        </w:rPr>
      </w:pPr>
      <w:r w:rsidRPr="0081056B">
        <w:rPr>
          <w:rFonts w:ascii="Times New Roman" w:hAnsi="Times New Roman"/>
          <w:sz w:val="20"/>
          <w:lang w:val="fr-CA"/>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70DE30EF" w14:textId="77777777" w:rsidR="0081056B" w:rsidRPr="0081056B" w:rsidRDefault="0081056B" w:rsidP="0081056B">
      <w:pPr>
        <w:pStyle w:val="FootnoteText"/>
        <w:tabs>
          <w:tab w:val="clear" w:pos="360"/>
        </w:tabs>
        <w:ind w:left="0" w:firstLine="360"/>
        <w:rPr>
          <w:rFonts w:ascii="Times New Roman" w:hAnsi="Times New Roman"/>
          <w:sz w:val="20"/>
          <w:lang w:val="fr-CA"/>
        </w:rPr>
      </w:pPr>
    </w:p>
    <w:p w14:paraId="17083A49" w14:textId="77777777" w:rsidR="0081056B" w:rsidRPr="0081056B" w:rsidRDefault="0081056B" w:rsidP="0081056B">
      <w:pPr>
        <w:pStyle w:val="FootnoteText"/>
        <w:tabs>
          <w:tab w:val="clear" w:pos="360"/>
        </w:tabs>
        <w:ind w:left="0" w:firstLine="720"/>
        <w:rPr>
          <w:rFonts w:ascii="Times New Roman" w:hAnsi="Times New Roman"/>
          <w:sz w:val="20"/>
          <w:lang w:val="fr-CA"/>
        </w:rPr>
      </w:pPr>
      <w:r w:rsidRPr="0081056B">
        <w:rPr>
          <w:rFonts w:ascii="Times New Roman" w:hAnsi="Times New Roman"/>
          <w:sz w:val="20"/>
          <w:lang w:val="fr-CA"/>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31B0C6EE" w14:textId="77777777" w:rsidR="0081056B" w:rsidRPr="0081056B" w:rsidRDefault="0081056B" w:rsidP="0081056B">
      <w:pPr>
        <w:pStyle w:val="FootnoteText"/>
        <w:tabs>
          <w:tab w:val="clear" w:pos="360"/>
        </w:tabs>
        <w:ind w:left="0" w:firstLine="360"/>
        <w:rPr>
          <w:rFonts w:ascii="Times New Roman" w:hAnsi="Times New Roman"/>
          <w:sz w:val="20"/>
          <w:lang w:val="fr-CA"/>
        </w:rPr>
      </w:pPr>
    </w:p>
    <w:p w14:paraId="65CC6C14" w14:textId="77777777" w:rsidR="0081056B" w:rsidRPr="0081056B" w:rsidRDefault="0081056B" w:rsidP="0081056B">
      <w:pPr>
        <w:pStyle w:val="FootnoteText"/>
        <w:tabs>
          <w:tab w:val="clear" w:pos="360"/>
        </w:tabs>
        <w:ind w:left="0" w:firstLine="720"/>
        <w:rPr>
          <w:rFonts w:ascii="Times New Roman" w:hAnsi="Times New Roman"/>
          <w:sz w:val="20"/>
          <w:lang w:val="fr-CA"/>
        </w:rPr>
      </w:pPr>
      <w:r w:rsidRPr="0081056B">
        <w:rPr>
          <w:rFonts w:ascii="Times New Roman" w:hAnsi="Times New Roman"/>
          <w:sz w:val="20"/>
          <w:lang w:val="fr-CA"/>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6E5B3060" w14:textId="77777777" w:rsidR="0081056B" w:rsidRPr="0081056B" w:rsidRDefault="0081056B" w:rsidP="0081056B">
      <w:pPr>
        <w:pStyle w:val="FootnoteText"/>
        <w:tabs>
          <w:tab w:val="clear" w:pos="360"/>
        </w:tabs>
        <w:ind w:left="0" w:firstLine="360"/>
        <w:rPr>
          <w:rFonts w:ascii="Times New Roman" w:hAnsi="Times New Roman"/>
          <w:sz w:val="20"/>
          <w:lang w:val="fr-CA"/>
        </w:rPr>
      </w:pPr>
    </w:p>
    <w:p w14:paraId="3B5BCF68" w14:textId="7593876B" w:rsidR="0081056B" w:rsidRDefault="0081056B" w:rsidP="0081056B">
      <w:pPr>
        <w:pStyle w:val="FootnoteText"/>
        <w:tabs>
          <w:tab w:val="clear" w:pos="360"/>
        </w:tabs>
        <w:ind w:left="0" w:firstLine="720"/>
        <w:rPr>
          <w:rFonts w:ascii="Times New Roman" w:hAnsi="Times New Roman"/>
          <w:sz w:val="20"/>
          <w:lang w:val="fr-CA"/>
        </w:rPr>
      </w:pPr>
      <w:r w:rsidRPr="0081056B">
        <w:rPr>
          <w:rFonts w:ascii="Times New Roman" w:hAnsi="Times New Roman"/>
          <w:sz w:val="20"/>
          <w:lang w:val="fr-CA"/>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37BF010B" w14:textId="3597CF80" w:rsidR="00255E46" w:rsidRDefault="00255E46" w:rsidP="0081056B">
      <w:pPr>
        <w:pStyle w:val="FootnoteText"/>
        <w:tabs>
          <w:tab w:val="clear" w:pos="360"/>
        </w:tabs>
        <w:ind w:left="0" w:firstLine="720"/>
        <w:rPr>
          <w:rFonts w:ascii="Times New Roman" w:hAnsi="Times New Roman"/>
          <w:sz w:val="20"/>
          <w:lang w:val="fr-CA"/>
        </w:rPr>
      </w:pPr>
    </w:p>
    <w:p w14:paraId="4B59D636" w14:textId="77777777" w:rsidR="00255E46" w:rsidRPr="00362A2B" w:rsidRDefault="00255E46" w:rsidP="00255E46">
      <w:pPr>
        <w:pStyle w:val="FootnoteText"/>
        <w:tabs>
          <w:tab w:val="clear" w:pos="360"/>
        </w:tabs>
        <w:ind w:left="0" w:firstLine="720"/>
        <w:rPr>
          <w:rFonts w:ascii="Times New Roman" w:hAnsi="Times New Roman"/>
          <w:sz w:val="20"/>
          <w:lang w:val="fr-CA"/>
        </w:rPr>
      </w:pPr>
      <w:r>
        <w:rPr>
          <w:rFonts w:ascii="Times New Roman" w:hAnsi="Times New Roman"/>
          <w:sz w:val="20"/>
          <w:lang w:val="fr-CA"/>
        </w:rPr>
        <w:t>2.</w:t>
      </w:r>
      <w:r>
        <w:rPr>
          <w:rFonts w:ascii="Times New Roman" w:hAnsi="Times New Roman"/>
          <w:sz w:val="20"/>
          <w:lang w:val="fr-CA"/>
        </w:rPr>
        <w:tab/>
        <w:t xml:space="preserve">… </w:t>
      </w:r>
      <w:r w:rsidRPr="00362A2B">
        <w:rPr>
          <w:rFonts w:ascii="Times New Roman" w:hAnsi="Times New Roman"/>
          <w:sz w:val="20"/>
          <w:lang w:val="fr-CA"/>
        </w:rPr>
        <w:t>international et le principe d'intégration régionale. En 2017, la République bolivarienne du Venezuela, en vertu de sa souveraineté, a dénoncé la Charte de l'Organisation des États Américains, qui dispose en son article 143 que deux ans après la date de sa dénonciation les effets de la Charte prennent fin pour l’État qui l’aura dénoncé et celui-ci cessera d’être lié à l'Organisation.</w:t>
      </w:r>
    </w:p>
    <w:p w14:paraId="28B50308" w14:textId="77777777" w:rsidR="00255E46" w:rsidRDefault="00255E46" w:rsidP="00255E46">
      <w:pPr>
        <w:pStyle w:val="FootnoteText"/>
        <w:tabs>
          <w:tab w:val="clear" w:pos="360"/>
        </w:tabs>
        <w:ind w:left="0" w:firstLine="720"/>
        <w:rPr>
          <w:rFonts w:ascii="Times New Roman" w:hAnsi="Times New Roman"/>
          <w:sz w:val="20"/>
          <w:lang w:val="fr-CA"/>
        </w:rPr>
      </w:pPr>
    </w:p>
    <w:p w14:paraId="1C002670" w14:textId="1810AFCA" w:rsidR="00255E46" w:rsidRDefault="00255E46" w:rsidP="00255E46">
      <w:pPr>
        <w:pStyle w:val="FootnoteText"/>
        <w:tabs>
          <w:tab w:val="clear" w:pos="360"/>
        </w:tabs>
        <w:ind w:left="0" w:firstLine="720"/>
        <w:rPr>
          <w:rFonts w:ascii="Times New Roman" w:hAnsi="Times New Roman"/>
          <w:sz w:val="20"/>
          <w:lang w:val="fr-CA"/>
        </w:rPr>
      </w:pPr>
      <w:r w:rsidRPr="00362A2B">
        <w:rPr>
          <w:rFonts w:ascii="Times New Roman" w:hAnsi="Times New Roman"/>
          <w:sz w:val="20"/>
          <w:lang w:val="fr-CA"/>
        </w:rPr>
        <w:t>Étant donné que quatre années se sont écoulées depuis la dénonciation de la Charte par la République bolivarienne du Venezuela, aucune délégation de cet État ne devrait être reconnue. Cette action du Secrétariat général porte atteinte à la légalité des actes de l'Organisation des États Américains et viole ouvertement la souveraineté des États. Par conséquent, l'État plurinational de de Bolivie prend acte mais n'accepte pas les lettres de créance d'une prétendue délégation de la République bolivarienne du Venezuela.</w:t>
      </w:r>
    </w:p>
    <w:p w14:paraId="5334A290" w14:textId="63D7805A" w:rsidR="00255E46" w:rsidRDefault="00255E46" w:rsidP="00255E46">
      <w:pPr>
        <w:pStyle w:val="FootnoteText"/>
        <w:tabs>
          <w:tab w:val="clear" w:pos="360"/>
        </w:tabs>
        <w:ind w:left="0" w:firstLine="720"/>
        <w:rPr>
          <w:rFonts w:ascii="Times New Roman" w:hAnsi="Times New Roman"/>
          <w:sz w:val="20"/>
          <w:lang w:val="fr-CA"/>
        </w:rPr>
      </w:pPr>
    </w:p>
    <w:p w14:paraId="5D63FB53" w14:textId="5FAD77F1" w:rsidR="007F68E4" w:rsidRPr="007F68E4" w:rsidRDefault="007F68E4" w:rsidP="007F68E4">
      <w:pPr>
        <w:tabs>
          <w:tab w:val="left" w:pos="6595"/>
        </w:tabs>
        <w:rPr>
          <w:lang w:eastAsia="en-US"/>
        </w:rPr>
      </w:pPr>
      <w:r>
        <w:rPr>
          <w:lang w:eastAsia="en-US"/>
        </w:rPr>
        <w:tab/>
      </w:r>
    </w:p>
    <w:p w14:paraId="6602AF0A" w14:textId="77777777" w:rsidR="00255E46" w:rsidRPr="00362A2B" w:rsidRDefault="00255E46" w:rsidP="00255E46">
      <w:pPr>
        <w:pStyle w:val="FootnoteText"/>
        <w:tabs>
          <w:tab w:val="clear" w:pos="360"/>
        </w:tabs>
        <w:ind w:left="0" w:firstLine="720"/>
        <w:rPr>
          <w:rFonts w:ascii="Times New Roman" w:hAnsi="Times New Roman"/>
          <w:sz w:val="20"/>
          <w:lang w:val="fr-CA"/>
        </w:rPr>
      </w:pPr>
      <w:r>
        <w:rPr>
          <w:rFonts w:ascii="Times New Roman" w:hAnsi="Times New Roman"/>
          <w:sz w:val="20"/>
          <w:lang w:val="fr-CA"/>
        </w:rPr>
        <w:t>3.</w:t>
      </w:r>
      <w:r>
        <w:rPr>
          <w:rFonts w:ascii="Times New Roman" w:hAnsi="Times New Roman"/>
          <w:sz w:val="20"/>
          <w:lang w:val="fr-CA"/>
        </w:rPr>
        <w:tab/>
        <w:t xml:space="preserve">… </w:t>
      </w:r>
      <w:r w:rsidRPr="00362A2B">
        <w:rPr>
          <w:rFonts w:ascii="Times New Roman" w:hAnsi="Times New Roman"/>
          <w:sz w:val="20"/>
          <w:lang w:val="fr-CA"/>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57CA0F90" w14:textId="77777777" w:rsidR="00255E46" w:rsidRDefault="00255E46" w:rsidP="00255E46">
      <w:pPr>
        <w:pStyle w:val="FootnoteText"/>
        <w:tabs>
          <w:tab w:val="clear" w:pos="360"/>
        </w:tabs>
        <w:ind w:left="0" w:firstLine="720"/>
        <w:rPr>
          <w:rFonts w:ascii="Times New Roman" w:hAnsi="Times New Roman"/>
          <w:sz w:val="20"/>
          <w:lang w:val="fr-CA"/>
        </w:rPr>
      </w:pPr>
    </w:p>
    <w:p w14:paraId="1FD31D7B" w14:textId="73F252E5" w:rsidR="00255E46" w:rsidRDefault="00255E46" w:rsidP="00255E46">
      <w:pPr>
        <w:pStyle w:val="FootnoteText"/>
        <w:tabs>
          <w:tab w:val="clear" w:pos="360"/>
        </w:tabs>
        <w:ind w:left="0" w:firstLine="720"/>
        <w:rPr>
          <w:rFonts w:ascii="Times New Roman" w:hAnsi="Times New Roman"/>
          <w:sz w:val="20"/>
          <w:lang w:val="fr-CA"/>
        </w:rPr>
      </w:pPr>
      <w:r w:rsidRPr="00362A2B">
        <w:rPr>
          <w:rFonts w:ascii="Times New Roman" w:hAnsi="Times New Roman"/>
          <w:sz w:val="20"/>
          <w:lang w:val="fr-CA"/>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p>
    <w:p w14:paraId="32631DCB" w14:textId="1F7ABF4D" w:rsidR="00255E46" w:rsidRDefault="00255E46" w:rsidP="00255E46">
      <w:pPr>
        <w:pStyle w:val="FootnoteText"/>
        <w:tabs>
          <w:tab w:val="clear" w:pos="360"/>
        </w:tabs>
        <w:ind w:left="0" w:firstLine="720"/>
        <w:rPr>
          <w:rFonts w:ascii="Times New Roman" w:hAnsi="Times New Roman"/>
          <w:sz w:val="20"/>
          <w:lang w:val="fr-CA"/>
        </w:rPr>
      </w:pPr>
    </w:p>
    <w:p w14:paraId="4309BC8C" w14:textId="715A6E1D" w:rsidR="00255E46" w:rsidRDefault="00255E46" w:rsidP="00255E46">
      <w:pPr>
        <w:pStyle w:val="FootnoteText"/>
        <w:tabs>
          <w:tab w:val="clear" w:pos="360"/>
        </w:tabs>
        <w:ind w:left="0" w:firstLine="720"/>
        <w:rPr>
          <w:rFonts w:ascii="Times New Roman" w:hAnsi="Times New Roman"/>
          <w:sz w:val="20"/>
          <w:lang w:val="fr-CA"/>
        </w:rPr>
      </w:pPr>
      <w:r>
        <w:rPr>
          <w:rFonts w:ascii="Times New Roman" w:hAnsi="Times New Roman"/>
          <w:sz w:val="20"/>
          <w:lang w:val="fr-CA"/>
        </w:rPr>
        <w:t>4.</w:t>
      </w:r>
      <w:r>
        <w:rPr>
          <w:rFonts w:ascii="Times New Roman" w:hAnsi="Times New Roman"/>
          <w:sz w:val="20"/>
          <w:lang w:val="fr-CA"/>
        </w:rPr>
        <w:tab/>
        <w:t xml:space="preserve">… </w:t>
      </w:r>
      <w:r w:rsidRPr="00362A2B">
        <w:rPr>
          <w:rFonts w:ascii="Times New Roman" w:hAnsi="Times New Roman"/>
          <w:sz w:val="20"/>
          <w:lang w:val="fr-CA"/>
        </w:rPr>
        <w:t xml:space="preserve">personnes qui prétendent usurper la représentation légale de la République bolivarienne du Venezuela et du Gouvernement légitime du Président </w:t>
      </w:r>
      <w:proofErr w:type="spellStart"/>
      <w:r w:rsidRPr="00362A2B">
        <w:rPr>
          <w:rFonts w:ascii="Times New Roman" w:hAnsi="Times New Roman"/>
          <w:sz w:val="20"/>
          <w:lang w:val="fr-CA"/>
        </w:rPr>
        <w:t>Nicolás</w:t>
      </w:r>
      <w:proofErr w:type="spellEnd"/>
      <w:r w:rsidRPr="00362A2B">
        <w:rPr>
          <w:rFonts w:ascii="Times New Roman" w:hAnsi="Times New Roman"/>
          <w:sz w:val="20"/>
          <w:lang w:val="fr-CA"/>
        </w:rPr>
        <w:t xml:space="preserve"> </w:t>
      </w:r>
      <w:proofErr w:type="spellStart"/>
      <w:r w:rsidRPr="00362A2B">
        <w:rPr>
          <w:rFonts w:ascii="Times New Roman" w:hAnsi="Times New Roman"/>
          <w:sz w:val="20"/>
          <w:lang w:val="fr-CA"/>
        </w:rPr>
        <w:t>Maduro</w:t>
      </w:r>
      <w:proofErr w:type="spellEnd"/>
      <w:r w:rsidRPr="00362A2B">
        <w:rPr>
          <w:rFonts w:ascii="Times New Roman" w:hAnsi="Times New Roman"/>
          <w:sz w:val="20"/>
          <w:lang w:val="fr-CA"/>
        </w:rPr>
        <w:t xml:space="preserve"> Moros. Nous demandons que notre refus soit consigné dans tous les documents qui seront traités lors de la présente Cinquante-et-unième Session de l’Assemblée générale de l’OEA.</w:t>
      </w:r>
    </w:p>
    <w:p w14:paraId="353F3E41" w14:textId="564416DC" w:rsidR="00255E46" w:rsidRDefault="00255E46" w:rsidP="00255E46">
      <w:pPr>
        <w:pStyle w:val="FootnoteText"/>
        <w:tabs>
          <w:tab w:val="clear" w:pos="360"/>
        </w:tabs>
        <w:ind w:left="0" w:firstLine="720"/>
        <w:rPr>
          <w:rFonts w:ascii="Times New Roman" w:hAnsi="Times New Roman"/>
          <w:sz w:val="20"/>
          <w:lang w:val="fr-CA"/>
        </w:rPr>
      </w:pPr>
    </w:p>
    <w:p w14:paraId="093F4CC6" w14:textId="77777777" w:rsidR="00255E46" w:rsidRPr="00255E46" w:rsidRDefault="00255E46" w:rsidP="00255E46">
      <w:pPr>
        <w:pStyle w:val="FootnoteText"/>
        <w:tabs>
          <w:tab w:val="clear" w:pos="360"/>
        </w:tabs>
        <w:ind w:left="0" w:firstLine="720"/>
        <w:rPr>
          <w:rFonts w:ascii="Times New Roman" w:hAnsi="Times New Roman"/>
          <w:sz w:val="20"/>
          <w:lang w:val="fr-CA"/>
        </w:rPr>
      </w:pPr>
      <w:r>
        <w:rPr>
          <w:rFonts w:ascii="Times New Roman" w:hAnsi="Times New Roman"/>
          <w:sz w:val="20"/>
          <w:lang w:val="fr-CA"/>
        </w:rPr>
        <w:t>5.</w:t>
      </w:r>
      <w:r>
        <w:rPr>
          <w:rFonts w:ascii="Times New Roman" w:hAnsi="Times New Roman"/>
          <w:sz w:val="20"/>
          <w:lang w:val="fr-CA"/>
        </w:rPr>
        <w:tab/>
        <w:t xml:space="preserve">… </w:t>
      </w:r>
      <w:proofErr w:type="spellStart"/>
      <w:r w:rsidRPr="00255E46">
        <w:rPr>
          <w:rFonts w:ascii="Times New Roman" w:hAnsi="Times New Roman"/>
          <w:sz w:val="20"/>
          <w:lang w:val="fr-CA"/>
        </w:rPr>
        <w:t>Maduro</w:t>
      </w:r>
      <w:proofErr w:type="spellEnd"/>
      <w:r w:rsidRPr="00255E46">
        <w:rPr>
          <w:rFonts w:ascii="Times New Roman" w:hAnsi="Times New Roman"/>
          <w:sz w:val="20"/>
          <w:lang w:val="fr-CA"/>
        </w:rPr>
        <w:t xml:space="preserve"> au Secrétariat général au cours du mois d’avril 2017 relativement à la décision de ce pays de dénoncer la Charte de l’Organisme.</w:t>
      </w:r>
    </w:p>
    <w:p w14:paraId="26BCEFA6" w14:textId="77777777" w:rsidR="00255E46" w:rsidRDefault="00255E46" w:rsidP="00255E46">
      <w:pPr>
        <w:pStyle w:val="FootnoteText"/>
        <w:tabs>
          <w:tab w:val="clear" w:pos="360"/>
        </w:tabs>
        <w:ind w:left="0" w:firstLine="720"/>
        <w:rPr>
          <w:rFonts w:ascii="Times New Roman" w:hAnsi="Times New Roman"/>
          <w:sz w:val="20"/>
          <w:lang w:val="fr-CA"/>
        </w:rPr>
      </w:pPr>
    </w:p>
    <w:p w14:paraId="0D2DC832" w14:textId="13E4A5C4" w:rsidR="00255E46" w:rsidRDefault="00255E46" w:rsidP="00255E46">
      <w:pPr>
        <w:pStyle w:val="FootnoteText"/>
        <w:tabs>
          <w:tab w:val="clear" w:pos="360"/>
        </w:tabs>
        <w:ind w:left="0" w:firstLine="720"/>
        <w:rPr>
          <w:rFonts w:ascii="Times New Roman" w:hAnsi="Times New Roman"/>
          <w:sz w:val="20"/>
          <w:lang w:val="fr-CA"/>
        </w:rPr>
      </w:pPr>
      <w:r w:rsidRPr="00362A2B">
        <w:rPr>
          <w:rFonts w:ascii="Times New Roman" w:hAnsi="Times New Roman"/>
          <w:sz w:val="20"/>
          <w:lang w:val="fr-CA"/>
        </w:rPr>
        <w:t>En vertu de ce qui précède, la République bolivarienne du Venezuela a cessé d’être membre de l’Organisation et, par conséquent, l’Argentine estime nécessaire d’évaluer cette situation et, en tout cas, n’est pas en mesure de reconnaître les lettres de créances d’aucun représentant désigné du Venezuela à cette Assemblée générale.</w:t>
      </w:r>
    </w:p>
    <w:p w14:paraId="45B80C12" w14:textId="40B3ED66" w:rsidR="00255E46" w:rsidRDefault="00255E46" w:rsidP="00255E46">
      <w:pPr>
        <w:pStyle w:val="FootnoteText"/>
        <w:tabs>
          <w:tab w:val="clear" w:pos="360"/>
        </w:tabs>
        <w:ind w:left="0" w:firstLine="720"/>
        <w:rPr>
          <w:rFonts w:ascii="Times New Roman" w:hAnsi="Times New Roman"/>
          <w:sz w:val="20"/>
          <w:lang w:val="fr-CA"/>
        </w:rPr>
      </w:pPr>
    </w:p>
    <w:p w14:paraId="7CA394A0" w14:textId="77777777" w:rsidR="00255E46" w:rsidRPr="00255E46" w:rsidRDefault="00255E46" w:rsidP="00255E46">
      <w:pPr>
        <w:pStyle w:val="FootnoteText"/>
        <w:tabs>
          <w:tab w:val="clear" w:pos="360"/>
        </w:tabs>
        <w:ind w:left="0" w:firstLine="720"/>
        <w:rPr>
          <w:rFonts w:ascii="Times New Roman" w:hAnsi="Times New Roman"/>
          <w:sz w:val="20"/>
          <w:lang w:val="fr-CA"/>
        </w:rPr>
      </w:pPr>
      <w:r>
        <w:rPr>
          <w:rFonts w:ascii="Times New Roman" w:hAnsi="Times New Roman"/>
          <w:sz w:val="20"/>
          <w:lang w:val="fr-CA"/>
        </w:rPr>
        <w:t>6.</w:t>
      </w:r>
      <w:r>
        <w:rPr>
          <w:rFonts w:ascii="Times New Roman" w:hAnsi="Times New Roman"/>
          <w:sz w:val="20"/>
          <w:lang w:val="fr-CA"/>
        </w:rPr>
        <w:tab/>
        <w:t xml:space="preserve">… </w:t>
      </w:r>
      <w:r w:rsidRPr="00255E46">
        <w:rPr>
          <w:rFonts w:ascii="Times New Roman" w:hAnsi="Times New Roman"/>
          <w:sz w:val="20"/>
          <w:lang w:val="fr-CA"/>
        </w:rPr>
        <w:t xml:space="preserve">l’OEA, qui établit que la dénonciation de celle-ci par un État membre prend effet deux ans après sa réception. À ce moment, la Charte de l’OEA cessera de s’appliquer à l’État qui l’aura dénoncée, et celui-ci n’aura plus aucun droit ni aucune obligation et sera détaché de toutes les mesures et les décisions de l’Organisation. </w:t>
      </w:r>
    </w:p>
    <w:p w14:paraId="07BF4862" w14:textId="77777777" w:rsidR="00255E46" w:rsidRDefault="00255E46" w:rsidP="00255E46">
      <w:pPr>
        <w:pStyle w:val="FootnoteText"/>
        <w:tabs>
          <w:tab w:val="clear" w:pos="360"/>
        </w:tabs>
        <w:ind w:left="0" w:firstLine="720"/>
        <w:rPr>
          <w:rFonts w:ascii="Times New Roman" w:hAnsi="Times New Roman"/>
          <w:sz w:val="20"/>
          <w:lang w:val="fr-CA"/>
        </w:rPr>
      </w:pPr>
    </w:p>
    <w:p w14:paraId="2A89AD78" w14:textId="2902AB53" w:rsidR="00255E46" w:rsidRPr="00255E46" w:rsidRDefault="00255E46" w:rsidP="00255E46">
      <w:pPr>
        <w:pStyle w:val="FootnoteText"/>
        <w:tabs>
          <w:tab w:val="clear" w:pos="360"/>
        </w:tabs>
        <w:ind w:left="0" w:firstLine="720"/>
        <w:rPr>
          <w:rFonts w:ascii="Times New Roman" w:hAnsi="Times New Roman"/>
          <w:sz w:val="20"/>
          <w:lang w:val="fr-CA"/>
        </w:rPr>
      </w:pPr>
      <w:r w:rsidRPr="00255E46">
        <w:rPr>
          <w:rFonts w:ascii="Times New Roman" w:hAnsi="Times New Roman"/>
          <w:sz w:val="20"/>
          <w:lang w:val="fr-CA"/>
        </w:rPr>
        <w:t>Antigua-et-Barbuda estime que la République bolivarienne du Venezuela n’est pas membre de l’Organisation des États Américains étant donné que le 27 avril 2017, le Gouvernement de la République bolivarienne du Venezuela a informé le Secrétaire général qu’il avait dénoncé la Charte conformément à l’article 143</w:t>
      </w:r>
      <w:r w:rsidR="00D653C7">
        <w:rPr>
          <w:rFonts w:ascii="Times New Roman" w:hAnsi="Times New Roman"/>
          <w:sz w:val="20"/>
          <w:lang w:val="fr-CA"/>
        </w:rPr>
        <w:t xml:space="preserve"> </w:t>
      </w:r>
      <w:r w:rsidRPr="00255E46">
        <w:rPr>
          <w:rFonts w:ascii="Times New Roman" w:hAnsi="Times New Roman"/>
          <w:sz w:val="20"/>
          <w:lang w:val="fr-CA"/>
        </w:rPr>
        <w:t xml:space="preserve">de la Charte de l’Organisation des États Américains et que la Charte a cessé de s’appliquer à la République bolivarienne du Venezuela, qui a cessé de faire partie de l’Organisation le 27 avril 2019. </w:t>
      </w:r>
    </w:p>
    <w:p w14:paraId="0B87BEDF" w14:textId="77777777" w:rsidR="00255E46" w:rsidRDefault="00255E46" w:rsidP="00255E46">
      <w:pPr>
        <w:pStyle w:val="FootnoteText"/>
        <w:tabs>
          <w:tab w:val="clear" w:pos="360"/>
        </w:tabs>
        <w:ind w:left="0" w:firstLine="720"/>
        <w:rPr>
          <w:rFonts w:ascii="Times New Roman" w:hAnsi="Times New Roman"/>
          <w:sz w:val="20"/>
          <w:lang w:val="fr-CA"/>
        </w:rPr>
      </w:pPr>
    </w:p>
    <w:p w14:paraId="51A73A3F" w14:textId="77BFE74A" w:rsidR="00255E46" w:rsidRDefault="00255E46" w:rsidP="00255E46">
      <w:pPr>
        <w:pStyle w:val="FootnoteText"/>
        <w:tabs>
          <w:tab w:val="clear" w:pos="360"/>
        </w:tabs>
        <w:ind w:left="0" w:firstLine="720"/>
        <w:rPr>
          <w:rFonts w:ascii="Times New Roman" w:hAnsi="Times New Roman"/>
          <w:sz w:val="20"/>
          <w:lang w:val="fr-CA"/>
        </w:rPr>
      </w:pPr>
      <w:r w:rsidRPr="00255E46">
        <w:rPr>
          <w:rFonts w:ascii="Times New Roman" w:hAnsi="Times New Roman"/>
          <w:sz w:val="20"/>
          <w:lang w:val="fr-CA"/>
        </w:rPr>
        <w:t xml:space="preserve">Par conséquent, Antigua-et-Barbuda rejette la validité des lettres de créances d’un soi-disant représentant du Venezuela à la </w:t>
      </w:r>
      <w:r w:rsidR="00B85F35" w:rsidRPr="0081056B">
        <w:rPr>
          <w:rFonts w:ascii="Times New Roman" w:hAnsi="Times New Roman"/>
          <w:sz w:val="20"/>
          <w:lang w:val="fr-CA"/>
        </w:rPr>
        <w:t xml:space="preserve">Cinquante-et-unième </w:t>
      </w:r>
      <w:r w:rsidRPr="00255E46">
        <w:rPr>
          <w:rFonts w:ascii="Times New Roman" w:hAnsi="Times New Roman"/>
          <w:sz w:val="20"/>
          <w:lang w:val="fr-CA"/>
        </w:rPr>
        <w:t>Session ordinaire de l’Assemblée générale et auprès de tout organe de l’Organisation, en particulier le Conseil permanent, et ne reconnaîtra pas toute déclaration, résolution ou énoncé de tout organe de l’OEA qui dépend, pour une majorité absolue des deux tiers, d’un vote du soi-disant représentant du Venezuela, et ne sera pas liée par cette déclaration, cette résolution ou cet énoncé.</w:t>
      </w:r>
    </w:p>
    <w:p w14:paraId="59C9E7F0" w14:textId="31D3C6AB" w:rsidR="00D653C7" w:rsidRDefault="00D653C7" w:rsidP="00255E46">
      <w:pPr>
        <w:pStyle w:val="FootnoteText"/>
        <w:tabs>
          <w:tab w:val="clear" w:pos="360"/>
        </w:tabs>
        <w:ind w:left="0" w:firstLine="720"/>
        <w:rPr>
          <w:rFonts w:ascii="Times New Roman" w:hAnsi="Times New Roman"/>
          <w:sz w:val="20"/>
          <w:lang w:val="fr-CA"/>
        </w:rPr>
      </w:pPr>
    </w:p>
    <w:p w14:paraId="2B588FBC" w14:textId="1F8A83CE" w:rsidR="00255E46" w:rsidRDefault="00255E46" w:rsidP="00255E46">
      <w:pPr>
        <w:pStyle w:val="FootnoteText"/>
        <w:tabs>
          <w:tab w:val="clear" w:pos="360"/>
        </w:tabs>
        <w:ind w:left="0" w:firstLine="720"/>
        <w:rPr>
          <w:rFonts w:ascii="Times New Roman" w:hAnsi="Times New Roman"/>
          <w:sz w:val="20"/>
          <w:lang w:val="fr-FR"/>
        </w:rPr>
      </w:pPr>
      <w:r>
        <w:rPr>
          <w:rFonts w:ascii="Times New Roman" w:hAnsi="Times New Roman"/>
          <w:sz w:val="20"/>
          <w:lang w:val="fr-CA"/>
        </w:rPr>
        <w:t>7.</w:t>
      </w:r>
      <w:r>
        <w:rPr>
          <w:rFonts w:ascii="Times New Roman" w:hAnsi="Times New Roman"/>
          <w:sz w:val="20"/>
          <w:lang w:val="fr-CA"/>
        </w:rPr>
        <w:tab/>
        <w:t xml:space="preserve">… </w:t>
      </w:r>
      <w:r w:rsidRPr="00362A2B">
        <w:rPr>
          <w:rFonts w:ascii="Times New Roman" w:hAnsi="Times New Roman"/>
          <w:noProof/>
          <w:sz w:val="20"/>
          <w:lang w:val="fr-FR"/>
        </w:rPr>
        <w:t>près l'OEA, et n'accepte pas les pouvoirs des fonctionnaires ayant l'intention de représenter la République bolivarienne du Venezuela à cette cinquante-et-unième session ordinaire de l'Assemblée générale de l'OEA. Le gouvernement du Belize se réserve donc le droit, jusqu'à nouvel ordre, de ne pas être lié par les décisions ou résolutions adoptées à cette Assemblée générale à laquelle la République bolivarienne du Venezuela a participé</w:t>
      </w:r>
      <w:r w:rsidRPr="00362A2B">
        <w:rPr>
          <w:rFonts w:ascii="Times New Roman" w:hAnsi="Times New Roman"/>
          <w:sz w:val="20"/>
          <w:lang w:val="fr-FR"/>
        </w:rPr>
        <w:t>.</w:t>
      </w:r>
    </w:p>
    <w:p w14:paraId="1FEF37DA" w14:textId="373E5AA5" w:rsidR="00255E46" w:rsidRDefault="00255E46" w:rsidP="00255E46">
      <w:pPr>
        <w:pStyle w:val="FootnoteText"/>
        <w:tabs>
          <w:tab w:val="clear" w:pos="360"/>
        </w:tabs>
        <w:ind w:left="0" w:firstLine="720"/>
        <w:rPr>
          <w:rFonts w:ascii="Times New Roman" w:hAnsi="Times New Roman"/>
          <w:sz w:val="20"/>
          <w:lang w:val="fr-FR"/>
        </w:rPr>
      </w:pPr>
    </w:p>
    <w:p w14:paraId="6E284B79" w14:textId="2A96D290" w:rsidR="00255E46" w:rsidRDefault="00255E46" w:rsidP="00255E46">
      <w:pPr>
        <w:pStyle w:val="FootnoteText"/>
        <w:tabs>
          <w:tab w:val="clear" w:pos="360"/>
        </w:tabs>
        <w:ind w:left="0" w:firstLine="720"/>
        <w:rPr>
          <w:rFonts w:ascii="Times New Roman" w:hAnsi="Times New Roman"/>
          <w:sz w:val="20"/>
          <w:lang w:val="fr-FR"/>
        </w:rPr>
      </w:pPr>
      <w:r>
        <w:rPr>
          <w:rFonts w:ascii="Times New Roman" w:hAnsi="Times New Roman"/>
          <w:sz w:val="20"/>
          <w:lang w:val="fr-FR"/>
        </w:rPr>
        <w:t>8.</w:t>
      </w:r>
      <w:r>
        <w:rPr>
          <w:rFonts w:ascii="Times New Roman" w:hAnsi="Times New Roman"/>
          <w:sz w:val="20"/>
          <w:lang w:val="fr-FR"/>
        </w:rPr>
        <w:tab/>
        <w:t xml:space="preserve">… </w:t>
      </w:r>
      <w:r w:rsidRPr="00362A2B">
        <w:rPr>
          <w:rFonts w:ascii="Times New Roman" w:hAnsi="Times New Roman"/>
          <w:noProof/>
          <w:sz w:val="20"/>
          <w:lang w:val="fr-FR"/>
        </w:rPr>
        <w:t>l'Assemblée générale de l'Organisation des États Américains et, par conséquent, se réserve le droit, jusqu'à nouvel ordre, de ne pas reconnaître les décisions, déclarations ou résolutions adoptées à cette Assemblée générale auxquelles ces parties ont participé ou d’être lié par ces décisions, déclarations ou résolutions</w:t>
      </w:r>
      <w:r w:rsidRPr="00362A2B">
        <w:rPr>
          <w:rFonts w:ascii="Times New Roman" w:hAnsi="Times New Roman"/>
          <w:sz w:val="20"/>
          <w:lang w:val="fr-FR"/>
        </w:rPr>
        <w:t>.</w:t>
      </w:r>
    </w:p>
    <w:p w14:paraId="77189B60" w14:textId="060DB381" w:rsidR="00255E46" w:rsidRDefault="00255E46" w:rsidP="00255E46">
      <w:pPr>
        <w:pStyle w:val="FootnoteText"/>
        <w:tabs>
          <w:tab w:val="clear" w:pos="360"/>
        </w:tabs>
        <w:ind w:left="0" w:firstLine="720"/>
        <w:rPr>
          <w:rFonts w:ascii="Times New Roman" w:hAnsi="Times New Roman"/>
          <w:sz w:val="20"/>
          <w:lang w:val="fr-FR"/>
        </w:rPr>
      </w:pPr>
    </w:p>
    <w:p w14:paraId="56AC18A1" w14:textId="054C4749" w:rsidR="00255E46" w:rsidRPr="00255E46" w:rsidRDefault="00255E46" w:rsidP="00255E46">
      <w:pPr>
        <w:pStyle w:val="FootnoteText"/>
        <w:tabs>
          <w:tab w:val="clear" w:pos="360"/>
        </w:tabs>
        <w:ind w:left="0" w:firstLine="720"/>
        <w:rPr>
          <w:rFonts w:ascii="Times New Roman" w:hAnsi="Times New Roman"/>
          <w:sz w:val="20"/>
          <w:lang w:val="fr-CA"/>
        </w:rPr>
      </w:pPr>
      <w:r>
        <w:rPr>
          <w:rFonts w:ascii="Times New Roman" w:hAnsi="Times New Roman"/>
          <w:sz w:val="20"/>
          <w:lang w:val="fr-FR"/>
        </w:rPr>
        <w:t>9.</w:t>
      </w:r>
      <w:r>
        <w:rPr>
          <w:rFonts w:ascii="Times New Roman" w:hAnsi="Times New Roman"/>
          <w:sz w:val="20"/>
          <w:lang w:val="fr-FR"/>
        </w:rPr>
        <w:tab/>
        <w:t xml:space="preserve">… </w:t>
      </w:r>
      <w:r w:rsidRPr="00362A2B">
        <w:rPr>
          <w:rFonts w:ascii="Times New Roman" w:hAnsi="Times New Roman"/>
          <w:sz w:val="20"/>
          <w:lang w:val="fr-FR"/>
        </w:rPr>
        <w:t>conformément au droit international, aucune autre entité ne peut valablement assumer la représentation du gouvernement de la République bolivarienne du Venezuela.</w:t>
      </w:r>
    </w:p>
    <w:p w14:paraId="36FA72E6" w14:textId="6CDD9EDA" w:rsidR="004A0A7F" w:rsidRDefault="004A0A7F" w:rsidP="0081056B">
      <w:pPr>
        <w:spacing w:after="0" w:line="240" w:lineRule="auto"/>
        <w:jc w:val="both"/>
        <w:rPr>
          <w:rFonts w:ascii="Times New Roman" w:hAnsi="Times New Roman"/>
          <w:lang w:val="fr-FR"/>
        </w:rPr>
      </w:pPr>
    </w:p>
    <w:p w14:paraId="0D23F2AE" w14:textId="0A99395A" w:rsidR="007F68E4" w:rsidRDefault="007F68E4" w:rsidP="0081056B">
      <w:pPr>
        <w:spacing w:after="0" w:line="240" w:lineRule="auto"/>
        <w:jc w:val="both"/>
        <w:rPr>
          <w:rFonts w:ascii="Times New Roman" w:hAnsi="Times New Roman"/>
          <w:lang w:val="fr-FR"/>
        </w:rPr>
      </w:pPr>
    </w:p>
    <w:p w14:paraId="3339EFE3" w14:textId="0FF6258C" w:rsidR="007F68E4" w:rsidRPr="00AF7AE0" w:rsidRDefault="007F68E4" w:rsidP="0081056B">
      <w:pPr>
        <w:spacing w:after="0" w:line="240" w:lineRule="auto"/>
        <w:jc w:val="both"/>
        <w:rPr>
          <w:rFonts w:ascii="Times New Roman" w:hAnsi="Times New Roman"/>
          <w:lang w:val="fr-FR"/>
        </w:rPr>
      </w:pPr>
      <w:r>
        <w:rPr>
          <w:noProof/>
        </w:rPr>
        <w:drawing>
          <wp:anchor distT="0" distB="0" distL="114300" distR="114300" simplePos="0" relativeHeight="251662336" behindDoc="0" locked="0" layoutInCell="1" allowOverlap="1" wp14:anchorId="3DA41EC9" wp14:editId="6DC3B100">
            <wp:simplePos x="0" y="0"/>
            <wp:positionH relativeFrom="column">
              <wp:posOffset>4909703</wp:posOffset>
            </wp:positionH>
            <wp:positionV relativeFrom="margin">
              <wp:align>bottom</wp:align>
            </wp:positionV>
            <wp:extent cx="713105" cy="71310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val="fr-FR"/>
        </w:rPr>
        <mc:AlternateContent>
          <mc:Choice Requires="wps">
            <w:drawing>
              <wp:anchor distT="0" distB="0" distL="114300" distR="114300" simplePos="0" relativeHeight="251663360" behindDoc="0" locked="1" layoutInCell="1" allowOverlap="1" wp14:anchorId="710B1943" wp14:editId="068E2FD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C9F87BB" w14:textId="1BCD4C62" w:rsidR="007F68E4" w:rsidRPr="007F68E4" w:rsidRDefault="007F68E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F12B8">
                              <w:rPr>
                                <w:rFonts w:ascii="Times New Roman" w:hAnsi="Times New Roman"/>
                                <w:noProof/>
                                <w:sz w:val="18"/>
                              </w:rPr>
                              <w:t>AG08467F01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0B194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0C9F87BB" w14:textId="1BCD4C62" w:rsidR="007F68E4" w:rsidRPr="007F68E4" w:rsidRDefault="007F68E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F12B8">
                        <w:rPr>
                          <w:rFonts w:ascii="Times New Roman" w:hAnsi="Times New Roman"/>
                          <w:noProof/>
                          <w:sz w:val="18"/>
                        </w:rPr>
                        <w:t>AG08467F01</w:t>
                      </w:r>
                      <w:r>
                        <w:rPr>
                          <w:rFonts w:ascii="Times New Roman" w:hAnsi="Times New Roman"/>
                          <w:sz w:val="18"/>
                        </w:rPr>
                        <w:fldChar w:fldCharType="end"/>
                      </w:r>
                    </w:p>
                  </w:txbxContent>
                </v:textbox>
                <w10:wrap anchory="page"/>
                <w10:anchorlock/>
              </v:shape>
            </w:pict>
          </mc:Fallback>
        </mc:AlternateContent>
      </w:r>
    </w:p>
    <w:sectPr w:rsidR="007F68E4" w:rsidRPr="00AF7AE0" w:rsidSect="007F68E4">
      <w:headerReference w:type="even" r:id="rId10"/>
      <w:headerReference w:type="default" r:id="rId11"/>
      <w:pgSz w:w="12240" w:h="15840" w:code="1"/>
      <w:pgMar w:top="2160" w:right="1570" w:bottom="1296" w:left="1699" w:header="1296" w:footer="1296" w:gutter="0"/>
      <w:pgNumType w:start="1" w:chapSep="em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D02B" w14:textId="77777777" w:rsidR="00C42513" w:rsidRDefault="00C42513" w:rsidP="00157056">
      <w:pPr>
        <w:spacing w:after="0" w:line="240" w:lineRule="auto"/>
      </w:pPr>
      <w:r>
        <w:separator/>
      </w:r>
    </w:p>
  </w:endnote>
  <w:endnote w:type="continuationSeparator" w:id="0">
    <w:p w14:paraId="669F6ED5" w14:textId="77777777" w:rsidR="00C42513" w:rsidRDefault="00C42513" w:rsidP="0015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53F8" w14:textId="77777777" w:rsidR="00C42513" w:rsidRDefault="00C42513" w:rsidP="00157056">
      <w:pPr>
        <w:spacing w:after="0" w:line="240" w:lineRule="auto"/>
      </w:pPr>
      <w:r>
        <w:separator/>
      </w:r>
    </w:p>
  </w:footnote>
  <w:footnote w:type="continuationSeparator" w:id="0">
    <w:p w14:paraId="41CEDF44" w14:textId="77777777" w:rsidR="00C42513" w:rsidRDefault="00C42513" w:rsidP="00157056">
      <w:pPr>
        <w:spacing w:after="0" w:line="240" w:lineRule="auto"/>
      </w:pPr>
      <w:r>
        <w:continuationSeparator/>
      </w:r>
    </w:p>
  </w:footnote>
  <w:footnote w:id="1">
    <w:p w14:paraId="3DC880A6" w14:textId="11B484E9" w:rsidR="0081056B" w:rsidRPr="00362A2B" w:rsidRDefault="0081056B" w:rsidP="0081056B">
      <w:pPr>
        <w:pStyle w:val="FootnoteText"/>
        <w:tabs>
          <w:tab w:val="clear" w:pos="360"/>
        </w:tabs>
        <w:ind w:left="720"/>
        <w:rPr>
          <w:rFonts w:ascii="Times New Roman" w:hAnsi="Times New Roman"/>
          <w:sz w:val="20"/>
          <w:lang w:val="fr-CA"/>
        </w:rPr>
      </w:pPr>
      <w:r w:rsidRPr="00362A2B">
        <w:rPr>
          <w:rStyle w:val="FootnoteReference"/>
          <w:rFonts w:ascii="Times New Roman" w:hAnsi="Times New Roman"/>
          <w:sz w:val="20"/>
        </w:rPr>
        <w:footnoteRef/>
      </w:r>
      <w:r w:rsidRPr="00362A2B">
        <w:rPr>
          <w:rFonts w:ascii="Times New Roman" w:hAnsi="Times New Roman"/>
          <w:sz w:val="20"/>
          <w:lang w:val="fr-FR"/>
        </w:rPr>
        <w:t>.</w:t>
      </w:r>
      <w:r w:rsidRPr="00362A2B">
        <w:rPr>
          <w:rFonts w:ascii="Times New Roman" w:hAnsi="Times New Roman"/>
          <w:sz w:val="20"/>
          <w:lang w:val="fr-FR"/>
        </w:rPr>
        <w:tab/>
      </w:r>
      <w:r w:rsidRPr="00362A2B">
        <w:rPr>
          <w:rFonts w:ascii="Times New Roman" w:hAnsi="Times New Roman"/>
          <w:sz w:val="20"/>
          <w:lang w:val="fr-CA"/>
        </w:rPr>
        <w:t>Le Mexique relève avec préoccupation une fois de plus, des inconsistances et des irrégularités dans le Rapport du Secrétaire général sur la présentation des pouvoirs des délégations participant à la…</w:t>
      </w:r>
    </w:p>
  </w:footnote>
  <w:footnote w:id="2">
    <w:p w14:paraId="1ACB098E" w14:textId="5AF1493D" w:rsidR="0081056B" w:rsidRPr="00362A2B" w:rsidRDefault="0081056B" w:rsidP="00255E46">
      <w:pPr>
        <w:pStyle w:val="FootnoteText"/>
        <w:tabs>
          <w:tab w:val="clear" w:pos="360"/>
        </w:tabs>
        <w:ind w:left="720"/>
        <w:rPr>
          <w:rFonts w:ascii="Times New Roman" w:hAnsi="Times New Roman"/>
          <w:sz w:val="20"/>
          <w:lang w:val="fr-CA"/>
        </w:rPr>
      </w:pPr>
      <w:r w:rsidRPr="00362A2B">
        <w:rPr>
          <w:rFonts w:ascii="Times New Roman" w:hAnsi="Times New Roman"/>
          <w:sz w:val="20"/>
          <w:lang w:val="fr-CA"/>
        </w:rPr>
        <w:footnoteRef/>
      </w:r>
      <w:r w:rsidRPr="00362A2B">
        <w:rPr>
          <w:rFonts w:ascii="Times New Roman" w:hAnsi="Times New Roman"/>
          <w:sz w:val="20"/>
          <w:lang w:val="fr-CA"/>
        </w:rPr>
        <w:t>.</w:t>
      </w:r>
      <w:r w:rsidRPr="00362A2B">
        <w:rPr>
          <w:rFonts w:ascii="Times New Roman" w:hAnsi="Times New Roman"/>
          <w:sz w:val="20"/>
          <w:lang w:val="fr-CA"/>
        </w:rPr>
        <w:tab/>
        <w:t>La Bolivie est préoccupée par le fait que le Rapport du Secrétaire général sur les pouvoirs des délégations participant à la cinquante-et-unième session ordinaire de l'Assemblée générale contredit le droit</w:t>
      </w:r>
      <w:r w:rsidR="00255E46">
        <w:rPr>
          <w:rFonts w:ascii="Times New Roman" w:hAnsi="Times New Roman"/>
          <w:sz w:val="20"/>
          <w:lang w:val="fr-CA"/>
        </w:rPr>
        <w:t>…</w:t>
      </w:r>
    </w:p>
  </w:footnote>
  <w:footnote w:id="3">
    <w:p w14:paraId="29D7BF0B" w14:textId="0B8F6B36" w:rsidR="0081056B" w:rsidRPr="00362A2B" w:rsidRDefault="0081056B" w:rsidP="00255E46">
      <w:pPr>
        <w:pStyle w:val="FootnoteText"/>
        <w:tabs>
          <w:tab w:val="clear" w:pos="360"/>
        </w:tabs>
        <w:ind w:left="720"/>
        <w:rPr>
          <w:rFonts w:ascii="Times New Roman" w:hAnsi="Times New Roman"/>
          <w:sz w:val="20"/>
          <w:lang w:val="fr-CA"/>
        </w:rPr>
      </w:pPr>
      <w:r w:rsidRPr="00362A2B">
        <w:rPr>
          <w:rFonts w:ascii="Times New Roman" w:hAnsi="Times New Roman"/>
          <w:sz w:val="20"/>
          <w:lang w:val="fr-CA"/>
        </w:rPr>
        <w:footnoteRef/>
      </w:r>
      <w:r w:rsidRPr="00362A2B">
        <w:rPr>
          <w:rFonts w:ascii="Times New Roman" w:hAnsi="Times New Roman"/>
          <w:sz w:val="20"/>
          <w:lang w:val="fr-CA"/>
        </w:rPr>
        <w:t>.</w:t>
      </w:r>
      <w:r w:rsidRPr="00362A2B">
        <w:rPr>
          <w:rFonts w:ascii="Times New Roman" w:hAnsi="Times New Roman"/>
          <w:sz w:val="20"/>
          <w:lang w:val="fr-CA"/>
        </w:rPr>
        <w:tab/>
        <w:t>Saint-Vincent fait état de sa non-reconnaissance et de sa non-acceptation des pouvoirs de la prétendue délégation de l'Assemblée nationale de la République bolivarienne du Venezuela. En 2017, le</w:t>
      </w:r>
      <w:r w:rsidR="00255E46">
        <w:rPr>
          <w:rFonts w:ascii="Times New Roman" w:hAnsi="Times New Roman"/>
          <w:sz w:val="20"/>
          <w:lang w:val="fr-CA"/>
        </w:rPr>
        <w:t>…</w:t>
      </w:r>
    </w:p>
  </w:footnote>
  <w:footnote w:id="4">
    <w:p w14:paraId="37E7121B" w14:textId="4E6781FB" w:rsidR="0081056B" w:rsidRPr="00362A2B" w:rsidRDefault="0081056B" w:rsidP="00362A2B">
      <w:pPr>
        <w:pStyle w:val="FootnoteText"/>
        <w:tabs>
          <w:tab w:val="clear" w:pos="360"/>
        </w:tabs>
        <w:ind w:left="720"/>
        <w:rPr>
          <w:rFonts w:ascii="Times New Roman" w:hAnsi="Times New Roman"/>
          <w:sz w:val="20"/>
          <w:lang w:val="fr-CA"/>
        </w:rPr>
      </w:pPr>
      <w:r w:rsidRPr="00362A2B">
        <w:rPr>
          <w:rFonts w:ascii="Times New Roman" w:hAnsi="Times New Roman"/>
          <w:sz w:val="20"/>
          <w:lang w:val="fr-CA"/>
        </w:rPr>
        <w:footnoteRef/>
      </w:r>
      <w:r w:rsidRPr="00362A2B">
        <w:rPr>
          <w:rFonts w:ascii="Times New Roman" w:hAnsi="Times New Roman"/>
          <w:sz w:val="20"/>
          <w:lang w:val="fr-CA"/>
        </w:rPr>
        <w:t>.</w:t>
      </w:r>
      <w:r w:rsidRPr="00362A2B">
        <w:rPr>
          <w:rFonts w:ascii="Times New Roman" w:hAnsi="Times New Roman"/>
          <w:sz w:val="20"/>
          <w:lang w:val="fr-CA"/>
        </w:rPr>
        <w:tab/>
      </w:r>
      <w:r w:rsidR="00362A2B" w:rsidRPr="00362A2B">
        <w:rPr>
          <w:rFonts w:ascii="Times New Roman" w:hAnsi="Times New Roman"/>
          <w:sz w:val="20"/>
          <w:lang w:val="fr-CA"/>
        </w:rPr>
        <w:t>Le Nicaragua se prévaut des déclarations des délégations de Saint-Vincent-et-Grenadines, des États-Unis du Mexique ainsi que de l’État plurinational de Bolivie et rejette l’accréditation irrégulière de</w:t>
      </w:r>
      <w:r w:rsidR="00255E46">
        <w:rPr>
          <w:rFonts w:ascii="Times New Roman" w:hAnsi="Times New Roman"/>
          <w:sz w:val="20"/>
          <w:lang w:val="fr-CA"/>
        </w:rPr>
        <w:t>…</w:t>
      </w:r>
    </w:p>
  </w:footnote>
  <w:footnote w:id="5">
    <w:p w14:paraId="5E00B956" w14:textId="2977BB55" w:rsidR="0081056B" w:rsidRPr="00362A2B" w:rsidRDefault="0081056B" w:rsidP="00255E46">
      <w:pPr>
        <w:pStyle w:val="FootnoteText"/>
        <w:tabs>
          <w:tab w:val="clear" w:pos="360"/>
        </w:tabs>
        <w:ind w:left="720"/>
        <w:rPr>
          <w:rFonts w:ascii="Times New Roman" w:hAnsi="Times New Roman"/>
          <w:sz w:val="20"/>
          <w:lang w:val="fr-FR"/>
        </w:rPr>
      </w:pPr>
      <w:r w:rsidRPr="00362A2B">
        <w:rPr>
          <w:rFonts w:ascii="Times New Roman" w:hAnsi="Times New Roman"/>
          <w:sz w:val="20"/>
          <w:lang w:val="fr-CA"/>
        </w:rPr>
        <w:footnoteRef/>
      </w:r>
      <w:r w:rsidRPr="00362A2B">
        <w:rPr>
          <w:rFonts w:ascii="Times New Roman" w:hAnsi="Times New Roman"/>
          <w:sz w:val="20"/>
          <w:lang w:val="fr-CA"/>
        </w:rPr>
        <w:t>.</w:t>
      </w:r>
      <w:r w:rsidRPr="00362A2B">
        <w:rPr>
          <w:rFonts w:ascii="Times New Roman" w:hAnsi="Times New Roman"/>
          <w:sz w:val="20"/>
          <w:lang w:val="fr-CA"/>
        </w:rPr>
        <w:tab/>
      </w:r>
      <w:r w:rsidR="00362A2B" w:rsidRPr="00255E46">
        <w:rPr>
          <w:rFonts w:ascii="Times New Roman" w:hAnsi="Times New Roman"/>
          <w:sz w:val="20"/>
          <w:lang w:val="fr-CA"/>
        </w:rPr>
        <w:t xml:space="preserve">La République argentine entend que le retrait de la République bolivarienne du Venezuela de l’Organisation des États Américains s’est effectué en vertu de l’avis envoyé par le Président </w:t>
      </w:r>
      <w:proofErr w:type="spellStart"/>
      <w:r w:rsidR="00362A2B" w:rsidRPr="00255E46">
        <w:rPr>
          <w:rFonts w:ascii="Times New Roman" w:hAnsi="Times New Roman"/>
          <w:sz w:val="20"/>
          <w:lang w:val="fr-CA"/>
        </w:rPr>
        <w:t>Nicolás</w:t>
      </w:r>
      <w:proofErr w:type="spellEnd"/>
      <w:r w:rsidR="00255E46">
        <w:rPr>
          <w:rFonts w:ascii="Times New Roman" w:hAnsi="Times New Roman"/>
          <w:sz w:val="20"/>
          <w:lang w:val="fr-CA"/>
        </w:rPr>
        <w:t>…</w:t>
      </w:r>
    </w:p>
  </w:footnote>
  <w:footnote w:id="6">
    <w:p w14:paraId="25754C18" w14:textId="04D19F8B" w:rsidR="0081056B" w:rsidRPr="00362A2B" w:rsidRDefault="0081056B" w:rsidP="00255E46">
      <w:pPr>
        <w:pStyle w:val="FootnoteText"/>
        <w:tabs>
          <w:tab w:val="clear" w:pos="360"/>
        </w:tabs>
        <w:ind w:left="720"/>
        <w:rPr>
          <w:rFonts w:ascii="Times New Roman" w:hAnsi="Times New Roman"/>
          <w:sz w:val="20"/>
          <w:lang w:val="fr-FR"/>
        </w:rPr>
      </w:pPr>
      <w:r w:rsidRPr="00362A2B">
        <w:rPr>
          <w:rStyle w:val="FootnoteReference"/>
          <w:rFonts w:ascii="Times New Roman" w:hAnsi="Times New Roman"/>
          <w:sz w:val="20"/>
        </w:rPr>
        <w:footnoteRef/>
      </w:r>
      <w:r w:rsidRPr="00362A2B">
        <w:rPr>
          <w:rFonts w:ascii="Times New Roman" w:hAnsi="Times New Roman"/>
          <w:sz w:val="20"/>
          <w:lang w:val="fr-FR"/>
        </w:rPr>
        <w:t>.</w:t>
      </w:r>
      <w:r w:rsidRPr="00362A2B">
        <w:rPr>
          <w:rFonts w:ascii="Times New Roman" w:hAnsi="Times New Roman"/>
          <w:sz w:val="20"/>
          <w:lang w:val="fr-FR"/>
        </w:rPr>
        <w:tab/>
      </w:r>
      <w:r w:rsidR="00362A2B" w:rsidRPr="00255E46">
        <w:rPr>
          <w:rFonts w:ascii="Times New Roman" w:hAnsi="Times New Roman"/>
          <w:sz w:val="20"/>
          <w:lang w:val="fr-CA"/>
        </w:rPr>
        <w:t>L’acceptation de lettres de créances de toute personne ou entité qui prétend représenter un État membre qui s’est retiré de l’Organisation des États Américains va à l’encontre de l’article 143 de la Charte de</w:t>
      </w:r>
      <w:r w:rsidR="00255E46">
        <w:rPr>
          <w:rFonts w:ascii="Times New Roman" w:hAnsi="Times New Roman"/>
          <w:sz w:val="20"/>
          <w:lang w:val="fr-CA"/>
        </w:rPr>
        <w:t>…</w:t>
      </w:r>
    </w:p>
  </w:footnote>
  <w:footnote w:id="7">
    <w:p w14:paraId="139EBF44" w14:textId="2E4F8C32" w:rsidR="0081056B" w:rsidRPr="00362A2B" w:rsidRDefault="0081056B" w:rsidP="0081056B">
      <w:pPr>
        <w:pStyle w:val="FootnoteText"/>
        <w:tabs>
          <w:tab w:val="clear" w:pos="360"/>
          <w:tab w:val="left" w:pos="720"/>
        </w:tabs>
        <w:ind w:left="720"/>
        <w:rPr>
          <w:rFonts w:ascii="Times New Roman" w:hAnsi="Times New Roman"/>
          <w:sz w:val="20"/>
          <w:lang w:val="fr-FR"/>
        </w:rPr>
      </w:pPr>
      <w:r w:rsidRPr="00362A2B">
        <w:rPr>
          <w:rStyle w:val="FootnoteReference"/>
          <w:rFonts w:ascii="Times New Roman" w:hAnsi="Times New Roman"/>
          <w:sz w:val="20"/>
        </w:rPr>
        <w:footnoteRef/>
      </w:r>
      <w:r w:rsidRPr="00362A2B">
        <w:rPr>
          <w:rFonts w:ascii="Times New Roman" w:hAnsi="Times New Roman"/>
          <w:sz w:val="20"/>
          <w:lang w:val="fr-FR"/>
        </w:rPr>
        <w:t>.</w:t>
      </w:r>
      <w:r w:rsidRPr="00362A2B">
        <w:rPr>
          <w:rFonts w:ascii="Times New Roman" w:hAnsi="Times New Roman"/>
          <w:sz w:val="20"/>
          <w:lang w:val="fr-FR"/>
        </w:rPr>
        <w:tab/>
      </w:r>
      <w:r w:rsidR="00362A2B" w:rsidRPr="00362A2B">
        <w:rPr>
          <w:rFonts w:ascii="Times New Roman" w:hAnsi="Times New Roman"/>
          <w:noProof/>
          <w:sz w:val="20"/>
          <w:lang w:val="fr-FR"/>
        </w:rPr>
        <w:t>Le Gouvernement du Belize n'a pas soutenu la résolution CP/RES. 1124 (2217/19) du 9 avril 2019, qui visait à nommer M. Gustavo Tarre comme Représentant permanent désigné de l'Assemblée nationale</w:t>
      </w:r>
      <w:r w:rsidR="00255E46">
        <w:rPr>
          <w:rFonts w:ascii="Times New Roman" w:hAnsi="Times New Roman"/>
          <w:noProof/>
          <w:sz w:val="20"/>
          <w:lang w:val="fr-FR"/>
        </w:rPr>
        <w:t>…</w:t>
      </w:r>
    </w:p>
  </w:footnote>
  <w:footnote w:id="8">
    <w:p w14:paraId="77365B19" w14:textId="09D73149" w:rsidR="0081056B" w:rsidRPr="00362A2B" w:rsidRDefault="0081056B" w:rsidP="0081056B">
      <w:pPr>
        <w:pStyle w:val="FootnoteText"/>
        <w:tabs>
          <w:tab w:val="clear" w:pos="360"/>
          <w:tab w:val="left" w:pos="720"/>
        </w:tabs>
        <w:ind w:left="720"/>
        <w:rPr>
          <w:rFonts w:ascii="Times New Roman" w:hAnsi="Times New Roman"/>
          <w:sz w:val="20"/>
          <w:lang w:val="fr-FR"/>
        </w:rPr>
      </w:pPr>
      <w:r w:rsidRPr="00362A2B">
        <w:rPr>
          <w:rStyle w:val="FootnoteReference"/>
          <w:rFonts w:ascii="Times New Roman" w:hAnsi="Times New Roman"/>
          <w:sz w:val="20"/>
        </w:rPr>
        <w:footnoteRef/>
      </w:r>
      <w:r w:rsidRPr="00362A2B">
        <w:rPr>
          <w:rFonts w:ascii="Times New Roman" w:hAnsi="Times New Roman"/>
          <w:sz w:val="20"/>
          <w:lang w:val="fr-FR"/>
        </w:rPr>
        <w:t>.</w:t>
      </w:r>
      <w:r w:rsidRPr="00362A2B">
        <w:rPr>
          <w:rFonts w:ascii="Times New Roman" w:hAnsi="Times New Roman"/>
          <w:sz w:val="20"/>
          <w:lang w:val="fr-FR"/>
        </w:rPr>
        <w:tab/>
      </w:r>
      <w:r w:rsidR="00362A2B" w:rsidRPr="00362A2B">
        <w:rPr>
          <w:rFonts w:ascii="Times New Roman" w:hAnsi="Times New Roman"/>
          <w:noProof/>
          <w:sz w:val="20"/>
          <w:lang w:val="fr-FR"/>
        </w:rPr>
        <w:t>Le Gouvernement de Sainte-Lucie n'accepte pas les lettres de créance des parties qui prétendent représenter la République bolivarienne du Venezuela à cette cinquante-et-unième session ordinaire de</w:t>
      </w:r>
      <w:r w:rsidR="00255E46">
        <w:rPr>
          <w:rFonts w:ascii="Times New Roman" w:hAnsi="Times New Roman"/>
          <w:noProof/>
          <w:sz w:val="20"/>
          <w:lang w:val="fr-FR"/>
        </w:rPr>
        <w:t>…</w:t>
      </w:r>
    </w:p>
  </w:footnote>
  <w:footnote w:id="9">
    <w:p w14:paraId="0D7D4B99" w14:textId="4A4DED56" w:rsidR="0081056B" w:rsidRPr="00362A2B" w:rsidRDefault="0081056B" w:rsidP="0081056B">
      <w:pPr>
        <w:pStyle w:val="FootnoteText"/>
        <w:tabs>
          <w:tab w:val="clear" w:pos="360"/>
          <w:tab w:val="left" w:pos="720"/>
        </w:tabs>
        <w:ind w:left="720"/>
        <w:rPr>
          <w:rFonts w:ascii="Times New Roman" w:hAnsi="Times New Roman"/>
          <w:sz w:val="20"/>
          <w:lang w:val="fr-FR"/>
        </w:rPr>
      </w:pPr>
      <w:r w:rsidRPr="00362A2B">
        <w:rPr>
          <w:rStyle w:val="FootnoteReference"/>
          <w:rFonts w:ascii="Times New Roman" w:hAnsi="Times New Roman"/>
          <w:sz w:val="20"/>
        </w:rPr>
        <w:footnoteRef/>
      </w:r>
      <w:r w:rsidRPr="00362A2B">
        <w:rPr>
          <w:rFonts w:ascii="Times New Roman" w:hAnsi="Times New Roman"/>
          <w:sz w:val="20"/>
          <w:lang w:val="fr-FR"/>
        </w:rPr>
        <w:t>.</w:t>
      </w:r>
      <w:r w:rsidRPr="00362A2B">
        <w:rPr>
          <w:rFonts w:ascii="Times New Roman" w:hAnsi="Times New Roman"/>
          <w:sz w:val="20"/>
          <w:lang w:val="fr-FR"/>
        </w:rPr>
        <w:tab/>
      </w:r>
      <w:r w:rsidR="00362A2B" w:rsidRPr="00362A2B">
        <w:rPr>
          <w:rFonts w:ascii="Times New Roman" w:hAnsi="Times New Roman"/>
          <w:sz w:val="20"/>
          <w:lang w:val="fr-FR"/>
        </w:rPr>
        <w:t xml:space="preserve">Le Pérou entretient des relations diplomatiques avec la République bolivarienne du Venezuela. La République bolivarienne du Venezuela a cessé d'être un État membre de l'OEA et, par </w:t>
      </w:r>
      <w:r w:rsidR="00255E46" w:rsidRPr="00362A2B">
        <w:rPr>
          <w:rFonts w:ascii="Times New Roman" w:hAnsi="Times New Roman"/>
          <w:sz w:val="20"/>
          <w:lang w:val="fr-FR"/>
        </w:rPr>
        <w:t>conséquent,</w:t>
      </w:r>
      <w:r w:rsidR="00255E46">
        <w:rPr>
          <w:rFonts w:ascii="Times New Roman" w:hAnsi="Times New Roman"/>
          <w:sz w:val="20"/>
          <w:lang w:val="fr-FR"/>
        </w:rPr>
        <w:t xml:space="preserve"> …</w:t>
      </w:r>
    </w:p>
  </w:footnote>
  <w:footnote w:id="10">
    <w:p w14:paraId="4B9A48A8" w14:textId="1C5A96CE" w:rsidR="0081056B" w:rsidRPr="00362A2B" w:rsidRDefault="0081056B" w:rsidP="0081056B">
      <w:pPr>
        <w:pStyle w:val="FootnoteText"/>
        <w:tabs>
          <w:tab w:val="clear" w:pos="360"/>
          <w:tab w:val="left" w:pos="720"/>
        </w:tabs>
        <w:ind w:left="720"/>
        <w:rPr>
          <w:rFonts w:ascii="Times New Roman" w:hAnsi="Times New Roman"/>
          <w:sz w:val="20"/>
          <w:lang w:val="fr-FR"/>
        </w:rPr>
      </w:pPr>
      <w:r w:rsidRPr="00362A2B">
        <w:rPr>
          <w:rStyle w:val="FootnoteReference"/>
          <w:rFonts w:ascii="Times New Roman" w:hAnsi="Times New Roman"/>
          <w:sz w:val="20"/>
        </w:rPr>
        <w:footnoteRef/>
      </w:r>
      <w:r w:rsidRPr="00362A2B">
        <w:rPr>
          <w:rFonts w:ascii="Times New Roman" w:hAnsi="Times New Roman"/>
          <w:sz w:val="20"/>
          <w:lang w:val="fr-FR"/>
        </w:rPr>
        <w:t>.</w:t>
      </w:r>
      <w:r w:rsidRPr="00362A2B">
        <w:rPr>
          <w:rFonts w:ascii="Times New Roman" w:hAnsi="Times New Roman"/>
          <w:sz w:val="20"/>
          <w:lang w:val="fr-FR"/>
        </w:rPr>
        <w:tab/>
      </w:r>
      <w:r w:rsidR="00362A2B" w:rsidRPr="00362A2B">
        <w:rPr>
          <w:rFonts w:ascii="Times New Roman" w:hAnsi="Times New Roman"/>
          <w:sz w:val="20"/>
          <w:lang w:val="fr-FR"/>
        </w:rPr>
        <w:t>La délégation de Trinité-et-Tobago a annoncé qu'elle présenterait une note de bas de page</w:t>
      </w:r>
      <w:r w:rsidRPr="00362A2B">
        <w:rPr>
          <w:rFonts w:ascii="Times New Roman" w:hAnsi="Times New Roman"/>
          <w:sz w:val="20"/>
          <w:lang w:val="fr-FR"/>
        </w:rPr>
        <w:t>.</w:t>
      </w:r>
    </w:p>
  </w:footnote>
  <w:footnote w:id="11">
    <w:p w14:paraId="3D469143" w14:textId="498AF1A1" w:rsidR="00157056" w:rsidRPr="00362A2B" w:rsidRDefault="00157056" w:rsidP="0081056B">
      <w:pPr>
        <w:pStyle w:val="FootnoteText"/>
        <w:tabs>
          <w:tab w:val="clear" w:pos="360"/>
          <w:tab w:val="left" w:pos="720"/>
        </w:tabs>
        <w:ind w:left="720"/>
        <w:rPr>
          <w:rFonts w:ascii="Times New Roman" w:hAnsi="Times New Roman"/>
          <w:sz w:val="20"/>
          <w:lang w:val="fr-FR"/>
        </w:rPr>
      </w:pPr>
      <w:r w:rsidRPr="00362A2B">
        <w:rPr>
          <w:rStyle w:val="FootnoteReference"/>
          <w:rFonts w:ascii="Times New Roman" w:hAnsi="Times New Roman"/>
          <w:sz w:val="20"/>
        </w:rPr>
        <w:footnoteRef/>
      </w:r>
      <w:r w:rsidRPr="00362A2B">
        <w:rPr>
          <w:rFonts w:ascii="Times New Roman" w:hAnsi="Times New Roman"/>
          <w:sz w:val="20"/>
          <w:lang w:val="fr-FR"/>
        </w:rPr>
        <w:t>.</w:t>
      </w:r>
      <w:r w:rsidRPr="00362A2B">
        <w:rPr>
          <w:rFonts w:ascii="Times New Roman" w:hAnsi="Times New Roman"/>
          <w:sz w:val="20"/>
          <w:lang w:val="fr-FR"/>
        </w:rPr>
        <w:tab/>
        <w:t xml:space="preserve">Cette liste est publiée séparément sous le couvert du document </w:t>
      </w:r>
      <w:hyperlink r:id="rId1" w:history="1">
        <w:r w:rsidRPr="00362A2B">
          <w:rPr>
            <w:rStyle w:val="Hyperlink"/>
            <w:rFonts w:ascii="Times New Roman" w:hAnsi="Times New Roman"/>
            <w:sz w:val="20"/>
            <w:lang w:val="fr-FR"/>
          </w:rPr>
          <w:t>AG/doc.</w:t>
        </w:r>
        <w:r w:rsidR="0081056B" w:rsidRPr="00362A2B">
          <w:rPr>
            <w:rStyle w:val="Hyperlink"/>
            <w:rFonts w:ascii="Times New Roman" w:hAnsi="Times New Roman"/>
            <w:sz w:val="20"/>
            <w:lang w:val="fr-FR"/>
          </w:rPr>
          <w:t xml:space="preserve"> </w:t>
        </w:r>
        <w:r w:rsidR="00444642" w:rsidRPr="00362A2B">
          <w:rPr>
            <w:rStyle w:val="Hyperlink"/>
            <w:rFonts w:ascii="Times New Roman" w:hAnsi="Times New Roman"/>
            <w:sz w:val="20"/>
            <w:lang w:val="fr-FR"/>
          </w:rPr>
          <w:t>5743/21</w:t>
        </w:r>
      </w:hyperlink>
      <w:r w:rsidR="0081056B" w:rsidRPr="00362A2B">
        <w:rPr>
          <w:rFonts w:ascii="Times New Roman" w:hAnsi="Times New Roman"/>
          <w:sz w:val="20"/>
          <w:lang w:val="fr-FR"/>
        </w:rPr>
        <w:t xml:space="preserve"> </w:t>
      </w:r>
      <w:proofErr w:type="spellStart"/>
      <w:r w:rsidR="0081056B" w:rsidRPr="00362A2B">
        <w:rPr>
          <w:rFonts w:ascii="Times New Roman" w:hAnsi="Times New Roman"/>
          <w:sz w:val="20"/>
          <w:lang w:val="fr-FR"/>
        </w:rPr>
        <w:t>rev</w:t>
      </w:r>
      <w:proofErr w:type="spellEnd"/>
      <w:r w:rsidR="0081056B" w:rsidRPr="00362A2B">
        <w:rPr>
          <w:rFonts w:ascii="Times New Roman" w:hAnsi="Times New Roman"/>
          <w:sz w:val="20"/>
          <w:lang w:val="fr-FR"/>
        </w:rPr>
        <w: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2374" w14:textId="3A275E2C" w:rsidR="007F68E4" w:rsidRDefault="007F68E4" w:rsidP="007F68E4">
    <w:pPr>
      <w:pStyle w:val="Header"/>
      <w:jc w:val="center"/>
    </w:pPr>
    <w:r>
      <w:t xml:space="preserve">- </w:t>
    </w:r>
    <w:sdt>
      <w:sdtPr>
        <w:id w:val="-17112580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05F32520" w14:textId="77777777" w:rsidR="007F68E4" w:rsidRDefault="007F6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E3D5" w14:textId="77777777" w:rsidR="002C16D5" w:rsidRDefault="002C16D5" w:rsidP="002C16D5">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157056">
      <w:rPr>
        <w:rStyle w:val="PageNumber"/>
        <w:noProof/>
      </w:rPr>
      <w:t>2</w:t>
    </w:r>
    <w:r>
      <w:rPr>
        <w:rStyle w:val="PageNumb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2665E"/>
    <w:multiLevelType w:val="hybridMultilevel"/>
    <w:tmpl w:val="DA28A9D2"/>
    <w:lvl w:ilvl="0" w:tplc="79646C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56"/>
    <w:rsid w:val="0001183F"/>
    <w:rsid w:val="00051876"/>
    <w:rsid w:val="00085EF9"/>
    <w:rsid w:val="000C527B"/>
    <w:rsid w:val="000C6729"/>
    <w:rsid w:val="000E7EBA"/>
    <w:rsid w:val="00157056"/>
    <w:rsid w:val="00173103"/>
    <w:rsid w:val="001865E3"/>
    <w:rsid w:val="001904B2"/>
    <w:rsid w:val="002359C9"/>
    <w:rsid w:val="00255E46"/>
    <w:rsid w:val="00274B8F"/>
    <w:rsid w:val="002B64E5"/>
    <w:rsid w:val="002C16D5"/>
    <w:rsid w:val="002F40E1"/>
    <w:rsid w:val="00362A2B"/>
    <w:rsid w:val="00365B3E"/>
    <w:rsid w:val="003E1690"/>
    <w:rsid w:val="003F7513"/>
    <w:rsid w:val="00444642"/>
    <w:rsid w:val="00455880"/>
    <w:rsid w:val="004608AD"/>
    <w:rsid w:val="00483792"/>
    <w:rsid w:val="00485B8E"/>
    <w:rsid w:val="00486327"/>
    <w:rsid w:val="004A0A7F"/>
    <w:rsid w:val="004C7E9C"/>
    <w:rsid w:val="004F6FB6"/>
    <w:rsid w:val="00573E88"/>
    <w:rsid w:val="005B0683"/>
    <w:rsid w:val="005B4716"/>
    <w:rsid w:val="005B5027"/>
    <w:rsid w:val="005E4E91"/>
    <w:rsid w:val="005F09FA"/>
    <w:rsid w:val="00660BE0"/>
    <w:rsid w:val="00664F37"/>
    <w:rsid w:val="006903D4"/>
    <w:rsid w:val="006B1EE0"/>
    <w:rsid w:val="0070755B"/>
    <w:rsid w:val="00764275"/>
    <w:rsid w:val="007712D2"/>
    <w:rsid w:val="007F68E4"/>
    <w:rsid w:val="0081056B"/>
    <w:rsid w:val="00831202"/>
    <w:rsid w:val="00831D4C"/>
    <w:rsid w:val="00844BB7"/>
    <w:rsid w:val="008B279F"/>
    <w:rsid w:val="008B76CB"/>
    <w:rsid w:val="00925913"/>
    <w:rsid w:val="00942580"/>
    <w:rsid w:val="0098701A"/>
    <w:rsid w:val="009E0B84"/>
    <w:rsid w:val="00A00694"/>
    <w:rsid w:val="00A617F7"/>
    <w:rsid w:val="00AC5C43"/>
    <w:rsid w:val="00AD21F1"/>
    <w:rsid w:val="00AF0D7F"/>
    <w:rsid w:val="00AF4E13"/>
    <w:rsid w:val="00AF7AE0"/>
    <w:rsid w:val="00B0796F"/>
    <w:rsid w:val="00B31637"/>
    <w:rsid w:val="00B43947"/>
    <w:rsid w:val="00B52521"/>
    <w:rsid w:val="00B56340"/>
    <w:rsid w:val="00B73EB5"/>
    <w:rsid w:val="00B85F35"/>
    <w:rsid w:val="00BF5A05"/>
    <w:rsid w:val="00C12A30"/>
    <w:rsid w:val="00C42513"/>
    <w:rsid w:val="00CA6837"/>
    <w:rsid w:val="00CB45EC"/>
    <w:rsid w:val="00CE7366"/>
    <w:rsid w:val="00D005F6"/>
    <w:rsid w:val="00D410E4"/>
    <w:rsid w:val="00D653C7"/>
    <w:rsid w:val="00D70F34"/>
    <w:rsid w:val="00D71E2A"/>
    <w:rsid w:val="00D81CDB"/>
    <w:rsid w:val="00D96EA0"/>
    <w:rsid w:val="00DC12AF"/>
    <w:rsid w:val="00DE4C3C"/>
    <w:rsid w:val="00E062B9"/>
    <w:rsid w:val="00E50379"/>
    <w:rsid w:val="00E81D2C"/>
    <w:rsid w:val="00EA4C7F"/>
    <w:rsid w:val="00EF296C"/>
    <w:rsid w:val="00F3631B"/>
    <w:rsid w:val="00FF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2E426"/>
  <w15:chartTrackingRefBased/>
  <w15:docId w15:val="{E8BC10DB-EE09-447C-B861-3FE30E53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157056"/>
    <w:pPr>
      <w:tabs>
        <w:tab w:val="center" w:pos="4320"/>
        <w:tab w:val="right" w:pos="8640"/>
      </w:tabs>
      <w:spacing w:after="0" w:line="240" w:lineRule="auto"/>
    </w:pPr>
    <w:rPr>
      <w:rFonts w:ascii="Times New Roman" w:eastAsia="Times New Roman" w:hAnsi="Times New Roman"/>
      <w:szCs w:val="20"/>
      <w:lang w:val="en-US" w:eastAsia="en-US"/>
    </w:rPr>
  </w:style>
  <w:style w:type="character" w:customStyle="1" w:styleId="HeaderChar">
    <w:name w:val="Header Char"/>
    <w:aliases w:val="encabezado Char"/>
    <w:link w:val="Header"/>
    <w:uiPriority w:val="99"/>
    <w:rsid w:val="00157056"/>
    <w:rPr>
      <w:rFonts w:ascii="Times New Roman" w:eastAsia="Times New Roman" w:hAnsi="Times New Roman"/>
      <w:sz w:val="22"/>
      <w:lang w:val="en-US" w:eastAsia="en-US"/>
    </w:rPr>
  </w:style>
  <w:style w:type="character" w:styleId="PageNumber">
    <w:name w:val="page number"/>
    <w:rsid w:val="00157056"/>
  </w:style>
  <w:style w:type="character" w:styleId="FootnoteReference">
    <w:name w:val="footnote reference"/>
    <w:semiHidden/>
    <w:rsid w:val="00157056"/>
    <w:rPr>
      <w:color w:val="auto"/>
      <w:vertAlign w:val="baseline"/>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rsid w:val="00157056"/>
    <w:pPr>
      <w:tabs>
        <w:tab w:val="left" w:pos="360"/>
      </w:tabs>
      <w:spacing w:after="0" w:line="240" w:lineRule="auto"/>
      <w:ind w:left="360" w:hanging="360"/>
      <w:jc w:val="both"/>
    </w:pPr>
    <w:rPr>
      <w:rFonts w:ascii="CG Times" w:eastAsia="Times New Roman" w:hAnsi="CG Times"/>
      <w:sz w:val="18"/>
      <w:szCs w:val="20"/>
      <w:lang w:val="es-ES" w:eastAsia="en-U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rsid w:val="00157056"/>
    <w:rPr>
      <w:rFonts w:ascii="CG Times" w:eastAsia="Times New Roman" w:hAnsi="CG Times"/>
      <w:sz w:val="18"/>
      <w:lang w:val="es-ES" w:eastAsia="en-US"/>
    </w:rPr>
  </w:style>
  <w:style w:type="paragraph" w:styleId="BodyText">
    <w:name w:val="Body Text"/>
    <w:basedOn w:val="Normal"/>
    <w:link w:val="BodyTextChar"/>
    <w:rsid w:val="00157056"/>
    <w:pPr>
      <w:spacing w:after="0" w:line="480" w:lineRule="auto"/>
      <w:jc w:val="both"/>
    </w:pPr>
    <w:rPr>
      <w:rFonts w:ascii="Times New Roman" w:eastAsia="Times New Roman" w:hAnsi="Times New Roman"/>
      <w:szCs w:val="20"/>
      <w:lang w:val="es-ES" w:eastAsia="en-US"/>
    </w:rPr>
  </w:style>
  <w:style w:type="character" w:customStyle="1" w:styleId="BodyTextChar">
    <w:name w:val="Body Text Char"/>
    <w:link w:val="BodyText"/>
    <w:rsid w:val="00157056"/>
    <w:rPr>
      <w:rFonts w:ascii="Times New Roman" w:eastAsia="Times New Roman" w:hAnsi="Times New Roman"/>
      <w:sz w:val="22"/>
      <w:lang w:val="es-ES" w:eastAsia="en-US"/>
    </w:rPr>
  </w:style>
  <w:style w:type="character" w:styleId="Hyperlink">
    <w:name w:val="Hyperlink"/>
    <w:uiPriority w:val="99"/>
    <w:unhideWhenUsed/>
    <w:rsid w:val="005B0683"/>
    <w:rPr>
      <w:color w:val="0000FF"/>
      <w:u w:val="single"/>
    </w:rPr>
  </w:style>
  <w:style w:type="character" w:styleId="UnresolvedMention">
    <w:name w:val="Unresolved Mention"/>
    <w:basedOn w:val="DefaultParagraphFont"/>
    <w:uiPriority w:val="99"/>
    <w:semiHidden/>
    <w:unhideWhenUsed/>
    <w:rsid w:val="0081056B"/>
    <w:rPr>
      <w:color w:val="605E5C"/>
      <w:shd w:val="clear" w:color="auto" w:fill="E1DFDD"/>
    </w:rPr>
  </w:style>
  <w:style w:type="paragraph" w:customStyle="1" w:styleId="Style1">
    <w:name w:val="Style 1"/>
    <w:basedOn w:val="Normal"/>
    <w:uiPriority w:val="99"/>
    <w:rsid w:val="0081056B"/>
    <w:pPr>
      <w:widowControl w:val="0"/>
      <w:autoSpaceDE w:val="0"/>
      <w:autoSpaceDN w:val="0"/>
      <w:adjustRightInd w:val="0"/>
      <w:spacing w:after="0" w:line="240" w:lineRule="auto"/>
    </w:pPr>
    <w:rPr>
      <w:rFonts w:ascii="Times New Roman" w:eastAsiaTheme="minorEastAsia" w:hAnsi="Times New Roman"/>
      <w:sz w:val="20"/>
      <w:szCs w:val="20"/>
      <w:lang w:val="en-US" w:eastAsia="en-US"/>
    </w:rPr>
  </w:style>
  <w:style w:type="character" w:customStyle="1" w:styleId="CharacterStyle2">
    <w:name w:val="Character Style 2"/>
    <w:uiPriority w:val="99"/>
    <w:rsid w:val="0081056B"/>
    <w:rPr>
      <w:sz w:val="20"/>
      <w:szCs w:val="20"/>
    </w:rPr>
  </w:style>
  <w:style w:type="paragraph" w:styleId="Footer">
    <w:name w:val="footer"/>
    <w:basedOn w:val="Normal"/>
    <w:link w:val="FooterChar"/>
    <w:uiPriority w:val="99"/>
    <w:unhideWhenUsed/>
    <w:rsid w:val="0081056B"/>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1056B"/>
    <w:rPr>
      <w:rFonts w:asciiTheme="minorHAnsi" w:eastAsiaTheme="minorHAnsi" w:hAnsiTheme="minorHAnsi" w:cstheme="minorBidi"/>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m.oas.org/doc_public/SPANISH/HIST_21/AG08458T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Mayorga, Georgina</cp:lastModifiedBy>
  <cp:revision>3</cp:revision>
  <dcterms:created xsi:type="dcterms:W3CDTF">2021-12-01T17:05:00Z</dcterms:created>
  <dcterms:modified xsi:type="dcterms:W3CDTF">2021-12-01T17:14:00Z</dcterms:modified>
</cp:coreProperties>
</file>