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9D5C" w14:textId="372A60A4" w:rsidR="00733F07" w:rsidRPr="00C64177" w:rsidRDefault="005B6223" w:rsidP="00733F07">
      <w:pPr>
        <w:widowControl/>
        <w:tabs>
          <w:tab w:val="clear" w:pos="720"/>
          <w:tab w:val="clear" w:pos="1440"/>
          <w:tab w:val="clear" w:pos="2160"/>
          <w:tab w:val="clear" w:pos="3600"/>
          <w:tab w:val="clear" w:pos="4320"/>
          <w:tab w:val="clear" w:pos="5760"/>
          <w:tab w:val="clear" w:pos="6480"/>
          <w:tab w:val="clear" w:pos="7920"/>
          <w:tab w:val="center" w:pos="2880"/>
        </w:tabs>
        <w:ind w:firstLine="810"/>
        <w:rPr>
          <w:noProof/>
          <w:color w:val="000000"/>
          <w:sz w:val="22"/>
          <w:szCs w:val="22"/>
          <w:lang w:val="es-MX"/>
        </w:rPr>
      </w:pPr>
      <w:bookmarkStart w:id="0" w:name="_Toc56187489"/>
      <w:r>
        <w:rPr>
          <w:lang w:val="es-MX"/>
        </w:rPr>
        <w:object w:dxaOrig="1440" w:dyaOrig="1440" w14:anchorId="549A1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0pt;margin-top:66.9pt;width:320.1pt;height:28.25pt;z-index:251659264;mso-wrap-edited:f;mso-position-vertical-relative:page" wrapcoords="3572 1580 2041 2634 170 7376 170 11590 2381 19493 5272 20020 11055 20020 17008 20020 21260 12117 21600 4215 18709 2107 9524 1580 3572 1580" o:allowincell="f" fillcolor="window">
            <v:imagedata r:id="rId8" o:title=""/>
            <w10:wrap anchory="page"/>
          </v:shape>
          <o:OLEObject Type="Embed" ProgID="Word.Picture.8" ShapeID="_x0000_s2053" DrawAspect="Content" ObjectID="_1778498545" r:id="rId9"/>
        </w:object>
      </w:r>
      <w:r w:rsidR="00733F07" w:rsidRPr="00D408B1">
        <w:rPr>
          <w:lang w:val="es-MX"/>
        </w:rPr>
        <w:t>COMISIÓN PREPARATORIA</w:t>
      </w:r>
      <w:r w:rsidR="00733F07" w:rsidRPr="00D408B1">
        <w:rPr>
          <w:lang w:val="es-MX"/>
        </w:rPr>
        <w:tab/>
      </w:r>
      <w:r w:rsidR="00733F07" w:rsidRPr="00C64177">
        <w:rPr>
          <w:sz w:val="22"/>
          <w:szCs w:val="22"/>
          <w:lang w:val="es-MX"/>
        </w:rPr>
        <w:t>OEA/Ser.P</w:t>
      </w:r>
    </w:p>
    <w:p w14:paraId="33C296C2" w14:textId="7C7A5D86" w:rsidR="00733F07" w:rsidRPr="00C64177"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ind w:right="-392"/>
        <w:rPr>
          <w:noProof/>
          <w:color w:val="000000"/>
          <w:sz w:val="22"/>
          <w:szCs w:val="22"/>
          <w:lang w:val="es-MX"/>
        </w:rPr>
      </w:pPr>
      <w:r w:rsidRPr="00C64177">
        <w:rPr>
          <w:color w:val="000000"/>
          <w:sz w:val="22"/>
          <w:szCs w:val="22"/>
          <w:lang w:val="es-MX"/>
        </w:rPr>
        <w:tab/>
      </w:r>
      <w:r w:rsidRPr="00C64177">
        <w:rPr>
          <w:color w:val="000000"/>
          <w:sz w:val="22"/>
          <w:szCs w:val="22"/>
          <w:lang w:val="es-MX"/>
        </w:rPr>
        <w:tab/>
        <w:t>AG/CP/</w:t>
      </w:r>
      <w:r w:rsidR="00670C49">
        <w:rPr>
          <w:color w:val="000000"/>
          <w:sz w:val="22"/>
          <w:szCs w:val="22"/>
          <w:lang w:val="es-MX"/>
        </w:rPr>
        <w:t>INF. 812</w:t>
      </w:r>
      <w:r w:rsidRPr="00C64177">
        <w:rPr>
          <w:color w:val="000000"/>
          <w:sz w:val="22"/>
          <w:szCs w:val="22"/>
          <w:lang w:val="es-MX"/>
        </w:rPr>
        <w:t>/24</w:t>
      </w:r>
    </w:p>
    <w:p w14:paraId="4B1E5D21" w14:textId="3F9F2C82" w:rsidR="00733F07" w:rsidRPr="00C64177"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rPr>
          <w:noProof/>
          <w:color w:val="000000"/>
          <w:sz w:val="22"/>
          <w:szCs w:val="22"/>
          <w:lang w:val="es-MX"/>
        </w:rPr>
      </w:pPr>
      <w:r w:rsidRPr="00C64177">
        <w:rPr>
          <w:color w:val="000000"/>
          <w:sz w:val="22"/>
          <w:szCs w:val="22"/>
          <w:lang w:val="es-MX"/>
        </w:rPr>
        <w:tab/>
      </w:r>
      <w:r w:rsidRPr="00C64177">
        <w:rPr>
          <w:color w:val="000000"/>
          <w:sz w:val="22"/>
          <w:szCs w:val="22"/>
          <w:lang w:val="es-MX"/>
        </w:rPr>
        <w:tab/>
      </w:r>
      <w:r w:rsidR="00441A0E">
        <w:rPr>
          <w:color w:val="000000"/>
          <w:sz w:val="22"/>
          <w:szCs w:val="22"/>
          <w:lang w:val="es-MX"/>
        </w:rPr>
        <w:t>2</w:t>
      </w:r>
      <w:r w:rsidR="005B6223">
        <w:rPr>
          <w:color w:val="000000"/>
          <w:sz w:val="22"/>
          <w:szCs w:val="22"/>
          <w:lang w:val="es-MX"/>
        </w:rPr>
        <w:t>9</w:t>
      </w:r>
      <w:r w:rsidR="00441A0E">
        <w:rPr>
          <w:color w:val="000000"/>
          <w:sz w:val="22"/>
          <w:szCs w:val="22"/>
          <w:lang w:val="es-MX"/>
        </w:rPr>
        <w:t xml:space="preserve"> mayo</w:t>
      </w:r>
      <w:r w:rsidRPr="00C64177">
        <w:rPr>
          <w:color w:val="000000"/>
          <w:sz w:val="22"/>
          <w:szCs w:val="22"/>
          <w:lang w:val="es-MX"/>
        </w:rPr>
        <w:t xml:space="preserve"> 2024</w:t>
      </w:r>
    </w:p>
    <w:p w14:paraId="66E78DDB" w14:textId="22C1764B" w:rsidR="00733F07" w:rsidRPr="00D408B1" w:rsidRDefault="00733F07" w:rsidP="00733F07">
      <w:pPr>
        <w:widowControl/>
        <w:tabs>
          <w:tab w:val="clear" w:pos="720"/>
          <w:tab w:val="clear" w:pos="1440"/>
          <w:tab w:val="clear" w:pos="2160"/>
          <w:tab w:val="clear" w:pos="3600"/>
          <w:tab w:val="clear" w:pos="4320"/>
          <w:tab w:val="clear" w:pos="5760"/>
          <w:tab w:val="clear" w:pos="6480"/>
          <w:tab w:val="clear" w:pos="7920"/>
          <w:tab w:val="center" w:pos="2880"/>
        </w:tabs>
        <w:rPr>
          <w:noProof/>
          <w:color w:val="000000"/>
          <w:sz w:val="22"/>
          <w:lang w:val="es-MX"/>
        </w:rPr>
      </w:pPr>
      <w:r w:rsidRPr="00D408B1">
        <w:rPr>
          <w:color w:val="000000"/>
          <w:sz w:val="22"/>
          <w:lang w:val="es-MX"/>
        </w:rPr>
        <w:tab/>
      </w:r>
      <w:r w:rsidRPr="00D408B1">
        <w:rPr>
          <w:color w:val="000000"/>
          <w:sz w:val="22"/>
          <w:lang w:val="es-MX"/>
        </w:rPr>
        <w:tab/>
        <w:t xml:space="preserve">Original: </w:t>
      </w:r>
      <w:r w:rsidR="00441A0E">
        <w:rPr>
          <w:color w:val="000000"/>
          <w:sz w:val="22"/>
          <w:lang w:val="es-MX"/>
        </w:rPr>
        <w:t xml:space="preserve">español </w:t>
      </w:r>
    </w:p>
    <w:p w14:paraId="5C3A06B7"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eastAsia="es-ES"/>
        </w:rPr>
      </w:pPr>
    </w:p>
    <w:p w14:paraId="3920737F"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rPr>
      </w:pPr>
    </w:p>
    <w:p w14:paraId="2CFBA0E3"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color w:val="000000"/>
          <w:sz w:val="22"/>
          <w:szCs w:val="22"/>
          <w:lang w:val="es-MX"/>
        </w:rPr>
      </w:pPr>
    </w:p>
    <w:bookmarkEnd w:id="0"/>
    <w:p w14:paraId="4C57DE75"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61FE1EF8"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6CF70295"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5B2AFCF2"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B36C2A2"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ED577DA"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7E63A61B"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4FE857B0"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F78DAC6"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7A6D9D9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5A449F5F"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15A2EBC9"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263C438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noProof/>
          <w:color w:val="000000"/>
          <w:sz w:val="22"/>
          <w:szCs w:val="22"/>
          <w:lang w:val="es-MX"/>
        </w:rPr>
      </w:pPr>
    </w:p>
    <w:p w14:paraId="2103D196" w14:textId="77777777" w:rsidR="00670C49" w:rsidRDefault="00670C49" w:rsidP="00733F07">
      <w:pPr>
        <w:jc w:val="center"/>
        <w:rPr>
          <w:color w:val="000000"/>
          <w:sz w:val="22"/>
          <w:lang w:val="es-MX"/>
        </w:rPr>
      </w:pPr>
      <w:r w:rsidRPr="00670C49">
        <w:rPr>
          <w:color w:val="000000"/>
          <w:sz w:val="22"/>
          <w:lang w:val="es-MX"/>
        </w:rPr>
        <w:t xml:space="preserve">NOTA DE LA MISIÓN PERMANENTE DE COLOMBIA MEDIANTE LA CUAL SOLICITA LA INCLUSIÓN DE UN EVENTO PARALELO EN EL ANEXO DEL PROYECTO DE CALENDARIO DEL QUINCUAGÉSIMO CUARTO PERÍODO ORDINARIO DE SESIONES DE LA ASAMBLEA GENERAL </w:t>
      </w:r>
    </w:p>
    <w:p w14:paraId="5D3B1F05" w14:textId="77777777" w:rsidR="00670C49" w:rsidRDefault="00670C49" w:rsidP="00733F07">
      <w:pPr>
        <w:jc w:val="center"/>
        <w:rPr>
          <w:color w:val="000000"/>
          <w:sz w:val="22"/>
          <w:lang w:val="es-MX"/>
        </w:rPr>
      </w:pPr>
    </w:p>
    <w:p w14:paraId="70F867A3" w14:textId="2A8C2383" w:rsidR="00733F07" w:rsidRPr="00670C49" w:rsidRDefault="00670C49" w:rsidP="00733F07">
      <w:pPr>
        <w:jc w:val="center"/>
        <w:rPr>
          <w:noProof/>
          <w:color w:val="000000"/>
          <w:sz w:val="22"/>
          <w:lang w:val="es-US"/>
        </w:rPr>
      </w:pPr>
      <w:r w:rsidRPr="00670C49">
        <w:rPr>
          <w:color w:val="000000"/>
          <w:sz w:val="22"/>
          <w:lang w:val="es-MX"/>
        </w:rPr>
        <w:t>(Nota conceptual adjunta)</w:t>
      </w:r>
    </w:p>
    <w:p w14:paraId="04ACDC3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noProof/>
          <w:color w:val="000000"/>
          <w:sz w:val="22"/>
          <w:szCs w:val="22"/>
          <w:lang w:val="es-MX"/>
        </w:rPr>
      </w:pPr>
    </w:p>
    <w:p w14:paraId="7689EC18"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noProof/>
          <w:color w:val="000000"/>
          <w:sz w:val="22"/>
          <w:szCs w:val="22"/>
          <w:lang w:val="es-MX"/>
        </w:rPr>
      </w:pPr>
    </w:p>
    <w:p w14:paraId="2433500E" w14:textId="77777777" w:rsidR="00733F07" w:rsidRPr="00D408B1" w:rsidRDefault="00733F07" w:rsidP="00733F0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noProof/>
          <w:color w:val="000000"/>
          <w:sz w:val="22"/>
          <w:szCs w:val="22"/>
          <w:lang w:val="es-MX"/>
        </w:rPr>
        <w:sectPr w:rsidR="00733F07" w:rsidRPr="00D408B1" w:rsidSect="00C64177">
          <w:headerReference w:type="default" r:id="rId10"/>
          <w:headerReference w:type="first" r:id="rId11"/>
          <w:type w:val="oddPage"/>
          <w:pgSz w:w="12240" w:h="15840" w:code="1"/>
          <w:pgMar w:top="2160" w:right="1570" w:bottom="1296" w:left="1699" w:header="720" w:footer="720" w:gutter="0"/>
          <w:cols w:space="720"/>
          <w:titlePg/>
          <w:docGrid w:linePitch="360"/>
        </w:sectPr>
      </w:pPr>
    </w:p>
    <w:p w14:paraId="4C2BF127" w14:textId="5BED07B9" w:rsidR="00027969" w:rsidRPr="00027969" w:rsidRDefault="00670C49" w:rsidP="00670C49">
      <w:pPr>
        <w:pStyle w:val="BodyText"/>
        <w:spacing w:before="0" w:beforeAutospacing="0" w:after="0" w:afterAutospacing="0"/>
        <w:jc w:val="center"/>
        <w:rPr>
          <w:rFonts w:cs="Times New Roman"/>
          <w:b/>
          <w:sz w:val="22"/>
          <w:szCs w:val="22"/>
        </w:rPr>
      </w:pPr>
      <w:r>
        <w:rPr>
          <w:rFonts w:cs="Times New Roman"/>
          <w:b/>
          <w:noProof/>
          <w:sz w:val="22"/>
          <w:szCs w:val="22"/>
        </w:rPr>
        <w:lastRenderedPageBreak/>
        <w:drawing>
          <wp:inline distT="0" distB="0" distL="0" distR="0" wp14:anchorId="727F7E19" wp14:editId="0B19AA18">
            <wp:extent cx="5724525" cy="7400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7400925"/>
                    </a:xfrm>
                    <a:prstGeom prst="rect">
                      <a:avLst/>
                    </a:prstGeom>
                    <a:noFill/>
                    <a:ln>
                      <a:noFill/>
                    </a:ln>
                  </pic:spPr>
                </pic:pic>
              </a:graphicData>
            </a:graphic>
          </wp:inline>
        </w:drawing>
      </w:r>
    </w:p>
    <w:p w14:paraId="61F6DD62" w14:textId="7E5FE843" w:rsidR="00670C49" w:rsidRDefault="00670C4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cs="Arial"/>
          <w:noProof/>
          <w:sz w:val="22"/>
          <w:szCs w:val="22"/>
          <w:lang w:val="es-MX"/>
        </w:rPr>
      </w:pPr>
      <w:r>
        <w:rPr>
          <w:noProof/>
          <w:sz w:val="22"/>
          <w:szCs w:val="22"/>
          <w:lang w:val="es-MX"/>
        </w:rPr>
        <w:br w:type="page"/>
      </w:r>
    </w:p>
    <w:p w14:paraId="08266F5F" w14:textId="77777777" w:rsidR="00670C49" w:rsidRPr="00670C49" w:rsidRDefault="00670C49" w:rsidP="00670C49">
      <w:pPr>
        <w:pStyle w:val="paragraph"/>
        <w:ind w:right="441"/>
        <w:jc w:val="center"/>
        <w:textAlignment w:val="baseline"/>
        <w:rPr>
          <w:rStyle w:val="eop"/>
          <w:rFonts w:ascii="Montserrat" w:eastAsia="Work Sans" w:hAnsi="Montserrat" w:cs="Segoe UI"/>
          <w:b/>
          <w:bCs/>
          <w:color w:val="657C9C" w:themeColor="text2" w:themeTint="BF"/>
          <w:sz w:val="20"/>
          <w:szCs w:val="20"/>
        </w:rPr>
      </w:pPr>
      <w:r w:rsidRPr="00670C49">
        <w:rPr>
          <w:rStyle w:val="eop"/>
          <w:rFonts w:ascii="Montserrat" w:eastAsia="Work Sans" w:hAnsi="Montserrat" w:cs="Segoe UI"/>
          <w:b/>
          <w:bCs/>
          <w:color w:val="657C9C" w:themeColor="text2" w:themeTint="BF"/>
          <w:sz w:val="20"/>
          <w:szCs w:val="20"/>
        </w:rPr>
        <w:lastRenderedPageBreak/>
        <w:t>EVENTO PARALELO EN LA ASAMBLEA DE LA ORGANIZACIÓN DE ESTADOS AMERICANOS</w:t>
      </w:r>
    </w:p>
    <w:p w14:paraId="458B54F8"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657C9C" w:themeColor="text2" w:themeTint="BF"/>
          <w:sz w:val="20"/>
          <w:szCs w:val="20"/>
        </w:rPr>
      </w:pPr>
      <w:r w:rsidRPr="00670C49">
        <w:rPr>
          <w:rStyle w:val="eop"/>
          <w:rFonts w:ascii="Montserrat" w:eastAsia="Work Sans" w:hAnsi="Montserrat" w:cs="Segoe UI"/>
          <w:b/>
          <w:bCs/>
          <w:color w:val="000000"/>
          <w:sz w:val="20"/>
          <w:szCs w:val="20"/>
        </w:rPr>
        <w:t xml:space="preserve">Título: </w:t>
      </w:r>
      <w:r w:rsidRPr="00670C49">
        <w:rPr>
          <w:rStyle w:val="eop"/>
          <w:rFonts w:ascii="Montserrat" w:eastAsia="Work Sans" w:hAnsi="Montserrat" w:cs="Segoe UI"/>
          <w:b/>
          <w:bCs/>
          <w:color w:val="657C9C" w:themeColor="text2" w:themeTint="BF"/>
          <w:sz w:val="20"/>
          <w:szCs w:val="20"/>
        </w:rPr>
        <w:t>El rol de la OEA y la Comunidad Internacional en la construcción de la paz en Colombia.</w:t>
      </w:r>
    </w:p>
    <w:p w14:paraId="0D47968C"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rPr>
      </w:pPr>
      <w:r w:rsidRPr="00670C49">
        <w:rPr>
          <w:rStyle w:val="eop"/>
          <w:rFonts w:ascii="Montserrat" w:eastAsia="Work Sans" w:hAnsi="Montserrat" w:cs="Segoe UI"/>
          <w:b/>
          <w:bCs/>
          <w:color w:val="000000"/>
          <w:sz w:val="20"/>
          <w:szCs w:val="20"/>
        </w:rPr>
        <w:t xml:space="preserve">Contexto: </w:t>
      </w:r>
    </w:p>
    <w:p w14:paraId="0E673448"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El apoyo político, técnico y financiero de la comunidad internacional ha sido y continuará siendo clave en el camino hacia la paz en Colombia y la implementación integral de lo pactado, haciendo posible, de diferentes formas; sostener y dinamizar la construcción de paz e impulsar a las comunidades y distintos actores para avanzar en ese propósito, teniendo en cuenta la territorialidad de la paz que involucra criterios culturales, étnicos y las dinámicas del conflicto en cada territorio.</w:t>
      </w:r>
    </w:p>
    <w:p w14:paraId="284D6335"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El 6 de febrero de 2024 se cumplieron 20 años de la firma de la resolución de la Organización de los Estados Americanos, con la cual el Consejo Permanente  autorizó la creación de la Misión de Apoyo al Proceso de Paz en Colombia (MAPP/OEA), una Misión política y técnica que se estableció por solicitud expresa del Gobierno colombiano, con el objetivo de acompañar los esfuerzos de paz del Estado y del pueblo colombiano directamente en las zonas más afectadas por el conflicto armado, la criminalidad y la inequidad. Convirtiéndose así, en la primera experiencia de verificación internacional de un cese de hostilidades en el país.</w:t>
      </w:r>
      <w:r w:rsidRPr="00670C49">
        <w:rPr>
          <w:rStyle w:val="eop"/>
          <w:rFonts w:eastAsia="Work Sans"/>
          <w:color w:val="000000"/>
          <w:sz w:val="20"/>
          <w:szCs w:val="20"/>
        </w:rPr>
        <w:t> </w:t>
      </w:r>
    </w:p>
    <w:p w14:paraId="3BE3B2CF"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 xml:space="preserve">La MAPP/OEA ha servido de facilitador y dinamizador de la implementación, jugando siempre un rol imparcial y en respeto de los principios de autonomía, imparcialidad y flexibilidad de cara a la sociedad civil y actores nacionales e internacionales. </w:t>
      </w:r>
    </w:p>
    <w:p w14:paraId="294F7EC6"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 xml:space="preserve">El acompañamiento de la comunidad internacional en lo político, lo técnico y lo financiero, ha permitido que los compromisos de los acuerdos sean respaldados e impulsados, en ocasiones en que la voluntad política ha sido insuficiente o escasa. </w:t>
      </w:r>
    </w:p>
    <w:p w14:paraId="69BF4805"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La experiencia de construcción de paz de la MAPP/OEA en Colombia constituye un activo para Organización y para el hemisferio, no solo por la búsqueda de una paz completa en Colombia y su impacto en la región, sino por las capacidades desarrolladas en términos de monitoreo y acompañamiento a los diálogos de paz, apoyo para el des escalamiento de conflictos, desarrollo de herramientas para la protección de la vigencia de los derechos fundamentales de las personas en medio de conflictos y para lograr que la vida y la población civil estén en el centro de toda iniciativa y asegurar el efectivo acceso de las víctimas a la verdad, la justicia, la reparación y a las garantías de no repetición.</w:t>
      </w:r>
    </w:p>
    <w:p w14:paraId="6F31CD04"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rPr>
      </w:pPr>
      <w:r w:rsidRPr="00670C49">
        <w:rPr>
          <w:rStyle w:val="eop"/>
          <w:rFonts w:ascii="Montserrat" w:eastAsia="Work Sans" w:hAnsi="Montserrat" w:cs="Segoe UI"/>
          <w:b/>
          <w:bCs/>
          <w:color w:val="000000"/>
          <w:sz w:val="20"/>
          <w:szCs w:val="20"/>
        </w:rPr>
        <w:t xml:space="preserve">Objetivo: </w:t>
      </w:r>
    </w:p>
    <w:p w14:paraId="6492F44F"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 xml:space="preserve">La Misión de Apoyo al Proceso de Paz en Colombia ha contribuido durante 20 años a la construcción de paz, su apoyo y el de la Comunidad internacional, han sido claves para que el país se mantenga en el camino hacia la Paz y se logre la implementación integral de lo pactado. </w:t>
      </w:r>
    </w:p>
    <w:p w14:paraId="74B35D3A"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rPr>
      </w:pPr>
      <w:r w:rsidRPr="00670C49">
        <w:rPr>
          <w:rStyle w:val="eop"/>
          <w:rFonts w:ascii="Montserrat" w:eastAsia="Work Sans" w:hAnsi="Montserrat" w:cs="Segoe UI"/>
          <w:color w:val="000000"/>
          <w:sz w:val="20"/>
          <w:szCs w:val="20"/>
        </w:rPr>
        <w:lastRenderedPageBreak/>
        <w:t>Esta experiencia, sus avances y retos merecen ser compartidas con los Estados Miembros y Observadores de la OEA, ya que constituyen un activo de la Organización que resulta útil para otros países del hemisferio y del mundo.</w:t>
      </w:r>
    </w:p>
    <w:p w14:paraId="200C74CE"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rPr>
      </w:pPr>
      <w:r w:rsidRPr="00670C49">
        <w:rPr>
          <w:rStyle w:val="eop"/>
          <w:rFonts w:ascii="Montserrat" w:eastAsia="Work Sans" w:hAnsi="Montserrat" w:cs="Segoe UI"/>
          <w:b/>
          <w:bCs/>
          <w:color w:val="000000"/>
          <w:sz w:val="20"/>
          <w:szCs w:val="20"/>
        </w:rPr>
        <w:t>Agenda propuesta del evento:</w:t>
      </w:r>
    </w:p>
    <w:p w14:paraId="18E9CAB2"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b/>
          <w:bCs/>
          <w:color w:val="000000"/>
          <w:sz w:val="20"/>
          <w:szCs w:val="20"/>
        </w:rPr>
        <w:t>Fecha:</w:t>
      </w:r>
      <w:r w:rsidRPr="00670C49">
        <w:rPr>
          <w:rStyle w:val="eop"/>
          <w:rFonts w:ascii="Montserrat" w:eastAsia="Work Sans" w:hAnsi="Montserrat" w:cs="Segoe UI"/>
          <w:color w:val="000000"/>
          <w:sz w:val="20"/>
          <w:szCs w:val="20"/>
        </w:rPr>
        <w:t xml:space="preserve"> junio de 2024</w:t>
      </w:r>
    </w:p>
    <w:p w14:paraId="5C11C98E"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lang w:val="pt-BR"/>
        </w:rPr>
      </w:pPr>
      <w:r w:rsidRPr="00670C49">
        <w:rPr>
          <w:rStyle w:val="eop"/>
          <w:rFonts w:ascii="Montserrat" w:eastAsia="Work Sans" w:hAnsi="Montserrat" w:cs="Segoe UI"/>
          <w:b/>
          <w:bCs/>
          <w:color w:val="000000"/>
          <w:sz w:val="20"/>
          <w:szCs w:val="20"/>
          <w:lang w:val="pt-BR"/>
        </w:rPr>
        <w:t xml:space="preserve">Hora: </w:t>
      </w:r>
      <w:r w:rsidRPr="00670C49">
        <w:rPr>
          <w:rStyle w:val="eop"/>
          <w:rFonts w:ascii="Montserrat" w:eastAsia="Work Sans" w:hAnsi="Montserrat" w:cs="Segoe UI"/>
          <w:color w:val="000000"/>
          <w:sz w:val="20"/>
          <w:szCs w:val="20"/>
          <w:lang w:val="pt-BR"/>
        </w:rPr>
        <w:t>a definir</w:t>
      </w:r>
    </w:p>
    <w:p w14:paraId="316E43F3" w14:textId="77777777" w:rsidR="00670C49" w:rsidRPr="00670C49" w:rsidRDefault="00670C49" w:rsidP="00670C49">
      <w:pPr>
        <w:pStyle w:val="paragraph"/>
        <w:ind w:right="441"/>
        <w:jc w:val="both"/>
        <w:textAlignment w:val="baseline"/>
        <w:rPr>
          <w:rStyle w:val="eop"/>
          <w:rFonts w:ascii="Montserrat" w:eastAsia="Work Sans" w:hAnsi="Montserrat" w:cs="Segoe UI"/>
          <w:b/>
          <w:bCs/>
          <w:color w:val="000000"/>
          <w:sz w:val="20"/>
          <w:szCs w:val="20"/>
          <w:lang w:val="pt-BR"/>
        </w:rPr>
      </w:pPr>
      <w:r w:rsidRPr="00670C49">
        <w:rPr>
          <w:rStyle w:val="eop"/>
          <w:rFonts w:ascii="Montserrat" w:eastAsia="Work Sans" w:hAnsi="Montserrat" w:cs="Segoe UI"/>
          <w:b/>
          <w:bCs/>
          <w:color w:val="000000"/>
          <w:sz w:val="20"/>
          <w:szCs w:val="20"/>
          <w:lang w:val="pt-BR"/>
        </w:rPr>
        <w:t xml:space="preserve">Lugar: </w:t>
      </w:r>
      <w:r w:rsidRPr="00670C49">
        <w:rPr>
          <w:rStyle w:val="eop"/>
          <w:rFonts w:ascii="Montserrat" w:eastAsia="Work Sans" w:hAnsi="Montserrat" w:cs="Segoe UI"/>
          <w:color w:val="000000"/>
          <w:sz w:val="20"/>
          <w:szCs w:val="20"/>
          <w:lang w:val="pt-BR"/>
        </w:rPr>
        <w:t>a definir</w:t>
      </w:r>
    </w:p>
    <w:p w14:paraId="6E318250" w14:textId="77777777" w:rsidR="00670C49" w:rsidRPr="00670C49" w:rsidRDefault="00670C49" w:rsidP="00670C49">
      <w:pPr>
        <w:pStyle w:val="paragraph"/>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b/>
          <w:bCs/>
          <w:color w:val="000000"/>
          <w:sz w:val="20"/>
          <w:szCs w:val="20"/>
        </w:rPr>
        <w:t>Anfitriones:</w:t>
      </w:r>
      <w:r w:rsidRPr="00670C49">
        <w:rPr>
          <w:rStyle w:val="eop"/>
          <w:rFonts w:ascii="Montserrat" w:eastAsia="Work Sans" w:hAnsi="Montserrat" w:cs="Segoe UI"/>
          <w:color w:val="000000"/>
          <w:sz w:val="20"/>
          <w:szCs w:val="20"/>
        </w:rPr>
        <w:t xml:space="preserve"> Colombia, MAPP OEA </w:t>
      </w:r>
    </w:p>
    <w:p w14:paraId="7C612A60" w14:textId="77777777" w:rsidR="00670C49" w:rsidRPr="00670C49" w:rsidRDefault="00670C49" w:rsidP="00670C49">
      <w:pPr>
        <w:pStyle w:val="paragraph"/>
        <w:ind w:right="441" w:firstLine="360"/>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 Llegada y registro</w:t>
      </w:r>
    </w:p>
    <w:p w14:paraId="36A393B2" w14:textId="77777777" w:rsidR="00670C49" w:rsidRPr="00670C49" w:rsidRDefault="00670C49" w:rsidP="00670C49">
      <w:pPr>
        <w:pStyle w:val="paragraph"/>
        <w:numPr>
          <w:ilvl w:val="0"/>
          <w:numId w:val="16"/>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Palabras de bienvenida a cargo del Canciller de Colombia, Luis Gilberto Murillo</w:t>
      </w:r>
    </w:p>
    <w:p w14:paraId="3C65E004" w14:textId="77777777" w:rsidR="00670C49" w:rsidRPr="00670C49" w:rsidRDefault="00670C49" w:rsidP="00670C49">
      <w:pPr>
        <w:pStyle w:val="paragraph"/>
        <w:numPr>
          <w:ilvl w:val="0"/>
          <w:numId w:val="16"/>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Panel moderado por Roberto Menéndez, Jefe de Misión. MAPP OEA con la participación de:</w:t>
      </w:r>
    </w:p>
    <w:p w14:paraId="2B4FD6D1"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Elizabeth Taylor Jay, Viceministra de Asuntos Multilaterales.</w:t>
      </w:r>
    </w:p>
    <w:p w14:paraId="30F0CFD7"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Luis Almagro, Secretario General de la OEA</w:t>
      </w:r>
    </w:p>
    <w:p w14:paraId="216242A0"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Frank Mora, Embajador Representante Permanente de los Estados Unidos ante la OEA,</w:t>
      </w:r>
    </w:p>
    <w:p w14:paraId="51A2AD98"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 xml:space="preserve">Representante de la Misión Observadora Permanente de Alemania ante la OEA </w:t>
      </w:r>
    </w:p>
    <w:p w14:paraId="68EA8645"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Carmen Montón Giménez, Embajadora Observadora Permanente del Reino de España ante la OEA.</w:t>
      </w:r>
    </w:p>
    <w:p w14:paraId="082DEE0B" w14:textId="77777777" w:rsidR="00670C49" w:rsidRPr="00670C49" w:rsidRDefault="00670C49" w:rsidP="00670C49">
      <w:pPr>
        <w:pStyle w:val="paragraph"/>
        <w:numPr>
          <w:ilvl w:val="0"/>
          <w:numId w:val="17"/>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Padre Francisco de Roux</w:t>
      </w:r>
    </w:p>
    <w:p w14:paraId="405E42A8" w14:textId="361BCFA5" w:rsidR="00733F07" w:rsidRPr="00670C49" w:rsidRDefault="00670C49" w:rsidP="00670C49">
      <w:pPr>
        <w:pStyle w:val="paragraph"/>
        <w:numPr>
          <w:ilvl w:val="0"/>
          <w:numId w:val="16"/>
        </w:numPr>
        <w:spacing w:line="360" w:lineRule="auto"/>
        <w:ind w:right="441"/>
        <w:jc w:val="both"/>
        <w:textAlignment w:val="baseline"/>
        <w:rPr>
          <w:rStyle w:val="eop"/>
          <w:rFonts w:ascii="Montserrat" w:eastAsia="Work Sans" w:hAnsi="Montserrat" w:cs="Segoe UI"/>
          <w:color w:val="000000"/>
          <w:sz w:val="20"/>
          <w:szCs w:val="20"/>
        </w:rPr>
      </w:pPr>
      <w:r w:rsidRPr="00670C49">
        <w:rPr>
          <w:rStyle w:val="eop"/>
          <w:rFonts w:ascii="Montserrat" w:eastAsia="Work Sans" w:hAnsi="Montserrat" w:cs="Segoe UI"/>
          <w:color w:val="000000"/>
          <w:sz w:val="20"/>
          <w:szCs w:val="20"/>
        </w:rPr>
        <w:t>Conclusiones a cargo del Embajador Luis Ernesto Vargas, Jefe de Misión de Colombia ante la OEA.</w:t>
      </w:r>
      <w:r>
        <w:rPr>
          <w:rFonts w:ascii="Montserrat" w:eastAsia="Work Sans" w:hAnsi="Montserrat" w:cs="Segoe UI"/>
          <w:noProof/>
          <w:color w:val="000000"/>
          <w:sz w:val="20"/>
          <w:szCs w:val="20"/>
          <w14:ligatures w14:val="none"/>
        </w:rPr>
        <mc:AlternateContent>
          <mc:Choice Requires="wps">
            <w:drawing>
              <wp:anchor distT="0" distB="0" distL="114300" distR="114300" simplePos="0" relativeHeight="251660288" behindDoc="0" locked="1" layoutInCell="1" allowOverlap="1" wp14:anchorId="63F9BE76" wp14:editId="7598C84B">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635E0B" w14:textId="33A0AFA3" w:rsidR="00670C49" w:rsidRPr="00670C49" w:rsidRDefault="00670C49">
                            <w:pPr>
                              <w:rPr>
                                <w:sz w:val="18"/>
                              </w:rPr>
                            </w:pPr>
                            <w:r>
                              <w:rPr>
                                <w:sz w:val="18"/>
                              </w:rPr>
                              <w:fldChar w:fldCharType="begin"/>
                            </w:r>
                            <w:r>
                              <w:rPr>
                                <w:sz w:val="18"/>
                              </w:rPr>
                              <w:instrText xml:space="preserve"> FILENAME  \* MERGEFORMAT </w:instrText>
                            </w:r>
                            <w:r>
                              <w:rPr>
                                <w:sz w:val="18"/>
                              </w:rPr>
                              <w:fldChar w:fldCharType="separate"/>
                            </w:r>
                            <w:r>
                              <w:rPr>
                                <w:noProof/>
                                <w:sz w:val="18"/>
                              </w:rPr>
                              <w:t>AG08981S01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9BE76"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3635E0B" w14:textId="33A0AFA3" w:rsidR="00670C49" w:rsidRPr="00670C49" w:rsidRDefault="00670C49">
                      <w:pPr>
                        <w:rPr>
                          <w:sz w:val="18"/>
                        </w:rPr>
                      </w:pPr>
                      <w:r>
                        <w:rPr>
                          <w:sz w:val="18"/>
                        </w:rPr>
                        <w:fldChar w:fldCharType="begin"/>
                      </w:r>
                      <w:r>
                        <w:rPr>
                          <w:sz w:val="18"/>
                        </w:rPr>
                        <w:instrText xml:space="preserve"> FILENAME  \* MERGEFORMAT </w:instrText>
                      </w:r>
                      <w:r>
                        <w:rPr>
                          <w:sz w:val="18"/>
                        </w:rPr>
                        <w:fldChar w:fldCharType="separate"/>
                      </w:r>
                      <w:r>
                        <w:rPr>
                          <w:noProof/>
                          <w:sz w:val="18"/>
                        </w:rPr>
                        <w:t>AG08981S01</w:t>
                      </w:r>
                      <w:r>
                        <w:rPr>
                          <w:sz w:val="18"/>
                        </w:rPr>
                        <w:fldChar w:fldCharType="end"/>
                      </w:r>
                    </w:p>
                  </w:txbxContent>
                </v:textbox>
                <w10:wrap anchory="page"/>
                <w10:anchorlock/>
              </v:shape>
            </w:pict>
          </mc:Fallback>
        </mc:AlternateContent>
      </w:r>
    </w:p>
    <w:sectPr w:rsidR="00733F07" w:rsidRPr="00670C49" w:rsidSect="00670C49">
      <w:footerReference w:type="default" r:id="rId13"/>
      <w:type w:val="oddPage"/>
      <w:pgSz w:w="12240" w:h="15840"/>
      <w:pgMar w:top="2160" w:right="153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22989" w14:textId="77777777" w:rsidR="00875E4F" w:rsidRPr="00733F07" w:rsidRDefault="00875E4F" w:rsidP="00DD1B78">
      <w:pPr>
        <w:rPr>
          <w:noProof/>
        </w:rPr>
      </w:pPr>
      <w:r w:rsidRPr="00733F07">
        <w:rPr>
          <w:noProof/>
        </w:rPr>
        <w:separator/>
      </w:r>
    </w:p>
  </w:endnote>
  <w:endnote w:type="continuationSeparator" w:id="0">
    <w:p w14:paraId="4841EB10" w14:textId="77777777" w:rsidR="00875E4F" w:rsidRPr="00733F07" w:rsidRDefault="00875E4F" w:rsidP="00DD1B78">
      <w:pPr>
        <w:rPr>
          <w:noProof/>
        </w:rPr>
      </w:pPr>
      <w:r w:rsidRPr="00733F0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3811" w14:textId="303B1785" w:rsidR="002E09F8" w:rsidRPr="00733F07" w:rsidRDefault="002E09F8" w:rsidP="002E09F8">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right="2902"/>
      <w:rPr>
        <w:noProof/>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3F3D0" w14:textId="77777777" w:rsidR="00875E4F" w:rsidRPr="00733F07" w:rsidRDefault="00875E4F" w:rsidP="00DD1B78">
      <w:pPr>
        <w:rPr>
          <w:noProof/>
        </w:rPr>
      </w:pPr>
      <w:r w:rsidRPr="00733F07">
        <w:rPr>
          <w:noProof/>
        </w:rPr>
        <w:separator/>
      </w:r>
    </w:p>
  </w:footnote>
  <w:footnote w:type="continuationSeparator" w:id="0">
    <w:p w14:paraId="3FDC0DD4" w14:textId="77777777" w:rsidR="00875E4F" w:rsidRPr="00733F07" w:rsidRDefault="00875E4F" w:rsidP="00DD1B78">
      <w:pPr>
        <w:rPr>
          <w:noProof/>
        </w:rPr>
      </w:pPr>
      <w:r w:rsidRPr="00733F0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7542658"/>
      <w:docPartObj>
        <w:docPartGallery w:val="Page Numbers (Top of Page)"/>
        <w:docPartUnique/>
      </w:docPartObj>
    </w:sdtPr>
    <w:sdtEndPr>
      <w:rPr>
        <w:noProof/>
        <w:sz w:val="22"/>
        <w:szCs w:val="22"/>
      </w:rPr>
    </w:sdtEndPr>
    <w:sdtContent>
      <w:p w14:paraId="5A8C4598" w14:textId="4EB00532" w:rsidR="00670C49" w:rsidRPr="00670C49" w:rsidRDefault="00670C49">
        <w:pPr>
          <w:pStyle w:val="Header"/>
          <w:jc w:val="center"/>
          <w:rPr>
            <w:sz w:val="22"/>
            <w:szCs w:val="22"/>
          </w:rPr>
        </w:pPr>
        <w:r w:rsidRPr="00670C49">
          <w:rPr>
            <w:sz w:val="22"/>
            <w:szCs w:val="22"/>
          </w:rPr>
          <w:fldChar w:fldCharType="begin"/>
        </w:r>
        <w:r w:rsidRPr="00670C49">
          <w:rPr>
            <w:sz w:val="22"/>
            <w:szCs w:val="22"/>
          </w:rPr>
          <w:instrText xml:space="preserve"> PAGE   \* MERGEFORMAT </w:instrText>
        </w:r>
        <w:r w:rsidRPr="00670C49">
          <w:rPr>
            <w:sz w:val="22"/>
            <w:szCs w:val="22"/>
          </w:rPr>
          <w:fldChar w:fldCharType="separate"/>
        </w:r>
        <w:r w:rsidRPr="00670C49">
          <w:rPr>
            <w:noProof/>
            <w:sz w:val="22"/>
            <w:szCs w:val="22"/>
          </w:rPr>
          <w:t>2</w:t>
        </w:r>
        <w:r w:rsidRPr="00670C49">
          <w:rPr>
            <w:noProof/>
            <w:sz w:val="22"/>
            <w:szCs w:val="22"/>
          </w:rPr>
          <w:fldChar w:fldCharType="end"/>
        </w:r>
      </w:p>
    </w:sdtContent>
  </w:sdt>
  <w:p w14:paraId="6CB52CB5" w14:textId="77777777" w:rsidR="00670C49" w:rsidRDefault="0067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rPr>
      <w:id w:val="880831073"/>
      <w:docPartObj>
        <w:docPartGallery w:val="Page Numbers (Top of Page)"/>
        <w:docPartUnique/>
      </w:docPartObj>
    </w:sdtPr>
    <w:sdtEndPr/>
    <w:sdtContent>
      <w:p w14:paraId="6D7F81E8" w14:textId="77777777" w:rsidR="00733F07" w:rsidRPr="00733F07" w:rsidRDefault="005B6223">
        <w:pPr>
          <w:pStyle w:val="Header"/>
          <w:jc w:val="center"/>
          <w:rPr>
            <w:noProof/>
          </w:rPr>
        </w:pPr>
      </w:p>
    </w:sdtContent>
  </w:sdt>
  <w:p w14:paraId="4FA78263" w14:textId="77777777" w:rsidR="00733F07" w:rsidRPr="00733F07" w:rsidRDefault="00733F0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B5C4E"/>
    <w:multiLevelType w:val="hybridMultilevel"/>
    <w:tmpl w:val="29A630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50385"/>
    <w:multiLevelType w:val="hybridMultilevel"/>
    <w:tmpl w:val="4A34435C"/>
    <w:lvl w:ilvl="0" w:tplc="6E2C0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90C81"/>
    <w:multiLevelType w:val="hybridMultilevel"/>
    <w:tmpl w:val="A740D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16" w15:restartNumberingAfterBreak="0">
    <w:nsid w:val="6FAF6068"/>
    <w:multiLevelType w:val="hybridMultilevel"/>
    <w:tmpl w:val="D75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806738">
    <w:abstractNumId w:val="1"/>
  </w:num>
  <w:num w:numId="2" w16cid:durableId="517819082">
    <w:abstractNumId w:val="6"/>
  </w:num>
  <w:num w:numId="3" w16cid:durableId="673191942">
    <w:abstractNumId w:val="4"/>
  </w:num>
  <w:num w:numId="4" w16cid:durableId="1198006419">
    <w:abstractNumId w:val="0"/>
  </w:num>
  <w:num w:numId="5" w16cid:durableId="695470679">
    <w:abstractNumId w:val="13"/>
  </w:num>
  <w:num w:numId="6" w16cid:durableId="367531128">
    <w:abstractNumId w:val="10"/>
  </w:num>
  <w:num w:numId="7" w16cid:durableId="249243477">
    <w:abstractNumId w:val="5"/>
  </w:num>
  <w:num w:numId="8" w16cid:durableId="1644385892">
    <w:abstractNumId w:val="8"/>
  </w:num>
  <w:num w:numId="9" w16cid:durableId="1722900462">
    <w:abstractNumId w:val="3"/>
  </w:num>
  <w:num w:numId="10" w16cid:durableId="1085608383">
    <w:abstractNumId w:val="14"/>
  </w:num>
  <w:num w:numId="11" w16cid:durableId="1442651709">
    <w:abstractNumId w:val="7"/>
  </w:num>
  <w:num w:numId="12" w16cid:durableId="58402828">
    <w:abstractNumId w:val="2"/>
  </w:num>
  <w:num w:numId="13" w16cid:durableId="1921914040">
    <w:abstractNumId w:val="15"/>
  </w:num>
  <w:num w:numId="14" w16cid:durableId="789783032">
    <w:abstractNumId w:val="12"/>
  </w:num>
  <w:num w:numId="15" w16cid:durableId="288634314">
    <w:abstractNumId w:val="11"/>
  </w:num>
  <w:num w:numId="16" w16cid:durableId="101848130">
    <w:abstractNumId w:val="16"/>
  </w:num>
  <w:num w:numId="17" w16cid:durableId="130936149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 w:name="dgnword-docGUID" w:val="{8AE0E2EB-1C94-47E7-8F5B-1C35AF6D975D}"/>
    <w:docVar w:name="dgnword-eventsink" w:val="2718142254720"/>
  </w:docVars>
  <w:rsids>
    <w:rsidRoot w:val="00DD1B78"/>
    <w:rsid w:val="00001044"/>
    <w:rsid w:val="00003755"/>
    <w:rsid w:val="000133D2"/>
    <w:rsid w:val="00020D91"/>
    <w:rsid w:val="00023843"/>
    <w:rsid w:val="00027969"/>
    <w:rsid w:val="00036267"/>
    <w:rsid w:val="000425F8"/>
    <w:rsid w:val="00042F3D"/>
    <w:rsid w:val="00045AF3"/>
    <w:rsid w:val="000576AB"/>
    <w:rsid w:val="00060B5A"/>
    <w:rsid w:val="000671E9"/>
    <w:rsid w:val="000675ED"/>
    <w:rsid w:val="00070239"/>
    <w:rsid w:val="00074BED"/>
    <w:rsid w:val="0008553F"/>
    <w:rsid w:val="000919E9"/>
    <w:rsid w:val="000B1EB5"/>
    <w:rsid w:val="000D18D1"/>
    <w:rsid w:val="000D3D02"/>
    <w:rsid w:val="000D5FDB"/>
    <w:rsid w:val="000F5521"/>
    <w:rsid w:val="000F5EC4"/>
    <w:rsid w:val="00104F38"/>
    <w:rsid w:val="001130C1"/>
    <w:rsid w:val="0012190B"/>
    <w:rsid w:val="001247DD"/>
    <w:rsid w:val="001249C4"/>
    <w:rsid w:val="00126BFB"/>
    <w:rsid w:val="00135F50"/>
    <w:rsid w:val="00141C21"/>
    <w:rsid w:val="00146508"/>
    <w:rsid w:val="00151016"/>
    <w:rsid w:val="001511F0"/>
    <w:rsid w:val="00156FF3"/>
    <w:rsid w:val="00165ED3"/>
    <w:rsid w:val="00170E39"/>
    <w:rsid w:val="00171F67"/>
    <w:rsid w:val="001841EE"/>
    <w:rsid w:val="00184CF3"/>
    <w:rsid w:val="00185F68"/>
    <w:rsid w:val="00186050"/>
    <w:rsid w:val="0019279F"/>
    <w:rsid w:val="001954FD"/>
    <w:rsid w:val="00195644"/>
    <w:rsid w:val="001A5289"/>
    <w:rsid w:val="001B1D37"/>
    <w:rsid w:val="001B2B0E"/>
    <w:rsid w:val="001B3D68"/>
    <w:rsid w:val="001B5031"/>
    <w:rsid w:val="001B56F6"/>
    <w:rsid w:val="001C5232"/>
    <w:rsid w:val="001C716A"/>
    <w:rsid w:val="001D4B0C"/>
    <w:rsid w:val="001E3476"/>
    <w:rsid w:val="001E3B35"/>
    <w:rsid w:val="001F1327"/>
    <w:rsid w:val="001F3134"/>
    <w:rsid w:val="001F7DE4"/>
    <w:rsid w:val="002063CC"/>
    <w:rsid w:val="002074EB"/>
    <w:rsid w:val="002147BF"/>
    <w:rsid w:val="00215115"/>
    <w:rsid w:val="0021556C"/>
    <w:rsid w:val="002328FD"/>
    <w:rsid w:val="00236AB7"/>
    <w:rsid w:val="0025450A"/>
    <w:rsid w:val="002658BC"/>
    <w:rsid w:val="00266017"/>
    <w:rsid w:val="002663AF"/>
    <w:rsid w:val="00270337"/>
    <w:rsid w:val="00273664"/>
    <w:rsid w:val="00280624"/>
    <w:rsid w:val="0028509B"/>
    <w:rsid w:val="00293A84"/>
    <w:rsid w:val="002A0106"/>
    <w:rsid w:val="002A6651"/>
    <w:rsid w:val="002B01D9"/>
    <w:rsid w:val="002B1B33"/>
    <w:rsid w:val="002B2F9C"/>
    <w:rsid w:val="002B733D"/>
    <w:rsid w:val="002C1835"/>
    <w:rsid w:val="002C4BAF"/>
    <w:rsid w:val="002C625E"/>
    <w:rsid w:val="002D0968"/>
    <w:rsid w:val="002D15AB"/>
    <w:rsid w:val="002E09F8"/>
    <w:rsid w:val="002E576B"/>
    <w:rsid w:val="002F27ED"/>
    <w:rsid w:val="002F5D8C"/>
    <w:rsid w:val="002F5ED8"/>
    <w:rsid w:val="002F75E2"/>
    <w:rsid w:val="00307E7D"/>
    <w:rsid w:val="003130AB"/>
    <w:rsid w:val="00316C90"/>
    <w:rsid w:val="00320867"/>
    <w:rsid w:val="00321389"/>
    <w:rsid w:val="00321A59"/>
    <w:rsid w:val="0032578F"/>
    <w:rsid w:val="00327945"/>
    <w:rsid w:val="003319C0"/>
    <w:rsid w:val="003378FC"/>
    <w:rsid w:val="00340D9B"/>
    <w:rsid w:val="00344553"/>
    <w:rsid w:val="00351817"/>
    <w:rsid w:val="00351F8B"/>
    <w:rsid w:val="003556A8"/>
    <w:rsid w:val="003576A7"/>
    <w:rsid w:val="00364199"/>
    <w:rsid w:val="00365BBE"/>
    <w:rsid w:val="003773A3"/>
    <w:rsid w:val="00380C90"/>
    <w:rsid w:val="003821AC"/>
    <w:rsid w:val="00384FF5"/>
    <w:rsid w:val="00391A8F"/>
    <w:rsid w:val="00393E94"/>
    <w:rsid w:val="00395FC7"/>
    <w:rsid w:val="00396405"/>
    <w:rsid w:val="003B1CCA"/>
    <w:rsid w:val="003C169E"/>
    <w:rsid w:val="003C280A"/>
    <w:rsid w:val="003C6DA6"/>
    <w:rsid w:val="003C7EDB"/>
    <w:rsid w:val="003D010C"/>
    <w:rsid w:val="003D7A3D"/>
    <w:rsid w:val="003E2E22"/>
    <w:rsid w:val="003E5B50"/>
    <w:rsid w:val="003E67AC"/>
    <w:rsid w:val="003F4ADB"/>
    <w:rsid w:val="00402102"/>
    <w:rsid w:val="0040412C"/>
    <w:rsid w:val="00427D7C"/>
    <w:rsid w:val="0043231C"/>
    <w:rsid w:val="00441A0E"/>
    <w:rsid w:val="0045019A"/>
    <w:rsid w:val="00456B4F"/>
    <w:rsid w:val="004643BA"/>
    <w:rsid w:val="00466BD8"/>
    <w:rsid w:val="00466E38"/>
    <w:rsid w:val="004924ED"/>
    <w:rsid w:val="004A060B"/>
    <w:rsid w:val="004A2411"/>
    <w:rsid w:val="004A302C"/>
    <w:rsid w:val="004A3182"/>
    <w:rsid w:val="004A37FA"/>
    <w:rsid w:val="004A4FC4"/>
    <w:rsid w:val="004A5295"/>
    <w:rsid w:val="004A7360"/>
    <w:rsid w:val="004C5E11"/>
    <w:rsid w:val="004C6C91"/>
    <w:rsid w:val="004D014F"/>
    <w:rsid w:val="004D6AD5"/>
    <w:rsid w:val="004E7107"/>
    <w:rsid w:val="004F731B"/>
    <w:rsid w:val="004F750B"/>
    <w:rsid w:val="00507206"/>
    <w:rsid w:val="0051138A"/>
    <w:rsid w:val="0051327E"/>
    <w:rsid w:val="00516600"/>
    <w:rsid w:val="005215B3"/>
    <w:rsid w:val="005247BA"/>
    <w:rsid w:val="00524DE7"/>
    <w:rsid w:val="00532B8D"/>
    <w:rsid w:val="00534392"/>
    <w:rsid w:val="005437B2"/>
    <w:rsid w:val="00545357"/>
    <w:rsid w:val="00553EB9"/>
    <w:rsid w:val="005548BA"/>
    <w:rsid w:val="00554CEA"/>
    <w:rsid w:val="00557B68"/>
    <w:rsid w:val="0056142A"/>
    <w:rsid w:val="005748B1"/>
    <w:rsid w:val="00581D03"/>
    <w:rsid w:val="005B495F"/>
    <w:rsid w:val="005B6223"/>
    <w:rsid w:val="005C1062"/>
    <w:rsid w:val="005C36BC"/>
    <w:rsid w:val="005E0FBD"/>
    <w:rsid w:val="005E335E"/>
    <w:rsid w:val="005E61AF"/>
    <w:rsid w:val="005E6E9C"/>
    <w:rsid w:val="005F09B6"/>
    <w:rsid w:val="005F354A"/>
    <w:rsid w:val="005F3C7D"/>
    <w:rsid w:val="005F4C4F"/>
    <w:rsid w:val="005F7DDD"/>
    <w:rsid w:val="00600660"/>
    <w:rsid w:val="006044FB"/>
    <w:rsid w:val="00620AC1"/>
    <w:rsid w:val="006210B0"/>
    <w:rsid w:val="00624B6A"/>
    <w:rsid w:val="00650952"/>
    <w:rsid w:val="00650D9A"/>
    <w:rsid w:val="0065467E"/>
    <w:rsid w:val="00670A55"/>
    <w:rsid w:val="00670C49"/>
    <w:rsid w:val="00673784"/>
    <w:rsid w:val="00676AAC"/>
    <w:rsid w:val="00680E69"/>
    <w:rsid w:val="00691DD2"/>
    <w:rsid w:val="006A0535"/>
    <w:rsid w:val="006A2C02"/>
    <w:rsid w:val="006B2133"/>
    <w:rsid w:val="006C3571"/>
    <w:rsid w:val="006C6CD9"/>
    <w:rsid w:val="006D374C"/>
    <w:rsid w:val="006D3A6E"/>
    <w:rsid w:val="006D4379"/>
    <w:rsid w:val="006D4CE4"/>
    <w:rsid w:val="006E52E5"/>
    <w:rsid w:val="00706715"/>
    <w:rsid w:val="0070708E"/>
    <w:rsid w:val="007116BC"/>
    <w:rsid w:val="00725545"/>
    <w:rsid w:val="00727133"/>
    <w:rsid w:val="00733F07"/>
    <w:rsid w:val="007429EB"/>
    <w:rsid w:val="00744722"/>
    <w:rsid w:val="00750F98"/>
    <w:rsid w:val="00752226"/>
    <w:rsid w:val="00757FC8"/>
    <w:rsid w:val="007673FC"/>
    <w:rsid w:val="007819E3"/>
    <w:rsid w:val="0078443A"/>
    <w:rsid w:val="00785F7A"/>
    <w:rsid w:val="0079529D"/>
    <w:rsid w:val="007A7718"/>
    <w:rsid w:val="007B5383"/>
    <w:rsid w:val="007E029D"/>
    <w:rsid w:val="007E5F46"/>
    <w:rsid w:val="007E68B3"/>
    <w:rsid w:val="00801EE9"/>
    <w:rsid w:val="00806293"/>
    <w:rsid w:val="00814F97"/>
    <w:rsid w:val="00826AB8"/>
    <w:rsid w:val="00827D34"/>
    <w:rsid w:val="00831CCA"/>
    <w:rsid w:val="00835FFC"/>
    <w:rsid w:val="008422E5"/>
    <w:rsid w:val="00852BA0"/>
    <w:rsid w:val="0085448A"/>
    <w:rsid w:val="00854C42"/>
    <w:rsid w:val="00857C7D"/>
    <w:rsid w:val="00866585"/>
    <w:rsid w:val="0086701D"/>
    <w:rsid w:val="008706D8"/>
    <w:rsid w:val="00875E4F"/>
    <w:rsid w:val="0087791C"/>
    <w:rsid w:val="00880109"/>
    <w:rsid w:val="008815DC"/>
    <w:rsid w:val="00886E56"/>
    <w:rsid w:val="008A04B0"/>
    <w:rsid w:val="008A61F6"/>
    <w:rsid w:val="008C0799"/>
    <w:rsid w:val="008C3044"/>
    <w:rsid w:val="008C3DA9"/>
    <w:rsid w:val="008D1406"/>
    <w:rsid w:val="008D5E86"/>
    <w:rsid w:val="008E4C13"/>
    <w:rsid w:val="008E673A"/>
    <w:rsid w:val="008E6815"/>
    <w:rsid w:val="008F63C3"/>
    <w:rsid w:val="009000EA"/>
    <w:rsid w:val="00906CBC"/>
    <w:rsid w:val="00922D4E"/>
    <w:rsid w:val="00927335"/>
    <w:rsid w:val="00930373"/>
    <w:rsid w:val="009350A8"/>
    <w:rsid w:val="00954638"/>
    <w:rsid w:val="00957195"/>
    <w:rsid w:val="00963278"/>
    <w:rsid w:val="00971823"/>
    <w:rsid w:val="00972749"/>
    <w:rsid w:val="00972F7E"/>
    <w:rsid w:val="009813C3"/>
    <w:rsid w:val="00982CEF"/>
    <w:rsid w:val="00983B64"/>
    <w:rsid w:val="009909D2"/>
    <w:rsid w:val="0099259F"/>
    <w:rsid w:val="00995CD8"/>
    <w:rsid w:val="009A1616"/>
    <w:rsid w:val="009A2FF3"/>
    <w:rsid w:val="009A41C8"/>
    <w:rsid w:val="009A440B"/>
    <w:rsid w:val="009C5FF9"/>
    <w:rsid w:val="009D58FA"/>
    <w:rsid w:val="009D6560"/>
    <w:rsid w:val="009E7C85"/>
    <w:rsid w:val="009F3ED4"/>
    <w:rsid w:val="009F3F80"/>
    <w:rsid w:val="00A0182E"/>
    <w:rsid w:val="00A0523D"/>
    <w:rsid w:val="00A104F1"/>
    <w:rsid w:val="00A1527D"/>
    <w:rsid w:val="00A2090A"/>
    <w:rsid w:val="00A31140"/>
    <w:rsid w:val="00A31A94"/>
    <w:rsid w:val="00A33D86"/>
    <w:rsid w:val="00A35F51"/>
    <w:rsid w:val="00A43ED0"/>
    <w:rsid w:val="00A4609E"/>
    <w:rsid w:val="00A470D3"/>
    <w:rsid w:val="00A54DEA"/>
    <w:rsid w:val="00A603EB"/>
    <w:rsid w:val="00A6213B"/>
    <w:rsid w:val="00A705F6"/>
    <w:rsid w:val="00A72D6A"/>
    <w:rsid w:val="00A844B0"/>
    <w:rsid w:val="00A9417B"/>
    <w:rsid w:val="00AB2603"/>
    <w:rsid w:val="00AB5E9D"/>
    <w:rsid w:val="00AB63E1"/>
    <w:rsid w:val="00AC4A4E"/>
    <w:rsid w:val="00AD1350"/>
    <w:rsid w:val="00AD56FB"/>
    <w:rsid w:val="00AE1503"/>
    <w:rsid w:val="00AE3F09"/>
    <w:rsid w:val="00AF2E8D"/>
    <w:rsid w:val="00AF3E15"/>
    <w:rsid w:val="00AF7511"/>
    <w:rsid w:val="00B1018C"/>
    <w:rsid w:val="00B11821"/>
    <w:rsid w:val="00B160CA"/>
    <w:rsid w:val="00B16CB8"/>
    <w:rsid w:val="00B21A46"/>
    <w:rsid w:val="00B32318"/>
    <w:rsid w:val="00B346C2"/>
    <w:rsid w:val="00B34DE6"/>
    <w:rsid w:val="00B34EFD"/>
    <w:rsid w:val="00B449AA"/>
    <w:rsid w:val="00B54F98"/>
    <w:rsid w:val="00B61398"/>
    <w:rsid w:val="00B631C1"/>
    <w:rsid w:val="00B669FE"/>
    <w:rsid w:val="00B75E22"/>
    <w:rsid w:val="00B76B39"/>
    <w:rsid w:val="00B86C83"/>
    <w:rsid w:val="00B94D6C"/>
    <w:rsid w:val="00BA1753"/>
    <w:rsid w:val="00BA3A89"/>
    <w:rsid w:val="00BB0D79"/>
    <w:rsid w:val="00BB1B7C"/>
    <w:rsid w:val="00BB524E"/>
    <w:rsid w:val="00BC48A7"/>
    <w:rsid w:val="00BC4E59"/>
    <w:rsid w:val="00BC7EC9"/>
    <w:rsid w:val="00BD62D6"/>
    <w:rsid w:val="00BE06EA"/>
    <w:rsid w:val="00BF13BC"/>
    <w:rsid w:val="00BF1C0F"/>
    <w:rsid w:val="00BF249F"/>
    <w:rsid w:val="00BF260D"/>
    <w:rsid w:val="00C04B88"/>
    <w:rsid w:val="00C06A1A"/>
    <w:rsid w:val="00C1122C"/>
    <w:rsid w:val="00C11E43"/>
    <w:rsid w:val="00C12D8F"/>
    <w:rsid w:val="00C1389A"/>
    <w:rsid w:val="00C24318"/>
    <w:rsid w:val="00C35B2A"/>
    <w:rsid w:val="00C43E6E"/>
    <w:rsid w:val="00C44BF4"/>
    <w:rsid w:val="00C52655"/>
    <w:rsid w:val="00C53F9F"/>
    <w:rsid w:val="00C54862"/>
    <w:rsid w:val="00C64177"/>
    <w:rsid w:val="00C674A5"/>
    <w:rsid w:val="00C674B8"/>
    <w:rsid w:val="00C7283F"/>
    <w:rsid w:val="00C7446A"/>
    <w:rsid w:val="00C75852"/>
    <w:rsid w:val="00C76F33"/>
    <w:rsid w:val="00C775FC"/>
    <w:rsid w:val="00C8283D"/>
    <w:rsid w:val="00C8370F"/>
    <w:rsid w:val="00C84320"/>
    <w:rsid w:val="00C92E95"/>
    <w:rsid w:val="00C9387F"/>
    <w:rsid w:val="00C944F0"/>
    <w:rsid w:val="00C970FA"/>
    <w:rsid w:val="00CA21EA"/>
    <w:rsid w:val="00CB3750"/>
    <w:rsid w:val="00CC4B42"/>
    <w:rsid w:val="00CD3098"/>
    <w:rsid w:val="00CD57DB"/>
    <w:rsid w:val="00CE4EEE"/>
    <w:rsid w:val="00CF1366"/>
    <w:rsid w:val="00CF3346"/>
    <w:rsid w:val="00CF55EF"/>
    <w:rsid w:val="00D009C9"/>
    <w:rsid w:val="00D034E5"/>
    <w:rsid w:val="00D036C1"/>
    <w:rsid w:val="00D10881"/>
    <w:rsid w:val="00D125A8"/>
    <w:rsid w:val="00D21548"/>
    <w:rsid w:val="00D316A9"/>
    <w:rsid w:val="00D31AA7"/>
    <w:rsid w:val="00D341E0"/>
    <w:rsid w:val="00D367AA"/>
    <w:rsid w:val="00D408B1"/>
    <w:rsid w:val="00D43FE3"/>
    <w:rsid w:val="00D50621"/>
    <w:rsid w:val="00D57069"/>
    <w:rsid w:val="00D620A9"/>
    <w:rsid w:val="00D64CDA"/>
    <w:rsid w:val="00D748ED"/>
    <w:rsid w:val="00D8162B"/>
    <w:rsid w:val="00D821AF"/>
    <w:rsid w:val="00D82EFB"/>
    <w:rsid w:val="00D848DB"/>
    <w:rsid w:val="00D86399"/>
    <w:rsid w:val="00D93D92"/>
    <w:rsid w:val="00DB0BDB"/>
    <w:rsid w:val="00DC0BF5"/>
    <w:rsid w:val="00DC2C25"/>
    <w:rsid w:val="00DD1B78"/>
    <w:rsid w:val="00DD3B9B"/>
    <w:rsid w:val="00DD42AB"/>
    <w:rsid w:val="00DE05E7"/>
    <w:rsid w:val="00DE41A7"/>
    <w:rsid w:val="00DE6D79"/>
    <w:rsid w:val="00DE7D3B"/>
    <w:rsid w:val="00DF551C"/>
    <w:rsid w:val="00E00DE0"/>
    <w:rsid w:val="00E16DAE"/>
    <w:rsid w:val="00E214C5"/>
    <w:rsid w:val="00E2188A"/>
    <w:rsid w:val="00E24E1E"/>
    <w:rsid w:val="00E34B86"/>
    <w:rsid w:val="00E41178"/>
    <w:rsid w:val="00E44DE1"/>
    <w:rsid w:val="00E50136"/>
    <w:rsid w:val="00E61640"/>
    <w:rsid w:val="00E61DC6"/>
    <w:rsid w:val="00E70B8B"/>
    <w:rsid w:val="00E7625E"/>
    <w:rsid w:val="00E77843"/>
    <w:rsid w:val="00E821D1"/>
    <w:rsid w:val="00E83E6B"/>
    <w:rsid w:val="00E87CAA"/>
    <w:rsid w:val="00E907F9"/>
    <w:rsid w:val="00EA56B3"/>
    <w:rsid w:val="00EA6C36"/>
    <w:rsid w:val="00EA72EE"/>
    <w:rsid w:val="00EB60D9"/>
    <w:rsid w:val="00EB6D76"/>
    <w:rsid w:val="00EB6D8B"/>
    <w:rsid w:val="00EC181E"/>
    <w:rsid w:val="00ED3AAF"/>
    <w:rsid w:val="00EE11E9"/>
    <w:rsid w:val="00EE236F"/>
    <w:rsid w:val="00EE6AB2"/>
    <w:rsid w:val="00EF6027"/>
    <w:rsid w:val="00F029D9"/>
    <w:rsid w:val="00F071DB"/>
    <w:rsid w:val="00F11F60"/>
    <w:rsid w:val="00F12B3F"/>
    <w:rsid w:val="00F1448F"/>
    <w:rsid w:val="00F15158"/>
    <w:rsid w:val="00F20696"/>
    <w:rsid w:val="00F228BD"/>
    <w:rsid w:val="00F60211"/>
    <w:rsid w:val="00F650B2"/>
    <w:rsid w:val="00F67ED8"/>
    <w:rsid w:val="00F8566F"/>
    <w:rsid w:val="00F92D06"/>
    <w:rsid w:val="00F941C1"/>
    <w:rsid w:val="00F97AD7"/>
    <w:rsid w:val="00FA1A55"/>
    <w:rsid w:val="00FB4648"/>
    <w:rsid w:val="00FB5626"/>
    <w:rsid w:val="00FC5B34"/>
    <w:rsid w:val="00FD59D0"/>
    <w:rsid w:val="00FD6398"/>
    <w:rsid w:val="00FE3526"/>
    <w:rsid w:val="00FE391A"/>
    <w:rsid w:val="00FE4B01"/>
    <w:rsid w:val="00FE6887"/>
    <w:rsid w:val="00FF1730"/>
    <w:rsid w:val="00FF3746"/>
    <w:rsid w:val="00FF4D83"/>
    <w:rsid w:val="00FF78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D82EFB"/>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rPr>
  </w:style>
  <w:style w:type="paragraph" w:styleId="Heading8">
    <w:name w:val="heading 8"/>
    <w:basedOn w:val="Normal"/>
    <w:next w:val="Normal"/>
    <w:link w:val="Heading8Char"/>
    <w:semiHidden/>
    <w:unhideWhenUsed/>
    <w:qFormat/>
    <w:rsid w:val="00670C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D82EFB"/>
    <w:rPr>
      <w:rFonts w:eastAsiaTheme="majorEastAsia" w:cstheme="majorBidi"/>
      <w:b/>
      <w:bCs/>
      <w:kern w:val="3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rPr>
  </w:style>
  <w:style w:type="character" w:customStyle="1" w:styleId="BodyTextChar">
    <w:name w:val="Body Text Char"/>
    <w:basedOn w:val="DefaultParagraphFont"/>
    <w:link w:val="BodyText"/>
    <w:rsid w:val="00DD1B78"/>
    <w:rPr>
      <w:rFonts w:cs="Arial"/>
      <w:spacing w:val="-2"/>
      <w:sz w:val="16"/>
      <w:szCs w:val="24"/>
      <w:lang w:val="es-ES"/>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 w:type="character" w:styleId="Emphasis">
    <w:name w:val="Emphasis"/>
    <w:basedOn w:val="DefaultParagraphFont"/>
    <w:qFormat/>
    <w:rsid w:val="004924ED"/>
    <w:rPr>
      <w:i/>
      <w:iCs/>
    </w:rPr>
  </w:style>
  <w:style w:type="paragraph" w:customStyle="1" w:styleId="xmsonormal">
    <w:name w:val="x_msonormal"/>
    <w:basedOn w:val="Normal"/>
    <w:rsid w:val="00DE7D3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Calibri"/>
      <w:sz w:val="22"/>
      <w:szCs w:val="22"/>
    </w:rPr>
  </w:style>
  <w:style w:type="paragraph" w:styleId="Title">
    <w:name w:val="Title"/>
    <w:basedOn w:val="Normal"/>
    <w:link w:val="TitleChar"/>
    <w:uiPriority w:val="10"/>
    <w:qFormat/>
    <w:rsid w:val="00D036C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right="116"/>
      <w:jc w:val="right"/>
    </w:pPr>
    <w:rPr>
      <w:rFonts w:ascii="Calibri" w:eastAsia="Calibri" w:hAnsi="Calibri" w:cs="Calibri"/>
      <w:b/>
      <w:bCs/>
      <w:sz w:val="22"/>
      <w:szCs w:val="22"/>
    </w:rPr>
  </w:style>
  <w:style w:type="character" w:customStyle="1" w:styleId="TitleChar">
    <w:name w:val="Title Char"/>
    <w:basedOn w:val="DefaultParagraphFont"/>
    <w:link w:val="Title"/>
    <w:uiPriority w:val="10"/>
    <w:rsid w:val="00D036C1"/>
    <w:rPr>
      <w:rFonts w:ascii="Calibri" w:eastAsia="Calibri" w:hAnsi="Calibri" w:cs="Calibri"/>
      <w:b/>
      <w:bCs/>
      <w:sz w:val="22"/>
      <w:szCs w:val="22"/>
    </w:rPr>
  </w:style>
  <w:style w:type="character" w:customStyle="1" w:styleId="Heading8Char">
    <w:name w:val="Heading 8 Char"/>
    <w:basedOn w:val="DefaultParagraphFont"/>
    <w:link w:val="Heading8"/>
    <w:uiPriority w:val="9"/>
    <w:semiHidden/>
    <w:rsid w:val="00670C49"/>
    <w:rPr>
      <w:rFonts w:asciiTheme="majorHAnsi" w:eastAsiaTheme="majorEastAsia" w:hAnsiTheme="majorHAnsi" w:cstheme="majorBidi"/>
      <w:color w:val="272727" w:themeColor="text1" w:themeTint="D8"/>
      <w:sz w:val="21"/>
      <w:szCs w:val="21"/>
    </w:rPr>
  </w:style>
  <w:style w:type="paragraph" w:customStyle="1" w:styleId="paragraph">
    <w:name w:val="paragraph"/>
    <w:basedOn w:val="Normal"/>
    <w:rsid w:val="00670C4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CO" w:eastAsia="es-CO"/>
      <w14:ligatures w14:val="standardContextual"/>
    </w:rPr>
  </w:style>
  <w:style w:type="character" w:customStyle="1" w:styleId="eop">
    <w:name w:val="eop"/>
    <w:basedOn w:val="DefaultParagraphFont"/>
    <w:rsid w:val="0067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4408">
      <w:bodyDiv w:val="1"/>
      <w:marLeft w:val="0"/>
      <w:marRight w:val="0"/>
      <w:marTop w:val="0"/>
      <w:marBottom w:val="0"/>
      <w:divBdr>
        <w:top w:val="none" w:sz="0" w:space="0" w:color="auto"/>
        <w:left w:val="none" w:sz="0" w:space="0" w:color="auto"/>
        <w:bottom w:val="none" w:sz="0" w:space="0" w:color="auto"/>
        <w:right w:val="none" w:sz="0" w:space="0" w:color="auto"/>
      </w:divBdr>
    </w:div>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148526580">
      <w:bodyDiv w:val="1"/>
      <w:marLeft w:val="0"/>
      <w:marRight w:val="0"/>
      <w:marTop w:val="0"/>
      <w:marBottom w:val="0"/>
      <w:divBdr>
        <w:top w:val="none" w:sz="0" w:space="0" w:color="auto"/>
        <w:left w:val="none" w:sz="0" w:space="0" w:color="auto"/>
        <w:bottom w:val="none" w:sz="0" w:space="0" w:color="auto"/>
        <w:right w:val="none" w:sz="0" w:space="0" w:color="auto"/>
      </w:divBdr>
    </w:div>
    <w:div w:id="162864295">
      <w:bodyDiv w:val="1"/>
      <w:marLeft w:val="0"/>
      <w:marRight w:val="0"/>
      <w:marTop w:val="0"/>
      <w:marBottom w:val="0"/>
      <w:divBdr>
        <w:top w:val="none" w:sz="0" w:space="0" w:color="auto"/>
        <w:left w:val="none" w:sz="0" w:space="0" w:color="auto"/>
        <w:bottom w:val="none" w:sz="0" w:space="0" w:color="auto"/>
        <w:right w:val="none" w:sz="0" w:space="0" w:color="auto"/>
      </w:divBdr>
    </w:div>
    <w:div w:id="269357710">
      <w:bodyDiv w:val="1"/>
      <w:marLeft w:val="0"/>
      <w:marRight w:val="0"/>
      <w:marTop w:val="0"/>
      <w:marBottom w:val="0"/>
      <w:divBdr>
        <w:top w:val="none" w:sz="0" w:space="0" w:color="auto"/>
        <w:left w:val="none" w:sz="0" w:space="0" w:color="auto"/>
        <w:bottom w:val="none" w:sz="0" w:space="0" w:color="auto"/>
        <w:right w:val="none" w:sz="0" w:space="0" w:color="auto"/>
      </w:divBdr>
    </w:div>
    <w:div w:id="271519079">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02919310">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585653440">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51186501">
      <w:bodyDiv w:val="1"/>
      <w:marLeft w:val="0"/>
      <w:marRight w:val="0"/>
      <w:marTop w:val="0"/>
      <w:marBottom w:val="0"/>
      <w:divBdr>
        <w:top w:val="none" w:sz="0" w:space="0" w:color="auto"/>
        <w:left w:val="none" w:sz="0" w:space="0" w:color="auto"/>
        <w:bottom w:val="none" w:sz="0" w:space="0" w:color="auto"/>
        <w:right w:val="none" w:sz="0" w:space="0" w:color="auto"/>
      </w:divBdr>
    </w:div>
    <w:div w:id="873537972">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961765926">
      <w:bodyDiv w:val="1"/>
      <w:marLeft w:val="0"/>
      <w:marRight w:val="0"/>
      <w:marTop w:val="0"/>
      <w:marBottom w:val="0"/>
      <w:divBdr>
        <w:top w:val="none" w:sz="0" w:space="0" w:color="auto"/>
        <w:left w:val="none" w:sz="0" w:space="0" w:color="auto"/>
        <w:bottom w:val="none" w:sz="0" w:space="0" w:color="auto"/>
        <w:right w:val="none" w:sz="0" w:space="0" w:color="auto"/>
      </w:divBdr>
    </w:div>
    <w:div w:id="969938468">
      <w:bodyDiv w:val="1"/>
      <w:marLeft w:val="0"/>
      <w:marRight w:val="0"/>
      <w:marTop w:val="0"/>
      <w:marBottom w:val="0"/>
      <w:divBdr>
        <w:top w:val="none" w:sz="0" w:space="0" w:color="auto"/>
        <w:left w:val="none" w:sz="0" w:space="0" w:color="auto"/>
        <w:bottom w:val="none" w:sz="0" w:space="0" w:color="auto"/>
        <w:right w:val="none" w:sz="0" w:space="0" w:color="auto"/>
      </w:divBdr>
    </w:div>
    <w:div w:id="1022971739">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13007322">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344474627">
      <w:bodyDiv w:val="1"/>
      <w:marLeft w:val="0"/>
      <w:marRight w:val="0"/>
      <w:marTop w:val="0"/>
      <w:marBottom w:val="0"/>
      <w:divBdr>
        <w:top w:val="none" w:sz="0" w:space="0" w:color="auto"/>
        <w:left w:val="none" w:sz="0" w:space="0" w:color="auto"/>
        <w:bottom w:val="none" w:sz="0" w:space="0" w:color="auto"/>
        <w:right w:val="none" w:sz="0" w:space="0" w:color="auto"/>
      </w:divBdr>
    </w:div>
    <w:div w:id="1373193204">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0027">
      <w:bodyDiv w:val="1"/>
      <w:marLeft w:val="0"/>
      <w:marRight w:val="0"/>
      <w:marTop w:val="0"/>
      <w:marBottom w:val="0"/>
      <w:divBdr>
        <w:top w:val="none" w:sz="0" w:space="0" w:color="auto"/>
        <w:left w:val="none" w:sz="0" w:space="0" w:color="auto"/>
        <w:bottom w:val="none" w:sz="0" w:space="0" w:color="auto"/>
        <w:right w:val="none" w:sz="0" w:space="0" w:color="auto"/>
      </w:divBdr>
    </w:div>
    <w:div w:id="150852158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594510084">
      <w:bodyDiv w:val="1"/>
      <w:marLeft w:val="0"/>
      <w:marRight w:val="0"/>
      <w:marTop w:val="0"/>
      <w:marBottom w:val="0"/>
      <w:divBdr>
        <w:top w:val="none" w:sz="0" w:space="0" w:color="auto"/>
        <w:left w:val="none" w:sz="0" w:space="0" w:color="auto"/>
        <w:bottom w:val="none" w:sz="0" w:space="0" w:color="auto"/>
        <w:right w:val="none" w:sz="0" w:space="0" w:color="auto"/>
      </w:divBdr>
    </w:div>
    <w:div w:id="1616868900">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49885120">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791169747">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1947810601">
      <w:bodyDiv w:val="1"/>
      <w:marLeft w:val="0"/>
      <w:marRight w:val="0"/>
      <w:marTop w:val="0"/>
      <w:marBottom w:val="0"/>
      <w:divBdr>
        <w:top w:val="none" w:sz="0" w:space="0" w:color="auto"/>
        <w:left w:val="none" w:sz="0" w:space="0" w:color="auto"/>
        <w:bottom w:val="none" w:sz="0" w:space="0" w:color="auto"/>
        <w:right w:val="none" w:sz="0" w:space="0" w:color="auto"/>
      </w:divBdr>
    </w:div>
    <w:div w:id="2044204594">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11125217">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Carmen</dc:creator>
  <cp:keywords/>
  <dc:description/>
  <cp:lastModifiedBy>Loredo, Carmen</cp:lastModifiedBy>
  <cp:revision>3</cp:revision>
  <cp:lastPrinted>2021-01-21T14:59:00Z</cp:lastPrinted>
  <dcterms:created xsi:type="dcterms:W3CDTF">2024-05-28T21:50:00Z</dcterms:created>
  <dcterms:modified xsi:type="dcterms:W3CDTF">2024-05-29T18:36:00Z</dcterms:modified>
</cp:coreProperties>
</file>