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0.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33FA7" w14:textId="0BB727F0" w:rsidR="000502D4" w:rsidRPr="00D65A20" w:rsidRDefault="000502D4" w:rsidP="00AA4399">
      <w:pPr>
        <w:widowControl/>
        <w:tabs>
          <w:tab w:val="clear" w:pos="7200"/>
          <w:tab w:val="left" w:pos="7560"/>
        </w:tabs>
        <w:ind w:right="-1109"/>
        <w:rPr>
          <w:rFonts w:ascii="Times New Roman" w:hAnsi="Times New Roman"/>
          <w:szCs w:val="22"/>
          <w:lang w:val="pt-BR"/>
        </w:rPr>
      </w:pPr>
    </w:p>
    <w:p w14:paraId="6E833FA8" w14:textId="77777777" w:rsidR="000502D4" w:rsidRPr="00D65A20" w:rsidRDefault="00CA769E" w:rsidP="00AA4399">
      <w:pPr>
        <w:widowControl/>
        <w:tabs>
          <w:tab w:val="left" w:pos="7560"/>
        </w:tabs>
        <w:ind w:right="-1109"/>
        <w:rPr>
          <w:rFonts w:ascii="Times New Roman" w:hAnsi="Times New Roman"/>
          <w:szCs w:val="22"/>
          <w:lang w:val="pt-BR"/>
        </w:rPr>
      </w:pPr>
      <w:r>
        <w:rPr>
          <w:rFonts w:ascii="Times New Roman" w:hAnsi="Times New Roman"/>
          <w:lang w:val="pt-BR"/>
        </w:rPr>
        <w:object w:dxaOrig="1440" w:dyaOrig="1440" w14:anchorId="6E834F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0.85pt;margin-top:-45.45pt;width:320.1pt;height:28.05pt;z-index:-251655168;mso-wrap-edited:f" wrapcoords="3572 1580 2041 2634 170 7376 170 11590 2381 19493 5272 20020 11055 20020 17008 20020 21260 12117 21600 4215 18709 2107 9524 1580 3572 1580" o:allowincell="f" fillcolor="window">
            <v:imagedata r:id="rId8" o:title=""/>
            <w10:wrap type="topAndBottom"/>
          </v:shape>
          <o:OLEObject Type="Embed" ProgID="Word.Picture.8" ShapeID="_x0000_s1026" DrawAspect="Content" ObjectID="_1685797641" r:id="rId9"/>
        </w:object>
      </w:r>
      <w:r w:rsidR="00351233" w:rsidRPr="00D65A20">
        <w:rPr>
          <w:rFonts w:ascii="Times New Roman" w:hAnsi="Times New Roman"/>
          <w:szCs w:val="22"/>
          <w:lang w:val="pt-BR"/>
        </w:rPr>
        <w:t>QUINQ</w:t>
      </w:r>
      <w:r w:rsidR="000502D4" w:rsidRPr="00D65A20">
        <w:rPr>
          <w:rFonts w:ascii="Times New Roman" w:hAnsi="Times New Roman"/>
          <w:szCs w:val="22"/>
          <w:lang w:val="pt-BR"/>
        </w:rPr>
        <w:t>UAGÉSIMO PERÍODO ORDIN</w:t>
      </w:r>
      <w:r w:rsidR="00351233" w:rsidRPr="00D65A20">
        <w:rPr>
          <w:rFonts w:ascii="Times New Roman" w:hAnsi="Times New Roman"/>
          <w:szCs w:val="22"/>
          <w:lang w:val="pt-BR"/>
        </w:rPr>
        <w:t>Á</w:t>
      </w:r>
      <w:r w:rsidR="000502D4" w:rsidRPr="00D65A20">
        <w:rPr>
          <w:rFonts w:ascii="Times New Roman" w:hAnsi="Times New Roman"/>
          <w:szCs w:val="22"/>
          <w:lang w:val="pt-BR"/>
        </w:rPr>
        <w:t>RIO DE SES</w:t>
      </w:r>
      <w:r w:rsidR="00351233" w:rsidRPr="00D65A20">
        <w:rPr>
          <w:rFonts w:ascii="Times New Roman" w:hAnsi="Times New Roman"/>
          <w:szCs w:val="22"/>
          <w:lang w:val="pt-BR"/>
        </w:rPr>
        <w:t>SÕES</w:t>
      </w:r>
      <w:r w:rsidR="000502D4" w:rsidRPr="00D65A20">
        <w:rPr>
          <w:rFonts w:ascii="Times New Roman" w:hAnsi="Times New Roman"/>
          <w:szCs w:val="22"/>
          <w:lang w:val="pt-BR"/>
        </w:rPr>
        <w:tab/>
      </w:r>
      <w:r w:rsidR="000502D4" w:rsidRPr="00D65A20">
        <w:rPr>
          <w:rFonts w:ascii="Times New Roman" w:hAnsi="Times New Roman"/>
          <w:szCs w:val="22"/>
          <w:lang w:val="pt-BR"/>
        </w:rPr>
        <w:tab/>
      </w:r>
      <w:r w:rsidR="000502D4" w:rsidRPr="00D65A20">
        <w:rPr>
          <w:rFonts w:ascii="Times New Roman" w:hAnsi="Times New Roman"/>
          <w:szCs w:val="22"/>
          <w:lang w:val="pt-BR"/>
        </w:rPr>
        <w:tab/>
        <w:t>OEA/Ser.P</w:t>
      </w:r>
    </w:p>
    <w:p w14:paraId="6E833FA9" w14:textId="77777777" w:rsidR="000502D4" w:rsidRPr="00D65A20" w:rsidRDefault="000502D4" w:rsidP="00AA4399">
      <w:pPr>
        <w:widowControl/>
        <w:tabs>
          <w:tab w:val="clear" w:pos="720"/>
          <w:tab w:val="clear" w:pos="1440"/>
          <w:tab w:val="clear" w:pos="2880"/>
          <w:tab w:val="clear" w:pos="3600"/>
          <w:tab w:val="clear" w:pos="4320"/>
          <w:tab w:val="clear" w:pos="5760"/>
          <w:tab w:val="clear" w:pos="6480"/>
          <w:tab w:val="center" w:pos="2160"/>
          <w:tab w:val="left" w:pos="7560"/>
        </w:tabs>
        <w:ind w:right="-1469"/>
        <w:jc w:val="left"/>
        <w:rPr>
          <w:rFonts w:ascii="Times New Roman" w:hAnsi="Times New Roman"/>
          <w:szCs w:val="22"/>
          <w:lang w:val="pt-BR"/>
        </w:rPr>
      </w:pPr>
      <w:r w:rsidRPr="00D65A20">
        <w:rPr>
          <w:rFonts w:ascii="Times New Roman" w:hAnsi="Times New Roman"/>
          <w:szCs w:val="22"/>
          <w:lang w:val="pt-BR"/>
        </w:rPr>
        <w:t xml:space="preserve">20 </w:t>
      </w:r>
      <w:r w:rsidR="00351233" w:rsidRPr="00D65A20">
        <w:rPr>
          <w:rFonts w:ascii="Times New Roman" w:hAnsi="Times New Roman"/>
          <w:szCs w:val="22"/>
          <w:lang w:val="pt-BR"/>
        </w:rPr>
        <w:t>e</w:t>
      </w:r>
      <w:r w:rsidRPr="00D65A20">
        <w:rPr>
          <w:rFonts w:ascii="Times New Roman" w:hAnsi="Times New Roman"/>
          <w:szCs w:val="22"/>
          <w:lang w:val="pt-BR"/>
        </w:rPr>
        <w:t xml:space="preserve"> 21 de </w:t>
      </w:r>
      <w:r w:rsidR="00351233" w:rsidRPr="00D65A20">
        <w:rPr>
          <w:rFonts w:ascii="Times New Roman" w:hAnsi="Times New Roman"/>
          <w:szCs w:val="22"/>
          <w:lang w:val="pt-BR"/>
        </w:rPr>
        <w:t>outubro</w:t>
      </w:r>
      <w:r w:rsidRPr="00D65A20">
        <w:rPr>
          <w:rFonts w:ascii="Times New Roman" w:hAnsi="Times New Roman"/>
          <w:szCs w:val="22"/>
          <w:lang w:val="pt-BR"/>
        </w:rPr>
        <w:t xml:space="preserve"> de 2020</w:t>
      </w:r>
      <w:r w:rsidRPr="00D65A20">
        <w:rPr>
          <w:rFonts w:ascii="Times New Roman" w:hAnsi="Times New Roman"/>
          <w:szCs w:val="22"/>
          <w:lang w:val="pt-BR"/>
        </w:rPr>
        <w:tab/>
        <w:t>AG/doc.</w:t>
      </w:r>
      <w:r w:rsidR="000503DB" w:rsidRPr="00D65A20">
        <w:rPr>
          <w:rFonts w:ascii="Times New Roman" w:hAnsi="Times New Roman"/>
          <w:szCs w:val="22"/>
          <w:lang w:val="pt-BR"/>
        </w:rPr>
        <w:t>5717</w:t>
      </w:r>
      <w:r w:rsidRPr="00D65A20">
        <w:rPr>
          <w:rFonts w:ascii="Times New Roman" w:hAnsi="Times New Roman"/>
          <w:szCs w:val="22"/>
          <w:lang w:val="pt-BR"/>
        </w:rPr>
        <w:t>/20</w:t>
      </w:r>
      <w:r w:rsidR="00982CE9" w:rsidRPr="00D65A20">
        <w:rPr>
          <w:rFonts w:ascii="Times New Roman" w:hAnsi="Times New Roman"/>
          <w:szCs w:val="22"/>
          <w:lang w:val="pt-BR"/>
        </w:rPr>
        <w:t xml:space="preserve"> rev. 1</w:t>
      </w:r>
    </w:p>
    <w:p w14:paraId="6E833FAA" w14:textId="120861F3" w:rsidR="000502D4" w:rsidRPr="00D65A20" w:rsidRDefault="000502D4" w:rsidP="00AA4399">
      <w:pPr>
        <w:widowControl/>
        <w:tabs>
          <w:tab w:val="clear" w:pos="720"/>
          <w:tab w:val="clear" w:pos="1440"/>
          <w:tab w:val="clear" w:pos="2160"/>
          <w:tab w:val="clear" w:pos="2880"/>
          <w:tab w:val="clear" w:pos="3600"/>
          <w:tab w:val="clear" w:pos="4320"/>
          <w:tab w:val="clear" w:pos="5760"/>
          <w:tab w:val="clear" w:pos="6480"/>
          <w:tab w:val="left" w:pos="7560"/>
        </w:tabs>
        <w:ind w:right="-1109"/>
        <w:rPr>
          <w:rFonts w:ascii="Times New Roman" w:hAnsi="Times New Roman"/>
          <w:szCs w:val="22"/>
          <w:lang w:val="pt-BR"/>
        </w:rPr>
      </w:pPr>
      <w:r w:rsidRPr="00D65A20">
        <w:rPr>
          <w:rFonts w:ascii="Times New Roman" w:hAnsi="Times New Roman"/>
          <w:szCs w:val="22"/>
          <w:lang w:val="pt-BR"/>
        </w:rPr>
        <w:t>Was</w:t>
      </w:r>
      <w:r w:rsidR="00351233" w:rsidRPr="00D65A20">
        <w:rPr>
          <w:rFonts w:ascii="Times New Roman" w:hAnsi="Times New Roman"/>
          <w:szCs w:val="22"/>
          <w:lang w:val="pt-BR"/>
        </w:rPr>
        <w:t>hington, D.C., Estados Unidos da</w:t>
      </w:r>
      <w:r w:rsidRPr="00D65A20">
        <w:rPr>
          <w:rFonts w:ascii="Times New Roman" w:hAnsi="Times New Roman"/>
          <w:szCs w:val="22"/>
          <w:lang w:val="pt-BR"/>
        </w:rPr>
        <w:t xml:space="preserve"> América</w:t>
      </w:r>
      <w:r w:rsidRPr="00D65A20">
        <w:rPr>
          <w:rFonts w:ascii="Times New Roman" w:hAnsi="Times New Roman"/>
          <w:szCs w:val="22"/>
          <w:lang w:val="pt-BR"/>
        </w:rPr>
        <w:tab/>
      </w:r>
      <w:r w:rsidR="008E5190">
        <w:rPr>
          <w:rFonts w:ascii="Times New Roman" w:hAnsi="Times New Roman"/>
          <w:szCs w:val="22"/>
          <w:lang w:val="pt-BR"/>
        </w:rPr>
        <w:t>21</w:t>
      </w:r>
      <w:r w:rsidR="00D91046">
        <w:rPr>
          <w:rFonts w:ascii="Times New Roman" w:hAnsi="Times New Roman"/>
          <w:szCs w:val="22"/>
          <w:lang w:val="pt-BR"/>
        </w:rPr>
        <w:t xml:space="preserve"> </w:t>
      </w:r>
      <w:r w:rsidR="00D47C45">
        <w:rPr>
          <w:rFonts w:ascii="Times New Roman" w:hAnsi="Times New Roman"/>
          <w:szCs w:val="22"/>
          <w:lang w:val="pt-BR"/>
        </w:rPr>
        <w:t>junho</w:t>
      </w:r>
      <w:r w:rsidR="00982CE9" w:rsidRPr="00D65A20">
        <w:rPr>
          <w:rFonts w:ascii="Times New Roman" w:hAnsi="Times New Roman"/>
          <w:szCs w:val="22"/>
          <w:lang w:val="pt-BR"/>
        </w:rPr>
        <w:t xml:space="preserve"> 2021</w:t>
      </w:r>
    </w:p>
    <w:p w14:paraId="6E833FAB" w14:textId="77777777" w:rsidR="000502D4" w:rsidRPr="00D65A20" w:rsidRDefault="0014539D" w:rsidP="00AA4399">
      <w:pPr>
        <w:widowControl/>
        <w:tabs>
          <w:tab w:val="clear" w:pos="720"/>
          <w:tab w:val="clear" w:pos="1440"/>
          <w:tab w:val="clear" w:pos="2880"/>
          <w:tab w:val="clear" w:pos="3600"/>
          <w:tab w:val="clear" w:pos="4320"/>
          <w:tab w:val="clear" w:pos="5760"/>
          <w:tab w:val="clear" w:pos="6480"/>
          <w:tab w:val="center" w:pos="2160"/>
          <w:tab w:val="left" w:pos="7560"/>
        </w:tabs>
        <w:ind w:right="-1109"/>
        <w:rPr>
          <w:rFonts w:ascii="Times New Roman" w:hAnsi="Times New Roman"/>
          <w:szCs w:val="22"/>
          <w:lang w:val="pt-BR"/>
        </w:rPr>
      </w:pPr>
      <w:r w:rsidRPr="00D65A20">
        <w:rPr>
          <w:rFonts w:ascii="Times New Roman" w:hAnsi="Times New Roman"/>
          <w:szCs w:val="22"/>
          <w:lang w:val="pt-BR"/>
        </w:rPr>
        <w:t>VIRTUAL</w:t>
      </w:r>
      <w:r w:rsidR="000502D4" w:rsidRPr="00D65A20">
        <w:rPr>
          <w:rFonts w:ascii="Times New Roman" w:hAnsi="Times New Roman"/>
          <w:szCs w:val="22"/>
          <w:lang w:val="pt-BR"/>
        </w:rPr>
        <w:tab/>
      </w:r>
      <w:r w:rsidR="000502D4" w:rsidRPr="00D65A20">
        <w:rPr>
          <w:rFonts w:ascii="Times New Roman" w:hAnsi="Times New Roman"/>
          <w:szCs w:val="22"/>
          <w:lang w:val="pt-BR"/>
        </w:rPr>
        <w:tab/>
      </w:r>
      <w:r w:rsidR="00351233" w:rsidRPr="00D65A20">
        <w:rPr>
          <w:rFonts w:ascii="Times New Roman" w:hAnsi="Times New Roman"/>
          <w:szCs w:val="22"/>
          <w:lang w:val="pt-BR"/>
        </w:rPr>
        <w:t>Original: espanh</w:t>
      </w:r>
      <w:r w:rsidR="000502D4" w:rsidRPr="00D65A20">
        <w:rPr>
          <w:rFonts w:ascii="Times New Roman" w:hAnsi="Times New Roman"/>
          <w:szCs w:val="22"/>
          <w:lang w:val="pt-BR"/>
        </w:rPr>
        <w:t>ol</w:t>
      </w:r>
    </w:p>
    <w:p w14:paraId="6E833FAC" w14:textId="77777777" w:rsidR="00786994" w:rsidRPr="00D65A20" w:rsidRDefault="00786994" w:rsidP="00AA4399">
      <w:pPr>
        <w:widowControl/>
        <w:rPr>
          <w:rFonts w:ascii="Times New Roman" w:hAnsi="Times New Roman"/>
          <w:lang w:val="pt-BR"/>
        </w:rPr>
      </w:pPr>
    </w:p>
    <w:p w14:paraId="6E833FAD" w14:textId="77777777" w:rsidR="000502D4" w:rsidRPr="00D65A20" w:rsidRDefault="000502D4" w:rsidP="00AA4399">
      <w:pPr>
        <w:widowControl/>
        <w:rPr>
          <w:rFonts w:ascii="Times New Roman" w:hAnsi="Times New Roman"/>
          <w:lang w:val="pt-BR"/>
        </w:rPr>
      </w:pPr>
    </w:p>
    <w:p w14:paraId="6E833FB1" w14:textId="77777777" w:rsidR="00605B3C" w:rsidRPr="00D65A20" w:rsidRDefault="00605B3C" w:rsidP="00AA4399">
      <w:pPr>
        <w:widowControl/>
        <w:rPr>
          <w:rFonts w:ascii="Times New Roman" w:hAnsi="Times New Roman"/>
          <w:lang w:val="pt-BR"/>
        </w:rPr>
      </w:pPr>
    </w:p>
    <w:p w14:paraId="6E833FB2" w14:textId="77777777" w:rsidR="00605B3C" w:rsidRPr="00D65A20" w:rsidRDefault="00605B3C" w:rsidP="00AA4399">
      <w:pPr>
        <w:widowControl/>
        <w:rPr>
          <w:rFonts w:ascii="Times New Roman" w:hAnsi="Times New Roman"/>
          <w:lang w:val="pt-BR"/>
        </w:rPr>
      </w:pPr>
    </w:p>
    <w:p w14:paraId="6E833FB3" w14:textId="77777777" w:rsidR="00605B3C" w:rsidRPr="00D65A20" w:rsidRDefault="00605B3C" w:rsidP="00AA4399">
      <w:pPr>
        <w:widowControl/>
        <w:rPr>
          <w:rFonts w:ascii="Times New Roman" w:hAnsi="Times New Roman"/>
          <w:lang w:val="pt-BR"/>
        </w:rPr>
      </w:pPr>
    </w:p>
    <w:p w14:paraId="6E833FB4" w14:textId="77777777" w:rsidR="00605B3C" w:rsidRPr="00D65A20" w:rsidRDefault="00605B3C" w:rsidP="00AA4399">
      <w:pPr>
        <w:widowControl/>
        <w:rPr>
          <w:rFonts w:ascii="Times New Roman" w:hAnsi="Times New Roman"/>
          <w:lang w:val="pt-BR"/>
        </w:rPr>
      </w:pPr>
    </w:p>
    <w:p w14:paraId="6E833FB6" w14:textId="77777777" w:rsidR="00AA025A" w:rsidRPr="00D65A20" w:rsidRDefault="00AA025A" w:rsidP="00AA4399">
      <w:pPr>
        <w:widowControl/>
        <w:rPr>
          <w:rFonts w:ascii="Times New Roman" w:hAnsi="Times New Roman"/>
          <w:lang w:val="pt-BR"/>
        </w:rPr>
      </w:pPr>
    </w:p>
    <w:p w14:paraId="6E833FB7" w14:textId="77777777" w:rsidR="00AA025A" w:rsidRPr="00D65A20" w:rsidRDefault="00AA025A" w:rsidP="00AA4399">
      <w:pPr>
        <w:widowControl/>
        <w:rPr>
          <w:rFonts w:ascii="Times New Roman" w:hAnsi="Times New Roman"/>
          <w:lang w:val="pt-BR"/>
        </w:rPr>
      </w:pPr>
    </w:p>
    <w:p w14:paraId="6E833FB8" w14:textId="77777777" w:rsidR="00605B3C" w:rsidRPr="00D65A20" w:rsidRDefault="00605B3C" w:rsidP="00AA4399">
      <w:pPr>
        <w:widowControl/>
        <w:rPr>
          <w:rFonts w:ascii="Times New Roman" w:hAnsi="Times New Roman"/>
          <w:lang w:val="pt-BR"/>
        </w:rPr>
      </w:pPr>
    </w:p>
    <w:p w14:paraId="6E833FB9" w14:textId="77777777" w:rsidR="00605B3C" w:rsidRPr="00D65A20" w:rsidRDefault="00605B3C" w:rsidP="00AA4399">
      <w:pPr>
        <w:widowControl/>
        <w:rPr>
          <w:rFonts w:ascii="Times New Roman" w:hAnsi="Times New Roman"/>
          <w:lang w:val="pt-BR"/>
        </w:rPr>
      </w:pPr>
    </w:p>
    <w:p w14:paraId="6E833FBA" w14:textId="77777777" w:rsidR="00F405D3" w:rsidRPr="00D65A20" w:rsidRDefault="00F405D3" w:rsidP="00AA4399">
      <w:pPr>
        <w:widowControl/>
        <w:rPr>
          <w:rFonts w:ascii="Times New Roman" w:hAnsi="Times New Roman"/>
          <w:lang w:val="pt-BR"/>
        </w:rPr>
      </w:pPr>
    </w:p>
    <w:p w14:paraId="6E833FBB" w14:textId="77777777" w:rsidR="00F405D3" w:rsidRPr="00D65A20" w:rsidRDefault="00F405D3" w:rsidP="00AA4399">
      <w:pPr>
        <w:widowControl/>
        <w:rPr>
          <w:rFonts w:ascii="Times New Roman" w:hAnsi="Times New Roman"/>
          <w:lang w:val="pt-BR"/>
        </w:rPr>
      </w:pPr>
    </w:p>
    <w:p w14:paraId="6E833FBC" w14:textId="2E3514E6" w:rsidR="007157AD" w:rsidRDefault="007157AD" w:rsidP="00AA4399">
      <w:pPr>
        <w:widowControl/>
        <w:rPr>
          <w:rFonts w:ascii="Times New Roman" w:hAnsi="Times New Roman"/>
          <w:lang w:val="pt-BR"/>
        </w:rPr>
      </w:pPr>
    </w:p>
    <w:p w14:paraId="456F9864" w14:textId="65361030" w:rsidR="00D91046" w:rsidRDefault="00D91046" w:rsidP="00AA4399">
      <w:pPr>
        <w:widowControl/>
        <w:rPr>
          <w:rFonts w:ascii="Times New Roman" w:hAnsi="Times New Roman"/>
          <w:lang w:val="pt-BR"/>
        </w:rPr>
      </w:pPr>
    </w:p>
    <w:p w14:paraId="6617F5CD" w14:textId="77777777" w:rsidR="00D91046" w:rsidRPr="00D65A20" w:rsidRDefault="00D91046" w:rsidP="00AA4399">
      <w:pPr>
        <w:widowControl/>
        <w:rPr>
          <w:rFonts w:ascii="Times New Roman" w:hAnsi="Times New Roman"/>
          <w:lang w:val="pt-BR"/>
        </w:rPr>
      </w:pPr>
    </w:p>
    <w:p w14:paraId="6E833FBD" w14:textId="77777777" w:rsidR="00AA025A" w:rsidRPr="00D65A20" w:rsidRDefault="00AA025A" w:rsidP="00AA4399">
      <w:pPr>
        <w:widowControl/>
        <w:jc w:val="center"/>
        <w:rPr>
          <w:rFonts w:ascii="Times New Roman" w:hAnsi="Times New Roman"/>
          <w:szCs w:val="22"/>
          <w:lang w:val="pt-BR"/>
        </w:rPr>
      </w:pPr>
      <w:r w:rsidRPr="00D65A20">
        <w:rPr>
          <w:rFonts w:ascii="Times New Roman" w:hAnsi="Times New Roman"/>
          <w:szCs w:val="22"/>
          <w:lang w:val="pt-BR"/>
        </w:rPr>
        <w:t>DECLARA</w:t>
      </w:r>
      <w:r w:rsidR="00351233" w:rsidRPr="00D65A20">
        <w:rPr>
          <w:rFonts w:ascii="Times New Roman" w:hAnsi="Times New Roman"/>
          <w:szCs w:val="22"/>
          <w:lang w:val="pt-BR"/>
        </w:rPr>
        <w:t>ÇÃO E RESOLUÇÕES APROV</w:t>
      </w:r>
      <w:r w:rsidRPr="00D65A20">
        <w:rPr>
          <w:rFonts w:ascii="Times New Roman" w:hAnsi="Times New Roman"/>
          <w:szCs w:val="22"/>
          <w:lang w:val="pt-BR"/>
        </w:rPr>
        <w:t xml:space="preserve">ADAS </w:t>
      </w:r>
      <w:r w:rsidR="00351233" w:rsidRPr="00D65A20">
        <w:rPr>
          <w:rFonts w:ascii="Times New Roman" w:hAnsi="Times New Roman"/>
          <w:szCs w:val="22"/>
          <w:lang w:val="pt-BR"/>
        </w:rPr>
        <w:t xml:space="preserve">PELA ASSEMBLEIA GERAL </w:t>
      </w:r>
    </w:p>
    <w:p w14:paraId="6E833FBE" w14:textId="77777777" w:rsidR="00AA025A" w:rsidRPr="00D65A20" w:rsidRDefault="00AA025A" w:rsidP="007157AD">
      <w:pPr>
        <w:widowControl/>
        <w:rPr>
          <w:rFonts w:ascii="Times New Roman" w:hAnsi="Times New Roman"/>
          <w:szCs w:val="22"/>
          <w:lang w:val="pt-BR"/>
        </w:rPr>
      </w:pPr>
    </w:p>
    <w:p w14:paraId="6E833FBF" w14:textId="3DBB7176" w:rsidR="00AA025A" w:rsidRPr="00D65A20" w:rsidRDefault="00AA025A" w:rsidP="00AA4399">
      <w:pPr>
        <w:widowControl/>
        <w:jc w:val="center"/>
        <w:rPr>
          <w:rFonts w:ascii="Times New Roman" w:hAnsi="Times New Roman"/>
          <w:szCs w:val="22"/>
          <w:lang w:val="pt-BR"/>
        </w:rPr>
      </w:pPr>
      <w:r w:rsidRPr="00D65A20">
        <w:rPr>
          <w:rFonts w:ascii="Times New Roman" w:hAnsi="Times New Roman"/>
          <w:szCs w:val="22"/>
          <w:lang w:val="pt-BR"/>
        </w:rPr>
        <w:t>(</w:t>
      </w:r>
      <w:r w:rsidR="00982CE9" w:rsidRPr="00D65A20">
        <w:rPr>
          <w:rFonts w:ascii="Times New Roman" w:hAnsi="Times New Roman"/>
          <w:szCs w:val="22"/>
          <w:lang w:val="pt-BR"/>
        </w:rPr>
        <w:t>Revisadas pela</w:t>
      </w:r>
      <w:r w:rsidR="00351233" w:rsidRPr="00D65A20">
        <w:rPr>
          <w:rFonts w:ascii="Times New Roman" w:hAnsi="Times New Roman"/>
          <w:szCs w:val="22"/>
          <w:lang w:val="pt-BR"/>
        </w:rPr>
        <w:t xml:space="preserve"> Comissão de Estilo</w:t>
      </w:r>
      <w:r w:rsidRPr="00D65A20">
        <w:rPr>
          <w:rFonts w:ascii="Times New Roman" w:hAnsi="Times New Roman"/>
          <w:szCs w:val="22"/>
          <w:lang w:val="pt-BR"/>
        </w:rPr>
        <w:t>)</w:t>
      </w:r>
    </w:p>
    <w:p w14:paraId="6E833FC0" w14:textId="77777777" w:rsidR="00605B3C" w:rsidRPr="00D65A20" w:rsidRDefault="00605B3C" w:rsidP="00AA4399">
      <w:pPr>
        <w:widowControl/>
        <w:rPr>
          <w:rFonts w:ascii="Times New Roman" w:hAnsi="Times New Roman"/>
          <w:lang w:val="pt-BR"/>
        </w:rPr>
      </w:pPr>
    </w:p>
    <w:p w14:paraId="6E833FC1" w14:textId="77777777" w:rsidR="00605B3C" w:rsidRPr="00D65A20" w:rsidRDefault="00605B3C" w:rsidP="00AA4399">
      <w:pPr>
        <w:widowControl/>
        <w:rPr>
          <w:rFonts w:ascii="Times New Roman" w:hAnsi="Times New Roman"/>
          <w:lang w:val="pt-BR"/>
        </w:rPr>
      </w:pPr>
    </w:p>
    <w:p w14:paraId="6E833FC2" w14:textId="77777777" w:rsidR="00605B3C" w:rsidRPr="00D65A20" w:rsidRDefault="00605B3C" w:rsidP="00AA4399">
      <w:pPr>
        <w:widowControl/>
        <w:rPr>
          <w:rFonts w:ascii="Times New Roman" w:hAnsi="Times New Roman"/>
          <w:lang w:val="pt-BR"/>
        </w:rPr>
        <w:sectPr w:rsidR="00605B3C" w:rsidRPr="00D65A20" w:rsidSect="00E33A13">
          <w:headerReference w:type="default" r:id="rId10"/>
          <w:footerReference w:type="default" r:id="rId11"/>
          <w:headerReference w:type="first" r:id="rId12"/>
          <w:endnotePr>
            <w:numFmt w:val="decimal"/>
          </w:endnotePr>
          <w:type w:val="oddPage"/>
          <w:pgSz w:w="12240" w:h="15840"/>
          <w:pgMar w:top="2160" w:right="1570" w:bottom="1296" w:left="1699" w:header="1296" w:footer="1296" w:gutter="0"/>
          <w:pgNumType w:start="1"/>
          <w:cols w:space="720"/>
          <w:noEndnote/>
          <w:titlePg/>
        </w:sectPr>
      </w:pPr>
    </w:p>
    <w:sdt>
      <w:sdtPr>
        <w:rPr>
          <w:rFonts w:ascii="Times New Roman" w:hAnsi="Times New Roman"/>
          <w:lang w:val="pt-BR"/>
        </w:rPr>
        <w:id w:val="-1654978764"/>
        <w:docPartObj>
          <w:docPartGallery w:val="Table of Contents"/>
          <w:docPartUnique/>
        </w:docPartObj>
      </w:sdtPr>
      <w:sdtEndPr>
        <w:rPr>
          <w:b/>
          <w:bCs/>
          <w:noProof/>
        </w:rPr>
      </w:sdtEndPr>
      <w:sdtContent>
        <w:p w14:paraId="6E833FC3" w14:textId="77777777" w:rsidR="00F97C5E" w:rsidRPr="00D65A20" w:rsidRDefault="00240D62" w:rsidP="00A544BF">
          <w:pPr>
            <w:widowControl/>
            <w:jc w:val="center"/>
            <w:rPr>
              <w:rFonts w:ascii="Times New Roman" w:hAnsi="Times New Roman"/>
              <w:lang w:val="pt-BR"/>
            </w:rPr>
          </w:pPr>
          <w:r w:rsidRPr="00D65A20">
            <w:rPr>
              <w:rFonts w:ascii="Times New Roman" w:hAnsi="Times New Roman"/>
              <w:lang w:val="pt-BR"/>
            </w:rPr>
            <w:t>ÍNDICE</w:t>
          </w:r>
        </w:p>
        <w:p w14:paraId="6E833FC4" w14:textId="77777777" w:rsidR="00240D62" w:rsidRPr="00D65A20" w:rsidRDefault="00240D62" w:rsidP="00A544BF">
          <w:pPr>
            <w:widowControl/>
            <w:rPr>
              <w:rFonts w:ascii="Times New Roman" w:hAnsi="Times New Roman"/>
              <w:bCs/>
              <w:noProof/>
              <w:lang w:val="pt-BR"/>
            </w:rPr>
          </w:pPr>
        </w:p>
        <w:p w14:paraId="6E833FC5" w14:textId="77777777" w:rsidR="00240D62" w:rsidRPr="00D65A20" w:rsidRDefault="00240D62" w:rsidP="00A544BF">
          <w:pPr>
            <w:widowControl/>
            <w:rPr>
              <w:rFonts w:ascii="Times New Roman" w:hAnsi="Times New Roman"/>
              <w:lang w:val="pt-BR"/>
            </w:rPr>
          </w:pPr>
        </w:p>
        <w:p w14:paraId="6E833FC6" w14:textId="77777777" w:rsidR="00240D62" w:rsidRPr="00D65A20" w:rsidRDefault="00240D62" w:rsidP="00A544BF">
          <w:pPr>
            <w:widowControl/>
            <w:jc w:val="right"/>
            <w:rPr>
              <w:rFonts w:ascii="Times New Roman" w:hAnsi="Times New Roman"/>
              <w:u w:val="single"/>
              <w:lang w:val="pt-BR"/>
            </w:rPr>
          </w:pPr>
          <w:r w:rsidRPr="00D65A20">
            <w:rPr>
              <w:rFonts w:ascii="Times New Roman" w:hAnsi="Times New Roman"/>
              <w:u w:val="single"/>
              <w:lang w:val="pt-BR"/>
            </w:rPr>
            <w:t>Página</w:t>
          </w:r>
        </w:p>
        <w:p w14:paraId="6E833FC7" w14:textId="77777777" w:rsidR="00240D62" w:rsidRPr="00D65A20" w:rsidRDefault="00240D62" w:rsidP="00A544BF">
          <w:pPr>
            <w:widowControl/>
            <w:rPr>
              <w:rFonts w:ascii="Times New Roman" w:hAnsi="Times New Roman"/>
              <w:lang w:val="pt-BR"/>
            </w:rPr>
          </w:pPr>
        </w:p>
        <w:p w14:paraId="6E833FC8" w14:textId="77777777" w:rsidR="00374B1C" w:rsidRPr="00D65A20" w:rsidRDefault="00374B1C" w:rsidP="00605E29">
          <w:pPr>
            <w:widowControl/>
            <w:tabs>
              <w:tab w:val="clear" w:pos="3600"/>
            </w:tabs>
            <w:rPr>
              <w:rFonts w:ascii="Times New Roman" w:hAnsi="Times New Roman"/>
              <w:lang w:val="pt-BR"/>
            </w:rPr>
          </w:pPr>
        </w:p>
        <w:p w14:paraId="6E833FC9" w14:textId="756DBB11" w:rsidR="00605E29" w:rsidRPr="00D65A20" w:rsidRDefault="00374B1C" w:rsidP="00605E2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2880" w:hanging="2880"/>
            <w:rPr>
              <w:rFonts w:ascii="Times New Roman" w:eastAsiaTheme="minorEastAsia" w:hAnsi="Times New Roman"/>
              <w:noProof/>
              <w:szCs w:val="22"/>
              <w:lang w:val="pt-BR"/>
            </w:rPr>
          </w:pPr>
          <w:r w:rsidRPr="00D65A20">
            <w:rPr>
              <w:rFonts w:ascii="Times New Roman" w:hAnsi="Times New Roman"/>
              <w:b/>
              <w:bCs/>
              <w:noProof/>
              <w:lang w:val="pt-BR"/>
            </w:rPr>
            <w:fldChar w:fldCharType="begin"/>
          </w:r>
          <w:r w:rsidRPr="00D65A20">
            <w:rPr>
              <w:rFonts w:ascii="Times New Roman" w:hAnsi="Times New Roman"/>
              <w:b/>
              <w:bCs/>
              <w:noProof/>
              <w:lang w:val="pt-BR"/>
            </w:rPr>
            <w:instrText xml:space="preserve"> TOC \o "1-3" \h \z \u </w:instrText>
          </w:r>
          <w:r w:rsidRPr="00D65A20">
            <w:rPr>
              <w:rFonts w:ascii="Times New Roman" w:hAnsi="Times New Roman"/>
              <w:b/>
              <w:bCs/>
              <w:noProof/>
              <w:lang w:val="pt-BR"/>
            </w:rPr>
            <w:fldChar w:fldCharType="separate"/>
          </w:r>
          <w:hyperlink w:anchor="_Toc56526664" w:history="1">
            <w:r w:rsidR="00605E29" w:rsidRPr="00D65A20">
              <w:rPr>
                <w:rStyle w:val="Hyperlink"/>
                <w:rFonts w:ascii="Times New Roman" w:eastAsia="Calibri" w:hAnsi="Times New Roman"/>
                <w:noProof/>
                <w:lang w:val="pt-BR"/>
              </w:rPr>
              <w:t>AG/DEC. 102 (L-O/20)</w:t>
            </w:r>
            <w:r w:rsidR="00605E29" w:rsidRPr="00D65A20">
              <w:rPr>
                <w:rFonts w:ascii="Times New Roman" w:hAnsi="Times New Roman"/>
                <w:noProof/>
                <w:webHidden/>
                <w:lang w:val="pt-BR"/>
              </w:rPr>
              <w:tab/>
            </w:r>
          </w:hyperlink>
          <w:hyperlink w:anchor="_Toc56526665" w:history="1">
            <w:r w:rsidR="00605E29" w:rsidRPr="00D65A20">
              <w:rPr>
                <w:rStyle w:val="Hyperlink"/>
                <w:rFonts w:ascii="Times New Roman" w:hAnsi="Times New Roman"/>
                <w:noProof/>
                <w:lang w:val="pt-BR"/>
              </w:rPr>
              <w:t>Declaração sobre “A questão das Ilhas das Malvinas”</w:t>
            </w:r>
            <w:r w:rsidR="00605E29" w:rsidRPr="00D65A20">
              <w:rPr>
                <w:rFonts w:ascii="Times New Roman" w:hAnsi="Times New Roman"/>
                <w:noProof/>
                <w:webHidden/>
                <w:lang w:val="pt-BR"/>
              </w:rPr>
              <w:tab/>
            </w:r>
            <w:r w:rsidR="00605E29" w:rsidRPr="00D65A20">
              <w:rPr>
                <w:rFonts w:ascii="Times New Roman" w:hAnsi="Times New Roman"/>
                <w:noProof/>
                <w:webHidden/>
                <w:lang w:val="pt-BR"/>
              </w:rPr>
              <w:fldChar w:fldCharType="begin"/>
            </w:r>
            <w:r w:rsidR="00605E29" w:rsidRPr="00D65A20">
              <w:rPr>
                <w:rFonts w:ascii="Times New Roman" w:hAnsi="Times New Roman"/>
                <w:noProof/>
                <w:webHidden/>
                <w:lang w:val="pt-BR"/>
              </w:rPr>
              <w:instrText xml:space="preserve"> PAGEREF _Toc56526665 \h </w:instrText>
            </w:r>
            <w:r w:rsidR="00605E29" w:rsidRPr="00D65A20">
              <w:rPr>
                <w:rFonts w:ascii="Times New Roman" w:hAnsi="Times New Roman"/>
                <w:noProof/>
                <w:webHidden/>
                <w:lang w:val="pt-BR"/>
              </w:rPr>
            </w:r>
            <w:r w:rsidR="00605E29" w:rsidRPr="00D65A20">
              <w:rPr>
                <w:rFonts w:ascii="Times New Roman" w:hAnsi="Times New Roman"/>
                <w:noProof/>
                <w:webHidden/>
                <w:lang w:val="pt-BR"/>
              </w:rPr>
              <w:fldChar w:fldCharType="separate"/>
            </w:r>
            <w:r w:rsidR="00414548" w:rsidRPr="00D65A20">
              <w:rPr>
                <w:rFonts w:ascii="Times New Roman" w:hAnsi="Times New Roman"/>
                <w:noProof/>
                <w:webHidden/>
                <w:lang w:val="pt-BR"/>
              </w:rPr>
              <w:t>1</w:t>
            </w:r>
            <w:r w:rsidR="00605E29" w:rsidRPr="00D65A20">
              <w:rPr>
                <w:rFonts w:ascii="Times New Roman" w:hAnsi="Times New Roman"/>
                <w:noProof/>
                <w:webHidden/>
                <w:lang w:val="pt-BR"/>
              </w:rPr>
              <w:fldChar w:fldCharType="end"/>
            </w:r>
          </w:hyperlink>
        </w:p>
        <w:p w14:paraId="6E833FCA" w14:textId="77777777" w:rsidR="00605E29" w:rsidRPr="00D65A20" w:rsidRDefault="00605E29" w:rsidP="00605E2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0" w:firstLine="0"/>
            <w:rPr>
              <w:rStyle w:val="Hyperlink"/>
              <w:rFonts w:ascii="Times New Roman" w:hAnsi="Times New Roman"/>
              <w:noProof/>
              <w:lang w:val="pt-BR"/>
            </w:rPr>
          </w:pPr>
        </w:p>
        <w:p w14:paraId="6E833FCB" w14:textId="0C494D9A" w:rsidR="00605E29" w:rsidRPr="00D65A20" w:rsidRDefault="00CA769E" w:rsidP="00605E2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2880" w:hanging="2880"/>
            <w:rPr>
              <w:rFonts w:ascii="Times New Roman" w:eastAsiaTheme="minorEastAsia" w:hAnsi="Times New Roman"/>
              <w:noProof/>
              <w:szCs w:val="22"/>
              <w:lang w:val="pt-BR"/>
            </w:rPr>
          </w:pPr>
          <w:hyperlink w:anchor="_Toc56526666" w:history="1">
            <w:r w:rsidR="00605E29" w:rsidRPr="00D65A20">
              <w:rPr>
                <w:rStyle w:val="Hyperlink"/>
                <w:rFonts w:ascii="Times New Roman" w:eastAsia="Calibri" w:hAnsi="Times New Roman"/>
                <w:noProof/>
                <w:lang w:val="pt-BR"/>
              </w:rPr>
              <w:t>AG/RES. 2948 (L-O/20)</w:t>
            </w:r>
            <w:r w:rsidR="00605E29" w:rsidRPr="00D65A20">
              <w:rPr>
                <w:rFonts w:ascii="Times New Roman" w:hAnsi="Times New Roman"/>
                <w:noProof/>
                <w:webHidden/>
                <w:lang w:val="pt-BR"/>
              </w:rPr>
              <w:tab/>
            </w:r>
          </w:hyperlink>
          <w:hyperlink w:anchor="_Toc56526667" w:history="1">
            <w:r w:rsidR="00282D84" w:rsidRPr="00D65A20">
              <w:rPr>
                <w:rStyle w:val="Hyperlink"/>
                <w:rFonts w:ascii="Times New Roman" w:hAnsi="Times New Roman"/>
                <w:noProof/>
                <w:lang w:val="pt-BR"/>
              </w:rPr>
              <w:t>Apoio e acompanhamento do processo de Cúpulas das Américas</w:t>
            </w:r>
            <w:r w:rsidR="00605E29" w:rsidRPr="00D65A20">
              <w:rPr>
                <w:rFonts w:ascii="Times New Roman" w:hAnsi="Times New Roman"/>
                <w:noProof/>
                <w:webHidden/>
                <w:lang w:val="pt-BR"/>
              </w:rPr>
              <w:tab/>
            </w:r>
            <w:r w:rsidR="00605E29" w:rsidRPr="00D65A20">
              <w:rPr>
                <w:rFonts w:ascii="Times New Roman" w:hAnsi="Times New Roman"/>
                <w:noProof/>
                <w:webHidden/>
                <w:lang w:val="pt-BR"/>
              </w:rPr>
              <w:fldChar w:fldCharType="begin"/>
            </w:r>
            <w:r w:rsidR="00605E29" w:rsidRPr="00D65A20">
              <w:rPr>
                <w:rFonts w:ascii="Times New Roman" w:hAnsi="Times New Roman"/>
                <w:noProof/>
                <w:webHidden/>
                <w:lang w:val="pt-BR"/>
              </w:rPr>
              <w:instrText xml:space="preserve"> PAGEREF _Toc56526667 \h </w:instrText>
            </w:r>
            <w:r w:rsidR="00605E29" w:rsidRPr="00D65A20">
              <w:rPr>
                <w:rFonts w:ascii="Times New Roman" w:hAnsi="Times New Roman"/>
                <w:noProof/>
                <w:webHidden/>
                <w:lang w:val="pt-BR"/>
              </w:rPr>
            </w:r>
            <w:r w:rsidR="00605E29" w:rsidRPr="00D65A20">
              <w:rPr>
                <w:rFonts w:ascii="Times New Roman" w:hAnsi="Times New Roman"/>
                <w:noProof/>
                <w:webHidden/>
                <w:lang w:val="pt-BR"/>
              </w:rPr>
              <w:fldChar w:fldCharType="separate"/>
            </w:r>
            <w:r w:rsidR="00414548" w:rsidRPr="00D65A20">
              <w:rPr>
                <w:rFonts w:ascii="Times New Roman" w:hAnsi="Times New Roman"/>
                <w:noProof/>
                <w:webHidden/>
                <w:lang w:val="pt-BR"/>
              </w:rPr>
              <w:t>5</w:t>
            </w:r>
            <w:r w:rsidR="00605E29" w:rsidRPr="00D65A20">
              <w:rPr>
                <w:rFonts w:ascii="Times New Roman" w:hAnsi="Times New Roman"/>
                <w:noProof/>
                <w:webHidden/>
                <w:lang w:val="pt-BR"/>
              </w:rPr>
              <w:fldChar w:fldCharType="end"/>
            </w:r>
          </w:hyperlink>
        </w:p>
        <w:p w14:paraId="6E833FCC" w14:textId="77777777" w:rsidR="00605E29" w:rsidRPr="00D65A20" w:rsidRDefault="00605E29" w:rsidP="00605E2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0" w:firstLine="0"/>
            <w:rPr>
              <w:rStyle w:val="Hyperlink"/>
              <w:rFonts w:ascii="Times New Roman" w:hAnsi="Times New Roman"/>
              <w:noProof/>
              <w:lang w:val="pt-BR"/>
            </w:rPr>
          </w:pPr>
        </w:p>
        <w:p w14:paraId="6E833FCD" w14:textId="740A23EA" w:rsidR="00605E29" w:rsidRPr="00D65A20" w:rsidRDefault="00CA769E" w:rsidP="00605E2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2880" w:hanging="2880"/>
            <w:rPr>
              <w:rFonts w:ascii="Times New Roman" w:eastAsiaTheme="minorEastAsia" w:hAnsi="Times New Roman"/>
              <w:noProof/>
              <w:szCs w:val="22"/>
              <w:lang w:val="pt-BR"/>
            </w:rPr>
          </w:pPr>
          <w:hyperlink w:anchor="_Toc56526669" w:history="1">
            <w:r w:rsidR="00605E29" w:rsidRPr="00D65A20">
              <w:rPr>
                <w:rStyle w:val="Hyperlink"/>
                <w:rFonts w:ascii="Times New Roman" w:hAnsi="Times New Roman"/>
                <w:noProof/>
                <w:lang w:val="pt-BR"/>
              </w:rPr>
              <w:t>AG/RES. 2949 (L-O/20)</w:t>
            </w:r>
            <w:r w:rsidR="00605E29" w:rsidRPr="00D65A20">
              <w:rPr>
                <w:rFonts w:ascii="Times New Roman" w:hAnsi="Times New Roman"/>
                <w:noProof/>
                <w:webHidden/>
                <w:lang w:val="pt-BR"/>
              </w:rPr>
              <w:tab/>
            </w:r>
          </w:hyperlink>
          <w:hyperlink w:anchor="_Toc56526670" w:history="1">
            <w:r w:rsidR="00282D84" w:rsidRPr="00D65A20">
              <w:rPr>
                <w:rStyle w:val="Hyperlink"/>
                <w:rFonts w:ascii="Times New Roman" w:hAnsi="Times New Roman"/>
                <w:noProof/>
                <w:lang w:val="pt-BR"/>
              </w:rPr>
              <w:t xml:space="preserve">Aumento e fortalecimento da participação da </w:t>
            </w:r>
            <w:r w:rsidR="00927BE8" w:rsidRPr="00D65A20">
              <w:rPr>
                <w:rStyle w:val="Hyperlink"/>
                <w:rFonts w:ascii="Times New Roman" w:hAnsi="Times New Roman"/>
                <w:noProof/>
                <w:lang w:val="pt-BR"/>
              </w:rPr>
              <w:t>sociedade civil</w:t>
            </w:r>
            <w:r w:rsidR="00282D84" w:rsidRPr="00D65A20">
              <w:rPr>
                <w:rStyle w:val="Hyperlink"/>
                <w:rFonts w:ascii="Times New Roman" w:hAnsi="Times New Roman"/>
                <w:noProof/>
                <w:lang w:val="pt-BR"/>
              </w:rPr>
              <w:t xml:space="preserve"> e dos atores sociais nas atividades da Organização dos Estados Americanos e do processo de Cúpulas das Américas</w:t>
            </w:r>
            <w:r w:rsidR="00605E29" w:rsidRPr="00D65A20">
              <w:rPr>
                <w:rFonts w:ascii="Times New Roman" w:hAnsi="Times New Roman"/>
                <w:noProof/>
                <w:webHidden/>
                <w:lang w:val="pt-BR"/>
              </w:rPr>
              <w:tab/>
            </w:r>
            <w:r w:rsidR="00605E29" w:rsidRPr="00D65A20">
              <w:rPr>
                <w:rFonts w:ascii="Times New Roman" w:hAnsi="Times New Roman"/>
                <w:noProof/>
                <w:webHidden/>
                <w:lang w:val="pt-BR"/>
              </w:rPr>
              <w:fldChar w:fldCharType="begin"/>
            </w:r>
            <w:r w:rsidR="00605E29" w:rsidRPr="00D65A20">
              <w:rPr>
                <w:rFonts w:ascii="Times New Roman" w:hAnsi="Times New Roman"/>
                <w:noProof/>
                <w:webHidden/>
                <w:lang w:val="pt-BR"/>
              </w:rPr>
              <w:instrText xml:space="preserve"> PAGEREF _Toc56526670 \h </w:instrText>
            </w:r>
            <w:r w:rsidR="00605E29" w:rsidRPr="00D65A20">
              <w:rPr>
                <w:rFonts w:ascii="Times New Roman" w:hAnsi="Times New Roman"/>
                <w:noProof/>
                <w:webHidden/>
                <w:lang w:val="pt-BR"/>
              </w:rPr>
            </w:r>
            <w:r w:rsidR="00605E29" w:rsidRPr="00D65A20">
              <w:rPr>
                <w:rFonts w:ascii="Times New Roman" w:hAnsi="Times New Roman"/>
                <w:noProof/>
                <w:webHidden/>
                <w:lang w:val="pt-BR"/>
              </w:rPr>
              <w:fldChar w:fldCharType="separate"/>
            </w:r>
            <w:r w:rsidR="00414548" w:rsidRPr="00D65A20">
              <w:rPr>
                <w:rFonts w:ascii="Times New Roman" w:hAnsi="Times New Roman"/>
                <w:noProof/>
                <w:webHidden/>
                <w:lang w:val="pt-BR"/>
              </w:rPr>
              <w:t>9</w:t>
            </w:r>
            <w:r w:rsidR="00605E29" w:rsidRPr="00D65A20">
              <w:rPr>
                <w:rFonts w:ascii="Times New Roman" w:hAnsi="Times New Roman"/>
                <w:noProof/>
                <w:webHidden/>
                <w:lang w:val="pt-BR"/>
              </w:rPr>
              <w:fldChar w:fldCharType="end"/>
            </w:r>
          </w:hyperlink>
        </w:p>
        <w:p w14:paraId="6E833FCE" w14:textId="77777777" w:rsidR="00605E29" w:rsidRPr="00D65A20" w:rsidRDefault="00605E29" w:rsidP="00605E2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0" w:firstLine="0"/>
            <w:rPr>
              <w:rStyle w:val="Hyperlink"/>
              <w:rFonts w:ascii="Times New Roman" w:hAnsi="Times New Roman"/>
              <w:noProof/>
              <w:lang w:val="pt-BR"/>
            </w:rPr>
          </w:pPr>
        </w:p>
        <w:p w14:paraId="6E833FCF" w14:textId="79BB1141" w:rsidR="00605E29" w:rsidRPr="00D65A20" w:rsidRDefault="00CA769E" w:rsidP="00605E2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2880" w:hanging="2880"/>
            <w:rPr>
              <w:rFonts w:ascii="Times New Roman" w:eastAsiaTheme="minorEastAsia" w:hAnsi="Times New Roman"/>
              <w:noProof/>
              <w:szCs w:val="22"/>
              <w:lang w:val="pt-BR"/>
            </w:rPr>
          </w:pPr>
          <w:hyperlink w:anchor="_Toc56526672" w:history="1">
            <w:r w:rsidR="00605E29" w:rsidRPr="00D65A20">
              <w:rPr>
                <w:rStyle w:val="Hyperlink"/>
                <w:rFonts w:ascii="Times New Roman" w:eastAsia="Calibri" w:hAnsi="Times New Roman"/>
                <w:noProof/>
                <w:lang w:val="pt-BR"/>
              </w:rPr>
              <w:t>AG/RES. 2950 (L-O/20)</w:t>
            </w:r>
            <w:r w:rsidR="00605E29" w:rsidRPr="00D65A20">
              <w:rPr>
                <w:rFonts w:ascii="Times New Roman" w:hAnsi="Times New Roman"/>
                <w:noProof/>
                <w:webHidden/>
                <w:lang w:val="pt-BR"/>
              </w:rPr>
              <w:tab/>
            </w:r>
          </w:hyperlink>
          <w:hyperlink w:anchor="_Toc56526673" w:history="1">
            <w:r w:rsidR="00282D84" w:rsidRPr="00D65A20">
              <w:rPr>
                <w:rStyle w:val="Hyperlink"/>
                <w:rFonts w:ascii="Times New Roman" w:hAnsi="Times New Roman"/>
                <w:noProof/>
                <w:lang w:val="pt-BR"/>
              </w:rPr>
              <w:t xml:space="preserve">Promoção da segurança hemisférica: </w:t>
            </w:r>
            <w:r w:rsidR="00927BE8" w:rsidRPr="00D65A20">
              <w:rPr>
                <w:rStyle w:val="Hyperlink"/>
                <w:rFonts w:ascii="Times New Roman" w:hAnsi="Times New Roman"/>
                <w:noProof/>
                <w:lang w:val="pt-BR"/>
              </w:rPr>
              <w:t>U</w:t>
            </w:r>
            <w:r w:rsidR="00282D84" w:rsidRPr="00D65A20">
              <w:rPr>
                <w:rStyle w:val="Hyperlink"/>
                <w:rFonts w:ascii="Times New Roman" w:hAnsi="Times New Roman"/>
                <w:noProof/>
                <w:lang w:val="pt-BR"/>
              </w:rPr>
              <w:t>m enfoque multidimensional</w:t>
            </w:r>
            <w:r w:rsidR="00605E29" w:rsidRPr="00D65A20">
              <w:rPr>
                <w:rFonts w:ascii="Times New Roman" w:hAnsi="Times New Roman"/>
                <w:noProof/>
                <w:webHidden/>
                <w:lang w:val="pt-BR"/>
              </w:rPr>
              <w:tab/>
            </w:r>
            <w:r w:rsidR="00605E29" w:rsidRPr="00D65A20">
              <w:rPr>
                <w:rFonts w:ascii="Times New Roman" w:hAnsi="Times New Roman"/>
                <w:noProof/>
                <w:webHidden/>
                <w:lang w:val="pt-BR"/>
              </w:rPr>
              <w:fldChar w:fldCharType="begin"/>
            </w:r>
            <w:r w:rsidR="00605E29" w:rsidRPr="00D65A20">
              <w:rPr>
                <w:rFonts w:ascii="Times New Roman" w:hAnsi="Times New Roman"/>
                <w:noProof/>
                <w:webHidden/>
                <w:lang w:val="pt-BR"/>
              </w:rPr>
              <w:instrText xml:space="preserve"> PAGEREF _Toc56526673 \h </w:instrText>
            </w:r>
            <w:r w:rsidR="00605E29" w:rsidRPr="00D65A20">
              <w:rPr>
                <w:rFonts w:ascii="Times New Roman" w:hAnsi="Times New Roman"/>
                <w:noProof/>
                <w:webHidden/>
                <w:lang w:val="pt-BR"/>
              </w:rPr>
            </w:r>
            <w:r w:rsidR="00605E29" w:rsidRPr="00D65A20">
              <w:rPr>
                <w:rFonts w:ascii="Times New Roman" w:hAnsi="Times New Roman"/>
                <w:noProof/>
                <w:webHidden/>
                <w:lang w:val="pt-BR"/>
              </w:rPr>
              <w:fldChar w:fldCharType="separate"/>
            </w:r>
            <w:r w:rsidR="00414548" w:rsidRPr="00D65A20">
              <w:rPr>
                <w:rFonts w:ascii="Times New Roman" w:hAnsi="Times New Roman"/>
                <w:noProof/>
                <w:webHidden/>
                <w:lang w:val="pt-BR"/>
              </w:rPr>
              <w:t>13</w:t>
            </w:r>
            <w:r w:rsidR="00605E29" w:rsidRPr="00D65A20">
              <w:rPr>
                <w:rFonts w:ascii="Times New Roman" w:hAnsi="Times New Roman"/>
                <w:noProof/>
                <w:webHidden/>
                <w:lang w:val="pt-BR"/>
              </w:rPr>
              <w:fldChar w:fldCharType="end"/>
            </w:r>
          </w:hyperlink>
        </w:p>
        <w:p w14:paraId="6E833FD0" w14:textId="77777777" w:rsidR="00605E29" w:rsidRPr="00D65A20" w:rsidRDefault="00605E29" w:rsidP="00605E2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0" w:firstLine="0"/>
            <w:rPr>
              <w:rStyle w:val="Hyperlink"/>
              <w:rFonts w:ascii="Times New Roman" w:hAnsi="Times New Roman"/>
              <w:noProof/>
              <w:lang w:val="pt-BR"/>
            </w:rPr>
          </w:pPr>
        </w:p>
        <w:p w14:paraId="6E833FD1" w14:textId="7F352390" w:rsidR="00605E29" w:rsidRPr="00D65A20" w:rsidRDefault="00CA769E" w:rsidP="00605E2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2880" w:hanging="2880"/>
            <w:rPr>
              <w:rFonts w:ascii="Times New Roman" w:eastAsiaTheme="minorEastAsia" w:hAnsi="Times New Roman"/>
              <w:noProof/>
              <w:szCs w:val="22"/>
              <w:lang w:val="pt-BR"/>
            </w:rPr>
          </w:pPr>
          <w:hyperlink w:anchor="_Toc56526675" w:history="1">
            <w:r w:rsidR="00605E29" w:rsidRPr="00D65A20">
              <w:rPr>
                <w:rStyle w:val="Hyperlink"/>
                <w:rFonts w:ascii="Times New Roman" w:hAnsi="Times New Roman"/>
                <w:noProof/>
                <w:lang w:val="pt-BR"/>
              </w:rPr>
              <w:t>AG/RES. 2951 (L-O/20)</w:t>
            </w:r>
            <w:r w:rsidR="00605E29" w:rsidRPr="00D65A20">
              <w:rPr>
                <w:rFonts w:ascii="Times New Roman" w:hAnsi="Times New Roman"/>
                <w:noProof/>
                <w:webHidden/>
                <w:lang w:val="pt-BR"/>
              </w:rPr>
              <w:tab/>
            </w:r>
          </w:hyperlink>
          <w:hyperlink w:anchor="_Toc56526676" w:history="1">
            <w:r w:rsidR="00282D84" w:rsidRPr="00D65A20">
              <w:rPr>
                <w:rStyle w:val="Hyperlink"/>
                <w:rFonts w:ascii="Times New Roman" w:hAnsi="Times New Roman"/>
                <w:noProof/>
                <w:lang w:val="pt-BR"/>
              </w:rPr>
              <w:t>Atualização das norma</w:t>
            </w:r>
            <w:r w:rsidR="00927BE8" w:rsidRPr="00D65A20">
              <w:rPr>
                <w:rStyle w:val="Hyperlink"/>
                <w:rFonts w:ascii="Times New Roman" w:hAnsi="Times New Roman"/>
                <w:noProof/>
                <w:lang w:val="pt-BR"/>
              </w:rPr>
              <w:t>s</w:t>
            </w:r>
            <w:r w:rsidR="00282D84" w:rsidRPr="00D65A20">
              <w:rPr>
                <w:rStyle w:val="Hyperlink"/>
                <w:rFonts w:ascii="Times New Roman" w:hAnsi="Times New Roman"/>
                <w:noProof/>
                <w:lang w:val="pt-BR"/>
              </w:rPr>
              <w:t xml:space="preserve"> de procedimento do Conselho Permanente e dos seus </w:t>
            </w:r>
            <w:r w:rsidR="00927BE8" w:rsidRPr="00D65A20">
              <w:rPr>
                <w:rStyle w:val="Hyperlink"/>
                <w:rFonts w:ascii="Times New Roman" w:hAnsi="Times New Roman"/>
                <w:noProof/>
                <w:lang w:val="pt-BR"/>
              </w:rPr>
              <w:t>ó</w:t>
            </w:r>
            <w:r w:rsidR="00282D84" w:rsidRPr="00D65A20">
              <w:rPr>
                <w:rStyle w:val="Hyperlink"/>
                <w:rFonts w:ascii="Times New Roman" w:hAnsi="Times New Roman"/>
                <w:noProof/>
                <w:lang w:val="pt-BR"/>
              </w:rPr>
              <w:t>rgãos subsidiários</w:t>
            </w:r>
            <w:r w:rsidR="00605E29" w:rsidRPr="00D65A20">
              <w:rPr>
                <w:rFonts w:ascii="Times New Roman" w:hAnsi="Times New Roman"/>
                <w:noProof/>
                <w:webHidden/>
                <w:lang w:val="pt-BR"/>
              </w:rPr>
              <w:tab/>
            </w:r>
            <w:r w:rsidR="00605E29" w:rsidRPr="00D65A20">
              <w:rPr>
                <w:rFonts w:ascii="Times New Roman" w:hAnsi="Times New Roman"/>
                <w:noProof/>
                <w:webHidden/>
                <w:lang w:val="pt-BR"/>
              </w:rPr>
              <w:fldChar w:fldCharType="begin"/>
            </w:r>
            <w:r w:rsidR="00605E29" w:rsidRPr="00D65A20">
              <w:rPr>
                <w:rFonts w:ascii="Times New Roman" w:hAnsi="Times New Roman"/>
                <w:noProof/>
                <w:webHidden/>
                <w:lang w:val="pt-BR"/>
              </w:rPr>
              <w:instrText xml:space="preserve"> PAGEREF _Toc56526676 \h </w:instrText>
            </w:r>
            <w:r w:rsidR="00605E29" w:rsidRPr="00D65A20">
              <w:rPr>
                <w:rFonts w:ascii="Times New Roman" w:hAnsi="Times New Roman"/>
                <w:noProof/>
                <w:webHidden/>
                <w:lang w:val="pt-BR"/>
              </w:rPr>
            </w:r>
            <w:r w:rsidR="00605E29" w:rsidRPr="00D65A20">
              <w:rPr>
                <w:rFonts w:ascii="Times New Roman" w:hAnsi="Times New Roman"/>
                <w:noProof/>
                <w:webHidden/>
                <w:lang w:val="pt-BR"/>
              </w:rPr>
              <w:fldChar w:fldCharType="separate"/>
            </w:r>
            <w:r w:rsidR="00414548" w:rsidRPr="00D65A20">
              <w:rPr>
                <w:rFonts w:ascii="Times New Roman" w:hAnsi="Times New Roman"/>
                <w:noProof/>
                <w:webHidden/>
                <w:lang w:val="pt-BR"/>
              </w:rPr>
              <w:t>4</w:t>
            </w:r>
            <w:r w:rsidR="00B543D1">
              <w:rPr>
                <w:rFonts w:ascii="Times New Roman" w:hAnsi="Times New Roman"/>
                <w:noProof/>
                <w:webHidden/>
                <w:lang w:val="pt-BR"/>
              </w:rPr>
              <w:t>7</w:t>
            </w:r>
            <w:r w:rsidR="00605E29" w:rsidRPr="00D65A20">
              <w:rPr>
                <w:rFonts w:ascii="Times New Roman" w:hAnsi="Times New Roman"/>
                <w:noProof/>
                <w:webHidden/>
                <w:lang w:val="pt-BR"/>
              </w:rPr>
              <w:fldChar w:fldCharType="end"/>
            </w:r>
          </w:hyperlink>
        </w:p>
        <w:p w14:paraId="6E833FD2" w14:textId="77777777" w:rsidR="00605E29" w:rsidRPr="00D65A20" w:rsidRDefault="00605E29" w:rsidP="00605E2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0" w:firstLine="0"/>
            <w:rPr>
              <w:rStyle w:val="Hyperlink"/>
              <w:rFonts w:ascii="Times New Roman" w:hAnsi="Times New Roman"/>
              <w:noProof/>
              <w:lang w:val="pt-BR"/>
            </w:rPr>
          </w:pPr>
        </w:p>
        <w:p w14:paraId="6E833FD3" w14:textId="27F6095D" w:rsidR="00605E29" w:rsidRPr="00D65A20" w:rsidRDefault="00CA769E" w:rsidP="00605E2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2880" w:hanging="2880"/>
            <w:rPr>
              <w:rFonts w:ascii="Times New Roman" w:eastAsiaTheme="minorEastAsia" w:hAnsi="Times New Roman"/>
              <w:noProof/>
              <w:szCs w:val="22"/>
              <w:lang w:val="pt-BR"/>
            </w:rPr>
          </w:pPr>
          <w:hyperlink w:anchor="_Toc56526677" w:history="1">
            <w:r w:rsidR="00605E29" w:rsidRPr="00D65A20">
              <w:rPr>
                <w:rStyle w:val="Hyperlink"/>
                <w:rFonts w:ascii="Times New Roman" w:eastAsia="Calibri" w:hAnsi="Times New Roman"/>
                <w:noProof/>
                <w:lang w:val="pt-BR"/>
              </w:rPr>
              <w:t>AG/RES. 2952 (L-O/20)</w:t>
            </w:r>
            <w:r w:rsidR="00605E29" w:rsidRPr="00D65A20">
              <w:rPr>
                <w:rFonts w:ascii="Times New Roman" w:hAnsi="Times New Roman"/>
                <w:noProof/>
                <w:webHidden/>
                <w:lang w:val="pt-BR"/>
              </w:rPr>
              <w:tab/>
            </w:r>
          </w:hyperlink>
          <w:hyperlink w:anchor="_Toc56526678" w:history="1">
            <w:r w:rsidR="00282D84" w:rsidRPr="00D65A20">
              <w:rPr>
                <w:rStyle w:val="Hyperlink"/>
                <w:rFonts w:ascii="Times New Roman" w:hAnsi="Times New Roman"/>
                <w:noProof/>
                <w:lang w:val="pt-BR"/>
              </w:rPr>
              <w:t>Promoção da resposta hemisférica à mudança do clima no contexto da pandemia d</w:t>
            </w:r>
            <w:r w:rsidR="00927BE8" w:rsidRPr="00D65A20">
              <w:rPr>
                <w:rStyle w:val="Hyperlink"/>
                <w:rFonts w:ascii="Times New Roman" w:hAnsi="Times New Roman"/>
                <w:noProof/>
                <w:lang w:val="pt-BR"/>
              </w:rPr>
              <w:t>e</w:t>
            </w:r>
            <w:r w:rsidR="00282D84" w:rsidRPr="00D65A20">
              <w:rPr>
                <w:rStyle w:val="Hyperlink"/>
                <w:rFonts w:ascii="Times New Roman" w:hAnsi="Times New Roman"/>
                <w:noProof/>
                <w:lang w:val="pt-BR"/>
              </w:rPr>
              <w:t xml:space="preserve"> covid-19</w:t>
            </w:r>
            <w:r w:rsidR="00605E29" w:rsidRPr="00D65A20">
              <w:rPr>
                <w:rFonts w:ascii="Times New Roman" w:hAnsi="Times New Roman"/>
                <w:noProof/>
                <w:webHidden/>
                <w:lang w:val="pt-BR"/>
              </w:rPr>
              <w:tab/>
            </w:r>
            <w:r w:rsidR="00605E29" w:rsidRPr="00D65A20">
              <w:rPr>
                <w:rFonts w:ascii="Times New Roman" w:hAnsi="Times New Roman"/>
                <w:noProof/>
                <w:webHidden/>
                <w:lang w:val="pt-BR"/>
              </w:rPr>
              <w:fldChar w:fldCharType="begin"/>
            </w:r>
            <w:r w:rsidR="00605E29" w:rsidRPr="00D65A20">
              <w:rPr>
                <w:rFonts w:ascii="Times New Roman" w:hAnsi="Times New Roman"/>
                <w:noProof/>
                <w:webHidden/>
                <w:lang w:val="pt-BR"/>
              </w:rPr>
              <w:instrText xml:space="preserve"> PAGEREF _Toc56526678 \h </w:instrText>
            </w:r>
            <w:r w:rsidR="00605E29" w:rsidRPr="00D65A20">
              <w:rPr>
                <w:rFonts w:ascii="Times New Roman" w:hAnsi="Times New Roman"/>
                <w:noProof/>
                <w:webHidden/>
                <w:lang w:val="pt-BR"/>
              </w:rPr>
            </w:r>
            <w:r w:rsidR="00605E29" w:rsidRPr="00D65A20">
              <w:rPr>
                <w:rFonts w:ascii="Times New Roman" w:hAnsi="Times New Roman"/>
                <w:noProof/>
                <w:webHidden/>
                <w:lang w:val="pt-BR"/>
              </w:rPr>
              <w:fldChar w:fldCharType="separate"/>
            </w:r>
            <w:r w:rsidR="00414548" w:rsidRPr="00D65A20">
              <w:rPr>
                <w:rFonts w:ascii="Times New Roman" w:hAnsi="Times New Roman"/>
                <w:noProof/>
                <w:webHidden/>
                <w:lang w:val="pt-BR"/>
              </w:rPr>
              <w:t>5</w:t>
            </w:r>
            <w:r w:rsidR="00B543D1">
              <w:rPr>
                <w:rFonts w:ascii="Times New Roman" w:hAnsi="Times New Roman"/>
                <w:noProof/>
                <w:webHidden/>
                <w:lang w:val="pt-BR"/>
              </w:rPr>
              <w:t>1</w:t>
            </w:r>
            <w:r w:rsidR="00414548" w:rsidRPr="00D65A20">
              <w:rPr>
                <w:rFonts w:ascii="Times New Roman" w:hAnsi="Times New Roman"/>
                <w:noProof/>
                <w:webHidden/>
                <w:lang w:val="pt-BR"/>
              </w:rPr>
              <w:t xml:space="preserve"> </w:t>
            </w:r>
            <w:r w:rsidR="00605E29" w:rsidRPr="00D65A20">
              <w:rPr>
                <w:rFonts w:ascii="Times New Roman" w:hAnsi="Times New Roman"/>
                <w:noProof/>
                <w:webHidden/>
                <w:lang w:val="pt-BR"/>
              </w:rPr>
              <w:fldChar w:fldCharType="end"/>
            </w:r>
          </w:hyperlink>
        </w:p>
        <w:p w14:paraId="6E833FD4" w14:textId="77777777" w:rsidR="00605E29" w:rsidRPr="00D65A20" w:rsidRDefault="00605E29" w:rsidP="00605E2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0" w:firstLine="0"/>
            <w:rPr>
              <w:rStyle w:val="Hyperlink"/>
              <w:rFonts w:ascii="Times New Roman" w:hAnsi="Times New Roman"/>
              <w:noProof/>
              <w:lang w:val="pt-BR"/>
            </w:rPr>
          </w:pPr>
        </w:p>
        <w:p w14:paraId="6E833FD5" w14:textId="27689A3E" w:rsidR="00605E29" w:rsidRPr="00D65A20" w:rsidRDefault="00CA769E" w:rsidP="00FC4E8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2880" w:hanging="2880"/>
            <w:rPr>
              <w:rFonts w:ascii="Times New Roman" w:eastAsiaTheme="minorEastAsia" w:hAnsi="Times New Roman"/>
              <w:noProof/>
              <w:szCs w:val="22"/>
              <w:lang w:val="pt-BR"/>
            </w:rPr>
          </w:pPr>
          <w:hyperlink w:anchor="_Toc56526679" w:history="1">
            <w:r w:rsidR="00605E29" w:rsidRPr="00D65A20">
              <w:rPr>
                <w:rStyle w:val="Hyperlink"/>
                <w:rFonts w:ascii="Times New Roman" w:eastAsia="Calibri" w:hAnsi="Times New Roman"/>
                <w:noProof/>
                <w:lang w:val="pt-BR"/>
              </w:rPr>
              <w:t>AG/RES. 2953 (L-O/20)</w:t>
            </w:r>
            <w:r w:rsidR="00605E29" w:rsidRPr="00D65A20">
              <w:rPr>
                <w:rFonts w:ascii="Times New Roman" w:hAnsi="Times New Roman"/>
                <w:noProof/>
                <w:webHidden/>
                <w:lang w:val="pt-BR"/>
              </w:rPr>
              <w:tab/>
            </w:r>
          </w:hyperlink>
          <w:hyperlink w:anchor="_Toc56526680" w:history="1">
            <w:r w:rsidR="00FC4E89" w:rsidRPr="00D65A20">
              <w:rPr>
                <w:rStyle w:val="Hyperlink"/>
                <w:rFonts w:ascii="Times New Roman" w:hAnsi="Times New Roman"/>
                <w:noProof/>
                <w:lang w:val="pt-BR"/>
              </w:rPr>
              <w:t>P</w:t>
            </w:r>
            <w:r w:rsidR="00282D84" w:rsidRPr="00D65A20">
              <w:rPr>
                <w:rStyle w:val="Hyperlink"/>
                <w:rFonts w:ascii="Times New Roman" w:hAnsi="Times New Roman"/>
                <w:noProof/>
                <w:lang w:val="pt-BR"/>
              </w:rPr>
              <w:t>apel prioritário da Organização dos Estados Americanos no desenvolvimento das telecomunicações/tecnologias da informação e das comunicações por intermédio da Comissão Interamericana de Telecomunicações (CITEL)</w:t>
            </w:r>
            <w:r w:rsidR="00605E29" w:rsidRPr="00D65A20">
              <w:rPr>
                <w:rFonts w:ascii="Times New Roman" w:hAnsi="Times New Roman"/>
                <w:noProof/>
                <w:webHidden/>
                <w:lang w:val="pt-BR"/>
              </w:rPr>
              <w:tab/>
            </w:r>
            <w:r w:rsidR="00605E29" w:rsidRPr="00D65A20">
              <w:rPr>
                <w:rFonts w:ascii="Times New Roman" w:hAnsi="Times New Roman"/>
                <w:noProof/>
                <w:webHidden/>
                <w:lang w:val="pt-BR"/>
              </w:rPr>
              <w:fldChar w:fldCharType="begin"/>
            </w:r>
            <w:r w:rsidR="00605E29" w:rsidRPr="00D65A20">
              <w:rPr>
                <w:rFonts w:ascii="Times New Roman" w:hAnsi="Times New Roman"/>
                <w:noProof/>
                <w:webHidden/>
                <w:lang w:val="pt-BR"/>
              </w:rPr>
              <w:instrText xml:space="preserve"> PAGEREF _Toc56526680 \h </w:instrText>
            </w:r>
            <w:r w:rsidR="00605E29" w:rsidRPr="00D65A20">
              <w:rPr>
                <w:rFonts w:ascii="Times New Roman" w:hAnsi="Times New Roman"/>
                <w:noProof/>
                <w:webHidden/>
                <w:lang w:val="pt-BR"/>
              </w:rPr>
            </w:r>
            <w:r w:rsidR="00605E29" w:rsidRPr="00D65A20">
              <w:rPr>
                <w:rFonts w:ascii="Times New Roman" w:hAnsi="Times New Roman"/>
                <w:noProof/>
                <w:webHidden/>
                <w:lang w:val="pt-BR"/>
              </w:rPr>
              <w:fldChar w:fldCharType="separate"/>
            </w:r>
            <w:r w:rsidR="00414548" w:rsidRPr="00D65A20">
              <w:rPr>
                <w:rFonts w:ascii="Times New Roman" w:hAnsi="Times New Roman"/>
                <w:noProof/>
                <w:webHidden/>
                <w:lang w:val="pt-BR"/>
              </w:rPr>
              <w:t>5</w:t>
            </w:r>
            <w:r w:rsidR="00B543D1">
              <w:rPr>
                <w:rFonts w:ascii="Times New Roman" w:hAnsi="Times New Roman"/>
                <w:noProof/>
                <w:webHidden/>
                <w:lang w:val="pt-BR"/>
              </w:rPr>
              <w:t>5</w:t>
            </w:r>
            <w:r w:rsidR="00414548" w:rsidRPr="00D65A20">
              <w:rPr>
                <w:rFonts w:ascii="Times New Roman" w:hAnsi="Times New Roman"/>
                <w:noProof/>
                <w:webHidden/>
                <w:lang w:val="pt-BR"/>
              </w:rPr>
              <w:t xml:space="preserve"> </w:t>
            </w:r>
            <w:r w:rsidR="00605E29" w:rsidRPr="00D65A20">
              <w:rPr>
                <w:rFonts w:ascii="Times New Roman" w:hAnsi="Times New Roman"/>
                <w:noProof/>
                <w:webHidden/>
                <w:lang w:val="pt-BR"/>
              </w:rPr>
              <w:fldChar w:fldCharType="end"/>
            </w:r>
          </w:hyperlink>
        </w:p>
        <w:p w14:paraId="6E833FD6" w14:textId="77777777" w:rsidR="00605E29" w:rsidRPr="00D65A20" w:rsidRDefault="00605E29" w:rsidP="00605E2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0" w:firstLine="0"/>
            <w:rPr>
              <w:rStyle w:val="Hyperlink"/>
              <w:rFonts w:ascii="Times New Roman" w:hAnsi="Times New Roman"/>
              <w:noProof/>
              <w:lang w:val="pt-BR"/>
            </w:rPr>
          </w:pPr>
        </w:p>
        <w:p w14:paraId="6E833FD7" w14:textId="72F59EA8" w:rsidR="00605E29" w:rsidRPr="00D65A20" w:rsidRDefault="00CA769E" w:rsidP="00FC4E8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2880" w:hanging="2880"/>
            <w:rPr>
              <w:rFonts w:ascii="Times New Roman" w:eastAsiaTheme="minorEastAsia" w:hAnsi="Times New Roman"/>
              <w:noProof/>
              <w:szCs w:val="22"/>
              <w:lang w:val="pt-BR"/>
            </w:rPr>
          </w:pPr>
          <w:hyperlink w:anchor="_Toc56526681" w:history="1">
            <w:r w:rsidR="00605E29" w:rsidRPr="00D65A20">
              <w:rPr>
                <w:rStyle w:val="Hyperlink"/>
                <w:rFonts w:ascii="Times New Roman" w:eastAsia="Calibri" w:hAnsi="Times New Roman"/>
                <w:noProof/>
                <w:lang w:val="pt-BR"/>
              </w:rPr>
              <w:t>AG/RES. 2954 (L-O/20)</w:t>
            </w:r>
            <w:r w:rsidR="00605E29" w:rsidRPr="00D65A20">
              <w:rPr>
                <w:rFonts w:ascii="Times New Roman" w:hAnsi="Times New Roman"/>
                <w:noProof/>
                <w:webHidden/>
                <w:lang w:val="pt-BR"/>
              </w:rPr>
              <w:tab/>
            </w:r>
          </w:hyperlink>
          <w:hyperlink w:anchor="_Toc56526682" w:history="1">
            <w:r w:rsidR="00282D84" w:rsidRPr="00D65A20">
              <w:rPr>
                <w:rStyle w:val="Hyperlink"/>
                <w:rFonts w:ascii="Times New Roman" w:hAnsi="Times New Roman"/>
                <w:noProof/>
                <w:lang w:val="pt-BR"/>
              </w:rPr>
              <w:t>Para uma Carta Empresarial Interamericana</w:t>
            </w:r>
            <w:r w:rsidR="00605E29" w:rsidRPr="00D65A20">
              <w:rPr>
                <w:rFonts w:ascii="Times New Roman" w:hAnsi="Times New Roman"/>
                <w:noProof/>
                <w:webHidden/>
                <w:lang w:val="pt-BR"/>
              </w:rPr>
              <w:tab/>
            </w:r>
            <w:r w:rsidR="00B543D1">
              <w:rPr>
                <w:rFonts w:ascii="Times New Roman" w:hAnsi="Times New Roman"/>
                <w:noProof/>
                <w:webHidden/>
                <w:lang w:val="pt-BR"/>
              </w:rPr>
              <w:t>59</w:t>
            </w:r>
          </w:hyperlink>
        </w:p>
        <w:p w14:paraId="6E833FD8" w14:textId="77777777" w:rsidR="00605E29" w:rsidRPr="00D65A20" w:rsidRDefault="00605E29" w:rsidP="00605E2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0" w:firstLine="0"/>
            <w:rPr>
              <w:rStyle w:val="Hyperlink"/>
              <w:rFonts w:ascii="Times New Roman" w:hAnsi="Times New Roman"/>
              <w:noProof/>
              <w:lang w:val="pt-BR"/>
            </w:rPr>
          </w:pPr>
        </w:p>
        <w:p w14:paraId="6E833FD9" w14:textId="194D02B9" w:rsidR="00605E29" w:rsidRPr="00D65A20" w:rsidRDefault="00CA769E" w:rsidP="00FC4E8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2880" w:hanging="2880"/>
            <w:rPr>
              <w:rFonts w:ascii="Times New Roman" w:eastAsiaTheme="minorEastAsia" w:hAnsi="Times New Roman"/>
              <w:noProof/>
              <w:szCs w:val="22"/>
              <w:lang w:val="pt-BR"/>
            </w:rPr>
          </w:pPr>
          <w:hyperlink w:anchor="_Toc56526683" w:history="1">
            <w:r w:rsidR="00605E29" w:rsidRPr="00D65A20">
              <w:rPr>
                <w:rStyle w:val="Hyperlink"/>
                <w:rFonts w:ascii="Times New Roman" w:hAnsi="Times New Roman"/>
                <w:noProof/>
                <w:lang w:val="pt-BR"/>
              </w:rPr>
              <w:t>AG/RES. 2955 (L-O/20)</w:t>
            </w:r>
            <w:r w:rsidR="00605E29" w:rsidRPr="00D65A20">
              <w:rPr>
                <w:rFonts w:ascii="Times New Roman" w:hAnsi="Times New Roman"/>
                <w:noProof/>
                <w:webHidden/>
                <w:lang w:val="pt-BR"/>
              </w:rPr>
              <w:tab/>
            </w:r>
          </w:hyperlink>
          <w:hyperlink w:anchor="_Toc56526684" w:history="1">
            <w:r w:rsidR="00605E29" w:rsidRPr="00D65A20">
              <w:rPr>
                <w:rStyle w:val="Hyperlink"/>
                <w:rFonts w:ascii="Times New Roman" w:hAnsi="Times New Roman"/>
                <w:noProof/>
                <w:lang w:val="pt-BR"/>
              </w:rPr>
              <w:t>P</w:t>
            </w:r>
            <w:r w:rsidR="00282D84" w:rsidRPr="00D65A20">
              <w:rPr>
                <w:rStyle w:val="Hyperlink"/>
                <w:rFonts w:ascii="Times New Roman" w:hAnsi="Times New Roman"/>
                <w:noProof/>
                <w:lang w:val="pt-BR"/>
              </w:rPr>
              <w:t xml:space="preserve">romovendo iniciativas hemisféricas em matéria de desenvolvimento integral:  </w:t>
            </w:r>
            <w:r w:rsidR="00927BE8" w:rsidRPr="00D65A20">
              <w:rPr>
                <w:rStyle w:val="Hyperlink"/>
                <w:rFonts w:ascii="Times New Roman" w:hAnsi="Times New Roman"/>
                <w:noProof/>
                <w:lang w:val="pt-BR"/>
              </w:rPr>
              <w:t>P</w:t>
            </w:r>
            <w:r w:rsidR="00282D84" w:rsidRPr="00D65A20">
              <w:rPr>
                <w:rStyle w:val="Hyperlink"/>
                <w:rFonts w:ascii="Times New Roman" w:hAnsi="Times New Roman"/>
                <w:noProof/>
                <w:lang w:val="pt-BR"/>
              </w:rPr>
              <w:t>romoção da resiliência</w:t>
            </w:r>
            <w:r w:rsidR="00605E29" w:rsidRPr="00D65A20">
              <w:rPr>
                <w:rFonts w:ascii="Times New Roman" w:hAnsi="Times New Roman"/>
                <w:noProof/>
                <w:webHidden/>
                <w:lang w:val="pt-BR"/>
              </w:rPr>
              <w:tab/>
            </w:r>
            <w:r w:rsidR="00605E29" w:rsidRPr="00D65A20">
              <w:rPr>
                <w:rFonts w:ascii="Times New Roman" w:hAnsi="Times New Roman"/>
                <w:noProof/>
                <w:webHidden/>
                <w:lang w:val="pt-BR"/>
              </w:rPr>
              <w:fldChar w:fldCharType="begin"/>
            </w:r>
            <w:r w:rsidR="00605E29" w:rsidRPr="00D65A20">
              <w:rPr>
                <w:rFonts w:ascii="Times New Roman" w:hAnsi="Times New Roman"/>
                <w:noProof/>
                <w:webHidden/>
                <w:lang w:val="pt-BR"/>
              </w:rPr>
              <w:instrText xml:space="preserve"> PAGEREF _Toc56526684 \h </w:instrText>
            </w:r>
            <w:r w:rsidR="00605E29" w:rsidRPr="00D65A20">
              <w:rPr>
                <w:rFonts w:ascii="Times New Roman" w:hAnsi="Times New Roman"/>
                <w:noProof/>
                <w:webHidden/>
                <w:lang w:val="pt-BR"/>
              </w:rPr>
            </w:r>
            <w:r w:rsidR="00605E29" w:rsidRPr="00D65A20">
              <w:rPr>
                <w:rFonts w:ascii="Times New Roman" w:hAnsi="Times New Roman"/>
                <w:noProof/>
                <w:webHidden/>
                <w:lang w:val="pt-BR"/>
              </w:rPr>
              <w:fldChar w:fldCharType="separate"/>
            </w:r>
            <w:r w:rsidR="00414548" w:rsidRPr="00D65A20">
              <w:rPr>
                <w:rFonts w:ascii="Times New Roman" w:hAnsi="Times New Roman"/>
                <w:noProof/>
                <w:webHidden/>
                <w:lang w:val="pt-BR"/>
              </w:rPr>
              <w:t>7</w:t>
            </w:r>
            <w:r w:rsidR="00B543D1">
              <w:rPr>
                <w:rFonts w:ascii="Times New Roman" w:hAnsi="Times New Roman"/>
                <w:noProof/>
                <w:webHidden/>
                <w:lang w:val="pt-BR"/>
              </w:rPr>
              <w:t>1</w:t>
            </w:r>
            <w:r w:rsidR="00414548" w:rsidRPr="00D65A20">
              <w:rPr>
                <w:rFonts w:ascii="Times New Roman" w:hAnsi="Times New Roman"/>
                <w:noProof/>
                <w:webHidden/>
                <w:lang w:val="pt-BR"/>
              </w:rPr>
              <w:t xml:space="preserve"> </w:t>
            </w:r>
            <w:r w:rsidR="00605E29" w:rsidRPr="00D65A20">
              <w:rPr>
                <w:rFonts w:ascii="Times New Roman" w:hAnsi="Times New Roman"/>
                <w:noProof/>
                <w:webHidden/>
                <w:lang w:val="pt-BR"/>
              </w:rPr>
              <w:fldChar w:fldCharType="end"/>
            </w:r>
          </w:hyperlink>
        </w:p>
        <w:p w14:paraId="6E833FDA" w14:textId="77777777" w:rsidR="00605E29" w:rsidRPr="00D65A20" w:rsidRDefault="00605E29" w:rsidP="00605E2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0" w:firstLine="0"/>
            <w:rPr>
              <w:rStyle w:val="Hyperlink"/>
              <w:rFonts w:ascii="Times New Roman" w:hAnsi="Times New Roman"/>
              <w:noProof/>
              <w:lang w:val="pt-BR"/>
            </w:rPr>
          </w:pPr>
        </w:p>
        <w:p w14:paraId="6E833FDB" w14:textId="0A79738B" w:rsidR="00605E29" w:rsidRPr="00D65A20" w:rsidRDefault="00CA769E" w:rsidP="00FC4E8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2880" w:hanging="2880"/>
            <w:rPr>
              <w:rFonts w:ascii="Times New Roman" w:eastAsiaTheme="minorEastAsia" w:hAnsi="Times New Roman"/>
              <w:noProof/>
              <w:szCs w:val="22"/>
              <w:lang w:val="pt-BR"/>
            </w:rPr>
          </w:pPr>
          <w:hyperlink w:anchor="_Toc56526701" w:history="1">
            <w:r w:rsidR="00605E29" w:rsidRPr="00D65A20">
              <w:rPr>
                <w:rStyle w:val="Hyperlink"/>
                <w:rFonts w:ascii="Times New Roman" w:hAnsi="Times New Roman"/>
                <w:noProof/>
                <w:lang w:val="pt-BR"/>
              </w:rPr>
              <w:t>AG/RES. 2956 (L-O/20)</w:t>
            </w:r>
            <w:r w:rsidR="00605E29" w:rsidRPr="00D65A20">
              <w:rPr>
                <w:rFonts w:ascii="Times New Roman" w:hAnsi="Times New Roman"/>
                <w:noProof/>
                <w:webHidden/>
                <w:lang w:val="pt-BR"/>
              </w:rPr>
              <w:tab/>
            </w:r>
          </w:hyperlink>
          <w:hyperlink w:anchor="_Toc56526702" w:history="1">
            <w:r w:rsidR="00FC4E89" w:rsidRPr="00D65A20">
              <w:rPr>
                <w:rStyle w:val="Hyperlink"/>
                <w:rFonts w:ascii="Times New Roman" w:hAnsi="Times New Roman"/>
                <w:noProof/>
                <w:lang w:val="pt-BR"/>
              </w:rPr>
              <w:t xml:space="preserve">Os </w:t>
            </w:r>
            <w:r w:rsidR="00282D84" w:rsidRPr="00D65A20">
              <w:rPr>
                <w:rStyle w:val="Hyperlink"/>
                <w:rFonts w:ascii="Times New Roman" w:hAnsi="Times New Roman"/>
                <w:noProof/>
                <w:lang w:val="pt-BR"/>
              </w:rPr>
              <w:t>desafios para a segurança alimentar e nutricional das Américas frente à pandemia de covid-19 no âmbito do Plano de Ação da Guatemala 2019</w:t>
            </w:r>
            <w:r w:rsidR="00605E29" w:rsidRPr="00D65A20">
              <w:rPr>
                <w:rFonts w:ascii="Times New Roman" w:hAnsi="Times New Roman"/>
                <w:noProof/>
                <w:webHidden/>
                <w:lang w:val="pt-BR"/>
              </w:rPr>
              <w:tab/>
            </w:r>
            <w:r w:rsidR="00B543D1">
              <w:rPr>
                <w:rFonts w:ascii="Times New Roman" w:hAnsi="Times New Roman"/>
                <w:noProof/>
                <w:webHidden/>
                <w:lang w:val="pt-BR"/>
              </w:rPr>
              <w:t>89</w:t>
            </w:r>
          </w:hyperlink>
        </w:p>
        <w:p w14:paraId="6E833FDC" w14:textId="77777777" w:rsidR="00605E29" w:rsidRPr="00D65A20" w:rsidRDefault="00605E29" w:rsidP="00605E29">
          <w:pPr>
            <w:pStyle w:val="TOC1"/>
            <w:tabs>
              <w:tab w:val="clear" w:pos="1440"/>
              <w:tab w:val="clear" w:pos="3600"/>
              <w:tab w:val="clear" w:pos="4320"/>
              <w:tab w:val="clear" w:pos="5760"/>
              <w:tab w:val="clear" w:pos="6480"/>
              <w:tab w:val="clear" w:pos="7200"/>
              <w:tab w:val="clear" w:pos="9360"/>
              <w:tab w:val="right" w:leader="dot" w:pos="8910"/>
            </w:tabs>
            <w:spacing w:before="0"/>
            <w:ind w:left="0" w:firstLine="0"/>
            <w:rPr>
              <w:rStyle w:val="Hyperlink"/>
              <w:rFonts w:ascii="Times New Roman" w:hAnsi="Times New Roman"/>
              <w:noProof/>
              <w:lang w:val="pt-BR"/>
            </w:rPr>
          </w:pPr>
        </w:p>
        <w:p w14:paraId="6E833FDD" w14:textId="3D0E932F" w:rsidR="00605E29" w:rsidRPr="00D65A20" w:rsidRDefault="00CA769E" w:rsidP="00FC4E8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2880" w:hanging="2880"/>
            <w:rPr>
              <w:rFonts w:ascii="Times New Roman" w:eastAsiaTheme="minorEastAsia" w:hAnsi="Times New Roman"/>
              <w:noProof/>
              <w:szCs w:val="22"/>
              <w:lang w:val="pt-BR"/>
            </w:rPr>
          </w:pPr>
          <w:hyperlink w:anchor="_Toc56526704" w:history="1">
            <w:r w:rsidR="00605E29" w:rsidRPr="00D65A20">
              <w:rPr>
                <w:rStyle w:val="Hyperlink"/>
                <w:rFonts w:ascii="Times New Roman" w:hAnsi="Times New Roman"/>
                <w:noProof/>
                <w:lang w:val="pt-BR"/>
              </w:rPr>
              <w:t>AG/RES. 2957 (L-O/20)</w:t>
            </w:r>
            <w:r w:rsidR="00605E29" w:rsidRPr="00D65A20">
              <w:rPr>
                <w:rFonts w:ascii="Times New Roman" w:hAnsi="Times New Roman"/>
                <w:noProof/>
                <w:webHidden/>
                <w:lang w:val="pt-BR"/>
              </w:rPr>
              <w:tab/>
            </w:r>
          </w:hyperlink>
          <w:hyperlink w:anchor="_Toc56526705" w:history="1">
            <w:r w:rsidR="00605E29" w:rsidRPr="00D65A20">
              <w:rPr>
                <w:rStyle w:val="Hyperlink"/>
                <w:rFonts w:ascii="Times New Roman" w:hAnsi="Times New Roman"/>
                <w:noProof/>
                <w:lang w:val="pt-BR"/>
              </w:rPr>
              <w:t>O</w:t>
            </w:r>
            <w:r w:rsidR="00282D84" w:rsidRPr="00D65A20">
              <w:rPr>
                <w:rStyle w:val="Hyperlink"/>
                <w:rFonts w:ascii="Times New Roman" w:hAnsi="Times New Roman"/>
                <w:noProof/>
                <w:lang w:val="pt-BR"/>
              </w:rPr>
              <w:t>rçamento-programa da Organização para  2021</w:t>
            </w:r>
            <w:r w:rsidR="00605E29" w:rsidRPr="00D65A20">
              <w:rPr>
                <w:rFonts w:ascii="Times New Roman" w:hAnsi="Times New Roman"/>
                <w:noProof/>
                <w:webHidden/>
                <w:lang w:val="pt-BR"/>
              </w:rPr>
              <w:tab/>
            </w:r>
            <w:r w:rsidR="00B543D1">
              <w:rPr>
                <w:rFonts w:ascii="Times New Roman" w:hAnsi="Times New Roman"/>
                <w:noProof/>
                <w:webHidden/>
                <w:lang w:val="pt-BR"/>
              </w:rPr>
              <w:t>97</w:t>
            </w:r>
          </w:hyperlink>
        </w:p>
        <w:p w14:paraId="6E833FDE" w14:textId="77777777" w:rsidR="00605E29" w:rsidRPr="00D65A20" w:rsidRDefault="00605E29" w:rsidP="00605E2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0" w:firstLine="0"/>
            <w:rPr>
              <w:rStyle w:val="Hyperlink"/>
              <w:rFonts w:ascii="Times New Roman" w:hAnsi="Times New Roman"/>
              <w:noProof/>
              <w:lang w:val="pt-BR"/>
            </w:rPr>
          </w:pPr>
        </w:p>
        <w:p w14:paraId="6E833FDF" w14:textId="01FD2366" w:rsidR="00605E29" w:rsidRPr="00D65A20" w:rsidRDefault="00CA769E" w:rsidP="00605E2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0" w:firstLine="0"/>
            <w:rPr>
              <w:rFonts w:ascii="Times New Roman" w:eastAsiaTheme="minorEastAsia" w:hAnsi="Times New Roman"/>
              <w:noProof/>
              <w:szCs w:val="22"/>
              <w:lang w:val="pt-BR"/>
            </w:rPr>
          </w:pPr>
          <w:hyperlink w:anchor="_Toc56526706" w:history="1">
            <w:r w:rsidR="00605E29" w:rsidRPr="00D65A20">
              <w:rPr>
                <w:rStyle w:val="Hyperlink"/>
                <w:rFonts w:ascii="Times New Roman" w:eastAsia="Calibri" w:hAnsi="Times New Roman"/>
                <w:noProof/>
                <w:lang w:val="pt-BR"/>
              </w:rPr>
              <w:t>AG/RES. 2958 (L-O/20)</w:t>
            </w:r>
            <w:r w:rsidR="00605E29" w:rsidRPr="00D65A20">
              <w:rPr>
                <w:rFonts w:ascii="Times New Roman" w:hAnsi="Times New Roman"/>
                <w:noProof/>
                <w:webHidden/>
                <w:lang w:val="pt-BR"/>
              </w:rPr>
              <w:tab/>
            </w:r>
          </w:hyperlink>
          <w:hyperlink w:anchor="_Toc56526707" w:history="1">
            <w:r w:rsidR="00282D84" w:rsidRPr="00D65A20">
              <w:rPr>
                <w:rStyle w:val="Hyperlink"/>
                <w:rFonts w:ascii="Times New Roman" w:hAnsi="Times New Roman"/>
                <w:noProof/>
                <w:lang w:val="pt-BR"/>
              </w:rPr>
              <w:t>Fortalecimento da democracia</w:t>
            </w:r>
            <w:r w:rsidR="00605E29" w:rsidRPr="00D65A20">
              <w:rPr>
                <w:rFonts w:ascii="Times New Roman" w:hAnsi="Times New Roman"/>
                <w:noProof/>
                <w:webHidden/>
                <w:lang w:val="pt-BR"/>
              </w:rPr>
              <w:tab/>
            </w:r>
            <w:r w:rsidR="00605E29" w:rsidRPr="00D65A20">
              <w:rPr>
                <w:rFonts w:ascii="Times New Roman" w:hAnsi="Times New Roman"/>
                <w:noProof/>
                <w:webHidden/>
                <w:lang w:val="pt-BR"/>
              </w:rPr>
              <w:fldChar w:fldCharType="begin"/>
            </w:r>
            <w:r w:rsidR="00605E29" w:rsidRPr="00D65A20">
              <w:rPr>
                <w:rFonts w:ascii="Times New Roman" w:hAnsi="Times New Roman"/>
                <w:noProof/>
                <w:webHidden/>
                <w:lang w:val="pt-BR"/>
              </w:rPr>
              <w:instrText xml:space="preserve"> PAGEREF _Toc56526707 \h </w:instrText>
            </w:r>
            <w:r w:rsidR="00605E29" w:rsidRPr="00D65A20">
              <w:rPr>
                <w:rFonts w:ascii="Times New Roman" w:hAnsi="Times New Roman"/>
                <w:noProof/>
                <w:webHidden/>
                <w:lang w:val="pt-BR"/>
              </w:rPr>
            </w:r>
            <w:r w:rsidR="00605E29" w:rsidRPr="00D65A20">
              <w:rPr>
                <w:rFonts w:ascii="Times New Roman" w:hAnsi="Times New Roman"/>
                <w:noProof/>
                <w:webHidden/>
                <w:lang w:val="pt-BR"/>
              </w:rPr>
              <w:fldChar w:fldCharType="separate"/>
            </w:r>
            <w:r w:rsidR="00414548" w:rsidRPr="00D65A20">
              <w:rPr>
                <w:rFonts w:ascii="Times New Roman" w:hAnsi="Times New Roman"/>
                <w:noProof/>
                <w:webHidden/>
                <w:lang w:val="pt-BR"/>
              </w:rPr>
              <w:t>123</w:t>
            </w:r>
            <w:r w:rsidR="00605E29" w:rsidRPr="00D65A20">
              <w:rPr>
                <w:rFonts w:ascii="Times New Roman" w:hAnsi="Times New Roman"/>
                <w:noProof/>
                <w:webHidden/>
                <w:lang w:val="pt-BR"/>
              </w:rPr>
              <w:fldChar w:fldCharType="end"/>
            </w:r>
          </w:hyperlink>
        </w:p>
        <w:p w14:paraId="6E833FE0" w14:textId="77777777" w:rsidR="00605E29" w:rsidRPr="00D65A20" w:rsidRDefault="00605E29" w:rsidP="00605E2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0" w:firstLine="0"/>
            <w:rPr>
              <w:rStyle w:val="Hyperlink"/>
              <w:rFonts w:ascii="Times New Roman" w:hAnsi="Times New Roman"/>
              <w:noProof/>
              <w:lang w:val="pt-BR"/>
            </w:rPr>
          </w:pPr>
        </w:p>
        <w:p w14:paraId="6E833FE1" w14:textId="2818D2BA" w:rsidR="00605E29" w:rsidRPr="00D65A20" w:rsidRDefault="00CA769E" w:rsidP="00605E2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0" w:firstLine="0"/>
            <w:rPr>
              <w:rFonts w:ascii="Times New Roman" w:eastAsiaTheme="minorEastAsia" w:hAnsi="Times New Roman"/>
              <w:noProof/>
              <w:szCs w:val="22"/>
              <w:lang w:val="pt-BR"/>
            </w:rPr>
          </w:pPr>
          <w:hyperlink w:anchor="_Toc56526709" w:history="1">
            <w:r w:rsidR="00605E29" w:rsidRPr="00D65A20">
              <w:rPr>
                <w:rStyle w:val="Hyperlink"/>
                <w:rFonts w:ascii="Times New Roman" w:eastAsia="Calibri" w:hAnsi="Times New Roman"/>
                <w:noProof/>
                <w:lang w:val="pt-BR"/>
              </w:rPr>
              <w:t>AG/RES. 2959 (L-O/20)</w:t>
            </w:r>
            <w:r w:rsidR="00605E29" w:rsidRPr="00D65A20">
              <w:rPr>
                <w:rFonts w:ascii="Times New Roman" w:hAnsi="Times New Roman"/>
                <w:noProof/>
                <w:webHidden/>
                <w:lang w:val="pt-BR"/>
              </w:rPr>
              <w:tab/>
            </w:r>
          </w:hyperlink>
          <w:hyperlink w:anchor="_Toc56526710" w:history="1">
            <w:r w:rsidR="00282D84" w:rsidRPr="00D65A20">
              <w:rPr>
                <w:rStyle w:val="Hyperlink"/>
                <w:rFonts w:ascii="Times New Roman" w:hAnsi="Times New Roman"/>
                <w:noProof/>
                <w:lang w:val="pt-BR"/>
              </w:rPr>
              <w:t>Direito Internacional</w:t>
            </w:r>
            <w:r w:rsidR="00605E29" w:rsidRPr="00D65A20">
              <w:rPr>
                <w:rFonts w:ascii="Times New Roman" w:hAnsi="Times New Roman"/>
                <w:noProof/>
                <w:webHidden/>
                <w:lang w:val="pt-BR"/>
              </w:rPr>
              <w:tab/>
            </w:r>
            <w:r w:rsidR="00605E29" w:rsidRPr="00D65A20">
              <w:rPr>
                <w:rFonts w:ascii="Times New Roman" w:hAnsi="Times New Roman"/>
                <w:noProof/>
                <w:webHidden/>
                <w:lang w:val="pt-BR"/>
              </w:rPr>
              <w:fldChar w:fldCharType="begin"/>
            </w:r>
            <w:r w:rsidR="00605E29" w:rsidRPr="00D65A20">
              <w:rPr>
                <w:rFonts w:ascii="Times New Roman" w:hAnsi="Times New Roman"/>
                <w:noProof/>
                <w:webHidden/>
                <w:lang w:val="pt-BR"/>
              </w:rPr>
              <w:instrText xml:space="preserve"> PAGEREF _Toc56526710 \h </w:instrText>
            </w:r>
            <w:r w:rsidR="00605E29" w:rsidRPr="00D65A20">
              <w:rPr>
                <w:rFonts w:ascii="Times New Roman" w:hAnsi="Times New Roman"/>
                <w:noProof/>
                <w:webHidden/>
                <w:lang w:val="pt-BR"/>
              </w:rPr>
            </w:r>
            <w:r w:rsidR="00605E29" w:rsidRPr="00D65A20">
              <w:rPr>
                <w:rFonts w:ascii="Times New Roman" w:hAnsi="Times New Roman"/>
                <w:noProof/>
                <w:webHidden/>
                <w:lang w:val="pt-BR"/>
              </w:rPr>
              <w:fldChar w:fldCharType="separate"/>
            </w:r>
            <w:r w:rsidR="00414548" w:rsidRPr="00D65A20">
              <w:rPr>
                <w:rFonts w:ascii="Times New Roman" w:hAnsi="Times New Roman"/>
                <w:noProof/>
                <w:webHidden/>
                <w:lang w:val="pt-BR"/>
              </w:rPr>
              <w:t>141</w:t>
            </w:r>
            <w:r w:rsidR="00605E29" w:rsidRPr="00D65A20">
              <w:rPr>
                <w:rFonts w:ascii="Times New Roman" w:hAnsi="Times New Roman"/>
                <w:noProof/>
                <w:webHidden/>
                <w:lang w:val="pt-BR"/>
              </w:rPr>
              <w:fldChar w:fldCharType="end"/>
            </w:r>
          </w:hyperlink>
        </w:p>
        <w:p w14:paraId="6E833FE2" w14:textId="5B5904D5" w:rsidR="00605E29" w:rsidRDefault="00605E29" w:rsidP="00605E2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0" w:firstLine="0"/>
            <w:rPr>
              <w:rStyle w:val="Hyperlink"/>
              <w:rFonts w:ascii="Times New Roman" w:hAnsi="Times New Roman"/>
              <w:noProof/>
              <w:lang w:val="pt-BR"/>
            </w:rPr>
          </w:pPr>
        </w:p>
        <w:p w14:paraId="011B425D" w14:textId="0DCD9B3E" w:rsidR="00FC3526" w:rsidRDefault="00FC3526" w:rsidP="00FC3526">
          <w:pPr>
            <w:rPr>
              <w:lang w:val="pt-BR"/>
            </w:rPr>
          </w:pPr>
        </w:p>
        <w:p w14:paraId="23C94882" w14:textId="77777777" w:rsidR="00FC3526" w:rsidRPr="00FC3526" w:rsidRDefault="00FC3526" w:rsidP="00FC3526">
          <w:pPr>
            <w:rPr>
              <w:lang w:val="pt-BR"/>
            </w:rPr>
          </w:pPr>
        </w:p>
        <w:p w14:paraId="6E833FE4" w14:textId="098AFB22" w:rsidR="00605E29" w:rsidRPr="00D65A20" w:rsidRDefault="00CA769E" w:rsidP="00FC4E8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2880" w:hanging="2880"/>
            <w:rPr>
              <w:rFonts w:ascii="Times New Roman" w:eastAsiaTheme="minorEastAsia" w:hAnsi="Times New Roman"/>
              <w:noProof/>
              <w:szCs w:val="22"/>
              <w:lang w:val="pt-BR"/>
            </w:rPr>
          </w:pPr>
          <w:hyperlink w:anchor="_Toc56526713" w:history="1">
            <w:r w:rsidR="00605E29" w:rsidRPr="00D65A20">
              <w:rPr>
                <w:rStyle w:val="Hyperlink"/>
                <w:rFonts w:ascii="Times New Roman" w:eastAsia="Calibri" w:hAnsi="Times New Roman"/>
                <w:noProof/>
                <w:lang w:val="pt-BR"/>
              </w:rPr>
              <w:t>AG/RES. 2960 (L-O/20)</w:t>
            </w:r>
            <w:r w:rsidR="00605E29" w:rsidRPr="00D65A20">
              <w:rPr>
                <w:rFonts w:ascii="Times New Roman" w:hAnsi="Times New Roman"/>
                <w:noProof/>
                <w:webHidden/>
                <w:lang w:val="pt-BR"/>
              </w:rPr>
              <w:tab/>
            </w:r>
          </w:hyperlink>
          <w:hyperlink w:anchor="_Toc56526714" w:history="1">
            <w:r w:rsidR="00605E29" w:rsidRPr="00D65A20">
              <w:rPr>
                <w:rStyle w:val="Hyperlink"/>
                <w:rFonts w:ascii="Times New Roman" w:hAnsi="Times New Roman"/>
                <w:noProof/>
                <w:lang w:val="pt-BR"/>
              </w:rPr>
              <w:t>F</w:t>
            </w:r>
            <w:r w:rsidR="00282D84" w:rsidRPr="00D65A20">
              <w:rPr>
                <w:rStyle w:val="Hyperlink"/>
                <w:rFonts w:ascii="Times New Roman" w:hAnsi="Times New Roman"/>
                <w:noProof/>
                <w:lang w:val="pt-BR"/>
              </w:rPr>
              <w:t xml:space="preserve">ortalecimento da participação dos </w:t>
            </w:r>
            <w:r w:rsidR="00927BE8" w:rsidRPr="00D65A20">
              <w:rPr>
                <w:rStyle w:val="Hyperlink"/>
                <w:rFonts w:ascii="Times New Roman" w:hAnsi="Times New Roman"/>
                <w:noProof/>
                <w:lang w:val="pt-BR"/>
              </w:rPr>
              <w:t>O</w:t>
            </w:r>
            <w:r w:rsidR="00282D84" w:rsidRPr="00D65A20">
              <w:rPr>
                <w:rStyle w:val="Hyperlink"/>
                <w:rFonts w:ascii="Times New Roman" w:hAnsi="Times New Roman"/>
                <w:noProof/>
                <w:lang w:val="pt-BR"/>
              </w:rPr>
              <w:t>bservadores Permanentes nas atividades da Organização dos Estados Americanos</w:t>
            </w:r>
            <w:r w:rsidR="00605E29" w:rsidRPr="00D65A20">
              <w:rPr>
                <w:rFonts w:ascii="Times New Roman" w:hAnsi="Times New Roman"/>
                <w:noProof/>
                <w:webHidden/>
                <w:lang w:val="pt-BR"/>
              </w:rPr>
              <w:tab/>
            </w:r>
            <w:r w:rsidR="00605E29" w:rsidRPr="00D65A20">
              <w:rPr>
                <w:rFonts w:ascii="Times New Roman" w:hAnsi="Times New Roman"/>
                <w:noProof/>
                <w:webHidden/>
                <w:lang w:val="pt-BR"/>
              </w:rPr>
              <w:fldChar w:fldCharType="begin"/>
            </w:r>
            <w:r w:rsidR="00605E29" w:rsidRPr="00D65A20">
              <w:rPr>
                <w:rFonts w:ascii="Times New Roman" w:hAnsi="Times New Roman"/>
                <w:noProof/>
                <w:webHidden/>
                <w:lang w:val="pt-BR"/>
              </w:rPr>
              <w:instrText xml:space="preserve"> PAGEREF _Toc56526714 \h </w:instrText>
            </w:r>
            <w:r w:rsidR="00605E29" w:rsidRPr="00D65A20">
              <w:rPr>
                <w:rFonts w:ascii="Times New Roman" w:hAnsi="Times New Roman"/>
                <w:noProof/>
                <w:webHidden/>
                <w:lang w:val="pt-BR"/>
              </w:rPr>
            </w:r>
            <w:r w:rsidR="00605E29" w:rsidRPr="00D65A20">
              <w:rPr>
                <w:rFonts w:ascii="Times New Roman" w:hAnsi="Times New Roman"/>
                <w:noProof/>
                <w:webHidden/>
                <w:lang w:val="pt-BR"/>
              </w:rPr>
              <w:fldChar w:fldCharType="separate"/>
            </w:r>
            <w:r w:rsidR="00414548" w:rsidRPr="00D65A20">
              <w:rPr>
                <w:rFonts w:ascii="Times New Roman" w:hAnsi="Times New Roman"/>
                <w:noProof/>
                <w:webHidden/>
                <w:lang w:val="pt-BR"/>
              </w:rPr>
              <w:t>1</w:t>
            </w:r>
            <w:r w:rsidR="00B543D1">
              <w:rPr>
                <w:rFonts w:ascii="Times New Roman" w:hAnsi="Times New Roman"/>
                <w:noProof/>
                <w:webHidden/>
                <w:lang w:val="pt-BR"/>
              </w:rPr>
              <w:t>49</w:t>
            </w:r>
            <w:r w:rsidR="00414548" w:rsidRPr="00D65A20">
              <w:rPr>
                <w:rFonts w:ascii="Times New Roman" w:hAnsi="Times New Roman"/>
                <w:noProof/>
                <w:webHidden/>
                <w:lang w:val="pt-BR"/>
              </w:rPr>
              <w:t xml:space="preserve"> </w:t>
            </w:r>
            <w:r w:rsidR="00605E29" w:rsidRPr="00D65A20">
              <w:rPr>
                <w:rFonts w:ascii="Times New Roman" w:hAnsi="Times New Roman"/>
                <w:noProof/>
                <w:webHidden/>
                <w:lang w:val="pt-BR"/>
              </w:rPr>
              <w:fldChar w:fldCharType="end"/>
            </w:r>
          </w:hyperlink>
        </w:p>
        <w:p w14:paraId="6E833FE5" w14:textId="77777777" w:rsidR="00605E29" w:rsidRPr="00D65A20" w:rsidRDefault="00605E29" w:rsidP="00605E2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0" w:firstLine="0"/>
            <w:rPr>
              <w:rStyle w:val="Hyperlink"/>
              <w:rFonts w:ascii="Times New Roman" w:hAnsi="Times New Roman"/>
              <w:noProof/>
              <w:lang w:val="pt-BR"/>
            </w:rPr>
          </w:pPr>
        </w:p>
        <w:p w14:paraId="6E833FE6" w14:textId="72C90D78" w:rsidR="00605E29" w:rsidRPr="00D65A20" w:rsidRDefault="00CA769E" w:rsidP="00E612ED">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2880" w:hanging="2880"/>
            <w:rPr>
              <w:rFonts w:ascii="Times New Roman" w:eastAsiaTheme="minorEastAsia" w:hAnsi="Times New Roman"/>
              <w:noProof/>
              <w:szCs w:val="22"/>
              <w:lang w:val="pt-BR"/>
            </w:rPr>
          </w:pPr>
          <w:hyperlink w:anchor="_Toc56526715" w:history="1">
            <w:r w:rsidR="00605E29" w:rsidRPr="00D65A20">
              <w:rPr>
                <w:rStyle w:val="Hyperlink"/>
                <w:rFonts w:ascii="Times New Roman" w:eastAsia="Calibri" w:hAnsi="Times New Roman"/>
                <w:noProof/>
                <w:lang w:val="pt-BR"/>
              </w:rPr>
              <w:t>AG/RES. 2961 (L-O/20)</w:t>
            </w:r>
            <w:r w:rsidR="00605E29" w:rsidRPr="00D65A20">
              <w:rPr>
                <w:rFonts w:ascii="Times New Roman" w:hAnsi="Times New Roman"/>
                <w:noProof/>
                <w:webHidden/>
                <w:lang w:val="pt-BR"/>
              </w:rPr>
              <w:tab/>
            </w:r>
          </w:hyperlink>
          <w:hyperlink w:anchor="_Toc56526716" w:history="1">
            <w:r w:rsidR="00605E29" w:rsidRPr="00D65A20">
              <w:rPr>
                <w:rStyle w:val="Hyperlink"/>
                <w:rFonts w:ascii="Times New Roman" w:hAnsi="Times New Roman"/>
                <w:noProof/>
                <w:lang w:val="pt-BR"/>
              </w:rPr>
              <w:t>P</w:t>
            </w:r>
            <w:r w:rsidR="00E612ED" w:rsidRPr="00D65A20">
              <w:rPr>
                <w:rStyle w:val="Hyperlink"/>
                <w:rFonts w:ascii="Times New Roman" w:hAnsi="Times New Roman"/>
                <w:noProof/>
                <w:lang w:val="pt-BR"/>
              </w:rPr>
              <w:t>r</w:t>
            </w:r>
            <w:r w:rsidR="00282D84" w:rsidRPr="00D65A20">
              <w:rPr>
                <w:rStyle w:val="Hyperlink"/>
                <w:rFonts w:ascii="Times New Roman" w:hAnsi="Times New Roman"/>
                <w:noProof/>
                <w:lang w:val="pt-BR"/>
              </w:rPr>
              <w:t>omoção e proteção dos direitos humanos</w:t>
            </w:r>
            <w:r w:rsidR="00605E29" w:rsidRPr="00D65A20">
              <w:rPr>
                <w:rFonts w:ascii="Times New Roman" w:hAnsi="Times New Roman"/>
                <w:noProof/>
                <w:webHidden/>
                <w:lang w:val="pt-BR"/>
              </w:rPr>
              <w:tab/>
            </w:r>
            <w:r w:rsidR="00605E29" w:rsidRPr="00D65A20">
              <w:rPr>
                <w:rFonts w:ascii="Times New Roman" w:hAnsi="Times New Roman"/>
                <w:noProof/>
                <w:webHidden/>
                <w:lang w:val="pt-BR"/>
              </w:rPr>
              <w:fldChar w:fldCharType="begin"/>
            </w:r>
            <w:r w:rsidR="00605E29" w:rsidRPr="00D65A20">
              <w:rPr>
                <w:rFonts w:ascii="Times New Roman" w:hAnsi="Times New Roman"/>
                <w:noProof/>
                <w:webHidden/>
                <w:lang w:val="pt-BR"/>
              </w:rPr>
              <w:instrText xml:space="preserve"> PAGEREF _Toc56526716 \h </w:instrText>
            </w:r>
            <w:r w:rsidR="00605E29" w:rsidRPr="00D65A20">
              <w:rPr>
                <w:rFonts w:ascii="Times New Roman" w:hAnsi="Times New Roman"/>
                <w:noProof/>
                <w:webHidden/>
                <w:lang w:val="pt-BR"/>
              </w:rPr>
            </w:r>
            <w:r w:rsidR="00605E29" w:rsidRPr="00D65A20">
              <w:rPr>
                <w:rFonts w:ascii="Times New Roman" w:hAnsi="Times New Roman"/>
                <w:noProof/>
                <w:webHidden/>
                <w:lang w:val="pt-BR"/>
              </w:rPr>
              <w:fldChar w:fldCharType="separate"/>
            </w:r>
            <w:r w:rsidR="00414548" w:rsidRPr="00D65A20">
              <w:rPr>
                <w:rFonts w:ascii="Times New Roman" w:hAnsi="Times New Roman"/>
                <w:noProof/>
                <w:webHidden/>
                <w:lang w:val="pt-BR"/>
              </w:rPr>
              <w:t>15</w:t>
            </w:r>
            <w:r w:rsidR="00B543D1">
              <w:rPr>
                <w:rFonts w:ascii="Times New Roman" w:hAnsi="Times New Roman"/>
                <w:noProof/>
                <w:webHidden/>
                <w:lang w:val="pt-BR"/>
              </w:rPr>
              <w:t>3</w:t>
            </w:r>
            <w:r w:rsidR="00414548" w:rsidRPr="00D65A20">
              <w:rPr>
                <w:rFonts w:ascii="Times New Roman" w:hAnsi="Times New Roman"/>
                <w:noProof/>
                <w:webHidden/>
                <w:lang w:val="pt-BR"/>
              </w:rPr>
              <w:t xml:space="preserve"> </w:t>
            </w:r>
            <w:r w:rsidR="00605E29" w:rsidRPr="00D65A20">
              <w:rPr>
                <w:rFonts w:ascii="Times New Roman" w:hAnsi="Times New Roman"/>
                <w:noProof/>
                <w:webHidden/>
                <w:lang w:val="pt-BR"/>
              </w:rPr>
              <w:fldChar w:fldCharType="end"/>
            </w:r>
          </w:hyperlink>
        </w:p>
        <w:p w14:paraId="6E833FE7" w14:textId="77777777" w:rsidR="00605E29" w:rsidRPr="00D65A20" w:rsidRDefault="00605E29" w:rsidP="00605E2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0" w:firstLine="0"/>
            <w:rPr>
              <w:rStyle w:val="Hyperlink"/>
              <w:rFonts w:ascii="Times New Roman" w:hAnsi="Times New Roman"/>
              <w:noProof/>
              <w:lang w:val="pt-BR"/>
            </w:rPr>
          </w:pPr>
        </w:p>
        <w:p w14:paraId="6E833FE8" w14:textId="321D4120" w:rsidR="00605E29" w:rsidRPr="00D65A20" w:rsidRDefault="00CA769E" w:rsidP="00E612ED">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2880" w:hanging="2880"/>
            <w:rPr>
              <w:rFonts w:ascii="Times New Roman" w:eastAsiaTheme="minorEastAsia" w:hAnsi="Times New Roman"/>
              <w:noProof/>
              <w:szCs w:val="22"/>
              <w:lang w:val="pt-BR"/>
            </w:rPr>
          </w:pPr>
          <w:hyperlink w:anchor="_Toc56526717" w:history="1">
            <w:r w:rsidR="00605E29" w:rsidRPr="00D65A20">
              <w:rPr>
                <w:rStyle w:val="Hyperlink"/>
                <w:rFonts w:ascii="Times New Roman" w:eastAsia="Calibri" w:hAnsi="Times New Roman"/>
                <w:noProof/>
                <w:lang w:val="pt-BR"/>
              </w:rPr>
              <w:t>AG/RES. 2962 (L-O/20)</w:t>
            </w:r>
            <w:r w:rsidR="00605E29" w:rsidRPr="00D65A20">
              <w:rPr>
                <w:rFonts w:ascii="Times New Roman" w:hAnsi="Times New Roman"/>
                <w:noProof/>
                <w:webHidden/>
                <w:lang w:val="pt-BR"/>
              </w:rPr>
              <w:tab/>
            </w:r>
          </w:hyperlink>
          <w:hyperlink w:anchor="_Toc56526718" w:history="1">
            <w:r w:rsidR="00282D84" w:rsidRPr="00D65A20">
              <w:rPr>
                <w:rStyle w:val="Hyperlink"/>
                <w:rFonts w:ascii="Times New Roman" w:hAnsi="Times New Roman"/>
                <w:noProof/>
                <w:lang w:val="pt-BR"/>
              </w:rPr>
              <w:t>Restauração das instituições democráticas e do respeito pelos direitos humanos na Nicarágua por meio de eleições livres e justas</w:t>
            </w:r>
            <w:r w:rsidR="00605E29" w:rsidRPr="00D65A20">
              <w:rPr>
                <w:rFonts w:ascii="Times New Roman" w:hAnsi="Times New Roman"/>
                <w:noProof/>
                <w:webHidden/>
                <w:lang w:val="pt-BR"/>
              </w:rPr>
              <w:tab/>
            </w:r>
            <w:r w:rsidR="00605E29" w:rsidRPr="00D65A20">
              <w:rPr>
                <w:rFonts w:ascii="Times New Roman" w:hAnsi="Times New Roman"/>
                <w:noProof/>
                <w:webHidden/>
                <w:lang w:val="pt-BR"/>
              </w:rPr>
              <w:fldChar w:fldCharType="begin"/>
            </w:r>
            <w:r w:rsidR="00605E29" w:rsidRPr="00D65A20">
              <w:rPr>
                <w:rFonts w:ascii="Times New Roman" w:hAnsi="Times New Roman"/>
                <w:noProof/>
                <w:webHidden/>
                <w:lang w:val="pt-BR"/>
              </w:rPr>
              <w:instrText xml:space="preserve"> PAGEREF _Toc56526718 \h </w:instrText>
            </w:r>
            <w:r w:rsidR="00605E29" w:rsidRPr="00D65A20">
              <w:rPr>
                <w:rFonts w:ascii="Times New Roman" w:hAnsi="Times New Roman"/>
                <w:noProof/>
                <w:webHidden/>
                <w:lang w:val="pt-BR"/>
              </w:rPr>
            </w:r>
            <w:r w:rsidR="00605E29" w:rsidRPr="00D65A20">
              <w:rPr>
                <w:rFonts w:ascii="Times New Roman" w:hAnsi="Times New Roman"/>
                <w:noProof/>
                <w:webHidden/>
                <w:lang w:val="pt-BR"/>
              </w:rPr>
              <w:fldChar w:fldCharType="separate"/>
            </w:r>
            <w:r w:rsidR="00414548" w:rsidRPr="00D65A20">
              <w:rPr>
                <w:rFonts w:ascii="Times New Roman" w:hAnsi="Times New Roman"/>
                <w:noProof/>
                <w:webHidden/>
                <w:lang w:val="pt-BR"/>
              </w:rPr>
              <w:t>1</w:t>
            </w:r>
            <w:r w:rsidR="00B543D1">
              <w:rPr>
                <w:rFonts w:ascii="Times New Roman" w:hAnsi="Times New Roman"/>
                <w:noProof/>
                <w:webHidden/>
                <w:lang w:val="pt-BR"/>
              </w:rPr>
              <w:t>89</w:t>
            </w:r>
            <w:r w:rsidR="00605E29" w:rsidRPr="00D65A20">
              <w:rPr>
                <w:rFonts w:ascii="Times New Roman" w:hAnsi="Times New Roman"/>
                <w:noProof/>
                <w:webHidden/>
                <w:lang w:val="pt-BR"/>
              </w:rPr>
              <w:fldChar w:fldCharType="end"/>
            </w:r>
          </w:hyperlink>
        </w:p>
        <w:p w14:paraId="6E833FE9" w14:textId="77777777" w:rsidR="00605E29" w:rsidRPr="00D65A20" w:rsidRDefault="00605E29" w:rsidP="00605E2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0" w:firstLine="0"/>
            <w:rPr>
              <w:rStyle w:val="Hyperlink"/>
              <w:rFonts w:ascii="Times New Roman" w:hAnsi="Times New Roman"/>
              <w:noProof/>
              <w:lang w:val="pt-BR"/>
            </w:rPr>
          </w:pPr>
        </w:p>
        <w:p w14:paraId="6E833FEA" w14:textId="7D2C013B" w:rsidR="00605E29" w:rsidRPr="00D65A20" w:rsidRDefault="00CA769E" w:rsidP="00E612ED">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2880" w:hanging="2880"/>
            <w:rPr>
              <w:rFonts w:ascii="Times New Roman" w:eastAsiaTheme="minorEastAsia" w:hAnsi="Times New Roman"/>
              <w:noProof/>
              <w:szCs w:val="22"/>
              <w:lang w:val="pt-BR"/>
            </w:rPr>
          </w:pPr>
          <w:hyperlink w:anchor="_Toc56526719" w:history="1">
            <w:r w:rsidR="00605E29" w:rsidRPr="00D65A20">
              <w:rPr>
                <w:rStyle w:val="Hyperlink"/>
                <w:rFonts w:ascii="Times New Roman" w:hAnsi="Times New Roman"/>
                <w:noProof/>
                <w:lang w:val="pt-BR"/>
              </w:rPr>
              <w:t>AG/RES. 2963 (L-O/20)</w:t>
            </w:r>
            <w:r w:rsidR="00605E29" w:rsidRPr="00D65A20">
              <w:rPr>
                <w:rFonts w:ascii="Times New Roman" w:hAnsi="Times New Roman"/>
                <w:noProof/>
                <w:webHidden/>
                <w:lang w:val="pt-BR"/>
              </w:rPr>
              <w:tab/>
            </w:r>
          </w:hyperlink>
          <w:hyperlink w:anchor="_Toc56526720" w:history="1">
            <w:r w:rsidR="00282D84" w:rsidRPr="00D65A20">
              <w:rPr>
                <w:rStyle w:val="Hyperlink"/>
                <w:rFonts w:ascii="Times New Roman" w:hAnsi="Times New Roman"/>
                <w:noProof/>
                <w:lang w:val="pt-BR"/>
              </w:rPr>
              <w:t>A carência de condições democráticas mínimas que garantam eleições  livres, justas e transparentes na República Bolivariana da Venezuela</w:t>
            </w:r>
            <w:r w:rsidR="00605E29" w:rsidRPr="00D65A20">
              <w:rPr>
                <w:rFonts w:ascii="Times New Roman" w:hAnsi="Times New Roman"/>
                <w:noProof/>
                <w:webHidden/>
                <w:lang w:val="pt-BR"/>
              </w:rPr>
              <w:tab/>
            </w:r>
            <w:r w:rsidR="00605E29" w:rsidRPr="00D65A20">
              <w:rPr>
                <w:rFonts w:ascii="Times New Roman" w:hAnsi="Times New Roman"/>
                <w:noProof/>
                <w:webHidden/>
                <w:lang w:val="pt-BR"/>
              </w:rPr>
              <w:fldChar w:fldCharType="begin"/>
            </w:r>
            <w:r w:rsidR="00605E29" w:rsidRPr="00D65A20">
              <w:rPr>
                <w:rFonts w:ascii="Times New Roman" w:hAnsi="Times New Roman"/>
                <w:noProof/>
                <w:webHidden/>
                <w:lang w:val="pt-BR"/>
              </w:rPr>
              <w:instrText xml:space="preserve"> PAGEREF _Toc56526720 \h </w:instrText>
            </w:r>
            <w:r w:rsidR="00605E29" w:rsidRPr="00D65A20">
              <w:rPr>
                <w:rFonts w:ascii="Times New Roman" w:hAnsi="Times New Roman"/>
                <w:noProof/>
                <w:webHidden/>
                <w:lang w:val="pt-BR"/>
              </w:rPr>
            </w:r>
            <w:r w:rsidR="00605E29" w:rsidRPr="00D65A20">
              <w:rPr>
                <w:rFonts w:ascii="Times New Roman" w:hAnsi="Times New Roman"/>
                <w:noProof/>
                <w:webHidden/>
                <w:lang w:val="pt-BR"/>
              </w:rPr>
              <w:fldChar w:fldCharType="separate"/>
            </w:r>
            <w:r w:rsidR="00414548" w:rsidRPr="00D65A20">
              <w:rPr>
                <w:rFonts w:ascii="Times New Roman" w:hAnsi="Times New Roman"/>
                <w:noProof/>
                <w:webHidden/>
                <w:lang w:val="pt-BR"/>
              </w:rPr>
              <w:t>19</w:t>
            </w:r>
            <w:r w:rsidR="00B543D1">
              <w:rPr>
                <w:rFonts w:ascii="Times New Roman" w:hAnsi="Times New Roman"/>
                <w:noProof/>
                <w:webHidden/>
                <w:lang w:val="pt-BR"/>
              </w:rPr>
              <w:t>7</w:t>
            </w:r>
            <w:r w:rsidR="00605E29" w:rsidRPr="00D65A20">
              <w:rPr>
                <w:rFonts w:ascii="Times New Roman" w:hAnsi="Times New Roman"/>
                <w:noProof/>
                <w:webHidden/>
                <w:lang w:val="pt-BR"/>
              </w:rPr>
              <w:fldChar w:fldCharType="end"/>
            </w:r>
          </w:hyperlink>
        </w:p>
        <w:p w14:paraId="6E833FEB" w14:textId="77777777" w:rsidR="00605E29" w:rsidRPr="00D65A20" w:rsidRDefault="00605E29" w:rsidP="00605E29">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0" w:firstLine="0"/>
            <w:rPr>
              <w:rStyle w:val="Hyperlink"/>
              <w:rFonts w:ascii="Times New Roman" w:hAnsi="Times New Roman"/>
              <w:noProof/>
              <w:lang w:val="pt-BR"/>
            </w:rPr>
          </w:pPr>
        </w:p>
        <w:p w14:paraId="6E833FEC" w14:textId="32622D4F" w:rsidR="00605E29" w:rsidRPr="00D65A20" w:rsidRDefault="00CA769E" w:rsidP="00E612ED">
          <w:pPr>
            <w:pStyle w:val="TOC1"/>
            <w:tabs>
              <w:tab w:val="clear" w:pos="720"/>
              <w:tab w:val="clear" w:pos="1440"/>
              <w:tab w:val="clear" w:pos="2160"/>
              <w:tab w:val="clear" w:pos="3600"/>
              <w:tab w:val="clear" w:pos="4320"/>
              <w:tab w:val="clear" w:pos="5760"/>
              <w:tab w:val="clear" w:pos="6480"/>
              <w:tab w:val="clear" w:pos="7200"/>
              <w:tab w:val="clear" w:pos="7920"/>
              <w:tab w:val="clear" w:pos="9360"/>
              <w:tab w:val="right" w:leader="dot" w:pos="8910"/>
            </w:tabs>
            <w:spacing w:before="0"/>
            <w:ind w:left="2880" w:hanging="2880"/>
            <w:rPr>
              <w:rFonts w:ascii="Times New Roman" w:eastAsiaTheme="minorEastAsia" w:hAnsi="Times New Roman"/>
              <w:noProof/>
              <w:szCs w:val="22"/>
              <w:lang w:val="pt-BR"/>
            </w:rPr>
          </w:pPr>
          <w:hyperlink w:anchor="_Toc56526721" w:history="1">
            <w:r w:rsidR="00605E29" w:rsidRPr="00D65A20">
              <w:rPr>
                <w:rStyle w:val="Hyperlink"/>
                <w:rFonts w:ascii="Times New Roman" w:eastAsia="Calibri" w:hAnsi="Times New Roman"/>
                <w:noProof/>
                <w:lang w:val="pt-BR"/>
              </w:rPr>
              <w:t>AG/RES. 2964 (L-O/20)</w:t>
            </w:r>
            <w:r w:rsidR="00605E29" w:rsidRPr="00D65A20">
              <w:rPr>
                <w:rFonts w:ascii="Times New Roman" w:hAnsi="Times New Roman"/>
                <w:noProof/>
                <w:webHidden/>
                <w:lang w:val="pt-BR"/>
              </w:rPr>
              <w:tab/>
            </w:r>
          </w:hyperlink>
          <w:hyperlink w:anchor="_Toc56526722" w:history="1">
            <w:r w:rsidR="00282D84" w:rsidRPr="00D65A20">
              <w:rPr>
                <w:rStyle w:val="Hyperlink"/>
                <w:rFonts w:ascii="Times New Roman" w:hAnsi="Times New Roman"/>
                <w:noProof/>
                <w:lang w:val="pt-BR"/>
              </w:rPr>
              <w:t>Sede e data do Quinquagésimo Primeiro Período Ordinário de Sessões da Assembleia Geral</w:t>
            </w:r>
            <w:r w:rsidR="00605E29" w:rsidRPr="00D65A20">
              <w:rPr>
                <w:rFonts w:ascii="Times New Roman" w:hAnsi="Times New Roman"/>
                <w:noProof/>
                <w:webHidden/>
                <w:lang w:val="pt-BR"/>
              </w:rPr>
              <w:tab/>
            </w:r>
            <w:r w:rsidR="00605E29" w:rsidRPr="00D65A20">
              <w:rPr>
                <w:rFonts w:ascii="Times New Roman" w:hAnsi="Times New Roman"/>
                <w:noProof/>
                <w:webHidden/>
                <w:lang w:val="pt-BR"/>
              </w:rPr>
              <w:fldChar w:fldCharType="begin"/>
            </w:r>
            <w:r w:rsidR="00605E29" w:rsidRPr="00D65A20">
              <w:rPr>
                <w:rFonts w:ascii="Times New Roman" w:hAnsi="Times New Roman"/>
                <w:noProof/>
                <w:webHidden/>
                <w:lang w:val="pt-BR"/>
              </w:rPr>
              <w:instrText xml:space="preserve"> PAGEREF _Toc56526722 \h </w:instrText>
            </w:r>
            <w:r w:rsidR="00605E29" w:rsidRPr="00D65A20">
              <w:rPr>
                <w:rFonts w:ascii="Times New Roman" w:hAnsi="Times New Roman"/>
                <w:noProof/>
                <w:webHidden/>
                <w:lang w:val="pt-BR"/>
              </w:rPr>
            </w:r>
            <w:r w:rsidR="00605E29" w:rsidRPr="00D65A20">
              <w:rPr>
                <w:rFonts w:ascii="Times New Roman" w:hAnsi="Times New Roman"/>
                <w:noProof/>
                <w:webHidden/>
                <w:lang w:val="pt-BR"/>
              </w:rPr>
              <w:fldChar w:fldCharType="separate"/>
            </w:r>
            <w:r w:rsidR="00414548" w:rsidRPr="00D65A20">
              <w:rPr>
                <w:rFonts w:ascii="Times New Roman" w:hAnsi="Times New Roman"/>
                <w:noProof/>
                <w:webHidden/>
                <w:lang w:val="pt-BR"/>
              </w:rPr>
              <w:t xml:space="preserve"> 20</w:t>
            </w:r>
            <w:r w:rsidR="00B543D1">
              <w:rPr>
                <w:rFonts w:ascii="Times New Roman" w:hAnsi="Times New Roman"/>
                <w:noProof/>
                <w:webHidden/>
                <w:lang w:val="pt-BR"/>
              </w:rPr>
              <w:t>3</w:t>
            </w:r>
            <w:r w:rsidR="00605E29" w:rsidRPr="00D65A20">
              <w:rPr>
                <w:rFonts w:ascii="Times New Roman" w:hAnsi="Times New Roman"/>
                <w:noProof/>
                <w:webHidden/>
                <w:lang w:val="pt-BR"/>
              </w:rPr>
              <w:fldChar w:fldCharType="end"/>
            </w:r>
          </w:hyperlink>
        </w:p>
        <w:p w14:paraId="6E833FED" w14:textId="5081AFE1" w:rsidR="00F97C5E" w:rsidRPr="00D65A20" w:rsidRDefault="00374B1C" w:rsidP="00605E29">
          <w:pPr>
            <w:widowControl/>
            <w:tabs>
              <w:tab w:val="clear" w:pos="1440"/>
              <w:tab w:val="clear" w:pos="3600"/>
              <w:tab w:val="clear" w:pos="4320"/>
              <w:tab w:val="clear" w:pos="5760"/>
              <w:tab w:val="clear" w:pos="6480"/>
              <w:tab w:val="clear" w:pos="7200"/>
              <w:tab w:val="left" w:pos="2520"/>
              <w:tab w:val="right" w:leader="dot" w:pos="8910"/>
            </w:tabs>
            <w:ind w:right="1771"/>
            <w:rPr>
              <w:rFonts w:ascii="Times New Roman" w:hAnsi="Times New Roman"/>
              <w:lang w:val="pt-BR"/>
            </w:rPr>
          </w:pPr>
          <w:r w:rsidRPr="00D65A20">
            <w:rPr>
              <w:rFonts w:ascii="Times New Roman" w:hAnsi="Times New Roman"/>
              <w:b/>
              <w:bCs/>
              <w:noProof/>
              <w:lang w:val="pt-BR"/>
            </w:rPr>
            <w:fldChar w:fldCharType="end"/>
          </w:r>
        </w:p>
      </w:sdtContent>
    </w:sdt>
    <w:p w14:paraId="6E833FEE" w14:textId="77777777" w:rsidR="001D4952" w:rsidRPr="00D65A20" w:rsidRDefault="001D4952" w:rsidP="00AA4399">
      <w:pPr>
        <w:widowControl/>
        <w:rPr>
          <w:rFonts w:ascii="Times New Roman" w:hAnsi="Times New Roman"/>
          <w:lang w:val="pt-BR"/>
        </w:rPr>
      </w:pPr>
    </w:p>
    <w:p w14:paraId="6E833FEF" w14:textId="77777777" w:rsidR="00F97C5E" w:rsidRPr="00D65A20" w:rsidRDefault="00F97C5E" w:rsidP="00AA4399">
      <w:pPr>
        <w:widowControl/>
        <w:rPr>
          <w:rFonts w:ascii="Times New Roman" w:hAnsi="Times New Roman"/>
          <w:lang w:val="pt-BR"/>
        </w:rPr>
      </w:pPr>
    </w:p>
    <w:p w14:paraId="6E833FF0" w14:textId="77777777" w:rsidR="00F97C5E" w:rsidRPr="00D65A20" w:rsidRDefault="00F97C5E" w:rsidP="00AA4399">
      <w:pPr>
        <w:widowControl/>
        <w:rPr>
          <w:rFonts w:ascii="Times New Roman" w:hAnsi="Times New Roman"/>
          <w:lang w:val="pt-BR"/>
        </w:rPr>
      </w:pPr>
    </w:p>
    <w:p w14:paraId="6E833FF1" w14:textId="77777777" w:rsidR="00F97C5E" w:rsidRPr="00D65A20" w:rsidRDefault="00F97C5E" w:rsidP="00AA4399">
      <w:pPr>
        <w:widowControl/>
        <w:rPr>
          <w:rFonts w:ascii="Times New Roman" w:hAnsi="Times New Roman"/>
          <w:lang w:val="pt-BR"/>
        </w:rPr>
        <w:sectPr w:rsidR="00F97C5E" w:rsidRPr="00D65A20" w:rsidSect="00864C34">
          <w:footerReference w:type="first" r:id="rId13"/>
          <w:endnotePr>
            <w:numFmt w:val="decimal"/>
          </w:endnotePr>
          <w:type w:val="oddPage"/>
          <w:pgSz w:w="12240" w:h="15840"/>
          <w:pgMar w:top="2160" w:right="1570" w:bottom="1296" w:left="1699" w:header="1296" w:footer="1296" w:gutter="0"/>
          <w:pgNumType w:fmt="lowerRoman" w:start="3"/>
          <w:cols w:space="720"/>
          <w:noEndnote/>
          <w:titlePg/>
        </w:sectPr>
      </w:pPr>
    </w:p>
    <w:p w14:paraId="6E833FF2" w14:textId="5427B8FD" w:rsidR="00F405D3" w:rsidRPr="00D65A20" w:rsidRDefault="00F405D3" w:rsidP="00605E29">
      <w:pPr>
        <w:pStyle w:val="Heading1"/>
        <w:rPr>
          <w:rFonts w:eastAsia="Calibri"/>
          <w:color w:val="000000"/>
          <w:lang w:val="pt-BR"/>
        </w:rPr>
      </w:pPr>
      <w:bookmarkStart w:id="0" w:name="_Toc56526454"/>
      <w:bookmarkStart w:id="1" w:name="_Toc56526664"/>
      <w:r w:rsidRPr="00D65A20">
        <w:rPr>
          <w:rFonts w:eastAsia="Calibri"/>
          <w:lang w:val="pt-BR"/>
        </w:rPr>
        <w:lastRenderedPageBreak/>
        <w:t>AG/DEC. 102 (L-O/20)</w:t>
      </w:r>
      <w:bookmarkEnd w:id="0"/>
      <w:bookmarkEnd w:id="1"/>
    </w:p>
    <w:p w14:paraId="6E833FF3" w14:textId="77777777" w:rsidR="00F405D3" w:rsidRPr="00D65A20" w:rsidRDefault="00F405D3" w:rsidP="00605E29">
      <w:pPr>
        <w:pStyle w:val="Heading1"/>
        <w:rPr>
          <w:lang w:val="pt-BR"/>
        </w:rPr>
      </w:pPr>
      <w:r w:rsidRPr="00D65A20">
        <w:rPr>
          <w:lang w:val="pt-BR"/>
        </w:rPr>
        <w:t xml:space="preserve"> </w:t>
      </w:r>
    </w:p>
    <w:p w14:paraId="6E833FF4" w14:textId="77777777" w:rsidR="00F405D3" w:rsidRPr="00D65A20" w:rsidRDefault="00F405D3" w:rsidP="00605E29">
      <w:pPr>
        <w:pStyle w:val="Heading1"/>
        <w:rPr>
          <w:lang w:val="pt-BR"/>
        </w:rPr>
      </w:pPr>
      <w:bookmarkStart w:id="2" w:name="_Toc56526455"/>
      <w:bookmarkStart w:id="3" w:name="_Toc56526665"/>
      <w:r w:rsidRPr="00D65A20">
        <w:rPr>
          <w:lang w:val="pt-BR"/>
        </w:rPr>
        <w:t xml:space="preserve">DECLARAÇÃO SOBRE “A QUESTÃO </w:t>
      </w:r>
      <w:r w:rsidRPr="00D65A20">
        <w:rPr>
          <w:iCs/>
          <w:lang w:val="pt-BR"/>
        </w:rPr>
        <w:t>DAS ILHAS MALVINAS”</w:t>
      </w:r>
      <w:r w:rsidRPr="00D65A20">
        <w:rPr>
          <w:u w:val="single"/>
          <w:vertAlign w:val="superscript"/>
          <w:lang w:val="pt-BR"/>
        </w:rPr>
        <w:footnoteReference w:id="1"/>
      </w:r>
      <w:r w:rsidRPr="00D65A20">
        <w:rPr>
          <w:vertAlign w:val="superscript"/>
          <w:lang w:val="pt-BR"/>
        </w:rPr>
        <w:t>/</w:t>
      </w:r>
      <w:bookmarkEnd w:id="2"/>
      <w:bookmarkEnd w:id="3"/>
      <w:r w:rsidR="00982CE9" w:rsidRPr="00D65A20">
        <w:rPr>
          <w:rStyle w:val="Heading1Char"/>
          <w:u w:val="single"/>
          <w:vertAlign w:val="superscript"/>
          <w:lang w:val="pt-BR"/>
        </w:rPr>
        <w:t xml:space="preserve"> </w:t>
      </w:r>
      <w:r w:rsidR="00982CE9" w:rsidRPr="00D65A20">
        <w:rPr>
          <w:rStyle w:val="FootnoteReference"/>
          <w:u w:val="single"/>
          <w:vertAlign w:val="superscript"/>
          <w:lang w:val="pt-BR"/>
        </w:rPr>
        <w:footnoteReference w:id="2"/>
      </w:r>
      <w:r w:rsidR="00982CE9" w:rsidRPr="00D65A20">
        <w:rPr>
          <w:vertAlign w:val="superscript"/>
          <w:lang w:val="pt-BR"/>
        </w:rPr>
        <w:t>/</w:t>
      </w:r>
    </w:p>
    <w:p w14:paraId="6E833FF5" w14:textId="77777777" w:rsidR="00F405D3" w:rsidRPr="00D65A20" w:rsidRDefault="00F405D3" w:rsidP="00AA4399">
      <w:pPr>
        <w:widowControl/>
        <w:jc w:val="center"/>
        <w:rPr>
          <w:rFonts w:ascii="Times New Roman" w:hAnsi="Times New Roman"/>
          <w:lang w:val="pt-BR"/>
        </w:rPr>
      </w:pPr>
    </w:p>
    <w:p w14:paraId="6E833FF6" w14:textId="77777777" w:rsidR="00F405D3" w:rsidRPr="00D65A20" w:rsidRDefault="00F405D3" w:rsidP="00AA4399">
      <w:pPr>
        <w:widowControl/>
        <w:jc w:val="center"/>
        <w:rPr>
          <w:rFonts w:ascii="Times New Roman" w:hAnsi="Times New Roman"/>
          <w:szCs w:val="22"/>
          <w:lang w:val="pt-BR"/>
        </w:rPr>
      </w:pPr>
      <w:r w:rsidRPr="00D65A20">
        <w:rPr>
          <w:rFonts w:ascii="Times New Roman" w:hAnsi="Times New Roman"/>
          <w:lang w:val="pt-BR"/>
        </w:rPr>
        <w:t>(</w:t>
      </w:r>
      <w:r w:rsidRPr="00D65A20">
        <w:rPr>
          <w:rFonts w:ascii="Times New Roman" w:hAnsi="Times New Roman"/>
          <w:szCs w:val="22"/>
          <w:lang w:val="pt-BR"/>
        </w:rPr>
        <w:t>Aprovada na primeira sessão plenária, realizada em 20 de outubro de 2020</w:t>
      </w:r>
      <w:r w:rsidRPr="00D65A20">
        <w:rPr>
          <w:rFonts w:ascii="Times New Roman" w:hAnsi="Times New Roman"/>
          <w:lang w:val="pt-BR"/>
        </w:rPr>
        <w:t>)</w:t>
      </w:r>
    </w:p>
    <w:p w14:paraId="6E833FF7" w14:textId="77777777" w:rsidR="00F405D3" w:rsidRPr="00D65A20" w:rsidRDefault="00F405D3" w:rsidP="00AA4399">
      <w:pPr>
        <w:widowControl/>
        <w:rPr>
          <w:rFonts w:ascii="Times New Roman" w:hAnsi="Times New Roman"/>
          <w:lang w:val="pt-BR"/>
        </w:rPr>
      </w:pPr>
    </w:p>
    <w:p w14:paraId="6E833FF8" w14:textId="77777777" w:rsidR="00F405D3" w:rsidRPr="00D65A20" w:rsidRDefault="00F405D3" w:rsidP="00AA4399">
      <w:pPr>
        <w:widowControl/>
        <w:rPr>
          <w:rFonts w:ascii="Times New Roman" w:hAnsi="Times New Roman"/>
          <w:lang w:val="pt-BR"/>
        </w:rPr>
      </w:pPr>
    </w:p>
    <w:p w14:paraId="6E833FF9" w14:textId="77777777" w:rsidR="00F405D3" w:rsidRPr="00D65A20" w:rsidRDefault="00F405D3" w:rsidP="00AA4399">
      <w:pPr>
        <w:widowControl/>
        <w:rPr>
          <w:rFonts w:ascii="Times New Roman" w:hAnsi="Times New Roman"/>
          <w:lang w:val="pt-BR"/>
        </w:rPr>
      </w:pPr>
      <w:r w:rsidRPr="00D65A20">
        <w:rPr>
          <w:rFonts w:ascii="Times New Roman" w:hAnsi="Times New Roman"/>
          <w:lang w:val="pt-BR"/>
        </w:rPr>
        <w:tab/>
        <w:t>A ASSEMBLEIA GERAL,</w:t>
      </w:r>
    </w:p>
    <w:p w14:paraId="6E833FFA" w14:textId="77777777" w:rsidR="00F405D3" w:rsidRPr="00D65A20" w:rsidRDefault="00F405D3" w:rsidP="00AA4399">
      <w:pPr>
        <w:widowControl/>
        <w:rPr>
          <w:rFonts w:ascii="Times New Roman" w:hAnsi="Times New Roman"/>
          <w:lang w:val="pt-BR"/>
        </w:rPr>
      </w:pPr>
    </w:p>
    <w:p w14:paraId="6E833FFB" w14:textId="77777777" w:rsidR="00F405D3" w:rsidRPr="00D65A20" w:rsidRDefault="00F405D3" w:rsidP="00AA4399">
      <w:pPr>
        <w:widowControl/>
        <w:rPr>
          <w:rFonts w:ascii="Times New Roman" w:hAnsi="Times New Roman"/>
          <w:lang w:val="pt-BR"/>
        </w:rPr>
      </w:pPr>
      <w:r w:rsidRPr="00D65A20">
        <w:rPr>
          <w:rFonts w:ascii="Times New Roman" w:hAnsi="Times New Roman"/>
          <w:lang w:val="pt-BR"/>
        </w:rPr>
        <w:tab/>
        <w:t>CONSIDERANDO que</w:t>
      </w:r>
      <w:r w:rsidR="00927BE8" w:rsidRPr="00D65A20">
        <w:rPr>
          <w:rFonts w:ascii="Times New Roman" w:hAnsi="Times New Roman"/>
          <w:lang w:val="pt-BR"/>
        </w:rPr>
        <w:t>,</w:t>
      </w:r>
      <w:r w:rsidRPr="00D65A20">
        <w:rPr>
          <w:rFonts w:ascii="Times New Roman" w:hAnsi="Times New Roman"/>
          <w:lang w:val="pt-BR"/>
        </w:rPr>
        <w:t xml:space="preserve"> em reiteradas oportunidades</w:t>
      </w:r>
      <w:r w:rsidR="00927BE8" w:rsidRPr="00D65A20">
        <w:rPr>
          <w:rFonts w:ascii="Times New Roman" w:hAnsi="Times New Roman"/>
          <w:lang w:val="pt-BR"/>
        </w:rPr>
        <w:t>,</w:t>
      </w:r>
      <w:r w:rsidRPr="00D65A20">
        <w:rPr>
          <w:rFonts w:ascii="Times New Roman" w:hAnsi="Times New Roman"/>
          <w:lang w:val="pt-BR"/>
        </w:rPr>
        <w:t xml:space="preserve"> tem declarado que a </w:t>
      </w:r>
      <w:r w:rsidR="00927BE8" w:rsidRPr="00D65A20">
        <w:rPr>
          <w:rFonts w:ascii="Times New Roman" w:hAnsi="Times New Roman"/>
          <w:lang w:val="pt-BR"/>
        </w:rPr>
        <w:t>q</w:t>
      </w:r>
      <w:r w:rsidRPr="00D65A20">
        <w:rPr>
          <w:rFonts w:ascii="Times New Roman" w:hAnsi="Times New Roman"/>
          <w:lang w:val="pt-BR"/>
        </w:rPr>
        <w:t>uestão das Ilhas Malvinas constitui um tema de interesse hemisférico permanente;</w:t>
      </w:r>
    </w:p>
    <w:p w14:paraId="6E833FFC" w14:textId="77777777" w:rsidR="00F405D3" w:rsidRPr="00D65A20" w:rsidRDefault="00F405D3" w:rsidP="00AA4399">
      <w:pPr>
        <w:widowControl/>
        <w:rPr>
          <w:rFonts w:ascii="Times New Roman" w:hAnsi="Times New Roman"/>
          <w:lang w:val="pt-BR"/>
        </w:rPr>
      </w:pPr>
    </w:p>
    <w:p w14:paraId="6E833FFD" w14:textId="77777777" w:rsidR="00F405D3" w:rsidRPr="00D65A20" w:rsidRDefault="00F405D3" w:rsidP="00AA4399">
      <w:pPr>
        <w:widowControl/>
        <w:rPr>
          <w:rFonts w:ascii="Times New Roman" w:hAnsi="Times New Roman"/>
          <w:lang w:val="pt-BR"/>
        </w:rPr>
      </w:pPr>
      <w:r w:rsidRPr="00D65A20">
        <w:rPr>
          <w:rFonts w:ascii="Times New Roman" w:hAnsi="Times New Roman"/>
          <w:lang w:val="pt-BR"/>
        </w:rPr>
        <w:tab/>
        <w:t>RECORDANDO a resolução AG/RES. 928 (XVIII-O/88), aprovada por consenso em 19 de novembro de 1988, que solicita aos Governos da República Argentina e do Reino Unido da Grã-Bretanha e Irlanda do Norte que retomem as negociações a fim de encontrar, o mais breve possível, uma solução pacífica para a disputa de soberania;</w:t>
      </w:r>
    </w:p>
    <w:p w14:paraId="6E833FFE" w14:textId="77777777" w:rsidR="00F405D3" w:rsidRPr="00D65A20" w:rsidRDefault="00F405D3" w:rsidP="00AA4399">
      <w:pPr>
        <w:widowControl/>
        <w:rPr>
          <w:rFonts w:ascii="Times New Roman" w:hAnsi="Times New Roman"/>
          <w:lang w:val="pt-BR"/>
        </w:rPr>
      </w:pPr>
    </w:p>
    <w:p w14:paraId="6E833FFF" w14:textId="77777777" w:rsidR="00F405D3" w:rsidRPr="00D65A20" w:rsidRDefault="00F405D3" w:rsidP="00AA4399">
      <w:pPr>
        <w:widowControl/>
        <w:rPr>
          <w:rFonts w:ascii="Times New Roman" w:hAnsi="Times New Roman"/>
          <w:lang w:val="pt-BR"/>
        </w:rPr>
      </w:pPr>
      <w:r w:rsidRPr="00D65A20">
        <w:rPr>
          <w:rFonts w:ascii="Times New Roman" w:hAnsi="Times New Roman"/>
          <w:lang w:val="pt-BR"/>
        </w:rPr>
        <w:tab/>
        <w:t>LEVANDO EM CONTA que</w:t>
      </w:r>
      <w:r w:rsidR="00927BE8" w:rsidRPr="00D65A20">
        <w:rPr>
          <w:rFonts w:ascii="Times New Roman" w:hAnsi="Times New Roman"/>
          <w:lang w:val="pt-BR"/>
        </w:rPr>
        <w:t>,</w:t>
      </w:r>
      <w:r w:rsidRPr="00D65A20">
        <w:rPr>
          <w:rFonts w:ascii="Times New Roman" w:hAnsi="Times New Roman"/>
          <w:lang w:val="pt-BR"/>
        </w:rPr>
        <w:t xml:space="preserve"> na resolução AG/RES. 1049 (XX-O/90)</w:t>
      </w:r>
      <w:r w:rsidR="00927BE8" w:rsidRPr="00D65A20">
        <w:rPr>
          <w:rFonts w:ascii="Times New Roman" w:hAnsi="Times New Roman"/>
          <w:lang w:val="pt-BR"/>
        </w:rPr>
        <w:t>,</w:t>
      </w:r>
      <w:r w:rsidRPr="00D65A20">
        <w:rPr>
          <w:rFonts w:ascii="Times New Roman" w:hAnsi="Times New Roman"/>
          <w:lang w:val="pt-BR"/>
        </w:rPr>
        <w:t xml:space="preserve"> manifestou sua satisfação pela retomada das relações diplomáticas entre ambos os países;</w:t>
      </w:r>
    </w:p>
    <w:p w14:paraId="6E834000" w14:textId="77777777" w:rsidR="00F405D3" w:rsidRPr="00D65A20" w:rsidRDefault="00F405D3" w:rsidP="00AA4399">
      <w:pPr>
        <w:widowControl/>
        <w:rPr>
          <w:rFonts w:ascii="Times New Roman" w:hAnsi="Times New Roman"/>
          <w:lang w:val="pt-BR"/>
        </w:rPr>
      </w:pPr>
    </w:p>
    <w:p w14:paraId="6E834001" w14:textId="77777777" w:rsidR="00F405D3" w:rsidRPr="00D65A20" w:rsidRDefault="00F405D3" w:rsidP="00AA4399">
      <w:pPr>
        <w:widowControl/>
        <w:rPr>
          <w:rFonts w:ascii="Times New Roman" w:hAnsi="Times New Roman"/>
          <w:lang w:val="pt-BR"/>
        </w:rPr>
      </w:pPr>
      <w:r w:rsidRPr="00D65A20">
        <w:rPr>
          <w:rFonts w:ascii="Times New Roman" w:hAnsi="Times New Roman"/>
          <w:lang w:val="pt-BR"/>
        </w:rPr>
        <w:tab/>
        <w:t>RECONHECENDO que a incorporação do Reino Unido da Grã-Bretanha e Irlanda do Norte à Organização dos Estados Americanos na qualidade de Observador Permanente, mediante a resolução CP/RES. 655 (1041/95), reflete princípios e valores comuns a esse país e aos Estados membros da Organização, o que permite um maior entendimento mútuo;</w:t>
      </w:r>
    </w:p>
    <w:p w14:paraId="6E834002" w14:textId="77777777" w:rsidR="00F405D3" w:rsidRPr="00D65A20" w:rsidRDefault="00F405D3" w:rsidP="00AA4399">
      <w:pPr>
        <w:widowControl/>
        <w:rPr>
          <w:rFonts w:ascii="Times New Roman" w:hAnsi="Times New Roman"/>
          <w:lang w:val="pt-BR"/>
        </w:rPr>
      </w:pPr>
    </w:p>
    <w:p w14:paraId="6E834003" w14:textId="77777777" w:rsidR="00F405D3" w:rsidRPr="00D65A20" w:rsidRDefault="00F405D3" w:rsidP="00AA4399">
      <w:pPr>
        <w:widowControl/>
        <w:rPr>
          <w:rFonts w:ascii="Times New Roman" w:hAnsi="Times New Roman"/>
          <w:lang w:val="pt-BR"/>
        </w:rPr>
      </w:pPr>
      <w:r w:rsidRPr="00D65A20">
        <w:rPr>
          <w:rFonts w:ascii="Times New Roman" w:hAnsi="Times New Roman"/>
          <w:lang w:val="pt-BR"/>
        </w:rPr>
        <w:tab/>
        <w:t>CONSTATANDO com satisfação que os Governos da República Argentina e do Reino Unido da Grã-Bretanha e Irlanda do Norte mantêm importantes vínculos comerciais, culturais e políticos, compartilham valores comuns e, além disso, desenvolvem uma estreita cooperação, tanto bilateral como nos fóruns internacionais;</w:t>
      </w:r>
    </w:p>
    <w:p w14:paraId="6E834004" w14:textId="77777777" w:rsidR="00F405D3" w:rsidRPr="00D65A20" w:rsidRDefault="00F405D3" w:rsidP="00AA4399">
      <w:pPr>
        <w:widowControl/>
        <w:rPr>
          <w:rFonts w:ascii="Times New Roman" w:hAnsi="Times New Roman"/>
          <w:lang w:val="pt-BR"/>
        </w:rPr>
      </w:pPr>
    </w:p>
    <w:p w14:paraId="6E834005" w14:textId="77777777" w:rsidR="00F405D3" w:rsidRPr="00D65A20" w:rsidRDefault="00F405D3" w:rsidP="00AA4399">
      <w:pPr>
        <w:widowControl/>
        <w:rPr>
          <w:rFonts w:ascii="Times New Roman" w:hAnsi="Times New Roman"/>
          <w:lang w:val="pt-BR"/>
        </w:rPr>
      </w:pPr>
      <w:r w:rsidRPr="00D65A20">
        <w:rPr>
          <w:rFonts w:ascii="Times New Roman" w:hAnsi="Times New Roman"/>
          <w:lang w:val="pt-BR"/>
        </w:rPr>
        <w:tab/>
        <w:t>LEVANDO EM CONTA que, apesar de tais vínculos e valores comuns, ainda não foi possível retomar as negociações destinadas a solucionar a disputa de soberania entre os dois países sobre as Ilhas Malvinas, Geórgias do Sul e Sandwich do Sul e os espaços marítimos circundantes, no contexto das Resoluções 2065 (XX), 3160 (XXVIII), 31/49, 37/9, 38/12, 39/6, 40/21, 41/40, 42/19 e 43/25 da Assembleia Geral das Nações Unidas, das decisões adotadas por esse órgão sobre o mesmo tema, originadas no Comitê Especial de Descolonização, e das reiteradas resoluções e declarações aprovadas nesta Assembleia Geral; e</w:t>
      </w:r>
    </w:p>
    <w:p w14:paraId="6E834006" w14:textId="77777777" w:rsidR="00F405D3" w:rsidRPr="00D65A20" w:rsidRDefault="00F405D3" w:rsidP="00AA4399">
      <w:pPr>
        <w:widowControl/>
        <w:rPr>
          <w:rFonts w:ascii="Times New Roman" w:hAnsi="Times New Roman"/>
          <w:lang w:val="pt-BR"/>
        </w:rPr>
      </w:pPr>
    </w:p>
    <w:p w14:paraId="6E834007" w14:textId="77777777" w:rsidR="00F405D3" w:rsidRPr="00D65A20" w:rsidRDefault="00F405D3" w:rsidP="00AA4399">
      <w:pPr>
        <w:widowControl/>
        <w:rPr>
          <w:rFonts w:ascii="Times New Roman" w:hAnsi="Times New Roman"/>
          <w:lang w:val="pt-BR"/>
        </w:rPr>
      </w:pPr>
      <w:r w:rsidRPr="00D65A20">
        <w:rPr>
          <w:rFonts w:ascii="Times New Roman" w:hAnsi="Times New Roman"/>
          <w:lang w:val="pt-BR"/>
        </w:rPr>
        <w:tab/>
        <w:t>TENDO ESCUTADO a exposição do Chefe da Delegação da República Argentina,</w:t>
      </w:r>
    </w:p>
    <w:p w14:paraId="6E834008" w14:textId="77777777" w:rsidR="00F405D3" w:rsidRPr="00D65A20" w:rsidRDefault="00F405D3" w:rsidP="00AA4399">
      <w:pPr>
        <w:widowControl/>
        <w:rPr>
          <w:rFonts w:ascii="Times New Roman" w:hAnsi="Times New Roman"/>
          <w:lang w:val="pt-BR"/>
        </w:rPr>
      </w:pPr>
    </w:p>
    <w:p w14:paraId="6E834009" w14:textId="77777777" w:rsidR="00F405D3" w:rsidRPr="00D65A20" w:rsidRDefault="00F405D3" w:rsidP="00AA4399">
      <w:pPr>
        <w:widowControl/>
        <w:rPr>
          <w:rFonts w:ascii="Times New Roman" w:hAnsi="Times New Roman"/>
          <w:lang w:val="pt-BR"/>
        </w:rPr>
      </w:pPr>
      <w:r w:rsidRPr="00D65A20">
        <w:rPr>
          <w:rFonts w:ascii="Times New Roman" w:hAnsi="Times New Roman"/>
          <w:lang w:val="pt-BR"/>
        </w:rPr>
        <w:tab/>
        <w:t>EXPRESSA sua satisfação pela reafirmação da vontade do Governo argentino de continuar a explorar todas as vias possíveis para a solução pacífica da controvérsia e por sua atitude construtiva em favor dos habitantes das Ilhas Malvinas.</w:t>
      </w:r>
    </w:p>
    <w:p w14:paraId="6E83400B" w14:textId="77777777" w:rsidR="00F405D3" w:rsidRPr="00D65A20" w:rsidRDefault="00F405D3" w:rsidP="00AA4399">
      <w:pPr>
        <w:widowControl/>
        <w:rPr>
          <w:rFonts w:ascii="Times New Roman" w:hAnsi="Times New Roman"/>
          <w:lang w:val="pt-BR"/>
        </w:rPr>
      </w:pPr>
      <w:r w:rsidRPr="00D65A20">
        <w:rPr>
          <w:rFonts w:ascii="Times New Roman" w:hAnsi="Times New Roman"/>
          <w:lang w:val="pt-BR"/>
        </w:rPr>
        <w:lastRenderedPageBreak/>
        <w:tab/>
        <w:t>REAFIRMA a necessidade de que os Governos da República Argentina e do Reino Unido da Grã-Bretanha e Irlanda do Norte retomem, o mais breve possível, as negociações sobre a disputa de soberania, a fim de encontrar uma solução pacífica para essa prolongada controvérsia.</w:t>
      </w:r>
    </w:p>
    <w:p w14:paraId="6E83400C" w14:textId="77777777" w:rsidR="00F405D3" w:rsidRPr="00D65A20" w:rsidRDefault="00F405D3" w:rsidP="00AA4399">
      <w:pPr>
        <w:widowControl/>
        <w:rPr>
          <w:rFonts w:ascii="Times New Roman" w:hAnsi="Times New Roman"/>
          <w:lang w:val="pt-BR"/>
        </w:rPr>
      </w:pPr>
    </w:p>
    <w:p w14:paraId="6E83400D" w14:textId="77777777" w:rsidR="00F405D3" w:rsidRPr="00D65A20" w:rsidRDefault="00F405D3" w:rsidP="00AA4399">
      <w:pPr>
        <w:widowControl/>
        <w:rPr>
          <w:rFonts w:ascii="Times New Roman" w:hAnsi="Times New Roman"/>
          <w:lang w:val="pt-BR"/>
        </w:rPr>
      </w:pPr>
      <w:r w:rsidRPr="00D65A20">
        <w:rPr>
          <w:rFonts w:ascii="Times New Roman" w:hAnsi="Times New Roman"/>
          <w:lang w:val="pt-BR"/>
        </w:rPr>
        <w:tab/>
        <w:t xml:space="preserve">DECIDE continuar a examinar a </w:t>
      </w:r>
      <w:r w:rsidR="00800520" w:rsidRPr="00D65A20">
        <w:rPr>
          <w:rFonts w:ascii="Times New Roman" w:hAnsi="Times New Roman"/>
          <w:lang w:val="pt-BR"/>
        </w:rPr>
        <w:t>q</w:t>
      </w:r>
      <w:r w:rsidRPr="00D65A20">
        <w:rPr>
          <w:rFonts w:ascii="Times New Roman" w:hAnsi="Times New Roman"/>
          <w:lang w:val="pt-BR"/>
        </w:rPr>
        <w:t>uestão das Ilhas Malvinas nos próximos períodos de sessões da Assembleia Geral, até sua solução definitiva.</w:t>
      </w:r>
    </w:p>
    <w:p w14:paraId="6E83400E" w14:textId="77777777" w:rsidR="00F405D3" w:rsidRPr="00D65A20" w:rsidRDefault="00F405D3" w:rsidP="00AA4399">
      <w:pPr>
        <w:widowControl/>
        <w:jc w:val="left"/>
        <w:rPr>
          <w:rFonts w:ascii="Times New Roman" w:hAnsi="Times New Roman"/>
          <w:lang w:val="pt-BR"/>
        </w:rPr>
      </w:pPr>
      <w:r w:rsidRPr="00D65A20">
        <w:rPr>
          <w:rFonts w:ascii="Times New Roman" w:hAnsi="Times New Roman"/>
          <w:lang w:val="pt-BR"/>
        </w:rPr>
        <w:br w:type="page"/>
      </w:r>
    </w:p>
    <w:p w14:paraId="6E83400F" w14:textId="77777777" w:rsidR="00F405D3" w:rsidRPr="00D65A20" w:rsidRDefault="00F405D3" w:rsidP="00AA4399">
      <w:pPr>
        <w:widowControl/>
        <w:jc w:val="center"/>
        <w:rPr>
          <w:rFonts w:ascii="Times New Roman" w:hAnsi="Times New Roman"/>
          <w:bCs/>
          <w:sz w:val="20"/>
          <w:lang w:val="pt-BR"/>
        </w:rPr>
      </w:pPr>
      <w:r w:rsidRPr="00D65A20">
        <w:rPr>
          <w:rFonts w:ascii="Times New Roman" w:hAnsi="Times New Roman"/>
          <w:sz w:val="20"/>
          <w:lang w:val="pt-BR"/>
        </w:rPr>
        <w:lastRenderedPageBreak/>
        <w:t>NOTA</w:t>
      </w:r>
      <w:r w:rsidR="00523713" w:rsidRPr="00D65A20">
        <w:rPr>
          <w:rFonts w:ascii="Times New Roman" w:hAnsi="Times New Roman"/>
          <w:sz w:val="20"/>
          <w:lang w:val="pt-BR"/>
        </w:rPr>
        <w:t>S</w:t>
      </w:r>
      <w:r w:rsidRPr="00D65A20">
        <w:rPr>
          <w:rFonts w:ascii="Times New Roman" w:hAnsi="Times New Roman"/>
          <w:sz w:val="20"/>
          <w:lang w:val="pt-BR"/>
        </w:rPr>
        <w:t xml:space="preserve"> DE RODAPÉ</w:t>
      </w:r>
    </w:p>
    <w:p w14:paraId="6E834010" w14:textId="77777777" w:rsidR="00F405D3" w:rsidRPr="00D65A20" w:rsidRDefault="00F405D3" w:rsidP="0054371E">
      <w:pPr>
        <w:widowControl/>
        <w:rPr>
          <w:rFonts w:ascii="Times New Roman" w:hAnsi="Times New Roman"/>
          <w:bCs/>
          <w:sz w:val="20"/>
          <w:lang w:val="pt-BR"/>
        </w:rPr>
      </w:pPr>
    </w:p>
    <w:p w14:paraId="6E834011" w14:textId="77777777" w:rsidR="00F405D3" w:rsidRPr="00D65A20" w:rsidRDefault="00F405D3" w:rsidP="0054371E">
      <w:pPr>
        <w:widowControl/>
        <w:rPr>
          <w:rFonts w:ascii="Times New Roman" w:hAnsi="Times New Roman"/>
          <w:bCs/>
          <w:sz w:val="20"/>
          <w:lang w:val="pt-BR"/>
        </w:rPr>
      </w:pPr>
    </w:p>
    <w:p w14:paraId="6E834012" w14:textId="5C641497" w:rsidR="00F405D3" w:rsidRPr="00D65A20" w:rsidRDefault="00F405D3" w:rsidP="00AA4399">
      <w:pPr>
        <w:widowControl/>
        <w:ind w:firstLine="720"/>
        <w:rPr>
          <w:rFonts w:ascii="Times New Roman" w:hAnsi="Times New Roman"/>
          <w:sz w:val="20"/>
          <w:szCs w:val="22"/>
          <w:lang w:val="pt-BR"/>
        </w:rPr>
      </w:pPr>
      <w:r w:rsidRPr="00D65A20">
        <w:rPr>
          <w:rFonts w:ascii="Times New Roman" w:hAnsi="Times New Roman"/>
          <w:sz w:val="20"/>
          <w:lang w:val="pt-BR"/>
        </w:rPr>
        <w:t>1.</w:t>
      </w:r>
      <w:r w:rsidRPr="00D65A20">
        <w:rPr>
          <w:rFonts w:ascii="Times New Roman" w:hAnsi="Times New Roman"/>
          <w:sz w:val="20"/>
          <w:lang w:val="pt-BR"/>
        </w:rPr>
        <w:tab/>
        <w:t xml:space="preserve">(...) Bolivariana da Venezuela notificou adequadamente a Secretaria-Geral de sua denúncia da Carta da Organização dos Estados Americanos, de acordo com o </w:t>
      </w:r>
      <w:r w:rsidR="00927BE8" w:rsidRPr="00D65A20">
        <w:rPr>
          <w:rFonts w:ascii="Times New Roman" w:hAnsi="Times New Roman"/>
          <w:sz w:val="20"/>
          <w:lang w:val="pt-BR"/>
        </w:rPr>
        <w:t>a</w:t>
      </w:r>
      <w:r w:rsidRPr="00D65A20">
        <w:rPr>
          <w:rFonts w:ascii="Times New Roman" w:hAnsi="Times New Roman"/>
          <w:sz w:val="20"/>
          <w:lang w:val="pt-BR"/>
        </w:rPr>
        <w:t>rtigo 143, e a Carta cessou seus efeitos em relação à República Bolivariana da Venezuela em 27 de abril de 2019, data em que o país deixou de pertencer à Organização.</w:t>
      </w:r>
    </w:p>
    <w:p w14:paraId="6E834013" w14:textId="77777777" w:rsidR="00F405D3" w:rsidRPr="00D65A20" w:rsidRDefault="00F405D3" w:rsidP="00AA4399">
      <w:pPr>
        <w:widowControl/>
        <w:rPr>
          <w:rFonts w:ascii="Times New Roman" w:hAnsi="Times New Roman"/>
          <w:sz w:val="20"/>
          <w:lang w:val="pt-BR"/>
        </w:rPr>
      </w:pPr>
    </w:p>
    <w:p w14:paraId="6E834014" w14:textId="0676D913" w:rsidR="00F405D3" w:rsidRPr="00D65A20" w:rsidRDefault="00F405D3" w:rsidP="00AA4399">
      <w:pPr>
        <w:widowControl/>
        <w:ind w:firstLine="720"/>
        <w:rPr>
          <w:rFonts w:ascii="Times New Roman" w:hAnsi="Times New Roman"/>
          <w:sz w:val="20"/>
          <w:lang w:val="pt-BR"/>
        </w:rPr>
      </w:pPr>
      <w:r w:rsidRPr="00D65A20">
        <w:rPr>
          <w:rFonts w:ascii="Times New Roman" w:hAnsi="Times New Roman"/>
          <w:sz w:val="20"/>
          <w:lang w:val="pt-BR"/>
        </w:rPr>
        <w:t xml:space="preserve">Antígua e Barbuda não apoiou a resolução CP/RES. 1124 (2217/19), de 9 de abril de 2019, </w:t>
      </w:r>
      <w:r w:rsidR="00800520" w:rsidRPr="00D65A20">
        <w:rPr>
          <w:rFonts w:ascii="Times New Roman" w:hAnsi="Times New Roman"/>
          <w:sz w:val="20"/>
          <w:lang w:val="pt-BR"/>
        </w:rPr>
        <w:t>cuja intenção era</w:t>
      </w:r>
      <w:r w:rsidRPr="00D65A20">
        <w:rPr>
          <w:rFonts w:ascii="Times New Roman" w:hAnsi="Times New Roman"/>
          <w:sz w:val="20"/>
          <w:lang w:val="pt-BR"/>
        </w:rPr>
        <w:t xml:space="preserve"> nomear o Senhor Gustavo Tarre como Representante da Assembleia Nacional junto à OEA, e não aceitou as credenciais das autoridades que pretendiam representar a República Bolivariana da Venezuela no Quadragésimo Nono e no Quinquagésimo Período</w:t>
      </w:r>
      <w:r w:rsidR="0085638A" w:rsidRPr="00D65A20">
        <w:rPr>
          <w:rFonts w:ascii="Times New Roman" w:hAnsi="Times New Roman"/>
          <w:sz w:val="20"/>
          <w:lang w:val="pt-BR"/>
        </w:rPr>
        <w:t>s</w:t>
      </w:r>
      <w:r w:rsidRPr="00D65A20">
        <w:rPr>
          <w:rFonts w:ascii="Times New Roman" w:hAnsi="Times New Roman"/>
          <w:sz w:val="20"/>
          <w:lang w:val="pt-BR"/>
        </w:rPr>
        <w:t xml:space="preserve"> Ordinário</w:t>
      </w:r>
      <w:r w:rsidR="0085638A" w:rsidRPr="00D65A20">
        <w:rPr>
          <w:rFonts w:ascii="Times New Roman" w:hAnsi="Times New Roman"/>
          <w:sz w:val="20"/>
          <w:lang w:val="pt-BR"/>
        </w:rPr>
        <w:t>s</w:t>
      </w:r>
      <w:r w:rsidRPr="00D65A20">
        <w:rPr>
          <w:rFonts w:ascii="Times New Roman" w:hAnsi="Times New Roman"/>
          <w:sz w:val="20"/>
          <w:lang w:val="pt-BR"/>
        </w:rPr>
        <w:t xml:space="preserve"> de Sessões da Assembleia Geral. </w:t>
      </w:r>
    </w:p>
    <w:p w14:paraId="6E834015" w14:textId="77777777" w:rsidR="00F405D3" w:rsidRPr="00D65A20" w:rsidRDefault="00F405D3" w:rsidP="00AA4399">
      <w:pPr>
        <w:widowControl/>
        <w:rPr>
          <w:rFonts w:ascii="Times New Roman" w:hAnsi="Times New Roman"/>
          <w:sz w:val="20"/>
          <w:lang w:val="pt-BR"/>
        </w:rPr>
      </w:pPr>
    </w:p>
    <w:p w14:paraId="6E834016" w14:textId="1492DF82" w:rsidR="00F405D3" w:rsidRPr="00D65A20" w:rsidRDefault="00F405D3" w:rsidP="00AA4399">
      <w:pPr>
        <w:widowControl/>
        <w:ind w:firstLine="720"/>
        <w:rPr>
          <w:rFonts w:ascii="Times New Roman" w:hAnsi="Times New Roman"/>
          <w:sz w:val="20"/>
          <w:lang w:val="pt-BR"/>
        </w:rPr>
      </w:pPr>
      <w:r w:rsidRPr="00D65A20">
        <w:rPr>
          <w:rFonts w:ascii="Times New Roman" w:hAnsi="Times New Roman"/>
          <w:sz w:val="20"/>
          <w:lang w:val="pt-BR"/>
        </w:rPr>
        <w:t>Desse modo, Antígua e Barbuda informa a todos os Estados membros e à Secretaria-Geral da Organização dos Estados Americanos que</w:t>
      </w:r>
      <w:r w:rsidR="00927BE8" w:rsidRPr="00D65A20">
        <w:rPr>
          <w:rFonts w:ascii="Times New Roman" w:hAnsi="Times New Roman"/>
          <w:sz w:val="20"/>
          <w:lang w:val="pt-BR"/>
        </w:rPr>
        <w:t>,</w:t>
      </w:r>
      <w:r w:rsidRPr="00D65A20">
        <w:rPr>
          <w:rFonts w:ascii="Times New Roman" w:hAnsi="Times New Roman"/>
          <w:sz w:val="20"/>
          <w:lang w:val="pt-BR"/>
        </w:rPr>
        <w:t xml:space="preserve"> até novo aviso, assim como fez no Quadragésimo Nono Período Ordinário de Sessões da Assembleia Geral, não se considerará </w:t>
      </w:r>
      <w:r w:rsidR="00800520" w:rsidRPr="00D65A20">
        <w:rPr>
          <w:rFonts w:ascii="Times New Roman" w:hAnsi="Times New Roman"/>
          <w:sz w:val="20"/>
          <w:lang w:val="pt-BR"/>
        </w:rPr>
        <w:t>vinculado a nenhuma</w:t>
      </w:r>
      <w:r w:rsidRPr="00D65A20">
        <w:rPr>
          <w:rFonts w:ascii="Times New Roman" w:hAnsi="Times New Roman"/>
          <w:sz w:val="20"/>
          <w:lang w:val="pt-BR"/>
        </w:rPr>
        <w:t xml:space="preserve"> declaração ou resolução </w:t>
      </w:r>
      <w:r w:rsidR="00800520" w:rsidRPr="00D65A20">
        <w:rPr>
          <w:rFonts w:ascii="Times New Roman" w:hAnsi="Times New Roman"/>
          <w:sz w:val="20"/>
          <w:lang w:val="pt-BR"/>
        </w:rPr>
        <w:t xml:space="preserve">emanada </w:t>
      </w:r>
      <w:r w:rsidRPr="00D65A20">
        <w:rPr>
          <w:rFonts w:ascii="Times New Roman" w:hAnsi="Times New Roman"/>
          <w:sz w:val="20"/>
          <w:lang w:val="pt-BR"/>
        </w:rPr>
        <w:t xml:space="preserve">do Quinquagésimo Período Ordinário de Sessões da Assembleia Geral, nem </w:t>
      </w:r>
      <w:r w:rsidR="00800520" w:rsidRPr="00D65A20">
        <w:rPr>
          <w:rFonts w:ascii="Times New Roman" w:hAnsi="Times New Roman"/>
          <w:sz w:val="20"/>
          <w:lang w:val="pt-BR"/>
        </w:rPr>
        <w:t xml:space="preserve">a </w:t>
      </w:r>
      <w:r w:rsidRPr="00D65A20">
        <w:rPr>
          <w:rFonts w:ascii="Times New Roman" w:hAnsi="Times New Roman"/>
          <w:sz w:val="20"/>
          <w:lang w:val="pt-BR"/>
        </w:rPr>
        <w:t xml:space="preserve">quaisquer </w:t>
      </w:r>
      <w:r w:rsidR="00800520" w:rsidRPr="00D65A20">
        <w:rPr>
          <w:rFonts w:ascii="Times New Roman" w:hAnsi="Times New Roman"/>
          <w:sz w:val="20"/>
          <w:lang w:val="pt-BR"/>
        </w:rPr>
        <w:t xml:space="preserve">futuras </w:t>
      </w:r>
      <w:r w:rsidRPr="00D65A20">
        <w:rPr>
          <w:rFonts w:ascii="Times New Roman" w:hAnsi="Times New Roman"/>
          <w:sz w:val="20"/>
          <w:lang w:val="pt-BR"/>
        </w:rPr>
        <w:t xml:space="preserve">declarações ou resoluções de qualquer </w:t>
      </w:r>
      <w:r w:rsidR="00800520" w:rsidRPr="00D65A20">
        <w:rPr>
          <w:rFonts w:ascii="Times New Roman" w:hAnsi="Times New Roman"/>
          <w:sz w:val="20"/>
          <w:lang w:val="pt-BR"/>
        </w:rPr>
        <w:t>C</w:t>
      </w:r>
      <w:r w:rsidRPr="00D65A20">
        <w:rPr>
          <w:rFonts w:ascii="Times New Roman" w:hAnsi="Times New Roman"/>
          <w:sz w:val="20"/>
          <w:lang w:val="pt-BR"/>
        </w:rPr>
        <w:t>onselho ou órgão da Organização que inclua</w:t>
      </w:r>
      <w:r w:rsidR="00800520" w:rsidRPr="00D65A20">
        <w:rPr>
          <w:rFonts w:ascii="Times New Roman" w:hAnsi="Times New Roman"/>
          <w:sz w:val="20"/>
          <w:lang w:val="pt-BR"/>
        </w:rPr>
        <w:t>m</w:t>
      </w:r>
      <w:r w:rsidRPr="00D65A20">
        <w:rPr>
          <w:rFonts w:ascii="Times New Roman" w:hAnsi="Times New Roman"/>
          <w:sz w:val="20"/>
          <w:lang w:val="pt-BR"/>
        </w:rPr>
        <w:t xml:space="preserve"> a participação de </w:t>
      </w:r>
      <w:r w:rsidR="00800520" w:rsidRPr="00D65A20">
        <w:rPr>
          <w:rFonts w:ascii="Times New Roman" w:hAnsi="Times New Roman"/>
          <w:sz w:val="20"/>
          <w:lang w:val="pt-BR"/>
        </w:rPr>
        <w:t xml:space="preserve">qualquer </w:t>
      </w:r>
      <w:r w:rsidRPr="00D65A20">
        <w:rPr>
          <w:rFonts w:ascii="Times New Roman" w:hAnsi="Times New Roman"/>
          <w:sz w:val="20"/>
          <w:lang w:val="pt-BR"/>
        </w:rPr>
        <w:t xml:space="preserve">pessoa ou entidade </w:t>
      </w:r>
      <w:r w:rsidR="00800520" w:rsidRPr="00D65A20">
        <w:rPr>
          <w:rFonts w:ascii="Times New Roman" w:hAnsi="Times New Roman"/>
          <w:sz w:val="20"/>
          <w:lang w:val="pt-BR"/>
        </w:rPr>
        <w:t>pretensamente falando pela</w:t>
      </w:r>
      <w:r w:rsidRPr="00D65A20">
        <w:rPr>
          <w:rFonts w:ascii="Times New Roman" w:hAnsi="Times New Roman"/>
          <w:sz w:val="20"/>
          <w:lang w:val="pt-BR"/>
        </w:rPr>
        <w:t xml:space="preserve"> República Bolivariana da Venezuela </w:t>
      </w:r>
      <w:r w:rsidR="00800520" w:rsidRPr="00D65A20">
        <w:rPr>
          <w:rFonts w:ascii="Times New Roman" w:hAnsi="Times New Roman"/>
          <w:sz w:val="20"/>
          <w:lang w:val="pt-BR"/>
        </w:rPr>
        <w:t xml:space="preserve">ou agindo em seu nome, </w:t>
      </w:r>
      <w:r w:rsidRPr="00D65A20">
        <w:rPr>
          <w:rFonts w:ascii="Times New Roman" w:hAnsi="Times New Roman"/>
          <w:sz w:val="20"/>
          <w:lang w:val="pt-BR"/>
        </w:rPr>
        <w:t xml:space="preserve">e </w:t>
      </w:r>
      <w:r w:rsidR="00800520" w:rsidRPr="00D65A20">
        <w:rPr>
          <w:rFonts w:ascii="Times New Roman" w:hAnsi="Times New Roman"/>
          <w:sz w:val="20"/>
          <w:lang w:val="pt-BR"/>
        </w:rPr>
        <w:t>nas quais se alcancem</w:t>
      </w:r>
      <w:r w:rsidRPr="00D65A20">
        <w:rPr>
          <w:rFonts w:ascii="Times New Roman" w:hAnsi="Times New Roman"/>
          <w:sz w:val="20"/>
          <w:lang w:val="pt-BR"/>
        </w:rPr>
        <w:t xml:space="preserve"> 18 votos</w:t>
      </w:r>
      <w:r w:rsidR="00C16AB6" w:rsidRPr="00D65A20">
        <w:rPr>
          <w:rFonts w:ascii="Times New Roman" w:hAnsi="Times New Roman"/>
          <w:sz w:val="20"/>
          <w:lang w:val="pt-BR"/>
        </w:rPr>
        <w:t xml:space="preserve"> </w:t>
      </w:r>
      <w:r w:rsidRPr="00D65A20">
        <w:rPr>
          <w:rFonts w:ascii="Times New Roman" w:hAnsi="Times New Roman"/>
          <w:sz w:val="20"/>
          <w:lang w:val="pt-BR"/>
        </w:rPr>
        <w:t xml:space="preserve">com a participação de um </w:t>
      </w:r>
      <w:r w:rsidR="00800520" w:rsidRPr="00D65A20">
        <w:rPr>
          <w:rFonts w:ascii="Times New Roman" w:hAnsi="Times New Roman"/>
          <w:sz w:val="20"/>
          <w:lang w:val="pt-BR"/>
        </w:rPr>
        <w:t xml:space="preserve">pretenso </w:t>
      </w:r>
      <w:r w:rsidRPr="00D65A20">
        <w:rPr>
          <w:rFonts w:ascii="Times New Roman" w:hAnsi="Times New Roman"/>
          <w:sz w:val="20"/>
          <w:lang w:val="pt-BR"/>
        </w:rPr>
        <w:t xml:space="preserve">representante </w:t>
      </w:r>
      <w:r w:rsidR="00C16AB6" w:rsidRPr="00D65A20">
        <w:rPr>
          <w:rFonts w:ascii="Times New Roman" w:hAnsi="Times New Roman"/>
          <w:sz w:val="20"/>
          <w:lang w:val="pt-BR"/>
        </w:rPr>
        <w:t>da República Bolivariana da Venezuela</w:t>
      </w:r>
      <w:r w:rsidRPr="00D65A20">
        <w:rPr>
          <w:rFonts w:ascii="Times New Roman" w:hAnsi="Times New Roman"/>
          <w:sz w:val="20"/>
          <w:lang w:val="pt-BR"/>
        </w:rPr>
        <w:t>.</w:t>
      </w:r>
    </w:p>
    <w:p w14:paraId="6E834017" w14:textId="77777777" w:rsidR="00F405D3" w:rsidRPr="00D65A20" w:rsidRDefault="00F405D3" w:rsidP="00AA4399">
      <w:pPr>
        <w:widowControl/>
        <w:rPr>
          <w:rFonts w:ascii="Times New Roman" w:hAnsi="Times New Roman"/>
          <w:lang w:val="pt-BR"/>
        </w:rPr>
      </w:pPr>
    </w:p>
    <w:p w14:paraId="6E834018" w14:textId="2AC9B6D8" w:rsidR="00714959" w:rsidRPr="00D65A20" w:rsidRDefault="00714959" w:rsidP="00714959">
      <w:pPr>
        <w:rPr>
          <w:rStyle w:val="FootnoteReference"/>
          <w:rFonts w:ascii="Times New Roman" w:hAnsi="Times New Roman"/>
          <w:sz w:val="20"/>
          <w:lang w:val="pt-BR"/>
        </w:rPr>
      </w:pPr>
      <w:r w:rsidRPr="00D65A20">
        <w:rPr>
          <w:rFonts w:ascii="Times New Roman" w:hAnsi="Times New Roman"/>
          <w:sz w:val="20"/>
          <w:lang w:val="pt-BR"/>
        </w:rPr>
        <w:tab/>
        <w:t>2.</w:t>
      </w:r>
      <w:r w:rsidR="0054371E">
        <w:rPr>
          <w:rFonts w:ascii="Times New Roman" w:hAnsi="Times New Roman"/>
          <w:sz w:val="20"/>
          <w:lang w:val="pt-BR"/>
        </w:rPr>
        <w:tab/>
      </w:r>
      <w:r w:rsidRPr="00D65A20">
        <w:rPr>
          <w:rFonts w:ascii="Times New Roman" w:hAnsi="Times New Roman"/>
          <w:sz w:val="20"/>
          <w:lang w:val="pt-BR"/>
        </w:rPr>
        <w:t>(...) Quinquagésimo Período Ordinário de Sessões da Assembleia Geral.</w:t>
      </w:r>
    </w:p>
    <w:p w14:paraId="6E834019" w14:textId="77777777" w:rsidR="00F405D3" w:rsidRPr="00D65A20" w:rsidRDefault="00F405D3" w:rsidP="00AA4399">
      <w:pPr>
        <w:widowControl/>
        <w:rPr>
          <w:rFonts w:ascii="Times New Roman" w:hAnsi="Times New Roman"/>
          <w:lang w:val="pt-BR"/>
        </w:rPr>
      </w:pPr>
    </w:p>
    <w:p w14:paraId="6E83401A" w14:textId="77777777" w:rsidR="00EA1936" w:rsidRPr="00D65A20" w:rsidRDefault="00EA1936" w:rsidP="00AA4399">
      <w:pPr>
        <w:pStyle w:val="Body"/>
        <w:widowControl/>
        <w:rPr>
          <w:rFonts w:ascii="Times New Roman" w:hAnsi="Times New Roman" w:cs="Times New Roman"/>
          <w:sz w:val="20"/>
          <w:szCs w:val="20"/>
          <w:lang w:val="pt-BR"/>
        </w:rPr>
      </w:pPr>
    </w:p>
    <w:p w14:paraId="6E83401B" w14:textId="77777777" w:rsidR="00F405D3" w:rsidRPr="00D65A20" w:rsidRDefault="00F405D3" w:rsidP="00AA4399">
      <w:pPr>
        <w:pStyle w:val="Body"/>
        <w:widowControl/>
        <w:rPr>
          <w:rStyle w:val="FootnoteReference"/>
          <w:rFonts w:ascii="Times New Roman" w:hAnsi="Times New Roman" w:cs="Times New Roman"/>
          <w:sz w:val="20"/>
          <w:szCs w:val="20"/>
          <w:lang w:val="pt-BR"/>
        </w:rPr>
      </w:pPr>
    </w:p>
    <w:p w14:paraId="6E83401C" w14:textId="77777777" w:rsidR="00EA1936" w:rsidRPr="00D65A20" w:rsidRDefault="00EA1936" w:rsidP="00AA4399">
      <w:pPr>
        <w:widowControl/>
        <w:rPr>
          <w:rFonts w:ascii="Times New Roman" w:hAnsi="Times New Roman"/>
          <w:lang w:val="pt-BR"/>
        </w:rPr>
        <w:sectPr w:rsidR="00EA1936" w:rsidRPr="00D65A20" w:rsidSect="0037138D">
          <w:headerReference w:type="default" r:id="rId14"/>
          <w:footerReference w:type="default" r:id="rId15"/>
          <w:headerReference w:type="first" r:id="rId16"/>
          <w:footerReference w:type="first" r:id="rId17"/>
          <w:endnotePr>
            <w:numFmt w:val="decimal"/>
          </w:endnotePr>
          <w:type w:val="oddPage"/>
          <w:pgSz w:w="12240" w:h="15840" w:code="1"/>
          <w:pgMar w:top="2160" w:right="1570" w:bottom="1296" w:left="1699" w:header="1296" w:footer="1296" w:gutter="0"/>
          <w:pgNumType w:fmt="numberInDash" w:start="1"/>
          <w:cols w:space="720"/>
          <w:noEndnote/>
          <w:titlePg/>
        </w:sectPr>
      </w:pPr>
    </w:p>
    <w:p w14:paraId="6E83401D" w14:textId="77777777" w:rsidR="00A544BF" w:rsidRPr="00D65A20" w:rsidRDefault="00EA1936" w:rsidP="00374B1C">
      <w:pPr>
        <w:pStyle w:val="Heading1"/>
        <w:rPr>
          <w:rFonts w:eastAsia="Calibri"/>
          <w:lang w:val="pt-BR"/>
        </w:rPr>
      </w:pPr>
      <w:bookmarkStart w:id="4" w:name="_Toc56526666"/>
      <w:r w:rsidRPr="00D65A20">
        <w:rPr>
          <w:rFonts w:eastAsia="Calibri"/>
          <w:lang w:val="pt-BR"/>
        </w:rPr>
        <w:lastRenderedPageBreak/>
        <w:t>AG/RES. 2948 (L-O/20)</w:t>
      </w:r>
      <w:bookmarkEnd w:id="4"/>
    </w:p>
    <w:p w14:paraId="6E83401E" w14:textId="77777777" w:rsidR="00A544BF" w:rsidRPr="00D65A20" w:rsidRDefault="00A544BF" w:rsidP="00374B1C">
      <w:pPr>
        <w:pStyle w:val="Heading1"/>
        <w:rPr>
          <w:rStyle w:val="Heading1Char"/>
          <w:lang w:val="pt-BR"/>
        </w:rPr>
      </w:pPr>
    </w:p>
    <w:p w14:paraId="6E83401F" w14:textId="77777777" w:rsidR="00AC5431" w:rsidRPr="00D65A20" w:rsidRDefault="00AC5431" w:rsidP="00374B1C">
      <w:pPr>
        <w:pStyle w:val="Heading1"/>
        <w:rPr>
          <w:lang w:val="pt-BR"/>
        </w:rPr>
      </w:pPr>
      <w:bookmarkStart w:id="5" w:name="_Toc56526667"/>
      <w:r w:rsidRPr="00D65A20">
        <w:rPr>
          <w:lang w:val="pt-BR"/>
        </w:rPr>
        <w:t>APOIO E ACOMPANHAMENTO DO PROCESSO DE CÚPULAS DAS AMÉRICAS</w:t>
      </w:r>
      <w:r w:rsidRPr="0054371E">
        <w:rPr>
          <w:u w:val="single"/>
          <w:vertAlign w:val="superscript"/>
          <w:lang w:val="pt-BR"/>
        </w:rPr>
        <w:footnoteReference w:id="3"/>
      </w:r>
      <w:r w:rsidRPr="00D65A20">
        <w:rPr>
          <w:vertAlign w:val="superscript"/>
          <w:lang w:val="pt-BR"/>
        </w:rPr>
        <w:t>/</w:t>
      </w:r>
      <w:bookmarkEnd w:id="5"/>
      <w:r w:rsidR="00982CE9" w:rsidRPr="00D65A20">
        <w:rPr>
          <w:rStyle w:val="FootnoteReference"/>
          <w:u w:val="single"/>
          <w:vertAlign w:val="superscript"/>
          <w:lang w:val="pt-BR"/>
        </w:rPr>
        <w:footnoteReference w:id="4"/>
      </w:r>
      <w:r w:rsidR="00982CE9" w:rsidRPr="00D65A20">
        <w:rPr>
          <w:vertAlign w:val="superscript"/>
          <w:lang w:val="pt-BR"/>
        </w:rPr>
        <w:t>/</w:t>
      </w:r>
    </w:p>
    <w:p w14:paraId="6E834020"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outlineLvl w:val="0"/>
        <w:rPr>
          <w:rFonts w:ascii="Times New Roman" w:eastAsia="Calibri" w:hAnsi="Times New Roman"/>
          <w:bCs/>
          <w:szCs w:val="28"/>
          <w:lang w:val="pt-BR" w:eastAsia="es-ES"/>
        </w:rPr>
      </w:pPr>
    </w:p>
    <w:p w14:paraId="6E834021"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jc w:val="center"/>
        <w:outlineLvl w:val="0"/>
        <w:rPr>
          <w:rFonts w:ascii="Times New Roman" w:eastAsia="Calibri" w:hAnsi="Times New Roman"/>
          <w:bCs/>
          <w:szCs w:val="28"/>
          <w:lang w:val="pt-BR" w:eastAsia="es-ES"/>
        </w:rPr>
      </w:pPr>
      <w:bookmarkStart w:id="6" w:name="_Toc56522529"/>
      <w:bookmarkStart w:id="7" w:name="_Toc56526458"/>
      <w:bookmarkStart w:id="8" w:name="_Toc56526668"/>
      <w:r w:rsidRPr="00D65A20">
        <w:rPr>
          <w:rFonts w:ascii="Times New Roman" w:hAnsi="Times New Roman"/>
          <w:bCs/>
          <w:szCs w:val="28"/>
          <w:lang w:val="pt-BR" w:eastAsia="es-ES"/>
        </w:rPr>
        <w:t>(</w:t>
      </w:r>
      <w:r w:rsidRPr="00D65A20">
        <w:rPr>
          <w:rFonts w:ascii="Times New Roman" w:hAnsi="Times New Roman"/>
          <w:bCs/>
          <w:szCs w:val="22"/>
          <w:lang w:val="pt-BR" w:eastAsia="es-ES"/>
        </w:rPr>
        <w:t>Aprovada na primeira sessão plenária, realizada em 20 de outubro de 2020</w:t>
      </w:r>
      <w:r w:rsidRPr="00D65A20">
        <w:rPr>
          <w:rFonts w:ascii="Times New Roman" w:hAnsi="Times New Roman"/>
          <w:bCs/>
          <w:szCs w:val="28"/>
          <w:lang w:val="pt-BR" w:eastAsia="es-ES"/>
        </w:rPr>
        <w:t>)</w:t>
      </w:r>
      <w:bookmarkEnd w:id="6"/>
      <w:bookmarkEnd w:id="7"/>
      <w:bookmarkEnd w:id="8"/>
    </w:p>
    <w:p w14:paraId="6E834022"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6E834023"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024"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eastAsia="Calibri" w:hAnsi="Times New Roman"/>
          <w:szCs w:val="22"/>
          <w:lang w:val="pt-BR"/>
        </w:rPr>
        <w:t>A ASSEMBLEIA GERAL</w:t>
      </w:r>
      <w:r w:rsidR="00AC2EB5" w:rsidRPr="00D65A20">
        <w:rPr>
          <w:rFonts w:ascii="Times New Roman" w:eastAsia="Calibri" w:hAnsi="Times New Roman"/>
          <w:szCs w:val="22"/>
          <w:lang w:val="pt-BR"/>
        </w:rPr>
        <w:t>,</w:t>
      </w:r>
    </w:p>
    <w:p w14:paraId="6E834025"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026"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4"/>
          <w:szCs w:val="24"/>
          <w:lang w:val="pt-BR"/>
        </w:rPr>
      </w:pPr>
      <w:r w:rsidRPr="00D65A20">
        <w:rPr>
          <w:rFonts w:ascii="Times New Roman" w:eastAsia="Calibri" w:hAnsi="Times New Roman"/>
          <w:szCs w:val="22"/>
          <w:lang w:val="pt-BR"/>
        </w:rPr>
        <w:t>LEVANDO EM CONTA os mandatos e as iniciativas emanadas da Primeira Cúpula das Américas (Miami, 1994), da Cúpula das Américas sobre Desenvolvimento Sustentável (Santa Cruz de la Sierra, 1996), da Segunda Cúpula das Américas (Santiago, 1998), da Terceira Cúpula das Américas (Cidade de Québec, 2001), da Cúpula Extraordinária das Américas (Monterrey, 2004), da Quarta Cúpula das Américas (Mar del Plata, 2005), da Quinta Cúpula das Américas (Port of Spain, 2009), da Sexta Cúpula das Américas (Cartagena das Índias, 2012), da Sétima Cúpula das Américas (Cidade do Panamá, Panamá, 2015)</w:t>
      </w:r>
      <w:r w:rsidRPr="00D65A20">
        <w:rPr>
          <w:rFonts w:ascii="Times New Roman" w:eastAsia="Calibri" w:hAnsi="Times New Roman"/>
          <w:szCs w:val="22"/>
          <w:u w:val="single"/>
          <w:vertAlign w:val="superscript"/>
          <w:lang w:val="pt-BR"/>
        </w:rPr>
        <w:footnoteReference w:id="5"/>
      </w:r>
      <w:r w:rsidRPr="00D65A20">
        <w:rPr>
          <w:rFonts w:ascii="Times New Roman" w:eastAsia="Calibri" w:hAnsi="Times New Roman"/>
          <w:szCs w:val="22"/>
          <w:vertAlign w:val="superscript"/>
          <w:lang w:val="pt-BR"/>
        </w:rPr>
        <w:t>/</w:t>
      </w:r>
      <w:r w:rsidRPr="00D65A20">
        <w:rPr>
          <w:rFonts w:ascii="Times New Roman" w:eastAsia="Calibri" w:hAnsi="Times New Roman"/>
          <w:szCs w:val="22"/>
          <w:lang w:val="pt-BR"/>
        </w:rPr>
        <w:t xml:space="preserve"> , e da Oitava Cúpula das Américas (Cidade de Lima, 2018)</w:t>
      </w:r>
      <w:r w:rsidRPr="00D65A20">
        <w:rPr>
          <w:rFonts w:ascii="Times New Roman" w:eastAsia="Calibri" w:hAnsi="Times New Roman"/>
          <w:szCs w:val="22"/>
          <w:u w:val="single"/>
          <w:vertAlign w:val="superscript"/>
          <w:lang w:val="pt-BR"/>
        </w:rPr>
        <w:footnoteReference w:id="6"/>
      </w:r>
      <w:r w:rsidRPr="00D65A20">
        <w:rPr>
          <w:rFonts w:ascii="Times New Roman" w:eastAsia="Calibri" w:hAnsi="Times New Roman"/>
          <w:szCs w:val="22"/>
          <w:vertAlign w:val="superscript"/>
          <w:lang w:val="pt-BR"/>
        </w:rPr>
        <w:t>/</w:t>
      </w:r>
      <w:r w:rsidRPr="00D65A20">
        <w:rPr>
          <w:rFonts w:ascii="Times New Roman" w:eastAsia="Calibri" w:hAnsi="Times New Roman"/>
          <w:szCs w:val="22"/>
          <w:lang w:val="pt-BR"/>
        </w:rPr>
        <w:t xml:space="preserve">; </w:t>
      </w:r>
    </w:p>
    <w:p w14:paraId="6E834027"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028"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eastAsia="Calibri" w:hAnsi="Times New Roman"/>
          <w:szCs w:val="22"/>
          <w:lang w:val="pt-BR"/>
        </w:rPr>
        <w:t xml:space="preserve">TENDO PRESENTE que a Carta Democrática Interamericana é uma conquista-chave resultante do processo de Cúpulas das Américas, baseada nos compromissos assumidos pelos líderes na Cúpula das Américas de 2001, na cidade de Québec, e adotada por uma sessão extraordinária da Assembleia Geral realizada em Lima, Peru, em 11 de setembro de 2001; </w:t>
      </w:r>
    </w:p>
    <w:p w14:paraId="6E834029"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02A" w14:textId="2648720D"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eastAsia="Calibri" w:hAnsi="Times New Roman"/>
          <w:szCs w:val="22"/>
          <w:lang w:val="pt-BR"/>
        </w:rPr>
        <w:t xml:space="preserve">LEVANDO EM CONTA o reconhecimento, na Terceira Cúpula das Américas, da função da Comissão sobre Gestão de Cúpulas Interamericanas e Participação da Sociedade Civil nas Atividades da OEA como coordenadora dos esforços da Organização dos Estados Americanos (OEA) em apoio ao processo de Cúpulas das Américas, e como foro em que a sociedade civil contribua para esse processo, bem como o estabelecimento da Secretaria de Cúpulas; e </w:t>
      </w:r>
    </w:p>
    <w:p w14:paraId="6E83402B"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02C" w14:textId="444C320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eastAsia="Calibri" w:hAnsi="Times New Roman"/>
          <w:szCs w:val="22"/>
          <w:lang w:val="pt-BR"/>
        </w:rPr>
        <w:t xml:space="preserve">DESTACANDO a importância de fazer um acompanhamento coordenado, oportuno e eficaz para os mandatos e iniciativas emanadas das Cúpulas das Américas e o relevante apoio técnico prestado pela OEA e pelo </w:t>
      </w:r>
      <w:r w:rsidRPr="00D65A20">
        <w:rPr>
          <w:rFonts w:ascii="Times New Roman" w:eastAsia="Calibri" w:hAnsi="Times New Roman"/>
          <w:bCs/>
          <w:szCs w:val="22"/>
          <w:lang w:val="pt-BR"/>
        </w:rPr>
        <w:t>Grupo de Trabalho Conjunto de Cúpulas</w:t>
      </w:r>
      <w:r w:rsidRPr="00D65A20">
        <w:rPr>
          <w:rFonts w:ascii="Times New Roman" w:eastAsia="Calibri" w:hAnsi="Times New Roman"/>
          <w:szCs w:val="22"/>
          <w:lang w:val="pt-BR"/>
        </w:rPr>
        <w:t>,</w:t>
      </w:r>
    </w:p>
    <w:p w14:paraId="6E83402D" w14:textId="77777777" w:rsidR="00111C38" w:rsidRPr="00D65A20" w:rsidRDefault="00111C38"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02E"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D65A20">
        <w:rPr>
          <w:rFonts w:ascii="Times New Roman" w:eastAsia="Calibri" w:hAnsi="Times New Roman"/>
          <w:szCs w:val="22"/>
          <w:lang w:val="pt-BR"/>
        </w:rPr>
        <w:t>RESOLVE:</w:t>
      </w:r>
    </w:p>
    <w:p w14:paraId="6E83402F"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030"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eastAsia="Calibri" w:hAnsi="Times New Roman"/>
          <w:szCs w:val="22"/>
          <w:lang w:val="pt-BR"/>
        </w:rPr>
        <w:t>1.</w:t>
      </w:r>
      <w:r w:rsidRPr="00D65A20">
        <w:rPr>
          <w:rFonts w:ascii="Times New Roman" w:eastAsia="Calibri" w:hAnsi="Times New Roman"/>
          <w:szCs w:val="22"/>
          <w:lang w:val="pt-BR"/>
        </w:rPr>
        <w:tab/>
        <w:t xml:space="preserve">Continuar implementando os compromissos estabelecidos na resolução AG/RES. 2846 (XLIV-O/14), em apoio ao processo de Cúpulas das Américas, e solicitar à Secretaria-Geral que, por meio da Secretaria de Cúpulas, continue atuando como memória institucional e </w:t>
      </w:r>
      <w:r w:rsidR="00111C38" w:rsidRPr="00D65A20">
        <w:rPr>
          <w:rFonts w:ascii="Times New Roman" w:eastAsia="Calibri" w:hAnsi="Times New Roman"/>
          <w:szCs w:val="22"/>
          <w:lang w:val="pt-BR"/>
        </w:rPr>
        <w:t xml:space="preserve">secretaria técnica </w:t>
      </w:r>
      <w:r w:rsidRPr="00D65A20">
        <w:rPr>
          <w:rFonts w:ascii="Times New Roman" w:eastAsia="Calibri" w:hAnsi="Times New Roman"/>
          <w:szCs w:val="22"/>
          <w:lang w:val="pt-BR"/>
        </w:rPr>
        <w:t xml:space="preserve">desse processo, oferecendo assessoria </w:t>
      </w:r>
      <w:r w:rsidRPr="00D65A20">
        <w:rPr>
          <w:rFonts w:ascii="Times New Roman" w:eastAsia="Calibri" w:hAnsi="Times New Roman"/>
          <w:bCs/>
          <w:szCs w:val="22"/>
          <w:lang w:val="pt-BR"/>
        </w:rPr>
        <w:t xml:space="preserve">ao país-sede da Nona Cúpula das Américas e aos Estados membros, quando assim o solicitem, em todos os aspectos relacionados com o processo, e apoiando os preparativos e a coordenação técnica para a próxima Cúpula, a realizar-se nos Estados </w:t>
      </w:r>
      <w:r w:rsidRPr="00D65A20">
        <w:rPr>
          <w:rFonts w:ascii="Times New Roman" w:eastAsia="Calibri" w:hAnsi="Times New Roman"/>
          <w:bCs/>
          <w:szCs w:val="22"/>
          <w:lang w:val="pt-BR"/>
        </w:rPr>
        <w:lastRenderedPageBreak/>
        <w:t>Unidos, bem como as atividades relacionadas com as Cúpulas e associadas ao Vigésimo Aniversário da Adoção da Carta Democrática Interamericana</w:t>
      </w:r>
      <w:r w:rsidRPr="00D65A20">
        <w:rPr>
          <w:rFonts w:ascii="Times New Roman" w:eastAsia="Calibri" w:hAnsi="Times New Roman"/>
          <w:szCs w:val="22"/>
          <w:lang w:val="pt-BR"/>
        </w:rPr>
        <w:t>.</w:t>
      </w:r>
    </w:p>
    <w:p w14:paraId="6E834031"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032"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2.</w:t>
      </w:r>
      <w:r w:rsidRPr="00D65A20">
        <w:rPr>
          <w:rFonts w:ascii="Times New Roman" w:eastAsia="Calibri" w:hAnsi="Times New Roman"/>
          <w:szCs w:val="22"/>
          <w:lang w:val="pt-BR"/>
        </w:rPr>
        <w:tab/>
        <w:t>Solicitar à Secretaria-Geral que, por intermédio da Secretaria de Cúpulas, continue:</w:t>
      </w:r>
    </w:p>
    <w:p w14:paraId="6E834033"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034"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pt-BR"/>
        </w:rPr>
      </w:pPr>
      <w:r w:rsidRPr="00D65A20">
        <w:rPr>
          <w:rFonts w:ascii="Times New Roman" w:eastAsia="Calibri" w:hAnsi="Times New Roman"/>
          <w:szCs w:val="22"/>
          <w:lang w:val="pt-BR"/>
        </w:rPr>
        <w:t>a)</w:t>
      </w:r>
      <w:r w:rsidRPr="00D65A20">
        <w:rPr>
          <w:rFonts w:ascii="Times New Roman" w:eastAsia="Calibri" w:hAnsi="Times New Roman"/>
          <w:szCs w:val="22"/>
          <w:lang w:val="pt-BR"/>
        </w:rPr>
        <w:tab/>
        <w:t xml:space="preserve">apoiando o acompanhamento e a divulgação dos mandatos e iniciativas das Cúpulas, conforme seja pertinente, inclusive envolvendo os processos ministeriais; </w:t>
      </w:r>
    </w:p>
    <w:p w14:paraId="6E834035"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036" w14:textId="67706835"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pt-BR"/>
        </w:rPr>
      </w:pPr>
      <w:r w:rsidRPr="00D65A20">
        <w:rPr>
          <w:rFonts w:ascii="Times New Roman" w:eastAsia="Calibri" w:hAnsi="Times New Roman"/>
          <w:szCs w:val="22"/>
          <w:lang w:val="pt-BR"/>
        </w:rPr>
        <w:t>b)</w:t>
      </w:r>
      <w:r w:rsidRPr="00D65A20">
        <w:rPr>
          <w:rFonts w:ascii="Times New Roman" w:eastAsia="Calibri" w:hAnsi="Times New Roman"/>
          <w:szCs w:val="22"/>
          <w:lang w:val="pt-BR"/>
        </w:rPr>
        <w:tab/>
        <w:t xml:space="preserve">prestando apoio aos Estados membros para a implementação dos mandatos e iniciativas das Cúpulas, prestando apoio técnico ao Sistema de Acompanhamento das Cúpulas das Américas e </w:t>
      </w:r>
      <w:r w:rsidR="00195386" w:rsidRPr="00D65A20">
        <w:rPr>
          <w:rFonts w:ascii="Times New Roman" w:eastAsia="Calibri" w:hAnsi="Times New Roman"/>
          <w:szCs w:val="22"/>
          <w:lang w:val="pt-BR"/>
        </w:rPr>
        <w:t>assessoria a</w:t>
      </w:r>
      <w:r w:rsidRPr="00D65A20">
        <w:rPr>
          <w:rFonts w:ascii="Times New Roman" w:eastAsia="Calibri" w:hAnsi="Times New Roman"/>
          <w:szCs w:val="22"/>
          <w:lang w:val="pt-BR"/>
        </w:rPr>
        <w:t>os Estados membros, quando o solicitarem, em todos os aspectos relacionados com o processo</w:t>
      </w:r>
      <w:r w:rsidR="00AE051F" w:rsidRPr="00D65A20">
        <w:rPr>
          <w:rFonts w:ascii="Times New Roman" w:eastAsia="Calibri" w:hAnsi="Times New Roman"/>
          <w:szCs w:val="22"/>
          <w:lang w:val="pt-BR"/>
        </w:rPr>
        <w:t>,</w:t>
      </w:r>
      <w:r w:rsidRPr="00D65A20">
        <w:rPr>
          <w:rFonts w:ascii="Times New Roman" w:eastAsia="Calibri" w:hAnsi="Times New Roman"/>
          <w:szCs w:val="22"/>
          <w:lang w:val="pt-BR"/>
        </w:rPr>
        <w:t xml:space="preserve"> e apoiando as atividades de acompanhamento da Oitava Cúpula</w:t>
      </w:r>
      <w:r w:rsidRPr="00D65A20">
        <w:rPr>
          <w:rFonts w:ascii="Times New Roman" w:eastAsia="Calibri" w:hAnsi="Times New Roman"/>
          <w:szCs w:val="22"/>
          <w:u w:val="single"/>
          <w:vertAlign w:val="superscript"/>
          <w:lang w:val="pt-BR"/>
        </w:rPr>
        <w:footnoteReference w:id="7"/>
      </w:r>
      <w:r w:rsidRPr="00D65A20">
        <w:rPr>
          <w:rFonts w:ascii="Times New Roman" w:eastAsia="Calibri" w:hAnsi="Times New Roman"/>
          <w:szCs w:val="22"/>
          <w:vertAlign w:val="superscript"/>
          <w:lang w:val="pt-BR"/>
        </w:rPr>
        <w:t>/</w:t>
      </w:r>
      <w:r w:rsidRPr="00D65A20">
        <w:rPr>
          <w:rFonts w:ascii="Times New Roman" w:eastAsia="Calibri" w:hAnsi="Times New Roman"/>
          <w:szCs w:val="22"/>
          <w:lang w:val="pt-BR"/>
        </w:rPr>
        <w:t>, realizada em Lima, Peru, em abril de 2018, principalmente em conexão com a implementação do Compromisso de Lima</w:t>
      </w:r>
      <w:r w:rsidR="006F48F9" w:rsidRPr="00D65A20">
        <w:rPr>
          <w:rFonts w:ascii="Times New Roman" w:eastAsia="Calibri" w:hAnsi="Times New Roman"/>
          <w:szCs w:val="22"/>
          <w:lang w:val="pt-BR"/>
        </w:rPr>
        <w:t>; e</w:t>
      </w:r>
    </w:p>
    <w:p w14:paraId="6E834037"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038"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pt-BR"/>
        </w:rPr>
      </w:pPr>
      <w:r w:rsidRPr="00D65A20">
        <w:rPr>
          <w:rFonts w:ascii="Times New Roman" w:eastAsia="Calibri" w:hAnsi="Times New Roman"/>
          <w:szCs w:val="22"/>
          <w:lang w:val="pt-BR"/>
        </w:rPr>
        <w:t>c)</w:t>
      </w:r>
      <w:r w:rsidRPr="00D65A20">
        <w:rPr>
          <w:rFonts w:ascii="Times New Roman" w:eastAsia="Calibri" w:hAnsi="Times New Roman"/>
          <w:szCs w:val="22"/>
          <w:lang w:val="pt-BR"/>
        </w:rPr>
        <w:tab/>
        <w:t>envidando esforços para promover e divulgar os mandatos e iniciativas entre os atores envolvidos, a fim de promover sua colaboração e participação no acompanhamento e implementação, por meio das plataformas de informação e comunicação disponíveis, como as redes sociais e a Comunidade Virtual de Cúpulas das Américas.</w:t>
      </w:r>
      <w:r w:rsidRPr="00D65A20">
        <w:rPr>
          <w:rFonts w:ascii="Times New Roman" w:eastAsia="Calibri" w:hAnsi="Times New Roman"/>
          <w:szCs w:val="22"/>
          <w:u w:val="single"/>
          <w:vertAlign w:val="superscript"/>
          <w:lang w:val="pt-BR"/>
        </w:rPr>
        <w:footnoteReference w:id="8"/>
      </w:r>
      <w:r w:rsidRPr="00D65A20">
        <w:rPr>
          <w:rFonts w:ascii="Times New Roman" w:eastAsia="Calibri" w:hAnsi="Times New Roman"/>
          <w:szCs w:val="22"/>
          <w:vertAlign w:val="superscript"/>
          <w:lang w:val="pt-BR"/>
        </w:rPr>
        <w:t>/</w:t>
      </w:r>
      <w:r w:rsidRPr="00D65A20">
        <w:rPr>
          <w:rFonts w:ascii="Times New Roman" w:eastAsia="Calibri" w:hAnsi="Times New Roman"/>
          <w:szCs w:val="22"/>
          <w:lang w:val="pt-BR"/>
        </w:rPr>
        <w:t xml:space="preserve"> </w:t>
      </w:r>
    </w:p>
    <w:p w14:paraId="6E834039"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03A"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eastAsia="Calibri" w:hAnsi="Times New Roman"/>
          <w:szCs w:val="22"/>
          <w:lang w:val="pt-BR"/>
        </w:rPr>
        <w:t>3.</w:t>
      </w:r>
      <w:r w:rsidRPr="00D65A20">
        <w:rPr>
          <w:rFonts w:ascii="Times New Roman" w:eastAsia="Calibri" w:hAnsi="Times New Roman"/>
          <w:szCs w:val="22"/>
          <w:lang w:val="pt-BR"/>
        </w:rPr>
        <w:tab/>
        <w:t>Encarregar a Secretaria-Geral, em sua condição de Presidente do Grupo de Trabalho Conjunto de Cúpulas (GTCC), de continuar coordenando e promovendo a implementação e o acompanhamento dos mandatos das Cúpulas das Américas nas instituições do GTCC; e de levar a cabo, pelo menos, uma reunião por ano dos chefes de instituições, com o intuito de examinar os avanços alcançados e planejar atividades conjuntas, informando a esse respeito a Comissão sobre Gestão de Cúpulas Interamericanas e Participação da Sociedade Civil nas Atividades da OEA</w:t>
      </w:r>
      <w:r w:rsidR="006F48F9" w:rsidRPr="00D65A20">
        <w:rPr>
          <w:rFonts w:ascii="Times New Roman" w:eastAsia="Calibri" w:hAnsi="Times New Roman"/>
          <w:szCs w:val="22"/>
          <w:lang w:val="pt-BR"/>
        </w:rPr>
        <w:t xml:space="preserve"> (CISC)</w:t>
      </w:r>
      <w:r w:rsidRPr="00D65A20">
        <w:rPr>
          <w:rFonts w:ascii="Times New Roman" w:eastAsia="Calibri" w:hAnsi="Times New Roman"/>
          <w:szCs w:val="22"/>
          <w:lang w:val="pt-BR"/>
        </w:rPr>
        <w:t xml:space="preserve"> e o Grupo de Revisão da Implementação de Cúpulas (GRIC). </w:t>
      </w:r>
    </w:p>
    <w:p w14:paraId="6E83403B"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03C" w14:textId="619546AE"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eastAsia="Calibri" w:hAnsi="Times New Roman"/>
          <w:szCs w:val="22"/>
          <w:lang w:val="pt-BR"/>
        </w:rPr>
        <w:t>4.</w:t>
      </w:r>
      <w:r w:rsidRPr="00D65A20">
        <w:rPr>
          <w:rFonts w:ascii="Times New Roman" w:eastAsia="Calibri" w:hAnsi="Times New Roman"/>
          <w:szCs w:val="22"/>
          <w:lang w:val="pt-BR"/>
        </w:rPr>
        <w:tab/>
        <w:t>Solicitar à CISC que colabore com a Comissão de Assuntos Jurídicos e Políticos a fim de ajudar a organizar, em coordenação com a Secretaria de Cúpulas das Américas, uma sessão extraordinária conjunta no primeiro trimestre de 2021 sobre “Resiliência democrática, o papel da Carta Democrática Interamericana e o processo de Cúpulas”, com o objetivo de compartilhar possíveis recomendações para consideração com o GRIC antes da Nona Cúpula das Américas.</w:t>
      </w:r>
    </w:p>
    <w:p w14:paraId="6E83403D"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03E"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eastAsia="Calibri" w:hAnsi="Times New Roman"/>
          <w:szCs w:val="22"/>
          <w:lang w:val="pt-BR"/>
        </w:rPr>
        <w:t>5.</w:t>
      </w:r>
      <w:r w:rsidRPr="00D65A20">
        <w:rPr>
          <w:rFonts w:ascii="Times New Roman" w:eastAsia="Calibri" w:hAnsi="Times New Roman"/>
          <w:szCs w:val="22"/>
          <w:lang w:val="pt-BR"/>
        </w:rPr>
        <w:tab/>
      </w:r>
      <w:r w:rsidRPr="00D65A20">
        <w:rPr>
          <w:rFonts w:ascii="Times New Roman" w:eastAsia="Calibri" w:hAnsi="Times New Roman"/>
          <w:bCs/>
          <w:szCs w:val="22"/>
          <w:lang w:val="pt-BR"/>
        </w:rPr>
        <w:t>Instar os Estados membros, por intermédio do GRIC, a que apresentem relatórios periódicos sobre a implementação e o acompanhamento dos mandatos e iniciativas estabelecidos pelo processo de Cúpulas das Américas;</w:t>
      </w:r>
      <w:r w:rsidRPr="00D65A20">
        <w:rPr>
          <w:rFonts w:ascii="Times New Roman" w:eastAsia="Calibri" w:hAnsi="Times New Roman"/>
          <w:szCs w:val="22"/>
          <w:lang w:val="pt-BR"/>
        </w:rPr>
        <w:t xml:space="preserve"> e solicitar aos Estados e às organizações que fazem parte do GTCC e que ainda não tenham encaminhado suas informações para o Mecanismo de Acompanhamento e Implementação do Compromisso de Lima </w:t>
      </w:r>
      <w:r w:rsidRPr="00D65A20">
        <w:rPr>
          <w:rFonts w:ascii="Times New Roman" w:eastAsia="Calibri" w:hAnsi="Times New Roman"/>
          <w:bCs/>
          <w:szCs w:val="22"/>
          <w:lang w:val="pt-BR"/>
        </w:rPr>
        <w:t>que o façam</w:t>
      </w:r>
      <w:r w:rsidRPr="00D65A20">
        <w:rPr>
          <w:rFonts w:ascii="Times New Roman" w:eastAsia="Calibri" w:hAnsi="Times New Roman"/>
          <w:szCs w:val="22"/>
          <w:lang w:val="pt-BR"/>
        </w:rPr>
        <w:t xml:space="preserve">. </w:t>
      </w:r>
    </w:p>
    <w:p w14:paraId="6E83403F"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040" w14:textId="2F9F97EB"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6.</w:t>
      </w:r>
      <w:r w:rsidRPr="00D65A20">
        <w:rPr>
          <w:rFonts w:ascii="Times New Roman" w:eastAsia="Calibri" w:hAnsi="Times New Roman"/>
          <w:szCs w:val="22"/>
          <w:lang w:val="pt-BR"/>
        </w:rPr>
        <w:tab/>
        <w:t xml:space="preserve">Determinar que a execução das atividades previstas nesta resolução esteja sujeita à disponibilidade de recursos financeiros no orçamento-programa da Organização e de outros recursos; encarregar a Secretaria-Geral </w:t>
      </w:r>
      <w:r w:rsidRPr="00D65A20">
        <w:rPr>
          <w:rFonts w:ascii="Times New Roman" w:eastAsia="Calibri" w:hAnsi="Times New Roman"/>
          <w:bCs/>
          <w:szCs w:val="22"/>
          <w:lang w:val="pt-BR"/>
        </w:rPr>
        <w:t>de usar seus recursos conforme necessário e</w:t>
      </w:r>
      <w:r w:rsidRPr="00D65A20">
        <w:rPr>
          <w:rFonts w:ascii="Times New Roman" w:eastAsia="Calibri" w:hAnsi="Times New Roman"/>
          <w:szCs w:val="22"/>
          <w:lang w:val="pt-BR"/>
        </w:rPr>
        <w:t xml:space="preserve"> de gerenciar e mobilizar </w:t>
      </w:r>
      <w:r w:rsidRPr="00D65A20">
        <w:rPr>
          <w:rFonts w:ascii="Times New Roman" w:eastAsia="Calibri" w:hAnsi="Times New Roman"/>
          <w:szCs w:val="22"/>
          <w:lang w:val="pt-BR"/>
        </w:rPr>
        <w:lastRenderedPageBreak/>
        <w:t xml:space="preserve">fundos voluntários e recursos técnicos </w:t>
      </w:r>
      <w:r w:rsidR="00055C2B" w:rsidRPr="00D65A20">
        <w:rPr>
          <w:rFonts w:ascii="Times New Roman" w:eastAsia="Calibri" w:hAnsi="Times New Roman"/>
          <w:szCs w:val="22"/>
          <w:lang w:val="pt-BR"/>
        </w:rPr>
        <w:t xml:space="preserve">de </w:t>
      </w:r>
      <w:r w:rsidRPr="00D65A20">
        <w:rPr>
          <w:rFonts w:ascii="Times New Roman" w:eastAsia="Calibri" w:hAnsi="Times New Roman"/>
          <w:szCs w:val="22"/>
          <w:lang w:val="pt-BR"/>
        </w:rPr>
        <w:t xml:space="preserve">organismos não governamentais </w:t>
      </w:r>
      <w:r w:rsidR="00195386" w:rsidRPr="00D65A20">
        <w:rPr>
          <w:rFonts w:ascii="Times New Roman" w:eastAsia="Calibri" w:hAnsi="Times New Roman"/>
          <w:szCs w:val="22"/>
          <w:lang w:val="pt-BR"/>
        </w:rPr>
        <w:t xml:space="preserve">e de cooperação internacionais </w:t>
      </w:r>
      <w:r w:rsidRPr="00D65A20">
        <w:rPr>
          <w:rFonts w:ascii="Times New Roman" w:eastAsia="Calibri" w:hAnsi="Times New Roman"/>
          <w:szCs w:val="22"/>
          <w:lang w:val="pt-BR"/>
        </w:rPr>
        <w:t>para a execução das atividades mencionadas nesta resolução; e instar os Estados membros a que contribuam para o financiamento dessas atividades.</w:t>
      </w:r>
    </w:p>
    <w:p w14:paraId="6E834041"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6" w:lineRule="auto"/>
        <w:jc w:val="center"/>
        <w:rPr>
          <w:rFonts w:ascii="Times New Roman" w:eastAsia="Calibri" w:hAnsi="Times New Roman"/>
          <w:sz w:val="20"/>
          <w:lang w:val="pt-BR"/>
        </w:rPr>
      </w:pPr>
      <w:r w:rsidRPr="00D65A20">
        <w:rPr>
          <w:rFonts w:ascii="Times New Roman" w:eastAsia="Calibri" w:hAnsi="Times New Roman"/>
          <w:szCs w:val="22"/>
          <w:lang w:val="pt-BR"/>
        </w:rPr>
        <w:br w:type="page"/>
      </w:r>
      <w:r w:rsidRPr="00D65A20">
        <w:rPr>
          <w:rFonts w:ascii="Times New Roman" w:eastAsia="Calibri" w:hAnsi="Times New Roman"/>
          <w:sz w:val="20"/>
          <w:lang w:val="pt-BR"/>
        </w:rPr>
        <w:lastRenderedPageBreak/>
        <w:t>NOTAS DE RODAPÉ</w:t>
      </w:r>
    </w:p>
    <w:p w14:paraId="6E834042" w14:textId="77777777" w:rsidR="00055C2B" w:rsidRPr="00D65A20" w:rsidRDefault="00055C2B" w:rsidP="00055C2B">
      <w:pPr>
        <w:widowControl/>
        <w:ind w:firstLine="720"/>
        <w:rPr>
          <w:rFonts w:ascii="Times New Roman" w:hAnsi="Times New Roman"/>
          <w:sz w:val="20"/>
          <w:szCs w:val="22"/>
          <w:lang w:val="pt-BR"/>
        </w:rPr>
      </w:pPr>
      <w:r w:rsidRPr="00D65A20">
        <w:rPr>
          <w:rFonts w:ascii="Times New Roman" w:eastAsia="Calibri" w:hAnsi="Times New Roman"/>
          <w:bCs/>
          <w:sz w:val="20"/>
          <w:lang w:val="pt-BR"/>
        </w:rPr>
        <w:t>1.</w:t>
      </w:r>
      <w:r w:rsidRPr="00D65A20">
        <w:rPr>
          <w:rFonts w:ascii="Times New Roman" w:eastAsia="Calibri" w:hAnsi="Times New Roman"/>
          <w:bCs/>
          <w:sz w:val="20"/>
          <w:lang w:val="pt-BR"/>
        </w:rPr>
        <w:tab/>
      </w:r>
      <w:r w:rsidRPr="00D65A20">
        <w:rPr>
          <w:rFonts w:ascii="Times New Roman" w:hAnsi="Times New Roman"/>
          <w:sz w:val="20"/>
          <w:lang w:val="pt-BR"/>
        </w:rPr>
        <w:t xml:space="preserve"> (...)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6E834043" w14:textId="77777777" w:rsidR="00055C2B" w:rsidRPr="00D65A20" w:rsidRDefault="00055C2B" w:rsidP="00055C2B">
      <w:pPr>
        <w:widowControl/>
        <w:rPr>
          <w:rFonts w:ascii="Times New Roman" w:hAnsi="Times New Roman"/>
          <w:sz w:val="20"/>
          <w:lang w:val="pt-BR"/>
        </w:rPr>
      </w:pPr>
    </w:p>
    <w:p w14:paraId="6E834044" w14:textId="77777777" w:rsidR="00055C2B" w:rsidRPr="00D65A20" w:rsidRDefault="00055C2B" w:rsidP="00055C2B">
      <w:pPr>
        <w:widowControl/>
        <w:ind w:firstLine="720"/>
        <w:rPr>
          <w:rFonts w:ascii="Times New Roman" w:hAnsi="Times New Roman"/>
          <w:sz w:val="20"/>
          <w:lang w:val="pt-BR"/>
        </w:rPr>
      </w:pPr>
      <w:r w:rsidRPr="00D65A20">
        <w:rPr>
          <w:rFonts w:ascii="Times New Roman" w:hAnsi="Times New Roman"/>
          <w:sz w:val="20"/>
          <w:lang w:val="pt-BR"/>
        </w:rPr>
        <w:t xml:space="preserve">Antígua e Barbuda não apoiou a resolução CP/RES. 1124 (2217/19), de 9 de abril de 2019, cuja intenção era nomear o Senhor Gustavo Tarre como Representante da Assembleia Nacional junto à OEA, e não aceitou as credenciais das autoridades que pretendiam representar a República Bolivariana da Venezuela no Quadragésimo Nono e no Quinquagésimo Período Ordinário de Sessões da Assembleia Geral. </w:t>
      </w:r>
    </w:p>
    <w:p w14:paraId="6E834045" w14:textId="77777777" w:rsidR="00055C2B" w:rsidRPr="00D65A20" w:rsidRDefault="00055C2B" w:rsidP="00055C2B">
      <w:pPr>
        <w:widowControl/>
        <w:rPr>
          <w:rFonts w:ascii="Times New Roman" w:hAnsi="Times New Roman"/>
          <w:sz w:val="20"/>
          <w:lang w:val="pt-BR"/>
        </w:rPr>
      </w:pPr>
    </w:p>
    <w:p w14:paraId="6E834046" w14:textId="77777777" w:rsidR="00AC5431" w:rsidRPr="00D65A20" w:rsidRDefault="00055C2B" w:rsidP="00055C2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pt-BR"/>
        </w:rPr>
      </w:pPr>
      <w:r w:rsidRPr="00D65A20">
        <w:rPr>
          <w:rFonts w:ascii="Times New Roman" w:hAnsi="Times New Roman"/>
          <w:sz w:val="20"/>
          <w:lang w:val="pt-BR"/>
        </w:rPr>
        <w:t>Desse modo, Antígua e Barbuda informa a todos os Estados membros e à Secretaria-Geral da Organização dos Estados Americanos que, até novo aviso, assim como fez no Quadragésimo Nono Período Ordinário de Sessões da Assembleia Geral, não se considerará vinculado a nenhuma declaração ou resolução emanada do Quinquagésimo Período Ordinário de Sessões da Assembleia Geral, nem a quaisquer futuras declarações ou resoluções de qualquer Conselho ou órgão da Organização que incluam a participação de qualquer pessoa ou entidade pretensamente falando pela República Bolivariana da Venezuela ou agindo em seu nome, e nas quais se alcancem 18 votos com a participação de um pretenso representante da República Bolivariana da Venezuela</w:t>
      </w:r>
      <w:r w:rsidR="00AC5431" w:rsidRPr="00D65A20">
        <w:rPr>
          <w:rFonts w:ascii="Times New Roman" w:hAnsi="Times New Roman"/>
          <w:sz w:val="20"/>
          <w:lang w:val="pt-BR"/>
        </w:rPr>
        <w:t>.</w:t>
      </w:r>
    </w:p>
    <w:p w14:paraId="6E834047" w14:textId="611D849B" w:rsidR="00AC5431" w:rsidRPr="00D65A20" w:rsidRDefault="00AC5431" w:rsidP="00AA4399">
      <w:pPr>
        <w:widowControl/>
        <w:tabs>
          <w:tab w:val="clear" w:pos="1440"/>
          <w:tab w:val="clear" w:pos="2160"/>
          <w:tab w:val="clear" w:pos="2880"/>
          <w:tab w:val="clear" w:pos="3600"/>
          <w:tab w:val="clear" w:pos="4320"/>
          <w:tab w:val="clear" w:pos="5760"/>
          <w:tab w:val="clear" w:pos="6480"/>
          <w:tab w:val="clear" w:pos="7200"/>
          <w:tab w:val="clear" w:pos="7920"/>
          <w:tab w:val="left" w:pos="0"/>
        </w:tabs>
        <w:rPr>
          <w:rFonts w:ascii="Times New Roman" w:eastAsia="MS Mincho" w:hAnsi="Times New Roman"/>
          <w:sz w:val="20"/>
          <w:lang w:val="pt-BR" w:eastAsia="es-ES_tradnl"/>
        </w:rPr>
      </w:pPr>
    </w:p>
    <w:p w14:paraId="6E834048" w14:textId="44750A78" w:rsidR="00714959" w:rsidRPr="00D65A20" w:rsidRDefault="00714959" w:rsidP="00714959">
      <w:pPr>
        <w:rPr>
          <w:rStyle w:val="FootnoteReference"/>
          <w:rFonts w:ascii="Times New Roman" w:hAnsi="Times New Roman"/>
          <w:sz w:val="20"/>
          <w:lang w:val="pt-BR"/>
        </w:rPr>
      </w:pPr>
      <w:r w:rsidRPr="00D65A20">
        <w:rPr>
          <w:rFonts w:ascii="Times New Roman" w:hAnsi="Times New Roman"/>
          <w:sz w:val="20"/>
          <w:lang w:val="pt-BR"/>
        </w:rPr>
        <w:tab/>
        <w:t xml:space="preserve">2. </w:t>
      </w:r>
      <w:r w:rsidR="00377CA8">
        <w:rPr>
          <w:rFonts w:ascii="Times New Roman" w:hAnsi="Times New Roman"/>
          <w:sz w:val="20"/>
          <w:lang w:val="pt-BR"/>
        </w:rPr>
        <w:tab/>
      </w:r>
      <w:r w:rsidRPr="00D65A20">
        <w:rPr>
          <w:rFonts w:ascii="Times New Roman" w:hAnsi="Times New Roman"/>
          <w:sz w:val="20"/>
          <w:lang w:val="pt-BR"/>
        </w:rPr>
        <w:t>(...) Quinquagésimo Período Ordinário de Sessões da Assembleia Geral.</w:t>
      </w:r>
    </w:p>
    <w:p w14:paraId="6E834049" w14:textId="77777777" w:rsidR="00714959" w:rsidRPr="00D65A20" w:rsidRDefault="00714959" w:rsidP="00AA4399">
      <w:pPr>
        <w:widowControl/>
        <w:tabs>
          <w:tab w:val="clear" w:pos="1440"/>
          <w:tab w:val="clear" w:pos="2160"/>
          <w:tab w:val="clear" w:pos="2880"/>
          <w:tab w:val="clear" w:pos="3600"/>
          <w:tab w:val="clear" w:pos="4320"/>
          <w:tab w:val="clear" w:pos="5760"/>
          <w:tab w:val="clear" w:pos="6480"/>
          <w:tab w:val="clear" w:pos="7200"/>
          <w:tab w:val="clear" w:pos="7920"/>
          <w:tab w:val="left" w:pos="0"/>
        </w:tabs>
        <w:rPr>
          <w:rFonts w:ascii="Times New Roman" w:eastAsia="MS Mincho" w:hAnsi="Times New Roman"/>
          <w:sz w:val="20"/>
          <w:lang w:val="pt-BR" w:eastAsia="es-ES_tradnl"/>
        </w:rPr>
      </w:pPr>
    </w:p>
    <w:p w14:paraId="6E83404A" w14:textId="1893E625" w:rsidR="00AC5431" w:rsidRPr="00D65A20" w:rsidRDefault="00AC5431" w:rsidP="00AA4399">
      <w:pPr>
        <w:widowControl/>
        <w:tabs>
          <w:tab w:val="clear" w:pos="1440"/>
          <w:tab w:val="clear" w:pos="2160"/>
          <w:tab w:val="clear" w:pos="2880"/>
          <w:tab w:val="clear" w:pos="3600"/>
          <w:tab w:val="clear" w:pos="4320"/>
          <w:tab w:val="clear" w:pos="5760"/>
          <w:tab w:val="clear" w:pos="6480"/>
          <w:tab w:val="clear" w:pos="7200"/>
          <w:tab w:val="clear" w:pos="7920"/>
          <w:tab w:val="left" w:pos="0"/>
        </w:tabs>
        <w:rPr>
          <w:rFonts w:ascii="Times New Roman" w:eastAsia="MS Mincho" w:hAnsi="Times New Roman"/>
          <w:sz w:val="20"/>
          <w:lang w:val="pt-BR" w:eastAsia="es-ES_tradnl"/>
        </w:rPr>
      </w:pPr>
      <w:r w:rsidRPr="00D65A20">
        <w:rPr>
          <w:rFonts w:ascii="Times New Roman" w:eastAsia="MS Mincho" w:hAnsi="Times New Roman"/>
          <w:sz w:val="20"/>
          <w:lang w:val="pt-BR" w:eastAsia="es-ES_tradnl"/>
        </w:rPr>
        <w:tab/>
      </w:r>
      <w:r w:rsidR="00714959" w:rsidRPr="00D65A20">
        <w:rPr>
          <w:rFonts w:ascii="Times New Roman" w:eastAsia="MS Mincho" w:hAnsi="Times New Roman"/>
          <w:sz w:val="20"/>
          <w:lang w:val="pt-BR" w:eastAsia="es-ES_tradnl"/>
        </w:rPr>
        <w:t>3</w:t>
      </w:r>
      <w:r w:rsidRPr="00D65A20">
        <w:rPr>
          <w:rFonts w:ascii="Times New Roman" w:eastAsia="MS Mincho" w:hAnsi="Times New Roman"/>
          <w:sz w:val="20"/>
          <w:lang w:val="pt-BR" w:eastAsia="es-ES_tradnl"/>
        </w:rPr>
        <w:t>.</w:t>
      </w:r>
      <w:r w:rsidRPr="00D65A20">
        <w:rPr>
          <w:rFonts w:ascii="Times New Roman" w:eastAsia="MS Mincho" w:hAnsi="Times New Roman"/>
          <w:sz w:val="20"/>
          <w:lang w:val="pt-BR" w:eastAsia="es-ES_tradnl"/>
        </w:rPr>
        <w:tab/>
        <w:t xml:space="preserve">(...) </w:t>
      </w:r>
      <w:r w:rsidRPr="00D65A20">
        <w:rPr>
          <w:rFonts w:ascii="Times New Roman" w:eastAsia="MS Mincho" w:hAnsi="Times New Roman"/>
          <w:color w:val="26282A"/>
          <w:sz w:val="20"/>
          <w:lang w:val="pt-BR" w:eastAsia="es-ES_tradnl"/>
        </w:rPr>
        <w:t>desenvolvimento delas, os Chefes de Estado e de Governo não conseguiram abordar nem aprovaram as declarações políticas dessas Cúpulas. Os mandatos e as partes resolutivas dos eixos temáticos faziam parte das declarações políticas e, como estas não foram aprovadas, aqueles também ficaram sem aprovação. Por essa razão, a Nicarágua não está de acordo em se fazer menção a esses documentos e mandatos que não foram aprovados.</w:t>
      </w:r>
    </w:p>
    <w:p w14:paraId="6E83404B" w14:textId="77777777" w:rsidR="00AC5431" w:rsidRPr="00D65A20" w:rsidRDefault="00AC5431" w:rsidP="00AA4399">
      <w:pPr>
        <w:widowControl/>
        <w:tabs>
          <w:tab w:val="clear" w:pos="1440"/>
          <w:tab w:val="clear" w:pos="2160"/>
          <w:tab w:val="clear" w:pos="2880"/>
          <w:tab w:val="clear" w:pos="3600"/>
          <w:tab w:val="clear" w:pos="4320"/>
          <w:tab w:val="clear" w:pos="5760"/>
          <w:tab w:val="clear" w:pos="6480"/>
          <w:tab w:val="clear" w:pos="7200"/>
          <w:tab w:val="clear" w:pos="7920"/>
          <w:tab w:val="left" w:pos="0"/>
        </w:tabs>
        <w:rPr>
          <w:rFonts w:ascii="Times New Roman" w:eastAsia="MS Mincho" w:hAnsi="Times New Roman"/>
          <w:sz w:val="20"/>
          <w:lang w:val="pt-BR" w:eastAsia="es-ES_tradnl"/>
        </w:rPr>
      </w:pPr>
    </w:p>
    <w:p w14:paraId="6E83404C" w14:textId="7CF0CFC3" w:rsidR="00AC5431" w:rsidRPr="00D65A20" w:rsidRDefault="00AC5431" w:rsidP="00AA4399">
      <w:pPr>
        <w:widowControl/>
        <w:tabs>
          <w:tab w:val="clear" w:pos="1440"/>
          <w:tab w:val="clear" w:pos="2160"/>
          <w:tab w:val="clear" w:pos="2880"/>
          <w:tab w:val="clear" w:pos="3600"/>
          <w:tab w:val="clear" w:pos="4320"/>
          <w:tab w:val="clear" w:pos="5760"/>
          <w:tab w:val="clear" w:pos="6480"/>
          <w:tab w:val="clear" w:pos="7200"/>
          <w:tab w:val="clear" w:pos="7920"/>
          <w:tab w:val="left" w:pos="0"/>
        </w:tabs>
        <w:rPr>
          <w:rFonts w:ascii="Times New Roman" w:eastAsia="MS Mincho" w:hAnsi="Times New Roman"/>
          <w:sz w:val="18"/>
          <w:lang w:val="pt-BR" w:eastAsia="es-ES_tradnl"/>
        </w:rPr>
      </w:pPr>
      <w:r w:rsidRPr="00D65A20">
        <w:rPr>
          <w:rFonts w:ascii="Times New Roman" w:eastAsia="MS Mincho" w:hAnsi="Times New Roman"/>
          <w:sz w:val="20"/>
          <w:lang w:val="pt-BR" w:eastAsia="es-ES_tradnl"/>
        </w:rPr>
        <w:tab/>
      </w:r>
      <w:r w:rsidR="00714959" w:rsidRPr="00D65A20">
        <w:rPr>
          <w:rFonts w:ascii="Times New Roman" w:eastAsia="MS Mincho" w:hAnsi="Times New Roman"/>
          <w:sz w:val="20"/>
          <w:lang w:val="pt-BR" w:eastAsia="es-ES_tradnl"/>
        </w:rPr>
        <w:t>4</w:t>
      </w:r>
      <w:r w:rsidRPr="00D65A20">
        <w:rPr>
          <w:rFonts w:ascii="Times New Roman" w:eastAsia="MS Mincho" w:hAnsi="Times New Roman"/>
          <w:sz w:val="20"/>
          <w:lang w:val="pt-BR" w:eastAsia="es-ES_tradnl"/>
        </w:rPr>
        <w:t>.</w:t>
      </w:r>
      <w:r w:rsidRPr="00D65A20">
        <w:rPr>
          <w:rFonts w:ascii="Times New Roman" w:eastAsia="MS Mincho" w:hAnsi="Times New Roman"/>
          <w:sz w:val="20"/>
          <w:lang w:val="pt-BR" w:eastAsia="es-ES_tradnl"/>
        </w:rPr>
        <w:tab/>
        <w:t>(...) Nicarágua não aprova o Compromisso de Lima: “Governabilidade democrática frente à corrupção”, nem outros documentos, declarações, comunicados ou resoluções que emanem da referida Cúpula, por não ter participado da sua negociação.</w:t>
      </w:r>
    </w:p>
    <w:p w14:paraId="6E83404D" w14:textId="77777777" w:rsidR="00EA1936" w:rsidRPr="00D65A20" w:rsidRDefault="00EA1936" w:rsidP="00AA4399">
      <w:pPr>
        <w:widowControl/>
        <w:jc w:val="center"/>
        <w:rPr>
          <w:rFonts w:ascii="Times New Roman" w:hAnsi="Times New Roman"/>
          <w:sz w:val="20"/>
          <w:lang w:val="pt-BR"/>
        </w:rPr>
      </w:pPr>
    </w:p>
    <w:p w14:paraId="6E83404E" w14:textId="77777777" w:rsidR="00CB0E24" w:rsidRPr="00D65A20" w:rsidRDefault="00CB0E24"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lang w:val="pt-BR"/>
        </w:rPr>
        <w:sectPr w:rsidR="00CB0E24" w:rsidRPr="00D65A20" w:rsidSect="0037138D">
          <w:footerReference w:type="default" r:id="rId18"/>
          <w:headerReference w:type="first" r:id="rId19"/>
          <w:footnotePr>
            <w:numRestart w:val="eachSect"/>
          </w:footnotePr>
          <w:type w:val="oddPage"/>
          <w:pgSz w:w="12240" w:h="15840" w:code="1"/>
          <w:pgMar w:top="2160" w:right="1570" w:bottom="1296" w:left="1699" w:header="1296" w:footer="720" w:gutter="0"/>
          <w:pgNumType w:fmt="numberInDash"/>
          <w:cols w:space="720"/>
          <w:titlePg/>
          <w:docGrid w:linePitch="360"/>
        </w:sectPr>
      </w:pPr>
    </w:p>
    <w:p w14:paraId="6E83404F" w14:textId="77777777" w:rsidR="00A544BF" w:rsidRPr="00D65A20" w:rsidRDefault="00CB0E24" w:rsidP="00AA4399">
      <w:pPr>
        <w:widowControl/>
        <w:jc w:val="center"/>
        <w:rPr>
          <w:rStyle w:val="Heading1Char"/>
          <w:rFonts w:ascii="Times New Roman" w:hAnsi="Times New Roman"/>
          <w:lang w:val="pt-BR"/>
        </w:rPr>
      </w:pPr>
      <w:bookmarkStart w:id="9" w:name="_Toc56526459"/>
      <w:bookmarkStart w:id="10" w:name="_Toc56526669"/>
      <w:r w:rsidRPr="00D65A20">
        <w:rPr>
          <w:rStyle w:val="Heading1Char"/>
          <w:rFonts w:ascii="Times New Roman" w:hAnsi="Times New Roman"/>
          <w:lang w:val="pt-BR"/>
        </w:rPr>
        <w:lastRenderedPageBreak/>
        <w:t>AG/RES. 2949 (L-O/20)</w:t>
      </w:r>
      <w:bookmarkEnd w:id="9"/>
      <w:bookmarkEnd w:id="10"/>
    </w:p>
    <w:p w14:paraId="6E834050" w14:textId="77777777" w:rsidR="00A544BF" w:rsidRPr="00D65A20" w:rsidRDefault="00A544BF" w:rsidP="00AA4399">
      <w:pPr>
        <w:widowControl/>
        <w:jc w:val="center"/>
        <w:rPr>
          <w:rFonts w:ascii="Times New Roman" w:hAnsi="Times New Roman"/>
          <w:color w:val="000000"/>
          <w:szCs w:val="22"/>
          <w:lang w:val="pt-BR"/>
        </w:rPr>
      </w:pPr>
    </w:p>
    <w:p w14:paraId="6E834051" w14:textId="77777777" w:rsidR="00AC5431" w:rsidRPr="00D65A20" w:rsidRDefault="00AC5431" w:rsidP="00A544BF">
      <w:pPr>
        <w:pStyle w:val="Heading1"/>
        <w:rPr>
          <w:lang w:val="pt-BR"/>
        </w:rPr>
      </w:pPr>
      <w:bookmarkStart w:id="11" w:name="_Toc56526460"/>
      <w:bookmarkStart w:id="12" w:name="_Toc56526670"/>
      <w:r w:rsidRPr="00D65A20">
        <w:rPr>
          <w:lang w:val="pt-BR"/>
        </w:rPr>
        <w:t xml:space="preserve">AUMENTO E FORTALECIMENTO DA PARTICIPAÇÃO DA SOCIEDADE CIVIL E DOS ATORES SOCIAIS NAS ATIVIDADES DA ORGANIZAÇÃO DOS ESTADOS AMERICANOS </w:t>
      </w:r>
      <w:r w:rsidRPr="00D65A20">
        <w:rPr>
          <w:lang w:val="pt-BR"/>
        </w:rPr>
        <w:br/>
        <w:t>E NO PROCESSO DE CÚPULAS DAS AMÉRICAS</w:t>
      </w:r>
      <w:r w:rsidRPr="00D65A20">
        <w:rPr>
          <w:u w:val="single"/>
          <w:vertAlign w:val="superscript"/>
          <w:lang w:val="pt-BR"/>
        </w:rPr>
        <w:footnoteReference w:id="9"/>
      </w:r>
      <w:r w:rsidRPr="00D65A20">
        <w:rPr>
          <w:lang w:val="pt-BR"/>
        </w:rPr>
        <w:t>/</w:t>
      </w:r>
      <w:bookmarkEnd w:id="11"/>
      <w:bookmarkEnd w:id="12"/>
      <w:r w:rsidR="00714959" w:rsidRPr="00D65A20">
        <w:rPr>
          <w:rStyle w:val="FootnoteReference"/>
          <w:u w:val="single"/>
          <w:vertAlign w:val="superscript"/>
          <w:lang w:val="pt-BR"/>
        </w:rPr>
        <w:footnoteReference w:id="10"/>
      </w:r>
      <w:r w:rsidR="00714959" w:rsidRPr="00D65A20">
        <w:rPr>
          <w:vertAlign w:val="superscript"/>
          <w:lang w:val="pt-BR"/>
        </w:rPr>
        <w:t>/</w:t>
      </w:r>
    </w:p>
    <w:p w14:paraId="6E834052"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bCs/>
          <w:iCs/>
          <w:szCs w:val="22"/>
          <w:lang w:val="pt-BR" w:eastAsia="es-ES"/>
        </w:rPr>
      </w:pPr>
    </w:p>
    <w:p w14:paraId="6E834053"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jc w:val="center"/>
        <w:outlineLvl w:val="0"/>
        <w:rPr>
          <w:rFonts w:ascii="Times New Roman" w:eastAsia="Calibri" w:hAnsi="Times New Roman"/>
          <w:bCs/>
          <w:szCs w:val="28"/>
          <w:lang w:val="pt-BR" w:eastAsia="es-ES"/>
        </w:rPr>
      </w:pPr>
      <w:bookmarkStart w:id="13" w:name="_Toc56522532"/>
      <w:bookmarkStart w:id="14" w:name="_Toc56526461"/>
      <w:bookmarkStart w:id="15" w:name="_Toc56526671"/>
      <w:r w:rsidRPr="00D65A20">
        <w:rPr>
          <w:rFonts w:ascii="Times New Roman" w:eastAsia="Calibri" w:hAnsi="Times New Roman"/>
          <w:bCs/>
          <w:szCs w:val="28"/>
          <w:lang w:val="pt-BR" w:eastAsia="es-ES"/>
        </w:rPr>
        <w:t>(</w:t>
      </w:r>
      <w:r w:rsidRPr="00D65A20">
        <w:rPr>
          <w:rFonts w:ascii="Times New Roman" w:eastAsia="Calibri" w:hAnsi="Times New Roman"/>
          <w:bCs/>
          <w:szCs w:val="22"/>
          <w:lang w:val="pt-BR" w:eastAsia="es-ES"/>
        </w:rPr>
        <w:t>Aprovada na primeira sessão plenária, realizada em 20 de outubro de 2020</w:t>
      </w:r>
      <w:r w:rsidRPr="00D65A20">
        <w:rPr>
          <w:rFonts w:ascii="Times New Roman" w:eastAsia="Calibri" w:hAnsi="Times New Roman"/>
          <w:bCs/>
          <w:szCs w:val="28"/>
          <w:lang w:val="pt-BR" w:eastAsia="es-ES"/>
        </w:rPr>
        <w:t>)</w:t>
      </w:r>
      <w:bookmarkEnd w:id="13"/>
      <w:bookmarkEnd w:id="14"/>
      <w:bookmarkEnd w:id="15"/>
    </w:p>
    <w:p w14:paraId="6E834054"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MS Mincho" w:hAnsi="Times New Roman"/>
          <w:szCs w:val="22"/>
          <w:lang w:val="pt-BR"/>
        </w:rPr>
      </w:pPr>
    </w:p>
    <w:p w14:paraId="6E834055"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MS Mincho" w:hAnsi="Times New Roman"/>
          <w:szCs w:val="22"/>
          <w:lang w:val="pt-BR"/>
        </w:rPr>
      </w:pPr>
    </w:p>
    <w:p w14:paraId="6E834056"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A ASSEMBLEIA GERAL,</w:t>
      </w:r>
    </w:p>
    <w:p w14:paraId="6E834057"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058"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RECONHECENDO a importância da participação das organizações da sociedade civil e outros atores sociais no fortalecimento da democracia, do desenvolvimento integral, da promoção e proteção dos direitos humanos e da segurança multidimensional em todos os Estados membros, e que essa participação nas atividades da Organização dos Estados Americanos (OEA) e no processo de Cúpulas das Américas deve ocorrer em um contexto de estreita colaboração entre os órgãos políticos e institucionais da Organização e em cumprimento ao disposto na Carta da Organização dos Estados Americanos e na resolução CP/RES. 759 (1217/99), “Diretrizes para a participação das organizações da sociedade civil nas atividades da OEA”; e</w:t>
      </w:r>
    </w:p>
    <w:p w14:paraId="6E834059"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05A" w14:textId="468D9ED8"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 xml:space="preserve">LEVANDO EM CONTA as resoluções </w:t>
      </w:r>
      <w:r w:rsidRPr="00D65A20">
        <w:rPr>
          <w:rFonts w:ascii="Times New Roman" w:hAnsi="Times New Roman"/>
          <w:szCs w:val="22"/>
          <w:lang w:val="pt-BR"/>
        </w:rPr>
        <w:t xml:space="preserve">AG/RES. </w:t>
      </w:r>
      <w:r w:rsidRPr="00D65A20">
        <w:rPr>
          <w:rFonts w:ascii="Times New Roman" w:eastAsia="MS Mincho" w:hAnsi="Times New Roman"/>
          <w:bCs/>
          <w:szCs w:val="22"/>
          <w:lang w:val="pt-BR" w:eastAsia="es-ES"/>
        </w:rPr>
        <w:t xml:space="preserve">1915 (XXXIII-O/03), </w:t>
      </w:r>
      <w:r w:rsidRPr="00D65A20">
        <w:rPr>
          <w:rFonts w:ascii="Times New Roman" w:eastAsia="Calibri" w:hAnsi="Times New Roman"/>
          <w:szCs w:val="22"/>
          <w:lang w:val="pt-BR"/>
        </w:rPr>
        <w:t xml:space="preserve">AG/RES. 2901 (XLVII-O/17), </w:t>
      </w:r>
      <w:r w:rsidRPr="00D65A20">
        <w:rPr>
          <w:rFonts w:ascii="Times New Roman" w:eastAsia="MS Mincho" w:hAnsi="Times New Roman"/>
          <w:bCs/>
          <w:szCs w:val="22"/>
          <w:lang w:val="pt-BR" w:eastAsia="es-ES"/>
        </w:rPr>
        <w:t xml:space="preserve">AG/RES. 2902 (XLVII-O/17), AG/RES. 2920 (XLVIII-O/18), AG/RES. 2924 (XLVIII-O/18), </w:t>
      </w:r>
      <w:r w:rsidR="002C7614" w:rsidRPr="00D65A20">
        <w:rPr>
          <w:rFonts w:ascii="Times New Roman" w:eastAsia="MS Mincho" w:hAnsi="Times New Roman"/>
          <w:bCs/>
          <w:szCs w:val="22"/>
          <w:lang w:val="pt-BR" w:eastAsia="es-ES"/>
        </w:rPr>
        <w:t>AG/RES. </w:t>
      </w:r>
      <w:r w:rsidR="002C7614" w:rsidRPr="00D65A20">
        <w:rPr>
          <w:rFonts w:ascii="Times New Roman" w:hAnsi="Times New Roman"/>
          <w:szCs w:val="22"/>
          <w:lang w:val="pt-BR"/>
        </w:rPr>
        <w:t xml:space="preserve">2933 (XLIX-O/19), </w:t>
      </w:r>
      <w:r w:rsidR="00BD4D0C" w:rsidRPr="00D65A20">
        <w:rPr>
          <w:rFonts w:ascii="Times New Roman" w:eastAsia="MS Mincho" w:hAnsi="Times New Roman"/>
          <w:bCs/>
          <w:szCs w:val="22"/>
          <w:lang w:val="pt-BR" w:eastAsia="es-ES"/>
        </w:rPr>
        <w:t xml:space="preserve">CP/RES. 759 (1217/99), </w:t>
      </w:r>
      <w:r w:rsidRPr="00D65A20">
        <w:rPr>
          <w:rFonts w:ascii="Times New Roman" w:eastAsia="MS Mincho" w:hAnsi="Times New Roman"/>
          <w:bCs/>
          <w:szCs w:val="22"/>
          <w:lang w:val="pt-BR" w:eastAsia="es-ES"/>
        </w:rPr>
        <w:t>CP/RES. 864 (1413/04) e todas as resoluções anteriores aprovadas sobre o tema</w:t>
      </w:r>
      <w:r w:rsidRPr="00D65A20">
        <w:rPr>
          <w:rFonts w:ascii="Times New Roman" w:eastAsia="Calibri" w:hAnsi="Times New Roman"/>
          <w:szCs w:val="22"/>
          <w:lang w:val="pt-BR"/>
        </w:rPr>
        <w:t>,</w:t>
      </w:r>
    </w:p>
    <w:p w14:paraId="6E83405B"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05C"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r w:rsidRPr="00D65A20">
        <w:rPr>
          <w:rFonts w:ascii="Times New Roman" w:eastAsia="Calibri" w:hAnsi="Times New Roman"/>
          <w:szCs w:val="22"/>
          <w:lang w:val="pt-BR"/>
        </w:rPr>
        <w:t>RESOLVE:</w:t>
      </w:r>
    </w:p>
    <w:p w14:paraId="6E83405D"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eastAsia="es-ES_tradnl"/>
        </w:rPr>
      </w:pPr>
    </w:p>
    <w:p w14:paraId="6E83405E" w14:textId="238543CF" w:rsidR="00AC5431" w:rsidRPr="00D65A20" w:rsidRDefault="00AC5431" w:rsidP="00AA4399">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pt-BR"/>
        </w:rPr>
      </w:pPr>
      <w:r w:rsidRPr="00D65A20">
        <w:rPr>
          <w:rFonts w:ascii="Times New Roman" w:eastAsia="Calibri" w:hAnsi="Times New Roman"/>
          <w:szCs w:val="22"/>
          <w:lang w:val="pt-BR"/>
        </w:rPr>
        <w:t>Reafirmar o compromisso e a disposição dos Estados membros da Organização dos Estados Americanos</w:t>
      </w:r>
      <w:r w:rsidR="00DE7377" w:rsidRPr="00D65A20">
        <w:rPr>
          <w:rFonts w:ascii="Times New Roman" w:eastAsia="Calibri" w:hAnsi="Times New Roman"/>
          <w:szCs w:val="22"/>
          <w:lang w:val="pt-BR"/>
        </w:rPr>
        <w:t xml:space="preserve"> (OEA)</w:t>
      </w:r>
      <w:r w:rsidR="00195386" w:rsidRPr="00D65A20">
        <w:rPr>
          <w:rFonts w:ascii="Times New Roman" w:eastAsia="Calibri" w:hAnsi="Times New Roman"/>
          <w:szCs w:val="22"/>
          <w:lang w:val="pt-BR"/>
        </w:rPr>
        <w:t xml:space="preserve"> de</w:t>
      </w:r>
      <w:r w:rsidRPr="00D65A20">
        <w:rPr>
          <w:rFonts w:ascii="Times New Roman" w:eastAsia="Calibri" w:hAnsi="Times New Roman"/>
          <w:szCs w:val="22"/>
          <w:lang w:val="pt-BR"/>
        </w:rPr>
        <w:t xml:space="preserve"> a) continuar fortalecendo e implementando espaços e mecanismos eficazes que gerem ações concretas para apoiar e promover ativamente o registro das organizações da sociedade civil e outros atores sociais, bem como os esforços, nos âmbitos nacional e multilateral, para que as organizações da sociedade civil e os atores sociais participem das atividades da OEA, em conformidade com as normas e regulamentos da Organização e b) continuar participando do Diálogo dos Chefes de Delegação com representantes das organizações da sociedade civil no âmbito dos períodos ordinários de sessões da Assembleia Geral e do processo de Cúpulas das Américas.</w:t>
      </w:r>
    </w:p>
    <w:p w14:paraId="6E83405F"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060"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2.</w:t>
      </w:r>
      <w:r w:rsidRPr="00D65A20">
        <w:rPr>
          <w:rFonts w:ascii="Times New Roman" w:eastAsia="Calibri" w:hAnsi="Times New Roman"/>
          <w:szCs w:val="22"/>
          <w:lang w:val="pt-BR"/>
        </w:rPr>
        <w:tab/>
        <w:t>Encarregar o Conselho Permanente, o Conselho Interamericano de Desenvolvimento Integral e a Secretaria-Geral de continuarem promovendo a implementação das estratégias, dos espaços e dos mecanismos para promover, aumentar e fortalecer a participação das organizações da sociedade civil e outros atores sociais nas Cúpulas das Américas e nas atividades da OEA.</w:t>
      </w:r>
    </w:p>
    <w:p w14:paraId="6E834061"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pt-BR"/>
        </w:rPr>
      </w:pPr>
    </w:p>
    <w:p w14:paraId="6E834062"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Cs/>
          <w:szCs w:val="22"/>
          <w:lang w:val="pt-BR" w:eastAsia="es-ES"/>
        </w:rPr>
      </w:pPr>
      <w:r w:rsidRPr="00D65A20">
        <w:rPr>
          <w:rFonts w:ascii="Times New Roman" w:eastAsia="Calibri" w:hAnsi="Times New Roman"/>
          <w:bCs/>
          <w:szCs w:val="22"/>
          <w:lang w:val="pt-BR" w:eastAsia="es-ES"/>
        </w:rPr>
        <w:t>3.</w:t>
      </w:r>
      <w:r w:rsidRPr="00D65A20">
        <w:rPr>
          <w:rFonts w:ascii="Times New Roman" w:eastAsia="Calibri" w:hAnsi="Times New Roman"/>
          <w:bCs/>
          <w:szCs w:val="22"/>
          <w:lang w:val="pt-BR" w:eastAsia="es-ES"/>
        </w:rPr>
        <w:tab/>
        <w:t xml:space="preserve">Encarregar a Secretaria-Geral de continuar convidando os povos indígenas e as comunidades afrodescendentes dos Estados membros, ou seus representantes, para participar do Diálogo dos Chefes de Delegação com representantes das organizações da sociedade civil e outros </w:t>
      </w:r>
      <w:r w:rsidRPr="00D65A20">
        <w:rPr>
          <w:rFonts w:ascii="Times New Roman" w:eastAsia="Calibri" w:hAnsi="Times New Roman"/>
          <w:bCs/>
          <w:szCs w:val="22"/>
          <w:lang w:val="pt-BR" w:eastAsia="es-ES"/>
        </w:rPr>
        <w:lastRenderedPageBreak/>
        <w:t xml:space="preserve">atores sociais no âmbito dos períodos ordinários de sessões da Assembleia Geral, a fim de que esses representantes formulem recomendações e propostas de iniciativas relacionadas com o tema da Assembleia Geral. </w:t>
      </w:r>
      <w:r w:rsidRPr="00D65A20">
        <w:rPr>
          <w:rFonts w:ascii="Times New Roman" w:eastAsia="Calibri" w:hAnsi="Times New Roman"/>
          <w:b/>
          <w:i/>
          <w:szCs w:val="22"/>
          <w:lang w:val="pt-BR"/>
        </w:rPr>
        <w:t xml:space="preserve"> </w:t>
      </w:r>
    </w:p>
    <w:p w14:paraId="6E834063"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064" w14:textId="4A87209C"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Cs/>
          <w:szCs w:val="22"/>
          <w:lang w:val="pt-BR" w:eastAsia="es-ES"/>
        </w:rPr>
      </w:pPr>
      <w:r w:rsidRPr="00D65A20">
        <w:rPr>
          <w:rFonts w:ascii="Times New Roman" w:eastAsia="Calibri" w:hAnsi="Times New Roman"/>
          <w:szCs w:val="22"/>
          <w:lang w:val="pt-BR"/>
        </w:rPr>
        <w:t>4.</w:t>
      </w:r>
      <w:r w:rsidRPr="00D65A20">
        <w:rPr>
          <w:rFonts w:ascii="Times New Roman" w:eastAsia="Calibri" w:hAnsi="Times New Roman"/>
          <w:szCs w:val="22"/>
          <w:lang w:val="pt-BR"/>
        </w:rPr>
        <w:tab/>
        <w:t>Incumbir a Secretaria-Geral de continuar apoiando</w:t>
      </w:r>
      <w:r w:rsidR="00DE3E39" w:rsidRPr="00D65A20">
        <w:rPr>
          <w:rFonts w:ascii="Times New Roman" w:eastAsia="Calibri" w:hAnsi="Times New Roman"/>
          <w:szCs w:val="22"/>
          <w:lang w:val="pt-BR"/>
        </w:rPr>
        <w:t>, quando assim solicitado,</w:t>
      </w:r>
      <w:r w:rsidRPr="00D65A20">
        <w:rPr>
          <w:rFonts w:ascii="Times New Roman" w:eastAsia="Calibri" w:hAnsi="Times New Roman"/>
          <w:szCs w:val="22"/>
          <w:lang w:val="pt-BR"/>
        </w:rPr>
        <w:t xml:space="preserve"> os esforços dos Estados membros para aumentar e fortalecer a capacidade institucional dos respectivos governos de receber, integrar e incorporar as contribuições e sugestões da sociedade civil e </w:t>
      </w:r>
      <w:r w:rsidR="00195386" w:rsidRPr="00D65A20">
        <w:rPr>
          <w:rFonts w:ascii="Times New Roman" w:eastAsia="Calibri" w:hAnsi="Times New Roman"/>
          <w:szCs w:val="22"/>
          <w:lang w:val="pt-BR"/>
        </w:rPr>
        <w:t xml:space="preserve">outros </w:t>
      </w:r>
      <w:r w:rsidRPr="00D65A20">
        <w:rPr>
          <w:rFonts w:ascii="Times New Roman" w:eastAsia="Calibri" w:hAnsi="Times New Roman"/>
          <w:szCs w:val="22"/>
          <w:lang w:val="pt-BR"/>
        </w:rPr>
        <w:t xml:space="preserve">atores sociais. </w:t>
      </w:r>
      <w:r w:rsidRPr="00D65A20">
        <w:rPr>
          <w:rFonts w:ascii="Times New Roman" w:eastAsia="Calibri" w:hAnsi="Times New Roman"/>
          <w:b/>
          <w:i/>
          <w:szCs w:val="22"/>
          <w:lang w:val="pt-BR"/>
        </w:rPr>
        <w:t xml:space="preserve"> </w:t>
      </w:r>
    </w:p>
    <w:p w14:paraId="6E834065"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bCs/>
          <w:szCs w:val="22"/>
          <w:lang w:val="pt-BR" w:eastAsia="es-ES"/>
        </w:rPr>
      </w:pPr>
    </w:p>
    <w:p w14:paraId="6E834066" w14:textId="3CFAD44B"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5.</w:t>
      </w:r>
      <w:r w:rsidRPr="00D65A20">
        <w:rPr>
          <w:rFonts w:ascii="Times New Roman" w:eastAsia="Calibri" w:hAnsi="Times New Roman"/>
          <w:szCs w:val="22"/>
          <w:lang w:val="pt-BR"/>
        </w:rPr>
        <w:tab/>
        <w:t xml:space="preserve">Incentivar todos os Estados membros, Observadores Permanentes e outros doadores, segundo </w:t>
      </w:r>
      <w:r w:rsidR="00195386" w:rsidRPr="00D65A20">
        <w:rPr>
          <w:rFonts w:ascii="Times New Roman" w:eastAsia="Calibri" w:hAnsi="Times New Roman"/>
          <w:szCs w:val="22"/>
          <w:lang w:val="pt-BR"/>
        </w:rPr>
        <w:t>se define no</w:t>
      </w:r>
      <w:r w:rsidRPr="00D65A20">
        <w:rPr>
          <w:rFonts w:ascii="Times New Roman" w:eastAsia="Calibri" w:hAnsi="Times New Roman"/>
          <w:szCs w:val="22"/>
          <w:lang w:val="pt-BR"/>
        </w:rPr>
        <w:t xml:space="preserve"> artigo 74 das Normas Gerais para o Funcionamento da Secretaria-Geral e demais normas e regulamentos da Organização, a que considerem contribuir para o Fundo Específico para Financiar a Participação das Organizações da Sociedade Civil nas Atividades da OEA e no processo de Cúpulas das Américas, criado mediante a resolução CP/RES. 864 (1413/04), a fim de manter e promover a participação eficaz de organizações da sociedade civil e outros atores sociais nas atividades da Organização, em conformidade com as metas estabelecidas pela Assembleia Geral e pelos Chefes de Estado e de Governo no processo de Cúpulas das Américas, inclusive o Diálogo dos Chefes de Delegação dos Estados membros com o Secretário-Geral e os representantes das organizações da sociedade civil.</w:t>
      </w:r>
    </w:p>
    <w:p w14:paraId="6E834067"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pt-BR"/>
        </w:rPr>
      </w:pPr>
    </w:p>
    <w:p w14:paraId="6E834068"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bookmarkStart w:id="16" w:name="_Toc517194485"/>
      <w:bookmarkStart w:id="17" w:name="_Toc517261102"/>
      <w:r w:rsidRPr="00D65A20">
        <w:rPr>
          <w:rFonts w:ascii="Times New Roman" w:eastAsia="Calibri" w:hAnsi="Times New Roman"/>
          <w:szCs w:val="22"/>
          <w:lang w:val="pt-BR"/>
        </w:rPr>
        <w:t>6.</w:t>
      </w:r>
      <w:r w:rsidRPr="00D65A20">
        <w:rPr>
          <w:rFonts w:ascii="Times New Roman" w:eastAsia="Calibri" w:hAnsi="Times New Roman"/>
          <w:szCs w:val="22"/>
          <w:lang w:val="pt-BR"/>
        </w:rPr>
        <w:tab/>
        <w:t>Encarregar a Secretaria-Geral de identificar os recursos humanos necessários, a fim de dar cumprimento aos mandatos atribuídos pelos Estados membros referentes à Seção de Relações com as Organizações da Sociedade Civil da Secretaria de Acesso a Direitos e Equidade</w:t>
      </w:r>
      <w:bookmarkEnd w:id="16"/>
      <w:bookmarkEnd w:id="17"/>
      <w:r w:rsidRPr="00D65A20">
        <w:rPr>
          <w:rFonts w:ascii="Times New Roman" w:eastAsia="Calibri" w:hAnsi="Times New Roman"/>
          <w:szCs w:val="22"/>
          <w:lang w:val="pt-BR"/>
        </w:rPr>
        <w:t>.</w:t>
      </w:r>
    </w:p>
    <w:p w14:paraId="6E834069"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pt-BR"/>
        </w:rPr>
      </w:pPr>
      <w:r w:rsidRPr="00D65A20">
        <w:rPr>
          <w:rFonts w:ascii="Times New Roman" w:eastAsia="Calibri" w:hAnsi="Times New Roman"/>
          <w:szCs w:val="22"/>
          <w:lang w:val="pt-BR"/>
        </w:rPr>
        <w:br w:type="page"/>
      </w:r>
    </w:p>
    <w:p w14:paraId="6E83406A"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sz w:val="20"/>
          <w:lang w:val="pt-BR"/>
        </w:rPr>
      </w:pPr>
      <w:r w:rsidRPr="00D65A20">
        <w:rPr>
          <w:rFonts w:ascii="Times New Roman" w:eastAsia="Calibri" w:hAnsi="Times New Roman"/>
          <w:sz w:val="20"/>
          <w:lang w:val="pt-BR"/>
        </w:rPr>
        <w:lastRenderedPageBreak/>
        <w:t>NOTA</w:t>
      </w:r>
      <w:r w:rsidR="00523713" w:rsidRPr="00D65A20">
        <w:rPr>
          <w:rFonts w:ascii="Times New Roman" w:eastAsia="Calibri" w:hAnsi="Times New Roman"/>
          <w:sz w:val="20"/>
          <w:lang w:val="pt-BR"/>
        </w:rPr>
        <w:t>S</w:t>
      </w:r>
      <w:r w:rsidRPr="00D65A20">
        <w:rPr>
          <w:rFonts w:ascii="Times New Roman" w:eastAsia="Calibri" w:hAnsi="Times New Roman"/>
          <w:sz w:val="20"/>
          <w:lang w:val="pt-BR"/>
        </w:rPr>
        <w:t xml:space="preserve"> DE RODAPÉ</w:t>
      </w:r>
    </w:p>
    <w:p w14:paraId="6E83406B"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 w:val="20"/>
          <w:lang w:val="pt-BR"/>
        </w:rPr>
      </w:pPr>
    </w:p>
    <w:p w14:paraId="6E83406C" w14:textId="77777777" w:rsidR="00AC5431" w:rsidRPr="00D65A20" w:rsidRDefault="00AC54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 w:val="20"/>
          <w:lang w:val="pt-BR"/>
        </w:rPr>
      </w:pPr>
    </w:p>
    <w:p w14:paraId="6E83406D" w14:textId="77777777" w:rsidR="00D03E89" w:rsidRPr="00D65A20" w:rsidRDefault="00AC5431" w:rsidP="00D03E89">
      <w:pPr>
        <w:widowControl/>
        <w:ind w:firstLine="720"/>
        <w:rPr>
          <w:rFonts w:ascii="Times New Roman" w:hAnsi="Times New Roman"/>
          <w:sz w:val="20"/>
          <w:szCs w:val="22"/>
          <w:lang w:val="pt-BR"/>
        </w:rPr>
      </w:pPr>
      <w:r w:rsidRPr="00D65A20">
        <w:rPr>
          <w:rFonts w:ascii="Times New Roman" w:hAnsi="Times New Roman"/>
          <w:sz w:val="20"/>
          <w:lang w:val="pt-BR"/>
        </w:rPr>
        <w:t>1.</w:t>
      </w:r>
      <w:r w:rsidRPr="00D65A20">
        <w:rPr>
          <w:rFonts w:ascii="Times New Roman" w:hAnsi="Times New Roman"/>
          <w:sz w:val="20"/>
          <w:lang w:val="pt-BR"/>
        </w:rPr>
        <w:tab/>
      </w:r>
      <w:r w:rsidR="00D03E89" w:rsidRPr="00D65A20">
        <w:rPr>
          <w:rFonts w:ascii="Times New Roman" w:hAnsi="Times New Roman"/>
          <w:sz w:val="20"/>
          <w:lang w:val="pt-BR"/>
        </w:rPr>
        <w:t>(...)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6E83406E" w14:textId="77777777" w:rsidR="00D03E89" w:rsidRPr="00D65A20" w:rsidRDefault="00D03E89" w:rsidP="00D03E89">
      <w:pPr>
        <w:widowControl/>
        <w:rPr>
          <w:rFonts w:ascii="Times New Roman" w:hAnsi="Times New Roman"/>
          <w:sz w:val="20"/>
          <w:lang w:val="pt-BR"/>
        </w:rPr>
      </w:pPr>
    </w:p>
    <w:p w14:paraId="6E83406F" w14:textId="77777777" w:rsidR="00D03E89" w:rsidRPr="00D65A20" w:rsidRDefault="00D03E89" w:rsidP="00D03E89">
      <w:pPr>
        <w:widowControl/>
        <w:ind w:firstLine="720"/>
        <w:rPr>
          <w:rFonts w:ascii="Times New Roman" w:hAnsi="Times New Roman"/>
          <w:sz w:val="20"/>
          <w:lang w:val="pt-BR"/>
        </w:rPr>
      </w:pPr>
      <w:r w:rsidRPr="00D65A20">
        <w:rPr>
          <w:rFonts w:ascii="Times New Roman" w:hAnsi="Times New Roman"/>
          <w:sz w:val="20"/>
          <w:lang w:val="pt-BR"/>
        </w:rPr>
        <w:t xml:space="preserve">Antígua e Barbuda não apoiou a resolução CP/RES. 1124 (2217/19), de 9 de abril de 2019, cuja intenção era nomear o Senhor Gustavo Tarre como Representante da Assembleia Nacional junto à OEA, e não aceitou as credenciais das autoridades que pretendiam representar a República Bolivariana da Venezuela no Quadragésimo Nono e no Quinquagésimo Período Ordinário de Sessões da Assembleia Geral. </w:t>
      </w:r>
    </w:p>
    <w:p w14:paraId="6E834070" w14:textId="77777777" w:rsidR="00D03E89" w:rsidRPr="00D65A20" w:rsidRDefault="00D03E89" w:rsidP="00D03E89">
      <w:pPr>
        <w:widowControl/>
        <w:rPr>
          <w:rFonts w:ascii="Times New Roman" w:hAnsi="Times New Roman"/>
          <w:sz w:val="20"/>
          <w:lang w:val="pt-BR"/>
        </w:rPr>
      </w:pPr>
    </w:p>
    <w:p w14:paraId="6E834071" w14:textId="77777777" w:rsidR="00D03E89" w:rsidRPr="00D65A20" w:rsidRDefault="00D03E89" w:rsidP="00D03E8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pt-BR"/>
        </w:rPr>
      </w:pPr>
      <w:r w:rsidRPr="00D65A20">
        <w:rPr>
          <w:rFonts w:ascii="Times New Roman" w:hAnsi="Times New Roman"/>
          <w:sz w:val="20"/>
          <w:lang w:val="pt-BR"/>
        </w:rPr>
        <w:t>Desse modo, Antígua e Barbuda informa a todos os Estados membros e à Secretaria-Geral da Organização dos Estados Americanos que, até novo aviso, assim como fez no Quadragésimo Nono Período Ordinário de Sessões da Assembleia Geral, não se considerará vinculado a nenhuma declaração ou resolução emanada do Quinquagésimo Período Ordinário de Sessões da Assembleia Geral, nem a quaisquer futuras declarações ou resoluções de qualquer Conselho ou órgão da Organização que incluam a participação de qualquer pessoa ou entidade pretensamente falando pela República Bolivariana da Venezuela ou agindo em seu nome, e nas quais se alcancem 18 votos com a participação de um pretenso representante da República Bolivariana da Venezuela.</w:t>
      </w:r>
    </w:p>
    <w:p w14:paraId="6E834072" w14:textId="0063CAA2" w:rsidR="00CB0E24" w:rsidRPr="00D65A20" w:rsidRDefault="00CB0E24" w:rsidP="00377CA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24"/>
          <w:szCs w:val="24"/>
          <w:lang w:val="pt-BR"/>
        </w:rPr>
      </w:pPr>
    </w:p>
    <w:p w14:paraId="6E834073" w14:textId="0F61542A" w:rsidR="00714959" w:rsidRPr="00D65A20" w:rsidRDefault="00714959" w:rsidP="00714959">
      <w:pPr>
        <w:rPr>
          <w:rStyle w:val="FootnoteReference"/>
          <w:rFonts w:ascii="Times New Roman" w:hAnsi="Times New Roman"/>
          <w:sz w:val="20"/>
          <w:lang w:val="pt-BR"/>
        </w:rPr>
      </w:pPr>
      <w:r w:rsidRPr="00D65A20">
        <w:rPr>
          <w:rFonts w:ascii="Times New Roman" w:hAnsi="Times New Roman"/>
          <w:sz w:val="20"/>
          <w:lang w:val="pt-BR"/>
        </w:rPr>
        <w:tab/>
        <w:t xml:space="preserve">2. </w:t>
      </w:r>
      <w:r w:rsidR="00377CA8">
        <w:rPr>
          <w:rFonts w:ascii="Times New Roman" w:hAnsi="Times New Roman"/>
          <w:sz w:val="20"/>
          <w:lang w:val="pt-BR"/>
        </w:rPr>
        <w:tab/>
      </w:r>
      <w:r w:rsidRPr="00D65A20">
        <w:rPr>
          <w:rFonts w:ascii="Times New Roman" w:hAnsi="Times New Roman"/>
          <w:sz w:val="20"/>
          <w:lang w:val="pt-BR"/>
        </w:rPr>
        <w:t>(...) Quinquagésimo Período Ordinário de Sessões da Assembleia Geral.</w:t>
      </w:r>
    </w:p>
    <w:p w14:paraId="6E834074" w14:textId="77777777" w:rsidR="00CB0E24" w:rsidRPr="00D65A20" w:rsidRDefault="00CB0E24" w:rsidP="00AA4399">
      <w:pPr>
        <w:widowControl/>
        <w:rPr>
          <w:rFonts w:ascii="Times New Roman" w:hAnsi="Times New Roman"/>
          <w:lang w:val="pt-BR" w:eastAsia="es-ES"/>
        </w:rPr>
      </w:pPr>
    </w:p>
    <w:p w14:paraId="6E834075" w14:textId="77777777" w:rsidR="00CB0E24" w:rsidRPr="00D65A20" w:rsidRDefault="00CB0E24"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lang w:val="pt-BR"/>
        </w:rPr>
      </w:pPr>
    </w:p>
    <w:p w14:paraId="6E834076" w14:textId="77777777" w:rsidR="00841D65" w:rsidRPr="00D65A20" w:rsidRDefault="00841D65" w:rsidP="00AA4399">
      <w:pPr>
        <w:widowControl/>
        <w:rPr>
          <w:rFonts w:ascii="Times New Roman" w:hAnsi="Times New Roman"/>
          <w:lang w:val="pt-BR"/>
        </w:rPr>
        <w:sectPr w:rsidR="00841D65" w:rsidRPr="00D65A20" w:rsidSect="0037138D">
          <w:footerReference w:type="default" r:id="rId20"/>
          <w:headerReference w:type="first" r:id="rId21"/>
          <w:footnotePr>
            <w:numRestart w:val="eachSect"/>
          </w:footnotePr>
          <w:type w:val="oddPage"/>
          <w:pgSz w:w="12240" w:h="15840" w:code="1"/>
          <w:pgMar w:top="2160" w:right="1570" w:bottom="1296" w:left="1699" w:header="1296" w:footer="720" w:gutter="0"/>
          <w:pgNumType w:fmt="numberInDash"/>
          <w:cols w:space="720"/>
          <w:titlePg/>
          <w:docGrid w:linePitch="360"/>
        </w:sectPr>
      </w:pPr>
    </w:p>
    <w:p w14:paraId="6E834077" w14:textId="77777777" w:rsidR="00A544BF" w:rsidRPr="00D65A20" w:rsidRDefault="009260F8" w:rsidP="00AA4399">
      <w:pPr>
        <w:widowControl/>
        <w:jc w:val="center"/>
        <w:rPr>
          <w:rStyle w:val="Heading1Char"/>
          <w:rFonts w:ascii="Times New Roman" w:eastAsia="Calibri" w:hAnsi="Times New Roman"/>
          <w:lang w:val="pt-BR"/>
        </w:rPr>
      </w:pPr>
      <w:bookmarkStart w:id="18" w:name="_Toc56526462"/>
      <w:bookmarkStart w:id="19" w:name="_Toc56526672"/>
      <w:r w:rsidRPr="00D65A20">
        <w:rPr>
          <w:rStyle w:val="Heading1Char"/>
          <w:rFonts w:ascii="Times New Roman" w:eastAsia="Calibri" w:hAnsi="Times New Roman"/>
          <w:lang w:val="pt-BR"/>
        </w:rPr>
        <w:lastRenderedPageBreak/>
        <w:t>AG/RES. 2950 (L-O/20)</w:t>
      </w:r>
      <w:bookmarkEnd w:id="18"/>
      <w:bookmarkEnd w:id="19"/>
    </w:p>
    <w:p w14:paraId="6E834078" w14:textId="77777777" w:rsidR="00A544BF" w:rsidRPr="00D65A20" w:rsidRDefault="00A544BF" w:rsidP="00AA4399">
      <w:pPr>
        <w:widowControl/>
        <w:jc w:val="center"/>
        <w:rPr>
          <w:rFonts w:ascii="Times New Roman" w:eastAsia="Calibri" w:hAnsi="Times New Roman"/>
          <w:szCs w:val="22"/>
          <w:lang w:val="pt-BR" w:eastAsia="es-ES"/>
        </w:rPr>
      </w:pPr>
    </w:p>
    <w:p w14:paraId="6E834079" w14:textId="77777777" w:rsidR="0011327F" w:rsidRPr="00D65A20" w:rsidRDefault="0011327F" w:rsidP="00A544BF">
      <w:pPr>
        <w:pStyle w:val="Heading1"/>
        <w:rPr>
          <w:lang w:val="pt-BR"/>
        </w:rPr>
      </w:pPr>
      <w:bookmarkStart w:id="20" w:name="_Toc56526463"/>
      <w:bookmarkStart w:id="21" w:name="_Toc56526673"/>
      <w:r w:rsidRPr="00D65A20">
        <w:rPr>
          <w:lang w:val="pt-BR"/>
        </w:rPr>
        <w:t>PROMOÇÃO DA SEGURANÇA HEMISFÉRICA: UM ENFOQUE MULTIDIMENSIONAL</w:t>
      </w:r>
      <w:r w:rsidRPr="00D65A20">
        <w:rPr>
          <w:u w:val="single"/>
          <w:vertAlign w:val="superscript"/>
          <w:lang w:val="pt-BR"/>
        </w:rPr>
        <w:footnoteReference w:id="11"/>
      </w:r>
      <w:r w:rsidRPr="00377CA8">
        <w:rPr>
          <w:vertAlign w:val="superscript"/>
          <w:lang w:val="pt-BR"/>
        </w:rPr>
        <w:t>/</w:t>
      </w:r>
      <w:bookmarkEnd w:id="20"/>
      <w:bookmarkEnd w:id="21"/>
      <w:r w:rsidR="00714959" w:rsidRPr="00D65A20">
        <w:rPr>
          <w:rStyle w:val="FootnoteReference"/>
          <w:u w:val="single"/>
          <w:vertAlign w:val="superscript"/>
          <w:lang w:val="pt-BR"/>
        </w:rPr>
        <w:footnoteReference w:id="12"/>
      </w:r>
      <w:r w:rsidR="00714959" w:rsidRPr="00D65A20">
        <w:rPr>
          <w:vertAlign w:val="superscript"/>
          <w:lang w:val="pt-BR"/>
        </w:rPr>
        <w:t>/</w:t>
      </w:r>
    </w:p>
    <w:p w14:paraId="6E83407A" w14:textId="77777777" w:rsidR="0011327F" w:rsidRPr="00D65A20" w:rsidRDefault="0011327F" w:rsidP="00AA4399">
      <w:pPr>
        <w:widowControl/>
        <w:rPr>
          <w:rFonts w:ascii="Times New Roman" w:hAnsi="Times New Roman"/>
          <w:szCs w:val="22"/>
          <w:lang w:val="pt-BR"/>
        </w:rPr>
      </w:pPr>
    </w:p>
    <w:p w14:paraId="6E83407B" w14:textId="77777777" w:rsidR="0011327F" w:rsidRPr="00D65A20" w:rsidRDefault="0011327F" w:rsidP="00AA4399">
      <w:pPr>
        <w:widowControl/>
        <w:jc w:val="center"/>
        <w:rPr>
          <w:rFonts w:ascii="Times New Roman" w:hAnsi="Times New Roman"/>
          <w:szCs w:val="22"/>
          <w:lang w:val="pt-BR"/>
        </w:rPr>
      </w:pPr>
      <w:r w:rsidRPr="00D65A20">
        <w:rPr>
          <w:rFonts w:ascii="Times New Roman" w:hAnsi="Times New Roman"/>
          <w:szCs w:val="22"/>
          <w:lang w:val="pt-BR"/>
        </w:rPr>
        <w:t>(Aprovado na quarta sessão plenária, realizada em 21 de outubro de 2020)</w:t>
      </w:r>
    </w:p>
    <w:p w14:paraId="6E83407C" w14:textId="77777777" w:rsidR="0011327F" w:rsidRPr="00D65A20" w:rsidRDefault="0011327F" w:rsidP="00AA4399">
      <w:pPr>
        <w:widowControl/>
        <w:rPr>
          <w:rFonts w:ascii="Times New Roman" w:hAnsi="Times New Roman"/>
          <w:szCs w:val="22"/>
          <w:lang w:val="pt-BR"/>
        </w:rPr>
      </w:pPr>
    </w:p>
    <w:p w14:paraId="6E83407D" w14:textId="77777777" w:rsidR="0011327F" w:rsidRPr="00D65A20" w:rsidRDefault="0011327F" w:rsidP="00AA4399">
      <w:pPr>
        <w:widowControl/>
        <w:jc w:val="left"/>
        <w:rPr>
          <w:rFonts w:ascii="Times New Roman" w:hAnsi="Times New Roman"/>
          <w:szCs w:val="22"/>
          <w:lang w:val="pt-BR"/>
        </w:rPr>
      </w:pPr>
    </w:p>
    <w:p w14:paraId="6E83407E" w14:textId="77777777" w:rsidR="0011327F" w:rsidRPr="00D65A20" w:rsidRDefault="0011327F" w:rsidP="00AA4399">
      <w:pPr>
        <w:widowControl/>
        <w:rPr>
          <w:rFonts w:ascii="Times New Roman" w:hAnsi="Times New Roman"/>
          <w:color w:val="000000"/>
          <w:szCs w:val="22"/>
          <w:lang w:val="pt-BR"/>
        </w:rPr>
      </w:pPr>
      <w:r w:rsidRPr="00D65A20">
        <w:rPr>
          <w:rFonts w:ascii="Times New Roman" w:hAnsi="Times New Roman"/>
          <w:color w:val="000000"/>
          <w:szCs w:val="22"/>
          <w:lang w:val="pt-BR"/>
        </w:rPr>
        <w:tab/>
        <w:t>A ASSEMBLEIA GERAL,</w:t>
      </w:r>
    </w:p>
    <w:p w14:paraId="6E83407F" w14:textId="77777777" w:rsidR="0011327F" w:rsidRPr="00D65A20" w:rsidRDefault="0011327F" w:rsidP="00AA4399">
      <w:pPr>
        <w:widowControl/>
        <w:rPr>
          <w:rFonts w:ascii="Times New Roman" w:hAnsi="Times New Roman"/>
          <w:color w:val="000000"/>
          <w:szCs w:val="22"/>
          <w:lang w:val="pt-BR"/>
        </w:rPr>
      </w:pPr>
    </w:p>
    <w:p w14:paraId="6E834080" w14:textId="20DF1C61" w:rsidR="0011327F" w:rsidRPr="00D65A20" w:rsidRDefault="0011327F" w:rsidP="00AA4399">
      <w:pPr>
        <w:widowControl/>
        <w:rPr>
          <w:rFonts w:ascii="Times New Roman" w:eastAsia="MS Mincho" w:hAnsi="Times New Roman"/>
          <w:color w:val="000000"/>
          <w:szCs w:val="22"/>
          <w:lang w:val="pt-BR" w:eastAsia="es-ES_tradnl"/>
        </w:rPr>
      </w:pPr>
      <w:r w:rsidRPr="00D65A20">
        <w:rPr>
          <w:rFonts w:ascii="Times New Roman" w:hAnsi="Times New Roman"/>
          <w:color w:val="000000"/>
          <w:szCs w:val="22"/>
          <w:lang w:val="pt-BR"/>
        </w:rPr>
        <w:tab/>
        <w:t>TENDO VISTO o “Relatório Anual do Conselho Permanente à Assembleia Geral ju</w:t>
      </w:r>
      <w:r w:rsidR="00964B6C">
        <w:rPr>
          <w:rFonts w:ascii="Times New Roman" w:hAnsi="Times New Roman"/>
          <w:color w:val="000000"/>
          <w:szCs w:val="22"/>
          <w:lang w:val="pt-BR"/>
        </w:rPr>
        <w:t>l</w:t>
      </w:r>
      <w:r w:rsidRPr="00D65A20">
        <w:rPr>
          <w:rFonts w:ascii="Times New Roman" w:hAnsi="Times New Roman"/>
          <w:color w:val="000000"/>
          <w:szCs w:val="22"/>
          <w:lang w:val="pt-BR"/>
        </w:rPr>
        <w:t>ho 2019</w:t>
      </w:r>
      <w:r w:rsidR="00624C79" w:rsidRPr="00D65A20">
        <w:rPr>
          <w:rFonts w:ascii="Times New Roman" w:hAnsi="Times New Roman"/>
          <w:color w:val="000000"/>
          <w:szCs w:val="22"/>
          <w:lang w:val="pt-BR"/>
        </w:rPr>
        <w:t>–</w:t>
      </w:r>
      <w:r w:rsidRPr="00D65A20">
        <w:rPr>
          <w:rFonts w:ascii="Times New Roman" w:hAnsi="Times New Roman"/>
          <w:color w:val="000000"/>
          <w:szCs w:val="22"/>
          <w:lang w:val="pt-BR"/>
        </w:rPr>
        <w:t>outubro 2020” (</w:t>
      </w:r>
      <w:hyperlink r:id="rId22" w:history="1">
        <w:r w:rsidRPr="00D65A20">
          <w:rPr>
            <w:rFonts w:ascii="Times New Roman" w:hAnsi="Times New Roman"/>
            <w:color w:val="0000FF"/>
            <w:u w:val="single"/>
            <w:lang w:val="pt-BR"/>
          </w:rPr>
          <w:t>AG/doc.5691/20 add. 1</w:t>
        </w:r>
      </w:hyperlink>
      <w:r w:rsidRPr="00D65A20">
        <w:rPr>
          <w:rFonts w:ascii="Times New Roman" w:hAnsi="Times New Roman"/>
          <w:color w:val="000000"/>
          <w:szCs w:val="22"/>
          <w:lang w:val="pt-BR"/>
        </w:rPr>
        <w:t>), em especial a seção referente às atividades da Comissão de Segurança Hemisférica;</w:t>
      </w:r>
    </w:p>
    <w:p w14:paraId="6E834081" w14:textId="77777777" w:rsidR="0011327F" w:rsidRPr="00D65A20" w:rsidRDefault="0011327F" w:rsidP="00AA4399">
      <w:pPr>
        <w:widowControl/>
        <w:rPr>
          <w:rFonts w:ascii="Times New Roman" w:hAnsi="Times New Roman"/>
          <w:color w:val="000000"/>
          <w:szCs w:val="22"/>
          <w:lang w:val="pt-BR"/>
        </w:rPr>
      </w:pPr>
    </w:p>
    <w:p w14:paraId="6E834082" w14:textId="77777777" w:rsidR="0011327F" w:rsidRPr="00D65A20" w:rsidRDefault="0011327F" w:rsidP="00AA4399">
      <w:pPr>
        <w:widowControl/>
        <w:rPr>
          <w:rFonts w:ascii="Times New Roman" w:hAnsi="Times New Roman"/>
          <w:color w:val="000000"/>
          <w:szCs w:val="22"/>
          <w:lang w:val="pt-BR"/>
        </w:rPr>
      </w:pPr>
      <w:r w:rsidRPr="00D65A20">
        <w:rPr>
          <w:rFonts w:ascii="Times New Roman" w:hAnsi="Times New Roman"/>
          <w:color w:val="000000"/>
          <w:szCs w:val="22"/>
          <w:lang w:val="pt-BR"/>
        </w:rPr>
        <w:tab/>
        <w:t>REAFIRMANDO o compromisso de promover e fortalecer a paz no Hemisfério, com pleno respeito à soberania de cada Estado e ao Direito Internacional, e em conformidade com a legislação interna de cada país, os princípios e valores solidários, as perspectivas e responsabilidades comuns e as medidas de cooperação articuladas na Carta da Organização dos Estados Americanos e na Declaração sobre Segurança nas Américas;</w:t>
      </w:r>
    </w:p>
    <w:p w14:paraId="6E834083" w14:textId="77777777" w:rsidR="0011327F" w:rsidRPr="00D65A20" w:rsidRDefault="0011327F" w:rsidP="00AA4399">
      <w:pPr>
        <w:widowControl/>
        <w:rPr>
          <w:rFonts w:ascii="Times New Roman" w:hAnsi="Times New Roman"/>
          <w:color w:val="000000"/>
          <w:szCs w:val="22"/>
          <w:lang w:val="pt-BR"/>
        </w:rPr>
      </w:pPr>
    </w:p>
    <w:p w14:paraId="6E834084" w14:textId="40057FCE" w:rsidR="0011327F" w:rsidRPr="00D65A20" w:rsidRDefault="0011327F" w:rsidP="00AA4399">
      <w:pPr>
        <w:widowControl/>
        <w:rPr>
          <w:rFonts w:ascii="Times New Roman" w:hAnsi="Times New Roman"/>
          <w:szCs w:val="22"/>
          <w:lang w:val="pt-BR"/>
        </w:rPr>
      </w:pPr>
      <w:r w:rsidRPr="00D65A20">
        <w:rPr>
          <w:rFonts w:ascii="Times New Roman" w:hAnsi="Times New Roman"/>
          <w:color w:val="000000"/>
          <w:szCs w:val="22"/>
          <w:lang w:val="pt-BR"/>
        </w:rPr>
        <w:tab/>
      </w:r>
      <w:r w:rsidRPr="00D65A20">
        <w:rPr>
          <w:rFonts w:ascii="Times New Roman" w:hAnsi="Times New Roman"/>
          <w:szCs w:val="22"/>
          <w:lang w:val="pt-BR"/>
        </w:rPr>
        <w:t xml:space="preserve">LEVANDO EM CONTA o impacto sem precedentes da </w:t>
      </w:r>
      <w:r w:rsidR="00877D54" w:rsidRPr="00D65A20">
        <w:rPr>
          <w:rFonts w:ascii="Times New Roman" w:hAnsi="Times New Roman"/>
          <w:szCs w:val="22"/>
          <w:lang w:val="pt-BR"/>
        </w:rPr>
        <w:t>pandemia de</w:t>
      </w:r>
      <w:r w:rsidRPr="00D65A20">
        <w:rPr>
          <w:rFonts w:ascii="Times New Roman" w:hAnsi="Times New Roman"/>
          <w:szCs w:val="22"/>
          <w:lang w:val="pt-BR"/>
        </w:rPr>
        <w:t xml:space="preserve"> covid-19 </w:t>
      </w:r>
      <w:r w:rsidR="001927C9" w:rsidRPr="00D65A20">
        <w:rPr>
          <w:rFonts w:ascii="Times New Roman" w:hAnsi="Times New Roman"/>
          <w:szCs w:val="22"/>
          <w:lang w:val="pt-BR"/>
        </w:rPr>
        <w:t xml:space="preserve">na saúde, segurança e bem-estar dos </w:t>
      </w:r>
      <w:r w:rsidRPr="00D65A20">
        <w:rPr>
          <w:rFonts w:ascii="Times New Roman" w:hAnsi="Times New Roman"/>
          <w:szCs w:val="22"/>
          <w:lang w:val="pt-BR"/>
        </w:rPr>
        <w:t>povos das Américas e reafirmando a importância da Organização dos Estados Americanos (OEA) para contribuir aos esforços nacionais e regionais voltados para a redução dos impactos da pandemia na segurança hemisférica, com base em uma perspectiva multidimensional</w:t>
      </w:r>
      <w:r w:rsidRPr="00D65A20">
        <w:rPr>
          <w:rFonts w:ascii="Times New Roman" w:hAnsi="Times New Roman"/>
          <w:color w:val="000000"/>
          <w:szCs w:val="22"/>
          <w:lang w:val="pt-BR"/>
        </w:rPr>
        <w:t>;</w:t>
      </w:r>
      <w:r w:rsidRPr="00D65A20">
        <w:rPr>
          <w:rFonts w:ascii="Times New Roman" w:hAnsi="Times New Roman"/>
          <w:i/>
          <w:iCs/>
          <w:color w:val="000000"/>
          <w:szCs w:val="22"/>
          <w:lang w:val="pt-BR"/>
        </w:rPr>
        <w:t xml:space="preserve"> </w:t>
      </w:r>
    </w:p>
    <w:p w14:paraId="6E834085" w14:textId="77777777" w:rsidR="0011327F" w:rsidRPr="00D65A20" w:rsidRDefault="0011327F" w:rsidP="00AA4399">
      <w:pPr>
        <w:widowControl/>
        <w:rPr>
          <w:rFonts w:ascii="Times New Roman" w:hAnsi="Times New Roman"/>
          <w:color w:val="000000"/>
          <w:szCs w:val="22"/>
          <w:lang w:val="pt-BR"/>
        </w:rPr>
      </w:pPr>
    </w:p>
    <w:p w14:paraId="6E834086" w14:textId="357F96D4" w:rsidR="0011327F" w:rsidRPr="00D65A20" w:rsidRDefault="0011327F" w:rsidP="00AA4399">
      <w:pPr>
        <w:widowControl/>
        <w:rPr>
          <w:rFonts w:ascii="Times New Roman" w:hAnsi="Times New Roman"/>
          <w:color w:val="000000"/>
          <w:szCs w:val="22"/>
          <w:lang w:val="pt-BR"/>
        </w:rPr>
      </w:pPr>
      <w:r w:rsidRPr="00D65A20">
        <w:rPr>
          <w:rFonts w:ascii="Times New Roman" w:hAnsi="Times New Roman"/>
          <w:color w:val="000000"/>
          <w:szCs w:val="22"/>
          <w:lang w:val="pt-BR"/>
        </w:rPr>
        <w:tab/>
        <w:t>TENDO VISTO os relatórios anuais apresentados à Assembleia Geral, no Quinquagésimo Período Ordinário de Sessões, pela Comissão Interamericana para o Controle do Abuso de Drogas (</w:t>
      </w:r>
      <w:hyperlink r:id="rId23" w:history="1">
        <w:r w:rsidRPr="00D65A20">
          <w:rPr>
            <w:rFonts w:ascii="Times New Roman" w:hAnsi="Times New Roman"/>
            <w:color w:val="0000FF"/>
            <w:u w:val="single"/>
            <w:lang w:val="pt-BR"/>
          </w:rPr>
          <w:t>CP/doc.5625/20</w:t>
        </w:r>
      </w:hyperlink>
      <w:r w:rsidRPr="00D65A20">
        <w:rPr>
          <w:rFonts w:ascii="Times New Roman" w:hAnsi="Times New Roman"/>
          <w:color w:val="000000"/>
          <w:szCs w:val="22"/>
          <w:lang w:val="pt-BR"/>
        </w:rPr>
        <w:t>), pelo Comitê Interamericano contra o Terrorismo (</w:t>
      </w:r>
      <w:hyperlink r:id="rId24" w:history="1">
        <w:r w:rsidRPr="00D65A20">
          <w:rPr>
            <w:rFonts w:ascii="Times New Roman" w:hAnsi="Times New Roman"/>
            <w:color w:val="0000FF"/>
            <w:u w:val="single"/>
            <w:lang w:val="pt-BR"/>
          </w:rPr>
          <w:t>CP/doc.5612/20</w:t>
        </w:r>
      </w:hyperlink>
      <w:r w:rsidRPr="00D65A20">
        <w:rPr>
          <w:rFonts w:ascii="Times New Roman" w:hAnsi="Times New Roman"/>
          <w:color w:val="000000"/>
          <w:szCs w:val="22"/>
          <w:lang w:val="pt-BR"/>
        </w:rPr>
        <w:t>) e pela Junta Interamericana de Defesa (</w:t>
      </w:r>
      <w:hyperlink r:id="rId25" w:history="1">
        <w:r w:rsidRPr="00D65A20">
          <w:rPr>
            <w:rFonts w:ascii="Times New Roman" w:hAnsi="Times New Roman"/>
            <w:color w:val="0000FF"/>
            <w:u w:val="single"/>
            <w:lang w:val="pt-BR"/>
          </w:rPr>
          <w:t>CP/doc.5598/20 corr. 1</w:t>
        </w:r>
      </w:hyperlink>
      <w:r w:rsidRPr="00D65A20">
        <w:rPr>
          <w:rFonts w:ascii="Times New Roman" w:hAnsi="Times New Roman"/>
          <w:color w:val="000000"/>
          <w:szCs w:val="22"/>
          <w:lang w:val="pt-BR"/>
        </w:rPr>
        <w:t>);</w:t>
      </w:r>
    </w:p>
    <w:p w14:paraId="6E834087" w14:textId="77777777" w:rsidR="0011327F" w:rsidRPr="00D65A20" w:rsidRDefault="0011327F" w:rsidP="00AA4399">
      <w:pPr>
        <w:widowControl/>
        <w:rPr>
          <w:rFonts w:ascii="Times New Roman" w:hAnsi="Times New Roman"/>
          <w:color w:val="000000"/>
          <w:szCs w:val="22"/>
          <w:lang w:val="pt-BR"/>
        </w:rPr>
      </w:pPr>
    </w:p>
    <w:p w14:paraId="6E834088" w14:textId="77777777" w:rsidR="0011327F" w:rsidRPr="00D65A20" w:rsidRDefault="0011327F" w:rsidP="00AA4399">
      <w:pPr>
        <w:widowControl/>
        <w:rPr>
          <w:rFonts w:ascii="Times New Roman" w:hAnsi="Times New Roman"/>
          <w:color w:val="000000"/>
          <w:szCs w:val="22"/>
          <w:lang w:val="pt-BR" w:eastAsia="es-ES_tradnl"/>
        </w:rPr>
      </w:pPr>
      <w:r w:rsidRPr="00D65A20">
        <w:rPr>
          <w:rFonts w:ascii="Times New Roman" w:hAnsi="Times New Roman"/>
          <w:color w:val="000000"/>
          <w:szCs w:val="22"/>
          <w:lang w:val="pt-BR"/>
        </w:rPr>
        <w:tab/>
        <w:t>LEVANDO EM CONTA os resultados, os relatórios e as recomendações das reuniões e conferências sobre questões de segurança, realizadas em cumprimento aos mandatos desta Assembleia Geral</w:t>
      </w:r>
      <w:r w:rsidRPr="00D65A20">
        <w:rPr>
          <w:rFonts w:ascii="Times New Roman" w:eastAsia="Batang" w:hAnsi="Times New Roman"/>
          <w:color w:val="000000"/>
          <w:szCs w:val="22"/>
          <w:u w:val="single"/>
          <w:vertAlign w:val="superscript"/>
          <w:lang w:val="pt-BR"/>
        </w:rPr>
        <w:footnoteReference w:id="13"/>
      </w:r>
      <w:r w:rsidRPr="00D65A20">
        <w:rPr>
          <w:rFonts w:ascii="Times New Roman" w:hAnsi="Times New Roman"/>
          <w:color w:val="000000"/>
          <w:szCs w:val="22"/>
          <w:vertAlign w:val="superscript"/>
          <w:lang w:val="pt-BR"/>
        </w:rPr>
        <w:t>/</w:t>
      </w:r>
      <w:r w:rsidRPr="00D65A20">
        <w:rPr>
          <w:rFonts w:ascii="Times New Roman" w:hAnsi="Times New Roman"/>
          <w:color w:val="000000"/>
          <w:szCs w:val="22"/>
          <w:lang w:val="pt-BR"/>
        </w:rPr>
        <w:t>; e</w:t>
      </w:r>
    </w:p>
    <w:p w14:paraId="6E834089" w14:textId="77777777" w:rsidR="0011327F" w:rsidRPr="00D65A20" w:rsidRDefault="0011327F" w:rsidP="00AA4399">
      <w:pPr>
        <w:widowControl/>
        <w:shd w:val="clear" w:color="auto" w:fill="FFFFFF"/>
        <w:rPr>
          <w:rFonts w:ascii="Times New Roman" w:eastAsia="MS Mincho" w:hAnsi="Times New Roman"/>
          <w:b/>
          <w:color w:val="000000"/>
          <w:szCs w:val="22"/>
          <w:lang w:val="pt-BR" w:eastAsia="es-ES"/>
        </w:rPr>
      </w:pPr>
    </w:p>
    <w:p w14:paraId="2E792BF2" w14:textId="7A87399D" w:rsidR="00E615D5" w:rsidRPr="00D65A20" w:rsidRDefault="0037583E" w:rsidP="00AA4399">
      <w:pPr>
        <w:widowControl/>
        <w:rPr>
          <w:rFonts w:ascii="Times New Roman" w:hAnsi="Times New Roman"/>
          <w:szCs w:val="22"/>
          <w:lang w:val="pt-BR"/>
        </w:rPr>
      </w:pPr>
      <w:r w:rsidRPr="00D65A20">
        <w:rPr>
          <w:rFonts w:ascii="Times New Roman" w:hAnsi="Times New Roman"/>
          <w:color w:val="000000"/>
          <w:szCs w:val="22"/>
          <w:lang w:val="pt-BR"/>
        </w:rPr>
        <w:tab/>
      </w:r>
      <w:r w:rsidR="0011327F" w:rsidRPr="00D65A20">
        <w:rPr>
          <w:rFonts w:ascii="Times New Roman" w:hAnsi="Times New Roman"/>
          <w:color w:val="000000"/>
          <w:szCs w:val="22"/>
          <w:lang w:val="pt-BR"/>
        </w:rPr>
        <w:t xml:space="preserve">RECONHECENDO </w:t>
      </w:r>
      <w:r w:rsidR="0011327F" w:rsidRPr="00D65A20">
        <w:rPr>
          <w:rFonts w:ascii="Times New Roman" w:hAnsi="Times New Roman"/>
          <w:szCs w:val="22"/>
          <w:lang w:val="pt-BR"/>
        </w:rPr>
        <w:t xml:space="preserve">com preocupação a grave situação global que afeta os Estados membros como consequência da </w:t>
      </w:r>
      <w:r w:rsidR="00877D54" w:rsidRPr="00D65A20">
        <w:rPr>
          <w:rFonts w:ascii="Times New Roman" w:hAnsi="Times New Roman"/>
          <w:szCs w:val="22"/>
          <w:lang w:val="pt-BR"/>
        </w:rPr>
        <w:t>pandemia de</w:t>
      </w:r>
      <w:r w:rsidR="0011327F" w:rsidRPr="00D65A20">
        <w:rPr>
          <w:rFonts w:ascii="Times New Roman" w:hAnsi="Times New Roman"/>
          <w:szCs w:val="22"/>
          <w:lang w:val="pt-BR"/>
        </w:rPr>
        <w:t xml:space="preserve"> covid-19, bem como os danos econômicos e sociais correlatos, motivo pelo qual é necessário fortalecer a Organização, sem descuidar dos avanços alcançados em matéria de segurança no combate à violência e à criminalidade organizada transnacional, e consolidar a cooperação com outras instituições internacionais no âmbito de suas competências, com vistas a contribuir para os esforços no sentido de proteger a segurança dos cidadãos e enfrentar, mitigar e atender a epidemia nas Américas,</w:t>
      </w:r>
    </w:p>
    <w:p w14:paraId="6E83408B" w14:textId="2D22E35D" w:rsidR="0011327F" w:rsidRPr="00D65A20" w:rsidRDefault="0011327F" w:rsidP="00AA4399">
      <w:pPr>
        <w:widowControl/>
        <w:rPr>
          <w:rFonts w:ascii="Times New Roman" w:hAnsi="Times New Roman"/>
          <w:color w:val="000000"/>
          <w:szCs w:val="22"/>
          <w:lang w:val="pt-BR" w:eastAsia="es-ES_tradnl"/>
        </w:rPr>
      </w:pPr>
      <w:r w:rsidRPr="00D65A20">
        <w:rPr>
          <w:rFonts w:ascii="Times New Roman" w:hAnsi="Times New Roman"/>
          <w:color w:val="000000"/>
          <w:szCs w:val="22"/>
          <w:lang w:val="pt-BR"/>
        </w:rPr>
        <w:lastRenderedPageBreak/>
        <w:t>RESOLVE:</w:t>
      </w:r>
    </w:p>
    <w:p w14:paraId="6E83408C" w14:textId="77777777" w:rsidR="0011327F" w:rsidRPr="00D65A20" w:rsidRDefault="0011327F" w:rsidP="00AA4399">
      <w:pPr>
        <w:widowControl/>
        <w:rPr>
          <w:rFonts w:ascii="Times New Roman" w:eastAsia="Batang" w:hAnsi="Times New Roman"/>
          <w:bCs/>
          <w:color w:val="000000"/>
          <w:szCs w:val="22"/>
          <w:u w:val="single"/>
          <w:lang w:val="pt-BR"/>
        </w:rPr>
      </w:pPr>
    </w:p>
    <w:p w14:paraId="6E83408D" w14:textId="77777777" w:rsidR="0011327F" w:rsidRPr="00D65A20" w:rsidRDefault="0011327F" w:rsidP="00AA4399">
      <w:pPr>
        <w:widowControl/>
        <w:ind w:left="360" w:hanging="360"/>
        <w:jc w:val="center"/>
        <w:rPr>
          <w:rFonts w:ascii="Times New Roman" w:eastAsia="MS Mincho" w:hAnsi="Times New Roman"/>
          <w:color w:val="000000"/>
          <w:szCs w:val="22"/>
          <w:lang w:val="pt-BR" w:eastAsia="es-ES_tradnl"/>
        </w:rPr>
      </w:pPr>
      <w:r w:rsidRPr="00D65A20">
        <w:rPr>
          <w:rFonts w:ascii="Times New Roman" w:hAnsi="Times New Roman"/>
          <w:color w:val="000000"/>
          <w:szCs w:val="22"/>
          <w:lang w:val="pt-BR"/>
        </w:rPr>
        <w:t>I.</w:t>
      </w:r>
      <w:r w:rsidRPr="00D65A20">
        <w:rPr>
          <w:rFonts w:ascii="Times New Roman" w:hAnsi="Times New Roman"/>
          <w:color w:val="000000"/>
          <w:szCs w:val="22"/>
          <w:lang w:val="pt-BR"/>
        </w:rPr>
        <w:tab/>
        <w:t>ATIVIDADES DA COMISSÃO DE SEGURANÇA HEMISFÉRICA</w:t>
      </w:r>
    </w:p>
    <w:p w14:paraId="6E83408E" w14:textId="77777777" w:rsidR="0011327F" w:rsidRPr="00D65A20" w:rsidRDefault="0011327F" w:rsidP="00AA4399">
      <w:pPr>
        <w:widowControl/>
        <w:jc w:val="center"/>
        <w:rPr>
          <w:rFonts w:ascii="Times New Roman" w:hAnsi="Times New Roman"/>
          <w:color w:val="000000"/>
          <w:szCs w:val="22"/>
          <w:lang w:val="pt-BR"/>
        </w:rPr>
      </w:pPr>
      <w:r w:rsidRPr="00D65A20">
        <w:rPr>
          <w:rFonts w:ascii="Times New Roman" w:hAnsi="Times New Roman"/>
          <w:color w:val="000000"/>
          <w:szCs w:val="22"/>
          <w:lang w:val="pt-BR"/>
        </w:rPr>
        <w:t>E DOS ESTADOS MEMBROS</w:t>
      </w:r>
    </w:p>
    <w:p w14:paraId="6E83408F" w14:textId="77777777" w:rsidR="0011327F" w:rsidRPr="00D65A20" w:rsidRDefault="0011327F" w:rsidP="00AA4399">
      <w:pPr>
        <w:widowControl/>
        <w:rPr>
          <w:rFonts w:ascii="Times New Roman" w:hAnsi="Times New Roman"/>
          <w:color w:val="000000"/>
          <w:szCs w:val="22"/>
          <w:lang w:val="pt-BR"/>
        </w:rPr>
      </w:pPr>
    </w:p>
    <w:p w14:paraId="6E834090" w14:textId="7997AF7D" w:rsidR="0011327F" w:rsidRPr="00D65A20" w:rsidRDefault="0011327F" w:rsidP="00AA4399">
      <w:pPr>
        <w:widowControl/>
        <w:numPr>
          <w:ilvl w:val="0"/>
          <w:numId w:val="19"/>
        </w:numPr>
        <w:ind w:left="0"/>
        <w:rPr>
          <w:rFonts w:ascii="Times New Roman" w:hAnsi="Times New Roman"/>
          <w:color w:val="000000"/>
          <w:szCs w:val="22"/>
          <w:lang w:val="pt-BR" w:eastAsia="es-ES_tradnl"/>
        </w:rPr>
      </w:pPr>
      <w:r w:rsidRPr="00D65A20">
        <w:rPr>
          <w:rFonts w:ascii="Times New Roman" w:hAnsi="Times New Roman"/>
          <w:color w:val="000000"/>
          <w:szCs w:val="22"/>
          <w:lang w:val="pt-BR"/>
        </w:rPr>
        <w:t xml:space="preserve">Reafirmar a vigência dos mandatos aplicáveis da Assembleia Geral sobre segurança hemisférica, </w:t>
      </w:r>
      <w:r w:rsidR="002C7614" w:rsidRPr="00D65A20">
        <w:rPr>
          <w:rFonts w:ascii="Times New Roman" w:hAnsi="Times New Roman"/>
          <w:color w:val="000000"/>
          <w:szCs w:val="22"/>
          <w:lang w:val="pt-BR"/>
        </w:rPr>
        <w:t xml:space="preserve">como constantes do </w:t>
      </w:r>
      <w:r w:rsidRPr="00D65A20">
        <w:rPr>
          <w:rFonts w:ascii="Times New Roman" w:hAnsi="Times New Roman"/>
          <w:color w:val="000000"/>
          <w:szCs w:val="22"/>
          <w:lang w:val="pt-BR"/>
        </w:rPr>
        <w:t xml:space="preserve">documento </w:t>
      </w:r>
      <w:r w:rsidRPr="00D65A20">
        <w:rPr>
          <w:rFonts w:ascii="Times New Roman" w:hAnsi="Times New Roman"/>
          <w:color w:val="0000FF"/>
          <w:szCs w:val="22"/>
          <w:u w:val="single"/>
          <w:lang w:val="pt-BR"/>
        </w:rPr>
        <w:t>CP/CSH/INF.502/20</w:t>
      </w:r>
      <w:r w:rsidRPr="00D65A20">
        <w:rPr>
          <w:rFonts w:ascii="Times New Roman" w:hAnsi="Times New Roman"/>
          <w:color w:val="000000"/>
          <w:szCs w:val="22"/>
          <w:lang w:val="pt-BR"/>
        </w:rPr>
        <w:t>; exortar o Conselho Permanente, por intermédio da Comissão de Segurança Hemisférica (CSH)</w:t>
      </w:r>
      <w:r w:rsidR="001F24D5" w:rsidRPr="00D65A20">
        <w:rPr>
          <w:rFonts w:ascii="Times New Roman" w:hAnsi="Times New Roman"/>
          <w:color w:val="000000"/>
          <w:szCs w:val="22"/>
          <w:lang w:val="pt-BR"/>
        </w:rPr>
        <w:t>,</w:t>
      </w:r>
      <w:r w:rsidRPr="00D65A20">
        <w:rPr>
          <w:rFonts w:ascii="Times New Roman" w:hAnsi="Times New Roman"/>
          <w:color w:val="000000"/>
          <w:szCs w:val="22"/>
          <w:lang w:val="pt-BR"/>
        </w:rPr>
        <w:t xml:space="preserve"> e os Estados membros a que continuem contribuindo para a consecução dos objetivos dispostos nesses mandatos, mediante o desenvolvimento, a execução, a avaliação e a apresentação de relatórios sobre os programas, o intercâmbio de informações e a adoção de medidas e políticas de cooperação, bem como mediante a assistência mútua e contribuições e apoios técnicos e financeiros; e encarregar a Secretaria-Geral de prestar o apoio necessário para esse efeito e continuar a implementação desses mandatos.</w:t>
      </w:r>
    </w:p>
    <w:p w14:paraId="6E834091" w14:textId="77777777" w:rsidR="0011327F" w:rsidRPr="00D65A20" w:rsidRDefault="0011327F" w:rsidP="00AA4399">
      <w:pPr>
        <w:widowControl/>
        <w:rPr>
          <w:rFonts w:ascii="Times New Roman" w:hAnsi="Times New Roman"/>
          <w:color w:val="000000"/>
          <w:szCs w:val="22"/>
          <w:lang w:val="pt-BR" w:eastAsia="es-ES_tradnl"/>
        </w:rPr>
      </w:pPr>
    </w:p>
    <w:p w14:paraId="6E834092" w14:textId="77777777" w:rsidR="0011327F" w:rsidRPr="00D65A20" w:rsidRDefault="0011327F" w:rsidP="00AA4399">
      <w:pPr>
        <w:widowControl/>
        <w:numPr>
          <w:ilvl w:val="0"/>
          <w:numId w:val="1"/>
        </w:numPr>
        <w:tabs>
          <w:tab w:val="clear" w:pos="1440"/>
          <w:tab w:val="clear" w:pos="2160"/>
          <w:tab w:val="clear" w:pos="2880"/>
          <w:tab w:val="clear" w:pos="3600"/>
          <w:tab w:val="clear" w:pos="4320"/>
          <w:tab w:val="clear" w:pos="5760"/>
          <w:tab w:val="clear" w:pos="6480"/>
          <w:tab w:val="clear" w:pos="7200"/>
          <w:tab w:val="clear" w:pos="7920"/>
        </w:tabs>
        <w:ind w:hanging="1440"/>
        <w:rPr>
          <w:rFonts w:ascii="Times New Roman" w:hAnsi="Times New Roman"/>
          <w:color w:val="000000"/>
          <w:szCs w:val="22"/>
          <w:u w:val="single"/>
          <w:lang w:val="pt-BR"/>
        </w:rPr>
      </w:pPr>
      <w:r w:rsidRPr="00D65A20">
        <w:rPr>
          <w:rFonts w:ascii="Times New Roman" w:hAnsi="Times New Roman"/>
          <w:color w:val="000000"/>
          <w:szCs w:val="22"/>
          <w:u w:val="single"/>
          <w:lang w:val="pt-BR"/>
        </w:rPr>
        <w:t xml:space="preserve">Perspectiva e revisão da segurança multidimensional no Hemisfério </w:t>
      </w:r>
    </w:p>
    <w:p w14:paraId="6E834093" w14:textId="77777777" w:rsidR="0011327F" w:rsidRPr="00D65A20" w:rsidRDefault="0011327F" w:rsidP="00AA4399">
      <w:pPr>
        <w:widowControl/>
        <w:rPr>
          <w:rFonts w:ascii="Times New Roman" w:eastAsia="MS Mincho" w:hAnsi="Times New Roman"/>
          <w:color w:val="000000"/>
          <w:szCs w:val="22"/>
          <w:u w:val="single"/>
          <w:lang w:val="pt-BR"/>
        </w:rPr>
      </w:pPr>
    </w:p>
    <w:p w14:paraId="6E834094" w14:textId="77777777" w:rsidR="0011327F" w:rsidRPr="00D65A20" w:rsidRDefault="0011327F" w:rsidP="00AA4399">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color w:val="000000"/>
          <w:szCs w:val="22"/>
          <w:u w:val="single"/>
          <w:lang w:val="pt-BR"/>
        </w:rPr>
      </w:pPr>
      <w:r w:rsidRPr="00D65A20">
        <w:rPr>
          <w:rFonts w:ascii="Times New Roman" w:hAnsi="Times New Roman"/>
          <w:color w:val="000000"/>
          <w:szCs w:val="22"/>
          <w:u w:val="single"/>
          <w:lang w:val="pt-BR"/>
        </w:rPr>
        <w:t>Declaração sobre Segurança nas Américas</w:t>
      </w:r>
    </w:p>
    <w:p w14:paraId="6E834095" w14:textId="77777777" w:rsidR="0011327F" w:rsidRPr="00D65A20" w:rsidRDefault="0011327F" w:rsidP="00AA4399">
      <w:pPr>
        <w:widowControl/>
        <w:rPr>
          <w:rFonts w:ascii="Times New Roman" w:hAnsi="Times New Roman"/>
          <w:color w:val="000000"/>
          <w:szCs w:val="22"/>
          <w:u w:val="single"/>
          <w:lang w:val="pt-BR"/>
        </w:rPr>
      </w:pPr>
    </w:p>
    <w:p w14:paraId="6E834096" w14:textId="59D9D3E7" w:rsidR="0011327F" w:rsidRPr="00D65A20" w:rsidRDefault="0011327F" w:rsidP="00AA4399">
      <w:pPr>
        <w:widowControl/>
        <w:numPr>
          <w:ilvl w:val="0"/>
          <w:numId w:val="19"/>
        </w:numPr>
        <w:ind w:left="0"/>
        <w:rPr>
          <w:rFonts w:ascii="Times New Roman" w:hAnsi="Times New Roman"/>
          <w:color w:val="000000"/>
          <w:szCs w:val="22"/>
          <w:lang w:val="pt-BR" w:eastAsia="es-ES_tradnl"/>
        </w:rPr>
      </w:pPr>
      <w:r w:rsidRPr="00D65A20">
        <w:rPr>
          <w:rFonts w:ascii="Times New Roman" w:hAnsi="Times New Roman"/>
          <w:color w:val="000000"/>
          <w:szCs w:val="22"/>
          <w:lang w:val="pt-BR"/>
        </w:rPr>
        <w:t xml:space="preserve">Encarregar a CSH de </w:t>
      </w:r>
      <w:r w:rsidR="008E0A50" w:rsidRPr="00D65A20">
        <w:rPr>
          <w:rFonts w:ascii="Times New Roman" w:hAnsi="Times New Roman"/>
          <w:color w:val="000000"/>
          <w:szCs w:val="22"/>
          <w:lang w:val="pt-BR"/>
        </w:rPr>
        <w:t>fazer</w:t>
      </w:r>
      <w:r w:rsidRPr="00D65A20">
        <w:rPr>
          <w:rFonts w:ascii="Times New Roman" w:hAnsi="Times New Roman"/>
          <w:color w:val="000000"/>
          <w:szCs w:val="22"/>
          <w:lang w:val="pt-BR"/>
        </w:rPr>
        <w:t xml:space="preserve">, no primeiro semestre de 2021, uma </w:t>
      </w:r>
      <w:r w:rsidR="00576574" w:rsidRPr="00D65A20">
        <w:rPr>
          <w:rFonts w:ascii="Times New Roman" w:hAnsi="Times New Roman"/>
          <w:color w:val="000000"/>
          <w:szCs w:val="22"/>
          <w:lang w:val="pt-BR"/>
        </w:rPr>
        <w:t>sessão</w:t>
      </w:r>
      <w:r w:rsidR="008E0A50" w:rsidRPr="00D65A20">
        <w:rPr>
          <w:rFonts w:ascii="Times New Roman" w:hAnsi="Times New Roman"/>
          <w:color w:val="000000"/>
          <w:szCs w:val="22"/>
          <w:lang w:val="pt-BR"/>
        </w:rPr>
        <w:t xml:space="preserve"> </w:t>
      </w:r>
      <w:r w:rsidRPr="00D65A20">
        <w:rPr>
          <w:rFonts w:ascii="Times New Roman" w:hAnsi="Times New Roman"/>
          <w:color w:val="000000"/>
          <w:szCs w:val="22"/>
          <w:lang w:val="pt-BR"/>
        </w:rPr>
        <w:t>para examinar a Declaração sobre Segurança nas Américas, levando em conta as novas ameaças, preocupações e outros desafios</w:t>
      </w:r>
      <w:r w:rsidR="00613B4E" w:rsidRPr="00D65A20">
        <w:rPr>
          <w:rFonts w:ascii="Times New Roman" w:hAnsi="Times New Roman"/>
          <w:color w:val="000000"/>
          <w:szCs w:val="22"/>
          <w:lang w:val="pt-BR"/>
        </w:rPr>
        <w:t>,</w:t>
      </w:r>
      <w:r w:rsidRPr="00D65A20">
        <w:rPr>
          <w:rFonts w:ascii="Times New Roman" w:hAnsi="Times New Roman"/>
          <w:color w:val="000000"/>
          <w:szCs w:val="22"/>
          <w:lang w:val="pt-BR"/>
        </w:rPr>
        <w:t xml:space="preserve"> e avaliar a conveniência de se convocar uma conferência especial sobre segurança para continuar impulsionando a segurança hemisférica</w:t>
      </w:r>
      <w:r w:rsidR="00613B4E" w:rsidRPr="00D65A20">
        <w:rPr>
          <w:rFonts w:ascii="Times New Roman" w:hAnsi="Times New Roman"/>
          <w:color w:val="000000"/>
          <w:szCs w:val="22"/>
          <w:lang w:val="pt-BR"/>
        </w:rPr>
        <w:t xml:space="preserve">; e </w:t>
      </w:r>
      <w:r w:rsidR="00613B4E" w:rsidRPr="00D65A20">
        <w:rPr>
          <w:rFonts w:ascii="Times New Roman" w:hAnsi="Times New Roman"/>
          <w:bCs/>
          <w:color w:val="000000"/>
          <w:szCs w:val="22"/>
          <w:lang w:val="pt-BR"/>
        </w:rPr>
        <w:t>s</w:t>
      </w:r>
      <w:r w:rsidRPr="00D65A20">
        <w:rPr>
          <w:rFonts w:ascii="Times New Roman" w:hAnsi="Times New Roman"/>
          <w:bCs/>
          <w:color w:val="000000"/>
          <w:szCs w:val="22"/>
          <w:lang w:val="pt-BR"/>
        </w:rPr>
        <w:t>olicitar aos Estados membros que forneçam por escrito seus pontos de vista à CSH até 15 de fevereiro de 2021.</w:t>
      </w:r>
    </w:p>
    <w:p w14:paraId="6E834097" w14:textId="77777777" w:rsidR="0011327F" w:rsidRPr="00D65A20" w:rsidRDefault="0011327F" w:rsidP="00AA4399">
      <w:pPr>
        <w:widowControl/>
        <w:rPr>
          <w:rFonts w:ascii="Times New Roman" w:hAnsi="Times New Roman"/>
          <w:color w:val="000000"/>
          <w:szCs w:val="22"/>
          <w:lang w:val="pt-BR" w:eastAsia="es-ES_tradnl"/>
        </w:rPr>
      </w:pPr>
    </w:p>
    <w:p w14:paraId="6E834098" w14:textId="77777777" w:rsidR="0011327F" w:rsidRPr="00D65A20" w:rsidRDefault="0011327F" w:rsidP="00AA4399">
      <w:pPr>
        <w:widowControl/>
        <w:numPr>
          <w:ilvl w:val="0"/>
          <w:numId w:val="19"/>
        </w:numPr>
        <w:ind w:left="0"/>
        <w:rPr>
          <w:rFonts w:ascii="Times New Roman" w:hAnsi="Times New Roman"/>
          <w:bCs/>
          <w:color w:val="000000"/>
          <w:szCs w:val="22"/>
          <w:lang w:val="pt-BR" w:eastAsia="es-ES_tradnl"/>
        </w:rPr>
      </w:pPr>
      <w:r w:rsidRPr="00D65A20">
        <w:rPr>
          <w:rFonts w:ascii="Times New Roman" w:hAnsi="Times New Roman"/>
          <w:bCs/>
          <w:color w:val="000000"/>
          <w:szCs w:val="22"/>
          <w:lang w:val="pt-BR"/>
        </w:rPr>
        <w:t xml:space="preserve">Instar os Estados membros a que promovam a representação equitativa das mulheres em todos os processos de tomada de decisão em matéria de segurança e solicitar à </w:t>
      </w:r>
      <w:r w:rsidR="00AC06F4" w:rsidRPr="00D65A20">
        <w:rPr>
          <w:rFonts w:ascii="Times New Roman" w:hAnsi="Times New Roman"/>
          <w:color w:val="000000"/>
          <w:szCs w:val="22"/>
          <w:lang w:val="pt-BR"/>
        </w:rPr>
        <w:t>Secretaria de Segurança Multidimensional (</w:t>
      </w:r>
      <w:r w:rsidRPr="00D65A20">
        <w:rPr>
          <w:rFonts w:ascii="Times New Roman" w:hAnsi="Times New Roman"/>
          <w:bCs/>
          <w:color w:val="000000"/>
          <w:szCs w:val="22"/>
          <w:lang w:val="pt-BR"/>
        </w:rPr>
        <w:t>SSM</w:t>
      </w:r>
      <w:r w:rsidR="00AC06F4" w:rsidRPr="00D65A20">
        <w:rPr>
          <w:rFonts w:ascii="Times New Roman" w:hAnsi="Times New Roman"/>
          <w:bCs/>
          <w:color w:val="000000"/>
          <w:szCs w:val="22"/>
          <w:lang w:val="pt-BR"/>
        </w:rPr>
        <w:t>)</w:t>
      </w:r>
      <w:r w:rsidRPr="00D65A20">
        <w:rPr>
          <w:rFonts w:ascii="Times New Roman" w:hAnsi="Times New Roman"/>
          <w:bCs/>
          <w:color w:val="000000"/>
          <w:szCs w:val="22"/>
          <w:lang w:val="pt-BR"/>
        </w:rPr>
        <w:t xml:space="preserve"> que inclua nas suas atividades a promoção da participação efetiva das mulheres nos referidos processos.</w:t>
      </w:r>
    </w:p>
    <w:p w14:paraId="6E834099" w14:textId="77777777" w:rsidR="0011327F" w:rsidRPr="00D65A20" w:rsidRDefault="0011327F" w:rsidP="00AA4399">
      <w:pPr>
        <w:widowControl/>
        <w:rPr>
          <w:rFonts w:ascii="Times New Roman" w:hAnsi="Times New Roman"/>
          <w:color w:val="000000"/>
          <w:szCs w:val="22"/>
          <w:lang w:val="pt-BR"/>
        </w:rPr>
      </w:pPr>
    </w:p>
    <w:p w14:paraId="6E83409A" w14:textId="0EAE2FBF" w:rsidR="0011327F" w:rsidRPr="00D65A20" w:rsidRDefault="0011327F" w:rsidP="00AA4399">
      <w:pPr>
        <w:widowControl/>
        <w:numPr>
          <w:ilvl w:val="0"/>
          <w:numId w:val="19"/>
        </w:numPr>
        <w:ind w:left="0"/>
        <w:rPr>
          <w:rFonts w:ascii="Times New Roman" w:hAnsi="Times New Roman"/>
          <w:bCs/>
          <w:color w:val="000000"/>
          <w:szCs w:val="22"/>
          <w:lang w:val="pt-BR"/>
        </w:rPr>
      </w:pPr>
      <w:r w:rsidRPr="00D65A20">
        <w:rPr>
          <w:rFonts w:ascii="Times New Roman" w:hAnsi="Times New Roman"/>
          <w:bCs/>
          <w:color w:val="000000"/>
          <w:szCs w:val="22"/>
          <w:lang w:val="pt-BR"/>
        </w:rPr>
        <w:t>Reafirmar o Vigésimo Aniversário da Resolução 1325</w:t>
      </w:r>
      <w:r w:rsidR="00BD4FB8" w:rsidRPr="00D65A20">
        <w:rPr>
          <w:rFonts w:ascii="Times New Roman" w:hAnsi="Times New Roman"/>
          <w:bCs/>
          <w:color w:val="000000"/>
          <w:szCs w:val="22"/>
          <w:lang w:val="pt-BR"/>
        </w:rPr>
        <w:t xml:space="preserve"> (</w:t>
      </w:r>
      <w:r w:rsidR="00C03CC1" w:rsidRPr="00D65A20">
        <w:rPr>
          <w:rFonts w:ascii="Times New Roman" w:hAnsi="Times New Roman"/>
          <w:bCs/>
          <w:color w:val="000000"/>
          <w:szCs w:val="22"/>
          <w:lang w:val="pt-BR"/>
        </w:rPr>
        <w:t>2000</w:t>
      </w:r>
      <w:r w:rsidR="00BD4FB8" w:rsidRPr="00D65A20">
        <w:rPr>
          <w:rFonts w:ascii="Times New Roman" w:hAnsi="Times New Roman"/>
          <w:bCs/>
          <w:color w:val="000000"/>
          <w:szCs w:val="22"/>
          <w:lang w:val="pt-BR"/>
        </w:rPr>
        <w:t>)</w:t>
      </w:r>
      <w:r w:rsidRPr="00D65A20">
        <w:rPr>
          <w:rFonts w:ascii="Times New Roman" w:hAnsi="Times New Roman"/>
          <w:bCs/>
          <w:color w:val="000000"/>
          <w:szCs w:val="22"/>
          <w:lang w:val="pt-BR"/>
        </w:rPr>
        <w:t xml:space="preserve"> do Conselho de Segurança das Nações Unidas sobre Mulheres, Paz e Segurança, que destaca a importância da participação igualitária das mulheres na construção da paz, na negociação e na prevenção de conflitos.</w:t>
      </w:r>
    </w:p>
    <w:p w14:paraId="6E83409B" w14:textId="77777777" w:rsidR="0011327F" w:rsidRPr="00D65A20" w:rsidRDefault="0011327F" w:rsidP="00AA4399">
      <w:pPr>
        <w:widowControl/>
        <w:rPr>
          <w:rFonts w:ascii="Times New Roman" w:hAnsi="Times New Roman"/>
          <w:color w:val="000000"/>
          <w:szCs w:val="22"/>
          <w:lang w:val="pt-BR"/>
        </w:rPr>
      </w:pPr>
    </w:p>
    <w:p w14:paraId="6E83409C" w14:textId="4B6A63B0" w:rsidR="0011327F" w:rsidRPr="00D65A20" w:rsidRDefault="0011327F" w:rsidP="00AA4399">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color w:val="000000"/>
          <w:szCs w:val="22"/>
          <w:u w:val="single"/>
          <w:lang w:val="pt-BR"/>
        </w:rPr>
      </w:pPr>
      <w:r w:rsidRPr="00D65A20">
        <w:rPr>
          <w:rFonts w:ascii="Times New Roman" w:hAnsi="Times New Roman"/>
          <w:color w:val="000000"/>
          <w:szCs w:val="22"/>
          <w:u w:val="single"/>
          <w:lang w:val="pt-BR"/>
        </w:rPr>
        <w:t xml:space="preserve">Efeitos da </w:t>
      </w:r>
      <w:r w:rsidR="00877D54" w:rsidRPr="00D65A20">
        <w:rPr>
          <w:rFonts w:ascii="Times New Roman" w:hAnsi="Times New Roman"/>
          <w:color w:val="000000"/>
          <w:szCs w:val="22"/>
          <w:u w:val="single"/>
          <w:lang w:val="pt-BR"/>
        </w:rPr>
        <w:t>pandemia de</w:t>
      </w:r>
      <w:r w:rsidRPr="00D65A20">
        <w:rPr>
          <w:rFonts w:ascii="Times New Roman" w:hAnsi="Times New Roman"/>
          <w:color w:val="000000"/>
          <w:szCs w:val="22"/>
          <w:u w:val="single"/>
          <w:lang w:val="pt-BR"/>
        </w:rPr>
        <w:t xml:space="preserve"> covid-19 na segurança hemisférica</w:t>
      </w:r>
    </w:p>
    <w:p w14:paraId="6E83409D" w14:textId="77777777" w:rsidR="0011327F" w:rsidRPr="00D65A20" w:rsidRDefault="0011327F" w:rsidP="00AA4399">
      <w:pPr>
        <w:widowControl/>
        <w:rPr>
          <w:rFonts w:ascii="Times New Roman" w:hAnsi="Times New Roman"/>
          <w:color w:val="000000"/>
          <w:szCs w:val="22"/>
          <w:lang w:val="pt-BR"/>
        </w:rPr>
      </w:pPr>
    </w:p>
    <w:p w14:paraId="6E83409E" w14:textId="6D156063" w:rsidR="0011327F" w:rsidRPr="00D65A20" w:rsidRDefault="0011327F" w:rsidP="00AA4399">
      <w:pPr>
        <w:widowControl/>
        <w:numPr>
          <w:ilvl w:val="0"/>
          <w:numId w:val="19"/>
        </w:numPr>
        <w:ind w:left="0"/>
        <w:rPr>
          <w:rFonts w:ascii="Times New Roman" w:hAnsi="Times New Roman"/>
          <w:i/>
          <w:color w:val="000000"/>
          <w:szCs w:val="22"/>
          <w:lang w:val="pt-BR"/>
        </w:rPr>
      </w:pPr>
      <w:r w:rsidRPr="00D65A20">
        <w:rPr>
          <w:rFonts w:ascii="Times New Roman" w:hAnsi="Times New Roman"/>
          <w:color w:val="000000"/>
          <w:szCs w:val="22"/>
          <w:lang w:val="pt-BR"/>
        </w:rPr>
        <w:t xml:space="preserve">Solicitar à SSM que elabore programas específicos de assistência técnica </w:t>
      </w:r>
      <w:r w:rsidR="008E0A50" w:rsidRPr="00D65A20">
        <w:rPr>
          <w:rFonts w:ascii="Times New Roman" w:hAnsi="Times New Roman"/>
          <w:color w:val="000000"/>
          <w:szCs w:val="22"/>
          <w:lang w:val="pt-BR"/>
        </w:rPr>
        <w:t>par</w:t>
      </w:r>
      <w:r w:rsidRPr="00D65A20">
        <w:rPr>
          <w:rFonts w:ascii="Times New Roman" w:hAnsi="Times New Roman"/>
          <w:color w:val="000000"/>
          <w:szCs w:val="22"/>
          <w:lang w:val="pt-BR"/>
        </w:rPr>
        <w:t>a</w:t>
      </w:r>
      <w:r w:rsidR="008E0A50" w:rsidRPr="00D65A20">
        <w:rPr>
          <w:rFonts w:ascii="Times New Roman" w:hAnsi="Times New Roman"/>
          <w:color w:val="000000"/>
          <w:szCs w:val="22"/>
          <w:lang w:val="pt-BR"/>
        </w:rPr>
        <w:t xml:space="preserve"> </w:t>
      </w:r>
      <w:r w:rsidRPr="00D65A20">
        <w:rPr>
          <w:rFonts w:ascii="Times New Roman" w:hAnsi="Times New Roman"/>
          <w:color w:val="000000"/>
          <w:szCs w:val="22"/>
          <w:lang w:val="pt-BR"/>
        </w:rPr>
        <w:t xml:space="preserve">os </w:t>
      </w:r>
      <w:r w:rsidRPr="00D65A20">
        <w:rPr>
          <w:rFonts w:ascii="Times New Roman" w:hAnsi="Times New Roman"/>
          <w:bCs/>
          <w:szCs w:val="22"/>
          <w:lang w:val="pt-BR"/>
        </w:rPr>
        <w:t>Estados</w:t>
      </w:r>
      <w:r w:rsidRPr="00D65A20">
        <w:rPr>
          <w:rFonts w:ascii="Times New Roman" w:hAnsi="Times New Roman"/>
          <w:color w:val="000000"/>
          <w:szCs w:val="22"/>
          <w:lang w:val="pt-BR"/>
        </w:rPr>
        <w:t xml:space="preserve"> membros, sujeitos à disponibilidade de recursos financeiros, a fim de melhorar ou fortalecer as capacidades institucionais nos aspectos da segurança hemisférica exacerbados pela atual </w:t>
      </w:r>
      <w:r w:rsidR="00877D54" w:rsidRPr="00D65A20">
        <w:rPr>
          <w:rFonts w:ascii="Times New Roman" w:hAnsi="Times New Roman"/>
          <w:color w:val="000000"/>
          <w:szCs w:val="22"/>
          <w:lang w:val="pt-BR"/>
        </w:rPr>
        <w:t>pandemia de</w:t>
      </w:r>
      <w:r w:rsidRPr="00D65A20">
        <w:rPr>
          <w:rFonts w:ascii="Times New Roman" w:hAnsi="Times New Roman"/>
          <w:color w:val="000000"/>
          <w:szCs w:val="22"/>
          <w:lang w:val="pt-BR"/>
        </w:rPr>
        <w:t xml:space="preserve"> covid-19, tais como:</w:t>
      </w:r>
    </w:p>
    <w:p w14:paraId="6E83409F" w14:textId="77777777" w:rsidR="0011327F" w:rsidRPr="00D65A20" w:rsidRDefault="0011327F" w:rsidP="00AA4399">
      <w:pPr>
        <w:widowControl/>
        <w:rPr>
          <w:rFonts w:ascii="Times New Roman" w:hAnsi="Times New Roman"/>
          <w:color w:val="000000"/>
          <w:szCs w:val="22"/>
          <w:lang w:val="pt-BR"/>
        </w:rPr>
      </w:pPr>
    </w:p>
    <w:p w14:paraId="6E8340A0"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lang w:val="pt-BR"/>
        </w:rPr>
      </w:pPr>
      <w:r w:rsidRPr="00D65A20">
        <w:rPr>
          <w:rFonts w:ascii="Times New Roman" w:hAnsi="Times New Roman"/>
          <w:color w:val="000000"/>
          <w:szCs w:val="22"/>
          <w:lang w:val="pt-BR"/>
        </w:rPr>
        <w:t>•</w:t>
      </w:r>
      <w:r w:rsidRPr="00D65A20">
        <w:rPr>
          <w:rFonts w:ascii="Times New Roman" w:hAnsi="Times New Roman"/>
          <w:color w:val="000000"/>
          <w:szCs w:val="22"/>
          <w:lang w:val="pt-BR"/>
        </w:rPr>
        <w:tab/>
        <w:t>Segurança pública</w:t>
      </w:r>
    </w:p>
    <w:p w14:paraId="6E8340A1"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lang w:val="pt-BR"/>
        </w:rPr>
      </w:pPr>
      <w:r w:rsidRPr="00D65A20">
        <w:rPr>
          <w:rFonts w:ascii="Times New Roman" w:hAnsi="Times New Roman"/>
          <w:color w:val="000000"/>
          <w:szCs w:val="22"/>
          <w:lang w:val="pt-BR"/>
        </w:rPr>
        <w:t>•</w:t>
      </w:r>
      <w:r w:rsidRPr="00D65A20">
        <w:rPr>
          <w:rFonts w:ascii="Times New Roman" w:hAnsi="Times New Roman"/>
          <w:color w:val="000000"/>
          <w:szCs w:val="22"/>
          <w:lang w:val="pt-BR"/>
        </w:rPr>
        <w:tab/>
        <w:t>Ameaças à cibersegurança e à segurança da infraestrutura crítica</w:t>
      </w:r>
    </w:p>
    <w:p w14:paraId="6E8340A2"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lang w:val="pt-BR"/>
        </w:rPr>
      </w:pPr>
      <w:r w:rsidRPr="00D65A20">
        <w:rPr>
          <w:rFonts w:ascii="Times New Roman" w:hAnsi="Times New Roman"/>
          <w:color w:val="000000"/>
          <w:szCs w:val="22"/>
          <w:lang w:val="pt-BR"/>
        </w:rPr>
        <w:t>•</w:t>
      </w:r>
      <w:r w:rsidRPr="00D65A20">
        <w:rPr>
          <w:rFonts w:ascii="Times New Roman" w:hAnsi="Times New Roman"/>
          <w:color w:val="000000"/>
          <w:szCs w:val="22"/>
          <w:lang w:val="pt-BR"/>
        </w:rPr>
        <w:tab/>
        <w:t>Falsificação e contrabando de medicamentos e provisões médicas</w:t>
      </w:r>
    </w:p>
    <w:p w14:paraId="6E8340A3"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lang w:val="pt-BR"/>
        </w:rPr>
      </w:pPr>
      <w:r w:rsidRPr="00D65A20">
        <w:rPr>
          <w:rFonts w:ascii="Times New Roman" w:hAnsi="Times New Roman"/>
          <w:color w:val="000000"/>
          <w:szCs w:val="22"/>
          <w:lang w:val="pt-BR"/>
        </w:rPr>
        <w:t>•</w:t>
      </w:r>
      <w:r w:rsidRPr="00D65A20">
        <w:rPr>
          <w:rFonts w:ascii="Times New Roman" w:hAnsi="Times New Roman"/>
          <w:color w:val="000000"/>
          <w:szCs w:val="22"/>
          <w:lang w:val="pt-BR"/>
        </w:rPr>
        <w:tab/>
        <w:t>Tráfico de pessoas e contrabando de migrantes</w:t>
      </w:r>
    </w:p>
    <w:p w14:paraId="6E8340A4" w14:textId="77777777" w:rsidR="0011327F" w:rsidRPr="00D65A20" w:rsidRDefault="0011327F" w:rsidP="00AA4399">
      <w:pPr>
        <w:widowControl/>
        <w:ind w:left="720"/>
        <w:rPr>
          <w:rFonts w:ascii="Times New Roman" w:hAnsi="Times New Roman"/>
          <w:color w:val="000000"/>
          <w:szCs w:val="22"/>
          <w:lang w:val="pt-BR"/>
        </w:rPr>
      </w:pPr>
      <w:r w:rsidRPr="00D65A20">
        <w:rPr>
          <w:rFonts w:ascii="Times New Roman" w:hAnsi="Times New Roman"/>
          <w:color w:val="000000"/>
          <w:szCs w:val="22"/>
          <w:lang w:val="pt-BR"/>
        </w:rPr>
        <w:t>•</w:t>
      </w:r>
      <w:r w:rsidRPr="00D65A20">
        <w:rPr>
          <w:rFonts w:ascii="Times New Roman" w:hAnsi="Times New Roman"/>
          <w:color w:val="000000"/>
          <w:szCs w:val="22"/>
          <w:lang w:val="pt-BR"/>
        </w:rPr>
        <w:tab/>
        <w:t>Criminalidade organizada transnacional e suas atividades ilegais</w:t>
      </w:r>
    </w:p>
    <w:p w14:paraId="6E8340A5" w14:textId="77777777" w:rsidR="0011327F" w:rsidRPr="00D65A20" w:rsidRDefault="0011327F" w:rsidP="00AA4399">
      <w:pPr>
        <w:widowControl/>
        <w:ind w:left="720"/>
        <w:rPr>
          <w:rFonts w:ascii="Times New Roman" w:hAnsi="Times New Roman"/>
          <w:color w:val="000000"/>
          <w:szCs w:val="22"/>
          <w:lang w:val="pt-BR"/>
        </w:rPr>
      </w:pPr>
      <w:r w:rsidRPr="00D65A20">
        <w:rPr>
          <w:rFonts w:ascii="Times New Roman" w:hAnsi="Times New Roman"/>
          <w:color w:val="000000"/>
          <w:szCs w:val="22"/>
          <w:lang w:val="pt-BR"/>
        </w:rPr>
        <w:t>•</w:t>
      </w:r>
      <w:r w:rsidRPr="00D65A20">
        <w:rPr>
          <w:rFonts w:ascii="Times New Roman" w:hAnsi="Times New Roman"/>
          <w:color w:val="000000"/>
          <w:szCs w:val="22"/>
          <w:lang w:val="pt-BR"/>
        </w:rPr>
        <w:tab/>
        <w:t>Abuso de drogas</w:t>
      </w:r>
    </w:p>
    <w:p w14:paraId="6E8340A6" w14:textId="77777777" w:rsidR="0011327F" w:rsidRPr="00D65A20" w:rsidRDefault="0011327F" w:rsidP="00AA4399">
      <w:pPr>
        <w:widowControl/>
        <w:ind w:left="720"/>
        <w:rPr>
          <w:rFonts w:ascii="Times New Roman" w:hAnsi="Times New Roman"/>
          <w:color w:val="000000"/>
          <w:szCs w:val="22"/>
          <w:lang w:val="pt-BR"/>
        </w:rPr>
      </w:pPr>
      <w:r w:rsidRPr="00D65A20">
        <w:rPr>
          <w:rFonts w:ascii="Times New Roman" w:hAnsi="Times New Roman"/>
          <w:color w:val="000000"/>
          <w:szCs w:val="22"/>
          <w:lang w:val="pt-BR"/>
        </w:rPr>
        <w:lastRenderedPageBreak/>
        <w:t>•</w:t>
      </w:r>
      <w:r w:rsidRPr="00D65A20">
        <w:rPr>
          <w:rFonts w:ascii="Times New Roman" w:hAnsi="Times New Roman"/>
          <w:color w:val="000000"/>
          <w:szCs w:val="22"/>
          <w:lang w:val="pt-BR"/>
        </w:rPr>
        <w:tab/>
        <w:t>Violência doméstica</w:t>
      </w:r>
    </w:p>
    <w:p w14:paraId="6E8340A7" w14:textId="77777777" w:rsidR="0011327F" w:rsidRPr="00D65A20" w:rsidRDefault="0011327F" w:rsidP="00AA4399">
      <w:pPr>
        <w:widowControl/>
        <w:rPr>
          <w:rFonts w:ascii="Times New Roman" w:hAnsi="Times New Roman"/>
          <w:color w:val="000000"/>
          <w:szCs w:val="22"/>
          <w:lang w:val="pt-BR"/>
        </w:rPr>
      </w:pPr>
    </w:p>
    <w:p w14:paraId="6E8340A8" w14:textId="63F5CE58" w:rsidR="0011327F" w:rsidRPr="00D65A20" w:rsidRDefault="0011327F" w:rsidP="00AA4399">
      <w:pPr>
        <w:widowControl/>
        <w:numPr>
          <w:ilvl w:val="0"/>
          <w:numId w:val="19"/>
        </w:numPr>
        <w:ind w:left="0"/>
        <w:rPr>
          <w:rFonts w:ascii="Times New Roman" w:hAnsi="Times New Roman"/>
          <w:color w:val="000000"/>
          <w:szCs w:val="22"/>
          <w:lang w:val="pt-BR"/>
        </w:rPr>
      </w:pPr>
      <w:r w:rsidRPr="00D65A20">
        <w:rPr>
          <w:rFonts w:ascii="Times New Roman" w:hAnsi="Times New Roman"/>
          <w:bCs/>
          <w:iCs/>
          <w:szCs w:val="22"/>
          <w:lang w:val="pt-BR"/>
        </w:rPr>
        <w:t>Solicitar</w:t>
      </w:r>
      <w:r w:rsidRPr="00D65A20">
        <w:rPr>
          <w:rFonts w:ascii="Times New Roman" w:hAnsi="Times New Roman"/>
          <w:color w:val="000000"/>
          <w:szCs w:val="22"/>
          <w:lang w:val="pt-BR"/>
        </w:rPr>
        <w:t xml:space="preserve"> à SSM que informe a CSH sobre avanços no cumprimento do mandato estabelecido no parágrafo anterior e que identifique, com base nas informações fornecidas pelos Estados membros, outros aspectos da segurança hemisférica afetados pela </w:t>
      </w:r>
      <w:r w:rsidR="00877D54" w:rsidRPr="00D65A20">
        <w:rPr>
          <w:rFonts w:ascii="Times New Roman" w:hAnsi="Times New Roman"/>
          <w:color w:val="000000"/>
          <w:szCs w:val="22"/>
          <w:lang w:val="pt-BR"/>
        </w:rPr>
        <w:t>pandemia de</w:t>
      </w:r>
      <w:r w:rsidRPr="00D65A20">
        <w:rPr>
          <w:rFonts w:ascii="Times New Roman" w:hAnsi="Times New Roman"/>
          <w:color w:val="000000"/>
          <w:szCs w:val="22"/>
          <w:lang w:val="pt-BR"/>
        </w:rPr>
        <w:t xml:space="preserve"> covid-19 para os quais poderia prestar assistência técnica.</w:t>
      </w:r>
    </w:p>
    <w:p w14:paraId="6E8340A9"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bCs/>
          <w:color w:val="000000"/>
          <w:sz w:val="16"/>
          <w:szCs w:val="22"/>
          <w:u w:val="single"/>
          <w:lang w:val="pt-BR"/>
        </w:rPr>
      </w:pPr>
    </w:p>
    <w:p w14:paraId="6E8340AA" w14:textId="00B8303E" w:rsidR="0011327F" w:rsidRPr="00D65A20" w:rsidRDefault="0011327F" w:rsidP="00AA4399">
      <w:pPr>
        <w:widowControl/>
        <w:numPr>
          <w:ilvl w:val="0"/>
          <w:numId w:val="19"/>
        </w:numPr>
        <w:ind w:left="0"/>
        <w:rPr>
          <w:rFonts w:ascii="Times New Roman" w:hAnsi="Times New Roman"/>
          <w:bCs/>
          <w:i/>
          <w:color w:val="000000"/>
          <w:szCs w:val="22"/>
          <w:lang w:val="pt-BR"/>
        </w:rPr>
      </w:pPr>
      <w:r w:rsidRPr="00D65A20">
        <w:rPr>
          <w:rFonts w:ascii="Times New Roman" w:hAnsi="Times New Roman"/>
          <w:color w:val="000000"/>
          <w:szCs w:val="22"/>
          <w:lang w:val="pt-BR"/>
        </w:rPr>
        <w:t>Instar os Estados</w:t>
      </w:r>
      <w:r w:rsidRPr="00D65A20">
        <w:rPr>
          <w:rFonts w:ascii="Times New Roman" w:hAnsi="Times New Roman"/>
          <w:iCs/>
          <w:color w:val="000000"/>
          <w:szCs w:val="22"/>
          <w:lang w:val="pt-BR"/>
        </w:rPr>
        <w:t xml:space="preserve"> </w:t>
      </w:r>
      <w:r w:rsidRPr="00D65A20">
        <w:rPr>
          <w:rFonts w:ascii="Times New Roman" w:hAnsi="Times New Roman"/>
          <w:bCs/>
          <w:iCs/>
          <w:szCs w:val="22"/>
          <w:lang w:val="pt-BR"/>
        </w:rPr>
        <w:t>membros</w:t>
      </w:r>
      <w:r w:rsidRPr="00D65A20">
        <w:rPr>
          <w:rFonts w:ascii="Times New Roman" w:hAnsi="Times New Roman"/>
          <w:color w:val="000000"/>
          <w:szCs w:val="22"/>
          <w:lang w:val="pt-BR"/>
        </w:rPr>
        <w:t xml:space="preserve"> a que compartilhem as boas práticas e os desafios para lidar com uma pandemia a partir da perspectiva de segurança, com o objetivo de que a CSH, com o apoio da SSM, desenvolva um documento que sirva de guia para os </w:t>
      </w:r>
      <w:r w:rsidR="008E0A50" w:rsidRPr="00D65A20">
        <w:rPr>
          <w:rFonts w:ascii="Times New Roman" w:hAnsi="Times New Roman"/>
          <w:color w:val="000000"/>
          <w:szCs w:val="22"/>
          <w:lang w:val="pt-BR"/>
        </w:rPr>
        <w:t xml:space="preserve">Estados </w:t>
      </w:r>
      <w:r w:rsidRPr="00D65A20">
        <w:rPr>
          <w:rFonts w:ascii="Times New Roman" w:hAnsi="Times New Roman"/>
          <w:color w:val="000000"/>
          <w:szCs w:val="22"/>
          <w:lang w:val="pt-BR"/>
        </w:rPr>
        <w:t>membros.</w:t>
      </w:r>
    </w:p>
    <w:p w14:paraId="6E8340AB"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bCs/>
          <w:color w:val="000000"/>
          <w:sz w:val="16"/>
          <w:szCs w:val="22"/>
          <w:u w:val="single"/>
          <w:lang w:val="pt-BR"/>
        </w:rPr>
      </w:pPr>
    </w:p>
    <w:p w14:paraId="6E8340AC" w14:textId="5D0D3CEA" w:rsidR="0011327F" w:rsidRPr="00D65A20" w:rsidRDefault="00883231" w:rsidP="00AA4399">
      <w:pPr>
        <w:widowControl/>
        <w:numPr>
          <w:ilvl w:val="0"/>
          <w:numId w:val="19"/>
        </w:numPr>
        <w:ind w:left="0"/>
        <w:rPr>
          <w:rFonts w:ascii="Times New Roman" w:hAnsi="Times New Roman"/>
          <w:bCs/>
          <w:i/>
          <w:color w:val="000000"/>
          <w:szCs w:val="22"/>
          <w:lang w:val="pt-BR"/>
        </w:rPr>
      </w:pPr>
      <w:r w:rsidRPr="00D65A20">
        <w:rPr>
          <w:rFonts w:ascii="Times New Roman" w:hAnsi="Times New Roman"/>
          <w:color w:val="000000"/>
          <w:szCs w:val="22"/>
          <w:lang w:val="pt-BR"/>
        </w:rPr>
        <w:t xml:space="preserve">Instar </w:t>
      </w:r>
      <w:r w:rsidR="0011327F" w:rsidRPr="00D65A20">
        <w:rPr>
          <w:rFonts w:ascii="Times New Roman" w:hAnsi="Times New Roman"/>
          <w:color w:val="000000"/>
          <w:szCs w:val="22"/>
          <w:lang w:val="pt-BR"/>
        </w:rPr>
        <w:t>os Estados</w:t>
      </w:r>
      <w:r w:rsidR="008E0A50" w:rsidRPr="00D65A20">
        <w:rPr>
          <w:rFonts w:ascii="Times New Roman" w:hAnsi="Times New Roman"/>
          <w:color w:val="000000"/>
          <w:szCs w:val="22"/>
          <w:lang w:val="pt-BR"/>
        </w:rPr>
        <w:t xml:space="preserve"> membros</w:t>
      </w:r>
      <w:r w:rsidR="0011327F" w:rsidRPr="00D65A20">
        <w:rPr>
          <w:rFonts w:ascii="Times New Roman" w:hAnsi="Times New Roman"/>
          <w:color w:val="000000"/>
          <w:szCs w:val="22"/>
          <w:lang w:val="pt-BR"/>
        </w:rPr>
        <w:t xml:space="preserve"> a que, junto </w:t>
      </w:r>
      <w:r w:rsidR="008E0A50" w:rsidRPr="00D65A20">
        <w:rPr>
          <w:rFonts w:ascii="Times New Roman" w:hAnsi="Times New Roman"/>
          <w:color w:val="000000"/>
          <w:szCs w:val="22"/>
          <w:lang w:val="pt-BR"/>
        </w:rPr>
        <w:t xml:space="preserve">com os </w:t>
      </w:r>
      <w:r w:rsidR="0011327F" w:rsidRPr="00D65A20">
        <w:rPr>
          <w:rFonts w:ascii="Times New Roman" w:hAnsi="Times New Roman"/>
          <w:color w:val="000000"/>
          <w:szCs w:val="22"/>
          <w:lang w:val="pt-BR"/>
        </w:rPr>
        <w:t xml:space="preserve">organismos especializados da </w:t>
      </w:r>
      <w:r w:rsidR="00F97AF3">
        <w:rPr>
          <w:rFonts w:ascii="Times New Roman" w:hAnsi="Times New Roman"/>
          <w:color w:val="000000"/>
          <w:szCs w:val="22"/>
          <w:lang w:val="pt-BR"/>
        </w:rPr>
        <w:t>Organização dos Estados Americanos (</w:t>
      </w:r>
      <w:r w:rsidR="0011327F" w:rsidRPr="00D65A20">
        <w:rPr>
          <w:rFonts w:ascii="Times New Roman" w:hAnsi="Times New Roman"/>
          <w:color w:val="000000"/>
          <w:szCs w:val="22"/>
          <w:lang w:val="pt-BR"/>
        </w:rPr>
        <w:t>OEA</w:t>
      </w:r>
      <w:r w:rsidR="00F97AF3">
        <w:rPr>
          <w:rFonts w:ascii="Times New Roman" w:hAnsi="Times New Roman"/>
          <w:color w:val="000000"/>
          <w:szCs w:val="22"/>
          <w:lang w:val="pt-BR"/>
        </w:rPr>
        <w:t>)</w:t>
      </w:r>
      <w:r w:rsidR="0011327F" w:rsidRPr="00D65A20">
        <w:rPr>
          <w:rFonts w:ascii="Times New Roman" w:hAnsi="Times New Roman"/>
          <w:color w:val="000000"/>
          <w:szCs w:val="22"/>
          <w:lang w:val="pt-BR"/>
        </w:rPr>
        <w:t>, desenvolvam e implementem</w:t>
      </w:r>
      <w:r w:rsidR="0011327F" w:rsidRPr="00D65A20">
        <w:rPr>
          <w:rFonts w:ascii="Times New Roman" w:hAnsi="Times New Roman"/>
          <w:bCs/>
          <w:szCs w:val="22"/>
          <w:lang w:val="pt-BR"/>
        </w:rPr>
        <w:t xml:space="preserve"> medidas</w:t>
      </w:r>
      <w:r w:rsidR="0011327F" w:rsidRPr="00D65A20">
        <w:rPr>
          <w:rFonts w:ascii="Times New Roman" w:hAnsi="Times New Roman"/>
          <w:bCs/>
          <w:color w:val="000000"/>
          <w:szCs w:val="22"/>
          <w:lang w:val="pt-BR"/>
        </w:rPr>
        <w:t xml:space="preserve"> consistentes com a perspectiva de direitos humanos e direitos da criança, para que, na situação que os Estados</w:t>
      </w:r>
      <w:r w:rsidR="008E0A50" w:rsidRPr="00D65A20">
        <w:rPr>
          <w:rFonts w:ascii="Times New Roman" w:hAnsi="Times New Roman"/>
          <w:bCs/>
          <w:color w:val="000000"/>
          <w:szCs w:val="22"/>
          <w:lang w:val="pt-BR"/>
        </w:rPr>
        <w:t xml:space="preserve"> membros</w:t>
      </w:r>
      <w:r w:rsidR="0011327F" w:rsidRPr="00D65A20">
        <w:rPr>
          <w:rFonts w:ascii="Times New Roman" w:hAnsi="Times New Roman"/>
          <w:bCs/>
          <w:color w:val="000000"/>
          <w:szCs w:val="22"/>
          <w:lang w:val="pt-BR"/>
        </w:rPr>
        <w:t xml:space="preserve"> </w:t>
      </w:r>
      <w:r w:rsidR="0011327F" w:rsidRPr="00D65A20">
        <w:rPr>
          <w:rFonts w:ascii="Times New Roman" w:hAnsi="Times New Roman"/>
          <w:color w:val="000000"/>
          <w:szCs w:val="22"/>
          <w:lang w:val="pt-BR"/>
        </w:rPr>
        <w:t>atravessarão</w:t>
      </w:r>
      <w:r w:rsidR="0011327F" w:rsidRPr="00D65A20">
        <w:rPr>
          <w:rFonts w:ascii="Times New Roman" w:hAnsi="Times New Roman"/>
          <w:bCs/>
          <w:color w:val="000000"/>
          <w:szCs w:val="22"/>
          <w:lang w:val="pt-BR"/>
        </w:rPr>
        <w:t xml:space="preserve"> pelo enfraquecimento de suas economias frente à </w:t>
      </w:r>
      <w:r w:rsidR="00877D54" w:rsidRPr="00D65A20">
        <w:rPr>
          <w:rFonts w:ascii="Times New Roman" w:hAnsi="Times New Roman"/>
          <w:bCs/>
          <w:color w:val="000000"/>
          <w:szCs w:val="22"/>
          <w:lang w:val="pt-BR"/>
        </w:rPr>
        <w:t>pandemia de</w:t>
      </w:r>
      <w:r w:rsidR="0011327F" w:rsidRPr="00D65A20">
        <w:rPr>
          <w:rFonts w:ascii="Times New Roman" w:hAnsi="Times New Roman"/>
          <w:bCs/>
          <w:color w:val="000000"/>
          <w:szCs w:val="22"/>
          <w:lang w:val="pt-BR"/>
        </w:rPr>
        <w:t xml:space="preserve"> covid-19, empreendam ações concretas a fim de assegurar a devida proteção das crianças e adolescentes e outros segmentos vulneráveis da população diante da ameaça do aumento do trabalho infantil, do tráfico de pessoas em todas as suas formas, </w:t>
      </w:r>
      <w:r w:rsidR="0011327F" w:rsidRPr="00D65A20">
        <w:rPr>
          <w:rFonts w:ascii="Times New Roman" w:hAnsi="Times New Roman"/>
          <w:bCs/>
          <w:szCs w:val="22"/>
          <w:lang w:val="pt-BR"/>
        </w:rPr>
        <w:t>do abuso e da exploração sexual, da ameaça de morte dirigida às crianças e aos adolescentes</w:t>
      </w:r>
      <w:r w:rsidR="0011327F" w:rsidRPr="00D65A20">
        <w:rPr>
          <w:rFonts w:ascii="Times New Roman" w:hAnsi="Times New Roman"/>
          <w:szCs w:val="22"/>
          <w:lang w:val="pt-BR"/>
        </w:rPr>
        <w:t xml:space="preserve"> e do recrutamento em grupos criminosos e de grupos armados.</w:t>
      </w:r>
    </w:p>
    <w:p w14:paraId="6E8340AD"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bCs/>
          <w:color w:val="000000"/>
          <w:szCs w:val="22"/>
          <w:u w:val="single"/>
          <w:lang w:val="pt-BR"/>
        </w:rPr>
      </w:pPr>
    </w:p>
    <w:p w14:paraId="6E8340AE" w14:textId="77777777" w:rsidR="0011327F" w:rsidRPr="00D65A20" w:rsidRDefault="0011327F" w:rsidP="00377CA8">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lang w:val="pt-BR"/>
        </w:rPr>
      </w:pPr>
      <w:r w:rsidRPr="00D65A20">
        <w:rPr>
          <w:rFonts w:ascii="Times New Roman" w:hAnsi="Times New Roman"/>
          <w:color w:val="000000"/>
          <w:szCs w:val="22"/>
          <w:u w:val="single"/>
          <w:lang w:val="pt-BR"/>
        </w:rPr>
        <w:t>Compromissos com a paz, o desarmamento e a não proliferação</w:t>
      </w:r>
    </w:p>
    <w:p w14:paraId="6E8340AF"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color w:val="000000"/>
          <w:szCs w:val="22"/>
          <w:lang w:val="pt-BR"/>
        </w:rPr>
      </w:pPr>
    </w:p>
    <w:p w14:paraId="6E8340B0" w14:textId="77777777" w:rsidR="0011327F" w:rsidRPr="00D65A20" w:rsidRDefault="0011327F" w:rsidP="00AA4399">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SimSun" w:hAnsi="Times New Roman"/>
          <w:color w:val="000000"/>
          <w:szCs w:val="22"/>
          <w:u w:val="single"/>
          <w:lang w:val="pt-BR"/>
        </w:rPr>
      </w:pPr>
      <w:r w:rsidRPr="00D65A20">
        <w:rPr>
          <w:rFonts w:ascii="Times New Roman" w:hAnsi="Times New Roman"/>
          <w:color w:val="000000"/>
          <w:szCs w:val="22"/>
          <w:u w:val="single"/>
          <w:lang w:val="pt-BR"/>
        </w:rPr>
        <w:t>As Américas como zona de paz</w:t>
      </w:r>
    </w:p>
    <w:p w14:paraId="6E8340B1" w14:textId="77777777" w:rsidR="0011327F" w:rsidRPr="00D65A20" w:rsidRDefault="0011327F" w:rsidP="00AA4399">
      <w:pPr>
        <w:widowControl/>
        <w:outlineLvl w:val="2"/>
        <w:rPr>
          <w:rFonts w:ascii="Times New Roman" w:eastAsia="Batang" w:hAnsi="Times New Roman"/>
          <w:bCs/>
          <w:color w:val="000000"/>
          <w:szCs w:val="22"/>
          <w:u w:val="single"/>
          <w:lang w:val="pt-BR"/>
        </w:rPr>
      </w:pPr>
    </w:p>
    <w:p w14:paraId="6E8340B2" w14:textId="7F314308"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Reafirmar o compromisso dos Estados membros de continuar o trabalho de consolidação das Américas como </w:t>
      </w:r>
      <w:r w:rsidRPr="00D65A20">
        <w:rPr>
          <w:rFonts w:ascii="Times New Roman" w:hAnsi="Times New Roman"/>
          <w:color w:val="000000"/>
          <w:szCs w:val="22"/>
          <w:lang w:val="pt-BR"/>
        </w:rPr>
        <w:t>zona</w:t>
      </w:r>
      <w:r w:rsidRPr="00D65A20">
        <w:rPr>
          <w:rFonts w:ascii="Times New Roman" w:hAnsi="Times New Roman"/>
          <w:szCs w:val="22"/>
          <w:lang w:val="pt-BR"/>
        </w:rPr>
        <w:t xml:space="preserve"> de paz, para o que se devem fortalecer os processos </w:t>
      </w:r>
      <w:r w:rsidRPr="00D65A20">
        <w:rPr>
          <w:rFonts w:ascii="Times New Roman" w:hAnsi="Times New Roman"/>
          <w:bCs/>
          <w:szCs w:val="22"/>
          <w:lang w:val="pt-BR"/>
        </w:rPr>
        <w:t xml:space="preserve">democráticos, com pleno respeito à soberania e independência de cada Estado e ao </w:t>
      </w:r>
      <w:r w:rsidR="008E0A50" w:rsidRPr="00D65A20">
        <w:rPr>
          <w:rFonts w:ascii="Times New Roman" w:hAnsi="Times New Roman"/>
          <w:bCs/>
          <w:szCs w:val="22"/>
          <w:lang w:val="pt-BR"/>
        </w:rPr>
        <w:t>D</w:t>
      </w:r>
      <w:r w:rsidRPr="00D65A20">
        <w:rPr>
          <w:rFonts w:ascii="Times New Roman" w:hAnsi="Times New Roman"/>
          <w:bCs/>
          <w:szCs w:val="22"/>
          <w:lang w:val="pt-BR"/>
        </w:rPr>
        <w:t xml:space="preserve">ireito internacional, </w:t>
      </w:r>
      <w:r w:rsidR="00C270C4" w:rsidRPr="00D65A20">
        <w:rPr>
          <w:rFonts w:ascii="Times New Roman" w:hAnsi="Times New Roman"/>
          <w:bCs/>
          <w:szCs w:val="22"/>
          <w:lang w:val="pt-BR"/>
        </w:rPr>
        <w:t>à</w:t>
      </w:r>
      <w:r w:rsidRPr="00D65A20">
        <w:rPr>
          <w:rFonts w:ascii="Times New Roman" w:hAnsi="Times New Roman"/>
          <w:bCs/>
          <w:szCs w:val="22"/>
          <w:lang w:val="pt-BR"/>
        </w:rPr>
        <w:t xml:space="preserve"> justiça, </w:t>
      </w:r>
      <w:r w:rsidR="008E0A50" w:rsidRPr="00D65A20">
        <w:rPr>
          <w:rFonts w:ascii="Times New Roman" w:hAnsi="Times New Roman"/>
          <w:bCs/>
          <w:szCs w:val="22"/>
          <w:lang w:val="pt-BR"/>
        </w:rPr>
        <w:t>aos</w:t>
      </w:r>
      <w:r w:rsidRPr="00D65A20">
        <w:rPr>
          <w:rFonts w:ascii="Times New Roman" w:hAnsi="Times New Roman"/>
          <w:bCs/>
          <w:szCs w:val="22"/>
          <w:lang w:val="pt-BR"/>
        </w:rPr>
        <w:t xml:space="preserve"> direitos humanos, </w:t>
      </w:r>
      <w:r w:rsidR="00C270C4" w:rsidRPr="00D65A20">
        <w:rPr>
          <w:rFonts w:ascii="Times New Roman" w:hAnsi="Times New Roman"/>
          <w:bCs/>
          <w:szCs w:val="22"/>
          <w:lang w:val="pt-BR"/>
        </w:rPr>
        <w:t xml:space="preserve">à </w:t>
      </w:r>
      <w:r w:rsidRPr="00D65A20">
        <w:rPr>
          <w:rFonts w:ascii="Times New Roman" w:hAnsi="Times New Roman"/>
          <w:bCs/>
          <w:szCs w:val="22"/>
          <w:lang w:val="pt-BR"/>
        </w:rPr>
        <w:t xml:space="preserve">solidariedade e </w:t>
      </w:r>
      <w:r w:rsidR="00C270C4" w:rsidRPr="00D65A20">
        <w:rPr>
          <w:rFonts w:ascii="Times New Roman" w:hAnsi="Times New Roman"/>
          <w:bCs/>
          <w:szCs w:val="22"/>
          <w:lang w:val="pt-BR"/>
        </w:rPr>
        <w:t xml:space="preserve">à </w:t>
      </w:r>
      <w:r w:rsidRPr="00D65A20">
        <w:rPr>
          <w:rFonts w:ascii="Times New Roman" w:hAnsi="Times New Roman"/>
          <w:bCs/>
          <w:szCs w:val="22"/>
          <w:lang w:val="pt-BR"/>
        </w:rPr>
        <w:t>segurança, em conformidade com</w:t>
      </w:r>
      <w:r w:rsidRPr="00D65A20">
        <w:rPr>
          <w:rFonts w:ascii="Times New Roman" w:hAnsi="Times New Roman"/>
          <w:szCs w:val="22"/>
          <w:lang w:val="pt-BR"/>
        </w:rPr>
        <w:t xml:space="preserve"> a legislação interna de cada país.</w:t>
      </w:r>
    </w:p>
    <w:p w14:paraId="6E8340B3" w14:textId="77777777" w:rsidR="0011327F" w:rsidRPr="00D65A20" w:rsidRDefault="0011327F" w:rsidP="00AA4399">
      <w:pPr>
        <w:widowControl/>
        <w:autoSpaceDE w:val="0"/>
        <w:autoSpaceDN w:val="0"/>
        <w:adjustRightInd w:val="0"/>
        <w:rPr>
          <w:rFonts w:ascii="Times New Roman" w:hAnsi="Times New Roman"/>
          <w:szCs w:val="22"/>
          <w:lang w:val="pt-BR"/>
        </w:rPr>
      </w:pPr>
    </w:p>
    <w:p w14:paraId="6E8340B4" w14:textId="43A28956"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szCs w:val="22"/>
          <w:lang w:val="pt-BR"/>
        </w:rPr>
        <w:t xml:space="preserve">Reiterar o interesse e a importância da realização de uma reunião com a Comissão de Consolidação da Paz das Nações Unidas em data a ser definida por ambas as Comissões, com o objetivo de facilitar o </w:t>
      </w:r>
      <w:r w:rsidRPr="00D65A20">
        <w:rPr>
          <w:rFonts w:ascii="Times New Roman" w:hAnsi="Times New Roman"/>
          <w:color w:val="000000"/>
          <w:szCs w:val="22"/>
          <w:lang w:val="pt-BR"/>
        </w:rPr>
        <w:t>intercâmbio</w:t>
      </w:r>
      <w:r w:rsidRPr="00D65A20">
        <w:rPr>
          <w:rFonts w:ascii="Times New Roman" w:hAnsi="Times New Roman"/>
          <w:szCs w:val="22"/>
          <w:lang w:val="pt-BR"/>
        </w:rPr>
        <w:t xml:space="preserve"> de boas práticas </w:t>
      </w:r>
      <w:r w:rsidR="008E0A50" w:rsidRPr="00D65A20">
        <w:rPr>
          <w:rFonts w:ascii="Times New Roman" w:hAnsi="Times New Roman"/>
          <w:szCs w:val="22"/>
          <w:lang w:val="pt-BR"/>
        </w:rPr>
        <w:t xml:space="preserve">para a </w:t>
      </w:r>
      <w:r w:rsidRPr="00D65A20">
        <w:rPr>
          <w:rFonts w:ascii="Times New Roman" w:hAnsi="Times New Roman"/>
          <w:szCs w:val="22"/>
          <w:lang w:val="pt-BR"/>
        </w:rPr>
        <w:t xml:space="preserve">consolidação e </w:t>
      </w:r>
      <w:r w:rsidR="008E0A50" w:rsidRPr="00D65A20">
        <w:rPr>
          <w:rFonts w:ascii="Times New Roman" w:hAnsi="Times New Roman"/>
          <w:szCs w:val="22"/>
          <w:lang w:val="pt-BR"/>
        </w:rPr>
        <w:t xml:space="preserve">a </w:t>
      </w:r>
      <w:r w:rsidRPr="00D65A20">
        <w:rPr>
          <w:rFonts w:ascii="Times New Roman" w:hAnsi="Times New Roman"/>
          <w:szCs w:val="22"/>
          <w:lang w:val="pt-BR"/>
        </w:rPr>
        <w:t>manutenção da paz na região.</w:t>
      </w:r>
    </w:p>
    <w:p w14:paraId="6E8340B5" w14:textId="77777777" w:rsidR="0011327F" w:rsidRPr="00D65A20" w:rsidRDefault="0011327F" w:rsidP="00AA4399">
      <w:pPr>
        <w:widowControl/>
        <w:outlineLvl w:val="2"/>
        <w:rPr>
          <w:rFonts w:ascii="Times New Roman" w:eastAsia="Batang" w:hAnsi="Times New Roman"/>
          <w:bCs/>
          <w:color w:val="000000"/>
          <w:szCs w:val="22"/>
          <w:u w:val="single"/>
          <w:lang w:val="pt-BR"/>
        </w:rPr>
      </w:pPr>
    </w:p>
    <w:p w14:paraId="6E8340B6" w14:textId="77777777" w:rsidR="0011327F" w:rsidRPr="00D65A20" w:rsidRDefault="0011327F" w:rsidP="00AA4399">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SimSun" w:hAnsi="Times New Roman"/>
          <w:color w:val="000000"/>
          <w:szCs w:val="22"/>
          <w:u w:val="single"/>
          <w:lang w:val="pt-BR" w:eastAsia="zh-CN"/>
        </w:rPr>
      </w:pPr>
      <w:r w:rsidRPr="00D65A20">
        <w:rPr>
          <w:rFonts w:ascii="Times New Roman" w:hAnsi="Times New Roman"/>
          <w:color w:val="000000"/>
          <w:szCs w:val="22"/>
          <w:u w:val="single"/>
          <w:lang w:val="pt-BR"/>
        </w:rPr>
        <w:t xml:space="preserve">Desarmamento e não proliferação no Hemisfério </w:t>
      </w:r>
    </w:p>
    <w:p w14:paraId="6E8340B7" w14:textId="77777777" w:rsidR="0011327F" w:rsidRPr="00D65A20" w:rsidRDefault="0011327F" w:rsidP="00AA4399">
      <w:pPr>
        <w:widowControl/>
        <w:rPr>
          <w:rFonts w:ascii="Times New Roman" w:hAnsi="Times New Roman"/>
          <w:color w:val="000000"/>
          <w:szCs w:val="22"/>
          <w:u w:val="single"/>
          <w:lang w:val="pt-BR"/>
        </w:rPr>
      </w:pPr>
    </w:p>
    <w:p w14:paraId="6E8340B8" w14:textId="77777777"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 xml:space="preserve">Celebrar os cinquenta anos da entrada em vigor do Tratado de Não Proliferação de Armas Nucleares (TNP) e reafirmar o </w:t>
      </w:r>
      <w:r w:rsidRPr="00D65A20">
        <w:rPr>
          <w:rFonts w:ascii="Times New Roman" w:hAnsi="Times New Roman"/>
          <w:color w:val="000000"/>
          <w:szCs w:val="22"/>
          <w:lang w:val="pt-BR"/>
        </w:rPr>
        <w:t>compromisso</w:t>
      </w:r>
      <w:r w:rsidRPr="00D65A20">
        <w:rPr>
          <w:rFonts w:ascii="Times New Roman" w:hAnsi="Times New Roman"/>
          <w:bCs/>
          <w:szCs w:val="22"/>
          <w:lang w:val="pt-BR"/>
        </w:rPr>
        <w:t xml:space="preserve"> com a implementação das obrigações do tratado, destacando seu papel como pedra angular do regime de não proliferação e desarmamento nuclear e assegurando os benefícios dos usos exclusivamente pacíficos da energia nuclear. </w:t>
      </w:r>
    </w:p>
    <w:p w14:paraId="6E8340B9" w14:textId="77777777" w:rsidR="0011327F" w:rsidRPr="00D65A20" w:rsidRDefault="0011327F" w:rsidP="00AA4399">
      <w:pPr>
        <w:widowControl/>
        <w:rPr>
          <w:rFonts w:ascii="Times New Roman" w:hAnsi="Times New Roman"/>
          <w:bCs/>
          <w:szCs w:val="22"/>
          <w:lang w:val="pt-BR"/>
        </w:rPr>
      </w:pPr>
    </w:p>
    <w:p w14:paraId="6E8340BA" w14:textId="77777777"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 xml:space="preserve">Reafirmar o seu compromisso com o cumprimento dos instrumentos existentes em matéria de desarmamento e não </w:t>
      </w:r>
      <w:r w:rsidRPr="00D65A20">
        <w:rPr>
          <w:rFonts w:ascii="Times New Roman" w:hAnsi="Times New Roman"/>
          <w:color w:val="000000"/>
          <w:szCs w:val="22"/>
          <w:lang w:val="pt-BR"/>
        </w:rPr>
        <w:t>proliferação</w:t>
      </w:r>
      <w:r w:rsidRPr="00D65A20">
        <w:rPr>
          <w:rFonts w:ascii="Times New Roman" w:hAnsi="Times New Roman"/>
          <w:bCs/>
          <w:szCs w:val="22"/>
          <w:lang w:val="pt-BR"/>
        </w:rPr>
        <w:t xml:space="preserve"> de armas de destruição em massa e com a busca de soluções multilaterais nessa área, com o objetivo de alcançar um mundo mais pacífico e seguro. </w:t>
      </w:r>
    </w:p>
    <w:p w14:paraId="6E8340BB" w14:textId="77777777" w:rsidR="0011327F" w:rsidRPr="00D65A20" w:rsidRDefault="0011327F" w:rsidP="00AA4399">
      <w:pPr>
        <w:widowControl/>
        <w:suppressAutoHyphens/>
        <w:rPr>
          <w:rFonts w:ascii="Times New Roman" w:hAnsi="Times New Roman"/>
          <w:color w:val="000000"/>
          <w:szCs w:val="22"/>
          <w:u w:val="single"/>
          <w:lang w:val="pt-BR"/>
        </w:rPr>
      </w:pPr>
    </w:p>
    <w:p w14:paraId="6E8340BC" w14:textId="77777777" w:rsidR="0011327F" w:rsidRPr="00D65A20" w:rsidRDefault="0011327F" w:rsidP="00AA4399">
      <w:pPr>
        <w:widowControl/>
        <w:numPr>
          <w:ilvl w:val="0"/>
          <w:numId w:val="19"/>
        </w:numPr>
        <w:ind w:left="0"/>
        <w:rPr>
          <w:rFonts w:ascii="Times New Roman" w:eastAsia="Batang" w:hAnsi="Times New Roman"/>
          <w:bCs/>
          <w:color w:val="000000"/>
          <w:szCs w:val="22"/>
          <w:u w:val="single"/>
          <w:lang w:val="pt-BR"/>
        </w:rPr>
      </w:pPr>
      <w:r w:rsidRPr="00D65A20">
        <w:rPr>
          <w:rFonts w:ascii="Times New Roman" w:hAnsi="Times New Roman"/>
          <w:bCs/>
          <w:color w:val="000000"/>
          <w:szCs w:val="22"/>
          <w:lang w:val="pt-BR"/>
        </w:rPr>
        <w:t xml:space="preserve">Apoiar e promover os </w:t>
      </w:r>
      <w:r w:rsidRPr="00D65A20">
        <w:rPr>
          <w:rFonts w:ascii="Times New Roman" w:hAnsi="Times New Roman"/>
          <w:color w:val="000000"/>
          <w:szCs w:val="22"/>
          <w:lang w:val="pt-BR"/>
        </w:rPr>
        <w:t>esforços</w:t>
      </w:r>
      <w:r w:rsidRPr="00D65A20">
        <w:rPr>
          <w:rFonts w:ascii="Times New Roman" w:hAnsi="Times New Roman"/>
          <w:bCs/>
          <w:color w:val="000000"/>
          <w:szCs w:val="22"/>
          <w:lang w:val="pt-BR"/>
        </w:rPr>
        <w:t xml:space="preserve"> dos Estados membros voltados à segurança física das instalações nucleares, do material e das fontes radioativas — incluindo o transporte — nos avanços </w:t>
      </w:r>
      <w:r w:rsidRPr="00D65A20">
        <w:rPr>
          <w:rFonts w:ascii="Times New Roman" w:hAnsi="Times New Roman"/>
          <w:bCs/>
          <w:color w:val="000000"/>
          <w:szCs w:val="22"/>
          <w:lang w:val="pt-BR"/>
        </w:rPr>
        <w:lastRenderedPageBreak/>
        <w:t>do combate ao tráfico ilícito de material nuclear e outros materiais radioativos, da ciência forense nuclear, da cultura de segurança nuclear, da segurança da informação, da cooperação internacional e das sinergias relacionadas à interface entre a segurança nuclear e a prevenção de acidentes.</w:t>
      </w:r>
    </w:p>
    <w:p w14:paraId="6E8340BD" w14:textId="77777777" w:rsidR="0011327F" w:rsidRPr="00D65A20" w:rsidRDefault="0011327F" w:rsidP="00AA4399">
      <w:pPr>
        <w:widowControl/>
        <w:jc w:val="left"/>
        <w:rPr>
          <w:rFonts w:ascii="Times New Roman" w:hAnsi="Times New Roman"/>
          <w:szCs w:val="22"/>
          <w:lang w:val="pt-BR" w:eastAsia="pt-BR"/>
        </w:rPr>
      </w:pPr>
    </w:p>
    <w:p w14:paraId="6E8340BE" w14:textId="09979498" w:rsidR="0011327F" w:rsidRPr="00D65A20" w:rsidRDefault="0011327F" w:rsidP="00AA4399">
      <w:pPr>
        <w:widowControl/>
        <w:numPr>
          <w:ilvl w:val="0"/>
          <w:numId w:val="19"/>
        </w:numPr>
        <w:ind w:left="0"/>
        <w:rPr>
          <w:rFonts w:ascii="Times New Roman" w:hAnsi="Times New Roman"/>
          <w:bCs/>
          <w:i/>
          <w:iCs/>
          <w:szCs w:val="22"/>
          <w:lang w:val="pt-BR"/>
        </w:rPr>
      </w:pPr>
      <w:r w:rsidRPr="00D65A20">
        <w:rPr>
          <w:rFonts w:ascii="Times New Roman" w:hAnsi="Times New Roman"/>
          <w:bCs/>
          <w:szCs w:val="22"/>
          <w:lang w:val="pt-BR"/>
        </w:rPr>
        <w:t>Tomar nota de que o Tratado sobre a Proibição d</w:t>
      </w:r>
      <w:r w:rsidR="00B75839">
        <w:rPr>
          <w:rFonts w:ascii="Times New Roman" w:hAnsi="Times New Roman"/>
          <w:bCs/>
          <w:szCs w:val="22"/>
          <w:lang w:val="pt-BR"/>
        </w:rPr>
        <w:t>as</w:t>
      </w:r>
      <w:r w:rsidRPr="00D65A20">
        <w:rPr>
          <w:rFonts w:ascii="Times New Roman" w:hAnsi="Times New Roman"/>
          <w:bCs/>
          <w:szCs w:val="22"/>
          <w:lang w:val="pt-BR"/>
        </w:rPr>
        <w:t xml:space="preserve"> Armas Nucleares está aberto a ratificação desde 2017.</w:t>
      </w:r>
      <w:r w:rsidRPr="00377CA8">
        <w:rPr>
          <w:rFonts w:ascii="Times New Roman" w:hAnsi="Times New Roman"/>
          <w:szCs w:val="22"/>
          <w:u w:val="single"/>
          <w:vertAlign w:val="superscript"/>
          <w:lang w:val="pt-BR"/>
        </w:rPr>
        <w:footnoteReference w:id="14"/>
      </w:r>
      <w:r w:rsidRPr="00377CA8">
        <w:rPr>
          <w:rFonts w:ascii="Times New Roman" w:hAnsi="Times New Roman"/>
          <w:szCs w:val="22"/>
          <w:vertAlign w:val="superscript"/>
          <w:lang w:val="pt-BR"/>
        </w:rPr>
        <w:t>/</w:t>
      </w:r>
    </w:p>
    <w:p w14:paraId="6E8340BF"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bCs/>
          <w:i/>
          <w:iCs/>
          <w:sz w:val="16"/>
          <w:szCs w:val="22"/>
          <w:lang w:val="pt-BR"/>
        </w:rPr>
      </w:pPr>
    </w:p>
    <w:p w14:paraId="6E8340C0" w14:textId="77777777"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 xml:space="preserve">Reafirmar seu compromisso com as normas internacionais e os mecanismos multilaterais contra o uso de armas </w:t>
      </w:r>
      <w:r w:rsidRPr="00D65A20">
        <w:rPr>
          <w:rFonts w:ascii="Times New Roman" w:hAnsi="Times New Roman"/>
          <w:color w:val="000000"/>
          <w:szCs w:val="22"/>
          <w:lang w:val="pt-BR"/>
        </w:rPr>
        <w:t>biológicas</w:t>
      </w:r>
      <w:r w:rsidRPr="00D65A20">
        <w:rPr>
          <w:rFonts w:ascii="Times New Roman" w:hAnsi="Times New Roman"/>
          <w:bCs/>
          <w:szCs w:val="22"/>
          <w:lang w:val="pt-BR"/>
        </w:rPr>
        <w:t xml:space="preserve"> e químicas e reiterar seu compromisso resoluto com a Convenção sobre a Proibição do Desenvolvimento, Produção e Estocagem de Armas Bacteriológicas (Biológicas) e à Base de Toxinas e Sua Destruição, com a Convenção sobre a Proibição do Desenvolvimento, Produção, Estocagem e Uso de Armas Químicas e Sua Destruição, e com a Organização para a Proibição das Armas Químicas. </w:t>
      </w:r>
    </w:p>
    <w:p w14:paraId="6E8340C1" w14:textId="77777777" w:rsidR="0011327F" w:rsidRPr="00D65A20" w:rsidRDefault="0011327F" w:rsidP="00AA4399">
      <w:pPr>
        <w:widowControl/>
        <w:autoSpaceDE w:val="0"/>
        <w:autoSpaceDN w:val="0"/>
        <w:adjustRightInd w:val="0"/>
        <w:rPr>
          <w:rFonts w:ascii="Times New Roman" w:hAnsi="Times New Roman"/>
          <w:bCs/>
          <w:szCs w:val="22"/>
          <w:lang w:val="pt-BR"/>
        </w:rPr>
      </w:pPr>
    </w:p>
    <w:p w14:paraId="6E8340C2" w14:textId="77777777"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 xml:space="preserve">Reconhecer que a aplicação pacífica da energia nuclear implica que cada Estado é responsável pela operação segura de reatores e instalações nucleares, bem como pela segurança de materiais nucleares e fontes radioativas, e deve garanti-las. </w:t>
      </w:r>
    </w:p>
    <w:p w14:paraId="6E8340C3" w14:textId="77777777" w:rsidR="0011327F" w:rsidRPr="00D65A20" w:rsidRDefault="0011327F" w:rsidP="00AA4399">
      <w:pPr>
        <w:widowControl/>
        <w:autoSpaceDE w:val="0"/>
        <w:autoSpaceDN w:val="0"/>
        <w:adjustRightInd w:val="0"/>
        <w:rPr>
          <w:rFonts w:ascii="Times New Roman" w:hAnsi="Times New Roman"/>
          <w:bCs/>
          <w:szCs w:val="22"/>
          <w:lang w:val="pt-BR"/>
        </w:rPr>
      </w:pPr>
    </w:p>
    <w:p w14:paraId="6E8340C4" w14:textId="405BC717" w:rsidR="0011327F" w:rsidRPr="00D65A20" w:rsidRDefault="0011327F" w:rsidP="00AA4399">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color w:val="000000"/>
          <w:szCs w:val="22"/>
          <w:u w:val="single"/>
          <w:lang w:val="pt-BR"/>
        </w:rPr>
      </w:pPr>
      <w:r w:rsidRPr="00D65A20">
        <w:rPr>
          <w:rFonts w:ascii="Times New Roman" w:hAnsi="Times New Roman"/>
          <w:color w:val="000000"/>
          <w:szCs w:val="22"/>
          <w:u w:val="single"/>
          <w:lang w:val="pt-BR"/>
        </w:rPr>
        <w:t>As Américas como zona livre de minas terrestres antipessoal</w:t>
      </w:r>
      <w:r w:rsidR="00377CA8" w:rsidRPr="00377CA8">
        <w:rPr>
          <w:rFonts w:ascii="Times New Roman" w:hAnsi="Times New Roman"/>
          <w:color w:val="000000"/>
          <w:szCs w:val="22"/>
          <w:lang w:val="pt-BR"/>
        </w:rPr>
        <w:t xml:space="preserve"> </w:t>
      </w:r>
      <w:r w:rsidRPr="00D65A20">
        <w:rPr>
          <w:rFonts w:ascii="Times New Roman" w:hAnsi="Times New Roman"/>
          <w:szCs w:val="22"/>
          <w:u w:val="single"/>
          <w:vertAlign w:val="superscript"/>
          <w:lang w:val="pt-BR"/>
        </w:rPr>
        <w:footnoteReference w:id="15"/>
      </w:r>
      <w:r w:rsidRPr="00377CA8">
        <w:rPr>
          <w:rFonts w:ascii="Times New Roman" w:hAnsi="Times New Roman"/>
          <w:color w:val="000000"/>
          <w:szCs w:val="22"/>
          <w:vertAlign w:val="superscript"/>
          <w:lang w:val="pt-BR"/>
        </w:rPr>
        <w:t>/</w:t>
      </w:r>
    </w:p>
    <w:p w14:paraId="6E8340C5" w14:textId="77777777" w:rsidR="0011327F" w:rsidRPr="00D65A20" w:rsidRDefault="0011327F" w:rsidP="00AA4399">
      <w:pPr>
        <w:widowControl/>
        <w:rPr>
          <w:rFonts w:ascii="Times New Roman" w:hAnsi="Times New Roman"/>
          <w:color w:val="000000"/>
          <w:szCs w:val="22"/>
          <w:lang w:val="pt-BR"/>
        </w:rPr>
      </w:pPr>
    </w:p>
    <w:p w14:paraId="6E8340C6"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Apoiar e promover com determinação o cumprimento dos princípios da Convenção sobre a Proibição do Uso, Armazenamento, Produção e </w:t>
      </w:r>
      <w:r w:rsidRPr="00D65A20">
        <w:rPr>
          <w:rFonts w:ascii="Times New Roman" w:hAnsi="Times New Roman"/>
          <w:color w:val="000000"/>
          <w:szCs w:val="22"/>
          <w:lang w:val="pt-BR"/>
        </w:rPr>
        <w:t>Transferência</w:t>
      </w:r>
      <w:r w:rsidRPr="00D65A20">
        <w:rPr>
          <w:rFonts w:ascii="Times New Roman" w:hAnsi="Times New Roman"/>
          <w:szCs w:val="22"/>
          <w:lang w:val="pt-BR"/>
        </w:rPr>
        <w:t xml:space="preserve"> de Minas Antipessoal e sobre sua Destruição (Convenção de Ottawa) e do Plano de Ação de Oslo 2019</w:t>
      </w:r>
      <w:r w:rsidR="006175A3" w:rsidRPr="00D65A20">
        <w:rPr>
          <w:rFonts w:ascii="Times New Roman" w:hAnsi="Times New Roman"/>
          <w:szCs w:val="22"/>
          <w:lang w:val="pt-BR"/>
        </w:rPr>
        <w:t>–</w:t>
      </w:r>
      <w:r w:rsidRPr="00D65A20">
        <w:rPr>
          <w:rFonts w:ascii="Times New Roman" w:hAnsi="Times New Roman"/>
          <w:szCs w:val="22"/>
          <w:lang w:val="pt-BR"/>
        </w:rPr>
        <w:t>2024, com a intenção de cumprir a maioria desses objetivos, tanto quanto possível, até o ano de 2025.</w:t>
      </w:r>
    </w:p>
    <w:p w14:paraId="6E8340C7" w14:textId="77777777" w:rsidR="0011327F" w:rsidRPr="00D65A20" w:rsidRDefault="0011327F" w:rsidP="00AA4399">
      <w:pPr>
        <w:widowControl/>
        <w:rPr>
          <w:rFonts w:ascii="Times New Roman" w:hAnsi="Times New Roman"/>
          <w:szCs w:val="22"/>
          <w:lang w:val="pt-BR"/>
        </w:rPr>
      </w:pPr>
    </w:p>
    <w:p w14:paraId="6E8340C8" w14:textId="172C3315"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Cumprimentar a República do Chile por haver sido declarad</w:t>
      </w:r>
      <w:r w:rsidR="006175A3" w:rsidRPr="00D65A20">
        <w:rPr>
          <w:rFonts w:ascii="Times New Roman" w:hAnsi="Times New Roman"/>
          <w:szCs w:val="22"/>
          <w:lang w:val="pt-BR"/>
        </w:rPr>
        <w:t>a</w:t>
      </w:r>
      <w:r w:rsidRPr="00D65A20">
        <w:rPr>
          <w:rFonts w:ascii="Times New Roman" w:hAnsi="Times New Roman"/>
          <w:szCs w:val="22"/>
          <w:lang w:val="pt-BR"/>
        </w:rPr>
        <w:t xml:space="preserve"> país “livre de minas antipessoal”, ao concluir as ações de </w:t>
      </w:r>
      <w:r w:rsidRPr="00D65A20">
        <w:rPr>
          <w:rFonts w:ascii="Times New Roman" w:hAnsi="Times New Roman"/>
          <w:color w:val="000000"/>
          <w:szCs w:val="22"/>
          <w:lang w:val="pt-BR"/>
        </w:rPr>
        <w:t>limpeza</w:t>
      </w:r>
      <w:r w:rsidRPr="00D65A20">
        <w:rPr>
          <w:rFonts w:ascii="Times New Roman" w:hAnsi="Times New Roman"/>
          <w:szCs w:val="22"/>
          <w:lang w:val="pt-BR"/>
        </w:rPr>
        <w:t xml:space="preserve"> de todos os campos minados em seu território, cumprindo assim as obrigações assumidas na Convenção de Ottawa.</w:t>
      </w:r>
    </w:p>
    <w:p w14:paraId="6E8340C9" w14:textId="77777777" w:rsidR="0011327F" w:rsidRPr="00D65A20" w:rsidRDefault="0011327F" w:rsidP="00AA4399">
      <w:pPr>
        <w:widowControl/>
        <w:rPr>
          <w:rFonts w:ascii="Times New Roman" w:hAnsi="Times New Roman"/>
          <w:szCs w:val="22"/>
          <w:lang w:val="pt-BR"/>
        </w:rPr>
      </w:pPr>
    </w:p>
    <w:p w14:paraId="6E8340CA" w14:textId="486E354C"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 xml:space="preserve">Reiterar o mandato </w:t>
      </w:r>
      <w:r w:rsidR="008E0A50" w:rsidRPr="00D65A20">
        <w:rPr>
          <w:rFonts w:ascii="Times New Roman" w:hAnsi="Times New Roman"/>
          <w:bCs/>
          <w:szCs w:val="22"/>
          <w:lang w:val="pt-BR"/>
        </w:rPr>
        <w:t xml:space="preserve">conferido </w:t>
      </w:r>
      <w:r w:rsidRPr="00D65A20">
        <w:rPr>
          <w:rFonts w:ascii="Times New Roman" w:hAnsi="Times New Roman"/>
          <w:bCs/>
          <w:szCs w:val="22"/>
          <w:lang w:val="pt-BR"/>
        </w:rPr>
        <w:t xml:space="preserve">à Secretaria-Geral de, por meio do Programa de Ação Integral contra </w:t>
      </w:r>
      <w:r w:rsidR="00B75839">
        <w:rPr>
          <w:rFonts w:ascii="Times New Roman" w:hAnsi="Times New Roman"/>
          <w:bCs/>
          <w:szCs w:val="22"/>
          <w:lang w:val="pt-BR"/>
        </w:rPr>
        <w:t xml:space="preserve">as </w:t>
      </w:r>
      <w:r w:rsidRPr="00D65A20">
        <w:rPr>
          <w:rFonts w:ascii="Times New Roman" w:hAnsi="Times New Roman"/>
          <w:bCs/>
          <w:szCs w:val="22"/>
          <w:lang w:val="pt-BR"/>
        </w:rPr>
        <w:t>Minas Antipessoal (</w:t>
      </w:r>
      <w:r w:rsidRPr="00D65A20">
        <w:rPr>
          <w:rFonts w:ascii="Times New Roman" w:hAnsi="Times New Roman"/>
          <w:color w:val="000000"/>
          <w:szCs w:val="22"/>
          <w:lang w:val="pt-BR"/>
        </w:rPr>
        <w:t>AICMA</w:t>
      </w:r>
      <w:r w:rsidRPr="00D65A20">
        <w:rPr>
          <w:rFonts w:ascii="Times New Roman" w:hAnsi="Times New Roman"/>
          <w:bCs/>
          <w:szCs w:val="22"/>
          <w:lang w:val="pt-BR"/>
        </w:rPr>
        <w:t>) do Departamento de Segurança Pública</w:t>
      </w:r>
      <w:r w:rsidR="0053718D" w:rsidRPr="00D65A20">
        <w:rPr>
          <w:rFonts w:ascii="Times New Roman" w:hAnsi="Times New Roman"/>
          <w:bCs/>
          <w:szCs w:val="22"/>
          <w:lang w:val="pt-BR"/>
        </w:rPr>
        <w:t xml:space="preserve"> </w:t>
      </w:r>
      <w:r w:rsidR="00C03CC1" w:rsidRPr="00D65A20">
        <w:rPr>
          <w:rFonts w:ascii="Times New Roman" w:hAnsi="Times New Roman"/>
          <w:bCs/>
          <w:szCs w:val="22"/>
          <w:lang w:val="pt-BR"/>
        </w:rPr>
        <w:t xml:space="preserve">da SSM, </w:t>
      </w:r>
      <w:r w:rsidRPr="00D65A20">
        <w:rPr>
          <w:rFonts w:ascii="Times New Roman" w:hAnsi="Times New Roman"/>
          <w:bCs/>
          <w:szCs w:val="22"/>
          <w:lang w:val="pt-BR"/>
        </w:rPr>
        <w:t xml:space="preserve">dar continuidade aos seus esforços junto aos Estados membros, aos Observadores Permanentes e a outros Estados e organizações doadoras na identificação e obtenção dos recursos financeiros voluntários para os programas de ação integrada contra minas executados pelos </w:t>
      </w:r>
      <w:r w:rsidR="006175A3" w:rsidRPr="00D65A20">
        <w:rPr>
          <w:rFonts w:ascii="Times New Roman" w:hAnsi="Times New Roman"/>
          <w:bCs/>
          <w:szCs w:val="22"/>
          <w:lang w:val="pt-BR"/>
        </w:rPr>
        <w:t xml:space="preserve">Governos </w:t>
      </w:r>
      <w:r w:rsidRPr="00D65A20">
        <w:rPr>
          <w:rFonts w:ascii="Times New Roman" w:hAnsi="Times New Roman"/>
          <w:bCs/>
          <w:szCs w:val="22"/>
          <w:lang w:val="pt-BR"/>
        </w:rPr>
        <w:t xml:space="preserve">da Colômbia, do Equador e do Peru, na cooperação continuada na remoção humanitária de minas, na reabilitação física e psicológica das vítimas e suas famílias, na educação preventiva, na recuperação socioeconômica das zonas liberadas de minas, bem como </w:t>
      </w:r>
      <w:r w:rsidR="008E0A50" w:rsidRPr="00D65A20">
        <w:rPr>
          <w:rFonts w:ascii="Times New Roman" w:hAnsi="Times New Roman"/>
          <w:bCs/>
          <w:szCs w:val="22"/>
          <w:lang w:val="pt-BR"/>
        </w:rPr>
        <w:t>na capacitação</w:t>
      </w:r>
      <w:r w:rsidRPr="00D65A20">
        <w:rPr>
          <w:rFonts w:ascii="Times New Roman" w:hAnsi="Times New Roman"/>
          <w:bCs/>
          <w:szCs w:val="22"/>
          <w:lang w:val="pt-BR"/>
        </w:rPr>
        <w:t xml:space="preserve"> relativa à eliminação de </w:t>
      </w:r>
      <w:r w:rsidR="00566AB8" w:rsidRPr="00D65A20">
        <w:rPr>
          <w:rFonts w:ascii="Times New Roman" w:hAnsi="Times New Roman"/>
          <w:bCs/>
          <w:szCs w:val="22"/>
          <w:lang w:val="pt-BR"/>
        </w:rPr>
        <w:t xml:space="preserve">munições ou </w:t>
      </w:r>
      <w:r w:rsidRPr="00D65A20">
        <w:rPr>
          <w:rFonts w:ascii="Times New Roman" w:hAnsi="Times New Roman"/>
          <w:bCs/>
          <w:szCs w:val="22"/>
          <w:lang w:val="pt-BR"/>
        </w:rPr>
        <w:t xml:space="preserve">artefatos </w:t>
      </w:r>
      <w:r w:rsidR="006175A3" w:rsidRPr="00D65A20">
        <w:rPr>
          <w:rFonts w:ascii="Times New Roman" w:hAnsi="Times New Roman"/>
          <w:bCs/>
          <w:szCs w:val="22"/>
          <w:lang w:val="pt-BR"/>
        </w:rPr>
        <w:t>e</w:t>
      </w:r>
      <w:r w:rsidRPr="00D65A20">
        <w:rPr>
          <w:rFonts w:ascii="Times New Roman" w:hAnsi="Times New Roman"/>
          <w:bCs/>
          <w:szCs w:val="22"/>
          <w:lang w:val="pt-BR"/>
        </w:rPr>
        <w:t>xplosiv</w:t>
      </w:r>
      <w:r w:rsidR="00566AB8" w:rsidRPr="00D65A20">
        <w:rPr>
          <w:rFonts w:ascii="Times New Roman" w:hAnsi="Times New Roman"/>
          <w:bCs/>
          <w:szCs w:val="22"/>
          <w:lang w:val="pt-BR"/>
        </w:rPr>
        <w:t>o</w:t>
      </w:r>
      <w:r w:rsidRPr="00D65A20">
        <w:rPr>
          <w:rFonts w:ascii="Times New Roman" w:hAnsi="Times New Roman"/>
          <w:bCs/>
          <w:szCs w:val="22"/>
          <w:lang w:val="pt-BR"/>
        </w:rPr>
        <w:t>s e nos cursos sobre novas técnicas de remoção humanitária de minas, a pedido dos Estados e em estreita coordenação com as autoridades nacionais.</w:t>
      </w:r>
    </w:p>
    <w:p w14:paraId="6E8340CB" w14:textId="77777777" w:rsidR="0011327F" w:rsidRPr="00D65A20" w:rsidRDefault="0011327F" w:rsidP="00AA4399">
      <w:pPr>
        <w:widowControl/>
        <w:jc w:val="left"/>
        <w:rPr>
          <w:rFonts w:ascii="Times New Roman" w:hAnsi="Times New Roman"/>
          <w:color w:val="000000"/>
          <w:szCs w:val="22"/>
          <w:u w:val="single"/>
          <w:lang w:val="pt-BR"/>
        </w:rPr>
      </w:pPr>
      <w:r w:rsidRPr="00D65A20">
        <w:rPr>
          <w:rFonts w:ascii="Times New Roman" w:hAnsi="Times New Roman"/>
          <w:color w:val="000000"/>
          <w:szCs w:val="22"/>
          <w:u w:val="single"/>
          <w:lang w:val="pt-BR"/>
        </w:rPr>
        <w:br w:type="page"/>
      </w:r>
    </w:p>
    <w:p w14:paraId="6E8340CC" w14:textId="77777777" w:rsidR="0011327F" w:rsidRPr="00D65A20" w:rsidRDefault="0011327F" w:rsidP="00AA4399">
      <w:pPr>
        <w:widowControl/>
        <w:numPr>
          <w:ilvl w:val="0"/>
          <w:numId w:val="1"/>
        </w:numPr>
        <w:tabs>
          <w:tab w:val="clear" w:pos="1440"/>
          <w:tab w:val="clear" w:pos="2160"/>
          <w:tab w:val="clear" w:pos="2880"/>
          <w:tab w:val="clear" w:pos="3600"/>
          <w:tab w:val="clear" w:pos="4320"/>
          <w:tab w:val="clear" w:pos="5760"/>
          <w:tab w:val="clear" w:pos="6480"/>
          <w:tab w:val="clear" w:pos="7200"/>
          <w:tab w:val="clear" w:pos="7920"/>
        </w:tabs>
        <w:ind w:hanging="1440"/>
        <w:rPr>
          <w:rFonts w:ascii="Times New Roman" w:eastAsia="SimSun" w:hAnsi="Times New Roman"/>
          <w:color w:val="000000"/>
          <w:szCs w:val="22"/>
          <w:u w:val="single"/>
          <w:lang w:val="pt-BR" w:eastAsia="zh-CN"/>
        </w:rPr>
      </w:pPr>
      <w:r w:rsidRPr="00D65A20">
        <w:rPr>
          <w:rFonts w:ascii="Times New Roman" w:hAnsi="Times New Roman"/>
          <w:color w:val="000000"/>
          <w:szCs w:val="22"/>
          <w:u w:val="single"/>
          <w:lang w:val="pt-BR"/>
        </w:rPr>
        <w:lastRenderedPageBreak/>
        <w:t xml:space="preserve">Fortalecimento da segurança hemisférica e da cooperação em matéria de defesa </w:t>
      </w:r>
    </w:p>
    <w:p w14:paraId="6E8340CD" w14:textId="77777777" w:rsidR="0011327F" w:rsidRPr="00D65A20" w:rsidRDefault="0011327F" w:rsidP="00AA4399">
      <w:pPr>
        <w:widowControl/>
        <w:rPr>
          <w:rFonts w:ascii="Times New Roman" w:eastAsia="Batang" w:hAnsi="Times New Roman"/>
          <w:bCs/>
          <w:color w:val="000000"/>
          <w:szCs w:val="22"/>
          <w:u w:val="single"/>
          <w:lang w:val="pt-BR"/>
        </w:rPr>
      </w:pPr>
    </w:p>
    <w:p w14:paraId="6E8340CE" w14:textId="77777777" w:rsidR="0011327F" w:rsidRPr="00D65A20" w:rsidRDefault="0011327F" w:rsidP="00AA4399">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SimSun" w:hAnsi="Times New Roman"/>
          <w:color w:val="000000"/>
          <w:szCs w:val="22"/>
          <w:u w:val="single"/>
          <w:lang w:val="pt-BR" w:eastAsia="zh-CN"/>
        </w:rPr>
      </w:pPr>
      <w:r w:rsidRPr="00D65A20">
        <w:rPr>
          <w:rFonts w:ascii="Times New Roman" w:hAnsi="Times New Roman"/>
          <w:color w:val="000000"/>
          <w:szCs w:val="22"/>
          <w:u w:val="single"/>
          <w:lang w:val="pt-BR"/>
        </w:rPr>
        <w:t>Conferência de Ministros da Defesa das Américas</w:t>
      </w:r>
      <w:r w:rsidRPr="00D65A20">
        <w:rPr>
          <w:rFonts w:ascii="Times New Roman" w:hAnsi="Times New Roman"/>
          <w:color w:val="000000"/>
          <w:szCs w:val="22"/>
          <w:lang w:val="pt-BR"/>
        </w:rPr>
        <w:t xml:space="preserve"> </w:t>
      </w:r>
      <w:r w:rsidRPr="00D65A20">
        <w:rPr>
          <w:rFonts w:ascii="Times New Roman" w:hAnsi="Times New Roman"/>
          <w:szCs w:val="22"/>
          <w:u w:val="single"/>
          <w:vertAlign w:val="superscript"/>
          <w:lang w:val="pt-BR"/>
        </w:rPr>
        <w:footnoteReference w:id="16"/>
      </w:r>
      <w:r w:rsidRPr="00D65A20">
        <w:rPr>
          <w:rFonts w:ascii="Times New Roman" w:hAnsi="Times New Roman"/>
          <w:color w:val="000000"/>
          <w:szCs w:val="22"/>
          <w:vertAlign w:val="superscript"/>
          <w:lang w:val="pt-BR"/>
        </w:rPr>
        <w:t>/</w:t>
      </w:r>
    </w:p>
    <w:p w14:paraId="6E8340CF" w14:textId="77777777" w:rsidR="0011327F" w:rsidRPr="00D65A20" w:rsidRDefault="0011327F" w:rsidP="00AA4399">
      <w:pPr>
        <w:widowControl/>
        <w:rPr>
          <w:rFonts w:ascii="Times New Roman" w:hAnsi="Times New Roman"/>
          <w:color w:val="000000"/>
          <w:szCs w:val="22"/>
          <w:lang w:val="pt-BR"/>
        </w:rPr>
      </w:pPr>
    </w:p>
    <w:p w14:paraId="6E8340D0" w14:textId="3617213B"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color w:val="000000"/>
          <w:szCs w:val="22"/>
          <w:lang w:val="pt-BR"/>
        </w:rPr>
        <w:t xml:space="preserve">Ressaltar a importância de participar da Décima Quarta Conferência de Ministros da Defesa das Américas (CMDA-XIV), que será realizada </w:t>
      </w:r>
      <w:r w:rsidRPr="00D65A20">
        <w:rPr>
          <w:rFonts w:ascii="Times New Roman" w:hAnsi="Times New Roman"/>
          <w:color w:val="000000"/>
          <w:szCs w:val="22"/>
          <w:lang w:val="pt-BR"/>
        </w:rPr>
        <w:t>em</w:t>
      </w:r>
      <w:r w:rsidRPr="00D65A20">
        <w:rPr>
          <w:rFonts w:ascii="Times New Roman" w:hAnsi="Times New Roman"/>
          <w:bCs/>
          <w:color w:val="000000"/>
          <w:szCs w:val="22"/>
          <w:lang w:val="pt-BR"/>
        </w:rPr>
        <w:t xml:space="preserve"> formato virtual, no segundo semestre de 2020, </w:t>
      </w:r>
      <w:r w:rsidR="00E04E4A" w:rsidRPr="00D65A20">
        <w:rPr>
          <w:rFonts w:ascii="Times New Roman" w:hAnsi="Times New Roman"/>
          <w:bCs/>
          <w:color w:val="000000"/>
          <w:szCs w:val="22"/>
          <w:lang w:val="pt-BR"/>
        </w:rPr>
        <w:t>com o propósito</w:t>
      </w:r>
      <w:r w:rsidRPr="00D65A20">
        <w:rPr>
          <w:rFonts w:ascii="Times New Roman" w:hAnsi="Times New Roman"/>
          <w:bCs/>
          <w:color w:val="000000"/>
          <w:szCs w:val="22"/>
          <w:lang w:val="pt-BR"/>
        </w:rPr>
        <w:t xml:space="preserve"> de continuar </w:t>
      </w:r>
      <w:r w:rsidR="00E04E4A" w:rsidRPr="00D65A20">
        <w:rPr>
          <w:rFonts w:ascii="Times New Roman" w:hAnsi="Times New Roman"/>
          <w:bCs/>
          <w:color w:val="000000"/>
          <w:szCs w:val="22"/>
          <w:lang w:val="pt-BR"/>
        </w:rPr>
        <w:t>impulsionando</w:t>
      </w:r>
      <w:r w:rsidRPr="00D65A20">
        <w:rPr>
          <w:rFonts w:ascii="Times New Roman" w:hAnsi="Times New Roman"/>
          <w:bCs/>
          <w:color w:val="000000"/>
          <w:szCs w:val="22"/>
          <w:lang w:val="pt-BR"/>
        </w:rPr>
        <w:t xml:space="preserve"> a cooperação em defesa e segurança na região.</w:t>
      </w:r>
    </w:p>
    <w:p w14:paraId="6E8340D1" w14:textId="77777777" w:rsidR="0011327F" w:rsidRPr="00D65A20" w:rsidRDefault="0011327F" w:rsidP="00AA4399">
      <w:pPr>
        <w:widowControl/>
        <w:rPr>
          <w:rFonts w:ascii="Times New Roman" w:hAnsi="Times New Roman"/>
          <w:bCs/>
          <w:color w:val="000000"/>
          <w:szCs w:val="22"/>
          <w:lang w:val="pt-BR"/>
        </w:rPr>
      </w:pPr>
    </w:p>
    <w:p w14:paraId="6E8340D2" w14:textId="77777777"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color w:val="000000"/>
          <w:szCs w:val="22"/>
          <w:lang w:val="pt-BR"/>
        </w:rPr>
        <w:t xml:space="preserve">Oferecer ao Governo do Chile, </w:t>
      </w:r>
      <w:r w:rsidRPr="00D65A20">
        <w:rPr>
          <w:rFonts w:ascii="Times New Roman" w:hAnsi="Times New Roman"/>
          <w:color w:val="000000"/>
          <w:szCs w:val="22"/>
          <w:lang w:val="pt-BR"/>
        </w:rPr>
        <w:t>como</w:t>
      </w:r>
      <w:r w:rsidRPr="00D65A20">
        <w:rPr>
          <w:rFonts w:ascii="Times New Roman" w:hAnsi="Times New Roman"/>
          <w:bCs/>
          <w:color w:val="000000"/>
          <w:szCs w:val="22"/>
          <w:lang w:val="pt-BR"/>
        </w:rPr>
        <w:t xml:space="preserve"> país sede da Conferência, o apoio técnico e a assessoria solicitados à OEA, por intermédio da </w:t>
      </w:r>
      <w:r w:rsidR="00753648" w:rsidRPr="00D65A20">
        <w:rPr>
          <w:rFonts w:ascii="Times New Roman" w:hAnsi="Times New Roman"/>
          <w:bCs/>
          <w:color w:val="000000"/>
          <w:szCs w:val="22"/>
          <w:lang w:val="pt-BR"/>
        </w:rPr>
        <w:t>Junta Interamericana de Defesa (</w:t>
      </w:r>
      <w:r w:rsidRPr="00D65A20">
        <w:rPr>
          <w:rFonts w:ascii="Times New Roman" w:hAnsi="Times New Roman"/>
          <w:bCs/>
          <w:color w:val="000000"/>
          <w:szCs w:val="22"/>
          <w:lang w:val="pt-BR"/>
        </w:rPr>
        <w:t>JID</w:t>
      </w:r>
      <w:r w:rsidR="00753648" w:rsidRPr="00D65A20">
        <w:rPr>
          <w:rFonts w:ascii="Times New Roman" w:hAnsi="Times New Roman"/>
          <w:bCs/>
          <w:color w:val="000000"/>
          <w:szCs w:val="22"/>
          <w:lang w:val="pt-BR"/>
        </w:rPr>
        <w:t>)</w:t>
      </w:r>
      <w:r w:rsidRPr="00D65A20">
        <w:rPr>
          <w:rFonts w:ascii="Times New Roman" w:hAnsi="Times New Roman"/>
          <w:bCs/>
          <w:color w:val="000000"/>
          <w:szCs w:val="22"/>
          <w:lang w:val="pt-BR"/>
        </w:rPr>
        <w:t>, a fim de contribuir para o sucesso da CMDA-XIV.</w:t>
      </w:r>
    </w:p>
    <w:p w14:paraId="6E8340D3" w14:textId="77777777" w:rsidR="0011327F" w:rsidRPr="00D65A20" w:rsidRDefault="0011327F" w:rsidP="00AA4399">
      <w:pPr>
        <w:widowControl/>
        <w:rPr>
          <w:rFonts w:ascii="Times New Roman" w:hAnsi="Times New Roman"/>
          <w:bCs/>
          <w:color w:val="000000"/>
          <w:szCs w:val="22"/>
          <w:lang w:val="pt-BR"/>
        </w:rPr>
      </w:pPr>
    </w:p>
    <w:p w14:paraId="6E8340D4" w14:textId="77777777"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color w:val="000000"/>
          <w:szCs w:val="22"/>
          <w:lang w:val="pt-BR"/>
        </w:rPr>
        <w:t>Solicitar à JID que continue seus esforços de integração da memória institucional do trabalho da CMDA, por meio do arquivo histórico e da atualização permanente da página eletrônica.</w:t>
      </w:r>
    </w:p>
    <w:p w14:paraId="6E8340D5" w14:textId="77777777" w:rsidR="0011327F" w:rsidRPr="00D65A20" w:rsidRDefault="0011327F" w:rsidP="00AA4399">
      <w:pPr>
        <w:widowControl/>
        <w:jc w:val="left"/>
        <w:rPr>
          <w:rFonts w:ascii="Times New Roman" w:hAnsi="Times New Roman"/>
          <w:color w:val="000000"/>
          <w:szCs w:val="22"/>
          <w:u w:val="single"/>
          <w:lang w:val="pt-BR"/>
        </w:rPr>
      </w:pPr>
    </w:p>
    <w:p w14:paraId="6E8340D6" w14:textId="77777777" w:rsidR="0011327F" w:rsidRPr="00D65A20" w:rsidRDefault="0011327F" w:rsidP="00AA4399">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SimSun" w:hAnsi="Times New Roman"/>
          <w:color w:val="000000"/>
          <w:szCs w:val="22"/>
          <w:u w:val="single"/>
          <w:lang w:val="pt-BR" w:eastAsia="zh-CN"/>
        </w:rPr>
      </w:pPr>
      <w:r w:rsidRPr="00D65A20">
        <w:rPr>
          <w:rFonts w:ascii="Times New Roman" w:hAnsi="Times New Roman"/>
          <w:color w:val="000000"/>
          <w:szCs w:val="22"/>
          <w:u w:val="single"/>
          <w:lang w:val="pt-BR"/>
        </w:rPr>
        <w:t>Medidas de fortalecimento da confiança e da segurança nas Américas</w:t>
      </w:r>
      <w:r w:rsidRPr="00D65A20">
        <w:rPr>
          <w:rFonts w:ascii="Times New Roman" w:hAnsi="Times New Roman"/>
          <w:color w:val="000000"/>
          <w:szCs w:val="22"/>
          <w:lang w:val="pt-BR"/>
        </w:rPr>
        <w:t xml:space="preserve"> </w:t>
      </w:r>
      <w:r w:rsidRPr="00D65A20">
        <w:rPr>
          <w:rFonts w:ascii="Times New Roman" w:hAnsi="Times New Roman"/>
          <w:szCs w:val="22"/>
          <w:u w:val="single"/>
          <w:vertAlign w:val="superscript"/>
          <w:lang w:val="pt-BR"/>
        </w:rPr>
        <w:footnoteReference w:id="17"/>
      </w:r>
      <w:r w:rsidRPr="00377CA8">
        <w:rPr>
          <w:rFonts w:ascii="Times New Roman" w:hAnsi="Times New Roman"/>
          <w:color w:val="000000"/>
          <w:szCs w:val="22"/>
          <w:vertAlign w:val="superscript"/>
          <w:lang w:val="pt-BR"/>
        </w:rPr>
        <w:t>/</w:t>
      </w:r>
    </w:p>
    <w:p w14:paraId="6E8340D7" w14:textId="77777777" w:rsidR="0011327F" w:rsidRPr="00D65A20" w:rsidRDefault="0011327F" w:rsidP="00AA4399">
      <w:pPr>
        <w:widowControl/>
        <w:rPr>
          <w:rFonts w:ascii="Times New Roman" w:hAnsi="Times New Roman"/>
          <w:color w:val="000000"/>
          <w:szCs w:val="22"/>
          <w:lang w:val="pt-BR"/>
        </w:rPr>
      </w:pPr>
    </w:p>
    <w:p w14:paraId="6E8340D8"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Aprovar a Lista de Medidas de Fortalecimento da Confiança e da Segurança</w:t>
      </w:r>
      <w:r w:rsidR="00FD0363" w:rsidRPr="00D65A20">
        <w:rPr>
          <w:rFonts w:ascii="Times New Roman" w:hAnsi="Times New Roman"/>
          <w:szCs w:val="22"/>
          <w:lang w:val="pt-BR"/>
        </w:rPr>
        <w:t xml:space="preserve"> da OEA</w:t>
      </w:r>
      <w:r w:rsidRPr="00D65A20">
        <w:rPr>
          <w:rFonts w:ascii="Times New Roman" w:hAnsi="Times New Roman"/>
          <w:szCs w:val="22"/>
          <w:lang w:val="pt-BR"/>
        </w:rPr>
        <w:t xml:space="preserve"> (MFCS) (</w:t>
      </w:r>
      <w:hyperlink r:id="rId26" w:history="1">
        <w:r w:rsidRPr="00D65A20">
          <w:rPr>
            <w:rFonts w:ascii="Times New Roman" w:hAnsi="Times New Roman"/>
            <w:color w:val="0000FF"/>
            <w:u w:val="single"/>
            <w:lang w:val="pt-BR"/>
          </w:rPr>
          <w:t>CP/CSH-1953/20 rev. 1</w:t>
        </w:r>
      </w:hyperlink>
      <w:r w:rsidRPr="00D65A20">
        <w:rPr>
          <w:rFonts w:ascii="Times New Roman" w:hAnsi="Times New Roman"/>
          <w:szCs w:val="22"/>
          <w:lang w:val="pt-BR"/>
        </w:rPr>
        <w:t xml:space="preserve">) como um guia regional de possíveis medidas para a abordagem de ameaças, preocupações e outros desafios novos e </w:t>
      </w:r>
      <w:r w:rsidRPr="00D65A20">
        <w:rPr>
          <w:rFonts w:ascii="Times New Roman" w:hAnsi="Times New Roman"/>
          <w:color w:val="000000"/>
          <w:szCs w:val="22"/>
          <w:lang w:val="pt-BR"/>
        </w:rPr>
        <w:t>tradicionais</w:t>
      </w:r>
      <w:r w:rsidRPr="00D65A20">
        <w:rPr>
          <w:rFonts w:ascii="Times New Roman" w:hAnsi="Times New Roman"/>
          <w:szCs w:val="22"/>
          <w:lang w:val="pt-BR"/>
        </w:rPr>
        <w:t xml:space="preserve"> no Hemisfério, e apresentar relatórios anuais, o mais tardar até 15 de julho de cada ano, com informações sobre a aplicação dessas MFCS, usando o novo banco de dados interamericano de MFCS (</w:t>
      </w:r>
      <w:hyperlink r:id="rId27" w:history="1">
        <w:r w:rsidRPr="00D65A20">
          <w:rPr>
            <w:rFonts w:ascii="Times New Roman" w:hAnsi="Times New Roman"/>
            <w:color w:val="0000FF"/>
            <w:u w:val="single"/>
            <w:lang w:val="pt-BR"/>
          </w:rPr>
          <w:t>http://www.oas.org/MFCS/</w:t>
        </w:r>
      </w:hyperlink>
      <w:r w:rsidRPr="00D65A20">
        <w:rPr>
          <w:rFonts w:ascii="Times New Roman" w:hAnsi="Times New Roman"/>
          <w:szCs w:val="22"/>
          <w:lang w:val="pt-BR"/>
        </w:rPr>
        <w:t>).</w:t>
      </w:r>
    </w:p>
    <w:p w14:paraId="6E8340D9" w14:textId="77777777" w:rsidR="0011327F" w:rsidRPr="00D65A20" w:rsidRDefault="0011327F" w:rsidP="00AA4399">
      <w:pPr>
        <w:widowControl/>
        <w:rPr>
          <w:rFonts w:ascii="Times New Roman" w:hAnsi="Times New Roman"/>
          <w:bCs/>
          <w:szCs w:val="22"/>
          <w:lang w:val="pt-BR"/>
        </w:rPr>
      </w:pPr>
    </w:p>
    <w:p w14:paraId="6E8340DA" w14:textId="77777777"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 xml:space="preserve">Solicitar que a JID ofereça apoio técnico à SSM na gestão e </w:t>
      </w:r>
      <w:r w:rsidRPr="00D65A20">
        <w:rPr>
          <w:rFonts w:ascii="Times New Roman" w:hAnsi="Times New Roman"/>
          <w:szCs w:val="22"/>
          <w:lang w:val="pt-BR"/>
        </w:rPr>
        <w:t>no manejo</w:t>
      </w:r>
      <w:r w:rsidRPr="00D65A20">
        <w:rPr>
          <w:rFonts w:ascii="Times New Roman" w:hAnsi="Times New Roman"/>
          <w:bCs/>
          <w:szCs w:val="22"/>
          <w:lang w:val="pt-BR"/>
        </w:rPr>
        <w:t xml:space="preserve"> do banco de dados interamericano de MFCS da OEA e orientação e instrução periódica aos Estados sobre o seu uso para facilitar a </w:t>
      </w:r>
      <w:r w:rsidRPr="00D65A20">
        <w:rPr>
          <w:rFonts w:ascii="Times New Roman" w:hAnsi="Times New Roman"/>
          <w:color w:val="000000"/>
          <w:szCs w:val="22"/>
          <w:lang w:val="pt-BR"/>
        </w:rPr>
        <w:t>apresentação</w:t>
      </w:r>
      <w:r w:rsidRPr="00D65A20">
        <w:rPr>
          <w:rFonts w:ascii="Times New Roman" w:hAnsi="Times New Roman"/>
          <w:bCs/>
          <w:szCs w:val="22"/>
          <w:lang w:val="pt-BR"/>
        </w:rPr>
        <w:t xml:space="preserve"> de relatórios.</w:t>
      </w:r>
    </w:p>
    <w:p w14:paraId="6E8340DB" w14:textId="77777777" w:rsidR="0011327F" w:rsidRPr="00D65A20" w:rsidRDefault="0011327F" w:rsidP="00AA4399">
      <w:pPr>
        <w:widowControl/>
        <w:suppressAutoHyphens/>
        <w:rPr>
          <w:rFonts w:ascii="Times New Roman" w:hAnsi="Times New Roman"/>
          <w:bCs/>
          <w:szCs w:val="22"/>
          <w:lang w:val="pt-BR"/>
        </w:rPr>
      </w:pPr>
    </w:p>
    <w:p w14:paraId="6E8340DC" w14:textId="3062A9B5" w:rsidR="0011327F" w:rsidRPr="00D65A20" w:rsidRDefault="0011327F" w:rsidP="00AA4399">
      <w:pPr>
        <w:widowControl/>
        <w:numPr>
          <w:ilvl w:val="0"/>
          <w:numId w:val="19"/>
        </w:numPr>
        <w:ind w:left="0"/>
        <w:rPr>
          <w:rFonts w:ascii="Times New Roman" w:hAnsi="Times New Roman"/>
          <w:bCs/>
          <w:i/>
          <w:color w:val="000000"/>
          <w:szCs w:val="22"/>
          <w:lang w:val="pt-BR"/>
        </w:rPr>
      </w:pPr>
      <w:r w:rsidRPr="00D65A20">
        <w:rPr>
          <w:rFonts w:ascii="Times New Roman" w:hAnsi="Times New Roman"/>
          <w:bCs/>
          <w:szCs w:val="22"/>
          <w:lang w:val="pt-BR"/>
        </w:rPr>
        <w:t xml:space="preserve">Solicitar à Secretaria-Geral que continue oferecendo apoio em TI à gestão do banco de dados </w:t>
      </w:r>
      <w:r w:rsidRPr="00D65A20">
        <w:rPr>
          <w:rFonts w:ascii="Times New Roman" w:hAnsi="Times New Roman"/>
          <w:color w:val="000000"/>
          <w:szCs w:val="22"/>
          <w:lang w:val="pt-BR"/>
        </w:rPr>
        <w:t>interamericano</w:t>
      </w:r>
      <w:r w:rsidRPr="00D65A20">
        <w:rPr>
          <w:rFonts w:ascii="Times New Roman" w:hAnsi="Times New Roman"/>
          <w:bCs/>
          <w:szCs w:val="22"/>
          <w:lang w:val="pt-BR"/>
        </w:rPr>
        <w:t xml:space="preserve"> de MFCS.</w:t>
      </w:r>
    </w:p>
    <w:p w14:paraId="6E8340DD"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 w:val="16"/>
          <w:szCs w:val="22"/>
          <w:lang w:val="pt-BR"/>
        </w:rPr>
      </w:pPr>
    </w:p>
    <w:p w14:paraId="6E8340DE"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bCs/>
          <w:szCs w:val="22"/>
          <w:lang w:val="pt-BR"/>
        </w:rPr>
        <w:t xml:space="preserve">Solicitar à </w:t>
      </w:r>
      <w:r w:rsidRPr="00D65A20">
        <w:rPr>
          <w:rFonts w:ascii="Times New Roman" w:hAnsi="Times New Roman"/>
          <w:color w:val="000000"/>
          <w:szCs w:val="22"/>
          <w:lang w:val="pt-BR"/>
        </w:rPr>
        <w:t>CSH</w:t>
      </w:r>
      <w:r w:rsidRPr="00D65A20">
        <w:rPr>
          <w:rFonts w:ascii="Times New Roman" w:hAnsi="Times New Roman"/>
          <w:bCs/>
          <w:szCs w:val="22"/>
          <w:lang w:val="pt-BR"/>
        </w:rPr>
        <w:t xml:space="preserve"> que convoque o Nono Fórum sobre Medidas de Fortalecimento da Confiança e da Segurança para março de 2021, no âmbito da CSH</w:t>
      </w:r>
      <w:r w:rsidRPr="00D65A20">
        <w:rPr>
          <w:rFonts w:ascii="Times New Roman" w:hAnsi="Times New Roman"/>
          <w:szCs w:val="22"/>
          <w:lang w:val="pt-BR"/>
        </w:rPr>
        <w:t>, e solicitar à JID que proporcione o apoio técnico necessário à CSH e à SSM para sua realização.</w:t>
      </w:r>
    </w:p>
    <w:p w14:paraId="6E8340E0" w14:textId="77777777" w:rsidR="0011327F" w:rsidRPr="00D65A20" w:rsidRDefault="0011327F" w:rsidP="00AA4399">
      <w:pPr>
        <w:widowControl/>
        <w:suppressAutoHyphens/>
        <w:rPr>
          <w:rFonts w:ascii="Times New Roman" w:hAnsi="Times New Roman"/>
          <w:color w:val="000000"/>
          <w:szCs w:val="22"/>
          <w:u w:val="single"/>
          <w:lang w:val="pt-BR"/>
        </w:rPr>
      </w:pPr>
    </w:p>
    <w:p w14:paraId="6E8340E1" w14:textId="77777777" w:rsidR="0011327F" w:rsidRPr="00D65A20" w:rsidRDefault="0011327F" w:rsidP="00AA4399">
      <w:pPr>
        <w:widowControl/>
        <w:numPr>
          <w:ilvl w:val="0"/>
          <w:numId w:val="1"/>
        </w:numPr>
        <w:tabs>
          <w:tab w:val="clear" w:pos="1440"/>
          <w:tab w:val="clear" w:pos="2160"/>
          <w:tab w:val="clear" w:pos="2880"/>
          <w:tab w:val="clear" w:pos="3600"/>
          <w:tab w:val="clear" w:pos="4320"/>
          <w:tab w:val="clear" w:pos="5760"/>
          <w:tab w:val="clear" w:pos="6480"/>
          <w:tab w:val="clear" w:pos="7200"/>
          <w:tab w:val="clear" w:pos="7920"/>
        </w:tabs>
        <w:ind w:hanging="1440"/>
        <w:rPr>
          <w:rFonts w:ascii="Times New Roman" w:hAnsi="Times New Roman"/>
          <w:color w:val="000000"/>
          <w:szCs w:val="22"/>
          <w:u w:val="single"/>
          <w:lang w:val="pt-BR"/>
        </w:rPr>
      </w:pPr>
      <w:r w:rsidRPr="00D65A20">
        <w:rPr>
          <w:rFonts w:ascii="Times New Roman" w:hAnsi="Times New Roman"/>
          <w:color w:val="000000"/>
          <w:szCs w:val="22"/>
          <w:u w:val="single"/>
          <w:lang w:val="pt-BR"/>
        </w:rPr>
        <w:t>Segurança pública, justiça e prevenção da violência e do crime</w:t>
      </w:r>
    </w:p>
    <w:p w14:paraId="6E8340E2" w14:textId="77777777" w:rsidR="0011327F" w:rsidRPr="00D65A20" w:rsidRDefault="0011327F" w:rsidP="00AA4399">
      <w:pPr>
        <w:widowControl/>
        <w:rPr>
          <w:rFonts w:ascii="Times New Roman" w:hAnsi="Times New Roman"/>
          <w:color w:val="000000"/>
          <w:szCs w:val="22"/>
          <w:u w:val="single"/>
          <w:lang w:val="pt-BR"/>
        </w:rPr>
      </w:pPr>
    </w:p>
    <w:p w14:paraId="6E8340E3" w14:textId="77777777" w:rsidR="0011327F" w:rsidRPr="00D65A20" w:rsidRDefault="0011327F" w:rsidP="00AA4399">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u w:val="single"/>
          <w:lang w:val="pt-BR" w:eastAsia="zh-CN"/>
        </w:rPr>
      </w:pPr>
      <w:r w:rsidRPr="00D65A20">
        <w:rPr>
          <w:rFonts w:ascii="Times New Roman" w:hAnsi="Times New Roman"/>
          <w:color w:val="000000"/>
          <w:szCs w:val="22"/>
          <w:u w:val="single"/>
          <w:lang w:val="pt-BR"/>
        </w:rPr>
        <w:t>Processo de Reuniões de Ministros em Matéria de Segurança Pública das Américas (MISPA)</w:t>
      </w:r>
    </w:p>
    <w:p w14:paraId="6E8340E4" w14:textId="77777777" w:rsidR="0011327F" w:rsidRPr="00D65A20" w:rsidRDefault="0011327F" w:rsidP="00AA4399">
      <w:pPr>
        <w:widowControl/>
        <w:rPr>
          <w:rFonts w:ascii="Times New Roman" w:hAnsi="Times New Roman"/>
          <w:color w:val="000000"/>
          <w:szCs w:val="22"/>
          <w:u w:val="single"/>
          <w:lang w:val="pt-BR" w:eastAsia="zh-CN"/>
        </w:rPr>
      </w:pPr>
    </w:p>
    <w:p w14:paraId="6E8340E5"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Incentivar os Estados membros a que implementem as “Recomendações de Quito para o Fortalecimento da Cooperação Internacional em Matéria de Segurança Pública na Prevenção e na Luta contra a Criminalidade” e solicitar à Secretaria-Geral, por intermédio da SSM, que continue apoiando os Estados membros que o solicitarem na implementação das recomendações do processo </w:t>
      </w:r>
      <w:r w:rsidRPr="00D65A20">
        <w:rPr>
          <w:rFonts w:ascii="Times New Roman" w:hAnsi="Times New Roman"/>
          <w:szCs w:val="22"/>
          <w:lang w:val="pt-BR"/>
        </w:rPr>
        <w:lastRenderedPageBreak/>
        <w:t>MISPA</w:t>
      </w:r>
      <w:r w:rsidRPr="00D65A20">
        <w:rPr>
          <w:rFonts w:ascii="Times New Roman" w:hAnsi="Times New Roman"/>
          <w:bCs/>
          <w:szCs w:val="22"/>
          <w:lang w:val="pt-BR"/>
        </w:rPr>
        <w:t>, a fim de elaborar e implementar uma estratégia hemisférica para a prevenção e o combate da criminalidade organizada transnacional a partir do Plano de Ação Hemisférico sobre a matéria.</w:t>
      </w:r>
    </w:p>
    <w:p w14:paraId="6E8340E6" w14:textId="77777777" w:rsidR="0011327F" w:rsidRPr="00D65A20" w:rsidRDefault="0011327F" w:rsidP="00AA4399">
      <w:pPr>
        <w:widowControl/>
        <w:rPr>
          <w:rFonts w:ascii="Times New Roman" w:hAnsi="Times New Roman"/>
          <w:szCs w:val="22"/>
          <w:lang w:val="pt-BR"/>
        </w:rPr>
      </w:pPr>
    </w:p>
    <w:p w14:paraId="6E8340E7"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Agradecer o oferecimento de sede do Governo de El Salvador para a Oitava Reunião de Ministros em Matéria de </w:t>
      </w:r>
      <w:r w:rsidRPr="00D65A20">
        <w:rPr>
          <w:rFonts w:ascii="Times New Roman" w:hAnsi="Times New Roman"/>
          <w:color w:val="000000"/>
          <w:szCs w:val="22"/>
          <w:lang w:val="pt-BR"/>
        </w:rPr>
        <w:t>Segurança</w:t>
      </w:r>
      <w:r w:rsidRPr="00D65A20">
        <w:rPr>
          <w:rFonts w:ascii="Times New Roman" w:hAnsi="Times New Roman"/>
          <w:szCs w:val="22"/>
          <w:lang w:val="pt-BR"/>
        </w:rPr>
        <w:t xml:space="preserve"> Pública das Américas (MISPA-VIII) e convocar essa reunião para o segundo semestre de 2021, e para esse efeito encarregar o Conselho Permanente de instituir, por meio da CSH, um grupo de trabalho presidido por El Salvador para coordenar todos os preparativos da MISPA-VIII.</w:t>
      </w:r>
    </w:p>
    <w:p w14:paraId="6E8340E8"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16"/>
          <w:szCs w:val="22"/>
          <w:lang w:val="pt-BR"/>
        </w:rPr>
      </w:pPr>
    </w:p>
    <w:p w14:paraId="6E8340E9"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Agradecer o </w:t>
      </w:r>
      <w:r w:rsidRPr="00D65A20">
        <w:rPr>
          <w:rFonts w:ascii="Times New Roman" w:hAnsi="Times New Roman"/>
          <w:color w:val="000000"/>
          <w:szCs w:val="22"/>
          <w:lang w:val="pt-BR"/>
        </w:rPr>
        <w:t>oferecimento</w:t>
      </w:r>
      <w:r w:rsidRPr="00D65A20">
        <w:rPr>
          <w:rFonts w:ascii="Times New Roman" w:hAnsi="Times New Roman"/>
          <w:szCs w:val="22"/>
          <w:lang w:val="pt-BR"/>
        </w:rPr>
        <w:t xml:space="preserve"> do Governo de República Dominicana para presidir a Terceira Reunião do Grupo </w:t>
      </w:r>
      <w:r w:rsidR="0046076C" w:rsidRPr="00D65A20">
        <w:rPr>
          <w:rFonts w:ascii="Times New Roman" w:hAnsi="Times New Roman"/>
          <w:szCs w:val="22"/>
          <w:lang w:val="pt-BR"/>
        </w:rPr>
        <w:t xml:space="preserve">de Trabalho </w:t>
      </w:r>
      <w:r w:rsidRPr="00D65A20">
        <w:rPr>
          <w:rFonts w:ascii="Times New Roman" w:hAnsi="Times New Roman"/>
          <w:szCs w:val="22"/>
          <w:lang w:val="pt-BR"/>
        </w:rPr>
        <w:t>Técnico Subsidiário de Prevenção da Criminalidade, da Violência e da Insegurança do processo MISPA, a ser realizada no primeiro semestre de 2021, e solicitar que a Secretaria-Geral destine os recursos necessários no orçamento para a mencionada reunião e para a realização de sessões preparatórias, além de prestar o apoio necessário aos preparativos.</w:t>
      </w:r>
    </w:p>
    <w:p w14:paraId="6E8340EA" w14:textId="77777777" w:rsidR="0011327F" w:rsidRPr="00D65A20" w:rsidRDefault="0011327F" w:rsidP="00AA4399">
      <w:pPr>
        <w:widowControl/>
        <w:rPr>
          <w:rFonts w:ascii="Times New Roman" w:hAnsi="Times New Roman"/>
          <w:szCs w:val="22"/>
          <w:lang w:val="pt-BR"/>
        </w:rPr>
      </w:pPr>
    </w:p>
    <w:p w14:paraId="6E8340EB" w14:textId="4EDE4CCD"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Agradecer ao Governo do Equador por haver aceitado presidir a reunião do Grupo </w:t>
      </w:r>
      <w:r w:rsidR="0046076C" w:rsidRPr="00D65A20">
        <w:rPr>
          <w:rFonts w:ascii="Times New Roman" w:hAnsi="Times New Roman"/>
          <w:szCs w:val="22"/>
          <w:lang w:val="pt-BR"/>
        </w:rPr>
        <w:t xml:space="preserve">de Trabalho </w:t>
      </w:r>
      <w:r w:rsidRPr="00D65A20">
        <w:rPr>
          <w:rFonts w:ascii="Times New Roman" w:hAnsi="Times New Roman"/>
          <w:szCs w:val="22"/>
          <w:lang w:val="pt-BR"/>
        </w:rPr>
        <w:t xml:space="preserve">Técnico Subsidiário sobre os Serviços de Emergência, a realizar-se em 2021, e solicitar à Secretaria que, por intermédio da SSM e em </w:t>
      </w:r>
      <w:r w:rsidRPr="00D65A20">
        <w:rPr>
          <w:rFonts w:ascii="Times New Roman" w:hAnsi="Times New Roman"/>
          <w:color w:val="000000"/>
          <w:szCs w:val="22"/>
          <w:lang w:val="pt-BR"/>
        </w:rPr>
        <w:t>conformidade</w:t>
      </w:r>
      <w:r w:rsidRPr="00D65A20">
        <w:rPr>
          <w:rFonts w:ascii="Times New Roman" w:hAnsi="Times New Roman"/>
          <w:szCs w:val="22"/>
          <w:lang w:val="pt-BR"/>
        </w:rPr>
        <w:t xml:space="preserve"> com os parágrafos 7 e 8 das Recomendações de Quito, destine os recursos necessários para a mencionada reunião, inclusive aqueles requeridos para realizar as reuniões preparatórias bem como para elaborar o projeto de Protocolo-Guia para o Estabelecimento de Sistemas Nacionais de Emergência e Segurança nos Estados membros da OEA, documento a ser considerado pelo referido grupo de trabalho.</w:t>
      </w:r>
    </w:p>
    <w:p w14:paraId="6E8340EC" w14:textId="77777777" w:rsidR="0011327F" w:rsidRPr="00D65A20" w:rsidRDefault="0011327F" w:rsidP="00AA4399">
      <w:pPr>
        <w:widowControl/>
        <w:rPr>
          <w:rFonts w:ascii="Times New Roman" w:hAnsi="Times New Roman"/>
          <w:szCs w:val="22"/>
          <w:lang w:val="pt-BR"/>
        </w:rPr>
      </w:pPr>
    </w:p>
    <w:p w14:paraId="6E8340ED"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Convocar a Terceira Reunião do Grupo </w:t>
      </w:r>
      <w:r w:rsidR="0046076C" w:rsidRPr="00D65A20">
        <w:rPr>
          <w:rFonts w:ascii="Times New Roman" w:hAnsi="Times New Roman"/>
          <w:szCs w:val="22"/>
          <w:lang w:val="pt-BR"/>
        </w:rPr>
        <w:t xml:space="preserve">de Trabalho </w:t>
      </w:r>
      <w:r w:rsidRPr="00D65A20">
        <w:rPr>
          <w:rFonts w:ascii="Times New Roman" w:hAnsi="Times New Roman"/>
          <w:szCs w:val="22"/>
          <w:lang w:val="pt-BR"/>
        </w:rPr>
        <w:t>Técnico Subsidiário sobre Gestão da Polícia, presidido pelo Equador, a ser realizada em dezembro de 2020, e solicitar que a Secretaria-Geral destine os recursos necessários no orçamento para a mencionada reunião e para a realização de sessões preparatórias, e que preste o apoio necessário aos preparativos.</w:t>
      </w:r>
    </w:p>
    <w:p w14:paraId="6E8340EE" w14:textId="77777777" w:rsidR="0011327F" w:rsidRPr="00D65A20" w:rsidRDefault="0011327F" w:rsidP="00AA4399">
      <w:pPr>
        <w:widowControl/>
        <w:rPr>
          <w:rFonts w:ascii="Times New Roman" w:hAnsi="Times New Roman"/>
          <w:color w:val="000000"/>
          <w:szCs w:val="22"/>
          <w:u w:val="single"/>
          <w:lang w:val="pt-BR"/>
        </w:rPr>
      </w:pPr>
    </w:p>
    <w:p w14:paraId="6E8340EF" w14:textId="77777777" w:rsidR="0011327F" w:rsidRPr="00D65A20" w:rsidRDefault="0011327F" w:rsidP="00AA4399">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color w:val="000000"/>
          <w:szCs w:val="22"/>
          <w:u w:val="single"/>
          <w:lang w:val="pt-BR" w:eastAsia="zh-CN"/>
        </w:rPr>
      </w:pPr>
      <w:r w:rsidRPr="00D65A20">
        <w:rPr>
          <w:rFonts w:ascii="Times New Roman" w:hAnsi="Times New Roman"/>
          <w:color w:val="000000"/>
          <w:szCs w:val="22"/>
          <w:u w:val="single"/>
          <w:lang w:val="pt-BR"/>
        </w:rPr>
        <w:t xml:space="preserve">Prevenção da violência e do crime </w:t>
      </w:r>
    </w:p>
    <w:p w14:paraId="6E8340F0" w14:textId="77777777" w:rsidR="0011327F" w:rsidRPr="00D65A20" w:rsidRDefault="0011327F" w:rsidP="00AA4399">
      <w:pPr>
        <w:widowControl/>
        <w:rPr>
          <w:rFonts w:ascii="Times New Roman" w:hAnsi="Times New Roman"/>
          <w:color w:val="000000"/>
          <w:szCs w:val="22"/>
          <w:lang w:val="pt-BR"/>
        </w:rPr>
      </w:pPr>
    </w:p>
    <w:p w14:paraId="6E8340F1" w14:textId="41353308"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 xml:space="preserve">Instar os Estados membros a que considerem implementar as recomendações do Plano de Ação Hemisférico para Orientar a Elaboração de Políticas Públicas de Prevenção e Redução do Homicídio Intencional (documento </w:t>
      </w:r>
      <w:hyperlink r:id="rId28" w:history="1">
        <w:r w:rsidRPr="00D65A20">
          <w:rPr>
            <w:rFonts w:ascii="Times New Roman" w:hAnsi="Times New Roman"/>
            <w:bCs/>
            <w:color w:val="0000FF"/>
            <w:u w:val="single"/>
            <w:lang w:val="pt-BR"/>
          </w:rPr>
          <w:t>AG/doc.5667/19</w:t>
        </w:r>
      </w:hyperlink>
      <w:r w:rsidRPr="00D65A20">
        <w:rPr>
          <w:rFonts w:ascii="Times New Roman" w:hAnsi="Times New Roman"/>
          <w:bCs/>
          <w:color w:val="0000FF"/>
          <w:szCs w:val="22"/>
          <w:u w:val="single"/>
          <w:lang w:val="pt-BR"/>
        </w:rPr>
        <w:t xml:space="preserve"> </w:t>
      </w:r>
      <w:r w:rsidRPr="00D65A20">
        <w:rPr>
          <w:rFonts w:ascii="Times New Roman" w:hAnsi="Times New Roman"/>
          <w:bCs/>
          <w:szCs w:val="22"/>
          <w:lang w:val="pt-BR"/>
        </w:rPr>
        <w:t xml:space="preserve">rev. 1), de acordo com as necessidades e condições </w:t>
      </w:r>
      <w:r w:rsidRPr="00D65A20">
        <w:rPr>
          <w:rFonts w:ascii="Times New Roman" w:hAnsi="Times New Roman"/>
          <w:szCs w:val="22"/>
          <w:lang w:val="pt-BR"/>
        </w:rPr>
        <w:t>específicas</w:t>
      </w:r>
      <w:r w:rsidRPr="00D65A20">
        <w:rPr>
          <w:rFonts w:ascii="Times New Roman" w:hAnsi="Times New Roman"/>
          <w:bCs/>
          <w:szCs w:val="22"/>
          <w:lang w:val="pt-BR"/>
        </w:rPr>
        <w:t xml:space="preserve"> de cada país, fazendo uso da Plataforma de Conhecimento sobre o Homicídio, entre outros instrumentos, e solicitar à Secretaria-Geral que, por meio do </w:t>
      </w:r>
      <w:r w:rsidR="006E2CA6" w:rsidRPr="00D65A20">
        <w:rPr>
          <w:rFonts w:ascii="Times New Roman" w:hAnsi="Times New Roman"/>
          <w:bCs/>
          <w:szCs w:val="22"/>
          <w:lang w:val="pt-BR"/>
        </w:rPr>
        <w:t>Departamento de Segurança Pública (</w:t>
      </w:r>
      <w:r w:rsidRPr="00D65A20">
        <w:rPr>
          <w:rFonts w:ascii="Times New Roman" w:hAnsi="Times New Roman"/>
          <w:bCs/>
          <w:szCs w:val="22"/>
          <w:lang w:val="pt-BR"/>
        </w:rPr>
        <w:t>DSP</w:t>
      </w:r>
      <w:r w:rsidR="006E2CA6" w:rsidRPr="00D65A20">
        <w:rPr>
          <w:rFonts w:ascii="Times New Roman" w:hAnsi="Times New Roman"/>
          <w:bCs/>
          <w:szCs w:val="22"/>
          <w:lang w:val="pt-BR"/>
        </w:rPr>
        <w:t>)</w:t>
      </w:r>
      <w:r w:rsidRPr="00D65A20">
        <w:rPr>
          <w:rFonts w:ascii="Times New Roman" w:hAnsi="Times New Roman"/>
          <w:bCs/>
          <w:szCs w:val="22"/>
          <w:lang w:val="pt-BR"/>
        </w:rPr>
        <w:t xml:space="preserve">, ofereça assistência técnica </w:t>
      </w:r>
      <w:r w:rsidR="00710F78" w:rsidRPr="00D65A20">
        <w:rPr>
          <w:rFonts w:ascii="Times New Roman" w:hAnsi="Times New Roman"/>
          <w:bCs/>
          <w:szCs w:val="22"/>
          <w:lang w:val="pt-BR"/>
        </w:rPr>
        <w:t xml:space="preserve">aos Estados membros </w:t>
      </w:r>
      <w:r w:rsidRPr="00D65A20">
        <w:rPr>
          <w:rFonts w:ascii="Times New Roman" w:hAnsi="Times New Roman"/>
          <w:bCs/>
          <w:szCs w:val="22"/>
          <w:lang w:val="pt-BR"/>
        </w:rPr>
        <w:t>na implementação do Plano.</w:t>
      </w:r>
    </w:p>
    <w:p w14:paraId="6E8340F2" w14:textId="77777777" w:rsidR="0011327F" w:rsidRPr="00D65A20" w:rsidRDefault="0011327F" w:rsidP="00AA4399">
      <w:pPr>
        <w:widowControl/>
        <w:suppressAutoHyphens/>
        <w:rPr>
          <w:rFonts w:ascii="Times New Roman" w:hAnsi="Times New Roman"/>
          <w:bCs/>
          <w:color w:val="000000"/>
          <w:szCs w:val="22"/>
          <w:lang w:val="pt-BR"/>
        </w:rPr>
      </w:pPr>
    </w:p>
    <w:p w14:paraId="6E8340F3" w14:textId="46FF6FB0" w:rsidR="0011327F" w:rsidRPr="00D65A20" w:rsidRDefault="0011327F" w:rsidP="00AA4399">
      <w:pPr>
        <w:widowControl/>
        <w:numPr>
          <w:ilvl w:val="0"/>
          <w:numId w:val="19"/>
        </w:numPr>
        <w:ind w:left="0"/>
        <w:rPr>
          <w:rFonts w:ascii="Times New Roman" w:hAnsi="Times New Roman"/>
          <w:bCs/>
          <w:color w:val="000000"/>
          <w:szCs w:val="22"/>
          <w:lang w:val="pt-BR"/>
        </w:rPr>
      </w:pPr>
      <w:r w:rsidRPr="00D65A20">
        <w:rPr>
          <w:rFonts w:ascii="Times New Roman" w:hAnsi="Times New Roman"/>
          <w:bCs/>
          <w:szCs w:val="22"/>
          <w:lang w:val="pt-BR"/>
        </w:rPr>
        <w:t xml:space="preserve">Exortar os Estados membros a que nomeiem um ponto focal que possa oferecer à Secretaria-Geral, em especial </w:t>
      </w:r>
      <w:r w:rsidRPr="00D65A20">
        <w:rPr>
          <w:rFonts w:ascii="Times New Roman" w:hAnsi="Times New Roman"/>
          <w:color w:val="000000"/>
          <w:szCs w:val="22"/>
          <w:lang w:val="pt-BR"/>
        </w:rPr>
        <w:t>ao</w:t>
      </w:r>
      <w:r w:rsidRPr="00D65A20">
        <w:rPr>
          <w:rFonts w:ascii="Times New Roman" w:hAnsi="Times New Roman"/>
          <w:bCs/>
          <w:szCs w:val="22"/>
          <w:lang w:val="pt-BR"/>
        </w:rPr>
        <w:t xml:space="preserve"> </w:t>
      </w:r>
      <w:r w:rsidR="00710F78" w:rsidRPr="00D65A20">
        <w:rPr>
          <w:rFonts w:ascii="Times New Roman" w:hAnsi="Times New Roman"/>
          <w:bCs/>
          <w:szCs w:val="22"/>
          <w:lang w:val="pt-BR"/>
        </w:rPr>
        <w:t>DSP</w:t>
      </w:r>
      <w:r w:rsidRPr="00D65A20">
        <w:rPr>
          <w:rFonts w:ascii="Times New Roman" w:hAnsi="Times New Roman"/>
          <w:bCs/>
          <w:szCs w:val="22"/>
          <w:lang w:val="pt-BR"/>
        </w:rPr>
        <w:t>, informações sobre a implementação do Plano de Ação Hemisférico para Orientar a Elaboração de Políticas Públicas de Prevenção e Redução do Homicídio Intencional.</w:t>
      </w:r>
    </w:p>
    <w:p w14:paraId="6E8340F4" w14:textId="77777777" w:rsidR="0011327F" w:rsidRPr="00D65A20" w:rsidRDefault="0011327F" w:rsidP="00AA4399">
      <w:pPr>
        <w:widowControl/>
        <w:rPr>
          <w:rFonts w:ascii="Times New Roman" w:hAnsi="Times New Roman"/>
          <w:bCs/>
          <w:color w:val="000000"/>
          <w:szCs w:val="22"/>
          <w:lang w:val="pt-BR"/>
        </w:rPr>
      </w:pPr>
    </w:p>
    <w:p w14:paraId="6E8340F5" w14:textId="77777777" w:rsidR="0011327F" w:rsidRPr="00D65A20" w:rsidRDefault="0011327F" w:rsidP="00AA4399">
      <w:pPr>
        <w:widowControl/>
        <w:numPr>
          <w:ilvl w:val="0"/>
          <w:numId w:val="19"/>
        </w:numPr>
        <w:ind w:left="0"/>
        <w:rPr>
          <w:rFonts w:ascii="Times New Roman" w:hAnsi="Times New Roman"/>
          <w:bCs/>
          <w:i/>
          <w:szCs w:val="22"/>
          <w:lang w:val="pt-BR"/>
        </w:rPr>
      </w:pPr>
      <w:r w:rsidRPr="00D65A20">
        <w:rPr>
          <w:rFonts w:ascii="Times New Roman" w:hAnsi="Times New Roman"/>
          <w:bCs/>
          <w:szCs w:val="22"/>
          <w:lang w:val="pt-BR"/>
        </w:rPr>
        <w:t>Reafirmar a importância de implementar atividades voltadas à prevenção da violência e do crime que envolvam os cidadãos, em especial os grupos em situação de vulnerabilidade, crianças e adolescentes, pessoas com deficiência e idosos, entre outros.</w:t>
      </w:r>
    </w:p>
    <w:p w14:paraId="6E8340F6" w14:textId="77777777" w:rsidR="0011327F" w:rsidRPr="00D65A20" w:rsidRDefault="0011327F" w:rsidP="00AA4399">
      <w:pPr>
        <w:widowControl/>
        <w:suppressAutoHyphens/>
        <w:rPr>
          <w:rFonts w:ascii="Times New Roman" w:hAnsi="Times New Roman"/>
          <w:bCs/>
          <w:szCs w:val="22"/>
          <w:lang w:val="pt-BR"/>
        </w:rPr>
      </w:pPr>
    </w:p>
    <w:p w14:paraId="6E8340F7" w14:textId="55F64E42"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color w:val="000000"/>
          <w:szCs w:val="22"/>
          <w:lang w:val="pt-BR"/>
        </w:rPr>
        <w:lastRenderedPageBreak/>
        <w:t xml:space="preserve">Convidar os Estados membros e Observadores Permanentes a que acessem a plataforma virtual da Rede Interamericana de Prevenção da Violência e do </w:t>
      </w:r>
      <w:r w:rsidR="006C658A" w:rsidRPr="00D65A20">
        <w:rPr>
          <w:rFonts w:ascii="Times New Roman" w:hAnsi="Times New Roman"/>
          <w:color w:val="000000"/>
          <w:szCs w:val="22"/>
          <w:lang w:val="pt-BR"/>
        </w:rPr>
        <w:t>Crime</w:t>
      </w:r>
      <w:r w:rsidRPr="00D65A20">
        <w:rPr>
          <w:rFonts w:ascii="Times New Roman" w:hAnsi="Times New Roman"/>
          <w:color w:val="000000"/>
          <w:szCs w:val="22"/>
          <w:lang w:val="pt-BR"/>
        </w:rPr>
        <w:t>, divulguem sua existência e participem das despesas com publicações, estudos, relatórios e notícias sobre prevenção da violência e do crime que sejam relevantes para a região (endereço eletrônico:</w:t>
      </w:r>
      <w:r w:rsidR="0053718D" w:rsidRPr="00D65A20">
        <w:rPr>
          <w:rFonts w:ascii="Times New Roman" w:hAnsi="Times New Roman"/>
          <w:lang w:val="pt-BR"/>
        </w:rPr>
        <w:t xml:space="preserve"> </w:t>
      </w:r>
      <w:hyperlink r:id="rId29" w:history="1">
        <w:r w:rsidR="00910C5A" w:rsidRPr="00D65A20">
          <w:rPr>
            <w:rStyle w:val="Hyperlink"/>
            <w:rFonts w:ascii="Times New Roman" w:hAnsi="Times New Roman"/>
            <w:szCs w:val="22"/>
            <w:lang w:val="pt-BR"/>
          </w:rPr>
          <w:t>https://www.oas.org/ext/es/seguridad/red-prevencion-crimen/</w:t>
        </w:r>
      </w:hyperlink>
      <w:r w:rsidRPr="00D65A20">
        <w:rPr>
          <w:rFonts w:ascii="Times New Roman" w:hAnsi="Times New Roman"/>
          <w:szCs w:val="22"/>
          <w:lang w:val="pt-BR"/>
        </w:rPr>
        <w:t>).</w:t>
      </w:r>
    </w:p>
    <w:p w14:paraId="6E8340F8"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 w:val="16"/>
          <w:szCs w:val="22"/>
          <w:lang w:val="pt-BR"/>
        </w:rPr>
      </w:pPr>
    </w:p>
    <w:p w14:paraId="6E8340F9"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Solicitar à Secretaria-Geral, por intermédio do DSP, e de acordo com os recursos financeiros disponíveis, que continue apoiando os Estados membros na implementação de projetos de prevenção da violência e do crime, no âmbito do Programa Interamericano de Prevenção da Violência e do Crime, </w:t>
      </w:r>
      <w:r w:rsidRPr="00D65A20">
        <w:rPr>
          <w:rFonts w:ascii="Times New Roman" w:hAnsi="Times New Roman"/>
          <w:color w:val="000000"/>
          <w:szCs w:val="22"/>
          <w:lang w:val="pt-BR"/>
        </w:rPr>
        <w:t>priorizando</w:t>
      </w:r>
      <w:r w:rsidRPr="00D65A20">
        <w:rPr>
          <w:rFonts w:ascii="Times New Roman" w:hAnsi="Times New Roman"/>
          <w:szCs w:val="22"/>
          <w:lang w:val="pt-BR"/>
        </w:rPr>
        <w:t xml:space="preserve"> os que se destinem à prevenção da violência homicida, da violência cometida com armas de fogo e da violência contra grupos e subgrupos populacionais em situação de vulnerabilidade frente a formas específicas de violência, em particular as mencionadas na recomendação 2.7 do Plano de Ação Hemisférico para Orientar a Elaboração de Políticas Públicas de Prevenção e Redução do Homicídio Intencional (documento </w:t>
      </w:r>
      <w:hyperlink r:id="rId30" w:history="1">
        <w:r w:rsidRPr="00D65A20">
          <w:rPr>
            <w:rFonts w:ascii="Times New Roman" w:hAnsi="Times New Roman"/>
            <w:color w:val="0000FF"/>
            <w:u w:val="single"/>
            <w:lang w:val="pt-BR"/>
          </w:rPr>
          <w:t>AG/doc.5667/19</w:t>
        </w:r>
      </w:hyperlink>
      <w:r w:rsidRPr="00D65A20">
        <w:rPr>
          <w:rFonts w:ascii="Times New Roman" w:hAnsi="Times New Roman"/>
          <w:color w:val="0000FF"/>
          <w:u w:val="single"/>
          <w:lang w:val="pt-BR"/>
        </w:rPr>
        <w:t xml:space="preserve"> rev. 1</w:t>
      </w:r>
      <w:r w:rsidRPr="00D65A20">
        <w:rPr>
          <w:rFonts w:ascii="Times New Roman" w:hAnsi="Times New Roman"/>
          <w:szCs w:val="22"/>
          <w:lang w:val="pt-BR"/>
        </w:rPr>
        <w:t>).</w:t>
      </w:r>
    </w:p>
    <w:p w14:paraId="6E8340FA"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0FB" w14:textId="77777777" w:rsidR="0011327F" w:rsidRPr="00D65A20" w:rsidRDefault="0011327F" w:rsidP="00AA4399">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color w:val="000000"/>
          <w:szCs w:val="22"/>
          <w:u w:val="single"/>
          <w:lang w:val="pt-BR"/>
        </w:rPr>
      </w:pPr>
      <w:r w:rsidRPr="00D65A20">
        <w:rPr>
          <w:rFonts w:ascii="Times New Roman" w:hAnsi="Times New Roman"/>
          <w:color w:val="000000"/>
          <w:szCs w:val="22"/>
          <w:u w:val="single"/>
          <w:lang w:val="pt-BR"/>
        </w:rPr>
        <w:t xml:space="preserve">Informação e conhecimento em matéria de segurança multidimensional </w:t>
      </w:r>
    </w:p>
    <w:p w14:paraId="6E8340FC" w14:textId="77777777" w:rsidR="0011327F" w:rsidRPr="00D65A20" w:rsidRDefault="0011327F" w:rsidP="00AA4399">
      <w:pPr>
        <w:widowControl/>
        <w:rPr>
          <w:rFonts w:ascii="Times New Roman" w:hAnsi="Times New Roman"/>
          <w:color w:val="000000"/>
          <w:szCs w:val="22"/>
          <w:u w:val="single"/>
          <w:lang w:val="pt-BR"/>
        </w:rPr>
      </w:pPr>
    </w:p>
    <w:p w14:paraId="6E8340FD" w14:textId="77777777" w:rsidR="0011327F" w:rsidRPr="00D65A20" w:rsidRDefault="0011327F" w:rsidP="00AA4399">
      <w:pPr>
        <w:widowControl/>
        <w:numPr>
          <w:ilvl w:val="0"/>
          <w:numId w:val="19"/>
        </w:numPr>
        <w:ind w:left="0"/>
        <w:rPr>
          <w:rFonts w:ascii="Times New Roman" w:hAnsi="Times New Roman"/>
          <w:bCs/>
          <w:i/>
          <w:color w:val="000000"/>
          <w:szCs w:val="22"/>
          <w:lang w:val="pt-BR"/>
        </w:rPr>
      </w:pPr>
      <w:r w:rsidRPr="00D65A20">
        <w:rPr>
          <w:rFonts w:ascii="Times New Roman" w:hAnsi="Times New Roman"/>
          <w:bCs/>
          <w:color w:val="000000"/>
          <w:szCs w:val="22"/>
          <w:lang w:val="pt-BR"/>
        </w:rPr>
        <w:t xml:space="preserve">Destacar a importância de que os Estados membros designem o Ponto Focal Nacional para o Estudo das Nações Unidas sobre Tendências Delitivas e Funcionamento dos Sistemas de Justiça Penal e reafirmem seu compromisso com o processo de coleta de dados oficiais por meio do referido instrumento, que permite manter </w:t>
      </w:r>
      <w:r w:rsidRPr="00D65A20">
        <w:rPr>
          <w:rFonts w:ascii="Times New Roman" w:hAnsi="Times New Roman"/>
          <w:color w:val="000000"/>
          <w:szCs w:val="22"/>
          <w:lang w:val="pt-BR"/>
        </w:rPr>
        <w:t>atualizado</w:t>
      </w:r>
      <w:r w:rsidRPr="00D65A20">
        <w:rPr>
          <w:rFonts w:ascii="Times New Roman" w:hAnsi="Times New Roman"/>
          <w:bCs/>
          <w:color w:val="000000"/>
          <w:szCs w:val="22"/>
          <w:lang w:val="pt-BR"/>
        </w:rPr>
        <w:t xml:space="preserve"> o Observatório Interamericano de Segurança.</w:t>
      </w:r>
    </w:p>
    <w:p w14:paraId="6E8340FE" w14:textId="77777777" w:rsidR="0011327F" w:rsidRPr="00D65A20" w:rsidRDefault="0011327F" w:rsidP="00AA4399">
      <w:pPr>
        <w:widowControl/>
        <w:rPr>
          <w:rFonts w:ascii="Times New Roman" w:hAnsi="Times New Roman"/>
          <w:bCs/>
          <w:color w:val="000000"/>
          <w:szCs w:val="22"/>
          <w:u w:val="single"/>
          <w:lang w:val="pt-BR"/>
        </w:rPr>
      </w:pPr>
    </w:p>
    <w:p w14:paraId="6E8340FF" w14:textId="751CC3B0" w:rsidR="0011327F" w:rsidRPr="00D65A20" w:rsidRDefault="0011327F" w:rsidP="00AA4399">
      <w:pPr>
        <w:widowControl/>
        <w:numPr>
          <w:ilvl w:val="0"/>
          <w:numId w:val="19"/>
        </w:numPr>
        <w:ind w:left="0"/>
        <w:rPr>
          <w:rFonts w:ascii="Times New Roman" w:hAnsi="Times New Roman"/>
          <w:color w:val="000000"/>
          <w:szCs w:val="22"/>
          <w:lang w:val="pt-BR"/>
        </w:rPr>
      </w:pPr>
      <w:r w:rsidRPr="00D65A20">
        <w:rPr>
          <w:rFonts w:ascii="Times New Roman" w:hAnsi="Times New Roman"/>
          <w:color w:val="000000"/>
          <w:szCs w:val="22"/>
          <w:lang w:val="pt-BR"/>
        </w:rPr>
        <w:t xml:space="preserve">Convidar os Estados membros que ainda não o tenham feito a que se somem à Iniciativa para a Pesquisa de Vitimização Criminal na América Latina e no Caribe (VICLAC), conduzida pelo Centro de Excelência para Informação Estatística de Governo, Segurança Pública, Vitimização e Justiça, </w:t>
      </w:r>
      <w:r w:rsidRPr="00D65A20">
        <w:rPr>
          <w:rFonts w:ascii="Times New Roman" w:hAnsi="Times New Roman"/>
          <w:bCs/>
          <w:color w:val="000000"/>
          <w:szCs w:val="22"/>
          <w:lang w:val="pt-BR"/>
        </w:rPr>
        <w:t xml:space="preserve">no âmbito do </w:t>
      </w:r>
      <w:r w:rsidR="00710F78" w:rsidRPr="00D65A20">
        <w:rPr>
          <w:rFonts w:ascii="Times New Roman" w:hAnsi="Times New Roman"/>
          <w:bCs/>
          <w:color w:val="000000"/>
          <w:szCs w:val="22"/>
          <w:lang w:val="pt-BR"/>
        </w:rPr>
        <w:t>Escritório das Nações Unidas contra Drogas e Crime (</w:t>
      </w:r>
      <w:r w:rsidRPr="00D65A20">
        <w:rPr>
          <w:rFonts w:ascii="Times New Roman" w:hAnsi="Times New Roman"/>
          <w:bCs/>
          <w:color w:val="000000"/>
          <w:szCs w:val="22"/>
          <w:lang w:val="pt-BR"/>
        </w:rPr>
        <w:t>UNODC</w:t>
      </w:r>
      <w:r w:rsidR="00710F78" w:rsidRPr="00D65A20">
        <w:rPr>
          <w:rFonts w:ascii="Times New Roman" w:hAnsi="Times New Roman"/>
          <w:bCs/>
          <w:color w:val="000000"/>
          <w:szCs w:val="22"/>
          <w:lang w:val="pt-BR"/>
        </w:rPr>
        <w:t>)</w:t>
      </w:r>
      <w:r w:rsidRPr="00D65A20">
        <w:rPr>
          <w:rFonts w:ascii="Times New Roman" w:hAnsi="Times New Roman"/>
          <w:bCs/>
          <w:color w:val="000000"/>
          <w:szCs w:val="22"/>
          <w:lang w:val="pt-BR"/>
        </w:rPr>
        <w:t>,</w:t>
      </w:r>
      <w:r w:rsidRPr="00D65A20">
        <w:rPr>
          <w:rFonts w:ascii="Times New Roman" w:hAnsi="Times New Roman"/>
          <w:color w:val="000000"/>
          <w:szCs w:val="22"/>
          <w:lang w:val="pt-BR"/>
        </w:rPr>
        <w:t xml:space="preserve"> que busca padronizar a </w:t>
      </w:r>
      <w:r w:rsidR="006C658A" w:rsidRPr="00D65A20">
        <w:rPr>
          <w:rFonts w:ascii="Times New Roman" w:hAnsi="Times New Roman"/>
          <w:color w:val="000000"/>
          <w:szCs w:val="22"/>
          <w:lang w:val="pt-BR"/>
        </w:rPr>
        <w:t xml:space="preserve">medição </w:t>
      </w:r>
      <w:r w:rsidRPr="00D65A20">
        <w:rPr>
          <w:rFonts w:ascii="Times New Roman" w:hAnsi="Times New Roman"/>
          <w:color w:val="000000"/>
          <w:szCs w:val="22"/>
          <w:lang w:val="pt-BR"/>
        </w:rPr>
        <w:t>da vitimização e gerar dados comparáveis em âmbito hemisférico.</w:t>
      </w:r>
    </w:p>
    <w:p w14:paraId="6E834100" w14:textId="77777777" w:rsidR="0011327F" w:rsidRPr="00D65A20" w:rsidRDefault="0011327F" w:rsidP="00AA4399">
      <w:pPr>
        <w:widowControl/>
        <w:rPr>
          <w:rFonts w:ascii="Times New Roman" w:hAnsi="Times New Roman"/>
          <w:szCs w:val="22"/>
          <w:lang w:val="pt-BR"/>
        </w:rPr>
      </w:pPr>
    </w:p>
    <w:p w14:paraId="6E834101"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Reforçar entre os Estados membros a importância de avaliar as intervenções em matéria de segurança pública e </w:t>
      </w:r>
      <w:r w:rsidRPr="00D65A20">
        <w:rPr>
          <w:rFonts w:ascii="Times New Roman" w:hAnsi="Times New Roman"/>
          <w:color w:val="000000"/>
          <w:szCs w:val="22"/>
          <w:lang w:val="pt-BR"/>
        </w:rPr>
        <w:t>promover</w:t>
      </w:r>
      <w:r w:rsidRPr="00D65A20">
        <w:rPr>
          <w:rFonts w:ascii="Times New Roman" w:hAnsi="Times New Roman"/>
          <w:szCs w:val="22"/>
          <w:lang w:val="pt-BR"/>
        </w:rPr>
        <w:t xml:space="preserve"> o desenvolvimento de ferramentas que lhes permitam documentar e compartilhar boas práticas e lições aprendidas na sua implementação.</w:t>
      </w:r>
    </w:p>
    <w:p w14:paraId="6E834102"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16"/>
          <w:szCs w:val="22"/>
          <w:lang w:val="pt-BR"/>
        </w:rPr>
      </w:pPr>
    </w:p>
    <w:p w14:paraId="6E834103" w14:textId="79DC37E6"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Convidar os Observatórios do Crime existentes nos Estados membros a que participem da Comunidade Interamericana de Observatórios, administrada pela Seção de Informação e Conhecimento do </w:t>
      </w:r>
      <w:r w:rsidR="0053718D" w:rsidRPr="00D65A20">
        <w:rPr>
          <w:rFonts w:ascii="Times New Roman" w:hAnsi="Times New Roman"/>
          <w:szCs w:val="22"/>
          <w:lang w:val="pt-BR"/>
        </w:rPr>
        <w:t>DSP</w:t>
      </w:r>
      <w:r w:rsidRPr="00D65A20">
        <w:rPr>
          <w:rFonts w:ascii="Times New Roman" w:hAnsi="Times New Roman"/>
          <w:szCs w:val="22"/>
          <w:lang w:val="pt-BR"/>
        </w:rPr>
        <w:t>.</w:t>
      </w:r>
    </w:p>
    <w:p w14:paraId="6E834104" w14:textId="77777777" w:rsidR="0011327F" w:rsidRPr="00D65A20" w:rsidRDefault="0011327F" w:rsidP="00AA4399">
      <w:pPr>
        <w:widowControl/>
        <w:rPr>
          <w:rFonts w:ascii="Times New Roman" w:hAnsi="Times New Roman"/>
          <w:szCs w:val="22"/>
          <w:lang w:val="pt-BR"/>
        </w:rPr>
      </w:pPr>
    </w:p>
    <w:p w14:paraId="6E834105" w14:textId="7F384D18" w:rsidR="0011327F" w:rsidRPr="00D65A20" w:rsidRDefault="0011327F" w:rsidP="00AA4399">
      <w:pPr>
        <w:widowControl/>
        <w:numPr>
          <w:ilvl w:val="0"/>
          <w:numId w:val="19"/>
        </w:numPr>
        <w:ind w:left="0"/>
        <w:rPr>
          <w:rFonts w:ascii="Times New Roman" w:hAnsi="Times New Roman"/>
          <w:bCs/>
          <w:color w:val="000000"/>
          <w:szCs w:val="22"/>
          <w:lang w:val="pt-BR"/>
        </w:rPr>
      </w:pPr>
      <w:r w:rsidRPr="00D65A20">
        <w:rPr>
          <w:rFonts w:ascii="Times New Roman" w:hAnsi="Times New Roman"/>
          <w:bCs/>
          <w:szCs w:val="22"/>
          <w:lang w:val="pt-BR"/>
        </w:rPr>
        <w:t xml:space="preserve">Instar os Sistemas de </w:t>
      </w:r>
      <w:r w:rsidRPr="00D65A20">
        <w:rPr>
          <w:rFonts w:ascii="Times New Roman" w:hAnsi="Times New Roman"/>
          <w:color w:val="000000"/>
          <w:szCs w:val="22"/>
          <w:lang w:val="pt-BR"/>
        </w:rPr>
        <w:t>Emergência</w:t>
      </w:r>
      <w:r w:rsidRPr="00D65A20">
        <w:rPr>
          <w:rFonts w:ascii="Times New Roman" w:hAnsi="Times New Roman"/>
          <w:bCs/>
          <w:szCs w:val="22"/>
          <w:lang w:val="pt-BR"/>
        </w:rPr>
        <w:t xml:space="preserve"> e Segurança a que se somem à </w:t>
      </w:r>
      <w:r w:rsidR="009E337D" w:rsidRPr="00D65A20">
        <w:rPr>
          <w:rFonts w:ascii="Times New Roman" w:hAnsi="Times New Roman"/>
          <w:bCs/>
          <w:szCs w:val="22"/>
          <w:lang w:val="pt-BR"/>
        </w:rPr>
        <w:t>comunidade virtual</w:t>
      </w:r>
      <w:r w:rsidRPr="00D65A20">
        <w:rPr>
          <w:rFonts w:ascii="Times New Roman" w:hAnsi="Times New Roman"/>
          <w:bCs/>
          <w:szCs w:val="22"/>
          <w:lang w:val="pt-BR"/>
        </w:rPr>
        <w:t xml:space="preserve"> criada especialmente para eles e compartilhem informações úteis para o funcionamento e a gestão dos referidos sistemas.</w:t>
      </w:r>
    </w:p>
    <w:p w14:paraId="6E834106" w14:textId="77777777" w:rsidR="0011327F" w:rsidRPr="00D65A20" w:rsidRDefault="0011327F" w:rsidP="00AA4399">
      <w:pPr>
        <w:widowControl/>
        <w:rPr>
          <w:rFonts w:ascii="Times New Roman" w:hAnsi="Times New Roman"/>
          <w:bCs/>
          <w:color w:val="000000"/>
          <w:szCs w:val="22"/>
          <w:lang w:val="pt-BR"/>
        </w:rPr>
      </w:pPr>
    </w:p>
    <w:p w14:paraId="6E834107" w14:textId="77777777" w:rsidR="0011327F" w:rsidRPr="00D65A20" w:rsidRDefault="0011327F" w:rsidP="00AA4399">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color w:val="000000"/>
          <w:szCs w:val="22"/>
          <w:u w:val="single"/>
          <w:lang w:val="pt-BR"/>
        </w:rPr>
      </w:pPr>
      <w:r w:rsidRPr="00D65A20">
        <w:rPr>
          <w:rFonts w:ascii="Times New Roman" w:hAnsi="Times New Roman"/>
          <w:color w:val="000000"/>
          <w:szCs w:val="22"/>
          <w:u w:val="single"/>
          <w:lang w:val="pt-BR"/>
        </w:rPr>
        <w:t>Promoção da cooperação policial</w:t>
      </w:r>
      <w:r w:rsidRPr="00D65A20">
        <w:rPr>
          <w:rFonts w:ascii="Times New Roman" w:hAnsi="Times New Roman"/>
          <w:color w:val="000000"/>
          <w:szCs w:val="22"/>
          <w:lang w:val="pt-BR"/>
        </w:rPr>
        <w:t xml:space="preserve"> </w:t>
      </w:r>
      <w:r w:rsidRPr="00D65A20">
        <w:rPr>
          <w:rFonts w:ascii="Times New Roman" w:hAnsi="Times New Roman"/>
          <w:szCs w:val="22"/>
          <w:u w:val="single"/>
          <w:vertAlign w:val="superscript"/>
          <w:lang w:val="pt-BR"/>
        </w:rPr>
        <w:footnoteReference w:id="18"/>
      </w:r>
      <w:r w:rsidRPr="00D65A20">
        <w:rPr>
          <w:rFonts w:ascii="Times New Roman" w:hAnsi="Times New Roman"/>
          <w:color w:val="000000"/>
          <w:szCs w:val="22"/>
          <w:vertAlign w:val="superscript"/>
          <w:lang w:val="pt-BR"/>
        </w:rPr>
        <w:t>/</w:t>
      </w:r>
    </w:p>
    <w:p w14:paraId="6E834108"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 w:val="16"/>
          <w:szCs w:val="16"/>
          <w:u w:val="single"/>
          <w:lang w:val="pt-BR"/>
        </w:rPr>
      </w:pPr>
    </w:p>
    <w:p w14:paraId="6E834109" w14:textId="5569C029" w:rsidR="0011327F" w:rsidRPr="00D65A20" w:rsidRDefault="0011327F" w:rsidP="00AA4399">
      <w:pPr>
        <w:widowControl/>
        <w:numPr>
          <w:ilvl w:val="0"/>
          <w:numId w:val="19"/>
        </w:numPr>
        <w:ind w:left="0"/>
        <w:rPr>
          <w:rFonts w:ascii="Times New Roman" w:eastAsia="MS Mincho" w:hAnsi="Times New Roman"/>
          <w:szCs w:val="22"/>
          <w:lang w:val="pt-BR" w:eastAsia="es-ES_tradnl"/>
        </w:rPr>
      </w:pPr>
      <w:r w:rsidRPr="00D65A20">
        <w:rPr>
          <w:rFonts w:ascii="Times New Roman" w:hAnsi="Times New Roman"/>
          <w:szCs w:val="22"/>
          <w:lang w:val="pt-BR"/>
        </w:rPr>
        <w:t xml:space="preserve">Agradecer o oferecimento de sede do Governo de El Salvador para o terceiro curso presencial de capacitação policial da Rede Interamericana de Desenvolvimento e Profissionalização </w:t>
      </w:r>
      <w:r w:rsidRPr="00D65A20">
        <w:rPr>
          <w:rFonts w:ascii="Times New Roman" w:hAnsi="Times New Roman"/>
          <w:szCs w:val="22"/>
          <w:lang w:val="pt-BR"/>
        </w:rPr>
        <w:lastRenderedPageBreak/>
        <w:t>Policial (REDPPOL), que se realizará no segundo semestre de 2021, solicitar que apresentem</w:t>
      </w:r>
      <w:r w:rsidR="00E31E5D" w:rsidRPr="00D65A20">
        <w:rPr>
          <w:rFonts w:ascii="Times New Roman" w:hAnsi="Times New Roman"/>
          <w:szCs w:val="22"/>
          <w:lang w:val="pt-BR"/>
        </w:rPr>
        <w:t xml:space="preserve"> na MISPA-VIII</w:t>
      </w:r>
      <w:r w:rsidRPr="00D65A20">
        <w:rPr>
          <w:rFonts w:ascii="Times New Roman" w:hAnsi="Times New Roman"/>
          <w:szCs w:val="22"/>
          <w:lang w:val="pt-BR"/>
        </w:rPr>
        <w:t xml:space="preserve"> os resultados alcançados</w:t>
      </w:r>
      <w:r w:rsidR="00E31E5D" w:rsidRPr="00D65A20">
        <w:rPr>
          <w:rFonts w:ascii="Times New Roman" w:hAnsi="Times New Roman"/>
          <w:szCs w:val="22"/>
          <w:lang w:val="pt-BR"/>
        </w:rPr>
        <w:t xml:space="preserve"> no referido curso</w:t>
      </w:r>
      <w:r w:rsidRPr="00D65A20">
        <w:rPr>
          <w:rFonts w:ascii="Times New Roman" w:hAnsi="Times New Roman"/>
          <w:szCs w:val="22"/>
          <w:lang w:val="pt-BR"/>
        </w:rPr>
        <w:t>, e convidar os Estados membros a que continuem a contribuir técnica e financeiramente para apoiar as atividades da REDPPOL.</w:t>
      </w:r>
    </w:p>
    <w:p w14:paraId="6E83410A" w14:textId="77777777" w:rsidR="0011327F" w:rsidRPr="00D65A20" w:rsidRDefault="0011327F" w:rsidP="00AA4399">
      <w:pPr>
        <w:widowControl/>
        <w:rPr>
          <w:rFonts w:ascii="Times New Roman" w:eastAsia="MS Mincho" w:hAnsi="Times New Roman"/>
          <w:szCs w:val="22"/>
          <w:lang w:val="pt-BR" w:eastAsia="es-ES_tradnl"/>
        </w:rPr>
      </w:pPr>
    </w:p>
    <w:p w14:paraId="6E83410B" w14:textId="54FDBDAF" w:rsidR="0011327F" w:rsidRPr="00D65A20" w:rsidRDefault="0011327F" w:rsidP="00AA4399">
      <w:pPr>
        <w:widowControl/>
        <w:numPr>
          <w:ilvl w:val="0"/>
          <w:numId w:val="19"/>
        </w:numPr>
        <w:ind w:left="0"/>
        <w:rPr>
          <w:rFonts w:ascii="Times New Roman" w:hAnsi="Times New Roman"/>
          <w:color w:val="000000"/>
          <w:szCs w:val="22"/>
          <w:u w:val="single"/>
          <w:lang w:val="pt-BR"/>
        </w:rPr>
      </w:pPr>
      <w:r w:rsidRPr="00D65A20">
        <w:rPr>
          <w:rFonts w:ascii="Times New Roman" w:hAnsi="Times New Roman"/>
          <w:szCs w:val="22"/>
          <w:lang w:val="pt-BR"/>
        </w:rPr>
        <w:t xml:space="preserve">Exortar os Estados </w:t>
      </w:r>
      <w:r w:rsidRPr="00D65A20">
        <w:rPr>
          <w:rFonts w:ascii="Times New Roman" w:hAnsi="Times New Roman"/>
          <w:color w:val="000000"/>
          <w:szCs w:val="22"/>
          <w:lang w:val="pt-BR"/>
        </w:rPr>
        <w:t>membros</w:t>
      </w:r>
      <w:r w:rsidRPr="00D65A20">
        <w:rPr>
          <w:rFonts w:ascii="Times New Roman" w:hAnsi="Times New Roman"/>
          <w:szCs w:val="22"/>
          <w:lang w:val="pt-BR"/>
        </w:rPr>
        <w:t xml:space="preserve"> a que designem um funcionário policial para apoiar, inclusive de maneira virtual, a Secretaria-Geral, por meio do DSP, na implementação da Plataforma Virtual REDPPOL, bem como prestar orientação técnica sobre práticas e </w:t>
      </w:r>
      <w:r w:rsidR="009E766B" w:rsidRPr="00D65A20">
        <w:rPr>
          <w:rFonts w:ascii="Times New Roman" w:hAnsi="Times New Roman"/>
          <w:szCs w:val="22"/>
          <w:lang w:val="pt-BR"/>
        </w:rPr>
        <w:t xml:space="preserve">normas </w:t>
      </w:r>
      <w:r w:rsidRPr="00D65A20">
        <w:rPr>
          <w:rFonts w:ascii="Times New Roman" w:hAnsi="Times New Roman"/>
          <w:szCs w:val="22"/>
          <w:lang w:val="pt-BR"/>
        </w:rPr>
        <w:t>policiais.</w:t>
      </w:r>
    </w:p>
    <w:p w14:paraId="6E83410C" w14:textId="77777777" w:rsidR="0011327F" w:rsidRPr="00D65A20" w:rsidRDefault="0011327F" w:rsidP="00AA4399">
      <w:pPr>
        <w:widowControl/>
        <w:rPr>
          <w:rFonts w:ascii="Times New Roman" w:hAnsi="Times New Roman"/>
          <w:color w:val="000000"/>
          <w:szCs w:val="22"/>
          <w:u w:val="single"/>
          <w:lang w:val="pt-BR"/>
        </w:rPr>
      </w:pPr>
    </w:p>
    <w:p w14:paraId="6E83410D" w14:textId="594A5003" w:rsidR="0011327F" w:rsidRPr="00D65A20" w:rsidRDefault="0011327F" w:rsidP="00AA4399">
      <w:pPr>
        <w:widowControl/>
        <w:numPr>
          <w:ilvl w:val="0"/>
          <w:numId w:val="19"/>
        </w:numPr>
        <w:ind w:left="0"/>
        <w:rPr>
          <w:rFonts w:ascii="Times New Roman" w:hAnsi="Times New Roman"/>
          <w:bCs/>
          <w:color w:val="000000"/>
          <w:szCs w:val="22"/>
          <w:u w:val="single"/>
          <w:lang w:val="pt-BR"/>
        </w:rPr>
      </w:pPr>
      <w:r w:rsidRPr="00D65A20">
        <w:rPr>
          <w:rFonts w:ascii="Times New Roman" w:hAnsi="Times New Roman"/>
          <w:bCs/>
          <w:szCs w:val="22"/>
          <w:lang w:val="pt-BR"/>
        </w:rPr>
        <w:t xml:space="preserve">Solicitar assistência técnica contínua sobre </w:t>
      </w:r>
      <w:r w:rsidR="009E766B" w:rsidRPr="00D65A20">
        <w:rPr>
          <w:rFonts w:ascii="Times New Roman" w:hAnsi="Times New Roman"/>
          <w:bCs/>
          <w:szCs w:val="22"/>
          <w:lang w:val="pt-BR"/>
        </w:rPr>
        <w:t xml:space="preserve">normas </w:t>
      </w:r>
      <w:r w:rsidRPr="00D65A20">
        <w:rPr>
          <w:rFonts w:ascii="Times New Roman" w:hAnsi="Times New Roman"/>
          <w:bCs/>
          <w:szCs w:val="22"/>
          <w:lang w:val="pt-BR"/>
        </w:rPr>
        <w:t xml:space="preserve">e práticas policiais, de parte da </w:t>
      </w:r>
      <w:r w:rsidR="00710F78" w:rsidRPr="00D65A20">
        <w:rPr>
          <w:rFonts w:ascii="Times New Roman" w:hAnsi="Times New Roman"/>
          <w:bCs/>
          <w:szCs w:val="22"/>
          <w:lang w:val="pt-BR"/>
        </w:rPr>
        <w:t>Comunidade de Polícias da América (</w:t>
      </w:r>
      <w:r w:rsidRPr="00D65A20">
        <w:rPr>
          <w:rFonts w:ascii="Times New Roman" w:hAnsi="Times New Roman"/>
          <w:bCs/>
          <w:szCs w:val="22"/>
          <w:lang w:val="pt-BR"/>
        </w:rPr>
        <w:t>AMERIPOL</w:t>
      </w:r>
      <w:r w:rsidR="00710F78" w:rsidRPr="00D65A20">
        <w:rPr>
          <w:rFonts w:ascii="Times New Roman" w:hAnsi="Times New Roman"/>
          <w:bCs/>
          <w:szCs w:val="22"/>
          <w:lang w:val="pt-BR"/>
        </w:rPr>
        <w:t>)</w:t>
      </w:r>
      <w:r w:rsidRPr="00D65A20">
        <w:rPr>
          <w:rFonts w:ascii="Times New Roman" w:hAnsi="Times New Roman"/>
          <w:bCs/>
          <w:szCs w:val="22"/>
          <w:lang w:val="pt-BR"/>
        </w:rPr>
        <w:t xml:space="preserve">, no âmbito do Memorando de </w:t>
      </w:r>
      <w:r w:rsidRPr="00D65A20">
        <w:rPr>
          <w:rFonts w:ascii="Times New Roman" w:hAnsi="Times New Roman"/>
          <w:color w:val="000000"/>
          <w:szCs w:val="22"/>
          <w:lang w:val="pt-BR"/>
        </w:rPr>
        <w:t>Entendimento</w:t>
      </w:r>
      <w:r w:rsidRPr="00D65A20">
        <w:rPr>
          <w:rFonts w:ascii="Times New Roman" w:hAnsi="Times New Roman"/>
          <w:bCs/>
          <w:szCs w:val="22"/>
          <w:lang w:val="pt-BR"/>
        </w:rPr>
        <w:t xml:space="preserve"> existente entre a AMERIPOL e a </w:t>
      </w:r>
      <w:r w:rsidR="009E766B" w:rsidRPr="00D65A20">
        <w:rPr>
          <w:rFonts w:ascii="Times New Roman" w:hAnsi="Times New Roman"/>
          <w:bCs/>
          <w:szCs w:val="22"/>
          <w:lang w:val="pt-BR"/>
        </w:rPr>
        <w:t>SSM</w:t>
      </w:r>
      <w:r w:rsidRPr="00D65A20">
        <w:rPr>
          <w:rFonts w:ascii="Times New Roman" w:hAnsi="Times New Roman"/>
          <w:bCs/>
          <w:szCs w:val="22"/>
          <w:lang w:val="pt-BR"/>
        </w:rPr>
        <w:t>.</w:t>
      </w:r>
    </w:p>
    <w:p w14:paraId="6E83410E" w14:textId="77777777" w:rsidR="0011327F" w:rsidRPr="00D65A20" w:rsidRDefault="0011327F" w:rsidP="00AA4399">
      <w:pPr>
        <w:widowControl/>
        <w:suppressAutoHyphens/>
        <w:rPr>
          <w:rFonts w:ascii="Times New Roman" w:hAnsi="Times New Roman"/>
          <w:bCs/>
          <w:color w:val="000000"/>
          <w:szCs w:val="22"/>
          <w:u w:val="single"/>
          <w:lang w:val="pt-BR"/>
        </w:rPr>
      </w:pPr>
    </w:p>
    <w:p w14:paraId="6E83410F" w14:textId="12EC7270" w:rsidR="0011327F" w:rsidRPr="00D65A20" w:rsidRDefault="0011327F" w:rsidP="00AA4399">
      <w:pPr>
        <w:widowControl/>
        <w:numPr>
          <w:ilvl w:val="0"/>
          <w:numId w:val="19"/>
        </w:numPr>
        <w:ind w:left="0"/>
        <w:rPr>
          <w:rFonts w:ascii="Times New Roman" w:hAnsi="Times New Roman"/>
          <w:bCs/>
          <w:color w:val="000000"/>
          <w:szCs w:val="22"/>
          <w:lang w:val="pt-BR"/>
        </w:rPr>
      </w:pPr>
      <w:r w:rsidRPr="00D65A20">
        <w:rPr>
          <w:rFonts w:ascii="Times New Roman" w:hAnsi="Times New Roman"/>
          <w:bCs/>
          <w:color w:val="000000"/>
          <w:szCs w:val="22"/>
          <w:lang w:val="pt-BR"/>
        </w:rPr>
        <w:t xml:space="preserve">Agradecer </w:t>
      </w:r>
      <w:r w:rsidR="009E766B" w:rsidRPr="00D65A20">
        <w:rPr>
          <w:rFonts w:ascii="Times New Roman" w:hAnsi="Times New Roman"/>
          <w:bCs/>
          <w:color w:val="000000"/>
          <w:szCs w:val="22"/>
          <w:lang w:val="pt-BR"/>
        </w:rPr>
        <w:t>a</w:t>
      </w:r>
      <w:r w:rsidRPr="00D65A20">
        <w:rPr>
          <w:rFonts w:ascii="Times New Roman" w:hAnsi="Times New Roman"/>
          <w:bCs/>
          <w:color w:val="000000"/>
          <w:szCs w:val="22"/>
          <w:lang w:val="pt-BR"/>
        </w:rPr>
        <w:t xml:space="preserve">o Governo da Itália </w:t>
      </w:r>
      <w:r w:rsidR="009E766B" w:rsidRPr="00D65A20">
        <w:rPr>
          <w:rFonts w:ascii="Times New Roman" w:hAnsi="Times New Roman"/>
          <w:bCs/>
          <w:color w:val="000000"/>
          <w:szCs w:val="22"/>
          <w:lang w:val="pt-BR"/>
        </w:rPr>
        <w:t xml:space="preserve">a </w:t>
      </w:r>
      <w:r w:rsidRPr="00D65A20">
        <w:rPr>
          <w:rFonts w:ascii="Times New Roman" w:hAnsi="Times New Roman"/>
          <w:bCs/>
          <w:color w:val="000000"/>
          <w:szCs w:val="22"/>
          <w:lang w:val="pt-BR"/>
        </w:rPr>
        <w:t xml:space="preserve">sua contribuição para o desenvolvimento da norma de gestão de </w:t>
      </w:r>
      <w:r w:rsidRPr="00D65A20">
        <w:rPr>
          <w:rFonts w:ascii="Times New Roman" w:hAnsi="Times New Roman"/>
          <w:bCs/>
          <w:szCs w:val="22"/>
          <w:lang w:val="pt-BR"/>
        </w:rPr>
        <w:t>excelência</w:t>
      </w:r>
      <w:r w:rsidRPr="00D65A20">
        <w:rPr>
          <w:rFonts w:ascii="Times New Roman" w:hAnsi="Times New Roman"/>
          <w:bCs/>
          <w:color w:val="000000"/>
          <w:szCs w:val="22"/>
          <w:lang w:val="pt-BR"/>
        </w:rPr>
        <w:t xml:space="preserve"> para as polícias no âmbito da REDPPOL.</w:t>
      </w:r>
    </w:p>
    <w:p w14:paraId="6E834110" w14:textId="77777777" w:rsidR="0011327F" w:rsidRPr="00D65A20" w:rsidRDefault="0011327F" w:rsidP="00AA4399">
      <w:pPr>
        <w:widowControl/>
        <w:rPr>
          <w:rFonts w:ascii="Times New Roman" w:hAnsi="Times New Roman"/>
          <w:b/>
          <w:color w:val="000000"/>
          <w:szCs w:val="22"/>
          <w:lang w:val="pt-BR"/>
        </w:rPr>
      </w:pPr>
    </w:p>
    <w:p w14:paraId="6E834111" w14:textId="13EEE305" w:rsidR="0011327F" w:rsidRPr="00D65A20" w:rsidRDefault="0011327F" w:rsidP="00AA4399">
      <w:pPr>
        <w:widowControl/>
        <w:numPr>
          <w:ilvl w:val="0"/>
          <w:numId w:val="19"/>
        </w:numPr>
        <w:ind w:left="0"/>
        <w:rPr>
          <w:rFonts w:ascii="Times New Roman" w:hAnsi="Times New Roman"/>
          <w:bCs/>
          <w:color w:val="000000"/>
          <w:szCs w:val="22"/>
          <w:u w:val="single"/>
          <w:lang w:val="pt-BR"/>
        </w:rPr>
      </w:pPr>
      <w:r w:rsidRPr="00D65A20">
        <w:rPr>
          <w:rFonts w:ascii="Times New Roman" w:hAnsi="Times New Roman"/>
          <w:bCs/>
          <w:szCs w:val="22"/>
          <w:lang w:val="pt-BR"/>
        </w:rPr>
        <w:t xml:space="preserve">Solicitar à Secretaria-Geral que, por meio do </w:t>
      </w:r>
      <w:r w:rsidR="0053718D" w:rsidRPr="00D65A20">
        <w:rPr>
          <w:rFonts w:ascii="Times New Roman" w:hAnsi="Times New Roman"/>
          <w:bCs/>
          <w:szCs w:val="22"/>
          <w:lang w:val="pt-BR"/>
        </w:rPr>
        <w:t>DSP</w:t>
      </w:r>
      <w:r w:rsidRPr="00D65A20">
        <w:rPr>
          <w:rFonts w:ascii="Times New Roman" w:hAnsi="Times New Roman"/>
          <w:bCs/>
          <w:szCs w:val="22"/>
          <w:lang w:val="pt-BR"/>
        </w:rPr>
        <w:t xml:space="preserve"> e no âmbito da REDPPOL, </w:t>
      </w:r>
      <w:r w:rsidRPr="00D65A20">
        <w:rPr>
          <w:rFonts w:ascii="Times New Roman" w:hAnsi="Times New Roman"/>
          <w:color w:val="000000"/>
          <w:szCs w:val="22"/>
          <w:lang w:val="pt-BR"/>
        </w:rPr>
        <w:t>continue</w:t>
      </w:r>
      <w:r w:rsidRPr="00D65A20">
        <w:rPr>
          <w:rFonts w:ascii="Times New Roman" w:hAnsi="Times New Roman"/>
          <w:bCs/>
          <w:szCs w:val="22"/>
          <w:lang w:val="pt-BR"/>
        </w:rPr>
        <w:t xml:space="preserve"> apoiando o fortalecimento das capacidades das forças policiais que operam em regiões fronteiriças e em questões de controle migratório.</w:t>
      </w:r>
    </w:p>
    <w:p w14:paraId="6E834112" w14:textId="77777777" w:rsidR="0011327F" w:rsidRPr="00D65A20" w:rsidRDefault="0011327F" w:rsidP="00AA4399">
      <w:pPr>
        <w:widowControl/>
        <w:rPr>
          <w:rFonts w:ascii="Times New Roman" w:hAnsi="Times New Roman"/>
          <w:bCs/>
          <w:color w:val="000000"/>
          <w:szCs w:val="22"/>
          <w:u w:val="single"/>
          <w:lang w:val="pt-BR"/>
        </w:rPr>
      </w:pPr>
    </w:p>
    <w:p w14:paraId="6E834113" w14:textId="77777777" w:rsidR="0011327F" w:rsidRPr="00D65A20" w:rsidRDefault="0011327F" w:rsidP="00AA4399">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bCs/>
          <w:strike/>
          <w:color w:val="000000"/>
          <w:szCs w:val="22"/>
          <w:lang w:val="pt-BR"/>
        </w:rPr>
      </w:pPr>
      <w:r w:rsidRPr="00D65A20">
        <w:rPr>
          <w:rFonts w:ascii="Times New Roman" w:hAnsi="Times New Roman"/>
          <w:color w:val="000000"/>
          <w:szCs w:val="22"/>
          <w:u w:val="single"/>
          <w:lang w:val="pt-BR"/>
        </w:rPr>
        <w:t xml:space="preserve">Sistemas de justiça, penitenciários e prisionais </w:t>
      </w:r>
    </w:p>
    <w:p w14:paraId="6E834114" w14:textId="77777777" w:rsidR="0011327F" w:rsidRPr="00377CA8"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trike/>
          <w:color w:val="000000"/>
          <w:szCs w:val="22"/>
          <w:lang w:val="pt-BR"/>
        </w:rPr>
      </w:pPr>
    </w:p>
    <w:p w14:paraId="6E834115" w14:textId="273BDCC6" w:rsidR="0011327F" w:rsidRPr="00D65A20" w:rsidRDefault="0011327F" w:rsidP="00AA4399">
      <w:pPr>
        <w:widowControl/>
        <w:numPr>
          <w:ilvl w:val="0"/>
          <w:numId w:val="19"/>
        </w:numPr>
        <w:ind w:left="0"/>
        <w:rPr>
          <w:rFonts w:ascii="Times New Roman" w:eastAsia="MS Mincho" w:hAnsi="Times New Roman"/>
          <w:szCs w:val="22"/>
          <w:lang w:val="pt-BR" w:eastAsia="es-ES_tradnl"/>
        </w:rPr>
      </w:pPr>
      <w:r w:rsidRPr="00D65A20">
        <w:rPr>
          <w:rFonts w:ascii="Times New Roman" w:hAnsi="Times New Roman"/>
          <w:szCs w:val="22"/>
          <w:lang w:val="pt-BR"/>
        </w:rPr>
        <w:t>Tomar nota das Recomendações da Quarta Reunião de Autoridades Responsáveis pelas Políticas Penitenciárias e Prisionais dos Estados membros da OEA, aprovadas em São Domingos</w:t>
      </w:r>
      <w:r w:rsidR="00B75839">
        <w:rPr>
          <w:rFonts w:ascii="Times New Roman" w:hAnsi="Times New Roman"/>
          <w:szCs w:val="22"/>
          <w:lang w:val="pt-BR"/>
        </w:rPr>
        <w:t xml:space="preserve"> (</w:t>
      </w:r>
      <w:r w:rsidRPr="00D65A20">
        <w:rPr>
          <w:rFonts w:ascii="Times New Roman" w:hAnsi="Times New Roman"/>
          <w:szCs w:val="22"/>
          <w:lang w:val="pt-BR"/>
        </w:rPr>
        <w:t>República Dominicana</w:t>
      </w:r>
      <w:r w:rsidR="00B75839">
        <w:rPr>
          <w:rFonts w:ascii="Times New Roman" w:hAnsi="Times New Roman"/>
          <w:szCs w:val="22"/>
          <w:lang w:val="pt-BR"/>
        </w:rPr>
        <w:t>)</w:t>
      </w:r>
      <w:r w:rsidRPr="00D65A20">
        <w:rPr>
          <w:rFonts w:ascii="Times New Roman" w:hAnsi="Times New Roman"/>
          <w:szCs w:val="22"/>
          <w:lang w:val="pt-BR"/>
        </w:rPr>
        <w:t>, as quais serão encaminhadas à Reunião de Ministros da Justiça ou de Outros Ministros ou Procuradores-Gerais das Américas (REMJA), e, igualmente, agradecer o oferecimento de sede do Governo de Honduras para a Quinta Reunião de Autoridades Responsáveis pelas Políticas Penitenciárias e Prisionais dos Estados membros da OEA, que terá lugar em 2021.</w:t>
      </w:r>
    </w:p>
    <w:p w14:paraId="6E834116" w14:textId="77777777" w:rsidR="0011327F" w:rsidRPr="00D65A20" w:rsidRDefault="0011327F" w:rsidP="00AA4399">
      <w:pPr>
        <w:widowControl/>
        <w:rPr>
          <w:rFonts w:ascii="Times New Roman" w:eastAsia="MS Mincho" w:hAnsi="Times New Roman"/>
          <w:bCs/>
          <w:szCs w:val="22"/>
          <w:lang w:val="pt-BR" w:eastAsia="es-ES_tradnl"/>
        </w:rPr>
      </w:pPr>
    </w:p>
    <w:p w14:paraId="6E834117"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color w:val="000000"/>
          <w:szCs w:val="22"/>
          <w:lang w:val="pt-BR"/>
        </w:rPr>
        <w:t>Desenvolver</w:t>
      </w:r>
      <w:r w:rsidRPr="00D65A20">
        <w:rPr>
          <w:rFonts w:ascii="Times New Roman" w:hAnsi="Times New Roman"/>
          <w:szCs w:val="22"/>
          <w:lang w:val="pt-BR"/>
        </w:rPr>
        <w:t>, conforme apropriado, as capacidades do sistema de justiça juvenil para promover a inclusão social e reduzir a violência.</w:t>
      </w:r>
    </w:p>
    <w:p w14:paraId="6E834118" w14:textId="77777777" w:rsidR="0011327F" w:rsidRPr="00D65A20" w:rsidRDefault="0011327F" w:rsidP="00AA4399">
      <w:pPr>
        <w:widowControl/>
        <w:rPr>
          <w:rFonts w:ascii="Times New Roman" w:eastAsia="MS Mincho" w:hAnsi="Times New Roman"/>
          <w:bCs/>
          <w:szCs w:val="22"/>
          <w:lang w:val="pt-BR" w:eastAsia="es-ES_tradnl"/>
        </w:rPr>
      </w:pPr>
    </w:p>
    <w:p w14:paraId="6E834119" w14:textId="4E87F05C" w:rsidR="0011327F" w:rsidRPr="00D65A20" w:rsidRDefault="0011327F" w:rsidP="00AA4399">
      <w:pPr>
        <w:widowControl/>
        <w:numPr>
          <w:ilvl w:val="0"/>
          <w:numId w:val="19"/>
        </w:numPr>
        <w:ind w:left="0"/>
        <w:rPr>
          <w:rFonts w:ascii="Times New Roman" w:eastAsia="MS Mincho" w:hAnsi="Times New Roman"/>
          <w:bCs/>
          <w:szCs w:val="22"/>
          <w:lang w:val="pt-BR" w:eastAsia="es-ES_tradnl"/>
        </w:rPr>
      </w:pPr>
      <w:r w:rsidRPr="00D65A20">
        <w:rPr>
          <w:rFonts w:ascii="Times New Roman" w:hAnsi="Times New Roman"/>
          <w:bCs/>
          <w:szCs w:val="22"/>
          <w:lang w:val="pt-BR"/>
        </w:rPr>
        <w:t>Encarregar a SSM</w:t>
      </w:r>
      <w:r w:rsidR="00710F78" w:rsidRPr="00D65A20">
        <w:rPr>
          <w:rFonts w:ascii="Times New Roman" w:hAnsi="Times New Roman"/>
          <w:bCs/>
          <w:szCs w:val="22"/>
          <w:lang w:val="pt-BR"/>
        </w:rPr>
        <w:t xml:space="preserve"> de</w:t>
      </w:r>
      <w:r w:rsidRPr="00D65A20">
        <w:rPr>
          <w:rFonts w:ascii="Times New Roman" w:hAnsi="Times New Roman"/>
          <w:bCs/>
          <w:szCs w:val="22"/>
          <w:lang w:val="pt-BR"/>
        </w:rPr>
        <w:t>, por intermédio do DSP, incentivar a profissionalização do pessoal penitenciário nos Estados membros, em todos os níveis, segundo as solicitações e as condições da função que exercem, considerando que pessoal capacitado, ético e dotado de instrumentos para gerir as exigências do sistema penitenciário é fundamental para humanizar a privação da liberdade.</w:t>
      </w:r>
    </w:p>
    <w:p w14:paraId="6E83411A" w14:textId="77777777" w:rsidR="0011327F" w:rsidRPr="00D65A20" w:rsidRDefault="0011327F" w:rsidP="00AA4399">
      <w:pPr>
        <w:widowControl/>
        <w:rPr>
          <w:rFonts w:ascii="Times New Roman" w:eastAsia="MS Mincho" w:hAnsi="Times New Roman"/>
          <w:bCs/>
          <w:szCs w:val="22"/>
          <w:lang w:val="pt-BR" w:eastAsia="es-ES_tradnl"/>
        </w:rPr>
      </w:pPr>
    </w:p>
    <w:p w14:paraId="6E83411B" w14:textId="501CE671"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Encarregar a SSM</w:t>
      </w:r>
      <w:r w:rsidR="00710F78" w:rsidRPr="00D65A20">
        <w:rPr>
          <w:rFonts w:ascii="Times New Roman" w:hAnsi="Times New Roman"/>
          <w:bCs/>
          <w:szCs w:val="22"/>
          <w:lang w:val="pt-BR"/>
        </w:rPr>
        <w:t xml:space="preserve"> de</w:t>
      </w:r>
      <w:r w:rsidRPr="00D65A20">
        <w:rPr>
          <w:rFonts w:ascii="Times New Roman" w:hAnsi="Times New Roman"/>
          <w:bCs/>
          <w:szCs w:val="22"/>
          <w:lang w:val="pt-BR"/>
        </w:rPr>
        <w:t>, por intermédio do DSP, apresentar à CSH as diretrizes da Estratégia Penitenciária, e de continuar implementando os pilares dessa Estratégia para apoiar os Estados membros na adoção de medidas alternativas ao encarceramento e medidas de proteção ao cidadão privado de liberdade, bem como na melhor estruturação dos serviços oferecidos pelas defensorias públicas.</w:t>
      </w:r>
    </w:p>
    <w:p w14:paraId="6E83411C" w14:textId="77777777" w:rsidR="0011327F" w:rsidRPr="00D65A20" w:rsidRDefault="0011327F" w:rsidP="00AA4399">
      <w:pPr>
        <w:widowControl/>
        <w:rPr>
          <w:rFonts w:ascii="Times New Roman" w:hAnsi="Times New Roman"/>
          <w:bCs/>
          <w:szCs w:val="22"/>
          <w:lang w:val="pt-BR"/>
        </w:rPr>
      </w:pPr>
    </w:p>
    <w:p w14:paraId="6E83411D" w14:textId="77777777"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Instruir o DSP a que, com o apoio das autoridades competentes e em função da disponibilidade de recursos, elabore uma proposta de metodologia e formulário padronizado de pesquisa penitenciária para a região e apresente um relatório à CSH no segundo semestre de 2021.</w:t>
      </w:r>
    </w:p>
    <w:p w14:paraId="6E83411E" w14:textId="77777777" w:rsidR="0011327F" w:rsidRPr="00D65A20" w:rsidRDefault="0011327F" w:rsidP="00AA4399">
      <w:pPr>
        <w:widowControl/>
        <w:rPr>
          <w:rFonts w:ascii="Times New Roman" w:hAnsi="Times New Roman"/>
          <w:bCs/>
          <w:szCs w:val="22"/>
          <w:lang w:val="pt-BR"/>
        </w:rPr>
      </w:pPr>
    </w:p>
    <w:p w14:paraId="6E83411F" w14:textId="7FC161E7"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lastRenderedPageBreak/>
        <w:t>Encarregar a SSM</w:t>
      </w:r>
      <w:r w:rsidR="0049265D" w:rsidRPr="00D65A20">
        <w:rPr>
          <w:rFonts w:ascii="Times New Roman" w:hAnsi="Times New Roman"/>
          <w:bCs/>
          <w:szCs w:val="22"/>
          <w:lang w:val="pt-BR"/>
        </w:rPr>
        <w:t xml:space="preserve"> de</w:t>
      </w:r>
      <w:r w:rsidRPr="00D65A20">
        <w:rPr>
          <w:rFonts w:ascii="Times New Roman" w:hAnsi="Times New Roman"/>
          <w:bCs/>
          <w:szCs w:val="22"/>
          <w:lang w:val="pt-BR"/>
        </w:rPr>
        <w:t xml:space="preserve">, por intermédio do DSP, continuar apoiando os Estados membros que o solicitem no </w:t>
      </w:r>
      <w:r w:rsidRPr="00D65A20">
        <w:rPr>
          <w:rFonts w:ascii="Times New Roman" w:hAnsi="Times New Roman"/>
          <w:color w:val="000000"/>
          <w:szCs w:val="22"/>
          <w:lang w:val="pt-BR"/>
        </w:rPr>
        <w:t>desenvolvimento</w:t>
      </w:r>
      <w:r w:rsidRPr="00D65A20">
        <w:rPr>
          <w:rFonts w:ascii="Times New Roman" w:hAnsi="Times New Roman"/>
          <w:bCs/>
          <w:szCs w:val="22"/>
          <w:lang w:val="pt-BR"/>
        </w:rPr>
        <w:t xml:space="preserve"> e na implementação de iniciativas para o fortalecimento dos programas de assistência às vítimas da violência e do crime, bem como na coordenação entre os sistemas de justiça, os sistemas de segurança e os sistemas penitenciários.</w:t>
      </w:r>
    </w:p>
    <w:p w14:paraId="6E834120" w14:textId="77777777" w:rsidR="0011327F" w:rsidRPr="00D65A20" w:rsidRDefault="0011327F" w:rsidP="00AA4399">
      <w:pPr>
        <w:widowControl/>
        <w:rPr>
          <w:rFonts w:ascii="Times New Roman" w:hAnsi="Times New Roman"/>
          <w:bCs/>
          <w:szCs w:val="22"/>
          <w:lang w:val="pt-BR"/>
        </w:rPr>
      </w:pPr>
    </w:p>
    <w:p w14:paraId="6E834121" w14:textId="28259189"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szCs w:val="22"/>
          <w:lang w:val="pt-BR"/>
        </w:rPr>
        <w:t xml:space="preserve">Encarregar a SSM de, por meio do DSP, apoiar os Estados membros, quando </w:t>
      </w:r>
      <w:r w:rsidR="009C5902" w:rsidRPr="00D65A20">
        <w:rPr>
          <w:rFonts w:ascii="Times New Roman" w:hAnsi="Times New Roman"/>
          <w:szCs w:val="22"/>
          <w:lang w:val="pt-BR"/>
        </w:rPr>
        <w:t>assim o solicitem</w:t>
      </w:r>
      <w:r w:rsidRPr="00D65A20">
        <w:rPr>
          <w:rFonts w:ascii="Times New Roman" w:hAnsi="Times New Roman"/>
          <w:szCs w:val="22"/>
          <w:lang w:val="pt-BR"/>
        </w:rPr>
        <w:t xml:space="preserve">, na elaboração de estratégias de justiça restaurativa nos seus sistemas judiciais penais, identificando modelos restaurativos inovadores; e </w:t>
      </w:r>
      <w:r w:rsidR="00A378E5" w:rsidRPr="00D65A20">
        <w:rPr>
          <w:rFonts w:ascii="Times New Roman" w:hAnsi="Times New Roman"/>
          <w:szCs w:val="22"/>
          <w:lang w:val="pt-BR"/>
        </w:rPr>
        <w:t xml:space="preserve">propor </w:t>
      </w:r>
      <w:r w:rsidRPr="00D65A20">
        <w:rPr>
          <w:rFonts w:ascii="Times New Roman" w:hAnsi="Times New Roman"/>
          <w:szCs w:val="22"/>
          <w:lang w:val="pt-BR"/>
        </w:rPr>
        <w:t>orientações para a aplicação da justiça restaurativa no contexto do procedimento penal.</w:t>
      </w:r>
    </w:p>
    <w:p w14:paraId="6E834122" w14:textId="77777777" w:rsidR="0011327F" w:rsidRPr="00D65A20" w:rsidRDefault="0011327F" w:rsidP="00AA4399">
      <w:pPr>
        <w:widowControl/>
        <w:suppressAutoHyphens/>
        <w:rPr>
          <w:rFonts w:ascii="Times New Roman" w:hAnsi="Times New Roman"/>
          <w:bCs/>
          <w:szCs w:val="22"/>
          <w:lang w:val="pt-BR"/>
        </w:rPr>
      </w:pPr>
    </w:p>
    <w:p w14:paraId="6E834123"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color w:val="000000"/>
          <w:szCs w:val="22"/>
          <w:lang w:val="pt-BR"/>
        </w:rPr>
        <w:t xml:space="preserve">Instar os Estados membros, conforme apropriado, a que divulguem o acesso à justiça para as comunidades vulneráveis nos </w:t>
      </w:r>
      <w:r w:rsidRPr="00D65A20">
        <w:rPr>
          <w:rFonts w:ascii="Times New Roman" w:hAnsi="Times New Roman"/>
          <w:szCs w:val="22"/>
          <w:lang w:val="pt-BR"/>
        </w:rPr>
        <w:t>Estados</w:t>
      </w:r>
      <w:r w:rsidRPr="00D65A20">
        <w:rPr>
          <w:rFonts w:ascii="Times New Roman" w:hAnsi="Times New Roman"/>
          <w:color w:val="000000"/>
          <w:szCs w:val="22"/>
          <w:lang w:val="pt-BR"/>
        </w:rPr>
        <w:t xml:space="preserve"> membros.</w:t>
      </w:r>
    </w:p>
    <w:p w14:paraId="6E834124" w14:textId="77777777" w:rsidR="0011327F" w:rsidRPr="00D65A20" w:rsidRDefault="0011327F" w:rsidP="00AA4399">
      <w:pPr>
        <w:widowControl/>
        <w:suppressAutoHyphens/>
        <w:rPr>
          <w:rFonts w:ascii="Times New Roman" w:hAnsi="Times New Roman"/>
          <w:bCs/>
          <w:szCs w:val="22"/>
          <w:lang w:val="pt-BR"/>
        </w:rPr>
      </w:pPr>
    </w:p>
    <w:p w14:paraId="6E834125" w14:textId="682F38CF"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bCs/>
          <w:color w:val="000000"/>
          <w:szCs w:val="22"/>
          <w:lang w:val="pt-BR"/>
        </w:rPr>
        <w:t xml:space="preserve">Reconhecer a </w:t>
      </w:r>
      <w:r w:rsidRPr="00D65A20">
        <w:rPr>
          <w:rFonts w:ascii="Times New Roman" w:hAnsi="Times New Roman"/>
          <w:szCs w:val="22"/>
          <w:lang w:val="pt-BR"/>
        </w:rPr>
        <w:t>necessidade</w:t>
      </w:r>
      <w:r w:rsidRPr="00D65A20">
        <w:rPr>
          <w:rFonts w:ascii="Times New Roman" w:hAnsi="Times New Roman"/>
          <w:bCs/>
          <w:color w:val="000000"/>
          <w:szCs w:val="22"/>
          <w:lang w:val="pt-BR"/>
        </w:rPr>
        <w:t xml:space="preserve"> de atenção à precariedade de acesso à justiça </w:t>
      </w:r>
      <w:r w:rsidR="00DC67F9" w:rsidRPr="00D65A20">
        <w:rPr>
          <w:rFonts w:ascii="Times New Roman" w:hAnsi="Times New Roman"/>
          <w:bCs/>
          <w:color w:val="000000"/>
          <w:szCs w:val="22"/>
          <w:lang w:val="pt-BR"/>
        </w:rPr>
        <w:t>entre</w:t>
      </w:r>
      <w:r w:rsidR="00A378E5" w:rsidRPr="00D65A20">
        <w:rPr>
          <w:rFonts w:ascii="Times New Roman" w:hAnsi="Times New Roman"/>
          <w:bCs/>
          <w:color w:val="000000"/>
          <w:szCs w:val="22"/>
          <w:lang w:val="pt-BR"/>
        </w:rPr>
        <w:t xml:space="preserve"> integrantes </w:t>
      </w:r>
      <w:r w:rsidRPr="00D65A20">
        <w:rPr>
          <w:rFonts w:ascii="Times New Roman" w:hAnsi="Times New Roman"/>
          <w:bCs/>
          <w:color w:val="000000"/>
          <w:szCs w:val="22"/>
          <w:lang w:val="pt-BR"/>
        </w:rPr>
        <w:t xml:space="preserve">de populações </w:t>
      </w:r>
      <w:r w:rsidR="00A378E5" w:rsidRPr="00D65A20">
        <w:rPr>
          <w:rFonts w:ascii="Times New Roman" w:hAnsi="Times New Roman"/>
          <w:bCs/>
          <w:color w:val="000000"/>
          <w:szCs w:val="22"/>
          <w:lang w:val="pt-BR"/>
        </w:rPr>
        <w:t>em situaç</w:t>
      </w:r>
      <w:r w:rsidR="009C5902" w:rsidRPr="00D65A20">
        <w:rPr>
          <w:rFonts w:ascii="Times New Roman" w:hAnsi="Times New Roman"/>
          <w:bCs/>
          <w:color w:val="000000"/>
          <w:szCs w:val="22"/>
          <w:lang w:val="pt-BR"/>
        </w:rPr>
        <w:t>ão</w:t>
      </w:r>
      <w:r w:rsidR="00A378E5" w:rsidRPr="00D65A20">
        <w:rPr>
          <w:rFonts w:ascii="Times New Roman" w:hAnsi="Times New Roman"/>
          <w:bCs/>
          <w:color w:val="000000"/>
          <w:szCs w:val="22"/>
          <w:lang w:val="pt-BR"/>
        </w:rPr>
        <w:t xml:space="preserve"> de vulnerabilidade</w:t>
      </w:r>
      <w:r w:rsidRPr="00D65A20">
        <w:rPr>
          <w:rFonts w:ascii="Times New Roman" w:hAnsi="Times New Roman"/>
          <w:bCs/>
          <w:color w:val="000000"/>
          <w:szCs w:val="22"/>
          <w:lang w:val="pt-BR"/>
        </w:rPr>
        <w:t>, especialmente crianças e adolescentes</w:t>
      </w:r>
      <w:r w:rsidR="0049265D" w:rsidRPr="00D65A20">
        <w:rPr>
          <w:rFonts w:ascii="Times New Roman" w:hAnsi="Times New Roman"/>
          <w:bCs/>
          <w:color w:val="000000"/>
          <w:szCs w:val="22"/>
          <w:lang w:val="pt-BR"/>
        </w:rPr>
        <w:t xml:space="preserve"> e</w:t>
      </w:r>
      <w:r w:rsidRPr="00D65A20">
        <w:rPr>
          <w:rFonts w:ascii="Times New Roman" w:hAnsi="Times New Roman"/>
          <w:bCs/>
          <w:color w:val="000000"/>
          <w:szCs w:val="22"/>
          <w:lang w:val="pt-BR"/>
        </w:rPr>
        <w:t xml:space="preserve"> migrantes por contingências de ordem econômica vinculadas ou não à </w:t>
      </w:r>
      <w:r w:rsidR="00877D54" w:rsidRPr="00D65A20">
        <w:rPr>
          <w:rFonts w:ascii="Times New Roman" w:hAnsi="Times New Roman"/>
          <w:bCs/>
          <w:color w:val="000000"/>
          <w:szCs w:val="22"/>
          <w:lang w:val="pt-BR"/>
        </w:rPr>
        <w:t>pandemia de</w:t>
      </w:r>
      <w:r w:rsidRPr="00D65A20">
        <w:rPr>
          <w:rFonts w:ascii="Times New Roman" w:hAnsi="Times New Roman"/>
          <w:bCs/>
          <w:color w:val="000000"/>
          <w:szCs w:val="22"/>
          <w:lang w:val="pt-BR"/>
        </w:rPr>
        <w:t xml:space="preserve"> covid-19,</w:t>
      </w:r>
      <w:r w:rsidRPr="00D65A20">
        <w:rPr>
          <w:rFonts w:ascii="Times New Roman" w:hAnsi="Times New Roman"/>
          <w:color w:val="000000"/>
          <w:szCs w:val="22"/>
          <w:lang w:val="pt-BR"/>
        </w:rPr>
        <w:t xml:space="preserve"> e </w:t>
      </w:r>
      <w:r w:rsidRPr="00D65A20">
        <w:rPr>
          <w:rFonts w:ascii="Times New Roman" w:hAnsi="Times New Roman"/>
          <w:bCs/>
          <w:szCs w:val="22"/>
          <w:lang w:val="pt-BR"/>
        </w:rPr>
        <w:t>estimular</w:t>
      </w:r>
      <w:r w:rsidRPr="00D65A20">
        <w:rPr>
          <w:rFonts w:ascii="Times New Roman" w:hAnsi="Times New Roman"/>
          <w:szCs w:val="22"/>
          <w:lang w:val="pt-BR"/>
        </w:rPr>
        <w:t xml:space="preserve"> os Estados membros a aperfeiçoarem mecanismos de acesso à justiça, a fim de garantir assistência tempestiva e eficaz </w:t>
      </w:r>
      <w:r w:rsidRPr="00D65A20">
        <w:rPr>
          <w:rFonts w:ascii="Times New Roman" w:hAnsi="Times New Roman"/>
          <w:bCs/>
          <w:color w:val="000000"/>
          <w:szCs w:val="22"/>
          <w:lang w:val="pt-BR"/>
        </w:rPr>
        <w:t>a essas</w:t>
      </w:r>
      <w:r w:rsidRPr="00D65A20">
        <w:rPr>
          <w:rFonts w:ascii="Times New Roman" w:hAnsi="Times New Roman"/>
          <w:b/>
          <w:color w:val="000000"/>
          <w:szCs w:val="22"/>
          <w:lang w:val="pt-BR"/>
        </w:rPr>
        <w:t xml:space="preserve"> </w:t>
      </w:r>
      <w:r w:rsidRPr="00D65A20">
        <w:rPr>
          <w:rFonts w:ascii="Times New Roman" w:hAnsi="Times New Roman"/>
          <w:bCs/>
          <w:color w:val="000000"/>
          <w:szCs w:val="22"/>
          <w:lang w:val="pt-BR"/>
        </w:rPr>
        <w:t>populações.</w:t>
      </w:r>
    </w:p>
    <w:p w14:paraId="6E834126" w14:textId="77777777" w:rsidR="0011327F" w:rsidRPr="00D65A20" w:rsidRDefault="0011327F" w:rsidP="00AA4399">
      <w:pPr>
        <w:widowControl/>
        <w:rPr>
          <w:rFonts w:ascii="Times New Roman" w:hAnsi="Times New Roman"/>
          <w:bCs/>
          <w:strike/>
          <w:color w:val="000000"/>
          <w:szCs w:val="22"/>
          <w:lang w:val="pt-BR"/>
        </w:rPr>
      </w:pPr>
    </w:p>
    <w:p w14:paraId="6E834127" w14:textId="77777777" w:rsidR="0011327F" w:rsidRPr="00D65A20" w:rsidRDefault="0011327F" w:rsidP="00377CA8">
      <w:pPr>
        <w:widowControl/>
        <w:numPr>
          <w:ilvl w:val="0"/>
          <w:numId w:val="5"/>
        </w:numPr>
        <w:ind w:firstLine="0"/>
        <w:rPr>
          <w:rFonts w:ascii="Times New Roman" w:hAnsi="Times New Roman"/>
          <w:color w:val="000000"/>
          <w:szCs w:val="22"/>
          <w:u w:val="single"/>
          <w:lang w:val="pt-BR"/>
        </w:rPr>
      </w:pPr>
      <w:r w:rsidRPr="00D65A20">
        <w:rPr>
          <w:rFonts w:ascii="Times New Roman" w:hAnsi="Times New Roman"/>
          <w:color w:val="000000"/>
          <w:szCs w:val="22"/>
          <w:u w:val="single"/>
          <w:lang w:val="pt-BR"/>
        </w:rPr>
        <w:t>Melhoria da coordenação para o fortalecimento da segurança pública nas Américas</w:t>
      </w:r>
    </w:p>
    <w:p w14:paraId="6E834128"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 w:val="16"/>
          <w:szCs w:val="22"/>
          <w:lang w:val="pt-BR"/>
        </w:rPr>
      </w:pPr>
    </w:p>
    <w:p w14:paraId="6E834129" w14:textId="09F37BB7" w:rsidR="0011327F" w:rsidRPr="00D65A20" w:rsidRDefault="0011327F" w:rsidP="00AA4399">
      <w:pPr>
        <w:widowControl/>
        <w:numPr>
          <w:ilvl w:val="0"/>
          <w:numId w:val="19"/>
        </w:numPr>
        <w:ind w:left="0"/>
        <w:rPr>
          <w:rFonts w:ascii="Times New Roman" w:hAnsi="Times New Roman"/>
          <w:color w:val="000000"/>
          <w:szCs w:val="22"/>
          <w:lang w:val="pt-BR"/>
        </w:rPr>
      </w:pPr>
      <w:r w:rsidRPr="00D65A20">
        <w:rPr>
          <w:rFonts w:ascii="Times New Roman" w:hAnsi="Times New Roman"/>
          <w:color w:val="000000"/>
          <w:szCs w:val="22"/>
          <w:lang w:val="pt-BR"/>
        </w:rPr>
        <w:t>Solicitar à SSM e à Secretaria de Assuntos Jurídicos (SAJ) que coordenem e colaborem na execução das recomendações aprovadas nos processos MISPA e REMJA, sobre o que deverão informar a CSH no primeiro semestre de 2021.</w:t>
      </w:r>
    </w:p>
    <w:p w14:paraId="6E83412A" w14:textId="77777777" w:rsidR="0011327F" w:rsidRPr="00D65A20" w:rsidRDefault="0011327F" w:rsidP="00AA4399">
      <w:pPr>
        <w:widowControl/>
        <w:rPr>
          <w:rFonts w:ascii="Times New Roman" w:hAnsi="Times New Roman"/>
          <w:color w:val="000000"/>
          <w:szCs w:val="22"/>
          <w:lang w:val="pt-BR"/>
        </w:rPr>
      </w:pPr>
    </w:p>
    <w:p w14:paraId="6E83412B" w14:textId="5D2766B2" w:rsidR="0011327F" w:rsidRPr="00D65A20" w:rsidRDefault="0039190A" w:rsidP="00AA4399">
      <w:pPr>
        <w:widowControl/>
        <w:numPr>
          <w:ilvl w:val="0"/>
          <w:numId w:val="19"/>
        </w:numPr>
        <w:ind w:left="0"/>
        <w:rPr>
          <w:rFonts w:ascii="Times New Roman" w:hAnsi="Times New Roman"/>
          <w:bCs/>
          <w:color w:val="000000"/>
          <w:szCs w:val="22"/>
          <w:lang w:val="pt-BR"/>
        </w:rPr>
      </w:pPr>
      <w:r w:rsidRPr="00D65A20">
        <w:rPr>
          <w:rFonts w:ascii="Times New Roman" w:hAnsi="Times New Roman"/>
          <w:bCs/>
          <w:szCs w:val="22"/>
          <w:lang w:val="pt-BR"/>
        </w:rPr>
        <w:t xml:space="preserve">Incentivar </w:t>
      </w:r>
      <w:r w:rsidR="0011327F" w:rsidRPr="00D65A20">
        <w:rPr>
          <w:rFonts w:ascii="Times New Roman" w:hAnsi="Times New Roman"/>
          <w:bCs/>
          <w:szCs w:val="22"/>
          <w:lang w:val="pt-BR"/>
        </w:rPr>
        <w:t xml:space="preserve">os Estados membros a que continuem atribuindo importância aos processos regionais e sub-regionais </w:t>
      </w:r>
      <w:r w:rsidR="0011327F" w:rsidRPr="00D65A20">
        <w:rPr>
          <w:rFonts w:ascii="Times New Roman" w:hAnsi="Times New Roman"/>
          <w:szCs w:val="22"/>
          <w:lang w:val="pt-BR"/>
        </w:rPr>
        <w:t>bilaterais</w:t>
      </w:r>
      <w:r w:rsidR="0011327F" w:rsidRPr="00D65A20">
        <w:rPr>
          <w:rFonts w:ascii="Times New Roman" w:hAnsi="Times New Roman"/>
          <w:bCs/>
          <w:szCs w:val="22"/>
          <w:lang w:val="pt-BR"/>
        </w:rPr>
        <w:t xml:space="preserve"> e multilaterais que apoiam e promovem os esforços voltados a garantir a </w:t>
      </w:r>
      <w:r w:rsidR="0008785C" w:rsidRPr="00D65A20">
        <w:rPr>
          <w:rFonts w:ascii="Times New Roman" w:hAnsi="Times New Roman"/>
          <w:bCs/>
          <w:szCs w:val="22"/>
          <w:lang w:val="pt-BR"/>
        </w:rPr>
        <w:t xml:space="preserve">proteção e a </w:t>
      </w:r>
      <w:r w:rsidR="0011327F" w:rsidRPr="00D65A20">
        <w:rPr>
          <w:rFonts w:ascii="Times New Roman" w:hAnsi="Times New Roman"/>
          <w:bCs/>
          <w:szCs w:val="22"/>
          <w:lang w:val="pt-BR"/>
        </w:rPr>
        <w:t>segurança pública dos cidadãos da região.</w:t>
      </w:r>
    </w:p>
    <w:p w14:paraId="6E83412C" w14:textId="77777777" w:rsidR="0011327F" w:rsidRPr="00D65A20" w:rsidRDefault="0011327F" w:rsidP="00AA4399">
      <w:pPr>
        <w:widowControl/>
        <w:suppressAutoHyphens/>
        <w:rPr>
          <w:rFonts w:ascii="Times New Roman" w:hAnsi="Times New Roman"/>
          <w:bCs/>
          <w:color w:val="000000"/>
          <w:szCs w:val="22"/>
          <w:lang w:val="pt-BR"/>
        </w:rPr>
      </w:pPr>
    </w:p>
    <w:p w14:paraId="6E83412D" w14:textId="27C16E63" w:rsidR="0011327F" w:rsidRPr="00D65A20" w:rsidRDefault="0011327F" w:rsidP="00AA4399">
      <w:pPr>
        <w:widowControl/>
        <w:numPr>
          <w:ilvl w:val="0"/>
          <w:numId w:val="19"/>
        </w:numPr>
        <w:ind w:left="0"/>
        <w:rPr>
          <w:rFonts w:ascii="Times New Roman" w:hAnsi="Times New Roman"/>
          <w:bCs/>
          <w:color w:val="000000"/>
          <w:szCs w:val="22"/>
          <w:lang w:val="pt-BR"/>
        </w:rPr>
      </w:pPr>
      <w:r w:rsidRPr="00D65A20">
        <w:rPr>
          <w:rFonts w:ascii="Times New Roman" w:hAnsi="Times New Roman"/>
          <w:bCs/>
          <w:szCs w:val="22"/>
          <w:lang w:val="pt-BR"/>
        </w:rPr>
        <w:t>Recomendar o respeito aos princípios e valores compartilhados, às perspectivas e aos compromissos comuns</w:t>
      </w:r>
      <w:r w:rsidR="00DC14CC" w:rsidRPr="00D65A20">
        <w:rPr>
          <w:rFonts w:ascii="Times New Roman" w:hAnsi="Times New Roman"/>
          <w:bCs/>
          <w:szCs w:val="22"/>
          <w:lang w:val="pt-BR"/>
        </w:rPr>
        <w:t>,</w:t>
      </w:r>
      <w:r w:rsidRPr="00D65A20">
        <w:rPr>
          <w:rFonts w:ascii="Times New Roman" w:hAnsi="Times New Roman"/>
          <w:bCs/>
          <w:szCs w:val="22"/>
          <w:lang w:val="pt-BR"/>
        </w:rPr>
        <w:t xml:space="preserve"> </w:t>
      </w:r>
      <w:r w:rsidR="00DC14CC" w:rsidRPr="00D65A20">
        <w:rPr>
          <w:rFonts w:ascii="Times New Roman" w:hAnsi="Times New Roman"/>
          <w:bCs/>
          <w:szCs w:val="22"/>
          <w:lang w:val="pt-BR"/>
        </w:rPr>
        <w:t>à</w:t>
      </w:r>
      <w:r w:rsidRPr="00D65A20">
        <w:rPr>
          <w:rFonts w:ascii="Times New Roman" w:hAnsi="Times New Roman"/>
          <w:bCs/>
          <w:szCs w:val="22"/>
          <w:lang w:val="pt-BR"/>
        </w:rPr>
        <w:t xml:space="preserve"> segurança do cidadão e </w:t>
      </w:r>
      <w:r w:rsidR="00DC14CC" w:rsidRPr="00D65A20">
        <w:rPr>
          <w:rFonts w:ascii="Times New Roman" w:hAnsi="Times New Roman"/>
          <w:bCs/>
          <w:szCs w:val="22"/>
          <w:lang w:val="pt-BR"/>
        </w:rPr>
        <w:t>à</w:t>
      </w:r>
      <w:r w:rsidRPr="00D65A20">
        <w:rPr>
          <w:rFonts w:ascii="Times New Roman" w:hAnsi="Times New Roman"/>
          <w:bCs/>
          <w:szCs w:val="22"/>
          <w:lang w:val="pt-BR"/>
        </w:rPr>
        <w:t xml:space="preserve"> prevenção do delito mediante o cumprimento da lei e o pleno respeito aos direitos humanos, bem como fomentar uma cultura de paz especialmente nas zonas mais afetadas pela criminalidade organizada transnacional. </w:t>
      </w:r>
    </w:p>
    <w:p w14:paraId="6E83412E" w14:textId="77777777" w:rsidR="0011327F" w:rsidRPr="00D65A20" w:rsidRDefault="0011327F" w:rsidP="00AA4399">
      <w:pPr>
        <w:widowControl/>
        <w:suppressAutoHyphens/>
        <w:rPr>
          <w:rFonts w:ascii="Times New Roman" w:hAnsi="Times New Roman"/>
          <w:bCs/>
          <w:color w:val="000000"/>
          <w:szCs w:val="22"/>
          <w:lang w:val="pt-BR"/>
        </w:rPr>
      </w:pPr>
    </w:p>
    <w:p w14:paraId="6E83412F" w14:textId="77777777" w:rsidR="0011327F" w:rsidRPr="00D65A20" w:rsidRDefault="0011327F" w:rsidP="005B6D2B">
      <w:pPr>
        <w:widowControl/>
        <w:numPr>
          <w:ilvl w:val="0"/>
          <w:numId w:val="5"/>
        </w:numPr>
        <w:suppressAutoHyphens/>
        <w:ind w:firstLine="0"/>
        <w:rPr>
          <w:rFonts w:ascii="Times New Roman" w:hAnsi="Times New Roman"/>
          <w:bCs/>
          <w:color w:val="000000"/>
          <w:szCs w:val="22"/>
          <w:lang w:val="pt-BR"/>
        </w:rPr>
      </w:pPr>
      <w:r w:rsidRPr="00D65A20">
        <w:rPr>
          <w:rFonts w:ascii="Times New Roman" w:hAnsi="Times New Roman"/>
          <w:bCs/>
          <w:color w:val="000000"/>
          <w:szCs w:val="22"/>
          <w:u w:val="single"/>
          <w:lang w:val="pt-BR"/>
        </w:rPr>
        <w:t>Promoção da segurança cibernética</w:t>
      </w:r>
    </w:p>
    <w:p w14:paraId="6E834130" w14:textId="77777777" w:rsidR="0011327F" w:rsidRPr="00D65A20" w:rsidRDefault="0011327F" w:rsidP="00AA4399">
      <w:pPr>
        <w:widowControl/>
        <w:suppressAutoHyphens/>
        <w:rPr>
          <w:rFonts w:ascii="Times New Roman" w:hAnsi="Times New Roman"/>
          <w:bCs/>
          <w:color w:val="000000"/>
          <w:szCs w:val="22"/>
          <w:lang w:val="pt-BR"/>
        </w:rPr>
      </w:pPr>
    </w:p>
    <w:p w14:paraId="6E834131" w14:textId="6AE23116"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Incentivar ações regionais em resposta a</w:t>
      </w:r>
      <w:r w:rsidR="00283BC7" w:rsidRPr="00D65A20">
        <w:rPr>
          <w:rFonts w:ascii="Times New Roman" w:hAnsi="Times New Roman"/>
          <w:bCs/>
          <w:szCs w:val="22"/>
          <w:lang w:val="pt-BR"/>
        </w:rPr>
        <w:t>os</w:t>
      </w:r>
      <w:r w:rsidRPr="00D65A20">
        <w:rPr>
          <w:rFonts w:ascii="Times New Roman" w:hAnsi="Times New Roman"/>
          <w:bCs/>
          <w:szCs w:val="22"/>
          <w:lang w:val="pt-BR"/>
        </w:rPr>
        <w:t xml:space="preserve"> significativos incidentes cibernéticos maliciosos que </w:t>
      </w:r>
      <w:r w:rsidRPr="00D65A20">
        <w:rPr>
          <w:rFonts w:ascii="Times New Roman" w:hAnsi="Times New Roman"/>
          <w:szCs w:val="22"/>
          <w:lang w:val="pt-BR"/>
        </w:rPr>
        <w:t>ameaçam</w:t>
      </w:r>
      <w:r w:rsidRPr="00D65A20">
        <w:rPr>
          <w:rFonts w:ascii="Times New Roman" w:hAnsi="Times New Roman"/>
          <w:bCs/>
          <w:szCs w:val="22"/>
          <w:lang w:val="pt-BR"/>
        </w:rPr>
        <w:t xml:space="preserve"> a segurança nacional dos Estados membros e </w:t>
      </w:r>
      <w:r w:rsidR="00FD0363" w:rsidRPr="00D65A20">
        <w:rPr>
          <w:rFonts w:ascii="Times New Roman" w:hAnsi="Times New Roman"/>
          <w:bCs/>
          <w:szCs w:val="22"/>
          <w:lang w:val="pt-BR"/>
        </w:rPr>
        <w:t xml:space="preserve">sua </w:t>
      </w:r>
      <w:r w:rsidRPr="00D65A20">
        <w:rPr>
          <w:rFonts w:ascii="Times New Roman" w:hAnsi="Times New Roman"/>
          <w:bCs/>
          <w:szCs w:val="22"/>
          <w:lang w:val="pt-BR"/>
        </w:rPr>
        <w:t>visão comum de uma internet aberta, acessível, interoperável, confiável e segura.</w:t>
      </w:r>
    </w:p>
    <w:p w14:paraId="6E834132" w14:textId="77777777" w:rsidR="0011327F" w:rsidRPr="00D65A20" w:rsidRDefault="0011327F" w:rsidP="00AA4399">
      <w:pPr>
        <w:widowControl/>
        <w:rPr>
          <w:rFonts w:ascii="Times New Roman" w:hAnsi="Times New Roman"/>
          <w:bCs/>
          <w:szCs w:val="22"/>
          <w:lang w:val="pt-BR"/>
        </w:rPr>
      </w:pPr>
    </w:p>
    <w:p w14:paraId="6E834133" w14:textId="2548C6F0"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 xml:space="preserve">Instar os Estados membros a </w:t>
      </w:r>
      <w:r w:rsidR="00283BC7" w:rsidRPr="00D65A20">
        <w:rPr>
          <w:rFonts w:ascii="Times New Roman" w:hAnsi="Times New Roman"/>
          <w:bCs/>
          <w:szCs w:val="22"/>
          <w:lang w:val="pt-BR"/>
        </w:rPr>
        <w:t xml:space="preserve">que implementem </w:t>
      </w:r>
      <w:r w:rsidRPr="00D65A20">
        <w:rPr>
          <w:rFonts w:ascii="Times New Roman" w:hAnsi="Times New Roman"/>
          <w:bCs/>
          <w:szCs w:val="22"/>
          <w:lang w:val="pt-BR"/>
        </w:rPr>
        <w:t xml:space="preserve">as medidas de fortalecimento da confiança cibernética identificadas na Lista de Medidas de Fortalecimento da Confiança e </w:t>
      </w:r>
      <w:r w:rsidR="00283BC7" w:rsidRPr="00D65A20">
        <w:rPr>
          <w:rFonts w:ascii="Times New Roman" w:hAnsi="Times New Roman"/>
          <w:bCs/>
          <w:szCs w:val="22"/>
          <w:lang w:val="pt-BR"/>
        </w:rPr>
        <w:t xml:space="preserve">da </w:t>
      </w:r>
      <w:r w:rsidRPr="00D65A20">
        <w:rPr>
          <w:rFonts w:ascii="Times New Roman" w:hAnsi="Times New Roman"/>
          <w:bCs/>
          <w:szCs w:val="22"/>
          <w:lang w:val="pt-BR"/>
        </w:rPr>
        <w:t>Segurança</w:t>
      </w:r>
      <w:r w:rsidR="0049265D" w:rsidRPr="00D65A20">
        <w:rPr>
          <w:rFonts w:ascii="Times New Roman" w:hAnsi="Times New Roman"/>
          <w:bCs/>
          <w:szCs w:val="22"/>
          <w:lang w:val="pt-BR"/>
        </w:rPr>
        <w:t xml:space="preserve"> (MFCS)</w:t>
      </w:r>
      <w:r w:rsidRPr="00D65A20">
        <w:rPr>
          <w:rFonts w:ascii="Times New Roman" w:hAnsi="Times New Roman"/>
          <w:bCs/>
          <w:szCs w:val="22"/>
          <w:lang w:val="pt-BR"/>
        </w:rPr>
        <w:t xml:space="preserve"> </w:t>
      </w:r>
      <w:r w:rsidR="004E558E" w:rsidRPr="00D65A20">
        <w:rPr>
          <w:rFonts w:ascii="Times New Roman" w:hAnsi="Times New Roman"/>
          <w:szCs w:val="22"/>
          <w:lang w:val="pt-BR"/>
        </w:rPr>
        <w:t xml:space="preserve"> (</w:t>
      </w:r>
      <w:hyperlink r:id="rId31" w:history="1">
        <w:r w:rsidR="004E558E" w:rsidRPr="00D65A20">
          <w:rPr>
            <w:rFonts w:ascii="Times New Roman" w:hAnsi="Times New Roman"/>
            <w:color w:val="0000FF"/>
            <w:u w:val="single"/>
            <w:lang w:val="pt-BR"/>
          </w:rPr>
          <w:t>CP/CSH-1953/20 rev. 1</w:t>
        </w:r>
      </w:hyperlink>
      <w:r w:rsidR="004E558E" w:rsidRPr="00D65A20">
        <w:rPr>
          <w:rFonts w:ascii="Times New Roman" w:hAnsi="Times New Roman"/>
          <w:szCs w:val="22"/>
          <w:lang w:val="pt-BR"/>
        </w:rPr>
        <w:t>)</w:t>
      </w:r>
      <w:r w:rsidRPr="00D65A20">
        <w:rPr>
          <w:rFonts w:ascii="Times New Roman" w:hAnsi="Times New Roman"/>
          <w:bCs/>
          <w:szCs w:val="22"/>
          <w:lang w:val="pt-BR"/>
        </w:rPr>
        <w:t>.</w:t>
      </w:r>
    </w:p>
    <w:p w14:paraId="6E834134" w14:textId="77777777" w:rsidR="0011327F" w:rsidRPr="00D65A20" w:rsidRDefault="0011327F" w:rsidP="00AA4399">
      <w:pPr>
        <w:widowControl/>
        <w:rPr>
          <w:rFonts w:ascii="Times New Roman" w:hAnsi="Times New Roman"/>
          <w:bCs/>
          <w:szCs w:val="22"/>
          <w:lang w:val="pt-BR"/>
        </w:rPr>
      </w:pPr>
    </w:p>
    <w:p w14:paraId="6E834135" w14:textId="4D8E32E7"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szCs w:val="22"/>
          <w:lang w:val="pt-BR"/>
        </w:rPr>
        <w:t xml:space="preserve">Incentivar o diálogo e o intercâmbio </w:t>
      </w:r>
      <w:r w:rsidR="00283BC7" w:rsidRPr="00D65A20">
        <w:rPr>
          <w:rFonts w:ascii="Times New Roman" w:hAnsi="Times New Roman"/>
          <w:szCs w:val="22"/>
          <w:lang w:val="pt-BR"/>
        </w:rPr>
        <w:t xml:space="preserve">voluntário </w:t>
      </w:r>
      <w:r w:rsidRPr="00D65A20">
        <w:rPr>
          <w:rFonts w:ascii="Times New Roman" w:hAnsi="Times New Roman"/>
          <w:szCs w:val="22"/>
          <w:lang w:val="pt-BR"/>
        </w:rPr>
        <w:t>de informações não</w:t>
      </w:r>
      <w:r w:rsidR="001C0EEE" w:rsidRPr="00D65A20">
        <w:rPr>
          <w:rFonts w:ascii="Times New Roman" w:hAnsi="Times New Roman"/>
          <w:szCs w:val="22"/>
          <w:lang w:val="pt-BR"/>
        </w:rPr>
        <w:t xml:space="preserve"> </w:t>
      </w:r>
      <w:r w:rsidR="0040679F" w:rsidRPr="00D65A20">
        <w:rPr>
          <w:rFonts w:ascii="Times New Roman" w:hAnsi="Times New Roman"/>
          <w:szCs w:val="22"/>
          <w:lang w:val="pt-BR"/>
        </w:rPr>
        <w:t>confidenciais</w:t>
      </w:r>
      <w:r w:rsidRPr="00D65A20">
        <w:rPr>
          <w:rFonts w:ascii="Times New Roman" w:hAnsi="Times New Roman"/>
          <w:szCs w:val="22"/>
          <w:lang w:val="pt-BR"/>
        </w:rPr>
        <w:t>, a fim de assegurar a tecnologia de próxima geração, inclusive a 5G, e de proteger a integridade da infraestrutura digital, com o objetivo de fortalecer as capacidades nacionais na matéria, reconhecendo que se trata de uma preocupação comum e uma lacuna existente entre os Estados membros.</w:t>
      </w:r>
    </w:p>
    <w:p w14:paraId="6E834137" w14:textId="10A85784"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lastRenderedPageBreak/>
        <w:t xml:space="preserve">Promover o compartilhamento de boas práticas de cibersegurança e apoiar </w:t>
      </w:r>
      <w:r w:rsidR="00283BC7" w:rsidRPr="00D65A20">
        <w:rPr>
          <w:rFonts w:ascii="Times New Roman" w:hAnsi="Times New Roman"/>
          <w:bCs/>
          <w:szCs w:val="22"/>
          <w:lang w:val="pt-BR"/>
        </w:rPr>
        <w:t>a formulação</w:t>
      </w:r>
      <w:r w:rsidRPr="00D65A20">
        <w:rPr>
          <w:rFonts w:ascii="Times New Roman" w:hAnsi="Times New Roman"/>
          <w:bCs/>
          <w:szCs w:val="22"/>
          <w:lang w:val="pt-BR"/>
        </w:rPr>
        <w:t xml:space="preserve"> de políticas nacionais de cibersegurança entre os Estados membros que incentivem </w:t>
      </w:r>
      <w:r w:rsidR="00283BC7" w:rsidRPr="00D65A20">
        <w:rPr>
          <w:rFonts w:ascii="Times New Roman" w:hAnsi="Times New Roman"/>
          <w:bCs/>
          <w:szCs w:val="22"/>
          <w:lang w:val="pt-BR"/>
        </w:rPr>
        <w:t xml:space="preserve">as </w:t>
      </w:r>
      <w:r w:rsidRPr="00D65A20">
        <w:rPr>
          <w:rFonts w:ascii="Times New Roman" w:hAnsi="Times New Roman"/>
          <w:bCs/>
          <w:szCs w:val="22"/>
          <w:lang w:val="pt-BR"/>
        </w:rPr>
        <w:t xml:space="preserve">parcerias e </w:t>
      </w:r>
      <w:r w:rsidR="00283BC7" w:rsidRPr="00D65A20">
        <w:rPr>
          <w:rFonts w:ascii="Times New Roman" w:hAnsi="Times New Roman"/>
          <w:bCs/>
          <w:szCs w:val="22"/>
          <w:lang w:val="pt-BR"/>
        </w:rPr>
        <w:t xml:space="preserve">a </w:t>
      </w:r>
      <w:r w:rsidRPr="00D65A20">
        <w:rPr>
          <w:rFonts w:ascii="Times New Roman" w:hAnsi="Times New Roman"/>
          <w:bCs/>
          <w:szCs w:val="22"/>
          <w:lang w:val="pt-BR"/>
        </w:rPr>
        <w:t>colaboração</w:t>
      </w:r>
      <w:r w:rsidR="00283BC7" w:rsidRPr="00D65A20">
        <w:rPr>
          <w:rFonts w:ascii="Times New Roman" w:hAnsi="Times New Roman"/>
          <w:bCs/>
          <w:szCs w:val="22"/>
          <w:lang w:val="pt-BR"/>
        </w:rPr>
        <w:t xml:space="preserve"> entre os setores público e privado</w:t>
      </w:r>
      <w:r w:rsidRPr="00D65A20">
        <w:rPr>
          <w:rFonts w:ascii="Times New Roman" w:hAnsi="Times New Roman"/>
          <w:bCs/>
          <w:szCs w:val="22"/>
          <w:lang w:val="pt-BR"/>
        </w:rPr>
        <w:t>.</w:t>
      </w:r>
    </w:p>
    <w:p w14:paraId="6E834138"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16"/>
          <w:szCs w:val="22"/>
          <w:lang w:val="pt-BR"/>
        </w:rPr>
      </w:pPr>
    </w:p>
    <w:p w14:paraId="6E834139" w14:textId="4B32B52C"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 xml:space="preserve">Trabalhar de maneira colaborativa para promover uma comunidade confiável e ativa de cibersegurança e resposta a incidentes entre os Estados membros para compartilhar informações acionáveis por meio da </w:t>
      </w:r>
      <w:r w:rsidR="00EB382B" w:rsidRPr="00D65A20">
        <w:rPr>
          <w:rFonts w:ascii="Times New Roman" w:hAnsi="Times New Roman"/>
          <w:sz w:val="21"/>
          <w:szCs w:val="21"/>
          <w:lang w:val="pt-BR"/>
        </w:rPr>
        <w:t xml:space="preserve">Equipe de Resposta a Incidentes de Segurança Cibernética </w:t>
      </w:r>
      <w:r w:rsidRPr="00D65A20">
        <w:rPr>
          <w:rFonts w:ascii="Times New Roman" w:hAnsi="Times New Roman"/>
          <w:bCs/>
          <w:szCs w:val="22"/>
          <w:lang w:val="pt-BR"/>
        </w:rPr>
        <w:t>(CSIRT)</w:t>
      </w:r>
      <w:r w:rsidR="00283BC7" w:rsidRPr="00D65A20">
        <w:rPr>
          <w:rFonts w:ascii="Times New Roman" w:hAnsi="Times New Roman"/>
          <w:bCs/>
          <w:szCs w:val="22"/>
          <w:lang w:val="pt-BR"/>
        </w:rPr>
        <w:t xml:space="preserve"> </w:t>
      </w:r>
      <w:r w:rsidR="00EB382B" w:rsidRPr="00D65A20">
        <w:rPr>
          <w:rFonts w:ascii="Times New Roman" w:hAnsi="Times New Roman"/>
          <w:bCs/>
          <w:szCs w:val="22"/>
          <w:lang w:val="pt-BR"/>
        </w:rPr>
        <w:t xml:space="preserve">da OEA </w:t>
      </w:r>
      <w:r w:rsidR="00283BC7" w:rsidRPr="00D65A20">
        <w:rPr>
          <w:rFonts w:ascii="Times New Roman" w:hAnsi="Times New Roman"/>
          <w:bCs/>
          <w:szCs w:val="22"/>
          <w:lang w:val="pt-BR"/>
        </w:rPr>
        <w:t>e</w:t>
      </w:r>
      <w:r w:rsidRPr="00D65A20">
        <w:rPr>
          <w:rFonts w:ascii="Times New Roman" w:hAnsi="Times New Roman"/>
          <w:bCs/>
          <w:szCs w:val="22"/>
          <w:lang w:val="pt-BR"/>
        </w:rPr>
        <w:t xml:space="preserve"> </w:t>
      </w:r>
      <w:r w:rsidR="00283BC7" w:rsidRPr="00D65A20">
        <w:rPr>
          <w:rFonts w:ascii="Times New Roman" w:hAnsi="Times New Roman"/>
          <w:bCs/>
          <w:szCs w:val="22"/>
          <w:lang w:val="pt-BR"/>
        </w:rPr>
        <w:t xml:space="preserve">da Rede de </w:t>
      </w:r>
      <w:r w:rsidR="000A0371" w:rsidRPr="00D65A20">
        <w:rPr>
          <w:rFonts w:ascii="Times New Roman" w:hAnsi="Times New Roman"/>
          <w:bCs/>
          <w:szCs w:val="22"/>
          <w:lang w:val="pt-BR"/>
        </w:rPr>
        <w:t>Intercâmbio de Informação</w:t>
      </w:r>
      <w:r w:rsidR="00283BC7" w:rsidRPr="00D65A20">
        <w:rPr>
          <w:rFonts w:ascii="Times New Roman" w:hAnsi="Times New Roman"/>
          <w:bCs/>
          <w:szCs w:val="22"/>
          <w:lang w:val="pt-BR"/>
        </w:rPr>
        <w:t xml:space="preserve"> das Américas, a fim de</w:t>
      </w:r>
      <w:r w:rsidRPr="00D65A20">
        <w:rPr>
          <w:rFonts w:ascii="Times New Roman" w:hAnsi="Times New Roman"/>
          <w:bCs/>
          <w:szCs w:val="22"/>
          <w:lang w:val="pt-BR"/>
        </w:rPr>
        <w:t xml:space="preserve"> prevenir, identificar, impedir</w:t>
      </w:r>
      <w:r w:rsidR="00A52701" w:rsidRPr="00D65A20">
        <w:rPr>
          <w:rFonts w:ascii="Times New Roman" w:hAnsi="Times New Roman"/>
          <w:bCs/>
          <w:szCs w:val="22"/>
          <w:lang w:val="pt-BR"/>
        </w:rPr>
        <w:t xml:space="preserve"> e</w:t>
      </w:r>
      <w:r w:rsidRPr="00D65A20">
        <w:rPr>
          <w:rFonts w:ascii="Times New Roman" w:hAnsi="Times New Roman"/>
          <w:bCs/>
          <w:szCs w:val="22"/>
          <w:lang w:val="pt-BR"/>
        </w:rPr>
        <w:t xml:space="preserve"> mitigar</w:t>
      </w:r>
      <w:r w:rsidR="00A52701" w:rsidRPr="00D65A20">
        <w:rPr>
          <w:rFonts w:ascii="Times New Roman" w:hAnsi="Times New Roman"/>
          <w:bCs/>
          <w:szCs w:val="22"/>
          <w:lang w:val="pt-BR"/>
        </w:rPr>
        <w:t xml:space="preserve"> esses incidentes</w:t>
      </w:r>
      <w:r w:rsidRPr="00D65A20">
        <w:rPr>
          <w:rFonts w:ascii="Times New Roman" w:hAnsi="Times New Roman"/>
          <w:bCs/>
          <w:szCs w:val="22"/>
          <w:lang w:val="pt-BR"/>
        </w:rPr>
        <w:t xml:space="preserve">, </w:t>
      </w:r>
      <w:r w:rsidR="00A52701" w:rsidRPr="00D65A20">
        <w:rPr>
          <w:rFonts w:ascii="Times New Roman" w:hAnsi="Times New Roman"/>
          <w:bCs/>
          <w:szCs w:val="22"/>
          <w:lang w:val="pt-BR"/>
        </w:rPr>
        <w:t xml:space="preserve">bem como </w:t>
      </w:r>
      <w:r w:rsidRPr="00D65A20">
        <w:rPr>
          <w:rFonts w:ascii="Times New Roman" w:hAnsi="Times New Roman"/>
          <w:bCs/>
          <w:szCs w:val="22"/>
          <w:lang w:val="pt-BR"/>
        </w:rPr>
        <w:t>responder e recuperar</w:t>
      </w:r>
      <w:r w:rsidR="00A52701" w:rsidRPr="00D65A20">
        <w:rPr>
          <w:rFonts w:ascii="Times New Roman" w:hAnsi="Times New Roman"/>
          <w:bCs/>
          <w:szCs w:val="22"/>
          <w:lang w:val="pt-BR"/>
        </w:rPr>
        <w:t>-se</w:t>
      </w:r>
      <w:r w:rsidRPr="00D65A20">
        <w:rPr>
          <w:rFonts w:ascii="Times New Roman" w:hAnsi="Times New Roman"/>
          <w:bCs/>
          <w:szCs w:val="22"/>
          <w:lang w:val="pt-BR"/>
        </w:rPr>
        <w:t xml:space="preserve"> </w:t>
      </w:r>
      <w:r w:rsidR="00A52701" w:rsidRPr="00D65A20">
        <w:rPr>
          <w:rFonts w:ascii="Times New Roman" w:hAnsi="Times New Roman"/>
          <w:bCs/>
          <w:szCs w:val="22"/>
          <w:lang w:val="pt-BR"/>
        </w:rPr>
        <w:t>de seus efeitos</w:t>
      </w:r>
      <w:r w:rsidRPr="00D65A20">
        <w:rPr>
          <w:rFonts w:ascii="Times New Roman" w:hAnsi="Times New Roman"/>
          <w:bCs/>
          <w:szCs w:val="22"/>
          <w:lang w:val="pt-BR"/>
        </w:rPr>
        <w:t>.</w:t>
      </w:r>
    </w:p>
    <w:p w14:paraId="6E83413A" w14:textId="77777777" w:rsidR="0011327F" w:rsidRPr="00D65A20" w:rsidRDefault="0011327F" w:rsidP="00AA4399">
      <w:pPr>
        <w:widowControl/>
        <w:rPr>
          <w:rFonts w:ascii="Times New Roman" w:hAnsi="Times New Roman"/>
          <w:szCs w:val="22"/>
          <w:lang w:val="pt-BR"/>
        </w:rPr>
      </w:pPr>
    </w:p>
    <w:p w14:paraId="6E83413B" w14:textId="735D3D29"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 xml:space="preserve">Continuar apoiando e participando de iniciativas da OEA relacionadas </w:t>
      </w:r>
      <w:r w:rsidR="00084D0B" w:rsidRPr="00D65A20">
        <w:rPr>
          <w:rFonts w:ascii="Times New Roman" w:hAnsi="Times New Roman"/>
          <w:bCs/>
          <w:szCs w:val="22"/>
          <w:lang w:val="pt-BR"/>
        </w:rPr>
        <w:t>à criação de capacidades em</w:t>
      </w:r>
      <w:r w:rsidRPr="00D65A20">
        <w:rPr>
          <w:rFonts w:ascii="Times New Roman" w:hAnsi="Times New Roman"/>
          <w:bCs/>
          <w:szCs w:val="22"/>
          <w:lang w:val="pt-BR"/>
        </w:rPr>
        <w:t xml:space="preserve"> cibersegurança, </w:t>
      </w:r>
      <w:r w:rsidR="00084D0B" w:rsidRPr="00D65A20">
        <w:rPr>
          <w:rFonts w:ascii="Times New Roman" w:hAnsi="Times New Roman"/>
          <w:bCs/>
          <w:szCs w:val="22"/>
          <w:lang w:val="pt-BR"/>
        </w:rPr>
        <w:t xml:space="preserve">ao </w:t>
      </w:r>
      <w:r w:rsidRPr="00D65A20">
        <w:rPr>
          <w:rFonts w:ascii="Times New Roman" w:hAnsi="Times New Roman"/>
          <w:bCs/>
          <w:szCs w:val="22"/>
          <w:lang w:val="pt-BR"/>
        </w:rPr>
        <w:t xml:space="preserve">desenvolvimento da força de trabalho e </w:t>
      </w:r>
      <w:r w:rsidR="00084D0B" w:rsidRPr="00D65A20">
        <w:rPr>
          <w:rFonts w:ascii="Times New Roman" w:hAnsi="Times New Roman"/>
          <w:bCs/>
          <w:szCs w:val="22"/>
          <w:lang w:val="pt-BR"/>
        </w:rPr>
        <w:t xml:space="preserve">a </w:t>
      </w:r>
      <w:r w:rsidRPr="00D65A20">
        <w:rPr>
          <w:rFonts w:ascii="Times New Roman" w:hAnsi="Times New Roman"/>
          <w:bCs/>
          <w:szCs w:val="22"/>
          <w:lang w:val="pt-BR"/>
        </w:rPr>
        <w:t xml:space="preserve">campanhas de conscientização pública para fortalecer a segurança e </w:t>
      </w:r>
      <w:r w:rsidR="00084D0B" w:rsidRPr="00D65A20">
        <w:rPr>
          <w:rFonts w:ascii="Times New Roman" w:hAnsi="Times New Roman"/>
          <w:bCs/>
          <w:szCs w:val="22"/>
          <w:lang w:val="pt-BR"/>
        </w:rPr>
        <w:t xml:space="preserve">a </w:t>
      </w:r>
      <w:r w:rsidRPr="00D65A20">
        <w:rPr>
          <w:rFonts w:ascii="Times New Roman" w:hAnsi="Times New Roman"/>
          <w:bCs/>
          <w:szCs w:val="22"/>
          <w:lang w:val="pt-BR"/>
        </w:rPr>
        <w:t>resiliência do cenário regional de cibersegurança.</w:t>
      </w:r>
    </w:p>
    <w:p w14:paraId="6E83413C"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pt-BR"/>
        </w:rPr>
      </w:pPr>
    </w:p>
    <w:p w14:paraId="6E83413D"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pt-BR"/>
        </w:rPr>
      </w:pPr>
    </w:p>
    <w:p w14:paraId="6E83413E" w14:textId="77777777" w:rsidR="0011327F" w:rsidRPr="00D65A20" w:rsidRDefault="0011327F" w:rsidP="00AA4399">
      <w:pPr>
        <w:widowControl/>
        <w:numPr>
          <w:ilvl w:val="0"/>
          <w:numId w:val="1"/>
        </w:numPr>
        <w:tabs>
          <w:tab w:val="clear" w:pos="1440"/>
          <w:tab w:val="clear" w:pos="2160"/>
          <w:tab w:val="clear" w:pos="2880"/>
          <w:tab w:val="clear" w:pos="3600"/>
          <w:tab w:val="clear" w:pos="4320"/>
          <w:tab w:val="clear" w:pos="5760"/>
          <w:tab w:val="clear" w:pos="6480"/>
          <w:tab w:val="clear" w:pos="7200"/>
          <w:tab w:val="clear" w:pos="7920"/>
        </w:tabs>
        <w:ind w:hanging="1440"/>
        <w:rPr>
          <w:rFonts w:ascii="Times New Roman" w:hAnsi="Times New Roman"/>
          <w:color w:val="000000"/>
          <w:szCs w:val="22"/>
          <w:u w:val="single"/>
          <w:lang w:val="pt-BR"/>
        </w:rPr>
      </w:pPr>
      <w:r w:rsidRPr="00D65A20">
        <w:rPr>
          <w:rFonts w:ascii="Times New Roman" w:hAnsi="Times New Roman"/>
          <w:color w:val="000000"/>
          <w:szCs w:val="22"/>
          <w:u w:val="single"/>
          <w:lang w:val="pt-BR"/>
        </w:rPr>
        <w:t>Criminalidade organizada transnacional</w:t>
      </w:r>
    </w:p>
    <w:p w14:paraId="6E83413F" w14:textId="77777777" w:rsidR="0011327F" w:rsidRPr="00D65A20" w:rsidRDefault="0011327F" w:rsidP="00AA4399">
      <w:pPr>
        <w:widowControl/>
        <w:jc w:val="left"/>
        <w:rPr>
          <w:rFonts w:ascii="Times New Roman" w:hAnsi="Times New Roman"/>
          <w:szCs w:val="22"/>
          <w:lang w:val="pt-BR" w:eastAsia="pt-BR"/>
        </w:rPr>
      </w:pPr>
    </w:p>
    <w:p w14:paraId="6E834140" w14:textId="77777777" w:rsidR="0011327F" w:rsidRPr="00D65A20" w:rsidRDefault="0011327F" w:rsidP="00AA4399">
      <w:pPr>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SimSun" w:hAnsi="Times New Roman"/>
          <w:color w:val="000000"/>
          <w:szCs w:val="22"/>
          <w:u w:val="single"/>
          <w:lang w:val="pt-BR" w:eastAsia="zh-CN"/>
        </w:rPr>
      </w:pPr>
      <w:r w:rsidRPr="00D65A20">
        <w:rPr>
          <w:rFonts w:ascii="Times New Roman" w:hAnsi="Times New Roman"/>
          <w:color w:val="000000"/>
          <w:szCs w:val="22"/>
          <w:u w:val="single"/>
          <w:lang w:val="pt-BR"/>
        </w:rPr>
        <w:t>Combate à criminalidade organizada transnacional</w:t>
      </w:r>
    </w:p>
    <w:p w14:paraId="6E834141" w14:textId="77777777" w:rsidR="0011327F" w:rsidRPr="00D65A20" w:rsidRDefault="0011327F" w:rsidP="00AA4399">
      <w:pPr>
        <w:widowControl/>
        <w:rPr>
          <w:rFonts w:ascii="Times New Roman" w:eastAsia="SimSun" w:hAnsi="Times New Roman"/>
          <w:color w:val="000000"/>
          <w:szCs w:val="22"/>
          <w:lang w:val="pt-BR" w:eastAsia="zh-CN"/>
        </w:rPr>
      </w:pPr>
    </w:p>
    <w:p w14:paraId="6E834142"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Reiterar aos Estados membros que ainda não o tenham feito que designem ou atualizem, com a brevidade possível, seu ponto de contato nacional para coordenar e facilitar o acompanhamento do Plano de Ação </w:t>
      </w:r>
      <w:r w:rsidRPr="00D65A20">
        <w:rPr>
          <w:rFonts w:ascii="Times New Roman" w:hAnsi="Times New Roman"/>
          <w:bCs/>
          <w:szCs w:val="22"/>
          <w:lang w:val="pt-BR"/>
        </w:rPr>
        <w:t>Hemisférico</w:t>
      </w:r>
      <w:r w:rsidRPr="00D65A20">
        <w:rPr>
          <w:rFonts w:ascii="Times New Roman" w:hAnsi="Times New Roman"/>
          <w:szCs w:val="22"/>
          <w:lang w:val="pt-BR"/>
        </w:rPr>
        <w:t xml:space="preserve"> contra a Criminalidade Organizada Transnacional, e sobre isso informem o Departamento contra a Criminalidade Organizada Transnacional (DCOT).</w:t>
      </w:r>
    </w:p>
    <w:p w14:paraId="6E834143" w14:textId="77777777" w:rsidR="0011327F" w:rsidRPr="00D65A20" w:rsidRDefault="0011327F" w:rsidP="00AA4399">
      <w:pPr>
        <w:widowControl/>
        <w:rPr>
          <w:rFonts w:ascii="Times New Roman" w:hAnsi="Times New Roman"/>
          <w:color w:val="000000"/>
          <w:szCs w:val="22"/>
          <w:u w:val="single"/>
          <w:lang w:val="pt-BR"/>
        </w:rPr>
      </w:pPr>
    </w:p>
    <w:p w14:paraId="6E834144" w14:textId="63439431"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Convocar a Terceira Reunião de Autoridades Nacionais em Matéria de Criminalidade Organizada Transnacional (RANDOT-III), no âmbito da CSH, no segundo semestre de 2021, e para esse efeito encarregar o Conselho Permanente de instituir, por intermédio da CSH, um grupo de trabalho para coordenar todos os preparativos da RANDOT-III.</w:t>
      </w:r>
    </w:p>
    <w:p w14:paraId="6E834145"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16"/>
          <w:szCs w:val="22"/>
          <w:lang w:val="pt-BR"/>
        </w:rPr>
      </w:pPr>
    </w:p>
    <w:p w14:paraId="6E834146" w14:textId="77777777" w:rsidR="0011327F" w:rsidRPr="00D65A20" w:rsidRDefault="0011327F" w:rsidP="00AA4399">
      <w:pPr>
        <w:widowControl/>
        <w:numPr>
          <w:ilvl w:val="0"/>
          <w:numId w:val="19"/>
        </w:numPr>
        <w:ind w:left="0"/>
        <w:rPr>
          <w:rFonts w:ascii="Times New Roman" w:hAnsi="Times New Roman"/>
          <w:i/>
          <w:szCs w:val="22"/>
          <w:lang w:val="pt-BR"/>
        </w:rPr>
      </w:pPr>
      <w:r w:rsidRPr="00D65A20">
        <w:rPr>
          <w:rFonts w:ascii="Times New Roman" w:hAnsi="Times New Roman"/>
          <w:szCs w:val="22"/>
          <w:lang w:val="pt-BR"/>
        </w:rPr>
        <w:t xml:space="preserve">Incentivar os Estados </w:t>
      </w:r>
      <w:r w:rsidRPr="00D65A20">
        <w:rPr>
          <w:rFonts w:ascii="Times New Roman" w:hAnsi="Times New Roman"/>
          <w:bCs/>
          <w:szCs w:val="22"/>
          <w:lang w:val="pt-BR"/>
        </w:rPr>
        <w:t>membros</w:t>
      </w:r>
      <w:r w:rsidRPr="00D65A20">
        <w:rPr>
          <w:rFonts w:ascii="Times New Roman" w:hAnsi="Times New Roman"/>
          <w:szCs w:val="22"/>
          <w:lang w:val="pt-BR"/>
        </w:rPr>
        <w:t xml:space="preserve"> a que fortaleçam o intercâmbio de experiências e a cooperação para fazer frente ao delito cibernético, exortando os Estados </w:t>
      </w:r>
      <w:r w:rsidR="00C04937" w:rsidRPr="00D65A20">
        <w:rPr>
          <w:rFonts w:ascii="Times New Roman" w:hAnsi="Times New Roman"/>
          <w:szCs w:val="22"/>
          <w:lang w:val="pt-BR"/>
        </w:rPr>
        <w:t xml:space="preserve">membros </w:t>
      </w:r>
      <w:r w:rsidRPr="00D65A20">
        <w:rPr>
          <w:rFonts w:ascii="Times New Roman" w:hAnsi="Times New Roman"/>
          <w:szCs w:val="22"/>
          <w:lang w:val="pt-BR"/>
        </w:rPr>
        <w:t>que ainda não o tenham feito a que considerem aderir à Convenção do Conselho da Europa sobre Crime Cibernético (Convenção de Budapeste).</w:t>
      </w:r>
    </w:p>
    <w:p w14:paraId="6E834147" w14:textId="77777777" w:rsidR="0011327F" w:rsidRPr="00D65A20" w:rsidRDefault="0011327F" w:rsidP="00AA4399">
      <w:pPr>
        <w:widowControl/>
        <w:rPr>
          <w:rFonts w:ascii="Times New Roman" w:hAnsi="Times New Roman"/>
          <w:i/>
          <w:szCs w:val="22"/>
          <w:lang w:val="pt-BR"/>
        </w:rPr>
      </w:pPr>
    </w:p>
    <w:p w14:paraId="6E834148" w14:textId="6D71CAE1" w:rsidR="0011327F" w:rsidRPr="00D65A20" w:rsidRDefault="0011327F" w:rsidP="00AA4399">
      <w:pPr>
        <w:widowControl/>
        <w:numPr>
          <w:ilvl w:val="0"/>
          <w:numId w:val="19"/>
        </w:numPr>
        <w:ind w:left="0"/>
        <w:rPr>
          <w:rFonts w:ascii="Times New Roman" w:hAnsi="Times New Roman"/>
          <w:i/>
          <w:szCs w:val="22"/>
          <w:lang w:val="pt-BR"/>
        </w:rPr>
      </w:pPr>
      <w:r w:rsidRPr="00D65A20">
        <w:rPr>
          <w:rFonts w:ascii="Times New Roman" w:hAnsi="Times New Roman"/>
          <w:szCs w:val="22"/>
          <w:lang w:val="pt-BR"/>
        </w:rPr>
        <w:t>Solicitar à SSM que, por intermédio d</w:t>
      </w:r>
      <w:r w:rsidR="00AC06F4" w:rsidRPr="00D65A20">
        <w:rPr>
          <w:rFonts w:ascii="Times New Roman" w:hAnsi="Times New Roman"/>
          <w:szCs w:val="22"/>
          <w:lang w:val="pt-BR"/>
        </w:rPr>
        <w:t xml:space="preserve">o </w:t>
      </w:r>
      <w:r w:rsidR="00AC06F4" w:rsidRPr="00D65A20">
        <w:rPr>
          <w:rFonts w:ascii="Times New Roman" w:hAnsi="Times New Roman"/>
          <w:color w:val="000000"/>
          <w:szCs w:val="22"/>
          <w:lang w:val="pt-BR"/>
        </w:rPr>
        <w:t>Comitê Interamericano contra o Terrorismo (</w:t>
      </w:r>
      <w:r w:rsidRPr="00D65A20">
        <w:rPr>
          <w:rFonts w:ascii="Times New Roman" w:hAnsi="Times New Roman"/>
          <w:szCs w:val="22"/>
          <w:lang w:val="pt-BR"/>
        </w:rPr>
        <w:t>CICTE</w:t>
      </w:r>
      <w:r w:rsidR="00AC06F4" w:rsidRPr="00D65A20">
        <w:rPr>
          <w:rFonts w:ascii="Times New Roman" w:hAnsi="Times New Roman"/>
          <w:szCs w:val="22"/>
          <w:lang w:val="pt-BR"/>
        </w:rPr>
        <w:t>)</w:t>
      </w:r>
      <w:r w:rsidRPr="00D65A20">
        <w:rPr>
          <w:rFonts w:ascii="Times New Roman" w:hAnsi="Times New Roman"/>
          <w:szCs w:val="22"/>
          <w:lang w:val="pt-BR"/>
        </w:rPr>
        <w:t xml:space="preserve"> e do DCOT, em coordenação com a SAJ, ofereça assistência </w:t>
      </w:r>
      <w:r w:rsidRPr="00D65A20">
        <w:rPr>
          <w:rFonts w:ascii="Times New Roman" w:hAnsi="Times New Roman"/>
          <w:bCs/>
          <w:szCs w:val="22"/>
          <w:lang w:val="pt-BR"/>
        </w:rPr>
        <w:t>t</w:t>
      </w:r>
      <w:r w:rsidRPr="00D65A20">
        <w:rPr>
          <w:rFonts w:ascii="Times New Roman" w:hAnsi="Times New Roman"/>
          <w:szCs w:val="22"/>
          <w:lang w:val="pt-BR"/>
        </w:rPr>
        <w:t xml:space="preserve">écnica e acompanhamento aos Estados membros que estão prestes a iniciar ou </w:t>
      </w:r>
      <w:r w:rsidR="00D14362" w:rsidRPr="00D65A20">
        <w:rPr>
          <w:rFonts w:ascii="Times New Roman" w:hAnsi="Times New Roman"/>
          <w:szCs w:val="22"/>
          <w:lang w:val="pt-BR"/>
        </w:rPr>
        <w:t>já iniciaram o</w:t>
      </w:r>
      <w:r w:rsidRPr="00D65A20">
        <w:rPr>
          <w:rFonts w:ascii="Times New Roman" w:hAnsi="Times New Roman"/>
          <w:szCs w:val="22"/>
          <w:lang w:val="pt-BR"/>
        </w:rPr>
        <w:t xml:space="preserve"> processo de adesão ao </w:t>
      </w:r>
      <w:r w:rsidRPr="00D65A20">
        <w:rPr>
          <w:rFonts w:ascii="Times New Roman" w:hAnsi="Times New Roman"/>
          <w:bCs/>
          <w:szCs w:val="22"/>
          <w:lang w:val="pt-BR"/>
        </w:rPr>
        <w:t>Convênio</w:t>
      </w:r>
      <w:r w:rsidRPr="00D65A20">
        <w:rPr>
          <w:rFonts w:ascii="Times New Roman" w:hAnsi="Times New Roman"/>
          <w:szCs w:val="22"/>
          <w:lang w:val="pt-BR"/>
        </w:rPr>
        <w:t xml:space="preserve"> de Budapeste, bem como proporcione intercâmbio de experiências entre países da OEA que estejam nesse processo.</w:t>
      </w:r>
    </w:p>
    <w:p w14:paraId="6E834149"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16"/>
          <w:szCs w:val="22"/>
          <w:lang w:val="pt-BR"/>
        </w:rPr>
      </w:pPr>
    </w:p>
    <w:p w14:paraId="6E83414A" w14:textId="6DF66920" w:rsidR="0011327F" w:rsidRPr="00D65A20" w:rsidRDefault="0011327F" w:rsidP="00AA4399">
      <w:pPr>
        <w:widowControl/>
        <w:numPr>
          <w:ilvl w:val="0"/>
          <w:numId w:val="19"/>
        </w:numPr>
        <w:ind w:left="0"/>
        <w:rPr>
          <w:rFonts w:ascii="Times New Roman" w:hAnsi="Times New Roman"/>
          <w:bCs/>
          <w:i/>
          <w:szCs w:val="22"/>
          <w:lang w:val="pt-BR"/>
        </w:rPr>
      </w:pPr>
      <w:r w:rsidRPr="00D65A20">
        <w:rPr>
          <w:rFonts w:ascii="Times New Roman" w:hAnsi="Times New Roman"/>
          <w:szCs w:val="22"/>
          <w:lang w:val="pt-BR"/>
        </w:rPr>
        <w:t xml:space="preserve">Instar os Estados membros a que aperfeiçoem os mecanismos de assistência legal bilateral e multilateral para </w:t>
      </w:r>
      <w:r w:rsidRPr="00D65A20">
        <w:rPr>
          <w:rFonts w:ascii="Times New Roman" w:hAnsi="Times New Roman"/>
          <w:bCs/>
          <w:szCs w:val="22"/>
          <w:lang w:val="pt-BR"/>
        </w:rPr>
        <w:t>combater</w:t>
      </w:r>
      <w:r w:rsidRPr="00D65A20">
        <w:rPr>
          <w:rFonts w:ascii="Times New Roman" w:hAnsi="Times New Roman"/>
          <w:szCs w:val="22"/>
          <w:lang w:val="pt-BR"/>
        </w:rPr>
        <w:t xml:space="preserve"> o crime cibernético, levando em conta a relevância do acesso às evidências digitais para a investigação e </w:t>
      </w:r>
      <w:r w:rsidR="00AC06F4" w:rsidRPr="00D65A20">
        <w:rPr>
          <w:rFonts w:ascii="Times New Roman" w:hAnsi="Times New Roman"/>
          <w:szCs w:val="22"/>
          <w:lang w:val="pt-BR"/>
        </w:rPr>
        <w:t xml:space="preserve">a </w:t>
      </w:r>
      <w:r w:rsidRPr="00D65A20">
        <w:rPr>
          <w:rFonts w:ascii="Times New Roman" w:hAnsi="Times New Roman"/>
          <w:szCs w:val="22"/>
          <w:lang w:val="pt-BR"/>
        </w:rPr>
        <w:t>persecução desse tipo de crime, bem como os crescentes vínculos entre o crime cibernético e a criminalidade organizada transnacional.</w:t>
      </w:r>
    </w:p>
    <w:p w14:paraId="6E83414B"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 w:val="16"/>
          <w:szCs w:val="22"/>
          <w:lang w:val="pt-BR"/>
        </w:rPr>
      </w:pPr>
    </w:p>
    <w:p w14:paraId="6E83414C" w14:textId="77777777"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 xml:space="preserve">Solicitar à SSM e à SAJ que se coordenem e colaborem na abordagem de temas relacionados à criminalidade organizada transnacional (COT), especialmente ao delito cibernético, a </w:t>
      </w:r>
      <w:r w:rsidRPr="00D65A20">
        <w:rPr>
          <w:rFonts w:ascii="Times New Roman" w:hAnsi="Times New Roman"/>
          <w:bCs/>
          <w:szCs w:val="22"/>
          <w:lang w:val="pt-BR"/>
        </w:rPr>
        <w:lastRenderedPageBreak/>
        <w:t>fim de promover sinergias, evitar a duplicação de funções e apoiar os Estados membros de modo integral, sobre o que deverão informar a CSH no primeiro semestre de 2021.</w:t>
      </w:r>
    </w:p>
    <w:p w14:paraId="6E83414D" w14:textId="77777777" w:rsidR="0011327F" w:rsidRPr="00D65A20" w:rsidRDefault="0011327F" w:rsidP="00AA4399">
      <w:pPr>
        <w:widowControl/>
        <w:rPr>
          <w:rFonts w:ascii="Times New Roman" w:hAnsi="Times New Roman"/>
          <w:szCs w:val="22"/>
          <w:lang w:val="pt-BR"/>
        </w:rPr>
      </w:pPr>
    </w:p>
    <w:p w14:paraId="6E83414E" w14:textId="41810782"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Solicitar à SSM que, por intermédio do DCOT e em coordenação com a SAJ e o CICTE, preste </w:t>
      </w:r>
      <w:r w:rsidRPr="00D65A20">
        <w:rPr>
          <w:rFonts w:ascii="Times New Roman" w:hAnsi="Times New Roman"/>
          <w:bCs/>
          <w:szCs w:val="22"/>
          <w:lang w:val="pt-BR"/>
        </w:rPr>
        <w:t>assistência</w:t>
      </w:r>
      <w:r w:rsidRPr="00D65A20">
        <w:rPr>
          <w:rFonts w:ascii="Times New Roman" w:hAnsi="Times New Roman"/>
          <w:szCs w:val="22"/>
          <w:lang w:val="pt-BR"/>
        </w:rPr>
        <w:t xml:space="preserve"> técnica aos Estados membros para melhorar ou fortalecer as capacidades institucionais em matéria de investigação e punição dos delitos cibernéticos vinculados à COT.</w:t>
      </w:r>
    </w:p>
    <w:p w14:paraId="6E83414F" w14:textId="77777777" w:rsidR="0011327F" w:rsidRPr="00D65A20" w:rsidRDefault="0011327F" w:rsidP="00AA4399">
      <w:pPr>
        <w:widowControl/>
        <w:rPr>
          <w:rFonts w:ascii="Times New Roman" w:hAnsi="Times New Roman"/>
          <w:szCs w:val="22"/>
          <w:lang w:val="pt-BR"/>
        </w:rPr>
      </w:pPr>
    </w:p>
    <w:p w14:paraId="6E834150"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Solicitar ao Grupo de Peritos sobre o Controle da Lavagem de Ativos (GELAVEX) da OEA que apresente suas conclusões e recomendações técnicas diretamente à CSH e à RANDOT. Além disso, solicitar à </w:t>
      </w:r>
      <w:r w:rsidRPr="00D65A20">
        <w:rPr>
          <w:rFonts w:ascii="Times New Roman" w:hAnsi="Times New Roman"/>
          <w:bCs/>
          <w:szCs w:val="22"/>
          <w:lang w:val="pt-BR"/>
        </w:rPr>
        <w:t>Secretaria</w:t>
      </w:r>
      <w:r w:rsidRPr="00D65A20">
        <w:rPr>
          <w:rFonts w:ascii="Times New Roman" w:hAnsi="Times New Roman"/>
          <w:szCs w:val="22"/>
          <w:lang w:val="pt-BR"/>
        </w:rPr>
        <w:t>-Geral que proporcione os recursos financeiros e humanos para que o GELAVEX continue a se fortalecer.</w:t>
      </w:r>
    </w:p>
    <w:p w14:paraId="6E834151" w14:textId="77777777" w:rsidR="0011327F" w:rsidRPr="00D65A20" w:rsidRDefault="0011327F" w:rsidP="00AA4399">
      <w:pPr>
        <w:widowControl/>
        <w:rPr>
          <w:rFonts w:ascii="Times New Roman" w:hAnsi="Times New Roman"/>
          <w:szCs w:val="22"/>
          <w:lang w:val="pt-BR"/>
        </w:rPr>
      </w:pPr>
    </w:p>
    <w:p w14:paraId="6E834152"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Reconhecer que esquemas sofisticados de lavagem de dinheiro são utilizados por grupos criminosos, como grupos do crime organizado, narcotraficantes, organizações terroristas e outros atores ilícitos, para lavar os ganhos decorrentes de seus crimes e financiar suas operações e, nesse contexto, reafirmar o compromisso dos Estados membros de combater os crimes financeiros pela intensificação da cooperação e do intercâmbio de informações.</w:t>
      </w:r>
    </w:p>
    <w:p w14:paraId="6E834153" w14:textId="77777777" w:rsidR="0011327F" w:rsidRPr="00D65A20" w:rsidRDefault="0011327F" w:rsidP="00AA4399">
      <w:pPr>
        <w:widowControl/>
        <w:suppressAutoHyphens/>
        <w:rPr>
          <w:rFonts w:ascii="Times New Roman" w:hAnsi="Times New Roman"/>
          <w:szCs w:val="22"/>
          <w:lang w:val="pt-BR"/>
        </w:rPr>
      </w:pPr>
    </w:p>
    <w:p w14:paraId="6E834154" w14:textId="6A8B5D51"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Incentivar os Estados membros a </w:t>
      </w:r>
      <w:r w:rsidR="00130B12" w:rsidRPr="00D65A20">
        <w:rPr>
          <w:rFonts w:ascii="Times New Roman" w:hAnsi="Times New Roman"/>
          <w:szCs w:val="22"/>
          <w:lang w:val="pt-BR"/>
        </w:rPr>
        <w:t xml:space="preserve">que fortaleçam </w:t>
      </w:r>
      <w:r w:rsidRPr="00D65A20">
        <w:rPr>
          <w:rFonts w:ascii="Times New Roman" w:hAnsi="Times New Roman"/>
          <w:szCs w:val="22"/>
          <w:lang w:val="pt-BR"/>
        </w:rPr>
        <w:t xml:space="preserve">suas legislações, bem como sua implementação, com o propósito de viabilizar o gerenciamento eficiente de ativos apreendidos no contexto do enfrentamento </w:t>
      </w:r>
      <w:r w:rsidR="00130B12" w:rsidRPr="00D65A20">
        <w:rPr>
          <w:rFonts w:ascii="Times New Roman" w:hAnsi="Times New Roman"/>
          <w:szCs w:val="22"/>
          <w:lang w:val="pt-BR"/>
        </w:rPr>
        <w:t>à criminalidade</w:t>
      </w:r>
      <w:r w:rsidRPr="00D65A20">
        <w:rPr>
          <w:rFonts w:ascii="Times New Roman" w:hAnsi="Times New Roman"/>
          <w:szCs w:val="22"/>
          <w:lang w:val="pt-BR"/>
        </w:rPr>
        <w:t xml:space="preserve"> organizad</w:t>
      </w:r>
      <w:r w:rsidR="00130B12" w:rsidRPr="00D65A20">
        <w:rPr>
          <w:rFonts w:ascii="Times New Roman" w:hAnsi="Times New Roman"/>
          <w:szCs w:val="22"/>
          <w:lang w:val="pt-BR"/>
        </w:rPr>
        <w:t>a</w:t>
      </w:r>
      <w:r w:rsidRPr="00D65A20">
        <w:rPr>
          <w:rFonts w:ascii="Times New Roman" w:hAnsi="Times New Roman"/>
          <w:szCs w:val="22"/>
          <w:lang w:val="pt-BR"/>
        </w:rPr>
        <w:t xml:space="preserve"> transnacional. Além disso, a criação de uma forte cultura de conformidade favorecerá os esforços relacionados ao combate à criminalidade como um todo.</w:t>
      </w:r>
    </w:p>
    <w:p w14:paraId="6E834155" w14:textId="77777777" w:rsidR="0011327F" w:rsidRPr="00D65A20" w:rsidRDefault="0011327F" w:rsidP="00AA4399">
      <w:pPr>
        <w:widowControl/>
        <w:suppressAutoHyphens/>
        <w:rPr>
          <w:rFonts w:ascii="Times New Roman" w:hAnsi="Times New Roman"/>
          <w:bCs/>
          <w:szCs w:val="22"/>
          <w:lang w:val="pt-BR"/>
        </w:rPr>
      </w:pPr>
    </w:p>
    <w:p w14:paraId="6E834156" w14:textId="7F87CEE1" w:rsidR="0011327F" w:rsidRPr="00D65A20" w:rsidRDefault="0011327F" w:rsidP="00AA4399">
      <w:pPr>
        <w:widowControl/>
        <w:numPr>
          <w:ilvl w:val="0"/>
          <w:numId w:val="19"/>
        </w:numPr>
        <w:ind w:left="0"/>
        <w:rPr>
          <w:rFonts w:ascii="Times New Roman" w:hAnsi="Times New Roman"/>
          <w:i/>
          <w:color w:val="000000"/>
          <w:szCs w:val="22"/>
          <w:lang w:val="pt-BR"/>
        </w:rPr>
      </w:pPr>
      <w:r w:rsidRPr="00D65A20">
        <w:rPr>
          <w:rFonts w:ascii="Times New Roman" w:hAnsi="Times New Roman"/>
          <w:bCs/>
          <w:szCs w:val="22"/>
          <w:lang w:val="pt-BR"/>
        </w:rPr>
        <w:t xml:space="preserve">Encarregar a </w:t>
      </w:r>
      <w:r w:rsidRPr="00D65A20">
        <w:rPr>
          <w:rFonts w:ascii="Times New Roman" w:hAnsi="Times New Roman"/>
          <w:szCs w:val="22"/>
          <w:lang w:val="pt-BR"/>
        </w:rPr>
        <w:t>Secretaria-Geral de compilar boas práticas e experiências inovadoras adotadas nesse contexto.</w:t>
      </w:r>
    </w:p>
    <w:p w14:paraId="6E834157" w14:textId="77777777" w:rsidR="0011327F" w:rsidRPr="00D65A20" w:rsidRDefault="0011327F" w:rsidP="00AA4399">
      <w:pPr>
        <w:widowControl/>
        <w:suppressAutoHyphens/>
        <w:rPr>
          <w:rFonts w:ascii="Times New Roman" w:hAnsi="Times New Roman"/>
          <w:szCs w:val="22"/>
          <w:lang w:val="pt-BR"/>
        </w:rPr>
      </w:pPr>
    </w:p>
    <w:p w14:paraId="6E834158" w14:textId="1697437C" w:rsidR="0011327F" w:rsidRPr="00D65A20" w:rsidRDefault="0039190A" w:rsidP="00AA4399">
      <w:pPr>
        <w:widowControl/>
        <w:numPr>
          <w:ilvl w:val="0"/>
          <w:numId w:val="19"/>
        </w:numPr>
        <w:ind w:left="0"/>
        <w:rPr>
          <w:rFonts w:ascii="Times New Roman" w:hAnsi="Times New Roman"/>
          <w:bCs/>
          <w:i/>
          <w:szCs w:val="22"/>
          <w:lang w:val="pt-BR"/>
        </w:rPr>
      </w:pPr>
      <w:r w:rsidRPr="00D65A20">
        <w:rPr>
          <w:rFonts w:ascii="Times New Roman" w:hAnsi="Times New Roman"/>
          <w:bCs/>
          <w:szCs w:val="22"/>
          <w:lang w:val="pt-BR"/>
        </w:rPr>
        <w:t xml:space="preserve">Incentivar </w:t>
      </w:r>
      <w:r w:rsidR="0011327F" w:rsidRPr="00D65A20">
        <w:rPr>
          <w:rFonts w:ascii="Times New Roman" w:hAnsi="Times New Roman"/>
          <w:bCs/>
          <w:szCs w:val="22"/>
          <w:lang w:val="pt-BR"/>
        </w:rPr>
        <w:t>os Estados membros a que implementem a resolução “Combate à criminalidade organizada transnacional e aos seus vínculos com o tráfico de metais preciosos e a mineração ilegal, em particular mediante o fortalecimento da segurança das cadeias de suprimento de metais preciosos</w:t>
      </w:r>
      <w:r w:rsidR="00C04937" w:rsidRPr="00D65A20">
        <w:rPr>
          <w:rFonts w:ascii="Times New Roman" w:hAnsi="Times New Roman"/>
          <w:bCs/>
          <w:szCs w:val="22"/>
          <w:lang w:val="pt-BR"/>
        </w:rPr>
        <w:t xml:space="preserve">”, aprovada por recomendação da Comissão </w:t>
      </w:r>
      <w:r w:rsidR="001F4F7D" w:rsidRPr="00D65A20">
        <w:rPr>
          <w:rFonts w:ascii="Times New Roman" w:hAnsi="Times New Roman"/>
          <w:bCs/>
          <w:szCs w:val="22"/>
          <w:lang w:val="pt-BR"/>
        </w:rPr>
        <w:t xml:space="preserve">das Nações Unidas </w:t>
      </w:r>
      <w:r w:rsidR="00C04937" w:rsidRPr="00D65A20">
        <w:rPr>
          <w:rFonts w:ascii="Times New Roman" w:hAnsi="Times New Roman"/>
          <w:bCs/>
          <w:szCs w:val="22"/>
          <w:lang w:val="pt-BR"/>
        </w:rPr>
        <w:t>de Prevenção do Crime e Justiça Criminal</w:t>
      </w:r>
      <w:r w:rsidR="0011327F" w:rsidRPr="00D65A20">
        <w:rPr>
          <w:rFonts w:ascii="Times New Roman" w:hAnsi="Times New Roman"/>
          <w:bCs/>
          <w:szCs w:val="22"/>
          <w:u w:val="single"/>
          <w:vertAlign w:val="superscript"/>
          <w:lang w:val="pt-BR"/>
        </w:rPr>
        <w:footnoteReference w:id="19"/>
      </w:r>
      <w:r w:rsidR="0011327F" w:rsidRPr="00D65A20">
        <w:rPr>
          <w:rFonts w:ascii="Times New Roman" w:hAnsi="Times New Roman"/>
          <w:bCs/>
          <w:szCs w:val="22"/>
          <w:vertAlign w:val="superscript"/>
          <w:lang w:val="pt-BR"/>
        </w:rPr>
        <w:t>/</w:t>
      </w:r>
      <w:r w:rsidR="00C8531C">
        <w:rPr>
          <w:rFonts w:ascii="Times New Roman" w:hAnsi="Times New Roman"/>
          <w:bCs/>
          <w:szCs w:val="22"/>
          <w:lang w:val="pt-BR"/>
        </w:rPr>
        <w:t>, e</w:t>
      </w:r>
      <w:r w:rsidR="0011327F" w:rsidRPr="00D65A20">
        <w:rPr>
          <w:rFonts w:ascii="Times New Roman" w:hAnsi="Times New Roman"/>
          <w:bCs/>
          <w:szCs w:val="22"/>
          <w:lang w:val="pt-BR"/>
        </w:rPr>
        <w:t xml:space="preserve"> convidá-los a que trabalhem juntos para 1) aumentar a transparência e a segurança ao longo de toda a cadeia de suprimentos do ouro, 2) implementar regulamentos para o comércio de mercúrio e coordenar os mecanismos regionais para regulamentar o comércio lícito e ilícito, o transporte, o manuseio e o armazenamento seguro de mercúrio, 3) incentivar as autoridades que trabalham na cadeia de suprimento do ouro a que apresentem relatórios de atividades suspeitas à Unidade de Inteligência Financeira nacional, 4) em conformidade com a legislação nacional e com as normas internacionais pertinentes, implementar políticas antilavagem de ativos no comércio do ouro e do mercúrio, </w:t>
      </w:r>
      <w:bookmarkStart w:id="22" w:name="_Hlk39008885"/>
      <w:bookmarkEnd w:id="22"/>
      <w:r w:rsidR="0011327F" w:rsidRPr="00D65A20">
        <w:rPr>
          <w:rFonts w:ascii="Times New Roman" w:hAnsi="Times New Roman"/>
          <w:bCs/>
          <w:iCs/>
          <w:szCs w:val="22"/>
          <w:lang w:val="pt-BR"/>
        </w:rPr>
        <w:t xml:space="preserve">e 5) incentivar as empresas que </w:t>
      </w:r>
      <w:r w:rsidR="00130B12" w:rsidRPr="00D65A20">
        <w:rPr>
          <w:rFonts w:ascii="Times New Roman" w:hAnsi="Times New Roman"/>
          <w:bCs/>
          <w:iCs/>
          <w:szCs w:val="22"/>
          <w:lang w:val="pt-BR"/>
        </w:rPr>
        <w:t xml:space="preserve">operam </w:t>
      </w:r>
      <w:r w:rsidR="0011327F" w:rsidRPr="00D65A20">
        <w:rPr>
          <w:rFonts w:ascii="Times New Roman" w:hAnsi="Times New Roman"/>
          <w:bCs/>
          <w:iCs/>
          <w:szCs w:val="22"/>
          <w:lang w:val="pt-BR"/>
        </w:rPr>
        <w:t xml:space="preserve">em </w:t>
      </w:r>
      <w:r w:rsidR="0011327F" w:rsidRPr="00D65A20">
        <w:rPr>
          <w:rFonts w:ascii="Times New Roman" w:hAnsi="Times New Roman"/>
          <w:szCs w:val="22"/>
          <w:lang w:val="pt-BR"/>
        </w:rPr>
        <w:t>suas jurisdições</w:t>
      </w:r>
      <w:r w:rsidR="0011327F" w:rsidRPr="00D65A20">
        <w:rPr>
          <w:rFonts w:ascii="Times New Roman" w:hAnsi="Times New Roman"/>
          <w:bCs/>
          <w:iCs/>
          <w:szCs w:val="22"/>
          <w:lang w:val="pt-BR"/>
        </w:rPr>
        <w:t xml:space="preserve"> a que realizem </w:t>
      </w:r>
      <w:r w:rsidR="0011327F" w:rsidRPr="00D65A20">
        <w:rPr>
          <w:rFonts w:ascii="Times New Roman" w:hAnsi="Times New Roman"/>
          <w:iCs/>
          <w:szCs w:val="22"/>
          <w:lang w:val="pt-BR"/>
        </w:rPr>
        <w:t>diligências</w:t>
      </w:r>
      <w:r w:rsidR="0011327F" w:rsidRPr="00D65A20">
        <w:rPr>
          <w:rFonts w:ascii="Times New Roman" w:hAnsi="Times New Roman"/>
          <w:bCs/>
          <w:iCs/>
          <w:szCs w:val="22"/>
          <w:lang w:val="pt-BR"/>
        </w:rPr>
        <w:t xml:space="preserve"> a fim de garantir que suas compras de minerais preciosos não contribuam para conflitos </w:t>
      </w:r>
      <w:r w:rsidR="0011327F" w:rsidRPr="00D65A20">
        <w:rPr>
          <w:rFonts w:ascii="Times New Roman" w:hAnsi="Times New Roman"/>
          <w:iCs/>
          <w:szCs w:val="22"/>
          <w:lang w:val="pt-BR"/>
        </w:rPr>
        <w:t>nem para o financiamento da criminalidade organizada</w:t>
      </w:r>
      <w:r w:rsidR="0011327F" w:rsidRPr="00D65A20">
        <w:rPr>
          <w:rFonts w:ascii="Times New Roman" w:hAnsi="Times New Roman"/>
          <w:bCs/>
          <w:iCs/>
          <w:szCs w:val="22"/>
          <w:lang w:val="pt-BR"/>
        </w:rPr>
        <w:t>.</w:t>
      </w:r>
    </w:p>
    <w:p w14:paraId="6E834159" w14:textId="77777777" w:rsidR="0011327F" w:rsidRPr="00D65A20" w:rsidRDefault="0011327F" w:rsidP="00AA4399">
      <w:pPr>
        <w:widowControl/>
        <w:rPr>
          <w:rFonts w:ascii="Times New Roman" w:hAnsi="Times New Roman"/>
          <w:szCs w:val="22"/>
          <w:lang w:val="pt-BR"/>
        </w:rPr>
      </w:pPr>
    </w:p>
    <w:p w14:paraId="6E83415A" w14:textId="77777777" w:rsidR="0011327F" w:rsidRPr="00D65A20" w:rsidRDefault="0011327F" w:rsidP="00AA4399">
      <w:pPr>
        <w:widowControl/>
        <w:numPr>
          <w:ilvl w:val="0"/>
          <w:numId w:val="19"/>
        </w:numPr>
        <w:ind w:left="0"/>
        <w:rPr>
          <w:rFonts w:ascii="Times New Roman" w:hAnsi="Times New Roman"/>
          <w:i/>
          <w:szCs w:val="22"/>
          <w:lang w:val="pt-BR"/>
        </w:rPr>
      </w:pPr>
      <w:r w:rsidRPr="00D65A20">
        <w:rPr>
          <w:rFonts w:ascii="Times New Roman" w:hAnsi="Times New Roman"/>
          <w:szCs w:val="22"/>
          <w:lang w:val="pt-BR"/>
        </w:rPr>
        <w:t xml:space="preserve">Estimular os </w:t>
      </w:r>
      <w:r w:rsidRPr="00D65A20">
        <w:rPr>
          <w:rFonts w:ascii="Times New Roman" w:hAnsi="Times New Roman"/>
          <w:bCs/>
          <w:szCs w:val="22"/>
          <w:lang w:val="pt-BR"/>
        </w:rPr>
        <w:t>Estados</w:t>
      </w:r>
      <w:r w:rsidRPr="00D65A20">
        <w:rPr>
          <w:rFonts w:ascii="Times New Roman" w:hAnsi="Times New Roman"/>
          <w:szCs w:val="22"/>
          <w:lang w:val="pt-BR"/>
        </w:rPr>
        <w:t xml:space="preserve"> membros que ainda não o tenham feito a que considerem a possibilidade de aderir à Convenção de Minamata sobre Mercúrio, de 2013.</w:t>
      </w:r>
    </w:p>
    <w:p w14:paraId="6E83415B" w14:textId="77777777" w:rsidR="0011327F" w:rsidRPr="00D65A20" w:rsidRDefault="0011327F" w:rsidP="00AA4399">
      <w:pPr>
        <w:widowControl/>
        <w:rPr>
          <w:rFonts w:ascii="Times New Roman" w:hAnsi="Times New Roman"/>
          <w:i/>
          <w:szCs w:val="22"/>
          <w:lang w:val="pt-BR"/>
        </w:rPr>
      </w:pPr>
    </w:p>
    <w:p w14:paraId="6E83415C" w14:textId="4C00B70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lastRenderedPageBreak/>
        <w:t xml:space="preserve">Apoiar as </w:t>
      </w:r>
      <w:r w:rsidRPr="00D65A20">
        <w:rPr>
          <w:rFonts w:ascii="Times New Roman" w:hAnsi="Times New Roman"/>
          <w:bCs/>
          <w:szCs w:val="22"/>
          <w:lang w:val="pt-BR"/>
        </w:rPr>
        <w:t>conferências</w:t>
      </w:r>
      <w:r w:rsidRPr="00D65A20">
        <w:rPr>
          <w:rFonts w:ascii="Times New Roman" w:hAnsi="Times New Roman"/>
          <w:szCs w:val="22"/>
          <w:lang w:val="pt-BR"/>
        </w:rPr>
        <w:t xml:space="preserve"> e oficinas sub-regionais e da OEA dedicadas a combater a criminalidade organizada transnacional e seus vínculos com o tráfico de metais preciosos e a mineração ilegal e facilitar </w:t>
      </w:r>
      <w:r w:rsidR="00FD0363" w:rsidRPr="00D65A20">
        <w:rPr>
          <w:rFonts w:ascii="Times New Roman" w:hAnsi="Times New Roman"/>
          <w:szCs w:val="22"/>
          <w:lang w:val="pt-BR"/>
        </w:rPr>
        <w:t>a</w:t>
      </w:r>
      <w:r w:rsidRPr="00D65A20">
        <w:rPr>
          <w:rFonts w:ascii="Times New Roman" w:hAnsi="Times New Roman"/>
          <w:szCs w:val="22"/>
          <w:lang w:val="pt-BR"/>
        </w:rPr>
        <w:t xml:space="preserve"> cooperação regional relacionada ao mercúrio.</w:t>
      </w:r>
    </w:p>
    <w:p w14:paraId="6E83415D" w14:textId="77777777" w:rsidR="0011327F" w:rsidRPr="00D65A20" w:rsidRDefault="0011327F" w:rsidP="00AA4399">
      <w:pPr>
        <w:widowControl/>
        <w:rPr>
          <w:rFonts w:ascii="Times New Roman" w:hAnsi="Times New Roman"/>
          <w:szCs w:val="22"/>
          <w:lang w:val="pt-BR"/>
        </w:rPr>
      </w:pPr>
    </w:p>
    <w:p w14:paraId="6E83415E" w14:textId="77777777" w:rsidR="0011327F" w:rsidRPr="00D65A20" w:rsidRDefault="0011327F" w:rsidP="00AA4399">
      <w:pPr>
        <w:widowControl/>
        <w:numPr>
          <w:ilvl w:val="0"/>
          <w:numId w:val="19"/>
        </w:numPr>
        <w:ind w:left="0"/>
        <w:rPr>
          <w:rFonts w:ascii="Times New Roman" w:hAnsi="Times New Roman"/>
          <w:i/>
          <w:iCs/>
          <w:szCs w:val="22"/>
          <w:lang w:val="pt-BR"/>
        </w:rPr>
      </w:pPr>
      <w:r w:rsidRPr="00D65A20">
        <w:rPr>
          <w:rFonts w:ascii="Times New Roman" w:hAnsi="Times New Roman"/>
          <w:szCs w:val="22"/>
          <w:lang w:val="pt-BR"/>
        </w:rPr>
        <w:t xml:space="preserve">Reconhecer o </w:t>
      </w:r>
      <w:r w:rsidRPr="00D65A20">
        <w:rPr>
          <w:rFonts w:ascii="Times New Roman" w:hAnsi="Times New Roman"/>
          <w:bCs/>
          <w:szCs w:val="22"/>
          <w:lang w:val="pt-BR"/>
        </w:rPr>
        <w:t>papel</w:t>
      </w:r>
      <w:r w:rsidRPr="00D65A20">
        <w:rPr>
          <w:rFonts w:ascii="Times New Roman" w:hAnsi="Times New Roman"/>
          <w:szCs w:val="22"/>
          <w:lang w:val="pt-BR"/>
        </w:rPr>
        <w:t xml:space="preserve"> que a exploração e o comércio ilícitos de recursos naturais podem desempenhar </w:t>
      </w:r>
      <w:r w:rsidRPr="00D65A20">
        <w:rPr>
          <w:rFonts w:ascii="Times New Roman" w:hAnsi="Times New Roman"/>
          <w:bCs/>
          <w:szCs w:val="22"/>
          <w:lang w:val="pt-BR"/>
        </w:rPr>
        <w:t>na gênese e no prolongamento de</w:t>
      </w:r>
      <w:r w:rsidRPr="00D65A20">
        <w:rPr>
          <w:rFonts w:ascii="Times New Roman" w:hAnsi="Times New Roman"/>
          <w:szCs w:val="22"/>
          <w:lang w:val="pt-BR"/>
        </w:rPr>
        <w:t xml:space="preserve"> conflitos, e fazer um apelo a que </w:t>
      </w:r>
      <w:r w:rsidRPr="00D65A20">
        <w:rPr>
          <w:rFonts w:ascii="Times New Roman" w:hAnsi="Times New Roman"/>
          <w:bCs/>
          <w:szCs w:val="22"/>
          <w:lang w:val="pt-BR"/>
        </w:rPr>
        <w:t>os Estados</w:t>
      </w:r>
      <w:r w:rsidRPr="00D65A20">
        <w:rPr>
          <w:rFonts w:ascii="Times New Roman" w:hAnsi="Times New Roman"/>
          <w:szCs w:val="22"/>
          <w:lang w:val="pt-BR"/>
        </w:rPr>
        <w:t xml:space="preserve"> membros combatam esses crimes. </w:t>
      </w:r>
    </w:p>
    <w:p w14:paraId="6E83415F" w14:textId="77777777" w:rsidR="0011327F" w:rsidRPr="00D65A20" w:rsidRDefault="0011327F" w:rsidP="00AA4399">
      <w:pPr>
        <w:widowControl/>
        <w:rPr>
          <w:rFonts w:ascii="Times New Roman" w:hAnsi="Times New Roman"/>
          <w:i/>
          <w:iCs/>
          <w:szCs w:val="22"/>
          <w:lang w:val="pt-BR"/>
        </w:rPr>
      </w:pPr>
    </w:p>
    <w:p w14:paraId="6E834160" w14:textId="3D7ACCD1" w:rsidR="0011327F" w:rsidRPr="00D65A20" w:rsidRDefault="0011327F" w:rsidP="00AA4399">
      <w:pPr>
        <w:widowControl/>
        <w:numPr>
          <w:ilvl w:val="0"/>
          <w:numId w:val="19"/>
        </w:numPr>
        <w:ind w:left="0"/>
        <w:rPr>
          <w:rFonts w:ascii="Times New Roman" w:hAnsi="Times New Roman"/>
          <w:i/>
          <w:iCs/>
          <w:szCs w:val="22"/>
          <w:lang w:val="pt-BR"/>
        </w:rPr>
      </w:pPr>
      <w:r w:rsidRPr="00D65A20">
        <w:rPr>
          <w:rFonts w:ascii="Times New Roman" w:hAnsi="Times New Roman"/>
          <w:szCs w:val="22"/>
          <w:lang w:val="pt-BR"/>
        </w:rPr>
        <w:t xml:space="preserve">Incentivar os Estados membros a </w:t>
      </w:r>
      <w:r w:rsidR="00130B12" w:rsidRPr="00D65A20">
        <w:rPr>
          <w:rFonts w:ascii="Times New Roman" w:hAnsi="Times New Roman"/>
          <w:szCs w:val="22"/>
          <w:lang w:val="pt-BR"/>
        </w:rPr>
        <w:t xml:space="preserve">que trabalhem </w:t>
      </w:r>
      <w:r w:rsidRPr="00D65A20">
        <w:rPr>
          <w:rFonts w:ascii="Times New Roman" w:hAnsi="Times New Roman"/>
          <w:szCs w:val="22"/>
          <w:lang w:val="pt-BR"/>
        </w:rPr>
        <w:t xml:space="preserve">juntos para combater outros crimes e atividades ilegais associadas ao tráfico ilícito de metais preciosos e </w:t>
      </w:r>
      <w:r w:rsidRPr="00D65A20">
        <w:rPr>
          <w:rFonts w:ascii="Times New Roman" w:hAnsi="Times New Roman"/>
          <w:bCs/>
          <w:szCs w:val="22"/>
          <w:lang w:val="pt-BR"/>
        </w:rPr>
        <w:t>à</w:t>
      </w:r>
      <w:r w:rsidRPr="00D65A20">
        <w:rPr>
          <w:rFonts w:ascii="Times New Roman" w:hAnsi="Times New Roman"/>
          <w:szCs w:val="22"/>
          <w:lang w:val="pt-BR"/>
        </w:rPr>
        <w:t xml:space="preserve"> mineração ilegal, como corrupção, tráfico de animais silvestres, </w:t>
      </w:r>
      <w:r w:rsidRPr="00D65A20">
        <w:rPr>
          <w:rFonts w:ascii="Times New Roman" w:hAnsi="Times New Roman"/>
          <w:bCs/>
          <w:szCs w:val="22"/>
          <w:lang w:val="pt-BR"/>
        </w:rPr>
        <w:t>extração</w:t>
      </w:r>
      <w:r w:rsidRPr="00D65A20">
        <w:rPr>
          <w:rFonts w:ascii="Times New Roman" w:hAnsi="Times New Roman"/>
          <w:szCs w:val="22"/>
          <w:lang w:val="pt-BR"/>
        </w:rPr>
        <w:t xml:space="preserve"> e tráfico </w:t>
      </w:r>
      <w:r w:rsidR="00BA3C43" w:rsidRPr="00D65A20">
        <w:rPr>
          <w:rFonts w:ascii="Times New Roman" w:hAnsi="Times New Roman"/>
          <w:szCs w:val="22"/>
          <w:lang w:val="pt-BR"/>
        </w:rPr>
        <w:t xml:space="preserve">ilegais </w:t>
      </w:r>
      <w:r w:rsidRPr="00D65A20">
        <w:rPr>
          <w:rFonts w:ascii="Times New Roman" w:hAnsi="Times New Roman"/>
          <w:szCs w:val="22"/>
          <w:lang w:val="pt-BR"/>
        </w:rPr>
        <w:t xml:space="preserve">de madeira e pesca ilegal, não declarada e não regulamentada, </w:t>
      </w:r>
      <w:r w:rsidRPr="00D65A20">
        <w:rPr>
          <w:rFonts w:ascii="Times New Roman" w:hAnsi="Times New Roman"/>
          <w:bCs/>
          <w:szCs w:val="22"/>
          <w:lang w:val="pt-BR"/>
        </w:rPr>
        <w:t xml:space="preserve">em conformidade com resoluções aprovadas no âmbito da </w:t>
      </w:r>
      <w:r w:rsidRPr="00D65A20">
        <w:rPr>
          <w:rFonts w:ascii="Times New Roman" w:hAnsi="Times New Roman"/>
          <w:szCs w:val="22"/>
          <w:lang w:val="pt-BR"/>
        </w:rPr>
        <w:t>Comissão de Prevenção do Crime e Justiça Criminal</w:t>
      </w:r>
      <w:r w:rsidR="00A43404" w:rsidRPr="00D65A20">
        <w:rPr>
          <w:rFonts w:ascii="Times New Roman" w:hAnsi="Times New Roman"/>
          <w:szCs w:val="22"/>
          <w:lang w:val="pt-BR"/>
        </w:rPr>
        <w:t xml:space="preserve"> das Nações Unidas</w:t>
      </w:r>
      <w:r w:rsidRPr="00D65A20">
        <w:rPr>
          <w:rFonts w:ascii="Times New Roman" w:hAnsi="Times New Roman"/>
          <w:szCs w:val="22"/>
          <w:lang w:val="pt-BR"/>
        </w:rPr>
        <w:t xml:space="preserve">. </w:t>
      </w:r>
    </w:p>
    <w:p w14:paraId="6E834161" w14:textId="77777777" w:rsidR="0011327F" w:rsidRPr="00D65A20" w:rsidRDefault="0011327F" w:rsidP="00AA4399">
      <w:pPr>
        <w:widowControl/>
        <w:rPr>
          <w:rFonts w:ascii="Times New Roman" w:hAnsi="Times New Roman"/>
          <w:szCs w:val="22"/>
          <w:lang w:val="pt-BR"/>
        </w:rPr>
      </w:pPr>
    </w:p>
    <w:p w14:paraId="6E834162" w14:textId="27A9FDE4" w:rsidR="0011327F" w:rsidRPr="009C048C"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szCs w:val="22"/>
          <w:lang w:val="pt-BR"/>
        </w:rPr>
        <w:t xml:space="preserve">Solicitar à SSM que, em coordenação com a Secretaria do Grupo de Trabalho sobre Crime Cibernético da REMJA, </w:t>
      </w:r>
      <w:r w:rsidR="00BA3C43" w:rsidRPr="00D65A20">
        <w:rPr>
          <w:rFonts w:ascii="Times New Roman" w:hAnsi="Times New Roman"/>
          <w:szCs w:val="22"/>
          <w:lang w:val="pt-BR"/>
        </w:rPr>
        <w:t xml:space="preserve">elabore </w:t>
      </w:r>
      <w:r w:rsidRPr="00D65A20">
        <w:rPr>
          <w:rFonts w:ascii="Times New Roman" w:hAnsi="Times New Roman"/>
          <w:szCs w:val="22"/>
          <w:lang w:val="pt-BR"/>
        </w:rPr>
        <w:t xml:space="preserve">uma lista consolidada dos mecanismos de formação e treinamento permanente disponíveis </w:t>
      </w:r>
      <w:r w:rsidRPr="00D65A20">
        <w:rPr>
          <w:rFonts w:ascii="Times New Roman" w:hAnsi="Times New Roman"/>
          <w:bCs/>
          <w:szCs w:val="22"/>
          <w:lang w:val="pt-BR"/>
        </w:rPr>
        <w:t>para</w:t>
      </w:r>
      <w:r w:rsidRPr="00D65A20">
        <w:rPr>
          <w:rFonts w:ascii="Times New Roman" w:hAnsi="Times New Roman"/>
          <w:szCs w:val="22"/>
          <w:lang w:val="pt-BR"/>
        </w:rPr>
        <w:t xml:space="preserve"> o fortalecimento </w:t>
      </w:r>
      <w:r w:rsidR="00BA3C43" w:rsidRPr="00D65A20">
        <w:rPr>
          <w:rFonts w:ascii="Times New Roman" w:hAnsi="Times New Roman"/>
          <w:szCs w:val="22"/>
          <w:lang w:val="pt-BR"/>
        </w:rPr>
        <w:t>do desenvolvimento</w:t>
      </w:r>
      <w:r w:rsidRPr="00D65A20">
        <w:rPr>
          <w:rFonts w:ascii="Times New Roman" w:hAnsi="Times New Roman"/>
          <w:szCs w:val="22"/>
          <w:lang w:val="pt-BR"/>
        </w:rPr>
        <w:t xml:space="preserve"> de capacidades institucionais que permitam aos Estados membros abordar os crescentes vínculos entre a criminalidade organizada transnacional e os crimes cibernéticos, inclusive os mecanismos de capacitação oferecidos nos termos da Convenção de Budapeste. A referida lista deverá ser </w:t>
      </w:r>
      <w:r w:rsidRPr="009C048C">
        <w:rPr>
          <w:rFonts w:ascii="Times New Roman" w:hAnsi="Times New Roman"/>
          <w:szCs w:val="22"/>
          <w:lang w:val="pt-BR"/>
        </w:rPr>
        <w:t>apresentada aos Estados membros em uma reunião da CSH e atualizada anualmente.</w:t>
      </w:r>
      <w:r w:rsidRPr="009C048C">
        <w:rPr>
          <w:rFonts w:ascii="Times New Roman" w:hAnsi="Times New Roman"/>
          <w:b/>
          <w:bCs/>
          <w:szCs w:val="22"/>
          <w:lang w:val="pt-BR"/>
        </w:rPr>
        <w:t xml:space="preserve"> </w:t>
      </w:r>
    </w:p>
    <w:p w14:paraId="6E834163" w14:textId="77777777" w:rsidR="0011327F" w:rsidRPr="009C048C"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pt-BR"/>
        </w:rPr>
      </w:pPr>
    </w:p>
    <w:p w14:paraId="6E834164" w14:textId="779C829A" w:rsidR="0011327F" w:rsidRPr="009C048C" w:rsidRDefault="0011327F" w:rsidP="00AA4399">
      <w:pPr>
        <w:widowControl/>
        <w:numPr>
          <w:ilvl w:val="0"/>
          <w:numId w:val="19"/>
        </w:numPr>
        <w:ind w:left="0"/>
        <w:rPr>
          <w:rFonts w:ascii="Times New Roman" w:hAnsi="Times New Roman"/>
          <w:szCs w:val="22"/>
          <w:lang w:val="pt-BR"/>
        </w:rPr>
      </w:pPr>
      <w:r w:rsidRPr="009C048C">
        <w:rPr>
          <w:rFonts w:ascii="Times New Roman" w:hAnsi="Times New Roman"/>
          <w:szCs w:val="22"/>
          <w:lang w:val="pt-BR"/>
        </w:rPr>
        <w:t>Solicitar à SSM</w:t>
      </w:r>
      <w:r w:rsidR="009E093E" w:rsidRPr="009C048C">
        <w:rPr>
          <w:rFonts w:ascii="Times New Roman" w:hAnsi="Times New Roman"/>
          <w:szCs w:val="22"/>
          <w:lang w:val="pt-BR"/>
        </w:rPr>
        <w:t xml:space="preserve"> que</w:t>
      </w:r>
      <w:r w:rsidRPr="009C048C">
        <w:rPr>
          <w:rFonts w:ascii="Times New Roman" w:hAnsi="Times New Roman"/>
          <w:szCs w:val="22"/>
          <w:lang w:val="pt-BR"/>
        </w:rPr>
        <w:t>, por intermédio do DCOT, preste assistência técnica aos Estados membros que a solicitarem</w:t>
      </w:r>
      <w:r w:rsidRPr="009C048C">
        <w:rPr>
          <w:rFonts w:ascii="Times New Roman" w:hAnsi="Times New Roman"/>
          <w:b/>
          <w:szCs w:val="22"/>
          <w:lang w:val="pt-BR"/>
        </w:rPr>
        <w:t xml:space="preserve"> </w:t>
      </w:r>
      <w:r w:rsidRPr="009C048C">
        <w:rPr>
          <w:rFonts w:ascii="Times New Roman" w:hAnsi="Times New Roman"/>
          <w:szCs w:val="22"/>
          <w:lang w:val="pt-BR"/>
        </w:rPr>
        <w:t xml:space="preserve">para melhorar ou fortalecer sua capacidade institucional no combate à COT vinculada a delitos que afetam o </w:t>
      </w:r>
      <w:r w:rsidRPr="009C048C">
        <w:rPr>
          <w:rFonts w:ascii="Times New Roman" w:hAnsi="Times New Roman"/>
          <w:bCs/>
          <w:szCs w:val="22"/>
          <w:lang w:val="pt-BR"/>
        </w:rPr>
        <w:t>meio</w:t>
      </w:r>
      <w:r w:rsidRPr="009C048C">
        <w:rPr>
          <w:rFonts w:ascii="Times New Roman" w:hAnsi="Times New Roman"/>
          <w:szCs w:val="22"/>
          <w:lang w:val="pt-BR"/>
        </w:rPr>
        <w:t xml:space="preserve"> ambiente.</w:t>
      </w:r>
    </w:p>
    <w:p w14:paraId="6E834165" w14:textId="77777777" w:rsidR="0011327F" w:rsidRPr="009C048C"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166" w14:textId="7DA2A054"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No </w:t>
      </w:r>
      <w:r w:rsidR="00826AA2" w:rsidRPr="00D65A20">
        <w:rPr>
          <w:rFonts w:ascii="Times New Roman" w:hAnsi="Times New Roman"/>
          <w:szCs w:val="22"/>
          <w:lang w:val="pt-BR"/>
        </w:rPr>
        <w:t>marco</w:t>
      </w:r>
      <w:r w:rsidRPr="00D65A20">
        <w:rPr>
          <w:rFonts w:ascii="Times New Roman" w:hAnsi="Times New Roman"/>
          <w:szCs w:val="22"/>
          <w:lang w:val="pt-BR"/>
        </w:rPr>
        <w:t xml:space="preserve"> do Compromisso de Lima, solicitar à SSM, por intermédio do DCOT, no âmbito de sua competência, </w:t>
      </w:r>
      <w:r w:rsidRPr="00D65A20">
        <w:rPr>
          <w:rFonts w:ascii="Times New Roman" w:hAnsi="Times New Roman"/>
          <w:bCs/>
          <w:szCs w:val="22"/>
          <w:lang w:val="pt-BR"/>
        </w:rPr>
        <w:t>que</w:t>
      </w:r>
      <w:r w:rsidRPr="00D65A20">
        <w:rPr>
          <w:rFonts w:ascii="Times New Roman" w:hAnsi="Times New Roman"/>
          <w:szCs w:val="22"/>
          <w:lang w:val="pt-BR"/>
        </w:rPr>
        <w:t xml:space="preserve"> continue apoiando os Estados membros na prevenção e combate da corrupção, particularmente no que se refere à lavagem de ativos e </w:t>
      </w:r>
      <w:r w:rsidR="00963B3D" w:rsidRPr="00D65A20">
        <w:rPr>
          <w:rFonts w:ascii="Times New Roman" w:hAnsi="Times New Roman"/>
          <w:szCs w:val="22"/>
          <w:lang w:val="pt-BR"/>
        </w:rPr>
        <w:t xml:space="preserve">à </w:t>
      </w:r>
      <w:r w:rsidRPr="00D65A20">
        <w:rPr>
          <w:rFonts w:ascii="Times New Roman" w:hAnsi="Times New Roman"/>
          <w:szCs w:val="22"/>
          <w:lang w:val="pt-BR"/>
        </w:rPr>
        <w:t xml:space="preserve">recuperação dos ativos </w:t>
      </w:r>
      <w:r w:rsidR="00963B3D" w:rsidRPr="00D65A20">
        <w:rPr>
          <w:rFonts w:ascii="Times New Roman" w:hAnsi="Times New Roman"/>
          <w:szCs w:val="22"/>
          <w:lang w:val="pt-BR"/>
        </w:rPr>
        <w:t xml:space="preserve">a ela </w:t>
      </w:r>
      <w:r w:rsidRPr="00D65A20">
        <w:rPr>
          <w:rFonts w:ascii="Times New Roman" w:hAnsi="Times New Roman"/>
          <w:szCs w:val="22"/>
          <w:lang w:val="pt-BR"/>
        </w:rPr>
        <w:t>associados.</w:t>
      </w:r>
      <w:r w:rsidRPr="00D65A20">
        <w:rPr>
          <w:rFonts w:ascii="Times New Roman" w:hAnsi="Times New Roman"/>
          <w:szCs w:val="22"/>
          <w:u w:val="single"/>
          <w:vertAlign w:val="superscript"/>
          <w:lang w:val="pt-BR"/>
        </w:rPr>
        <w:t xml:space="preserve"> </w:t>
      </w:r>
      <w:r w:rsidRPr="00D65A20">
        <w:rPr>
          <w:rFonts w:ascii="Times New Roman" w:hAnsi="Times New Roman"/>
          <w:szCs w:val="22"/>
          <w:u w:val="single"/>
          <w:vertAlign w:val="superscript"/>
          <w:lang w:val="pt-BR"/>
        </w:rPr>
        <w:footnoteReference w:id="20"/>
      </w:r>
      <w:r w:rsidRPr="00D65A20">
        <w:rPr>
          <w:rFonts w:ascii="Times New Roman" w:hAnsi="Times New Roman"/>
          <w:color w:val="000000"/>
          <w:szCs w:val="22"/>
          <w:vertAlign w:val="superscript"/>
          <w:lang w:val="pt-BR"/>
        </w:rPr>
        <w:t>/</w:t>
      </w:r>
    </w:p>
    <w:p w14:paraId="6E834167"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16"/>
          <w:szCs w:val="22"/>
          <w:lang w:val="pt-BR"/>
        </w:rPr>
      </w:pPr>
    </w:p>
    <w:p w14:paraId="6E834168" w14:textId="07758DEA"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szCs w:val="22"/>
          <w:lang w:val="pt-BR"/>
        </w:rPr>
        <w:t>Solicitar à SSM</w:t>
      </w:r>
      <w:r w:rsidR="00607538" w:rsidRPr="00D65A20">
        <w:rPr>
          <w:rFonts w:ascii="Times New Roman" w:hAnsi="Times New Roman"/>
          <w:szCs w:val="22"/>
          <w:lang w:val="pt-BR"/>
        </w:rPr>
        <w:t xml:space="preserve"> que</w:t>
      </w:r>
      <w:r w:rsidRPr="00D65A20">
        <w:rPr>
          <w:rFonts w:ascii="Times New Roman" w:hAnsi="Times New Roman"/>
          <w:szCs w:val="22"/>
          <w:lang w:val="pt-BR"/>
        </w:rPr>
        <w:t xml:space="preserve">, por intermédio do DCOT, preste assistência técnica aos Estados membros para melhorar ou fortalecer as capacidades institucionais no combate à COT vinculada a novas tendências </w:t>
      </w:r>
      <w:r w:rsidRPr="00D65A20">
        <w:rPr>
          <w:rFonts w:ascii="Times New Roman" w:hAnsi="Times New Roman"/>
          <w:bCs/>
          <w:szCs w:val="22"/>
          <w:lang w:val="pt-BR"/>
        </w:rPr>
        <w:t>criminais, que contemplem</w:t>
      </w:r>
      <w:r w:rsidR="00FD0363" w:rsidRPr="00D65A20">
        <w:rPr>
          <w:rFonts w:ascii="Times New Roman" w:hAnsi="Times New Roman"/>
          <w:bCs/>
          <w:szCs w:val="22"/>
          <w:lang w:val="pt-BR"/>
        </w:rPr>
        <w:t>, entre outros,</w:t>
      </w:r>
      <w:r w:rsidRPr="00D65A20">
        <w:rPr>
          <w:rFonts w:ascii="Times New Roman" w:hAnsi="Times New Roman"/>
          <w:bCs/>
          <w:szCs w:val="22"/>
          <w:lang w:val="pt-BR"/>
        </w:rPr>
        <w:t xml:space="preserve"> o contrabando e o tráfico de pessoas, drogas, armas e moeda; o contrabando de produtos e substâncias ilegais, como medicamentos, espécimes biológicos, flora e fauna, entre outros; o comércio e o contrabando de mercadorias falsificadas e pirateadas; crimes contra o patrimônio cultural, como o tráfico ilícito de patrimônio cultural, entre outros; a falsificação de moeda e de documentos de segurança; crimes financeiros; e o </w:t>
      </w:r>
      <w:r w:rsidRPr="00D65A20">
        <w:rPr>
          <w:rFonts w:ascii="Times New Roman" w:hAnsi="Times New Roman"/>
          <w:szCs w:val="22"/>
          <w:lang w:val="pt-BR"/>
        </w:rPr>
        <w:t>uso ilícito de moedas virtuais.</w:t>
      </w:r>
    </w:p>
    <w:p w14:paraId="6E834169"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 w:val="16"/>
          <w:szCs w:val="22"/>
          <w:lang w:val="pt-BR"/>
        </w:rPr>
      </w:pPr>
    </w:p>
    <w:p w14:paraId="6E83416A" w14:textId="77777777"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Encarregar a SSM, por intermédio do DCOT, do desenvolvimento e criação de um banco de dados hemisférico baseado em informações oficiais, que compile normas vigentes, políticas, programas, estratégias e lições aprendidas, com vistas a facilitar a divulgação de informações úteis e atualizadas relativas ao enfrentamento da COT.</w:t>
      </w:r>
    </w:p>
    <w:p w14:paraId="6E83416B"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 w:val="16"/>
          <w:szCs w:val="22"/>
          <w:lang w:val="pt-BR"/>
        </w:rPr>
      </w:pPr>
    </w:p>
    <w:p w14:paraId="6E83416C" w14:textId="77777777" w:rsidR="0011327F" w:rsidRPr="00D65A20" w:rsidRDefault="0011327F" w:rsidP="00AA4399">
      <w:pPr>
        <w:widowControl/>
        <w:numPr>
          <w:ilvl w:val="0"/>
          <w:numId w:val="19"/>
        </w:numPr>
        <w:ind w:left="0"/>
        <w:rPr>
          <w:rFonts w:ascii="Times New Roman" w:hAnsi="Times New Roman"/>
          <w:bCs/>
          <w:i/>
          <w:szCs w:val="22"/>
          <w:lang w:val="pt-BR"/>
        </w:rPr>
      </w:pPr>
      <w:r w:rsidRPr="00D65A20">
        <w:rPr>
          <w:rFonts w:ascii="Times New Roman" w:hAnsi="Times New Roman"/>
          <w:bCs/>
          <w:szCs w:val="22"/>
          <w:lang w:val="pt-BR"/>
        </w:rPr>
        <w:lastRenderedPageBreak/>
        <w:t>Solicitar ao DCOT que elabore uma proposta de agenda integral em matéria de cooperação para o combate da criminalidade organizada transnacional, com temas e atividades específicas que se poderiam desenvolver na Organização em curto prazo (três anos), a qual deverá ser apresentada à CSH no primeiro trimestre de 2021.</w:t>
      </w:r>
    </w:p>
    <w:p w14:paraId="6E83416D" w14:textId="77777777" w:rsidR="0011327F" w:rsidRPr="00D65A20" w:rsidRDefault="0011327F" w:rsidP="00AA4399">
      <w:pPr>
        <w:widowControl/>
        <w:rPr>
          <w:rFonts w:ascii="Times New Roman" w:hAnsi="Times New Roman"/>
          <w:bCs/>
          <w:i/>
          <w:szCs w:val="22"/>
          <w:lang w:val="pt-BR"/>
        </w:rPr>
      </w:pPr>
    </w:p>
    <w:p w14:paraId="6E83416E" w14:textId="77777777"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 xml:space="preserve">Convidar os Estados membros e os organismos regionais e internacionais a que contribuam voluntariamente para o Fundo </w:t>
      </w:r>
      <w:r w:rsidR="00BA3C43" w:rsidRPr="00D65A20">
        <w:rPr>
          <w:rFonts w:ascii="Times New Roman" w:hAnsi="Times New Roman"/>
          <w:bCs/>
          <w:szCs w:val="22"/>
          <w:lang w:val="pt-BR"/>
        </w:rPr>
        <w:t xml:space="preserve">Específico </w:t>
      </w:r>
      <w:r w:rsidRPr="00D65A20">
        <w:rPr>
          <w:rFonts w:ascii="Times New Roman" w:hAnsi="Times New Roman"/>
          <w:bCs/>
          <w:szCs w:val="22"/>
          <w:lang w:val="pt-BR"/>
        </w:rPr>
        <w:t>de Combate à Criminalidade Organizada Transnacional previsto no Plano de Ação Hemisférico</w:t>
      </w:r>
      <w:r w:rsidR="00BA3C43" w:rsidRPr="00D65A20">
        <w:rPr>
          <w:rFonts w:ascii="Times New Roman" w:hAnsi="Times New Roman"/>
          <w:bCs/>
          <w:szCs w:val="22"/>
          <w:lang w:val="pt-BR"/>
        </w:rPr>
        <w:t xml:space="preserve"> correspondente</w:t>
      </w:r>
      <w:r w:rsidRPr="00D65A20">
        <w:rPr>
          <w:rFonts w:ascii="Times New Roman" w:hAnsi="Times New Roman"/>
          <w:bCs/>
          <w:szCs w:val="22"/>
          <w:lang w:val="pt-BR"/>
        </w:rPr>
        <w:t>.</w:t>
      </w:r>
    </w:p>
    <w:p w14:paraId="6E83416F" w14:textId="77777777" w:rsidR="0011327F" w:rsidRPr="009C048C" w:rsidRDefault="0011327F" w:rsidP="00AA4399">
      <w:pPr>
        <w:widowControl/>
        <w:rPr>
          <w:rFonts w:ascii="Times New Roman" w:hAnsi="Times New Roman"/>
          <w:bCs/>
          <w:szCs w:val="22"/>
          <w:lang w:val="pt-BR"/>
        </w:rPr>
      </w:pPr>
    </w:p>
    <w:p w14:paraId="6E834170" w14:textId="7E206EC1" w:rsidR="0011327F" w:rsidRPr="009C048C" w:rsidRDefault="0039190A" w:rsidP="00AA4399">
      <w:pPr>
        <w:widowControl/>
        <w:numPr>
          <w:ilvl w:val="0"/>
          <w:numId w:val="19"/>
        </w:numPr>
        <w:ind w:left="0"/>
        <w:rPr>
          <w:rFonts w:ascii="Times New Roman" w:hAnsi="Times New Roman"/>
          <w:bCs/>
          <w:szCs w:val="22"/>
          <w:lang w:val="pt-BR"/>
        </w:rPr>
      </w:pPr>
      <w:r w:rsidRPr="009C048C">
        <w:rPr>
          <w:rFonts w:ascii="Times New Roman" w:hAnsi="Times New Roman"/>
          <w:bCs/>
          <w:color w:val="000000"/>
          <w:szCs w:val="22"/>
          <w:lang w:val="pt-BR"/>
        </w:rPr>
        <w:t xml:space="preserve">Incentivar </w:t>
      </w:r>
      <w:r w:rsidR="0011327F" w:rsidRPr="009C048C">
        <w:rPr>
          <w:rFonts w:ascii="Times New Roman" w:hAnsi="Times New Roman"/>
          <w:bCs/>
          <w:color w:val="000000"/>
          <w:szCs w:val="22"/>
          <w:lang w:val="pt-BR"/>
        </w:rPr>
        <w:t>os Estados membros a que aumentem a cooperação e o compartilhamento de informações a fim de conter</w:t>
      </w:r>
      <w:r w:rsidR="0011327F" w:rsidRPr="009C048C">
        <w:rPr>
          <w:rFonts w:ascii="Times New Roman" w:hAnsi="Times New Roman"/>
          <w:bCs/>
          <w:szCs w:val="22"/>
          <w:lang w:val="pt-BR"/>
        </w:rPr>
        <w:t xml:space="preserve"> </w:t>
      </w:r>
      <w:r w:rsidR="0011327F" w:rsidRPr="009C048C">
        <w:rPr>
          <w:rFonts w:ascii="Times New Roman" w:hAnsi="Times New Roman"/>
          <w:bCs/>
          <w:color w:val="000000"/>
          <w:szCs w:val="22"/>
          <w:lang w:val="pt-BR"/>
        </w:rPr>
        <w:t xml:space="preserve">a </w:t>
      </w:r>
      <w:r w:rsidR="0011327F" w:rsidRPr="009C048C">
        <w:rPr>
          <w:rFonts w:ascii="Times New Roman" w:hAnsi="Times New Roman"/>
          <w:bCs/>
          <w:szCs w:val="22"/>
          <w:lang w:val="pt-BR"/>
        </w:rPr>
        <w:t>pesca</w:t>
      </w:r>
      <w:r w:rsidR="0011327F" w:rsidRPr="009C048C">
        <w:rPr>
          <w:rFonts w:ascii="Times New Roman" w:hAnsi="Times New Roman"/>
          <w:bCs/>
          <w:color w:val="000000"/>
          <w:szCs w:val="22"/>
          <w:lang w:val="pt-BR"/>
        </w:rPr>
        <w:t xml:space="preserve"> ilegal, </w:t>
      </w:r>
      <w:r w:rsidR="00963B3D" w:rsidRPr="009C048C">
        <w:rPr>
          <w:rFonts w:ascii="Times New Roman" w:hAnsi="Times New Roman"/>
          <w:bCs/>
          <w:color w:val="000000"/>
          <w:szCs w:val="22"/>
          <w:lang w:val="pt-BR"/>
        </w:rPr>
        <w:t>não declarada e não regulamentada</w:t>
      </w:r>
      <w:r w:rsidR="00EA4156" w:rsidRPr="009C048C">
        <w:rPr>
          <w:rFonts w:ascii="Times New Roman" w:hAnsi="Times New Roman"/>
          <w:bCs/>
          <w:color w:val="000000"/>
          <w:szCs w:val="22"/>
          <w:lang w:val="pt-BR"/>
        </w:rPr>
        <w:t xml:space="preserve"> (INDNR)</w:t>
      </w:r>
      <w:r w:rsidR="0011327F" w:rsidRPr="009C048C">
        <w:rPr>
          <w:rFonts w:ascii="Times New Roman" w:hAnsi="Times New Roman"/>
          <w:bCs/>
          <w:color w:val="000000"/>
          <w:szCs w:val="22"/>
          <w:lang w:val="pt-BR"/>
        </w:rPr>
        <w:t xml:space="preserve">. No primeiro trimestre de 2021, reunir um grupo de trabalho das autoridades técnicas dos Estados membros para discutir as opções de apoiar e manter práticas pesqueiras sustentáveis no Hemisfério Ocidental. </w:t>
      </w:r>
    </w:p>
    <w:p w14:paraId="6E834171" w14:textId="77777777" w:rsidR="0011327F" w:rsidRPr="009C048C"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pt-BR"/>
        </w:rPr>
      </w:pPr>
    </w:p>
    <w:p w14:paraId="6E834172" w14:textId="3DF6A484" w:rsidR="0011327F" w:rsidRPr="00D65A20" w:rsidRDefault="0039190A" w:rsidP="00AA4399">
      <w:pPr>
        <w:widowControl/>
        <w:numPr>
          <w:ilvl w:val="0"/>
          <w:numId w:val="19"/>
        </w:numPr>
        <w:ind w:left="0"/>
        <w:rPr>
          <w:rFonts w:ascii="Times New Roman" w:eastAsia="SimSun" w:hAnsi="Times New Roman"/>
          <w:color w:val="000000"/>
          <w:szCs w:val="22"/>
          <w:lang w:val="pt-BR"/>
        </w:rPr>
      </w:pPr>
      <w:r w:rsidRPr="009C048C">
        <w:rPr>
          <w:rFonts w:ascii="Times New Roman" w:hAnsi="Times New Roman"/>
          <w:color w:val="000000"/>
          <w:szCs w:val="22"/>
          <w:lang w:val="pt-BR"/>
        </w:rPr>
        <w:t>Incentivar</w:t>
      </w:r>
      <w:r w:rsidR="007C7451" w:rsidRPr="009C048C">
        <w:rPr>
          <w:rFonts w:ascii="Times New Roman" w:hAnsi="Times New Roman"/>
          <w:color w:val="000000"/>
          <w:szCs w:val="22"/>
          <w:lang w:val="pt-BR"/>
        </w:rPr>
        <w:t xml:space="preserve"> </w:t>
      </w:r>
      <w:r w:rsidR="0011327F" w:rsidRPr="009C048C">
        <w:rPr>
          <w:rFonts w:ascii="Times New Roman" w:hAnsi="Times New Roman"/>
          <w:color w:val="000000"/>
          <w:szCs w:val="22"/>
          <w:lang w:val="pt-BR"/>
        </w:rPr>
        <w:t>os Estados membros a que fortaleçam a cooperação e aumentem a colaboração</w:t>
      </w:r>
      <w:r w:rsidR="0011327F" w:rsidRPr="00D65A20">
        <w:rPr>
          <w:rFonts w:ascii="Times New Roman" w:hAnsi="Times New Roman"/>
          <w:color w:val="000000"/>
          <w:szCs w:val="22"/>
          <w:lang w:val="pt-BR"/>
        </w:rPr>
        <w:t xml:space="preserve"> internacional, especialmente em torno da gestão da segurança das fronteiras, do compartilhamento de informações e de ações voltadas à segurança marítima, a fim de assegurar uma resposta eficaz aos desafios </w:t>
      </w:r>
      <w:r w:rsidR="0011327F" w:rsidRPr="00D65A20">
        <w:rPr>
          <w:rFonts w:ascii="Times New Roman" w:hAnsi="Times New Roman"/>
          <w:bCs/>
          <w:szCs w:val="22"/>
          <w:lang w:val="pt-BR"/>
        </w:rPr>
        <w:t>emergentes</w:t>
      </w:r>
      <w:r w:rsidR="0011327F" w:rsidRPr="00D65A20">
        <w:rPr>
          <w:rFonts w:ascii="Times New Roman" w:hAnsi="Times New Roman"/>
          <w:color w:val="000000"/>
          <w:szCs w:val="22"/>
          <w:lang w:val="pt-BR"/>
        </w:rPr>
        <w:t xml:space="preserve">, como o tráfico de pessoas e o contrabando de migrantes, drogas e armas, considerando que os grupos criminosos e a criminalidade organizada transnacional estão adaptando-se à dinâmica da </w:t>
      </w:r>
      <w:r w:rsidR="00877D54" w:rsidRPr="00D65A20">
        <w:rPr>
          <w:rFonts w:ascii="Times New Roman" w:hAnsi="Times New Roman"/>
          <w:color w:val="000000"/>
          <w:szCs w:val="22"/>
          <w:lang w:val="pt-BR"/>
        </w:rPr>
        <w:t>pandemia de</w:t>
      </w:r>
      <w:r w:rsidR="0011327F" w:rsidRPr="00D65A20">
        <w:rPr>
          <w:rFonts w:ascii="Times New Roman" w:hAnsi="Times New Roman"/>
          <w:color w:val="000000"/>
          <w:szCs w:val="22"/>
          <w:lang w:val="pt-BR"/>
        </w:rPr>
        <w:t xml:space="preserve"> covid-19 e exploram novas vulnerabilidades.</w:t>
      </w:r>
    </w:p>
    <w:p w14:paraId="6E834173" w14:textId="77777777" w:rsidR="0011327F" w:rsidRPr="00D65A20" w:rsidRDefault="0011327F" w:rsidP="00AA4399">
      <w:pPr>
        <w:widowControl/>
        <w:rPr>
          <w:rFonts w:ascii="Times New Roman" w:hAnsi="Times New Roman"/>
          <w:color w:val="000000"/>
          <w:szCs w:val="22"/>
          <w:lang w:val="pt-BR"/>
        </w:rPr>
      </w:pPr>
    </w:p>
    <w:p w14:paraId="6E834174" w14:textId="77777777" w:rsidR="0011327F" w:rsidRPr="00D65A20" w:rsidRDefault="0011327F" w:rsidP="00AA4399">
      <w:pPr>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color w:val="000000"/>
          <w:szCs w:val="22"/>
          <w:u w:val="single"/>
          <w:lang w:val="pt-BR"/>
        </w:rPr>
      </w:pPr>
      <w:r w:rsidRPr="00D65A20">
        <w:rPr>
          <w:rFonts w:ascii="Times New Roman" w:hAnsi="Times New Roman"/>
          <w:color w:val="000000"/>
          <w:szCs w:val="22"/>
          <w:u w:val="single"/>
          <w:lang w:val="pt-BR"/>
        </w:rPr>
        <w:t>Esforços de cooperação hemisférica para combater o tráfico de pessoas</w:t>
      </w:r>
    </w:p>
    <w:p w14:paraId="6E834175" w14:textId="77777777" w:rsidR="0011327F" w:rsidRPr="00D65A20" w:rsidRDefault="0011327F" w:rsidP="00AA4399">
      <w:pPr>
        <w:widowControl/>
        <w:autoSpaceDN w:val="0"/>
        <w:rPr>
          <w:rFonts w:ascii="Times New Roman" w:eastAsia="Calibri" w:hAnsi="Times New Roman"/>
          <w:color w:val="000000"/>
          <w:szCs w:val="22"/>
          <w:lang w:val="pt-BR"/>
        </w:rPr>
      </w:pPr>
    </w:p>
    <w:p w14:paraId="6E834176" w14:textId="341E5399"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Reconhecer a Agenda 2030 como uma estrutura para o desenvolvimento sustentável que pode ajudar os países a trabalharem para a paz e a prosperidade no mundo, incluindo os objetivos e metas relacionados com a erradicação do tráfico de pessoas</w:t>
      </w:r>
      <w:r w:rsidR="00BA3C43" w:rsidRPr="00D65A20">
        <w:rPr>
          <w:rFonts w:ascii="Times New Roman" w:hAnsi="Times New Roman"/>
          <w:szCs w:val="22"/>
          <w:lang w:val="pt-BR"/>
        </w:rPr>
        <w:t xml:space="preserve"> (m</w:t>
      </w:r>
      <w:r w:rsidRPr="00D65A20">
        <w:rPr>
          <w:rFonts w:ascii="Times New Roman" w:hAnsi="Times New Roman"/>
          <w:szCs w:val="22"/>
          <w:lang w:val="pt-BR"/>
        </w:rPr>
        <w:t>etas 5.2, 8.7 e 16.2</w:t>
      </w:r>
      <w:r w:rsidR="00C8531C">
        <w:rPr>
          <w:rFonts w:ascii="Times New Roman" w:hAnsi="Times New Roman"/>
          <w:szCs w:val="22"/>
          <w:lang w:val="pt-BR"/>
        </w:rPr>
        <w:t xml:space="preserve"> dos ODS</w:t>
      </w:r>
      <w:r w:rsidR="00BA3C43" w:rsidRPr="00D65A20">
        <w:rPr>
          <w:rFonts w:ascii="Times New Roman" w:hAnsi="Times New Roman"/>
          <w:szCs w:val="22"/>
          <w:lang w:val="pt-BR"/>
        </w:rPr>
        <w:t>)</w:t>
      </w:r>
      <w:r w:rsidRPr="00D65A20">
        <w:rPr>
          <w:rFonts w:ascii="Times New Roman" w:hAnsi="Times New Roman"/>
          <w:szCs w:val="22"/>
          <w:lang w:val="pt-BR"/>
        </w:rPr>
        <w:t>.</w:t>
      </w:r>
    </w:p>
    <w:p w14:paraId="6E834177" w14:textId="77777777" w:rsidR="0011327F" w:rsidRPr="00D65A20" w:rsidRDefault="0011327F" w:rsidP="00AA4399">
      <w:pPr>
        <w:widowControl/>
        <w:autoSpaceDN w:val="0"/>
        <w:rPr>
          <w:rFonts w:ascii="Times New Roman" w:eastAsia="Calibri" w:hAnsi="Times New Roman"/>
          <w:color w:val="000000"/>
          <w:szCs w:val="22"/>
          <w:lang w:val="pt-BR"/>
        </w:rPr>
      </w:pPr>
    </w:p>
    <w:p w14:paraId="6E834178" w14:textId="6CB23D85"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Solicitar à SSM que mantenha a prestação de assistência técnica aos Estados membros, por intermédio do DSP e do DCOT, a fim de reforçar a implementação da Convenção das Nações Unidas contra o Crime Organizado Transnacional (Convenção de Palermo) e seu Protocolo para Prevenir, Reprimir e Punir o Tráfico de Pessoas, Especialmente de Mulheres e Crianças (Protocolo de Palermo)</w:t>
      </w:r>
      <w:r w:rsidR="00A42144" w:rsidRPr="00D65A20">
        <w:rPr>
          <w:rFonts w:ascii="Times New Roman" w:hAnsi="Times New Roman"/>
          <w:szCs w:val="22"/>
          <w:lang w:val="pt-BR"/>
        </w:rPr>
        <w:t>,</w:t>
      </w:r>
      <w:r w:rsidRPr="00D65A20">
        <w:rPr>
          <w:rFonts w:ascii="Times New Roman" w:hAnsi="Times New Roman"/>
          <w:szCs w:val="22"/>
          <w:lang w:val="pt-BR"/>
        </w:rPr>
        <w:t xml:space="preserve"> no âmbito do Segundo Plano de Trabalho contra o Tráfico de Pessoas no Hemisfério Ocidental (2015-2020</w:t>
      </w:r>
      <w:bookmarkStart w:id="23" w:name="_Hlk50720004"/>
      <w:r w:rsidRPr="00D65A20">
        <w:rPr>
          <w:rFonts w:ascii="Times New Roman" w:hAnsi="Times New Roman"/>
          <w:szCs w:val="22"/>
          <w:lang w:val="pt-BR"/>
        </w:rPr>
        <w:t>)</w:t>
      </w:r>
      <w:r w:rsidRPr="00D65A20">
        <w:rPr>
          <w:rFonts w:ascii="Times New Roman" w:hAnsi="Times New Roman"/>
          <w:b/>
          <w:szCs w:val="22"/>
          <w:lang w:val="pt-BR"/>
        </w:rPr>
        <w:t>.</w:t>
      </w:r>
      <w:bookmarkEnd w:id="23"/>
    </w:p>
    <w:p w14:paraId="6E834179" w14:textId="77777777" w:rsidR="0011327F" w:rsidRPr="00D65A20" w:rsidRDefault="0011327F" w:rsidP="00AA4399">
      <w:pPr>
        <w:widowControl/>
        <w:suppressAutoHyphens/>
        <w:autoSpaceDN w:val="0"/>
        <w:rPr>
          <w:rFonts w:ascii="Times New Roman" w:hAnsi="Times New Roman"/>
          <w:szCs w:val="22"/>
          <w:lang w:val="pt-BR"/>
        </w:rPr>
      </w:pPr>
    </w:p>
    <w:p w14:paraId="6E83417A" w14:textId="77777777" w:rsidR="0011327F" w:rsidRPr="00D65A20" w:rsidRDefault="0011327F" w:rsidP="00AA4399">
      <w:pPr>
        <w:widowControl/>
        <w:numPr>
          <w:ilvl w:val="0"/>
          <w:numId w:val="19"/>
        </w:numPr>
        <w:ind w:left="0"/>
        <w:rPr>
          <w:rFonts w:ascii="Times New Roman" w:hAnsi="Times New Roman"/>
          <w:bCs/>
          <w:i/>
          <w:szCs w:val="22"/>
          <w:lang w:val="pt-BR"/>
        </w:rPr>
      </w:pPr>
      <w:r w:rsidRPr="00D65A20">
        <w:rPr>
          <w:rFonts w:ascii="Times New Roman" w:hAnsi="Times New Roman"/>
          <w:bCs/>
          <w:szCs w:val="22"/>
          <w:lang w:val="pt-BR"/>
        </w:rPr>
        <w:t>Solicitar à Secretaria-</w:t>
      </w:r>
      <w:r w:rsidRPr="00D65A20">
        <w:rPr>
          <w:rFonts w:ascii="Times New Roman" w:hAnsi="Times New Roman"/>
          <w:color w:val="000000"/>
          <w:szCs w:val="22"/>
          <w:lang w:val="pt-BR"/>
        </w:rPr>
        <w:t>Geral</w:t>
      </w:r>
      <w:r w:rsidRPr="00D65A20">
        <w:rPr>
          <w:rFonts w:ascii="Times New Roman" w:hAnsi="Times New Roman"/>
          <w:bCs/>
          <w:szCs w:val="22"/>
          <w:lang w:val="pt-BR"/>
        </w:rPr>
        <w:t xml:space="preserve"> que atualize o Segundo Plano de Trabalho contra o Tráfico de Pessoas no Hemisfério Ocidental, que será concluído este ano (2020). </w:t>
      </w:r>
    </w:p>
    <w:p w14:paraId="6E83417B" w14:textId="77777777" w:rsidR="0011327F" w:rsidRPr="00D65A20" w:rsidRDefault="0011327F" w:rsidP="00AA4399">
      <w:pPr>
        <w:widowControl/>
        <w:suppressAutoHyphens/>
        <w:autoSpaceDN w:val="0"/>
        <w:rPr>
          <w:rFonts w:ascii="Times New Roman" w:hAnsi="Times New Roman"/>
          <w:bCs/>
          <w:szCs w:val="22"/>
          <w:lang w:val="pt-BR"/>
        </w:rPr>
      </w:pPr>
    </w:p>
    <w:p w14:paraId="6E83417C" w14:textId="77777777" w:rsidR="0011327F" w:rsidRPr="00D65A20" w:rsidRDefault="0011327F" w:rsidP="00AA4399">
      <w:pPr>
        <w:widowControl/>
        <w:numPr>
          <w:ilvl w:val="0"/>
          <w:numId w:val="19"/>
        </w:numPr>
        <w:ind w:left="0"/>
        <w:rPr>
          <w:rFonts w:ascii="Times New Roman" w:hAnsi="Times New Roman"/>
          <w:bCs/>
          <w:i/>
          <w:szCs w:val="22"/>
          <w:lang w:val="pt-BR"/>
        </w:rPr>
      </w:pPr>
      <w:r w:rsidRPr="00D65A20">
        <w:rPr>
          <w:rFonts w:ascii="Times New Roman" w:hAnsi="Times New Roman"/>
          <w:bCs/>
          <w:szCs w:val="22"/>
          <w:lang w:val="pt-BR"/>
        </w:rPr>
        <w:t xml:space="preserve">Instar os Estados membros a que </w:t>
      </w:r>
      <w:r w:rsidRPr="00D65A20">
        <w:rPr>
          <w:rFonts w:ascii="Times New Roman" w:hAnsi="Times New Roman"/>
          <w:bCs/>
          <w:iCs/>
          <w:szCs w:val="22"/>
          <w:lang w:val="pt-BR"/>
        </w:rPr>
        <w:t xml:space="preserve">redobrem seus esforços com vistas a identificar rapidamente as </w:t>
      </w:r>
      <w:r w:rsidRPr="00D65A20">
        <w:rPr>
          <w:rFonts w:ascii="Times New Roman" w:hAnsi="Times New Roman"/>
          <w:bCs/>
          <w:szCs w:val="22"/>
          <w:lang w:val="pt-BR"/>
        </w:rPr>
        <w:t xml:space="preserve">vítimas de tráfico de pessoas, a fim de lhes proporcionar acesso à assistência a que têm direito </w:t>
      </w:r>
      <w:r w:rsidRPr="00D65A20">
        <w:rPr>
          <w:rFonts w:ascii="Times New Roman" w:hAnsi="Times New Roman"/>
          <w:bCs/>
          <w:iCs/>
          <w:szCs w:val="22"/>
          <w:lang w:val="pt-BR"/>
        </w:rPr>
        <w:t xml:space="preserve">segundo as legislações nacionais, </w:t>
      </w:r>
      <w:r w:rsidRPr="00D65A20">
        <w:rPr>
          <w:rFonts w:ascii="Times New Roman" w:hAnsi="Times New Roman"/>
          <w:bCs/>
          <w:szCs w:val="22"/>
          <w:lang w:val="pt-BR"/>
        </w:rPr>
        <w:t xml:space="preserve">e processar o crime de maneira eficaz, </w:t>
      </w:r>
      <w:r w:rsidRPr="00D65A20">
        <w:rPr>
          <w:rFonts w:ascii="Times New Roman" w:hAnsi="Times New Roman"/>
          <w:bCs/>
          <w:iCs/>
          <w:szCs w:val="22"/>
          <w:lang w:val="pt-BR"/>
        </w:rPr>
        <w:t>levando em consideração, quando cabível, que</w:t>
      </w:r>
      <w:r w:rsidRPr="00D65A20">
        <w:rPr>
          <w:rFonts w:ascii="Times New Roman" w:hAnsi="Times New Roman"/>
          <w:szCs w:val="22"/>
          <w:lang w:val="pt-BR"/>
        </w:rPr>
        <w:t xml:space="preserve"> </w:t>
      </w:r>
      <w:r w:rsidRPr="00D65A20">
        <w:rPr>
          <w:rFonts w:ascii="Times New Roman" w:hAnsi="Times New Roman"/>
          <w:bCs/>
          <w:szCs w:val="22"/>
          <w:lang w:val="pt-BR"/>
        </w:rPr>
        <w:t xml:space="preserve">as vítimas de tráfico de pessoas </w:t>
      </w:r>
      <w:r w:rsidRPr="00D65A20">
        <w:rPr>
          <w:rFonts w:ascii="Times New Roman" w:hAnsi="Times New Roman"/>
          <w:bCs/>
          <w:iCs/>
          <w:szCs w:val="22"/>
          <w:lang w:val="pt-BR"/>
        </w:rPr>
        <w:t xml:space="preserve">podem ter </w:t>
      </w:r>
      <w:r w:rsidRPr="00D65A20">
        <w:rPr>
          <w:rFonts w:ascii="Times New Roman" w:hAnsi="Times New Roman"/>
          <w:bCs/>
          <w:szCs w:val="22"/>
          <w:lang w:val="pt-BR"/>
        </w:rPr>
        <w:t xml:space="preserve">cometido </w:t>
      </w:r>
      <w:r w:rsidRPr="00D65A20">
        <w:rPr>
          <w:rFonts w:ascii="Times New Roman" w:hAnsi="Times New Roman"/>
          <w:szCs w:val="22"/>
          <w:lang w:val="pt-BR"/>
        </w:rPr>
        <w:t>crimes</w:t>
      </w:r>
      <w:r w:rsidRPr="00D65A20">
        <w:rPr>
          <w:rFonts w:ascii="Times New Roman" w:hAnsi="Times New Roman"/>
          <w:bCs/>
          <w:szCs w:val="22"/>
          <w:lang w:val="pt-BR"/>
        </w:rPr>
        <w:t xml:space="preserve"> como resultado direto de terem sido traficadas e que, quando existirem antecedentes penais desses atos, seja verificada a possibilidade de que lhes seja dado acesso a vias de recurso para conseguirem o cancelamento ou a anulação dos seus antecedentes penais</w:t>
      </w:r>
      <w:r w:rsidR="00A42144" w:rsidRPr="00D65A20">
        <w:rPr>
          <w:rFonts w:ascii="Times New Roman" w:hAnsi="Times New Roman"/>
          <w:bCs/>
          <w:szCs w:val="22"/>
          <w:lang w:val="pt-BR"/>
        </w:rPr>
        <w:t>, no âmbito da legislação nacional vigente</w:t>
      </w:r>
      <w:r w:rsidRPr="00D65A20">
        <w:rPr>
          <w:rFonts w:ascii="Times New Roman" w:hAnsi="Times New Roman"/>
          <w:bCs/>
          <w:iCs/>
          <w:szCs w:val="22"/>
          <w:lang w:val="pt-BR"/>
        </w:rPr>
        <w:t>.</w:t>
      </w:r>
    </w:p>
    <w:p w14:paraId="6E83417D"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i/>
          <w:szCs w:val="22"/>
          <w:lang w:val="pt-BR"/>
        </w:rPr>
      </w:pPr>
    </w:p>
    <w:p w14:paraId="6E83417E" w14:textId="46BA50DD" w:rsidR="0011327F" w:rsidRPr="00D65A20" w:rsidRDefault="0011327F" w:rsidP="00AA4399">
      <w:pPr>
        <w:widowControl/>
        <w:numPr>
          <w:ilvl w:val="0"/>
          <w:numId w:val="19"/>
        </w:numPr>
        <w:ind w:left="0"/>
        <w:rPr>
          <w:rFonts w:ascii="Times New Roman" w:hAnsi="Times New Roman"/>
          <w:bCs/>
          <w:i/>
          <w:szCs w:val="22"/>
          <w:lang w:val="pt-BR"/>
        </w:rPr>
      </w:pPr>
      <w:r w:rsidRPr="00D65A20">
        <w:rPr>
          <w:rFonts w:ascii="Times New Roman" w:hAnsi="Times New Roman"/>
          <w:bCs/>
          <w:szCs w:val="22"/>
          <w:lang w:val="pt-BR"/>
        </w:rPr>
        <w:lastRenderedPageBreak/>
        <w:t xml:space="preserve">Instar os Estados membros a que integrem às suas respostas nacionais de combate ao tráfico de pessoas uma abordagem </w:t>
      </w:r>
      <w:r w:rsidRPr="00D65A20">
        <w:rPr>
          <w:rFonts w:ascii="Times New Roman" w:hAnsi="Times New Roman"/>
          <w:color w:val="000000"/>
          <w:szCs w:val="22"/>
          <w:lang w:val="pt-BR"/>
        </w:rPr>
        <w:t>centrada</w:t>
      </w:r>
      <w:r w:rsidRPr="00D65A20">
        <w:rPr>
          <w:rFonts w:ascii="Times New Roman" w:hAnsi="Times New Roman"/>
          <w:bCs/>
          <w:szCs w:val="22"/>
          <w:lang w:val="pt-BR"/>
        </w:rPr>
        <w:t xml:space="preserve"> na</w:t>
      </w:r>
      <w:r w:rsidR="00DC64CC" w:rsidRPr="00D65A20">
        <w:rPr>
          <w:rFonts w:ascii="Times New Roman" w:hAnsi="Times New Roman"/>
          <w:bCs/>
          <w:szCs w:val="22"/>
          <w:lang w:val="pt-BR"/>
        </w:rPr>
        <w:t>s</w:t>
      </w:r>
      <w:r w:rsidRPr="00D65A20">
        <w:rPr>
          <w:rFonts w:ascii="Times New Roman" w:hAnsi="Times New Roman"/>
          <w:bCs/>
          <w:szCs w:val="22"/>
          <w:lang w:val="pt-BR"/>
        </w:rPr>
        <w:t xml:space="preserve"> vítima</w:t>
      </w:r>
      <w:r w:rsidR="00DC64CC" w:rsidRPr="00D65A20">
        <w:rPr>
          <w:rFonts w:ascii="Times New Roman" w:hAnsi="Times New Roman"/>
          <w:bCs/>
          <w:szCs w:val="22"/>
          <w:lang w:val="pt-BR"/>
        </w:rPr>
        <w:t>s</w:t>
      </w:r>
      <w:r w:rsidRPr="00D65A20">
        <w:rPr>
          <w:rFonts w:ascii="Times New Roman" w:hAnsi="Times New Roman"/>
          <w:bCs/>
          <w:szCs w:val="22"/>
          <w:lang w:val="pt-BR"/>
        </w:rPr>
        <w:t xml:space="preserve"> e </w:t>
      </w:r>
      <w:r w:rsidR="00A42144" w:rsidRPr="00D65A20">
        <w:rPr>
          <w:rFonts w:ascii="Times New Roman" w:hAnsi="Times New Roman"/>
          <w:bCs/>
          <w:szCs w:val="22"/>
          <w:lang w:val="pt-BR"/>
        </w:rPr>
        <w:t>nos</w:t>
      </w:r>
      <w:r w:rsidRPr="00D65A20">
        <w:rPr>
          <w:rFonts w:ascii="Times New Roman" w:hAnsi="Times New Roman"/>
          <w:bCs/>
          <w:szCs w:val="22"/>
          <w:lang w:val="pt-BR"/>
        </w:rPr>
        <w:t xml:space="preserve"> traumas</w:t>
      </w:r>
      <w:r w:rsidR="00A42144" w:rsidRPr="00D65A20">
        <w:rPr>
          <w:rFonts w:ascii="Times New Roman" w:hAnsi="Times New Roman"/>
          <w:bCs/>
          <w:szCs w:val="22"/>
          <w:lang w:val="pt-BR"/>
        </w:rPr>
        <w:t xml:space="preserve"> que tenham sofrido</w:t>
      </w:r>
      <w:r w:rsidRPr="00D65A20">
        <w:rPr>
          <w:rFonts w:ascii="Times New Roman" w:hAnsi="Times New Roman"/>
          <w:bCs/>
          <w:szCs w:val="22"/>
          <w:lang w:val="pt-BR"/>
        </w:rPr>
        <w:t xml:space="preserve">, com pleno respeito aos direitos humanos das vítimas desses crimes. </w:t>
      </w:r>
    </w:p>
    <w:p w14:paraId="6E83417F" w14:textId="77777777" w:rsidR="0011327F" w:rsidRPr="00D65A20" w:rsidRDefault="0011327F" w:rsidP="00AA4399">
      <w:pPr>
        <w:widowControl/>
        <w:rPr>
          <w:rFonts w:ascii="Times New Roman" w:hAnsi="Times New Roman"/>
          <w:bCs/>
          <w:i/>
          <w:szCs w:val="22"/>
          <w:lang w:val="pt-BR"/>
        </w:rPr>
      </w:pPr>
    </w:p>
    <w:p w14:paraId="6E834180" w14:textId="6467C3CB" w:rsidR="0011327F" w:rsidRPr="00D65A20" w:rsidRDefault="0039190A" w:rsidP="00AA4399">
      <w:pPr>
        <w:widowControl/>
        <w:numPr>
          <w:ilvl w:val="0"/>
          <w:numId w:val="19"/>
        </w:numPr>
        <w:ind w:left="0"/>
        <w:rPr>
          <w:rFonts w:ascii="Times New Roman" w:hAnsi="Times New Roman"/>
          <w:bCs/>
          <w:i/>
          <w:szCs w:val="22"/>
          <w:lang w:val="pt-BR"/>
        </w:rPr>
      </w:pPr>
      <w:r w:rsidRPr="00D65A20">
        <w:rPr>
          <w:rFonts w:ascii="Times New Roman" w:hAnsi="Times New Roman"/>
          <w:bCs/>
          <w:szCs w:val="22"/>
          <w:lang w:val="pt-BR"/>
        </w:rPr>
        <w:t xml:space="preserve">Incentivar </w:t>
      </w:r>
      <w:r w:rsidR="0011327F" w:rsidRPr="00D65A20">
        <w:rPr>
          <w:rFonts w:ascii="Times New Roman" w:hAnsi="Times New Roman"/>
          <w:bCs/>
          <w:szCs w:val="22"/>
          <w:lang w:val="pt-BR"/>
        </w:rPr>
        <w:t xml:space="preserve">os Estados membros a que incorporem a voz das vítimas e dos sobreviventes do tráfico </w:t>
      </w:r>
      <w:r w:rsidR="007F5381" w:rsidRPr="00D65A20">
        <w:rPr>
          <w:rFonts w:ascii="Times New Roman" w:hAnsi="Times New Roman"/>
          <w:bCs/>
          <w:szCs w:val="22"/>
          <w:lang w:val="pt-BR"/>
        </w:rPr>
        <w:t xml:space="preserve">de pessoas </w:t>
      </w:r>
      <w:r w:rsidR="0011327F" w:rsidRPr="00D65A20">
        <w:rPr>
          <w:rFonts w:ascii="Times New Roman" w:hAnsi="Times New Roman"/>
          <w:bCs/>
          <w:szCs w:val="22"/>
          <w:lang w:val="pt-BR"/>
        </w:rPr>
        <w:t xml:space="preserve">ao </w:t>
      </w:r>
      <w:r w:rsidR="0011327F" w:rsidRPr="00D65A20">
        <w:rPr>
          <w:rFonts w:ascii="Times New Roman" w:hAnsi="Times New Roman"/>
          <w:color w:val="000000"/>
          <w:szCs w:val="22"/>
          <w:lang w:val="pt-BR"/>
        </w:rPr>
        <w:t>desenvolvimento</w:t>
      </w:r>
      <w:r w:rsidR="0011327F" w:rsidRPr="00D65A20">
        <w:rPr>
          <w:rFonts w:ascii="Times New Roman" w:hAnsi="Times New Roman"/>
          <w:bCs/>
          <w:szCs w:val="22"/>
          <w:lang w:val="pt-BR"/>
        </w:rPr>
        <w:t xml:space="preserve"> e à aplicação de políticas e programas centrados na</w:t>
      </w:r>
      <w:r w:rsidR="00DC64CC" w:rsidRPr="00D65A20">
        <w:rPr>
          <w:rFonts w:ascii="Times New Roman" w:hAnsi="Times New Roman"/>
          <w:bCs/>
          <w:szCs w:val="22"/>
          <w:lang w:val="pt-BR"/>
        </w:rPr>
        <w:t>s</w:t>
      </w:r>
      <w:r w:rsidR="0011327F" w:rsidRPr="00D65A20">
        <w:rPr>
          <w:rFonts w:ascii="Times New Roman" w:hAnsi="Times New Roman"/>
          <w:bCs/>
          <w:szCs w:val="22"/>
          <w:lang w:val="pt-BR"/>
        </w:rPr>
        <w:t xml:space="preserve"> vítima</w:t>
      </w:r>
      <w:r w:rsidR="00DC64CC" w:rsidRPr="00D65A20">
        <w:rPr>
          <w:rFonts w:ascii="Times New Roman" w:hAnsi="Times New Roman"/>
          <w:bCs/>
          <w:szCs w:val="22"/>
          <w:lang w:val="pt-BR"/>
        </w:rPr>
        <w:t>s</w:t>
      </w:r>
      <w:r w:rsidR="0011327F" w:rsidRPr="00D65A20">
        <w:rPr>
          <w:rFonts w:ascii="Times New Roman" w:hAnsi="Times New Roman"/>
          <w:bCs/>
          <w:szCs w:val="22"/>
          <w:lang w:val="pt-BR"/>
        </w:rPr>
        <w:t xml:space="preserve"> e </w:t>
      </w:r>
      <w:r w:rsidR="007F5381" w:rsidRPr="00D65A20">
        <w:rPr>
          <w:rFonts w:ascii="Times New Roman" w:hAnsi="Times New Roman"/>
          <w:bCs/>
          <w:szCs w:val="22"/>
          <w:lang w:val="pt-BR"/>
        </w:rPr>
        <w:t>no tratamento de</w:t>
      </w:r>
      <w:r w:rsidR="0011327F" w:rsidRPr="00D65A20">
        <w:rPr>
          <w:rFonts w:ascii="Times New Roman" w:hAnsi="Times New Roman"/>
          <w:bCs/>
          <w:szCs w:val="22"/>
          <w:lang w:val="pt-BR"/>
        </w:rPr>
        <w:t xml:space="preserve"> traumas, incluindo plataformas de consulta compostas por membros da sociedade civil e sobreviventes do tráfico de pessoas. </w:t>
      </w:r>
    </w:p>
    <w:p w14:paraId="6E834181" w14:textId="77777777" w:rsidR="0011327F" w:rsidRPr="00D65A20" w:rsidRDefault="0011327F" w:rsidP="00AA4399">
      <w:pPr>
        <w:widowControl/>
        <w:rPr>
          <w:rFonts w:ascii="Times New Roman" w:hAnsi="Times New Roman"/>
          <w:bCs/>
          <w:i/>
          <w:szCs w:val="22"/>
          <w:lang w:val="pt-BR"/>
        </w:rPr>
      </w:pPr>
    </w:p>
    <w:p w14:paraId="6E834182" w14:textId="77777777" w:rsidR="0011327F" w:rsidRPr="00D65A20" w:rsidRDefault="0011327F" w:rsidP="00AA4399">
      <w:pPr>
        <w:widowControl/>
        <w:numPr>
          <w:ilvl w:val="0"/>
          <w:numId w:val="19"/>
        </w:numPr>
        <w:ind w:left="0"/>
        <w:rPr>
          <w:rFonts w:ascii="Times New Roman" w:hAnsi="Times New Roman"/>
          <w:bCs/>
          <w:i/>
          <w:szCs w:val="22"/>
          <w:lang w:val="pt-BR"/>
        </w:rPr>
      </w:pPr>
      <w:r w:rsidRPr="00D65A20">
        <w:rPr>
          <w:rFonts w:ascii="Times New Roman" w:hAnsi="Times New Roman"/>
          <w:bCs/>
          <w:szCs w:val="22"/>
          <w:lang w:val="pt-BR"/>
        </w:rPr>
        <w:t xml:space="preserve">Instar os Estados </w:t>
      </w:r>
      <w:r w:rsidRPr="00D65A20">
        <w:rPr>
          <w:rFonts w:ascii="Times New Roman" w:hAnsi="Times New Roman"/>
          <w:color w:val="000000"/>
          <w:szCs w:val="22"/>
          <w:lang w:val="pt-BR"/>
        </w:rPr>
        <w:t>membros</w:t>
      </w:r>
      <w:r w:rsidRPr="00D65A20">
        <w:rPr>
          <w:rFonts w:ascii="Times New Roman" w:hAnsi="Times New Roman"/>
          <w:bCs/>
          <w:szCs w:val="22"/>
          <w:lang w:val="pt-BR"/>
        </w:rPr>
        <w:t xml:space="preserve"> a que criem, mantenham ou fortaleçam, segundo seja necessário, uma legislação abrangente contra a lavagem de dinheiro e </w:t>
      </w:r>
      <w:r w:rsidRPr="00D65A20">
        <w:rPr>
          <w:rFonts w:ascii="Times New Roman" w:hAnsi="Times New Roman"/>
          <w:bCs/>
          <w:iCs/>
          <w:szCs w:val="22"/>
          <w:lang w:val="pt-BR"/>
        </w:rPr>
        <w:t xml:space="preserve">fortaleçam seus marcos normativos, com vistas à implementação efetiva das normas existentes, e </w:t>
      </w:r>
      <w:r w:rsidRPr="00D65A20">
        <w:rPr>
          <w:rFonts w:ascii="Times New Roman" w:hAnsi="Times New Roman"/>
          <w:bCs/>
          <w:szCs w:val="22"/>
          <w:lang w:val="pt-BR"/>
        </w:rPr>
        <w:t xml:space="preserve">a que tratem o tráfico de pessoas como um crime antecedente à lavagem de dinheiro, de acordo com a Convenção das Nações Unidas contra o Crime Organizado Transnacional e seu Protocolo para Prevenir, Reprimir e Punir o Tráfico de Pessoas, especialmente de Mulheres e Crianças. </w:t>
      </w:r>
    </w:p>
    <w:p w14:paraId="6E834183" w14:textId="77777777" w:rsidR="0011327F" w:rsidRPr="00D65A20" w:rsidRDefault="0011327F" w:rsidP="00AA4399">
      <w:pPr>
        <w:widowControl/>
        <w:rPr>
          <w:rFonts w:ascii="Times New Roman" w:hAnsi="Times New Roman"/>
          <w:bCs/>
          <w:szCs w:val="22"/>
          <w:lang w:val="pt-BR"/>
        </w:rPr>
      </w:pPr>
    </w:p>
    <w:p w14:paraId="6E834184" w14:textId="53B955F7" w:rsidR="0011327F" w:rsidRPr="00D65A20" w:rsidRDefault="0039190A" w:rsidP="00AA4399">
      <w:pPr>
        <w:widowControl/>
        <w:numPr>
          <w:ilvl w:val="0"/>
          <w:numId w:val="19"/>
        </w:numPr>
        <w:ind w:left="0"/>
        <w:rPr>
          <w:rFonts w:ascii="Times New Roman" w:hAnsi="Times New Roman"/>
          <w:bCs/>
          <w:i/>
          <w:szCs w:val="22"/>
          <w:lang w:val="pt-BR"/>
        </w:rPr>
      </w:pPr>
      <w:r w:rsidRPr="00D65A20">
        <w:rPr>
          <w:rFonts w:ascii="Times New Roman" w:hAnsi="Times New Roman"/>
          <w:bCs/>
          <w:szCs w:val="22"/>
          <w:lang w:val="pt-BR"/>
        </w:rPr>
        <w:t xml:space="preserve">Incentivar </w:t>
      </w:r>
      <w:r w:rsidR="0011327F" w:rsidRPr="00D65A20">
        <w:rPr>
          <w:rFonts w:ascii="Times New Roman" w:hAnsi="Times New Roman"/>
          <w:bCs/>
          <w:szCs w:val="22"/>
          <w:lang w:val="pt-BR"/>
        </w:rPr>
        <w:t xml:space="preserve">os Estados membros a que realizem investigações financeiras paralelas proativas, inclusive mediante </w:t>
      </w:r>
      <w:r w:rsidR="0011327F" w:rsidRPr="00D65A20">
        <w:rPr>
          <w:rFonts w:ascii="Times New Roman" w:hAnsi="Times New Roman"/>
          <w:color w:val="000000"/>
          <w:szCs w:val="22"/>
          <w:lang w:val="pt-BR"/>
        </w:rPr>
        <w:t>colaboração</w:t>
      </w:r>
      <w:r w:rsidR="0011327F" w:rsidRPr="00D65A20">
        <w:rPr>
          <w:rFonts w:ascii="Times New Roman" w:hAnsi="Times New Roman"/>
          <w:bCs/>
          <w:szCs w:val="22"/>
          <w:lang w:val="pt-BR"/>
        </w:rPr>
        <w:t xml:space="preserve"> com instituições financeiras públicas e privadas, como prática padrão na investigação e persecução do tráfico de pessoas, com o objetivo de rastrear, congelar e confiscar os lucros adquiridos por meio desse crime. </w:t>
      </w:r>
    </w:p>
    <w:p w14:paraId="6E834185"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pt-BR"/>
        </w:rPr>
      </w:pPr>
    </w:p>
    <w:p w14:paraId="6E834186" w14:textId="77777777"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szCs w:val="22"/>
          <w:lang w:val="pt-BR"/>
        </w:rPr>
        <w:t xml:space="preserve">Encarregar a Secretaria-Geral, por intermédio do DSP e de acordo com os recursos financeiros disponíveis, de continuar apoiando os Estados membros na formulação, implementação e gestão de políticas, projetos e ações, com a finalidade de </w:t>
      </w:r>
      <w:r w:rsidRPr="00D65A20">
        <w:rPr>
          <w:rFonts w:ascii="Times New Roman" w:hAnsi="Times New Roman"/>
          <w:bCs/>
          <w:szCs w:val="22"/>
          <w:lang w:val="pt-BR"/>
        </w:rPr>
        <w:t>prevenir</w:t>
      </w:r>
      <w:r w:rsidRPr="00D65A20">
        <w:rPr>
          <w:rFonts w:ascii="Times New Roman" w:hAnsi="Times New Roman"/>
          <w:b/>
          <w:szCs w:val="22"/>
          <w:lang w:val="pt-BR"/>
        </w:rPr>
        <w:t xml:space="preserve"> </w:t>
      </w:r>
      <w:r w:rsidRPr="00D65A20">
        <w:rPr>
          <w:rFonts w:ascii="Times New Roman" w:hAnsi="Times New Roman"/>
          <w:bCs/>
          <w:szCs w:val="22"/>
          <w:lang w:val="pt-BR"/>
        </w:rPr>
        <w:t>o tráfico de pessoas</w:t>
      </w:r>
      <w:r w:rsidRPr="00D65A20">
        <w:rPr>
          <w:rFonts w:ascii="Times New Roman" w:hAnsi="Times New Roman"/>
          <w:b/>
          <w:szCs w:val="22"/>
          <w:lang w:val="pt-BR"/>
        </w:rPr>
        <w:t xml:space="preserve"> </w:t>
      </w:r>
      <w:r w:rsidRPr="00D65A20">
        <w:rPr>
          <w:rFonts w:ascii="Times New Roman" w:hAnsi="Times New Roman"/>
          <w:szCs w:val="22"/>
          <w:lang w:val="pt-BR"/>
        </w:rPr>
        <w:t>e ajudar e proteger as vítimas desse crime, especialmente as mais vulneráveis.</w:t>
      </w:r>
    </w:p>
    <w:p w14:paraId="6E834187" w14:textId="77777777" w:rsidR="0011327F" w:rsidRPr="00D65A20" w:rsidRDefault="0011327F" w:rsidP="00AA4399">
      <w:pPr>
        <w:widowControl/>
        <w:rPr>
          <w:rFonts w:ascii="Times New Roman" w:hAnsi="Times New Roman"/>
          <w:bCs/>
          <w:szCs w:val="22"/>
          <w:lang w:val="pt-BR"/>
        </w:rPr>
      </w:pPr>
    </w:p>
    <w:p w14:paraId="6E834188" w14:textId="5F442DD9" w:rsidR="0011327F" w:rsidRPr="00D65A20" w:rsidRDefault="0039190A" w:rsidP="00AA4399">
      <w:pPr>
        <w:widowControl/>
        <w:numPr>
          <w:ilvl w:val="0"/>
          <w:numId w:val="19"/>
        </w:numPr>
        <w:ind w:left="0"/>
        <w:rPr>
          <w:rFonts w:ascii="Times New Roman" w:hAnsi="Times New Roman"/>
          <w:bCs/>
          <w:i/>
          <w:szCs w:val="22"/>
          <w:lang w:val="pt-BR"/>
        </w:rPr>
      </w:pPr>
      <w:r w:rsidRPr="00D65A20">
        <w:rPr>
          <w:rFonts w:ascii="Times New Roman" w:hAnsi="Times New Roman"/>
          <w:bCs/>
          <w:szCs w:val="22"/>
          <w:lang w:val="pt-BR"/>
        </w:rPr>
        <w:t xml:space="preserve">Incentivar </w:t>
      </w:r>
      <w:r w:rsidR="0011327F" w:rsidRPr="00D65A20">
        <w:rPr>
          <w:rFonts w:ascii="Times New Roman" w:hAnsi="Times New Roman"/>
          <w:bCs/>
          <w:szCs w:val="22"/>
          <w:lang w:val="pt-BR"/>
        </w:rPr>
        <w:t xml:space="preserve">os Estados membros a que continuem colaborando e compartilhando inteligência e informações a fim de identificar, coibir e desmantelar organizações da criminalidade transnacional, gangues e outros atores envolvidos no tráfico de pessoas e contrabando de migrantes. </w:t>
      </w:r>
    </w:p>
    <w:p w14:paraId="6E834189" w14:textId="77777777" w:rsidR="0011327F" w:rsidRPr="00D65A20" w:rsidRDefault="0011327F" w:rsidP="00AA4399">
      <w:pPr>
        <w:widowControl/>
        <w:suppressAutoHyphens/>
        <w:autoSpaceDN w:val="0"/>
        <w:rPr>
          <w:rFonts w:ascii="Times New Roman" w:hAnsi="Times New Roman"/>
          <w:bCs/>
          <w:szCs w:val="22"/>
          <w:lang w:val="pt-BR"/>
        </w:rPr>
      </w:pPr>
    </w:p>
    <w:p w14:paraId="6E83418A" w14:textId="77777777"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 xml:space="preserve">Integrar medidas de prevenção, com materiais de informação/conscientização, em especial em zonas de </w:t>
      </w:r>
      <w:r w:rsidRPr="00D65A20">
        <w:rPr>
          <w:rFonts w:ascii="Times New Roman" w:hAnsi="Times New Roman"/>
          <w:color w:val="000000"/>
          <w:szCs w:val="22"/>
          <w:lang w:val="pt-BR"/>
        </w:rPr>
        <w:t>fronteira</w:t>
      </w:r>
      <w:r w:rsidRPr="00D65A20">
        <w:rPr>
          <w:rFonts w:ascii="Times New Roman" w:hAnsi="Times New Roman"/>
          <w:bCs/>
          <w:szCs w:val="22"/>
          <w:lang w:val="pt-BR"/>
        </w:rPr>
        <w:t xml:space="preserve"> e em abrigos de migrantes, de forma a alcançar as populações migrantes e outros indivíduos em situação de maior vulnerabilidade frente ao delito do tráfico de pessoas.</w:t>
      </w:r>
    </w:p>
    <w:p w14:paraId="6E83418B" w14:textId="77777777" w:rsidR="0011327F" w:rsidRPr="00D65A20" w:rsidRDefault="0011327F" w:rsidP="00AA4399">
      <w:pPr>
        <w:widowControl/>
        <w:rPr>
          <w:rFonts w:ascii="Times New Roman" w:hAnsi="Times New Roman"/>
          <w:bCs/>
          <w:szCs w:val="22"/>
          <w:lang w:val="pt-BR"/>
        </w:rPr>
      </w:pPr>
    </w:p>
    <w:p w14:paraId="6E83418C" w14:textId="77777777"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Estimular o intercâmbio de boas práticas e lições aprendidas sobre a coleta regular e contínua de dados criminais e biométricos, identificação de rotas e gestão das informações.</w:t>
      </w:r>
    </w:p>
    <w:p w14:paraId="6E83418D" w14:textId="77777777" w:rsidR="0011327F" w:rsidRPr="00D65A20" w:rsidRDefault="0011327F" w:rsidP="00AA4399">
      <w:pPr>
        <w:widowControl/>
        <w:rPr>
          <w:rFonts w:ascii="Times New Roman" w:hAnsi="Times New Roman"/>
          <w:szCs w:val="22"/>
          <w:lang w:val="pt-BR"/>
        </w:rPr>
      </w:pPr>
    </w:p>
    <w:p w14:paraId="6E83418E" w14:textId="74BD02A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Agradecer ao Governo da Argentina a contribuição financeira para a continuação da formulação da </w:t>
      </w:r>
      <w:r w:rsidRPr="00D65A20">
        <w:rPr>
          <w:rFonts w:ascii="Times New Roman" w:hAnsi="Times New Roman"/>
          <w:color w:val="000000"/>
          <w:szCs w:val="22"/>
          <w:lang w:val="pt-BR"/>
        </w:rPr>
        <w:t>Plataforma</w:t>
      </w:r>
      <w:r w:rsidRPr="00D65A20">
        <w:rPr>
          <w:rFonts w:ascii="Times New Roman" w:hAnsi="Times New Roman"/>
          <w:szCs w:val="22"/>
          <w:lang w:val="pt-BR"/>
        </w:rPr>
        <w:t xml:space="preserve"> de Conhecimento sobre o Tráfico de Pessoas, a ser hospedada no </w:t>
      </w:r>
      <w:r w:rsidRPr="00D65A20">
        <w:rPr>
          <w:rFonts w:ascii="Times New Roman" w:hAnsi="Times New Roman"/>
          <w:i/>
          <w:szCs w:val="22"/>
          <w:lang w:val="pt-BR"/>
        </w:rPr>
        <w:t xml:space="preserve">site </w:t>
      </w:r>
      <w:r w:rsidRPr="00D65A20">
        <w:rPr>
          <w:rFonts w:ascii="Times New Roman" w:hAnsi="Times New Roman"/>
          <w:szCs w:val="22"/>
          <w:lang w:val="pt-BR"/>
        </w:rPr>
        <w:t xml:space="preserve">da Rede Interamericana de Prevenção da Violência e do </w:t>
      </w:r>
      <w:r w:rsidR="007F5381" w:rsidRPr="00D65A20">
        <w:rPr>
          <w:rFonts w:ascii="Times New Roman" w:hAnsi="Times New Roman"/>
          <w:szCs w:val="22"/>
          <w:lang w:val="pt-BR"/>
        </w:rPr>
        <w:t>Crime</w:t>
      </w:r>
      <w:r w:rsidRPr="00D65A20">
        <w:rPr>
          <w:rFonts w:ascii="Times New Roman" w:hAnsi="Times New Roman"/>
          <w:szCs w:val="22"/>
          <w:lang w:val="pt-BR"/>
        </w:rPr>
        <w:t>, e convidar os Estados membros a que contribuam financeiramente para sua manutenção.</w:t>
      </w:r>
    </w:p>
    <w:p w14:paraId="6E83418F" w14:textId="77777777" w:rsidR="0011327F" w:rsidRPr="00D65A20" w:rsidRDefault="0011327F" w:rsidP="00AA4399">
      <w:pPr>
        <w:widowControl/>
        <w:rPr>
          <w:rFonts w:ascii="Times New Roman" w:hAnsi="Times New Roman"/>
          <w:szCs w:val="22"/>
          <w:lang w:val="pt-BR"/>
        </w:rPr>
      </w:pPr>
    </w:p>
    <w:p w14:paraId="6E834190" w14:textId="121BAEBE"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 xml:space="preserve">Encarregar o DSP de, em coordenação com o DCOT, preparar e encaminhar aos Estados membros um questionário para a coleta de informações que sirvam de base para a elaboração do Segundo Relatório de </w:t>
      </w:r>
      <w:r w:rsidR="007F5381" w:rsidRPr="00D65A20">
        <w:rPr>
          <w:rFonts w:ascii="Times New Roman" w:hAnsi="Times New Roman"/>
          <w:bCs/>
          <w:szCs w:val="22"/>
          <w:lang w:val="pt-BR"/>
        </w:rPr>
        <w:t xml:space="preserve">Progresso </w:t>
      </w:r>
      <w:r w:rsidRPr="00D65A20">
        <w:rPr>
          <w:rFonts w:ascii="Times New Roman" w:hAnsi="Times New Roman"/>
          <w:bCs/>
          <w:szCs w:val="22"/>
          <w:lang w:val="pt-BR"/>
        </w:rPr>
        <w:t xml:space="preserve">correspondente ao Segundo Plano de Trabalho contra o Tráfico </w:t>
      </w:r>
      <w:r w:rsidRPr="00D65A20">
        <w:rPr>
          <w:rFonts w:ascii="Times New Roman" w:hAnsi="Times New Roman"/>
          <w:bCs/>
          <w:szCs w:val="22"/>
          <w:lang w:val="pt-BR"/>
        </w:rPr>
        <w:lastRenderedPageBreak/>
        <w:t xml:space="preserve">de Pessoas no Hemisfério </w:t>
      </w:r>
      <w:r w:rsidRPr="00D65A20">
        <w:rPr>
          <w:rFonts w:ascii="Times New Roman" w:hAnsi="Times New Roman"/>
          <w:color w:val="000000"/>
          <w:szCs w:val="22"/>
          <w:lang w:val="pt-BR"/>
        </w:rPr>
        <w:t>Ocidental</w:t>
      </w:r>
      <w:r w:rsidRPr="00D65A20">
        <w:rPr>
          <w:rFonts w:ascii="Times New Roman" w:hAnsi="Times New Roman"/>
          <w:bCs/>
          <w:szCs w:val="22"/>
          <w:lang w:val="pt-BR"/>
        </w:rPr>
        <w:t xml:space="preserve"> 2015-2020 </w:t>
      </w:r>
      <w:r w:rsidRPr="00D65A20">
        <w:rPr>
          <w:rFonts w:ascii="Times New Roman" w:hAnsi="Times New Roman"/>
          <w:szCs w:val="22"/>
          <w:lang w:val="pt-BR"/>
        </w:rPr>
        <w:t>e instar os Estados membros a que forneçam essas informações</w:t>
      </w:r>
      <w:r w:rsidRPr="00D65A20">
        <w:rPr>
          <w:rFonts w:ascii="Times New Roman" w:hAnsi="Times New Roman"/>
          <w:bCs/>
          <w:szCs w:val="22"/>
          <w:lang w:val="pt-BR"/>
        </w:rPr>
        <w:t xml:space="preserve">. </w:t>
      </w:r>
    </w:p>
    <w:p w14:paraId="6E834191"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szCs w:val="22"/>
          <w:lang w:val="pt-BR"/>
        </w:rPr>
      </w:pPr>
    </w:p>
    <w:p w14:paraId="6E834192" w14:textId="4B0B5C0E"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 xml:space="preserve">Agradecer o oferecimento do Governo da Argentina para presidir a Sexta Reunião de Autoridades Nacionais em </w:t>
      </w:r>
      <w:r w:rsidRPr="00D65A20">
        <w:rPr>
          <w:rFonts w:ascii="Times New Roman" w:hAnsi="Times New Roman"/>
          <w:color w:val="000000"/>
          <w:szCs w:val="22"/>
          <w:lang w:val="pt-BR"/>
        </w:rPr>
        <w:t>Matéria</w:t>
      </w:r>
      <w:r w:rsidRPr="00D65A20">
        <w:rPr>
          <w:rFonts w:ascii="Times New Roman" w:hAnsi="Times New Roman"/>
          <w:bCs/>
          <w:szCs w:val="22"/>
          <w:lang w:val="pt-BR"/>
        </w:rPr>
        <w:t xml:space="preserve"> de Tráfico de Pessoas que será levada a cabo </w:t>
      </w:r>
      <w:r w:rsidR="00DC64CC" w:rsidRPr="00D65A20">
        <w:rPr>
          <w:rFonts w:ascii="Times New Roman" w:hAnsi="Times New Roman"/>
          <w:bCs/>
          <w:szCs w:val="22"/>
          <w:lang w:val="pt-BR"/>
        </w:rPr>
        <w:t xml:space="preserve">por meio virtual </w:t>
      </w:r>
      <w:r w:rsidRPr="00D65A20">
        <w:rPr>
          <w:rFonts w:ascii="Times New Roman" w:hAnsi="Times New Roman"/>
          <w:bCs/>
          <w:szCs w:val="22"/>
          <w:lang w:val="pt-BR"/>
        </w:rPr>
        <w:t>no segundo semestre de 2020 e solicitar à Secretaria-Geral que, por meio do DSP e do DCOT, ofereça a assistência e o apoio técnico necessários para a sua realização.</w:t>
      </w:r>
    </w:p>
    <w:p w14:paraId="6E834193" w14:textId="77777777" w:rsidR="0011327F" w:rsidRPr="00D65A20" w:rsidRDefault="0011327F" w:rsidP="00AA4399">
      <w:pPr>
        <w:widowControl/>
        <w:rPr>
          <w:rFonts w:ascii="Times New Roman" w:hAnsi="Times New Roman"/>
          <w:bCs/>
          <w:szCs w:val="22"/>
          <w:lang w:val="pt-BR"/>
        </w:rPr>
      </w:pPr>
    </w:p>
    <w:p w14:paraId="6E834194" w14:textId="4F38DF77"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 xml:space="preserve">Acolher as diretrizes emitidas pela Secretaria-Geral para prevenir o tráfico de pessoas nas compras da Organização: Modificação das Regras dos Contratos por Resultados da Secretaria-Geral para Reforçar a Proteção contra o Tráfico de Pessoas e Modificação das Regras dos Contratos de Compras da </w:t>
      </w:r>
      <w:r w:rsidRPr="00D65A20">
        <w:rPr>
          <w:rFonts w:ascii="Times New Roman" w:hAnsi="Times New Roman"/>
          <w:color w:val="000000"/>
          <w:szCs w:val="22"/>
          <w:lang w:val="pt-BR"/>
        </w:rPr>
        <w:t>Secretaria</w:t>
      </w:r>
      <w:r w:rsidRPr="00D65A20">
        <w:rPr>
          <w:rFonts w:ascii="Times New Roman" w:hAnsi="Times New Roman"/>
          <w:bCs/>
          <w:szCs w:val="22"/>
          <w:lang w:val="pt-BR"/>
        </w:rPr>
        <w:t xml:space="preserve">-Geral para Reforçar a Proteção contra o Tráfico de Pessoas. </w:t>
      </w:r>
    </w:p>
    <w:p w14:paraId="6E834195" w14:textId="77777777" w:rsidR="0011327F" w:rsidRPr="00D65A20" w:rsidRDefault="0011327F" w:rsidP="00AA4399">
      <w:pPr>
        <w:widowControl/>
        <w:rPr>
          <w:rFonts w:ascii="Times New Roman" w:hAnsi="Times New Roman"/>
          <w:bCs/>
          <w:szCs w:val="22"/>
          <w:lang w:val="pt-BR"/>
        </w:rPr>
      </w:pPr>
    </w:p>
    <w:p w14:paraId="6E834196" w14:textId="77777777" w:rsidR="0011327F" w:rsidRPr="00D65A20" w:rsidRDefault="0011327F" w:rsidP="00AA4399">
      <w:pPr>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color w:val="000000"/>
          <w:szCs w:val="22"/>
          <w:u w:val="single"/>
          <w:lang w:val="pt-BR"/>
        </w:rPr>
      </w:pPr>
      <w:r w:rsidRPr="00D65A20">
        <w:rPr>
          <w:rFonts w:ascii="Times New Roman" w:hAnsi="Times New Roman"/>
          <w:color w:val="000000"/>
          <w:szCs w:val="22"/>
          <w:u w:val="single"/>
          <w:lang w:val="pt-BR"/>
        </w:rPr>
        <w:t>Tráfico ilícito de armas pequenas e armamento leve em todos os seus aspectos</w:t>
      </w:r>
      <w:r w:rsidRPr="00D65A20">
        <w:rPr>
          <w:rFonts w:ascii="Times New Roman" w:hAnsi="Times New Roman"/>
          <w:color w:val="000000"/>
          <w:szCs w:val="22"/>
          <w:lang w:val="pt-BR"/>
        </w:rPr>
        <w:t xml:space="preserve"> </w:t>
      </w:r>
      <w:r w:rsidRPr="00D65A20">
        <w:rPr>
          <w:rFonts w:ascii="Times New Roman" w:hAnsi="Times New Roman"/>
          <w:szCs w:val="22"/>
          <w:u w:val="single"/>
          <w:vertAlign w:val="superscript"/>
          <w:lang w:val="pt-BR"/>
        </w:rPr>
        <w:footnoteReference w:id="21"/>
      </w:r>
      <w:r w:rsidRPr="009C048C">
        <w:rPr>
          <w:rFonts w:ascii="Times New Roman" w:hAnsi="Times New Roman"/>
          <w:color w:val="000000"/>
          <w:szCs w:val="22"/>
          <w:vertAlign w:val="superscript"/>
          <w:lang w:val="pt-BR"/>
        </w:rPr>
        <w:t>/</w:t>
      </w:r>
    </w:p>
    <w:p w14:paraId="6E834197" w14:textId="77777777" w:rsidR="0011327F" w:rsidRPr="00D65A20" w:rsidRDefault="0011327F" w:rsidP="00AA4399">
      <w:pPr>
        <w:widowControl/>
        <w:rPr>
          <w:rFonts w:ascii="Times New Roman" w:hAnsi="Times New Roman"/>
          <w:color w:val="000000"/>
          <w:szCs w:val="22"/>
          <w:u w:val="single"/>
          <w:lang w:val="pt-BR"/>
        </w:rPr>
      </w:pPr>
    </w:p>
    <w:p w14:paraId="6E834198" w14:textId="1D3A8104" w:rsidR="0011327F" w:rsidRPr="00D65A20" w:rsidRDefault="0011327F" w:rsidP="00AA4399">
      <w:pPr>
        <w:widowControl/>
        <w:numPr>
          <w:ilvl w:val="0"/>
          <w:numId w:val="19"/>
        </w:numPr>
        <w:ind w:left="0"/>
        <w:rPr>
          <w:rFonts w:ascii="Times New Roman" w:hAnsi="Times New Roman"/>
          <w:szCs w:val="22"/>
          <w:lang w:val="pt-BR" w:eastAsia="pt-BR"/>
        </w:rPr>
      </w:pPr>
      <w:r w:rsidRPr="00D65A20">
        <w:rPr>
          <w:rFonts w:ascii="Times New Roman" w:hAnsi="Times New Roman"/>
          <w:szCs w:val="22"/>
          <w:lang w:val="pt-BR"/>
        </w:rPr>
        <w:t xml:space="preserve">Convidar os Estados </w:t>
      </w:r>
      <w:r w:rsidR="002F2445" w:rsidRPr="00D65A20">
        <w:rPr>
          <w:rFonts w:ascii="Times New Roman" w:hAnsi="Times New Roman"/>
          <w:szCs w:val="22"/>
          <w:lang w:val="pt-BR"/>
        </w:rPr>
        <w:t>membros</w:t>
      </w:r>
      <w:r w:rsidRPr="00D65A20">
        <w:rPr>
          <w:rFonts w:ascii="Times New Roman" w:hAnsi="Times New Roman"/>
          <w:szCs w:val="22"/>
          <w:lang w:val="pt-BR"/>
        </w:rPr>
        <w:t xml:space="preserve"> a que promovam o intercâmbio de informações e experiências no âmbito do projeto “</w:t>
      </w:r>
      <w:r w:rsidRPr="00D65A20">
        <w:rPr>
          <w:rFonts w:ascii="Times New Roman" w:eastAsia="MS Mincho" w:hAnsi="Times New Roman"/>
          <w:color w:val="000000"/>
          <w:szCs w:val="22"/>
          <w:lang w:val="pt-BR" w:eastAsia="es-ES_tradnl"/>
        </w:rPr>
        <w:t>Apoio</w:t>
      </w:r>
      <w:r w:rsidRPr="00D65A20">
        <w:rPr>
          <w:rFonts w:ascii="Times New Roman" w:hAnsi="Times New Roman"/>
          <w:szCs w:val="22"/>
          <w:lang w:val="pt-BR"/>
        </w:rPr>
        <w:t xml:space="preserve"> à luta </w:t>
      </w:r>
      <w:r w:rsidRPr="00D65A20">
        <w:rPr>
          <w:rFonts w:ascii="Times New Roman" w:hAnsi="Times New Roman"/>
          <w:color w:val="000000"/>
          <w:szCs w:val="22"/>
          <w:lang w:val="pt-BR"/>
        </w:rPr>
        <w:t>contra</w:t>
      </w:r>
      <w:r w:rsidRPr="00D65A20">
        <w:rPr>
          <w:rFonts w:ascii="Times New Roman" w:hAnsi="Times New Roman"/>
          <w:szCs w:val="22"/>
          <w:lang w:val="pt-BR"/>
        </w:rPr>
        <w:t xml:space="preserve"> a proliferação e o tráfico ilícitos de armas pequenas e armamento leve (APAL) e suas munições e seu impacto na América Latina e no Caribe”</w:t>
      </w:r>
      <w:r w:rsidR="002F2445" w:rsidRPr="00D65A20">
        <w:rPr>
          <w:rFonts w:ascii="Times New Roman" w:hAnsi="Times New Roman"/>
          <w:szCs w:val="22"/>
          <w:lang w:val="pt-BR"/>
        </w:rPr>
        <w:t>;</w:t>
      </w:r>
      <w:r w:rsidRPr="00D65A20">
        <w:rPr>
          <w:rFonts w:ascii="Times New Roman" w:hAnsi="Times New Roman"/>
          <w:szCs w:val="22"/>
          <w:lang w:val="pt-BR"/>
        </w:rPr>
        <w:t xml:space="preserve"> a que encaminhem as informações requeridas nos questionários enviados por meio das missões permanentes, relacionados ao mencionado projeto</w:t>
      </w:r>
      <w:r w:rsidR="002F2445" w:rsidRPr="00D65A20">
        <w:rPr>
          <w:rFonts w:ascii="Times New Roman" w:hAnsi="Times New Roman"/>
          <w:szCs w:val="22"/>
          <w:lang w:val="pt-BR"/>
        </w:rPr>
        <w:t>;</w:t>
      </w:r>
      <w:r w:rsidRPr="00D65A20">
        <w:rPr>
          <w:rFonts w:ascii="Times New Roman" w:hAnsi="Times New Roman"/>
          <w:szCs w:val="22"/>
          <w:lang w:val="pt-BR"/>
        </w:rPr>
        <w:t xml:space="preserve"> e </w:t>
      </w:r>
      <w:r w:rsidRPr="00D65A20">
        <w:rPr>
          <w:rFonts w:ascii="Times New Roman" w:hAnsi="Times New Roman"/>
          <w:color w:val="201F1E"/>
          <w:szCs w:val="22"/>
          <w:bdr w:val="none" w:sz="0" w:space="0" w:color="auto" w:frame="1"/>
          <w:shd w:val="clear" w:color="auto" w:fill="FFFFFF"/>
          <w:lang w:val="pt-BR"/>
        </w:rPr>
        <w:t xml:space="preserve">a que designem um ponto focal para ter acesso e participar ativamente da Rede Virtual de </w:t>
      </w:r>
      <w:r w:rsidR="005C5E85" w:rsidRPr="00D65A20">
        <w:rPr>
          <w:rFonts w:ascii="Times New Roman" w:hAnsi="Times New Roman"/>
          <w:color w:val="201F1E"/>
          <w:szCs w:val="22"/>
          <w:bdr w:val="none" w:sz="0" w:space="0" w:color="auto" w:frame="1"/>
          <w:shd w:val="clear" w:color="auto" w:fill="FFFFFF"/>
          <w:lang w:val="pt-BR"/>
        </w:rPr>
        <w:t xml:space="preserve">Intercâmbio de </w:t>
      </w:r>
      <w:r w:rsidRPr="00D65A20">
        <w:rPr>
          <w:rFonts w:ascii="Times New Roman" w:hAnsi="Times New Roman"/>
          <w:color w:val="201F1E"/>
          <w:szCs w:val="22"/>
          <w:bdr w:val="none" w:sz="0" w:space="0" w:color="auto" w:frame="1"/>
          <w:shd w:val="clear" w:color="auto" w:fill="FFFFFF"/>
          <w:lang w:val="pt-BR"/>
        </w:rPr>
        <w:t xml:space="preserve">Informações sobre Tráfico Ilícito </w:t>
      </w:r>
      <w:r w:rsidR="005C5E85" w:rsidRPr="00D65A20">
        <w:rPr>
          <w:rFonts w:ascii="Times New Roman" w:hAnsi="Times New Roman"/>
          <w:color w:val="201F1E"/>
          <w:szCs w:val="22"/>
          <w:bdr w:val="none" w:sz="0" w:space="0" w:color="auto" w:frame="1"/>
          <w:shd w:val="clear" w:color="auto" w:fill="FFFFFF"/>
          <w:lang w:val="pt-BR"/>
        </w:rPr>
        <w:t xml:space="preserve">e Atividades de Fabricação </w:t>
      </w:r>
      <w:r w:rsidRPr="00D65A20">
        <w:rPr>
          <w:rFonts w:ascii="Times New Roman" w:hAnsi="Times New Roman"/>
          <w:color w:val="201F1E"/>
          <w:szCs w:val="22"/>
          <w:bdr w:val="none" w:sz="0" w:space="0" w:color="auto" w:frame="1"/>
          <w:shd w:val="clear" w:color="auto" w:fill="FFFFFF"/>
          <w:lang w:val="pt-BR"/>
        </w:rPr>
        <w:t>de Armas Pequenas e Armamento Leve.</w:t>
      </w:r>
      <w:r w:rsidRPr="00D65A20">
        <w:rPr>
          <w:rFonts w:ascii="Times New Roman" w:hAnsi="Times New Roman"/>
          <w:szCs w:val="22"/>
          <w:u w:val="single"/>
          <w:bdr w:val="none" w:sz="0" w:space="0" w:color="auto" w:frame="1"/>
          <w:shd w:val="clear" w:color="auto" w:fill="FFFFFF"/>
          <w:vertAlign w:val="superscript"/>
          <w:lang w:val="pt-BR"/>
        </w:rPr>
        <w:footnoteReference w:id="22"/>
      </w:r>
      <w:r w:rsidRPr="00D65A20">
        <w:rPr>
          <w:rFonts w:ascii="Times New Roman" w:hAnsi="Times New Roman"/>
          <w:color w:val="201F1E"/>
          <w:szCs w:val="22"/>
          <w:bdr w:val="none" w:sz="0" w:space="0" w:color="auto" w:frame="1"/>
          <w:shd w:val="clear" w:color="auto" w:fill="FFFFFF"/>
          <w:vertAlign w:val="superscript"/>
          <w:lang w:val="pt-BR"/>
        </w:rPr>
        <w:t>/</w:t>
      </w:r>
    </w:p>
    <w:p w14:paraId="6E834199"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16"/>
          <w:szCs w:val="22"/>
          <w:lang w:val="pt-BR"/>
        </w:rPr>
      </w:pPr>
    </w:p>
    <w:p w14:paraId="6E83419A" w14:textId="19EF595C" w:rsidR="0011327F" w:rsidRPr="00D65A20" w:rsidRDefault="0011327F" w:rsidP="00AA4399">
      <w:pPr>
        <w:widowControl/>
        <w:numPr>
          <w:ilvl w:val="0"/>
          <w:numId w:val="19"/>
        </w:numPr>
        <w:ind w:left="0"/>
        <w:rPr>
          <w:rFonts w:ascii="Times New Roman" w:eastAsia="MS Mincho" w:hAnsi="Times New Roman"/>
          <w:color w:val="000000"/>
          <w:szCs w:val="22"/>
          <w:lang w:val="pt-BR" w:eastAsia="es-ES_tradnl"/>
        </w:rPr>
      </w:pPr>
      <w:r w:rsidRPr="00D65A20">
        <w:rPr>
          <w:rFonts w:ascii="Times New Roman" w:eastAsia="MS Mincho" w:hAnsi="Times New Roman"/>
          <w:color w:val="000000"/>
          <w:szCs w:val="22"/>
          <w:lang w:val="pt-BR" w:eastAsia="es-ES_tradnl"/>
        </w:rPr>
        <w:t>Solicitar à SSM</w:t>
      </w:r>
      <w:r w:rsidR="002F2445" w:rsidRPr="00D65A20">
        <w:rPr>
          <w:rFonts w:ascii="Times New Roman" w:eastAsia="MS Mincho" w:hAnsi="Times New Roman"/>
          <w:color w:val="000000"/>
          <w:szCs w:val="22"/>
          <w:lang w:val="pt-BR" w:eastAsia="es-ES_tradnl"/>
        </w:rPr>
        <w:t xml:space="preserve"> que</w:t>
      </w:r>
      <w:r w:rsidRPr="00D65A20">
        <w:rPr>
          <w:rFonts w:ascii="Times New Roman" w:eastAsia="MS Mincho" w:hAnsi="Times New Roman"/>
          <w:color w:val="000000"/>
          <w:szCs w:val="22"/>
          <w:lang w:val="pt-BR" w:eastAsia="es-ES_tradnl"/>
        </w:rPr>
        <w:t xml:space="preserve">, por intermédio do DSP e do DCOT, preste assistência técnica a pedido dos Estados membros </w:t>
      </w:r>
      <w:r w:rsidRPr="00D65A20">
        <w:rPr>
          <w:rFonts w:ascii="Times New Roman" w:hAnsi="Times New Roman"/>
          <w:color w:val="000000"/>
          <w:szCs w:val="22"/>
          <w:lang w:val="pt-BR"/>
        </w:rPr>
        <w:t>para</w:t>
      </w:r>
      <w:r w:rsidRPr="00D65A20">
        <w:rPr>
          <w:rFonts w:ascii="Times New Roman" w:eastAsia="MS Mincho" w:hAnsi="Times New Roman"/>
          <w:color w:val="000000"/>
          <w:szCs w:val="22"/>
          <w:lang w:val="pt-BR" w:eastAsia="es-ES_tradnl"/>
        </w:rPr>
        <w:t xml:space="preserve"> melhorar ou fortalecer a capacidade institucional desses Estados de </w:t>
      </w:r>
      <w:r w:rsidRPr="00D65A20">
        <w:rPr>
          <w:rFonts w:ascii="Times New Roman" w:hAnsi="Times New Roman"/>
          <w:szCs w:val="22"/>
          <w:lang w:val="pt-BR"/>
        </w:rPr>
        <w:t xml:space="preserve">prevenir e </w:t>
      </w:r>
      <w:r w:rsidRPr="00D65A20">
        <w:rPr>
          <w:rFonts w:ascii="Times New Roman" w:hAnsi="Times New Roman"/>
          <w:color w:val="000000"/>
          <w:szCs w:val="22"/>
          <w:lang w:val="pt-BR"/>
        </w:rPr>
        <w:t>combater o tráfico ilícito de armas pequenas e armamento leve</w:t>
      </w:r>
      <w:r w:rsidRPr="00D65A20">
        <w:rPr>
          <w:rFonts w:ascii="Times New Roman" w:hAnsi="Times New Roman"/>
          <w:szCs w:val="22"/>
          <w:lang w:val="pt-BR"/>
        </w:rPr>
        <w:t xml:space="preserve"> e suas munições</w:t>
      </w:r>
      <w:r w:rsidRPr="00D65A20">
        <w:rPr>
          <w:rFonts w:ascii="Times New Roman" w:eastAsia="MS Mincho" w:hAnsi="Times New Roman"/>
          <w:color w:val="000000"/>
          <w:szCs w:val="22"/>
          <w:lang w:val="pt-BR" w:eastAsia="es-ES_tradnl"/>
        </w:rPr>
        <w:t>.</w:t>
      </w:r>
    </w:p>
    <w:p w14:paraId="6E83419B" w14:textId="77777777" w:rsidR="0011327F" w:rsidRPr="00D65A20" w:rsidRDefault="0011327F" w:rsidP="00AA4399">
      <w:pPr>
        <w:widowControl/>
        <w:rPr>
          <w:rFonts w:ascii="Times New Roman" w:eastAsia="MS Mincho" w:hAnsi="Times New Roman"/>
          <w:color w:val="000000"/>
          <w:szCs w:val="22"/>
          <w:lang w:val="pt-BR" w:eastAsia="es-ES_tradnl"/>
        </w:rPr>
      </w:pPr>
    </w:p>
    <w:p w14:paraId="6E83419C" w14:textId="7A8A686F" w:rsidR="0011327F" w:rsidRPr="00D65A20" w:rsidRDefault="0011327F" w:rsidP="00AA4399">
      <w:pPr>
        <w:widowControl/>
        <w:numPr>
          <w:ilvl w:val="0"/>
          <w:numId w:val="19"/>
        </w:numPr>
        <w:ind w:left="0"/>
        <w:rPr>
          <w:rFonts w:ascii="Times New Roman" w:hAnsi="Times New Roman"/>
          <w:bCs/>
          <w:color w:val="000000"/>
          <w:szCs w:val="22"/>
          <w:lang w:val="pt-BR"/>
        </w:rPr>
      </w:pPr>
      <w:r w:rsidRPr="00D65A20">
        <w:rPr>
          <w:rFonts w:ascii="Times New Roman" w:hAnsi="Times New Roman"/>
          <w:bCs/>
          <w:color w:val="000000"/>
          <w:szCs w:val="22"/>
          <w:lang w:val="pt-BR"/>
        </w:rPr>
        <w:t xml:space="preserve">Encarregar a SSM de, </w:t>
      </w:r>
      <w:r w:rsidRPr="00D65A20">
        <w:rPr>
          <w:rFonts w:ascii="Times New Roman" w:hAnsi="Times New Roman"/>
          <w:color w:val="000000"/>
          <w:szCs w:val="22"/>
          <w:lang w:val="pt-BR"/>
        </w:rPr>
        <w:t>por</w:t>
      </w:r>
      <w:r w:rsidRPr="00D65A20">
        <w:rPr>
          <w:rFonts w:ascii="Times New Roman" w:hAnsi="Times New Roman"/>
          <w:bCs/>
          <w:color w:val="000000"/>
          <w:szCs w:val="22"/>
          <w:lang w:val="pt-BR"/>
        </w:rPr>
        <w:t xml:space="preserve"> meio do DSP, continuar apoiando os Estados membros que o solicitarem no fortalecimento das suas capacidades institucionais em matéria de segurança física e gestão de arsenais; na marcação, manutenção de registro e rastreamento de armas; na destruição de armas e munições; na prevenção da violência armada; no desenvolvimento e implementação de ferramentas que facilitem o intercâmbio de informações na matéria; e na assistência jurídica </w:t>
      </w:r>
      <w:r w:rsidR="002F2445" w:rsidRPr="00D65A20">
        <w:rPr>
          <w:rFonts w:ascii="Times New Roman" w:hAnsi="Times New Roman"/>
          <w:bCs/>
          <w:color w:val="000000"/>
          <w:szCs w:val="22"/>
          <w:lang w:val="pt-BR"/>
        </w:rPr>
        <w:t xml:space="preserve">para harmonizar </w:t>
      </w:r>
      <w:r w:rsidRPr="00D65A20">
        <w:rPr>
          <w:rFonts w:ascii="Times New Roman" w:hAnsi="Times New Roman"/>
          <w:bCs/>
          <w:color w:val="000000"/>
          <w:szCs w:val="22"/>
          <w:lang w:val="pt-BR"/>
        </w:rPr>
        <w:t xml:space="preserve">a legislação interna </w:t>
      </w:r>
      <w:r w:rsidR="002F2445" w:rsidRPr="00D65A20">
        <w:rPr>
          <w:rFonts w:ascii="Times New Roman" w:hAnsi="Times New Roman"/>
          <w:bCs/>
          <w:color w:val="000000"/>
          <w:szCs w:val="22"/>
          <w:lang w:val="pt-BR"/>
        </w:rPr>
        <w:t>na matéria de acordo</w:t>
      </w:r>
      <w:r w:rsidRPr="00D65A20">
        <w:rPr>
          <w:rFonts w:ascii="Times New Roman" w:hAnsi="Times New Roman"/>
          <w:bCs/>
          <w:color w:val="000000"/>
          <w:szCs w:val="22"/>
          <w:lang w:val="pt-BR"/>
        </w:rPr>
        <w:t xml:space="preserve"> com as normas internacionais.</w:t>
      </w:r>
    </w:p>
    <w:p w14:paraId="6E83419D" w14:textId="77777777" w:rsidR="0011327F" w:rsidRPr="00D65A20" w:rsidRDefault="0011327F" w:rsidP="00AA4399">
      <w:pPr>
        <w:widowControl/>
        <w:rPr>
          <w:rFonts w:ascii="Times New Roman" w:hAnsi="Times New Roman"/>
          <w:bCs/>
          <w:color w:val="000000"/>
          <w:szCs w:val="22"/>
          <w:lang w:val="pt-BR"/>
        </w:rPr>
      </w:pPr>
    </w:p>
    <w:p w14:paraId="6E83419E" w14:textId="2AD553D3" w:rsidR="0011327F" w:rsidRPr="00D65A20" w:rsidRDefault="0011327F" w:rsidP="00AA4399">
      <w:pPr>
        <w:widowControl/>
        <w:numPr>
          <w:ilvl w:val="0"/>
          <w:numId w:val="19"/>
        </w:numPr>
        <w:ind w:left="0"/>
        <w:rPr>
          <w:rFonts w:ascii="Times New Roman" w:eastAsia="MS Mincho" w:hAnsi="Times New Roman"/>
          <w:bCs/>
          <w:color w:val="000000"/>
          <w:szCs w:val="22"/>
          <w:lang w:val="pt-BR" w:eastAsia="es-ES_tradnl"/>
        </w:rPr>
      </w:pPr>
      <w:r w:rsidRPr="00D65A20">
        <w:rPr>
          <w:rFonts w:ascii="Times New Roman" w:hAnsi="Times New Roman"/>
          <w:bCs/>
          <w:color w:val="000000"/>
          <w:szCs w:val="22"/>
          <w:lang w:val="pt-BR"/>
        </w:rPr>
        <w:t xml:space="preserve">Convidar os Estados membros a que colaborem com a execução do estudo hemisférico sobre tráfico ilícito de armas pequenas, armamento leve e munições no Hemisfério mediante o envio oportuno de informações </w:t>
      </w:r>
      <w:r w:rsidRPr="00D65A20">
        <w:rPr>
          <w:rFonts w:ascii="Times New Roman" w:hAnsi="Times New Roman"/>
          <w:color w:val="000000"/>
          <w:szCs w:val="22"/>
          <w:lang w:val="pt-BR"/>
        </w:rPr>
        <w:t>solicitadas</w:t>
      </w:r>
      <w:r w:rsidRPr="00D65A20">
        <w:rPr>
          <w:rFonts w:ascii="Times New Roman" w:hAnsi="Times New Roman"/>
          <w:bCs/>
          <w:color w:val="000000"/>
          <w:szCs w:val="22"/>
          <w:lang w:val="pt-BR"/>
        </w:rPr>
        <w:t xml:space="preserve"> em questionários e ferramentas de coleta, e solicitar à SSM que, por meio do DSP e </w:t>
      </w:r>
      <w:r w:rsidR="00BA3C43" w:rsidRPr="00D65A20">
        <w:rPr>
          <w:rFonts w:ascii="Times New Roman" w:hAnsi="Times New Roman"/>
          <w:bCs/>
          <w:color w:val="000000"/>
          <w:szCs w:val="22"/>
          <w:lang w:val="pt-BR"/>
        </w:rPr>
        <w:t xml:space="preserve">do </w:t>
      </w:r>
      <w:r w:rsidRPr="00D65A20">
        <w:rPr>
          <w:rFonts w:ascii="Times New Roman" w:hAnsi="Times New Roman"/>
          <w:bCs/>
          <w:color w:val="000000"/>
          <w:szCs w:val="22"/>
          <w:lang w:val="pt-BR"/>
        </w:rPr>
        <w:t>DCOT, informe semestralmente à CSH no período 2020-2021 e anualmente às reuniões da Comissão Consultiva da CIFTA sobre os avanços na elaboração do mencionado estudo</w:t>
      </w:r>
      <w:r w:rsidR="002F2445" w:rsidRPr="00D65A20">
        <w:rPr>
          <w:rFonts w:ascii="Times New Roman" w:hAnsi="Times New Roman"/>
          <w:bCs/>
          <w:color w:val="000000"/>
          <w:szCs w:val="22"/>
          <w:lang w:val="pt-BR"/>
        </w:rPr>
        <w:t>,</w:t>
      </w:r>
      <w:r w:rsidRPr="00D65A20">
        <w:rPr>
          <w:rFonts w:ascii="Times New Roman" w:hAnsi="Times New Roman"/>
          <w:bCs/>
          <w:color w:val="000000"/>
          <w:szCs w:val="22"/>
          <w:lang w:val="pt-BR"/>
        </w:rPr>
        <w:t xml:space="preserve"> com o propósito de determinar ameaças e desafios e incluir recomendações para </w:t>
      </w:r>
      <w:r w:rsidRPr="00D65A20">
        <w:rPr>
          <w:rFonts w:ascii="Times New Roman" w:hAnsi="Times New Roman"/>
          <w:bCs/>
          <w:color w:val="000000"/>
          <w:szCs w:val="22"/>
          <w:lang w:val="pt-BR"/>
        </w:rPr>
        <w:lastRenderedPageBreak/>
        <w:t xml:space="preserve">a ação dos Estados membros no fortalecimento do combate e da prevenção do tráfico ilícito de armas pequenas, armamento leve e munições. </w:t>
      </w:r>
    </w:p>
    <w:p w14:paraId="6E8341A0" w14:textId="77777777" w:rsidR="00133E6E" w:rsidRPr="00D65A20" w:rsidRDefault="00133E6E" w:rsidP="00BA2F8E">
      <w:pPr>
        <w:widowControl/>
        <w:rPr>
          <w:rFonts w:ascii="Times New Roman" w:eastAsia="MS Mincho" w:hAnsi="Times New Roman"/>
          <w:bCs/>
          <w:color w:val="000000"/>
          <w:szCs w:val="22"/>
          <w:lang w:val="pt-BR" w:eastAsia="es-ES_tradnl"/>
        </w:rPr>
      </w:pPr>
    </w:p>
    <w:p w14:paraId="6E8341A1" w14:textId="77777777" w:rsidR="0011327F" w:rsidRPr="00D65A20" w:rsidRDefault="0011327F" w:rsidP="00AA4399">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SimSun" w:hAnsi="Times New Roman"/>
          <w:color w:val="000000"/>
          <w:szCs w:val="22"/>
          <w:u w:val="single"/>
          <w:lang w:val="pt-BR" w:eastAsia="zh-CN"/>
        </w:rPr>
      </w:pPr>
      <w:r w:rsidRPr="00D65A20">
        <w:rPr>
          <w:rFonts w:ascii="Times New Roman" w:hAnsi="Times New Roman"/>
          <w:color w:val="000000"/>
          <w:szCs w:val="22"/>
          <w:u w:val="single"/>
          <w:lang w:val="pt-BR"/>
        </w:rPr>
        <w:t>Preocupações e desafios de segurança regional e especializados</w:t>
      </w:r>
    </w:p>
    <w:p w14:paraId="6E8341A2" w14:textId="77777777" w:rsidR="0011327F" w:rsidRPr="00D65A20" w:rsidRDefault="0011327F" w:rsidP="00AA4399">
      <w:pPr>
        <w:widowControl/>
        <w:rPr>
          <w:rFonts w:ascii="Times New Roman" w:eastAsia="Batang" w:hAnsi="Times New Roman"/>
          <w:bCs/>
          <w:color w:val="000000"/>
          <w:szCs w:val="22"/>
          <w:u w:val="single"/>
          <w:lang w:val="pt-BR"/>
        </w:rPr>
      </w:pPr>
    </w:p>
    <w:p w14:paraId="6E8341A3" w14:textId="77777777" w:rsidR="0011327F" w:rsidRPr="00D65A20" w:rsidRDefault="0011327F" w:rsidP="00AA4399">
      <w:pPr>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SimSun" w:hAnsi="Times New Roman"/>
          <w:bCs/>
          <w:color w:val="000000"/>
          <w:szCs w:val="22"/>
          <w:u w:val="single"/>
          <w:lang w:val="pt-BR" w:eastAsia="zh-CN"/>
        </w:rPr>
      </w:pPr>
      <w:r w:rsidRPr="00D65A20">
        <w:rPr>
          <w:rFonts w:ascii="Times New Roman" w:hAnsi="Times New Roman"/>
          <w:bCs/>
          <w:color w:val="000000"/>
          <w:szCs w:val="22"/>
          <w:u w:val="single"/>
          <w:lang w:val="pt-BR"/>
        </w:rPr>
        <w:t>Preocupações em matéria de segurança na América Central</w:t>
      </w:r>
    </w:p>
    <w:p w14:paraId="6E8341A4" w14:textId="77777777" w:rsidR="0011327F" w:rsidRPr="00D65A20" w:rsidRDefault="0011327F" w:rsidP="00AA4399">
      <w:pPr>
        <w:widowControl/>
        <w:rPr>
          <w:rFonts w:ascii="Times New Roman" w:eastAsia="SimSun" w:hAnsi="Times New Roman"/>
          <w:bCs/>
          <w:color w:val="000000"/>
          <w:szCs w:val="22"/>
          <w:u w:val="single"/>
          <w:lang w:val="pt-BR" w:eastAsia="zh-CN"/>
        </w:rPr>
      </w:pPr>
    </w:p>
    <w:p w14:paraId="6E8341A5" w14:textId="77777777" w:rsidR="0011327F" w:rsidRPr="00D65A20" w:rsidRDefault="0011327F" w:rsidP="00AA4399">
      <w:pPr>
        <w:widowControl/>
        <w:numPr>
          <w:ilvl w:val="0"/>
          <w:numId w:val="19"/>
        </w:numPr>
        <w:ind w:left="0"/>
        <w:rPr>
          <w:rFonts w:ascii="Times New Roman" w:hAnsi="Times New Roman"/>
          <w:bCs/>
          <w:color w:val="000000"/>
          <w:szCs w:val="22"/>
          <w:lang w:val="pt-BR"/>
        </w:rPr>
      </w:pPr>
      <w:r w:rsidRPr="00D65A20">
        <w:rPr>
          <w:rFonts w:ascii="Times New Roman" w:hAnsi="Times New Roman"/>
          <w:bCs/>
          <w:color w:val="000000"/>
          <w:szCs w:val="22"/>
          <w:lang w:val="pt-BR"/>
        </w:rPr>
        <w:t xml:space="preserve">Convidar os </w:t>
      </w:r>
      <w:r w:rsidRPr="00D65A20">
        <w:rPr>
          <w:rFonts w:ascii="Times New Roman" w:hAnsi="Times New Roman"/>
          <w:color w:val="000000"/>
          <w:szCs w:val="22"/>
          <w:lang w:val="pt-BR"/>
        </w:rPr>
        <w:t>Estados</w:t>
      </w:r>
      <w:r w:rsidRPr="00D65A20">
        <w:rPr>
          <w:rFonts w:ascii="Times New Roman" w:hAnsi="Times New Roman"/>
          <w:bCs/>
          <w:color w:val="000000"/>
          <w:szCs w:val="22"/>
          <w:lang w:val="pt-BR"/>
        </w:rPr>
        <w:t xml:space="preserve"> membros a que continuem apoiando e incentivando os esforços regionais e sub-regionais que abordam e mitigam as preocupações em matéria de segurança na América Central. </w:t>
      </w:r>
    </w:p>
    <w:p w14:paraId="6E8341A6" w14:textId="77777777" w:rsidR="0011327F" w:rsidRPr="00D65A20" w:rsidRDefault="0011327F" w:rsidP="00AA4399">
      <w:pPr>
        <w:widowControl/>
        <w:rPr>
          <w:rFonts w:ascii="Times New Roman" w:hAnsi="Times New Roman"/>
          <w:bCs/>
          <w:color w:val="000000"/>
          <w:szCs w:val="22"/>
          <w:lang w:val="pt-BR"/>
        </w:rPr>
      </w:pPr>
    </w:p>
    <w:p w14:paraId="6E8341A7" w14:textId="1F6C8700" w:rsidR="0011327F" w:rsidRPr="00D65A20" w:rsidRDefault="0011327F" w:rsidP="00AA4399">
      <w:pPr>
        <w:widowControl/>
        <w:numPr>
          <w:ilvl w:val="0"/>
          <w:numId w:val="19"/>
        </w:numPr>
        <w:ind w:left="0"/>
        <w:rPr>
          <w:rFonts w:ascii="Times New Roman" w:hAnsi="Times New Roman"/>
          <w:bCs/>
          <w:color w:val="000000"/>
          <w:szCs w:val="22"/>
          <w:lang w:val="pt-BR"/>
        </w:rPr>
      </w:pPr>
      <w:r w:rsidRPr="00D65A20">
        <w:rPr>
          <w:rFonts w:ascii="Times New Roman" w:hAnsi="Times New Roman"/>
          <w:bCs/>
          <w:color w:val="000000"/>
          <w:szCs w:val="22"/>
          <w:lang w:val="pt-BR"/>
        </w:rPr>
        <w:t xml:space="preserve">Instar os Estados membros, no âmbito </w:t>
      </w:r>
      <w:r w:rsidR="00957B79" w:rsidRPr="00D65A20">
        <w:rPr>
          <w:rFonts w:ascii="Times New Roman" w:hAnsi="Times New Roman"/>
          <w:bCs/>
          <w:color w:val="000000"/>
          <w:szCs w:val="22"/>
          <w:lang w:val="pt-BR"/>
        </w:rPr>
        <w:t xml:space="preserve">do </w:t>
      </w:r>
      <w:r w:rsidRPr="00D65A20">
        <w:rPr>
          <w:rFonts w:ascii="Times New Roman" w:hAnsi="Times New Roman"/>
          <w:bCs/>
          <w:color w:val="000000"/>
          <w:szCs w:val="22"/>
          <w:lang w:val="pt-BR"/>
        </w:rPr>
        <w:t>pleno respeito aos direitos humanos, a que continuem fortalecendo os mecanismos de cooperação bilateral e intercâmbio de experiências em matéria de desafios regionais, como a criminalidade organizada transnacional, o tráfico de drogas e outros delitos conexos</w:t>
      </w:r>
      <w:r w:rsidR="002F2445" w:rsidRPr="00D65A20">
        <w:rPr>
          <w:rFonts w:ascii="Times New Roman" w:hAnsi="Times New Roman"/>
          <w:bCs/>
          <w:color w:val="000000"/>
          <w:szCs w:val="22"/>
          <w:lang w:val="pt-BR"/>
        </w:rPr>
        <w:t>.</w:t>
      </w:r>
    </w:p>
    <w:p w14:paraId="6E8341A8" w14:textId="77777777" w:rsidR="0011327F" w:rsidRPr="00D65A20" w:rsidRDefault="0011327F" w:rsidP="00AA4399">
      <w:pPr>
        <w:widowControl/>
        <w:rPr>
          <w:rFonts w:ascii="Times New Roman" w:hAnsi="Times New Roman"/>
          <w:bCs/>
          <w:color w:val="000000"/>
          <w:szCs w:val="22"/>
          <w:lang w:val="pt-BR"/>
        </w:rPr>
      </w:pPr>
    </w:p>
    <w:p w14:paraId="6E8341A9" w14:textId="44D8BE91" w:rsidR="0011327F" w:rsidRPr="00D65A20" w:rsidRDefault="0011327F" w:rsidP="00AA4399">
      <w:pPr>
        <w:widowControl/>
        <w:numPr>
          <w:ilvl w:val="0"/>
          <w:numId w:val="19"/>
        </w:numPr>
        <w:ind w:left="0"/>
        <w:rPr>
          <w:rFonts w:ascii="Times New Roman" w:hAnsi="Times New Roman"/>
          <w:bCs/>
          <w:i/>
          <w:iCs/>
          <w:color w:val="000000"/>
          <w:szCs w:val="22"/>
          <w:lang w:val="pt-BR"/>
        </w:rPr>
      </w:pPr>
      <w:r w:rsidRPr="00D65A20">
        <w:rPr>
          <w:rFonts w:ascii="Times New Roman" w:hAnsi="Times New Roman"/>
          <w:bCs/>
          <w:color w:val="000000"/>
          <w:szCs w:val="22"/>
          <w:lang w:val="pt-BR"/>
        </w:rPr>
        <w:t>Reconhecer o papel fundamental do respeito</w:t>
      </w:r>
      <w:r w:rsidR="00562859" w:rsidRPr="00D65A20">
        <w:rPr>
          <w:rFonts w:ascii="Times New Roman" w:hAnsi="Times New Roman"/>
          <w:bCs/>
          <w:color w:val="000000"/>
          <w:szCs w:val="22"/>
          <w:lang w:val="pt-BR"/>
        </w:rPr>
        <w:t>,</w:t>
      </w:r>
      <w:r w:rsidRPr="00D65A20">
        <w:rPr>
          <w:rFonts w:ascii="Times New Roman" w:hAnsi="Times New Roman"/>
          <w:bCs/>
          <w:color w:val="000000"/>
          <w:szCs w:val="22"/>
          <w:lang w:val="pt-BR"/>
        </w:rPr>
        <w:t xml:space="preserve"> da proteção e </w:t>
      </w:r>
      <w:r w:rsidR="00562859" w:rsidRPr="00D65A20">
        <w:rPr>
          <w:rFonts w:ascii="Times New Roman" w:hAnsi="Times New Roman"/>
          <w:bCs/>
          <w:color w:val="000000"/>
          <w:szCs w:val="22"/>
          <w:lang w:val="pt-BR"/>
        </w:rPr>
        <w:t xml:space="preserve">da </w:t>
      </w:r>
      <w:r w:rsidRPr="00D65A20">
        <w:rPr>
          <w:rFonts w:ascii="Times New Roman" w:hAnsi="Times New Roman"/>
          <w:bCs/>
          <w:color w:val="000000"/>
          <w:szCs w:val="22"/>
          <w:lang w:val="pt-BR"/>
        </w:rPr>
        <w:t xml:space="preserve">promoção dos direitos humanos para assegurar a paz e a estabilidade na região e reafirmar o compromisso dos Estados membros de continuar </w:t>
      </w:r>
      <w:r w:rsidR="00562859" w:rsidRPr="00D65A20">
        <w:rPr>
          <w:rFonts w:ascii="Times New Roman" w:hAnsi="Times New Roman"/>
          <w:bCs/>
          <w:color w:val="000000"/>
          <w:szCs w:val="22"/>
          <w:lang w:val="pt-BR"/>
        </w:rPr>
        <w:t>trabalhando</w:t>
      </w:r>
      <w:r w:rsidRPr="00D65A20">
        <w:rPr>
          <w:rFonts w:ascii="Times New Roman" w:hAnsi="Times New Roman"/>
          <w:bCs/>
          <w:color w:val="000000"/>
          <w:szCs w:val="22"/>
          <w:lang w:val="pt-BR"/>
        </w:rPr>
        <w:t xml:space="preserve"> para consolidar os processos e </w:t>
      </w:r>
      <w:r w:rsidR="00562859" w:rsidRPr="00D65A20">
        <w:rPr>
          <w:rFonts w:ascii="Times New Roman" w:hAnsi="Times New Roman"/>
          <w:bCs/>
          <w:color w:val="000000"/>
          <w:szCs w:val="22"/>
          <w:lang w:val="pt-BR"/>
        </w:rPr>
        <w:t xml:space="preserve">os </w:t>
      </w:r>
      <w:r w:rsidRPr="00D65A20">
        <w:rPr>
          <w:rFonts w:ascii="Times New Roman" w:hAnsi="Times New Roman"/>
          <w:bCs/>
          <w:color w:val="000000"/>
          <w:szCs w:val="22"/>
          <w:lang w:val="pt-BR"/>
        </w:rPr>
        <w:t>princípios democráticos</w:t>
      </w:r>
      <w:r w:rsidRPr="00D65A20">
        <w:rPr>
          <w:rFonts w:ascii="Times New Roman" w:hAnsi="Times New Roman"/>
          <w:bCs/>
          <w:i/>
          <w:iCs/>
          <w:color w:val="000000"/>
          <w:szCs w:val="22"/>
          <w:lang w:val="pt-BR"/>
        </w:rPr>
        <w:t xml:space="preserve">. </w:t>
      </w:r>
    </w:p>
    <w:p w14:paraId="6E8341AA" w14:textId="77777777" w:rsidR="0011327F" w:rsidRPr="00D65A20" w:rsidRDefault="0011327F" w:rsidP="00AA4399">
      <w:pPr>
        <w:widowControl/>
        <w:suppressAutoHyphens/>
        <w:rPr>
          <w:rFonts w:ascii="Times New Roman" w:hAnsi="Times New Roman"/>
          <w:bCs/>
          <w:color w:val="000000"/>
          <w:szCs w:val="22"/>
          <w:lang w:val="pt-BR"/>
        </w:rPr>
      </w:pPr>
    </w:p>
    <w:p w14:paraId="6E8341AB" w14:textId="6BEAD955"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Encarregar a </w:t>
      </w:r>
      <w:r w:rsidR="00075B73" w:rsidRPr="00D65A20">
        <w:rPr>
          <w:rFonts w:ascii="Times New Roman" w:hAnsi="Times New Roman"/>
          <w:szCs w:val="22"/>
          <w:lang w:val="pt-BR"/>
        </w:rPr>
        <w:t>SSM</w:t>
      </w:r>
      <w:r w:rsidRPr="00D65A20">
        <w:rPr>
          <w:rFonts w:ascii="Times New Roman" w:hAnsi="Times New Roman"/>
          <w:szCs w:val="22"/>
          <w:lang w:val="pt-BR"/>
        </w:rPr>
        <w:t xml:space="preserve"> a que continue promovendo e fortalecendo as consultas com as entidades pertinentes das Nações Unidas, como o </w:t>
      </w:r>
      <w:r w:rsidR="008A6471" w:rsidRPr="00D65A20">
        <w:rPr>
          <w:rFonts w:ascii="Times New Roman" w:hAnsi="Times New Roman"/>
          <w:szCs w:val="22"/>
          <w:lang w:val="pt-BR"/>
        </w:rPr>
        <w:t>UNODC</w:t>
      </w:r>
      <w:r w:rsidRPr="00D65A20">
        <w:rPr>
          <w:rFonts w:ascii="Times New Roman" w:hAnsi="Times New Roman"/>
          <w:szCs w:val="22"/>
          <w:lang w:val="pt-BR"/>
        </w:rPr>
        <w:t>, bem como com a Secretaria-Geral do Sistema de Integração Centro-Americana (SICA), a fim de continuar prestando apoio técnico aos Estados membros na resposta aos desafios de segurança na América Central.</w:t>
      </w:r>
    </w:p>
    <w:p w14:paraId="6E8341AC" w14:textId="77777777" w:rsidR="0011327F" w:rsidRPr="00D65A20" w:rsidRDefault="0011327F" w:rsidP="00AA4399">
      <w:pPr>
        <w:widowControl/>
        <w:suppressAutoHyphens/>
        <w:rPr>
          <w:rFonts w:ascii="Times New Roman" w:hAnsi="Times New Roman"/>
          <w:bCs/>
          <w:color w:val="000000"/>
          <w:szCs w:val="22"/>
          <w:lang w:val="pt-BR"/>
        </w:rPr>
      </w:pPr>
    </w:p>
    <w:p w14:paraId="6E8341AD" w14:textId="77777777" w:rsidR="0011327F" w:rsidRPr="00D65A20" w:rsidRDefault="0011327F" w:rsidP="00AA4399">
      <w:pPr>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SimSun" w:hAnsi="Times New Roman"/>
          <w:color w:val="000000"/>
          <w:szCs w:val="22"/>
          <w:u w:val="single"/>
          <w:lang w:val="pt-BR" w:eastAsia="zh-CN"/>
        </w:rPr>
      </w:pPr>
      <w:r w:rsidRPr="00D65A20">
        <w:rPr>
          <w:rFonts w:ascii="Times New Roman" w:hAnsi="Times New Roman"/>
          <w:color w:val="000000"/>
          <w:szCs w:val="22"/>
          <w:u w:val="single"/>
          <w:lang w:val="pt-BR"/>
        </w:rPr>
        <w:t>Preocupações especiais de segurança dos pequenos Estados insulares e de zonas litorâneas baixas em desenvolvimento do Caribe</w:t>
      </w:r>
    </w:p>
    <w:p w14:paraId="6E8341AE" w14:textId="77777777" w:rsidR="0011327F" w:rsidRPr="00D65A20" w:rsidRDefault="0011327F" w:rsidP="00AA4399">
      <w:pPr>
        <w:widowControl/>
        <w:rPr>
          <w:rFonts w:ascii="Times New Roman" w:eastAsia="SimSun" w:hAnsi="Times New Roman"/>
          <w:color w:val="000000"/>
          <w:szCs w:val="22"/>
          <w:u w:val="single"/>
          <w:lang w:val="pt-BR" w:eastAsia="zh-CN"/>
        </w:rPr>
      </w:pPr>
    </w:p>
    <w:p w14:paraId="6E8341AF" w14:textId="46792AC3"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 xml:space="preserve">Tomar nota das </w:t>
      </w:r>
      <w:r w:rsidRPr="00D65A20">
        <w:rPr>
          <w:rFonts w:ascii="Times New Roman" w:hAnsi="Times New Roman"/>
          <w:color w:val="000000"/>
          <w:szCs w:val="22"/>
          <w:lang w:val="pt-BR"/>
        </w:rPr>
        <w:t>observações</w:t>
      </w:r>
      <w:r w:rsidRPr="00D65A20">
        <w:rPr>
          <w:rFonts w:ascii="Times New Roman" w:hAnsi="Times New Roman"/>
          <w:bCs/>
          <w:szCs w:val="22"/>
          <w:lang w:val="pt-BR"/>
        </w:rPr>
        <w:t xml:space="preserve"> e dos resultados da reunião da CSH para discutir as preocupações especiai</w:t>
      </w:r>
      <w:r w:rsidRPr="00D65A20">
        <w:rPr>
          <w:rFonts w:ascii="Times New Roman" w:hAnsi="Times New Roman"/>
          <w:color w:val="000000"/>
          <w:szCs w:val="22"/>
          <w:lang w:val="pt-BR"/>
        </w:rPr>
        <w:t xml:space="preserve">s </w:t>
      </w:r>
      <w:r w:rsidRPr="00D65A20">
        <w:rPr>
          <w:rFonts w:ascii="Times New Roman" w:hAnsi="Times New Roman"/>
          <w:bCs/>
          <w:szCs w:val="22"/>
          <w:lang w:val="pt-BR"/>
        </w:rPr>
        <w:t>de segurança dos pequenos Estados insulares e de zonas litorâneas baixas em desenvolvimento do Caribe, realizada em 25 de junho de 2020</w:t>
      </w:r>
      <w:r w:rsidR="00957B79" w:rsidRPr="00D65A20">
        <w:rPr>
          <w:rFonts w:ascii="Times New Roman" w:hAnsi="Times New Roman"/>
          <w:bCs/>
          <w:szCs w:val="22"/>
          <w:lang w:val="pt-BR"/>
        </w:rPr>
        <w:t>,</w:t>
      </w:r>
      <w:r w:rsidRPr="00D65A20">
        <w:rPr>
          <w:rFonts w:ascii="Times New Roman" w:hAnsi="Times New Roman"/>
          <w:bCs/>
          <w:szCs w:val="22"/>
          <w:lang w:val="pt-BR"/>
        </w:rPr>
        <w:t xml:space="preserve"> com o tema “O impacto da </w:t>
      </w:r>
      <w:r w:rsidR="00877D54" w:rsidRPr="00D65A20">
        <w:rPr>
          <w:rFonts w:ascii="Times New Roman" w:hAnsi="Times New Roman"/>
          <w:bCs/>
          <w:szCs w:val="22"/>
          <w:lang w:val="pt-BR"/>
        </w:rPr>
        <w:t>pandemia de</w:t>
      </w:r>
      <w:r w:rsidRPr="00D65A20">
        <w:rPr>
          <w:rFonts w:ascii="Times New Roman" w:hAnsi="Times New Roman"/>
          <w:bCs/>
          <w:szCs w:val="22"/>
          <w:lang w:val="pt-BR"/>
        </w:rPr>
        <w:t xml:space="preserve"> covid-19 sobre as persistentes vulnerabilidades </w:t>
      </w:r>
      <w:r w:rsidR="008A6471" w:rsidRPr="00D65A20">
        <w:rPr>
          <w:rFonts w:ascii="Times New Roman" w:hAnsi="Times New Roman"/>
          <w:bCs/>
          <w:szCs w:val="22"/>
          <w:lang w:val="pt-BR"/>
        </w:rPr>
        <w:t>da</w:t>
      </w:r>
      <w:r w:rsidRPr="00D65A20">
        <w:rPr>
          <w:rFonts w:ascii="Times New Roman" w:hAnsi="Times New Roman"/>
          <w:bCs/>
          <w:szCs w:val="22"/>
          <w:lang w:val="pt-BR"/>
        </w:rPr>
        <w:t xml:space="preserve"> segurança multidimensional dos pequenos Estados insulares e de zonas litorâneas baixas em desenvolvimento do Caribe”.</w:t>
      </w:r>
    </w:p>
    <w:p w14:paraId="6E8341B0" w14:textId="77777777" w:rsidR="0011327F" w:rsidRPr="00D65A20" w:rsidRDefault="0011327F" w:rsidP="00AA4399">
      <w:pPr>
        <w:widowControl/>
        <w:rPr>
          <w:rFonts w:ascii="Times New Roman" w:hAnsi="Times New Roman"/>
          <w:bCs/>
          <w:szCs w:val="22"/>
          <w:lang w:val="pt-BR"/>
        </w:rPr>
      </w:pPr>
    </w:p>
    <w:p w14:paraId="6E8341B1" w14:textId="77777777" w:rsidR="0011327F" w:rsidRPr="00D65A20" w:rsidRDefault="0011327F" w:rsidP="00AA4399">
      <w:pPr>
        <w:widowControl/>
        <w:numPr>
          <w:ilvl w:val="0"/>
          <w:numId w:val="19"/>
        </w:numPr>
        <w:ind w:left="0"/>
        <w:rPr>
          <w:rFonts w:ascii="Times New Roman" w:hAnsi="Times New Roman"/>
          <w:bCs/>
          <w:color w:val="000000"/>
          <w:szCs w:val="22"/>
          <w:lang w:val="pt-BR"/>
        </w:rPr>
      </w:pPr>
      <w:r w:rsidRPr="00D65A20">
        <w:rPr>
          <w:rFonts w:ascii="Times New Roman" w:hAnsi="Times New Roman"/>
          <w:bCs/>
          <w:color w:val="000000"/>
          <w:szCs w:val="22"/>
          <w:lang w:val="pt-BR"/>
        </w:rPr>
        <w:t xml:space="preserve">Tomar nota também das recomendações do Sistema de Segurança Regional (SSR), apresentadas na reunião sobre </w:t>
      </w:r>
      <w:r w:rsidRPr="00D65A20">
        <w:rPr>
          <w:rFonts w:ascii="Times New Roman" w:hAnsi="Times New Roman"/>
          <w:bCs/>
          <w:szCs w:val="22"/>
          <w:lang w:val="pt-BR"/>
        </w:rPr>
        <w:t>preocupações</w:t>
      </w:r>
      <w:r w:rsidRPr="00D65A20">
        <w:rPr>
          <w:rFonts w:ascii="Times New Roman" w:hAnsi="Times New Roman"/>
          <w:bCs/>
          <w:color w:val="000000"/>
          <w:szCs w:val="22"/>
          <w:lang w:val="pt-BR"/>
        </w:rPr>
        <w:t xml:space="preserve"> especiais de segurança dos pequenos Estados insulares e de zonas litorâneas baixas em desenvolvimento do Caribe, como segue:</w:t>
      </w:r>
    </w:p>
    <w:p w14:paraId="6E8341B2"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 w:val="20"/>
          <w:lang w:val="pt-BR"/>
        </w:rPr>
      </w:pPr>
    </w:p>
    <w:p w14:paraId="6E8341B3" w14:textId="54A1A704" w:rsidR="0011327F" w:rsidRPr="00D65A20" w:rsidRDefault="0011327F" w:rsidP="00AA4399">
      <w:pPr>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pt-BR"/>
        </w:rPr>
      </w:pPr>
      <w:r w:rsidRPr="00D65A20">
        <w:rPr>
          <w:rFonts w:ascii="Times New Roman" w:hAnsi="Times New Roman"/>
          <w:szCs w:val="22"/>
          <w:lang w:val="pt-BR"/>
        </w:rPr>
        <w:t xml:space="preserve">Fazer uso pleno dos observatórios criminais que estão sendo desenvolvidos pelo </w:t>
      </w:r>
      <w:r w:rsidR="00DB2383" w:rsidRPr="00D65A20">
        <w:rPr>
          <w:rFonts w:ascii="Times New Roman" w:hAnsi="Times New Roman"/>
          <w:szCs w:val="22"/>
          <w:lang w:val="pt-BR"/>
        </w:rPr>
        <w:t xml:space="preserve">SSR </w:t>
      </w:r>
      <w:r w:rsidRPr="00D65A20">
        <w:rPr>
          <w:rFonts w:ascii="Times New Roman" w:hAnsi="Times New Roman"/>
          <w:szCs w:val="22"/>
          <w:lang w:val="pt-BR"/>
        </w:rPr>
        <w:t>e pel</w:t>
      </w:r>
      <w:r w:rsidR="00957B79" w:rsidRPr="00D65A20">
        <w:rPr>
          <w:rFonts w:ascii="Times New Roman" w:hAnsi="Times New Roman"/>
          <w:szCs w:val="22"/>
          <w:lang w:val="pt-BR"/>
        </w:rPr>
        <w:t>a</w:t>
      </w:r>
      <w:r w:rsidRPr="00D65A20">
        <w:rPr>
          <w:rFonts w:ascii="Times New Roman" w:hAnsi="Times New Roman"/>
          <w:szCs w:val="22"/>
          <w:lang w:val="pt-BR"/>
        </w:rPr>
        <w:t xml:space="preserve"> </w:t>
      </w:r>
      <w:r w:rsidR="00957B79" w:rsidRPr="00D65A20">
        <w:rPr>
          <w:rFonts w:ascii="Times New Roman" w:hAnsi="Times New Roman"/>
          <w:sz w:val="21"/>
          <w:szCs w:val="21"/>
          <w:lang w:val="pt-BR"/>
        </w:rPr>
        <w:t>Agência de Implementação de Segurança e Combate à Criminalidade (</w:t>
      </w:r>
      <w:r w:rsidRPr="00D65A20">
        <w:rPr>
          <w:rFonts w:ascii="Times New Roman" w:hAnsi="Times New Roman"/>
          <w:szCs w:val="22"/>
          <w:lang w:val="pt-BR"/>
        </w:rPr>
        <w:t>IMPACS</w:t>
      </w:r>
      <w:r w:rsidR="00957B79" w:rsidRPr="00D65A20">
        <w:rPr>
          <w:rFonts w:ascii="Times New Roman" w:hAnsi="Times New Roman"/>
          <w:szCs w:val="22"/>
          <w:lang w:val="pt-BR"/>
        </w:rPr>
        <w:t>)</w:t>
      </w:r>
      <w:r w:rsidRPr="00D65A20">
        <w:rPr>
          <w:rFonts w:ascii="Times New Roman" w:hAnsi="Times New Roman"/>
          <w:bCs/>
          <w:szCs w:val="22"/>
          <w:lang w:val="pt-BR"/>
        </w:rPr>
        <w:t xml:space="preserve"> da </w:t>
      </w:r>
      <w:r w:rsidR="00957B79" w:rsidRPr="00D65A20">
        <w:rPr>
          <w:rFonts w:ascii="Times New Roman" w:hAnsi="Times New Roman"/>
          <w:bCs/>
          <w:szCs w:val="22"/>
          <w:lang w:val="pt-BR"/>
        </w:rPr>
        <w:t>Comunidade do Caribe (</w:t>
      </w:r>
      <w:r w:rsidRPr="00D65A20">
        <w:rPr>
          <w:rFonts w:ascii="Times New Roman" w:hAnsi="Times New Roman"/>
          <w:szCs w:val="22"/>
          <w:lang w:val="pt-BR"/>
        </w:rPr>
        <w:t>CARICOM</w:t>
      </w:r>
      <w:r w:rsidR="00957B79" w:rsidRPr="00D65A20">
        <w:rPr>
          <w:rFonts w:ascii="Times New Roman" w:hAnsi="Times New Roman"/>
          <w:szCs w:val="22"/>
          <w:lang w:val="pt-BR"/>
        </w:rPr>
        <w:t>)</w:t>
      </w:r>
      <w:r w:rsidRPr="00D65A20">
        <w:rPr>
          <w:rFonts w:ascii="Times New Roman" w:hAnsi="Times New Roman"/>
          <w:bCs/>
          <w:color w:val="000000"/>
          <w:szCs w:val="22"/>
          <w:lang w:val="pt-BR"/>
        </w:rPr>
        <w:t>.</w:t>
      </w:r>
    </w:p>
    <w:p w14:paraId="6E8341B4" w14:textId="29BDBE70" w:rsidR="0011327F" w:rsidRPr="00D65A20" w:rsidRDefault="0011327F" w:rsidP="00AA4399">
      <w:pPr>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pt-BR"/>
        </w:rPr>
      </w:pPr>
      <w:r w:rsidRPr="00D65A20">
        <w:rPr>
          <w:rFonts w:ascii="Times New Roman" w:hAnsi="Times New Roman"/>
          <w:szCs w:val="22"/>
          <w:lang w:val="pt-BR"/>
        </w:rPr>
        <w:t>Desenvolver um</w:t>
      </w:r>
      <w:r w:rsidRPr="00D65A20">
        <w:rPr>
          <w:rFonts w:ascii="Times New Roman" w:hAnsi="Times New Roman"/>
          <w:bCs/>
          <w:szCs w:val="22"/>
          <w:lang w:val="pt-BR"/>
        </w:rPr>
        <w:t xml:space="preserve"> </w:t>
      </w:r>
      <w:r w:rsidRPr="00D65A20">
        <w:rPr>
          <w:rFonts w:ascii="Times New Roman" w:hAnsi="Times New Roman"/>
          <w:bCs/>
          <w:color w:val="000000"/>
          <w:szCs w:val="22"/>
          <w:lang w:val="pt-BR"/>
        </w:rPr>
        <w:t>sistema</w:t>
      </w:r>
      <w:r w:rsidRPr="00D65A20">
        <w:rPr>
          <w:rFonts w:ascii="Times New Roman" w:hAnsi="Times New Roman"/>
          <w:szCs w:val="22"/>
          <w:lang w:val="pt-BR"/>
        </w:rPr>
        <w:t xml:space="preserve"> de governança </w:t>
      </w:r>
      <w:r w:rsidR="00DB2383" w:rsidRPr="00D65A20">
        <w:rPr>
          <w:rFonts w:ascii="Times New Roman" w:hAnsi="Times New Roman"/>
          <w:szCs w:val="22"/>
          <w:lang w:val="pt-BR"/>
        </w:rPr>
        <w:t>sanitária</w:t>
      </w:r>
      <w:r w:rsidRPr="00D65A20">
        <w:rPr>
          <w:rFonts w:ascii="Times New Roman" w:hAnsi="Times New Roman"/>
          <w:szCs w:val="22"/>
          <w:lang w:val="pt-BR"/>
        </w:rPr>
        <w:t xml:space="preserve"> </w:t>
      </w:r>
      <w:r w:rsidR="00722913" w:rsidRPr="00D65A20">
        <w:rPr>
          <w:rFonts w:ascii="Times New Roman" w:hAnsi="Times New Roman"/>
          <w:szCs w:val="22"/>
          <w:lang w:val="pt-BR"/>
        </w:rPr>
        <w:t>inter</w:t>
      </w:r>
      <w:r w:rsidRPr="00D65A20">
        <w:rPr>
          <w:rFonts w:ascii="Times New Roman" w:hAnsi="Times New Roman"/>
          <w:szCs w:val="22"/>
          <w:lang w:val="pt-BR"/>
        </w:rPr>
        <w:t xml:space="preserve">institucional </w:t>
      </w:r>
      <w:r w:rsidR="00722913" w:rsidRPr="00D65A20">
        <w:rPr>
          <w:rFonts w:ascii="Times New Roman" w:hAnsi="Times New Roman"/>
          <w:szCs w:val="22"/>
          <w:lang w:val="pt-BR"/>
        </w:rPr>
        <w:t xml:space="preserve">e </w:t>
      </w:r>
      <w:r w:rsidRPr="00D65A20">
        <w:rPr>
          <w:rFonts w:ascii="Times New Roman" w:hAnsi="Times New Roman"/>
          <w:szCs w:val="22"/>
          <w:lang w:val="pt-BR"/>
        </w:rPr>
        <w:t>de múltiplas partes interessadas, fortalecido ainda pela cooperação entre entidades da ordem pública, aduaneiras e de outras autoridades reguladoras dos Estados membros da CARICOM.</w:t>
      </w:r>
    </w:p>
    <w:p w14:paraId="6E8341B5" w14:textId="77777777" w:rsidR="0011327F" w:rsidRPr="00D65A20" w:rsidRDefault="0011327F" w:rsidP="00AA4399">
      <w:pPr>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333333"/>
          <w:szCs w:val="22"/>
          <w:lang w:val="pt-BR"/>
        </w:rPr>
      </w:pPr>
      <w:r w:rsidRPr="00D65A20">
        <w:rPr>
          <w:rFonts w:ascii="Times New Roman" w:hAnsi="Times New Roman"/>
          <w:szCs w:val="22"/>
          <w:lang w:val="pt-BR"/>
        </w:rPr>
        <w:t>Fortalecer as entidades nacionais de investigação para investigar adequadamente os crimes cibernéticos.</w:t>
      </w:r>
    </w:p>
    <w:p w14:paraId="6E8341B6" w14:textId="11D6054B" w:rsidR="0011327F" w:rsidRPr="00D65A20" w:rsidRDefault="0011327F" w:rsidP="00AA4399">
      <w:pPr>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pt-BR"/>
        </w:rPr>
      </w:pPr>
      <w:r w:rsidRPr="00D65A20">
        <w:rPr>
          <w:rFonts w:ascii="Times New Roman" w:hAnsi="Times New Roman"/>
          <w:szCs w:val="22"/>
          <w:lang w:val="pt-BR"/>
        </w:rPr>
        <w:lastRenderedPageBreak/>
        <w:t xml:space="preserve">Continuar </w:t>
      </w:r>
      <w:r w:rsidR="00DB2383" w:rsidRPr="00D65A20">
        <w:rPr>
          <w:rFonts w:ascii="Times New Roman" w:hAnsi="Times New Roman"/>
          <w:szCs w:val="22"/>
          <w:lang w:val="pt-BR"/>
        </w:rPr>
        <w:t>trabalhando</w:t>
      </w:r>
      <w:r w:rsidRPr="00D65A20">
        <w:rPr>
          <w:rFonts w:ascii="Times New Roman" w:hAnsi="Times New Roman"/>
          <w:szCs w:val="22"/>
          <w:lang w:val="pt-BR"/>
        </w:rPr>
        <w:t xml:space="preserve"> com outros Estados membros no desenvolvimento de planos, protocolos e treinamento de resposta a incidentes cibernéticos para melhorar a detecção e a resposta ao delito cibernético.</w:t>
      </w:r>
    </w:p>
    <w:p w14:paraId="6E8341B7" w14:textId="0A2D3CE5" w:rsidR="0011327F" w:rsidRPr="00D65A20" w:rsidRDefault="0011327F" w:rsidP="00AA4399">
      <w:pPr>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pt-BR"/>
        </w:rPr>
      </w:pPr>
      <w:r w:rsidRPr="00D65A20">
        <w:rPr>
          <w:rFonts w:ascii="Times New Roman" w:hAnsi="Times New Roman"/>
          <w:szCs w:val="22"/>
          <w:lang w:val="pt-BR"/>
        </w:rPr>
        <w:t xml:space="preserve">Considerar a possibilidade </w:t>
      </w:r>
      <w:r w:rsidR="00DB2383" w:rsidRPr="00D65A20">
        <w:rPr>
          <w:rFonts w:ascii="Times New Roman" w:hAnsi="Times New Roman"/>
          <w:szCs w:val="22"/>
          <w:lang w:val="pt-BR"/>
        </w:rPr>
        <w:t>de criar</w:t>
      </w:r>
      <w:r w:rsidRPr="00D65A20">
        <w:rPr>
          <w:rFonts w:ascii="Times New Roman" w:hAnsi="Times New Roman"/>
          <w:szCs w:val="22"/>
          <w:lang w:val="pt-BR"/>
        </w:rPr>
        <w:t xml:space="preserve"> um mecanismo de resposta regional que inclua a elaboração de planos para riscos biológicos, químicos, radiológicos e nucleares.</w:t>
      </w:r>
    </w:p>
    <w:p w14:paraId="6E8341B8" w14:textId="358A3312" w:rsidR="0011327F" w:rsidRPr="00D65A20" w:rsidRDefault="0011327F" w:rsidP="00AA4399">
      <w:pPr>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pt-BR"/>
        </w:rPr>
      </w:pPr>
      <w:r w:rsidRPr="00D65A20">
        <w:rPr>
          <w:rFonts w:ascii="Times New Roman" w:hAnsi="Times New Roman"/>
          <w:szCs w:val="22"/>
          <w:lang w:val="pt-BR"/>
        </w:rPr>
        <w:t xml:space="preserve">Fazer uso pleno dos mecanismos regionais existentes, como o Tratado de Assistência </w:t>
      </w:r>
      <w:r w:rsidR="00DB2383" w:rsidRPr="00D65A20">
        <w:rPr>
          <w:rFonts w:ascii="Times New Roman" w:hAnsi="Times New Roman"/>
          <w:szCs w:val="22"/>
          <w:lang w:val="pt-BR"/>
        </w:rPr>
        <w:t xml:space="preserve">em Matéria de </w:t>
      </w:r>
      <w:r w:rsidRPr="00D65A20">
        <w:rPr>
          <w:rFonts w:ascii="Times New Roman" w:hAnsi="Times New Roman"/>
          <w:szCs w:val="22"/>
          <w:lang w:val="pt-BR"/>
        </w:rPr>
        <w:t>Segurança</w:t>
      </w:r>
      <w:r w:rsidR="00DB2383" w:rsidRPr="00D65A20">
        <w:rPr>
          <w:rFonts w:ascii="Times New Roman" w:hAnsi="Times New Roman"/>
          <w:szCs w:val="22"/>
          <w:lang w:val="pt-BR"/>
        </w:rPr>
        <w:t xml:space="preserve"> entre os Estados membros da CARICOM</w:t>
      </w:r>
      <w:r w:rsidRPr="00D65A20">
        <w:rPr>
          <w:rFonts w:ascii="Times New Roman" w:hAnsi="Times New Roman"/>
          <w:szCs w:val="22"/>
          <w:lang w:val="pt-BR"/>
        </w:rPr>
        <w:t xml:space="preserve">, </w:t>
      </w:r>
      <w:r w:rsidR="005C5E85" w:rsidRPr="00D65A20">
        <w:rPr>
          <w:rFonts w:ascii="Times New Roman" w:hAnsi="Times New Roman"/>
          <w:szCs w:val="22"/>
          <w:lang w:val="pt-BR"/>
        </w:rPr>
        <w:t xml:space="preserve">a </w:t>
      </w:r>
      <w:r w:rsidR="002A4DE9" w:rsidRPr="00D65A20">
        <w:rPr>
          <w:rFonts w:ascii="Times New Roman" w:hAnsi="Times New Roman"/>
          <w:color w:val="000000"/>
          <w:szCs w:val="22"/>
          <w:lang w:val="pt-BR"/>
        </w:rPr>
        <w:t xml:space="preserve">Convenção sobre Cooperação para a </w:t>
      </w:r>
      <w:r w:rsidR="002A4DE9" w:rsidRPr="00D65A20">
        <w:rPr>
          <w:rFonts w:ascii="Times New Roman" w:hAnsi="Times New Roman"/>
          <w:bCs/>
          <w:szCs w:val="22"/>
          <w:lang w:val="pt-BR"/>
        </w:rPr>
        <w:t>Supressão</w:t>
      </w:r>
      <w:r w:rsidR="002A4DE9" w:rsidRPr="00D65A20">
        <w:rPr>
          <w:rFonts w:ascii="Times New Roman" w:hAnsi="Times New Roman"/>
          <w:color w:val="000000"/>
          <w:szCs w:val="22"/>
          <w:lang w:val="pt-BR"/>
        </w:rPr>
        <w:t xml:space="preserve"> do Tráfico Ilícito Marítimo e Aéreo de Entorpecentes e Substâncias Psicotrópicas na Zona do Caribe</w:t>
      </w:r>
      <w:r w:rsidR="002A4DE9" w:rsidRPr="00D65A20">
        <w:rPr>
          <w:rFonts w:ascii="Times New Roman" w:hAnsi="Times New Roman"/>
          <w:szCs w:val="22"/>
          <w:lang w:val="pt-BR"/>
        </w:rPr>
        <w:t xml:space="preserve"> (</w:t>
      </w:r>
      <w:r w:rsidR="005C5E85" w:rsidRPr="00D65A20">
        <w:rPr>
          <w:rFonts w:ascii="Times New Roman" w:hAnsi="Times New Roman"/>
          <w:szCs w:val="22"/>
          <w:lang w:val="pt-BR"/>
        </w:rPr>
        <w:t>Convenção</w:t>
      </w:r>
      <w:r w:rsidRPr="00D65A20">
        <w:rPr>
          <w:rFonts w:ascii="Times New Roman" w:hAnsi="Times New Roman"/>
          <w:szCs w:val="22"/>
          <w:lang w:val="pt-BR"/>
        </w:rPr>
        <w:t xml:space="preserve"> de São José</w:t>
      </w:r>
      <w:r w:rsidR="002A4DE9" w:rsidRPr="00D65A20">
        <w:rPr>
          <w:rFonts w:ascii="Times New Roman" w:hAnsi="Times New Roman"/>
          <w:szCs w:val="22"/>
          <w:lang w:val="pt-BR"/>
        </w:rPr>
        <w:t>)</w:t>
      </w:r>
      <w:r w:rsidRPr="00D65A20">
        <w:rPr>
          <w:rFonts w:ascii="Times New Roman" w:hAnsi="Times New Roman"/>
          <w:szCs w:val="22"/>
          <w:lang w:val="pt-BR"/>
        </w:rPr>
        <w:t xml:space="preserve">, a Convenção de Budapeste e </w:t>
      </w:r>
      <w:r w:rsidR="00DB2383" w:rsidRPr="00D65A20">
        <w:rPr>
          <w:rFonts w:ascii="Times New Roman" w:hAnsi="Times New Roman"/>
          <w:szCs w:val="22"/>
          <w:lang w:val="pt-BR"/>
        </w:rPr>
        <w:t xml:space="preserve">as </w:t>
      </w:r>
      <w:r w:rsidRPr="00D65A20">
        <w:rPr>
          <w:rFonts w:ascii="Times New Roman" w:hAnsi="Times New Roman"/>
          <w:szCs w:val="22"/>
          <w:lang w:val="pt-BR"/>
        </w:rPr>
        <w:t>parcerias com outras organizações sub-regionais</w:t>
      </w:r>
      <w:r w:rsidR="00DB2383" w:rsidRPr="00D65A20">
        <w:rPr>
          <w:rFonts w:ascii="Times New Roman" w:hAnsi="Times New Roman"/>
          <w:szCs w:val="22"/>
          <w:lang w:val="pt-BR"/>
        </w:rPr>
        <w:t>, a fim de</w:t>
      </w:r>
      <w:r w:rsidRPr="00D65A20">
        <w:rPr>
          <w:rFonts w:ascii="Times New Roman" w:hAnsi="Times New Roman"/>
          <w:szCs w:val="22"/>
          <w:lang w:val="pt-BR"/>
        </w:rPr>
        <w:t xml:space="preserve"> definir abordagens comuns no enfrentamento às ameaças comuns à segurança.</w:t>
      </w:r>
    </w:p>
    <w:p w14:paraId="6E8341B9" w14:textId="77777777" w:rsidR="0011327F" w:rsidRPr="00D65A20" w:rsidRDefault="0011327F" w:rsidP="00AA4399">
      <w:pPr>
        <w:widowControl/>
        <w:rPr>
          <w:rFonts w:ascii="Times New Roman" w:hAnsi="Times New Roman"/>
          <w:szCs w:val="22"/>
          <w:lang w:val="pt-BR"/>
        </w:rPr>
      </w:pPr>
    </w:p>
    <w:p w14:paraId="6E8341BA" w14:textId="3678798E"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 xml:space="preserve">Encarregar a Secretaria-Geral, por meio da </w:t>
      </w:r>
      <w:r w:rsidR="00075B73" w:rsidRPr="00D65A20">
        <w:rPr>
          <w:rFonts w:ascii="Times New Roman" w:hAnsi="Times New Roman"/>
          <w:bCs/>
          <w:szCs w:val="22"/>
          <w:lang w:val="pt-BR"/>
        </w:rPr>
        <w:t>SSM</w:t>
      </w:r>
      <w:r w:rsidRPr="00D65A20">
        <w:rPr>
          <w:rFonts w:ascii="Times New Roman" w:hAnsi="Times New Roman"/>
          <w:bCs/>
          <w:szCs w:val="22"/>
          <w:lang w:val="pt-BR"/>
        </w:rPr>
        <w:t xml:space="preserve">, tendo em vista as </w:t>
      </w:r>
      <w:r w:rsidR="00DB2383" w:rsidRPr="00D65A20">
        <w:rPr>
          <w:rFonts w:ascii="Times New Roman" w:hAnsi="Times New Roman"/>
          <w:color w:val="000000"/>
          <w:szCs w:val="22"/>
          <w:lang w:val="pt-BR"/>
        </w:rPr>
        <w:t>emergentes</w:t>
      </w:r>
      <w:r w:rsidR="00DB2383" w:rsidRPr="00D65A20">
        <w:rPr>
          <w:rFonts w:ascii="Times New Roman" w:hAnsi="Times New Roman"/>
          <w:bCs/>
          <w:szCs w:val="22"/>
          <w:lang w:val="pt-BR"/>
        </w:rPr>
        <w:t xml:space="preserve"> </w:t>
      </w:r>
      <w:r w:rsidRPr="00D65A20">
        <w:rPr>
          <w:rFonts w:ascii="Times New Roman" w:hAnsi="Times New Roman"/>
          <w:bCs/>
          <w:szCs w:val="22"/>
          <w:lang w:val="pt-BR"/>
        </w:rPr>
        <w:t xml:space="preserve">ameaças multidimensionais à segurança representadas pela pandemia de </w:t>
      </w:r>
      <w:r w:rsidR="008A6471" w:rsidRPr="00D65A20">
        <w:rPr>
          <w:rFonts w:ascii="Times New Roman" w:hAnsi="Times New Roman"/>
          <w:bCs/>
          <w:szCs w:val="22"/>
          <w:lang w:val="pt-BR"/>
        </w:rPr>
        <w:t>covid-19</w:t>
      </w:r>
      <w:r w:rsidRPr="00D65A20">
        <w:rPr>
          <w:rFonts w:ascii="Times New Roman" w:hAnsi="Times New Roman"/>
          <w:bCs/>
          <w:szCs w:val="22"/>
          <w:lang w:val="pt-BR"/>
        </w:rPr>
        <w:t xml:space="preserve">, de realizar uma avaliação do Plano de Trabalho Quinquenal da </w:t>
      </w:r>
      <w:r w:rsidR="00075B73" w:rsidRPr="00D65A20">
        <w:rPr>
          <w:rFonts w:ascii="Times New Roman" w:hAnsi="Times New Roman"/>
          <w:bCs/>
          <w:szCs w:val="22"/>
          <w:lang w:val="pt-BR"/>
        </w:rPr>
        <w:t>SSM</w:t>
      </w:r>
      <w:r w:rsidRPr="00D65A20">
        <w:rPr>
          <w:rFonts w:ascii="Times New Roman" w:hAnsi="Times New Roman"/>
          <w:bCs/>
          <w:szCs w:val="22"/>
          <w:lang w:val="pt-BR"/>
        </w:rPr>
        <w:t xml:space="preserve"> (2017</w:t>
      </w:r>
      <w:r w:rsidR="00DB2383" w:rsidRPr="00D65A20">
        <w:rPr>
          <w:rFonts w:ascii="Times New Roman" w:hAnsi="Times New Roman"/>
          <w:bCs/>
          <w:szCs w:val="22"/>
          <w:lang w:val="pt-BR"/>
        </w:rPr>
        <w:t>–</w:t>
      </w:r>
      <w:r w:rsidRPr="00D65A20">
        <w:rPr>
          <w:rFonts w:ascii="Times New Roman" w:hAnsi="Times New Roman"/>
          <w:bCs/>
          <w:szCs w:val="22"/>
          <w:lang w:val="pt-BR"/>
        </w:rPr>
        <w:t>2022), a fim de apoiar a Estratégia de Segurança e Combate à Criminalidade da CARICOM, e iniciar o trabalho de desenvolvimento de um Plano de Trabalho 2023</w:t>
      </w:r>
      <w:r w:rsidR="00DB2383" w:rsidRPr="00D65A20">
        <w:rPr>
          <w:rFonts w:ascii="Times New Roman" w:hAnsi="Times New Roman"/>
          <w:bCs/>
          <w:szCs w:val="22"/>
          <w:lang w:val="pt-BR"/>
        </w:rPr>
        <w:t>–</w:t>
      </w:r>
      <w:r w:rsidRPr="00D65A20">
        <w:rPr>
          <w:rFonts w:ascii="Times New Roman" w:hAnsi="Times New Roman"/>
          <w:bCs/>
          <w:szCs w:val="22"/>
          <w:lang w:val="pt-BR"/>
        </w:rPr>
        <w:t xml:space="preserve">2025 em cooperação com a IMPACS e outras entidades e organizações da CARICOM, conforme seja necessário. </w:t>
      </w:r>
    </w:p>
    <w:p w14:paraId="6E8341BB"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
          <w:sz w:val="16"/>
          <w:szCs w:val="22"/>
          <w:lang w:val="pt-BR"/>
        </w:rPr>
      </w:pPr>
    </w:p>
    <w:p w14:paraId="6E8341BC" w14:textId="700D2CF9"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 xml:space="preserve">Encarregar a CSH, com o apoio técnico da JID e das instituições e entidades relevantes da OEA, de convocar uma reunião no primeiro trimestre de 2021 a fim de discutir a cooperação hemisférica em matéria de assistência humanitária e resposta a desastres na era </w:t>
      </w:r>
      <w:r w:rsidR="008A6471" w:rsidRPr="00D65A20">
        <w:rPr>
          <w:rFonts w:ascii="Times New Roman" w:hAnsi="Times New Roman"/>
          <w:bCs/>
          <w:szCs w:val="22"/>
          <w:lang w:val="pt-BR"/>
        </w:rPr>
        <w:t>da covid-19</w:t>
      </w:r>
      <w:r w:rsidRPr="00D65A20">
        <w:rPr>
          <w:rFonts w:ascii="Times New Roman" w:hAnsi="Times New Roman"/>
          <w:bCs/>
          <w:szCs w:val="22"/>
          <w:lang w:val="pt-BR"/>
        </w:rPr>
        <w:t>.</w:t>
      </w:r>
    </w:p>
    <w:p w14:paraId="6E8341BD"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sz w:val="16"/>
          <w:szCs w:val="22"/>
          <w:lang w:val="pt-BR"/>
        </w:rPr>
      </w:pPr>
    </w:p>
    <w:p w14:paraId="6E8341BE" w14:textId="67E62F5A"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Reiterar à Secretaria-Geral o apelo </w:t>
      </w:r>
      <w:r w:rsidR="00DB2383" w:rsidRPr="00D65A20">
        <w:rPr>
          <w:rFonts w:ascii="Times New Roman" w:hAnsi="Times New Roman"/>
          <w:szCs w:val="22"/>
          <w:lang w:val="pt-BR"/>
        </w:rPr>
        <w:t>a que apoie</w:t>
      </w:r>
      <w:r w:rsidRPr="00D65A20">
        <w:rPr>
          <w:rFonts w:ascii="Times New Roman" w:hAnsi="Times New Roman"/>
          <w:szCs w:val="22"/>
          <w:lang w:val="pt-BR"/>
        </w:rPr>
        <w:t xml:space="preserve"> iniciativas de segurança multidimensional, inclusive o perdão e o reescalonamento da dívida, em todos os foros de cooperação </w:t>
      </w:r>
      <w:r w:rsidR="00075B73" w:rsidRPr="00D65A20">
        <w:rPr>
          <w:rFonts w:ascii="Times New Roman" w:hAnsi="Times New Roman"/>
          <w:szCs w:val="22"/>
          <w:lang w:val="pt-BR"/>
        </w:rPr>
        <w:t xml:space="preserve">em </w:t>
      </w:r>
      <w:r w:rsidRPr="00D65A20">
        <w:rPr>
          <w:rFonts w:ascii="Times New Roman" w:hAnsi="Times New Roman"/>
          <w:szCs w:val="22"/>
          <w:lang w:val="pt-BR"/>
        </w:rPr>
        <w:t xml:space="preserve">segurança hemisféricos e internacionais, a fim de melhorar a resiliência econômica nos Estados </w:t>
      </w:r>
      <w:r w:rsidRPr="00D65A20">
        <w:rPr>
          <w:rFonts w:ascii="Times New Roman" w:hAnsi="Times New Roman"/>
          <w:color w:val="000000"/>
          <w:szCs w:val="22"/>
          <w:lang w:val="pt-BR"/>
        </w:rPr>
        <w:t xml:space="preserve">membros </w:t>
      </w:r>
      <w:r w:rsidRPr="00D65A20">
        <w:rPr>
          <w:rFonts w:ascii="Times New Roman" w:hAnsi="Times New Roman"/>
          <w:szCs w:val="22"/>
          <w:lang w:val="pt-BR"/>
        </w:rPr>
        <w:t xml:space="preserve">afetados, especialmente naqueles para os quais o turismo é </w:t>
      </w:r>
      <w:r w:rsidR="00BD7E05" w:rsidRPr="00D65A20">
        <w:rPr>
          <w:rFonts w:ascii="Times New Roman" w:hAnsi="Times New Roman"/>
          <w:szCs w:val="22"/>
          <w:lang w:val="pt-BR"/>
        </w:rPr>
        <w:t>a</w:t>
      </w:r>
      <w:r w:rsidRPr="00D65A20">
        <w:rPr>
          <w:rFonts w:ascii="Times New Roman" w:hAnsi="Times New Roman"/>
          <w:szCs w:val="22"/>
          <w:lang w:val="pt-BR"/>
        </w:rPr>
        <w:t xml:space="preserve"> principa</w:t>
      </w:r>
      <w:r w:rsidR="00BD7E05" w:rsidRPr="00D65A20">
        <w:rPr>
          <w:rFonts w:ascii="Times New Roman" w:hAnsi="Times New Roman"/>
          <w:szCs w:val="22"/>
          <w:lang w:val="pt-BR"/>
        </w:rPr>
        <w:t>l</w:t>
      </w:r>
      <w:r w:rsidRPr="00D65A20">
        <w:rPr>
          <w:rFonts w:ascii="Times New Roman" w:hAnsi="Times New Roman"/>
          <w:szCs w:val="22"/>
          <w:lang w:val="pt-BR"/>
        </w:rPr>
        <w:t xml:space="preserve"> fonte de renda, em virtude dos efeitos devastadores da </w:t>
      </w:r>
      <w:r w:rsidR="00877D54" w:rsidRPr="00D65A20">
        <w:rPr>
          <w:rFonts w:ascii="Times New Roman" w:hAnsi="Times New Roman"/>
          <w:szCs w:val="22"/>
          <w:lang w:val="pt-BR"/>
        </w:rPr>
        <w:t>pandemia de</w:t>
      </w:r>
      <w:r w:rsidRPr="00D65A20">
        <w:rPr>
          <w:rFonts w:ascii="Times New Roman" w:hAnsi="Times New Roman"/>
          <w:szCs w:val="22"/>
          <w:lang w:val="pt-BR"/>
        </w:rPr>
        <w:t xml:space="preserve"> covid-19, como as graves quedas do Produto Interno Bruto, a pesada redução nas receitas e na capacidade de serviço da dívida e o aumento da pobreza, do desemprego e do crime, inclusive da criminalidade organizada transnacional e </w:t>
      </w:r>
      <w:r w:rsidR="000760E9">
        <w:rPr>
          <w:rFonts w:ascii="Times New Roman" w:hAnsi="Times New Roman"/>
          <w:szCs w:val="22"/>
          <w:lang w:val="pt-BR"/>
        </w:rPr>
        <w:t>do tráfico de</w:t>
      </w:r>
      <w:r w:rsidRPr="00D65A20">
        <w:rPr>
          <w:rFonts w:ascii="Times New Roman" w:hAnsi="Times New Roman"/>
          <w:szCs w:val="22"/>
          <w:lang w:val="pt-BR"/>
        </w:rPr>
        <w:t xml:space="preserve"> drogas, o que em conjunto aumenta a sua vulnerabilidade.</w:t>
      </w:r>
      <w:r w:rsidRPr="00D65A20">
        <w:rPr>
          <w:rFonts w:ascii="Times New Roman" w:hAnsi="Times New Roman"/>
          <w:szCs w:val="22"/>
          <w:vertAlign w:val="superscript"/>
          <w:lang w:val="pt-BR"/>
        </w:rPr>
        <w:t xml:space="preserve"> </w:t>
      </w:r>
      <w:r w:rsidRPr="00D65A20">
        <w:rPr>
          <w:rFonts w:ascii="Times New Roman" w:hAnsi="Times New Roman"/>
          <w:szCs w:val="22"/>
          <w:u w:val="single"/>
          <w:vertAlign w:val="superscript"/>
          <w:lang w:val="pt-BR"/>
        </w:rPr>
        <w:footnoteReference w:id="23"/>
      </w:r>
      <w:r w:rsidRPr="00D65A20">
        <w:rPr>
          <w:rFonts w:ascii="Times New Roman" w:hAnsi="Times New Roman"/>
          <w:szCs w:val="22"/>
          <w:vertAlign w:val="superscript"/>
          <w:lang w:val="pt-BR"/>
        </w:rPr>
        <w:t>/</w:t>
      </w:r>
      <w:r w:rsidRPr="00D65A20">
        <w:rPr>
          <w:rFonts w:ascii="Times New Roman" w:hAnsi="Times New Roman"/>
          <w:szCs w:val="22"/>
          <w:u w:val="single"/>
          <w:vertAlign w:val="superscript"/>
          <w:lang w:val="pt-BR"/>
        </w:rPr>
        <w:footnoteReference w:id="24"/>
      </w:r>
      <w:r w:rsidRPr="00D65A20">
        <w:rPr>
          <w:rFonts w:ascii="Times New Roman" w:hAnsi="Times New Roman"/>
          <w:color w:val="000000"/>
          <w:szCs w:val="22"/>
          <w:vertAlign w:val="superscript"/>
          <w:lang w:val="pt-BR"/>
        </w:rPr>
        <w:t>/</w:t>
      </w:r>
    </w:p>
    <w:p w14:paraId="6E8341BF"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sz w:val="16"/>
          <w:szCs w:val="22"/>
          <w:lang w:val="pt-BR"/>
        </w:rPr>
      </w:pPr>
    </w:p>
    <w:p w14:paraId="6E8341C0" w14:textId="3733129D"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 xml:space="preserve">Solicitar à </w:t>
      </w:r>
      <w:r w:rsidR="00075B73" w:rsidRPr="00D65A20">
        <w:rPr>
          <w:rFonts w:ascii="Times New Roman" w:hAnsi="Times New Roman"/>
          <w:bCs/>
          <w:szCs w:val="22"/>
          <w:lang w:val="pt-BR"/>
        </w:rPr>
        <w:t>SSM</w:t>
      </w:r>
      <w:r w:rsidRPr="00D65A20">
        <w:rPr>
          <w:rFonts w:ascii="Times New Roman" w:hAnsi="Times New Roman"/>
          <w:bCs/>
          <w:szCs w:val="22"/>
          <w:lang w:val="pt-BR"/>
        </w:rPr>
        <w:t xml:space="preserve"> que, por intermédio do CICTE e do DCOT, continue prestando assistência técnica e </w:t>
      </w:r>
      <w:r w:rsidRPr="00D65A20">
        <w:rPr>
          <w:rFonts w:ascii="Times New Roman" w:hAnsi="Times New Roman"/>
          <w:color w:val="000000"/>
          <w:szCs w:val="22"/>
          <w:lang w:val="pt-BR"/>
        </w:rPr>
        <w:t>treinamento</w:t>
      </w:r>
      <w:r w:rsidRPr="00D65A20">
        <w:rPr>
          <w:rFonts w:ascii="Times New Roman" w:hAnsi="Times New Roman"/>
          <w:bCs/>
          <w:szCs w:val="22"/>
          <w:lang w:val="pt-BR"/>
        </w:rPr>
        <w:t xml:space="preserve">, quando aplicável, para auxiliar os Estados do Caribe na capacitação em segurança cibernética para combater ataques a infraestruturas críticas, ataques </w:t>
      </w:r>
      <w:r w:rsidRPr="00D65A20">
        <w:rPr>
          <w:rFonts w:ascii="Times New Roman" w:hAnsi="Times New Roman"/>
          <w:bCs/>
          <w:i/>
          <w:szCs w:val="22"/>
          <w:lang w:val="pt-BR"/>
        </w:rPr>
        <w:t>ransomware</w:t>
      </w:r>
      <w:r w:rsidRPr="00D65A20">
        <w:rPr>
          <w:rFonts w:ascii="Times New Roman" w:hAnsi="Times New Roman"/>
          <w:bCs/>
          <w:szCs w:val="22"/>
          <w:lang w:val="pt-BR"/>
        </w:rPr>
        <w:t xml:space="preserve">, lavagem de dinheiro e crimes financeiros usando a </w:t>
      </w:r>
      <w:r w:rsidR="00075B73" w:rsidRPr="00D65A20">
        <w:rPr>
          <w:rFonts w:ascii="Times New Roman" w:hAnsi="Times New Roman"/>
          <w:bCs/>
          <w:szCs w:val="22"/>
          <w:lang w:val="pt-BR"/>
        </w:rPr>
        <w:t>t</w:t>
      </w:r>
      <w:r w:rsidRPr="00D65A20">
        <w:rPr>
          <w:rFonts w:ascii="Times New Roman" w:hAnsi="Times New Roman"/>
          <w:bCs/>
          <w:szCs w:val="22"/>
          <w:lang w:val="pt-BR"/>
        </w:rPr>
        <w:t xml:space="preserve">ecnologia </w:t>
      </w:r>
      <w:r w:rsidR="00075B73" w:rsidRPr="00D65A20">
        <w:rPr>
          <w:rFonts w:ascii="Times New Roman" w:hAnsi="Times New Roman"/>
          <w:bCs/>
          <w:szCs w:val="22"/>
          <w:lang w:val="pt-BR"/>
        </w:rPr>
        <w:t>f</w:t>
      </w:r>
      <w:r w:rsidRPr="00D65A20">
        <w:rPr>
          <w:rFonts w:ascii="Times New Roman" w:hAnsi="Times New Roman"/>
          <w:bCs/>
          <w:szCs w:val="22"/>
          <w:lang w:val="pt-BR"/>
        </w:rPr>
        <w:t xml:space="preserve">inanceira e o </w:t>
      </w:r>
      <w:r w:rsidR="008105AF" w:rsidRPr="00D65A20">
        <w:rPr>
          <w:rFonts w:ascii="Times New Roman" w:hAnsi="Times New Roman"/>
          <w:bCs/>
          <w:szCs w:val="22"/>
          <w:lang w:val="pt-BR"/>
        </w:rPr>
        <w:t>ciberespaço</w:t>
      </w:r>
      <w:r w:rsidRPr="00D65A20">
        <w:rPr>
          <w:rFonts w:ascii="Times New Roman" w:hAnsi="Times New Roman"/>
          <w:bCs/>
          <w:szCs w:val="22"/>
          <w:lang w:val="pt-BR"/>
        </w:rPr>
        <w:t xml:space="preserve">. </w:t>
      </w:r>
    </w:p>
    <w:p w14:paraId="6E8341C1" w14:textId="77777777" w:rsidR="0011327F" w:rsidRPr="00D65A20" w:rsidRDefault="0011327F" w:rsidP="00AA4399">
      <w:pPr>
        <w:widowControl/>
        <w:suppressAutoHyphens/>
        <w:rPr>
          <w:rFonts w:ascii="Times New Roman" w:hAnsi="Times New Roman"/>
          <w:bCs/>
          <w:szCs w:val="22"/>
          <w:lang w:val="pt-BR"/>
        </w:rPr>
      </w:pPr>
    </w:p>
    <w:p w14:paraId="6E8341C2" w14:textId="3C0D01AA"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 xml:space="preserve">Encarregar a Secretaria-Geral de, por meio da </w:t>
      </w:r>
      <w:r w:rsidR="00075B73" w:rsidRPr="00D65A20">
        <w:rPr>
          <w:rFonts w:ascii="Times New Roman" w:hAnsi="Times New Roman"/>
          <w:bCs/>
          <w:szCs w:val="22"/>
          <w:lang w:val="pt-BR"/>
        </w:rPr>
        <w:t>SSM</w:t>
      </w:r>
      <w:r w:rsidRPr="00D65A20">
        <w:rPr>
          <w:rFonts w:ascii="Times New Roman" w:hAnsi="Times New Roman"/>
          <w:bCs/>
          <w:szCs w:val="22"/>
          <w:lang w:val="pt-BR"/>
        </w:rPr>
        <w:t xml:space="preserve">, oferecer apoio técnico e de outra natureza aos pequenos Estados </w:t>
      </w:r>
      <w:r w:rsidRPr="00D65A20">
        <w:rPr>
          <w:rFonts w:ascii="Times New Roman" w:hAnsi="Times New Roman"/>
          <w:bCs/>
          <w:color w:val="000000"/>
          <w:szCs w:val="22"/>
          <w:lang w:val="pt-BR"/>
        </w:rPr>
        <w:t>insulares e de zonas litorâneas baixas em desenvolvimento do Caribe</w:t>
      </w:r>
      <w:r w:rsidR="00722913" w:rsidRPr="00D65A20">
        <w:rPr>
          <w:rFonts w:ascii="Times New Roman" w:hAnsi="Times New Roman"/>
          <w:bCs/>
          <w:color w:val="000000"/>
          <w:szCs w:val="22"/>
          <w:lang w:val="pt-BR"/>
        </w:rPr>
        <w:t>, Estados membros da OEA,</w:t>
      </w:r>
      <w:r w:rsidRPr="00D65A20">
        <w:rPr>
          <w:rFonts w:ascii="Times New Roman" w:hAnsi="Times New Roman"/>
          <w:bCs/>
          <w:color w:val="000000"/>
          <w:szCs w:val="22"/>
          <w:lang w:val="pt-BR"/>
        </w:rPr>
        <w:t xml:space="preserve"> no fortalecimento da gestão de fronteiras e da segurança, no esforço de reduzir o alastramento da </w:t>
      </w:r>
      <w:r w:rsidRPr="00D65A20">
        <w:rPr>
          <w:rFonts w:ascii="Times New Roman" w:hAnsi="Times New Roman"/>
          <w:color w:val="000000"/>
          <w:szCs w:val="22"/>
          <w:lang w:val="pt-BR"/>
        </w:rPr>
        <w:t>covid-19</w:t>
      </w:r>
      <w:r w:rsidRPr="00D65A20">
        <w:rPr>
          <w:rFonts w:ascii="Times New Roman" w:hAnsi="Times New Roman"/>
          <w:bCs/>
          <w:color w:val="000000"/>
          <w:szCs w:val="22"/>
          <w:lang w:val="pt-BR"/>
        </w:rPr>
        <w:t xml:space="preserve"> e a perpetuação da criminalidade organizada transnacional.</w:t>
      </w:r>
    </w:p>
    <w:p w14:paraId="6E8341C3" w14:textId="77777777" w:rsidR="0011327F" w:rsidRPr="00D65A20" w:rsidRDefault="0011327F" w:rsidP="00AA4399">
      <w:pPr>
        <w:widowControl/>
        <w:jc w:val="left"/>
        <w:rPr>
          <w:rFonts w:ascii="Times New Roman" w:hAnsi="Times New Roman"/>
          <w:szCs w:val="22"/>
          <w:lang w:val="pt-BR" w:eastAsia="pt-BR"/>
        </w:rPr>
      </w:pPr>
    </w:p>
    <w:p w14:paraId="6E8341C4" w14:textId="77777777" w:rsidR="0011327F" w:rsidRPr="00D65A20" w:rsidRDefault="0011327F" w:rsidP="00AA4399">
      <w:pPr>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olor w:val="000000"/>
          <w:szCs w:val="22"/>
          <w:lang w:val="pt-BR"/>
        </w:rPr>
      </w:pPr>
      <w:r w:rsidRPr="00D65A20">
        <w:rPr>
          <w:rFonts w:ascii="Times New Roman" w:hAnsi="Times New Roman"/>
          <w:szCs w:val="22"/>
          <w:u w:val="single"/>
          <w:lang w:val="pt-BR"/>
        </w:rPr>
        <w:lastRenderedPageBreak/>
        <w:t>Implicações da mudança do clima na segurança</w:t>
      </w:r>
      <w:r w:rsidRPr="00D65A20">
        <w:rPr>
          <w:rFonts w:ascii="Times New Roman" w:hAnsi="Times New Roman"/>
          <w:szCs w:val="22"/>
          <w:lang w:val="pt-BR"/>
        </w:rPr>
        <w:t xml:space="preserve"> </w:t>
      </w:r>
      <w:r w:rsidRPr="00D65A20">
        <w:rPr>
          <w:rFonts w:ascii="Times New Roman" w:hAnsi="Times New Roman"/>
          <w:szCs w:val="22"/>
          <w:u w:val="single"/>
          <w:vertAlign w:val="superscript"/>
          <w:lang w:val="pt-BR"/>
        </w:rPr>
        <w:footnoteReference w:id="25"/>
      </w:r>
      <w:r w:rsidRPr="009C048C">
        <w:rPr>
          <w:rFonts w:ascii="Times New Roman" w:hAnsi="Times New Roman"/>
          <w:szCs w:val="22"/>
          <w:vertAlign w:val="superscript"/>
          <w:lang w:val="pt-BR"/>
        </w:rPr>
        <w:t>/</w:t>
      </w:r>
      <w:r w:rsidRPr="00D65A20">
        <w:rPr>
          <w:rFonts w:ascii="Times New Roman" w:hAnsi="Times New Roman"/>
          <w:szCs w:val="22"/>
          <w:vertAlign w:val="superscript"/>
          <w:lang w:val="pt-BR"/>
        </w:rPr>
        <w:t xml:space="preserve"> </w:t>
      </w:r>
      <w:r w:rsidRPr="00D65A20">
        <w:rPr>
          <w:rFonts w:ascii="Times New Roman" w:hAnsi="Times New Roman"/>
          <w:szCs w:val="22"/>
          <w:u w:val="single"/>
          <w:vertAlign w:val="superscript"/>
          <w:lang w:val="pt-BR"/>
        </w:rPr>
        <w:footnoteReference w:id="26"/>
      </w:r>
      <w:r w:rsidRPr="00D65A20">
        <w:rPr>
          <w:rFonts w:ascii="Times New Roman" w:hAnsi="Times New Roman"/>
          <w:szCs w:val="22"/>
          <w:vertAlign w:val="superscript"/>
          <w:lang w:val="pt-BR"/>
        </w:rPr>
        <w:t>/</w:t>
      </w:r>
      <w:r w:rsidRPr="00D65A20">
        <w:rPr>
          <w:rFonts w:ascii="Times New Roman" w:hAnsi="Times New Roman"/>
          <w:szCs w:val="22"/>
          <w:u w:val="single"/>
          <w:vertAlign w:val="superscript"/>
          <w:lang w:val="pt-BR"/>
        </w:rPr>
        <w:footnoteReference w:id="27"/>
      </w:r>
      <w:r w:rsidRPr="00D65A20">
        <w:rPr>
          <w:rFonts w:ascii="Times New Roman" w:hAnsi="Times New Roman"/>
          <w:szCs w:val="22"/>
          <w:vertAlign w:val="superscript"/>
          <w:lang w:val="pt-BR"/>
        </w:rPr>
        <w:t>/</w:t>
      </w:r>
    </w:p>
    <w:p w14:paraId="6E8341C5" w14:textId="77777777" w:rsidR="00F236AD" w:rsidRPr="00D65A20" w:rsidRDefault="00F236AD" w:rsidP="009C048C">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pt-BR"/>
        </w:rPr>
      </w:pPr>
    </w:p>
    <w:p w14:paraId="6E8341C6" w14:textId="77777777"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Tomar nota</w:t>
      </w:r>
      <w:r w:rsidR="00E052EB" w:rsidRPr="00D65A20">
        <w:rPr>
          <w:rFonts w:ascii="Times New Roman" w:hAnsi="Times New Roman"/>
          <w:bCs/>
          <w:szCs w:val="22"/>
          <w:lang w:val="pt-BR"/>
        </w:rPr>
        <w:t xml:space="preserve"> </w:t>
      </w:r>
      <w:r w:rsidRPr="00D65A20">
        <w:rPr>
          <w:rFonts w:ascii="Times New Roman" w:hAnsi="Times New Roman"/>
          <w:bCs/>
          <w:szCs w:val="22"/>
          <w:lang w:val="pt-BR"/>
        </w:rPr>
        <w:t>da contribuição da JID por meio de apresentações contínuas à CSH sobre as implicações da mudança do clima na segurança, bem como reconhecer a validade de se continuar considerando o tema.</w:t>
      </w:r>
    </w:p>
    <w:p w14:paraId="6E8341C7" w14:textId="77777777" w:rsidR="0011327F" w:rsidRPr="00D65A20" w:rsidRDefault="0011327F" w:rsidP="00AA4399">
      <w:pPr>
        <w:widowControl/>
        <w:suppressAutoHyphens/>
        <w:rPr>
          <w:rFonts w:ascii="Times New Roman" w:hAnsi="Times New Roman"/>
          <w:bCs/>
          <w:szCs w:val="22"/>
          <w:lang w:val="pt-BR"/>
        </w:rPr>
      </w:pPr>
    </w:p>
    <w:p w14:paraId="6E8341C8" w14:textId="77777777"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szCs w:val="22"/>
          <w:lang w:val="pt-BR"/>
        </w:rPr>
        <w:t>Reconhecer as vulnerabilidades específicas a choques externos e os desafios de segurança e desenvolvimento singulares enfrentados pelos países do Caribe, inclusive os riscos relacionados à mudança do clima, e reconhecer também que a pandemia de covid-19 limita ainda mais a capacidade de resposta de muitos Estados a esses desafios — em particular os pequenos Estados insulares e de zonas litorâneas baixas em desenvolvimento</w:t>
      </w:r>
      <w:r w:rsidRPr="00D65A20">
        <w:rPr>
          <w:rFonts w:ascii="Times New Roman" w:hAnsi="Times New Roman"/>
          <w:b/>
          <w:szCs w:val="22"/>
          <w:lang w:val="pt-BR"/>
        </w:rPr>
        <w:t>.</w:t>
      </w:r>
    </w:p>
    <w:p w14:paraId="6E8341C9" w14:textId="77777777" w:rsidR="0011327F" w:rsidRPr="009C048C" w:rsidRDefault="0011327F" w:rsidP="009C048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pt-BR"/>
        </w:rPr>
      </w:pPr>
    </w:p>
    <w:p w14:paraId="6E8341CA" w14:textId="77777777"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 xml:space="preserve">Reiterar o apelo à Secretaria-Geral de que continue a fornecer, dentro dos recursos disponíveis, assistência administrativa e técnica para apoiar os Estados membros </w:t>
      </w:r>
      <w:r w:rsidRPr="00D65A20">
        <w:rPr>
          <w:rFonts w:ascii="Times New Roman" w:hAnsi="Times New Roman"/>
          <w:szCs w:val="22"/>
          <w:lang w:val="pt-BR"/>
        </w:rPr>
        <w:t>do Caribe</w:t>
      </w:r>
      <w:r w:rsidRPr="00D65A20">
        <w:rPr>
          <w:rFonts w:ascii="Times New Roman" w:hAnsi="Times New Roman"/>
          <w:bCs/>
          <w:szCs w:val="22"/>
          <w:lang w:val="pt-BR"/>
        </w:rPr>
        <w:t xml:space="preserve"> em seus esforços de implementação das recomendações elaboradas pela CSH com o propósito de abordar as implicações da mudança do clima para a segurança.</w:t>
      </w:r>
    </w:p>
    <w:p w14:paraId="6E8341CB" w14:textId="77777777" w:rsidR="0011327F" w:rsidRPr="00D65A20" w:rsidRDefault="0011327F" w:rsidP="00AA4399">
      <w:pPr>
        <w:widowControl/>
        <w:suppressAutoHyphens/>
        <w:rPr>
          <w:rFonts w:ascii="Times New Roman" w:hAnsi="Times New Roman"/>
          <w:bCs/>
          <w:szCs w:val="22"/>
          <w:lang w:val="pt-BR"/>
        </w:rPr>
      </w:pPr>
    </w:p>
    <w:p w14:paraId="6E8341CC" w14:textId="7469E516"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 xml:space="preserve">Encarregar a Secretaria-Geral de, por intermédio da </w:t>
      </w:r>
      <w:r w:rsidR="00075B73" w:rsidRPr="00D65A20">
        <w:rPr>
          <w:rFonts w:ascii="Times New Roman" w:hAnsi="Times New Roman"/>
          <w:bCs/>
          <w:szCs w:val="22"/>
          <w:lang w:val="pt-BR"/>
        </w:rPr>
        <w:t>SSM</w:t>
      </w:r>
      <w:r w:rsidRPr="00D65A20">
        <w:rPr>
          <w:rFonts w:ascii="Times New Roman" w:hAnsi="Times New Roman"/>
          <w:bCs/>
          <w:szCs w:val="22"/>
          <w:lang w:val="pt-BR"/>
        </w:rPr>
        <w:t xml:space="preserve">, compilar e apresentar um relatório à CSH, no primeiro semestre de 2021, sobre as atividades dos Estados membros </w:t>
      </w:r>
      <w:r w:rsidRPr="00D65A20">
        <w:rPr>
          <w:rFonts w:ascii="Times New Roman" w:hAnsi="Times New Roman"/>
          <w:szCs w:val="22"/>
          <w:lang w:val="pt-BR"/>
        </w:rPr>
        <w:t>do Caribe</w:t>
      </w:r>
      <w:r w:rsidRPr="00D65A20">
        <w:rPr>
          <w:rFonts w:ascii="Times New Roman" w:hAnsi="Times New Roman"/>
          <w:bCs/>
          <w:szCs w:val="22"/>
          <w:lang w:val="pt-BR"/>
        </w:rPr>
        <w:t xml:space="preserve"> e da Secretaria-Geral destinadas a abordar a mudança do clima e a segurança.</w:t>
      </w:r>
    </w:p>
    <w:p w14:paraId="6E8341CD" w14:textId="77777777" w:rsidR="0011327F" w:rsidRPr="00D65A20" w:rsidRDefault="0011327F" w:rsidP="00AA4399">
      <w:pPr>
        <w:widowControl/>
        <w:rPr>
          <w:rFonts w:ascii="Times New Roman" w:eastAsia="Batang" w:hAnsi="Times New Roman"/>
          <w:bCs/>
          <w:color w:val="000000"/>
          <w:szCs w:val="22"/>
          <w:u w:val="single"/>
          <w:lang w:val="pt-BR"/>
        </w:rPr>
      </w:pPr>
    </w:p>
    <w:p w14:paraId="6E8341CE" w14:textId="559ADDB3" w:rsidR="0011327F" w:rsidRPr="00D65A20" w:rsidRDefault="0011327F" w:rsidP="00AA4399">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SimSun" w:hAnsi="Times New Roman"/>
          <w:color w:val="000000"/>
          <w:szCs w:val="22"/>
          <w:u w:val="single"/>
          <w:lang w:val="pt-BR"/>
        </w:rPr>
      </w:pPr>
      <w:r w:rsidRPr="00D65A20">
        <w:rPr>
          <w:rFonts w:ascii="Times New Roman" w:hAnsi="Times New Roman"/>
          <w:color w:val="000000"/>
          <w:szCs w:val="22"/>
          <w:u w:val="single"/>
          <w:lang w:val="pt-BR"/>
        </w:rPr>
        <w:t xml:space="preserve">Resposta a desastres </w:t>
      </w:r>
      <w:r w:rsidRPr="00D65A20">
        <w:rPr>
          <w:rFonts w:ascii="Times New Roman" w:hAnsi="Times New Roman"/>
          <w:bCs/>
          <w:color w:val="000000"/>
          <w:szCs w:val="22"/>
          <w:u w:val="single"/>
          <w:lang w:val="pt-BR"/>
        </w:rPr>
        <w:t xml:space="preserve">e proteção da infraestrutura crítica </w:t>
      </w:r>
    </w:p>
    <w:p w14:paraId="6E8341CF" w14:textId="77777777" w:rsidR="0011327F" w:rsidRPr="00D65A20" w:rsidRDefault="0011327F" w:rsidP="00AA4399">
      <w:pPr>
        <w:widowControl/>
        <w:rPr>
          <w:rFonts w:ascii="Times New Roman" w:hAnsi="Times New Roman"/>
          <w:color w:val="000000"/>
          <w:szCs w:val="22"/>
          <w:u w:val="single"/>
          <w:lang w:val="pt-BR"/>
        </w:rPr>
      </w:pPr>
    </w:p>
    <w:p w14:paraId="6E8341D0" w14:textId="54BC2188" w:rsidR="0011327F" w:rsidRPr="00D65A20" w:rsidRDefault="0011327F" w:rsidP="00AA4399">
      <w:pPr>
        <w:widowControl/>
        <w:numPr>
          <w:ilvl w:val="0"/>
          <w:numId w:val="19"/>
        </w:numPr>
        <w:ind w:left="0"/>
        <w:rPr>
          <w:rFonts w:ascii="Times New Roman" w:hAnsi="Times New Roman"/>
          <w:color w:val="000000"/>
          <w:szCs w:val="22"/>
          <w:lang w:val="pt-BR"/>
        </w:rPr>
      </w:pPr>
      <w:r w:rsidRPr="00D65A20">
        <w:rPr>
          <w:rFonts w:ascii="Times New Roman" w:hAnsi="Times New Roman"/>
          <w:color w:val="000000"/>
          <w:szCs w:val="22"/>
          <w:lang w:val="pt-BR"/>
        </w:rPr>
        <w:t xml:space="preserve">Incentivar os Estados membros, no âmbito da CSH, a </w:t>
      </w:r>
      <w:r w:rsidR="004D3055" w:rsidRPr="00D65A20">
        <w:rPr>
          <w:rFonts w:ascii="Times New Roman" w:hAnsi="Times New Roman"/>
          <w:color w:val="000000"/>
          <w:szCs w:val="22"/>
          <w:lang w:val="pt-BR"/>
        </w:rPr>
        <w:t>que redobrem seus</w:t>
      </w:r>
      <w:r w:rsidRPr="00D65A20">
        <w:rPr>
          <w:rFonts w:ascii="Times New Roman" w:hAnsi="Times New Roman"/>
          <w:color w:val="000000"/>
          <w:szCs w:val="22"/>
          <w:lang w:val="pt-BR"/>
        </w:rPr>
        <w:t xml:space="preserve"> esforços para melhorar a proteção da infraestrutura crítica contra as ameaças e compartilhar as suas respectivas estratégias, políticas, boas práticas e lições aprendidas; </w:t>
      </w:r>
      <w:r w:rsidR="004D3055" w:rsidRPr="00D65A20">
        <w:rPr>
          <w:rFonts w:ascii="Times New Roman" w:hAnsi="Times New Roman"/>
          <w:color w:val="000000"/>
          <w:szCs w:val="22"/>
          <w:lang w:val="pt-BR"/>
        </w:rPr>
        <w:t xml:space="preserve">para </w:t>
      </w:r>
      <w:r w:rsidRPr="00D65A20">
        <w:rPr>
          <w:rFonts w:ascii="Times New Roman" w:hAnsi="Times New Roman"/>
          <w:bCs/>
          <w:szCs w:val="22"/>
          <w:lang w:val="pt-BR"/>
        </w:rPr>
        <w:t>obter</w:t>
      </w:r>
      <w:r w:rsidRPr="00D65A20">
        <w:rPr>
          <w:rFonts w:ascii="Times New Roman" w:hAnsi="Times New Roman"/>
          <w:color w:val="000000"/>
          <w:szCs w:val="22"/>
          <w:lang w:val="pt-BR"/>
        </w:rPr>
        <w:t xml:space="preserve"> uma compreensão comum da terminologia básica d</w:t>
      </w:r>
      <w:r w:rsidR="004D3055" w:rsidRPr="00D65A20">
        <w:rPr>
          <w:rFonts w:ascii="Times New Roman" w:hAnsi="Times New Roman"/>
          <w:color w:val="000000"/>
          <w:szCs w:val="22"/>
          <w:lang w:val="pt-BR"/>
        </w:rPr>
        <w:t>a</w:t>
      </w:r>
      <w:r w:rsidRPr="00D65A20">
        <w:rPr>
          <w:rFonts w:ascii="Times New Roman" w:hAnsi="Times New Roman"/>
          <w:color w:val="000000"/>
          <w:szCs w:val="22"/>
          <w:lang w:val="pt-BR"/>
        </w:rPr>
        <w:t xml:space="preserve"> proteção da infraestrutura crítica e </w:t>
      </w:r>
      <w:r w:rsidR="004D3055" w:rsidRPr="00D65A20">
        <w:rPr>
          <w:rFonts w:ascii="Times New Roman" w:hAnsi="Times New Roman"/>
          <w:color w:val="000000"/>
          <w:szCs w:val="22"/>
          <w:lang w:val="pt-BR"/>
        </w:rPr>
        <w:t xml:space="preserve">a </w:t>
      </w:r>
      <w:r w:rsidRPr="00D65A20">
        <w:rPr>
          <w:rFonts w:ascii="Times New Roman" w:hAnsi="Times New Roman"/>
          <w:color w:val="000000"/>
          <w:szCs w:val="22"/>
          <w:lang w:val="pt-BR"/>
        </w:rPr>
        <w:t xml:space="preserve">identificação </w:t>
      </w:r>
      <w:r w:rsidR="004D3055" w:rsidRPr="00D65A20">
        <w:rPr>
          <w:rFonts w:ascii="Times New Roman" w:hAnsi="Times New Roman"/>
          <w:color w:val="000000"/>
          <w:szCs w:val="22"/>
          <w:lang w:val="pt-BR"/>
        </w:rPr>
        <w:t xml:space="preserve">mútua </w:t>
      </w:r>
      <w:r w:rsidRPr="00D65A20">
        <w:rPr>
          <w:rFonts w:ascii="Times New Roman" w:hAnsi="Times New Roman"/>
          <w:color w:val="000000"/>
          <w:szCs w:val="22"/>
          <w:lang w:val="pt-BR"/>
        </w:rPr>
        <w:t>d</w:t>
      </w:r>
      <w:r w:rsidR="004D3055" w:rsidRPr="00D65A20">
        <w:rPr>
          <w:rFonts w:ascii="Times New Roman" w:hAnsi="Times New Roman"/>
          <w:color w:val="000000"/>
          <w:szCs w:val="22"/>
          <w:lang w:val="pt-BR"/>
        </w:rPr>
        <w:t>os</w:t>
      </w:r>
      <w:r w:rsidRPr="00D65A20">
        <w:rPr>
          <w:rFonts w:ascii="Times New Roman" w:hAnsi="Times New Roman"/>
          <w:color w:val="000000"/>
          <w:szCs w:val="22"/>
          <w:lang w:val="pt-BR"/>
        </w:rPr>
        <w:t xml:space="preserve"> setores </w:t>
      </w:r>
      <w:r w:rsidR="004D3055" w:rsidRPr="00D65A20">
        <w:rPr>
          <w:rFonts w:ascii="Times New Roman" w:hAnsi="Times New Roman"/>
          <w:color w:val="000000"/>
          <w:szCs w:val="22"/>
          <w:lang w:val="pt-BR"/>
        </w:rPr>
        <w:t>de</w:t>
      </w:r>
      <w:r w:rsidRPr="00D65A20">
        <w:rPr>
          <w:rFonts w:ascii="Times New Roman" w:hAnsi="Times New Roman"/>
          <w:color w:val="000000"/>
          <w:szCs w:val="22"/>
          <w:lang w:val="pt-BR"/>
        </w:rPr>
        <w:t xml:space="preserve"> infraestrutura</w:t>
      </w:r>
      <w:r w:rsidR="004D3055" w:rsidRPr="00D65A20">
        <w:rPr>
          <w:rFonts w:ascii="Times New Roman" w:hAnsi="Times New Roman"/>
          <w:color w:val="000000"/>
          <w:szCs w:val="22"/>
          <w:lang w:val="pt-BR"/>
        </w:rPr>
        <w:t xml:space="preserve"> crítica</w:t>
      </w:r>
      <w:r w:rsidRPr="00D65A20">
        <w:rPr>
          <w:rFonts w:ascii="Times New Roman" w:hAnsi="Times New Roman"/>
          <w:color w:val="000000"/>
          <w:szCs w:val="22"/>
          <w:lang w:val="pt-BR"/>
        </w:rPr>
        <w:t xml:space="preserve">; </w:t>
      </w:r>
      <w:r w:rsidR="004D3055" w:rsidRPr="00D65A20">
        <w:rPr>
          <w:rFonts w:ascii="Times New Roman" w:hAnsi="Times New Roman"/>
          <w:color w:val="000000"/>
          <w:szCs w:val="22"/>
          <w:lang w:val="pt-BR"/>
        </w:rPr>
        <w:t>par</w:t>
      </w:r>
      <w:r w:rsidRPr="00D65A20">
        <w:rPr>
          <w:rFonts w:ascii="Times New Roman" w:hAnsi="Times New Roman"/>
          <w:color w:val="000000"/>
          <w:szCs w:val="22"/>
          <w:lang w:val="pt-BR"/>
        </w:rPr>
        <w:t xml:space="preserve">a fornecer </w:t>
      </w:r>
      <w:r w:rsidR="004D3055" w:rsidRPr="00D65A20">
        <w:rPr>
          <w:rFonts w:ascii="Times New Roman" w:hAnsi="Times New Roman"/>
          <w:color w:val="000000"/>
          <w:szCs w:val="22"/>
          <w:lang w:val="pt-BR"/>
        </w:rPr>
        <w:t xml:space="preserve">informações </w:t>
      </w:r>
      <w:r w:rsidRPr="00D65A20">
        <w:rPr>
          <w:rFonts w:ascii="Times New Roman" w:hAnsi="Times New Roman"/>
          <w:color w:val="000000"/>
          <w:szCs w:val="22"/>
          <w:lang w:val="pt-BR"/>
        </w:rPr>
        <w:t xml:space="preserve">sobre </w:t>
      </w:r>
      <w:r w:rsidR="004D3055" w:rsidRPr="00D65A20">
        <w:rPr>
          <w:rFonts w:ascii="Times New Roman" w:hAnsi="Times New Roman"/>
          <w:color w:val="000000"/>
          <w:szCs w:val="22"/>
          <w:lang w:val="pt-BR"/>
        </w:rPr>
        <w:t xml:space="preserve">suas </w:t>
      </w:r>
      <w:r w:rsidRPr="00D65A20">
        <w:rPr>
          <w:rFonts w:ascii="Times New Roman" w:hAnsi="Times New Roman"/>
          <w:color w:val="000000"/>
          <w:szCs w:val="22"/>
          <w:lang w:val="pt-BR"/>
        </w:rPr>
        <w:t xml:space="preserve">respectivas abordagens </w:t>
      </w:r>
      <w:r w:rsidR="004D3055" w:rsidRPr="00D65A20">
        <w:rPr>
          <w:rFonts w:ascii="Times New Roman" w:hAnsi="Times New Roman"/>
          <w:color w:val="000000"/>
          <w:szCs w:val="22"/>
          <w:lang w:val="pt-BR"/>
        </w:rPr>
        <w:t>de</w:t>
      </w:r>
      <w:r w:rsidRPr="00D65A20">
        <w:rPr>
          <w:rFonts w:ascii="Times New Roman" w:hAnsi="Times New Roman"/>
          <w:color w:val="000000"/>
          <w:szCs w:val="22"/>
          <w:lang w:val="pt-BR"/>
        </w:rPr>
        <w:t xml:space="preserve"> identificação, avaliação e gerenciamento de riscos para a infraestrutura crítica; e </w:t>
      </w:r>
      <w:r w:rsidR="004D3055" w:rsidRPr="00D65A20">
        <w:rPr>
          <w:rFonts w:ascii="Times New Roman" w:hAnsi="Times New Roman"/>
          <w:color w:val="000000"/>
          <w:szCs w:val="22"/>
          <w:lang w:val="pt-BR"/>
        </w:rPr>
        <w:t>para</w:t>
      </w:r>
      <w:r w:rsidRPr="00D65A20">
        <w:rPr>
          <w:rFonts w:ascii="Times New Roman" w:hAnsi="Times New Roman"/>
          <w:color w:val="000000"/>
          <w:szCs w:val="22"/>
          <w:lang w:val="pt-BR"/>
        </w:rPr>
        <w:t xml:space="preserve"> compartilhar </w:t>
      </w:r>
      <w:r w:rsidR="004D3055" w:rsidRPr="00D65A20">
        <w:rPr>
          <w:rFonts w:ascii="Times New Roman" w:hAnsi="Times New Roman"/>
          <w:color w:val="000000"/>
          <w:szCs w:val="22"/>
          <w:lang w:val="pt-BR"/>
        </w:rPr>
        <w:t xml:space="preserve">seus </w:t>
      </w:r>
      <w:r w:rsidRPr="00D65A20">
        <w:rPr>
          <w:rFonts w:ascii="Times New Roman" w:hAnsi="Times New Roman"/>
          <w:color w:val="000000"/>
          <w:szCs w:val="22"/>
          <w:lang w:val="pt-BR"/>
        </w:rPr>
        <w:t>respectivos mecanismos de resposta e recuperação.</w:t>
      </w:r>
    </w:p>
    <w:p w14:paraId="6E8341D1" w14:textId="77777777" w:rsidR="0011327F" w:rsidRPr="00D65A20" w:rsidRDefault="0011327F" w:rsidP="00AA4399">
      <w:pPr>
        <w:widowControl/>
        <w:rPr>
          <w:rFonts w:ascii="Times New Roman" w:hAnsi="Times New Roman"/>
          <w:color w:val="000000"/>
          <w:szCs w:val="22"/>
          <w:lang w:val="pt-BR"/>
        </w:rPr>
      </w:pPr>
    </w:p>
    <w:p w14:paraId="6E8341D2" w14:textId="4B7F9839" w:rsidR="0011327F" w:rsidRPr="00D65A20" w:rsidRDefault="0011327F" w:rsidP="00AA4399">
      <w:pPr>
        <w:widowControl/>
        <w:numPr>
          <w:ilvl w:val="0"/>
          <w:numId w:val="19"/>
        </w:numPr>
        <w:ind w:left="0"/>
        <w:rPr>
          <w:rFonts w:ascii="Times New Roman" w:hAnsi="Times New Roman"/>
          <w:color w:val="000000"/>
          <w:szCs w:val="22"/>
          <w:lang w:val="pt-BR"/>
        </w:rPr>
      </w:pPr>
      <w:r w:rsidRPr="00D65A20">
        <w:rPr>
          <w:rFonts w:ascii="Times New Roman" w:hAnsi="Times New Roman"/>
          <w:color w:val="000000"/>
          <w:szCs w:val="22"/>
          <w:lang w:val="pt-BR"/>
        </w:rPr>
        <w:t xml:space="preserve">Encarregar a Secretaria-Geral de, por meio da SSM e da </w:t>
      </w:r>
      <w:r w:rsidR="00440498" w:rsidRPr="00D65A20">
        <w:rPr>
          <w:rFonts w:ascii="Times New Roman" w:hAnsi="Times New Roman"/>
          <w:color w:val="000000"/>
          <w:szCs w:val="22"/>
          <w:lang w:val="pt-BR"/>
        </w:rPr>
        <w:t>Secretaria Executiva de Desenvolvimento Integral (</w:t>
      </w:r>
      <w:r w:rsidRPr="00D65A20">
        <w:rPr>
          <w:rFonts w:ascii="Times New Roman" w:hAnsi="Times New Roman"/>
          <w:color w:val="000000"/>
          <w:szCs w:val="22"/>
          <w:lang w:val="pt-BR"/>
        </w:rPr>
        <w:t>SEDI</w:t>
      </w:r>
      <w:r w:rsidR="00440498" w:rsidRPr="00D65A20">
        <w:rPr>
          <w:rFonts w:ascii="Times New Roman" w:hAnsi="Times New Roman"/>
          <w:color w:val="000000"/>
          <w:szCs w:val="22"/>
          <w:lang w:val="pt-BR"/>
        </w:rPr>
        <w:t>)</w:t>
      </w:r>
      <w:r w:rsidRPr="00D65A20">
        <w:rPr>
          <w:rFonts w:ascii="Times New Roman" w:hAnsi="Times New Roman"/>
          <w:color w:val="000000"/>
          <w:szCs w:val="22"/>
          <w:lang w:val="pt-BR"/>
        </w:rPr>
        <w:t xml:space="preserve">, </w:t>
      </w:r>
      <w:r w:rsidRPr="00D65A20">
        <w:rPr>
          <w:rFonts w:ascii="Times New Roman" w:hAnsi="Times New Roman"/>
          <w:bCs/>
          <w:iCs/>
          <w:szCs w:val="22"/>
          <w:lang w:val="pt-BR"/>
        </w:rPr>
        <w:t>concluir a elaboração de um “</w:t>
      </w:r>
      <w:r w:rsidR="00C403F5" w:rsidRPr="00D65A20">
        <w:rPr>
          <w:rFonts w:ascii="Times New Roman" w:eastAsia="Calibri" w:hAnsi="Times New Roman"/>
          <w:szCs w:val="22"/>
          <w:lang w:val="pt-BR"/>
        </w:rPr>
        <w:t xml:space="preserve">Modelo de Estratégia Nacional sobre </w:t>
      </w:r>
      <w:r w:rsidR="00C403F5" w:rsidRPr="00D65A20">
        <w:rPr>
          <w:rFonts w:ascii="Times New Roman" w:eastAsia="PMingLiU" w:hAnsi="Times New Roman"/>
          <w:szCs w:val="22"/>
          <w:lang w:val="pt-BR"/>
        </w:rPr>
        <w:t>Proteção</w:t>
      </w:r>
      <w:r w:rsidR="00C403F5" w:rsidRPr="00D65A20">
        <w:rPr>
          <w:rFonts w:ascii="Times New Roman" w:eastAsia="Calibri" w:hAnsi="Times New Roman"/>
          <w:szCs w:val="22"/>
          <w:lang w:val="pt-BR"/>
        </w:rPr>
        <w:t xml:space="preserve"> de Infraestruturas Críticas em Casos de Desastres Naturais</w:t>
      </w:r>
      <w:r w:rsidRPr="00D65A20">
        <w:rPr>
          <w:rFonts w:ascii="Times New Roman" w:hAnsi="Times New Roman"/>
          <w:bCs/>
          <w:iCs/>
          <w:szCs w:val="22"/>
          <w:lang w:val="pt-BR"/>
        </w:rPr>
        <w:t xml:space="preserve">”, de acordo com o mandato estabelecido no parágrafo 89 da resolução </w:t>
      </w:r>
      <w:r w:rsidRPr="00D65A20">
        <w:rPr>
          <w:rFonts w:ascii="Times New Roman" w:hAnsi="Times New Roman"/>
          <w:color w:val="000000"/>
          <w:szCs w:val="22"/>
          <w:lang w:val="pt-BR"/>
        </w:rPr>
        <w:t>AG/RES. 2925 (XLVIII-O/18),</w:t>
      </w:r>
      <w:r w:rsidRPr="00D65A20">
        <w:rPr>
          <w:rFonts w:ascii="Times New Roman" w:hAnsi="Times New Roman"/>
          <w:bCs/>
          <w:iCs/>
          <w:szCs w:val="22"/>
          <w:lang w:val="pt-BR"/>
        </w:rPr>
        <w:t xml:space="preserve"> e de submeter, em 2021, um projeto à consideração dos Estados membros, </w:t>
      </w:r>
      <w:r w:rsidRPr="00D65A20">
        <w:rPr>
          <w:rFonts w:ascii="Times New Roman" w:hAnsi="Times New Roman"/>
          <w:iCs/>
          <w:szCs w:val="22"/>
          <w:lang w:val="pt-BR"/>
        </w:rPr>
        <w:t xml:space="preserve">e solicitar que os Estados membros considerem a possibilidade de fornecer voluntariamente, na medida das suas capacidades nacionais, recursos ou conhecimento técnico especializado </w:t>
      </w:r>
      <w:r w:rsidRPr="00D65A20">
        <w:rPr>
          <w:rFonts w:ascii="Times New Roman" w:hAnsi="Times New Roman"/>
          <w:bCs/>
          <w:color w:val="000000"/>
          <w:szCs w:val="22"/>
          <w:lang w:val="pt-BR"/>
        </w:rPr>
        <w:t>e que envi</w:t>
      </w:r>
      <w:r w:rsidR="00C403F5" w:rsidRPr="00D65A20">
        <w:rPr>
          <w:rFonts w:ascii="Times New Roman" w:hAnsi="Times New Roman"/>
          <w:bCs/>
          <w:color w:val="000000"/>
          <w:szCs w:val="22"/>
          <w:lang w:val="pt-BR"/>
        </w:rPr>
        <w:t>em</w:t>
      </w:r>
      <w:r w:rsidRPr="00D65A20">
        <w:rPr>
          <w:rFonts w:ascii="Times New Roman" w:hAnsi="Times New Roman"/>
          <w:bCs/>
          <w:color w:val="000000"/>
          <w:szCs w:val="22"/>
          <w:lang w:val="pt-BR"/>
        </w:rPr>
        <w:t xml:space="preserve"> os questionários com a brevidade possível</w:t>
      </w:r>
      <w:r w:rsidRPr="00D65A20">
        <w:rPr>
          <w:rFonts w:ascii="Times New Roman" w:hAnsi="Times New Roman"/>
          <w:b/>
          <w:color w:val="000000"/>
          <w:szCs w:val="22"/>
          <w:lang w:val="pt-BR"/>
        </w:rPr>
        <w:t xml:space="preserve"> </w:t>
      </w:r>
      <w:r w:rsidRPr="00D65A20">
        <w:rPr>
          <w:rFonts w:ascii="Times New Roman" w:hAnsi="Times New Roman"/>
          <w:color w:val="000000"/>
          <w:szCs w:val="22"/>
          <w:lang w:val="pt-BR"/>
        </w:rPr>
        <w:t xml:space="preserve">para </w:t>
      </w:r>
      <w:r w:rsidRPr="00D65A20">
        <w:rPr>
          <w:rFonts w:ascii="Times New Roman" w:hAnsi="Times New Roman"/>
          <w:bCs/>
          <w:color w:val="000000"/>
          <w:szCs w:val="22"/>
          <w:lang w:val="pt-BR"/>
        </w:rPr>
        <w:t xml:space="preserve">finalizar </w:t>
      </w:r>
      <w:r w:rsidRPr="00D65A20">
        <w:rPr>
          <w:rFonts w:ascii="Times New Roman" w:hAnsi="Times New Roman"/>
          <w:color w:val="000000"/>
          <w:szCs w:val="22"/>
          <w:lang w:val="pt-BR"/>
        </w:rPr>
        <w:t xml:space="preserve">a execução </w:t>
      </w:r>
      <w:r w:rsidRPr="00D65A20">
        <w:rPr>
          <w:rFonts w:ascii="Times New Roman" w:hAnsi="Times New Roman"/>
          <w:bCs/>
          <w:color w:val="000000"/>
          <w:szCs w:val="22"/>
          <w:lang w:val="pt-BR"/>
        </w:rPr>
        <w:t>desse</w:t>
      </w:r>
      <w:r w:rsidRPr="00D65A20">
        <w:rPr>
          <w:rFonts w:ascii="Times New Roman" w:hAnsi="Times New Roman"/>
          <w:color w:val="000000"/>
          <w:szCs w:val="22"/>
          <w:lang w:val="pt-BR"/>
        </w:rPr>
        <w:t xml:space="preserve"> mandato.</w:t>
      </w:r>
    </w:p>
    <w:p w14:paraId="6E8341D3" w14:textId="148D06CA" w:rsidR="0011327F" w:rsidRDefault="0011327F" w:rsidP="00AA4399">
      <w:pPr>
        <w:widowControl/>
        <w:jc w:val="left"/>
        <w:rPr>
          <w:rFonts w:ascii="Times New Roman" w:hAnsi="Times New Roman"/>
          <w:color w:val="000000"/>
          <w:szCs w:val="22"/>
          <w:u w:val="single"/>
          <w:lang w:val="pt-BR"/>
        </w:rPr>
      </w:pPr>
    </w:p>
    <w:p w14:paraId="014A22BE" w14:textId="77777777" w:rsidR="009C048C" w:rsidRPr="00D65A20" w:rsidRDefault="009C048C" w:rsidP="00AA4399">
      <w:pPr>
        <w:widowControl/>
        <w:jc w:val="left"/>
        <w:rPr>
          <w:rFonts w:ascii="Times New Roman" w:hAnsi="Times New Roman"/>
          <w:color w:val="000000"/>
          <w:szCs w:val="22"/>
          <w:u w:val="single"/>
          <w:lang w:val="pt-BR"/>
        </w:rPr>
      </w:pPr>
    </w:p>
    <w:p w14:paraId="6E8341D4" w14:textId="77777777" w:rsidR="0011327F" w:rsidRPr="00D65A20" w:rsidRDefault="0011327F" w:rsidP="00AA4399">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hanging="1440"/>
        <w:rPr>
          <w:rFonts w:ascii="Times New Roman" w:hAnsi="Times New Roman"/>
          <w:color w:val="000000"/>
          <w:szCs w:val="22"/>
          <w:u w:val="single"/>
          <w:lang w:val="pt-BR"/>
        </w:rPr>
      </w:pPr>
      <w:r w:rsidRPr="00D65A20">
        <w:rPr>
          <w:rFonts w:ascii="Times New Roman" w:hAnsi="Times New Roman"/>
          <w:color w:val="000000"/>
          <w:szCs w:val="22"/>
          <w:u w:val="single"/>
          <w:lang w:val="pt-BR"/>
        </w:rPr>
        <w:lastRenderedPageBreak/>
        <w:t>Instituições e instrumentos interamericanos</w:t>
      </w:r>
    </w:p>
    <w:p w14:paraId="6E8341D5" w14:textId="77777777" w:rsidR="0011327F" w:rsidRPr="00D65A20" w:rsidRDefault="0011327F" w:rsidP="00AA4399">
      <w:pPr>
        <w:widowControl/>
        <w:rPr>
          <w:rFonts w:ascii="Times New Roman" w:hAnsi="Times New Roman"/>
          <w:color w:val="000000"/>
          <w:szCs w:val="22"/>
          <w:u w:val="single"/>
          <w:lang w:val="pt-BR"/>
        </w:rPr>
      </w:pPr>
    </w:p>
    <w:p w14:paraId="6E8341D6" w14:textId="77777777" w:rsidR="0011327F" w:rsidRPr="00D65A20" w:rsidRDefault="0011327F" w:rsidP="00AA4399">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color w:val="000000"/>
          <w:szCs w:val="22"/>
          <w:u w:val="single"/>
          <w:lang w:val="pt-BR"/>
        </w:rPr>
      </w:pPr>
      <w:r w:rsidRPr="00D65A20">
        <w:rPr>
          <w:rFonts w:ascii="Times New Roman" w:hAnsi="Times New Roman"/>
          <w:color w:val="000000"/>
          <w:szCs w:val="22"/>
          <w:u w:val="single"/>
          <w:lang w:val="pt-BR"/>
        </w:rPr>
        <w:t>Instrumentos jurídicos interamericanos</w:t>
      </w:r>
    </w:p>
    <w:p w14:paraId="6E8341D7" w14:textId="77777777" w:rsidR="0011327F" w:rsidRPr="00D65A20" w:rsidRDefault="0011327F" w:rsidP="00AA4399">
      <w:pPr>
        <w:widowControl/>
        <w:rPr>
          <w:rFonts w:ascii="Times New Roman" w:hAnsi="Times New Roman"/>
          <w:color w:val="000000"/>
          <w:szCs w:val="22"/>
          <w:u w:val="single"/>
          <w:lang w:val="pt-BR"/>
        </w:rPr>
      </w:pPr>
    </w:p>
    <w:p w14:paraId="6E8341D8" w14:textId="77777777" w:rsidR="0011327F" w:rsidRPr="00D65A20" w:rsidRDefault="0011327F" w:rsidP="00AA4399">
      <w:pPr>
        <w:widowControl/>
        <w:numPr>
          <w:ilvl w:val="0"/>
          <w:numId w:val="19"/>
        </w:numPr>
        <w:ind w:left="0"/>
        <w:rPr>
          <w:rFonts w:ascii="Times New Roman" w:hAnsi="Times New Roman"/>
          <w:iCs/>
          <w:color w:val="000000"/>
          <w:szCs w:val="22"/>
          <w:lang w:val="pt-BR"/>
        </w:rPr>
      </w:pPr>
      <w:r w:rsidRPr="00D65A20">
        <w:rPr>
          <w:rFonts w:ascii="Times New Roman" w:hAnsi="Times New Roman"/>
          <w:color w:val="000000"/>
          <w:szCs w:val="22"/>
          <w:lang w:val="pt-BR"/>
        </w:rPr>
        <w:t xml:space="preserve">Solicitar à SAJ que, por intermédio do Departamento de Direito Internacional, preste apoio e assistência </w:t>
      </w:r>
      <w:r w:rsidRPr="00D65A20">
        <w:rPr>
          <w:rFonts w:ascii="Times New Roman" w:hAnsi="Times New Roman"/>
          <w:bCs/>
          <w:szCs w:val="22"/>
          <w:lang w:val="pt-BR"/>
        </w:rPr>
        <w:t>jurídica</w:t>
      </w:r>
      <w:r w:rsidRPr="00D65A20">
        <w:rPr>
          <w:rFonts w:ascii="Times New Roman" w:hAnsi="Times New Roman"/>
          <w:color w:val="000000"/>
          <w:szCs w:val="22"/>
          <w:lang w:val="pt-BR"/>
        </w:rPr>
        <w:t xml:space="preserve"> às secretarias técnicas das convenções interamericanas em matéria de segurança.</w:t>
      </w:r>
    </w:p>
    <w:p w14:paraId="6E8341D9" w14:textId="77777777" w:rsidR="0011327F" w:rsidRPr="00D65A20" w:rsidRDefault="0011327F" w:rsidP="00AA4399">
      <w:pPr>
        <w:widowControl/>
        <w:rPr>
          <w:rFonts w:ascii="Times New Roman" w:hAnsi="Times New Roman"/>
          <w:color w:val="000000"/>
          <w:szCs w:val="22"/>
          <w:lang w:val="pt-BR"/>
        </w:rPr>
      </w:pPr>
    </w:p>
    <w:p w14:paraId="6E8341DA" w14:textId="01794CBD" w:rsidR="0011327F" w:rsidRPr="00D65A20" w:rsidRDefault="0011327F" w:rsidP="00AA4399">
      <w:pPr>
        <w:widowControl/>
        <w:numPr>
          <w:ilvl w:val="0"/>
          <w:numId w:val="19"/>
        </w:numPr>
        <w:ind w:left="0"/>
        <w:rPr>
          <w:rFonts w:ascii="Times New Roman" w:hAnsi="Times New Roman"/>
          <w:bCs/>
          <w:color w:val="000000"/>
          <w:szCs w:val="22"/>
          <w:lang w:val="pt-BR"/>
        </w:rPr>
      </w:pPr>
      <w:r w:rsidRPr="00D65A20">
        <w:rPr>
          <w:rFonts w:ascii="Times New Roman" w:hAnsi="Times New Roman"/>
          <w:color w:val="000000"/>
          <w:szCs w:val="22"/>
          <w:lang w:val="pt-BR"/>
        </w:rPr>
        <w:t xml:space="preserve">Convidar os Estados membros que ainda não o tenham feito a que considerem ratificar a Convenção </w:t>
      </w:r>
      <w:r w:rsidR="001A2E48">
        <w:rPr>
          <w:rFonts w:ascii="Times New Roman" w:hAnsi="Times New Roman"/>
          <w:color w:val="000000"/>
          <w:szCs w:val="22"/>
          <w:lang w:val="pt-BR"/>
        </w:rPr>
        <w:t>de São José</w:t>
      </w:r>
      <w:r w:rsidRPr="00D65A20">
        <w:rPr>
          <w:rFonts w:ascii="Times New Roman" w:hAnsi="Times New Roman"/>
          <w:color w:val="000000"/>
          <w:szCs w:val="22"/>
          <w:lang w:val="pt-BR"/>
        </w:rPr>
        <w:t>, ou a ela aderir, como parte dos esforços hemisféricos nessa matéria.</w:t>
      </w:r>
    </w:p>
    <w:p w14:paraId="6E8341DB" w14:textId="77777777" w:rsidR="0011327F" w:rsidRPr="00D65A20" w:rsidRDefault="0011327F" w:rsidP="00AA4399">
      <w:pPr>
        <w:widowControl/>
        <w:rPr>
          <w:rFonts w:ascii="Times New Roman" w:hAnsi="Times New Roman"/>
          <w:bCs/>
          <w:color w:val="000000"/>
          <w:szCs w:val="22"/>
          <w:lang w:val="pt-BR"/>
        </w:rPr>
      </w:pPr>
    </w:p>
    <w:p w14:paraId="6E8341DC" w14:textId="77777777" w:rsidR="0011327F" w:rsidRPr="00D65A20" w:rsidRDefault="0011327F" w:rsidP="00AA4399">
      <w:pPr>
        <w:widowControl/>
        <w:ind w:left="720" w:hanging="720"/>
        <w:rPr>
          <w:rFonts w:ascii="Times New Roman" w:hAnsi="Times New Roman"/>
          <w:bCs/>
          <w:color w:val="000000"/>
          <w:szCs w:val="22"/>
          <w:u w:val="single"/>
          <w:lang w:val="pt-BR" w:eastAsia="es-ES"/>
        </w:rPr>
      </w:pPr>
      <w:r w:rsidRPr="00D65A20">
        <w:rPr>
          <w:rFonts w:ascii="Times New Roman" w:hAnsi="Times New Roman"/>
          <w:bCs/>
          <w:color w:val="000000"/>
          <w:szCs w:val="22"/>
          <w:lang w:val="pt-BR" w:eastAsia="es-ES"/>
        </w:rPr>
        <w:tab/>
      </w:r>
      <w:r w:rsidRPr="00D65A20">
        <w:rPr>
          <w:rFonts w:ascii="Times New Roman" w:hAnsi="Times New Roman"/>
          <w:bCs/>
          <w:color w:val="000000"/>
          <w:szCs w:val="22"/>
          <w:u w:val="single"/>
          <w:lang w:val="pt-BR" w:eastAsia="es-ES"/>
        </w:rPr>
        <w:t>Convenção Interamericana contra a Fabricação e o Tráfico Ilícitos de Armas de Fogo, Munições, Explosivos e Outros Materiais Correlatos (CIFTA</w:t>
      </w:r>
      <w:r w:rsidRPr="00D65A20">
        <w:rPr>
          <w:rFonts w:ascii="Times New Roman" w:hAnsi="Times New Roman"/>
          <w:bCs/>
          <w:color w:val="000000"/>
          <w:szCs w:val="22"/>
          <w:lang w:val="pt-BR" w:eastAsia="es-ES"/>
        </w:rPr>
        <w:t>)</w:t>
      </w:r>
    </w:p>
    <w:p w14:paraId="6E8341DD"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 w:val="16"/>
          <w:szCs w:val="22"/>
          <w:lang w:val="pt-BR" w:eastAsia="zh-CN"/>
        </w:rPr>
      </w:pPr>
    </w:p>
    <w:p w14:paraId="6E8341DE" w14:textId="78FFA370" w:rsidR="0011327F" w:rsidRPr="00D65A20" w:rsidRDefault="0011327F" w:rsidP="00AA4399">
      <w:pPr>
        <w:widowControl/>
        <w:numPr>
          <w:ilvl w:val="0"/>
          <w:numId w:val="19"/>
        </w:numPr>
        <w:ind w:left="0"/>
        <w:rPr>
          <w:rFonts w:ascii="Times New Roman" w:hAnsi="Times New Roman"/>
          <w:bCs/>
          <w:color w:val="000000"/>
          <w:szCs w:val="22"/>
          <w:lang w:val="pt-BR"/>
        </w:rPr>
      </w:pPr>
      <w:r w:rsidRPr="00D65A20">
        <w:rPr>
          <w:rFonts w:ascii="Times New Roman" w:hAnsi="Times New Roman"/>
          <w:bCs/>
          <w:color w:val="000000"/>
          <w:szCs w:val="22"/>
          <w:lang w:val="pt-BR"/>
        </w:rPr>
        <w:t xml:space="preserve">Convidar os Estados </w:t>
      </w:r>
      <w:r w:rsidR="00FA2B96" w:rsidRPr="00D65A20">
        <w:rPr>
          <w:rFonts w:ascii="Times New Roman" w:hAnsi="Times New Roman"/>
          <w:bCs/>
          <w:color w:val="000000"/>
          <w:szCs w:val="22"/>
          <w:lang w:val="pt-BR"/>
        </w:rPr>
        <w:t xml:space="preserve">membros </w:t>
      </w:r>
      <w:r w:rsidRPr="00D65A20">
        <w:rPr>
          <w:rFonts w:ascii="Times New Roman" w:hAnsi="Times New Roman"/>
          <w:bCs/>
          <w:color w:val="000000"/>
          <w:szCs w:val="22"/>
          <w:lang w:val="pt-BR"/>
        </w:rPr>
        <w:t xml:space="preserve">que ainda não o fizeram a que considerem aderir à </w:t>
      </w:r>
      <w:r w:rsidR="00393F1D" w:rsidRPr="00D65A20">
        <w:rPr>
          <w:rFonts w:ascii="Times New Roman" w:hAnsi="Times New Roman"/>
          <w:bCs/>
          <w:color w:val="000000"/>
          <w:szCs w:val="22"/>
          <w:lang w:val="pt-BR"/>
        </w:rPr>
        <w:t>CIFTA</w:t>
      </w:r>
      <w:r w:rsidRPr="00D65A20">
        <w:rPr>
          <w:rFonts w:ascii="Times New Roman" w:hAnsi="Times New Roman"/>
          <w:bCs/>
          <w:color w:val="000000"/>
          <w:szCs w:val="22"/>
          <w:lang w:val="pt-BR"/>
        </w:rPr>
        <w:t xml:space="preserve">, bem como a </w:t>
      </w:r>
      <w:r w:rsidRPr="00D65A20">
        <w:rPr>
          <w:rFonts w:ascii="Times New Roman" w:hAnsi="Times New Roman"/>
          <w:bCs/>
          <w:szCs w:val="22"/>
          <w:lang w:val="pt-BR"/>
        </w:rPr>
        <w:t>fortalecer</w:t>
      </w:r>
      <w:r w:rsidRPr="00D65A20">
        <w:rPr>
          <w:rFonts w:ascii="Times New Roman" w:hAnsi="Times New Roman"/>
          <w:bCs/>
          <w:color w:val="000000"/>
          <w:szCs w:val="22"/>
          <w:lang w:val="pt-BR"/>
        </w:rPr>
        <w:t xml:space="preserve"> os mecanismos de coordenação e cooperação para a consolidação da aplicação eficaz da Convenção. </w:t>
      </w:r>
    </w:p>
    <w:p w14:paraId="6E8341DF" w14:textId="14237EB6" w:rsidR="0011327F" w:rsidRPr="00D65A20" w:rsidRDefault="0011327F" w:rsidP="00AA4DDB">
      <w:pPr>
        <w:widowControl/>
        <w:tabs>
          <w:tab w:val="clear" w:pos="720"/>
          <w:tab w:val="clear" w:pos="144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pt-BR"/>
        </w:rPr>
      </w:pPr>
    </w:p>
    <w:p w14:paraId="6E8341E0" w14:textId="20A38FA7" w:rsidR="0011327F" w:rsidRPr="00D65A20" w:rsidRDefault="0011327F" w:rsidP="00AA4399">
      <w:pPr>
        <w:widowControl/>
        <w:numPr>
          <w:ilvl w:val="0"/>
          <w:numId w:val="19"/>
        </w:numPr>
        <w:ind w:left="0"/>
        <w:rPr>
          <w:rFonts w:ascii="Times New Roman" w:hAnsi="Times New Roman"/>
          <w:bCs/>
          <w:color w:val="000000"/>
          <w:szCs w:val="22"/>
          <w:lang w:val="pt-BR"/>
        </w:rPr>
      </w:pPr>
      <w:r w:rsidRPr="00D65A20">
        <w:rPr>
          <w:rFonts w:ascii="Times New Roman" w:hAnsi="Times New Roman"/>
          <w:bCs/>
          <w:color w:val="000000"/>
          <w:szCs w:val="22"/>
          <w:lang w:val="pt-BR"/>
        </w:rPr>
        <w:t xml:space="preserve">Convidar os </w:t>
      </w:r>
      <w:r w:rsidRPr="00D65A20">
        <w:rPr>
          <w:rFonts w:ascii="Times New Roman" w:hAnsi="Times New Roman"/>
          <w:bCs/>
          <w:szCs w:val="22"/>
          <w:lang w:val="pt-BR"/>
        </w:rPr>
        <w:t>Estados</w:t>
      </w:r>
      <w:r w:rsidRPr="00D65A20">
        <w:rPr>
          <w:rFonts w:ascii="Times New Roman" w:hAnsi="Times New Roman"/>
          <w:bCs/>
          <w:color w:val="000000"/>
          <w:szCs w:val="22"/>
          <w:lang w:val="pt-BR"/>
        </w:rPr>
        <w:t xml:space="preserve"> Partes a que avancem na implementação do “Curso de Ação 2018–2022 para o Funcionamento e a Aplicação da CIFTA” e a que solicitem, se for o caso, a assistência técnica e a cooperação da Secretaria-Geral. </w:t>
      </w:r>
    </w:p>
    <w:p w14:paraId="6E8341E1" w14:textId="77777777" w:rsidR="0011327F" w:rsidRPr="00D65A20" w:rsidRDefault="0011327F" w:rsidP="00AA4399">
      <w:pPr>
        <w:widowControl/>
        <w:suppressAutoHyphens/>
        <w:rPr>
          <w:rFonts w:ascii="Times New Roman" w:hAnsi="Times New Roman"/>
          <w:bCs/>
          <w:color w:val="000000"/>
          <w:szCs w:val="22"/>
          <w:lang w:val="pt-BR"/>
        </w:rPr>
      </w:pPr>
    </w:p>
    <w:p w14:paraId="6E8341E2" w14:textId="77777777" w:rsidR="0011327F" w:rsidRPr="00D65A20" w:rsidRDefault="0011327F" w:rsidP="00AA4399">
      <w:pPr>
        <w:widowControl/>
        <w:numPr>
          <w:ilvl w:val="0"/>
          <w:numId w:val="19"/>
        </w:numPr>
        <w:ind w:left="0"/>
        <w:rPr>
          <w:rFonts w:ascii="Times New Roman" w:hAnsi="Times New Roman"/>
          <w:bCs/>
          <w:color w:val="000000"/>
          <w:szCs w:val="22"/>
          <w:lang w:val="pt-BR"/>
        </w:rPr>
      </w:pPr>
      <w:r w:rsidRPr="00D65A20">
        <w:rPr>
          <w:rFonts w:ascii="Times New Roman" w:hAnsi="Times New Roman"/>
          <w:bCs/>
          <w:color w:val="000000"/>
          <w:szCs w:val="22"/>
          <w:lang w:val="pt-BR"/>
        </w:rPr>
        <w:t xml:space="preserve">Incentivar os Estados membros, os Observadores Permanentes, as organizações internacionais e a comunidade internacional a que façam contribuições voluntárias ao fundo fiduciário voluntário dedicado a melhorar as operações e o funcionamento dos mecanismos estabelecidos na CIFTA. </w:t>
      </w:r>
    </w:p>
    <w:p w14:paraId="6E8341E3" w14:textId="77777777" w:rsidR="0011327F" w:rsidRPr="00D65A20" w:rsidRDefault="0011327F" w:rsidP="00AA4399">
      <w:pPr>
        <w:widowControl/>
        <w:rPr>
          <w:rFonts w:ascii="Times New Roman" w:hAnsi="Times New Roman"/>
          <w:bCs/>
          <w:color w:val="000000"/>
          <w:szCs w:val="22"/>
          <w:lang w:val="pt-BR"/>
        </w:rPr>
      </w:pPr>
    </w:p>
    <w:p w14:paraId="6E8341E4" w14:textId="77777777" w:rsidR="0011327F" w:rsidRPr="00D65A20" w:rsidRDefault="0011327F" w:rsidP="00AA4399">
      <w:pPr>
        <w:widowControl/>
        <w:numPr>
          <w:ilvl w:val="0"/>
          <w:numId w:val="19"/>
        </w:numPr>
        <w:ind w:left="0"/>
        <w:rPr>
          <w:rFonts w:ascii="Times New Roman" w:hAnsi="Times New Roman"/>
          <w:bCs/>
          <w:color w:val="000000"/>
          <w:szCs w:val="22"/>
          <w:lang w:val="pt-BR"/>
        </w:rPr>
      </w:pPr>
      <w:r w:rsidRPr="00D65A20">
        <w:rPr>
          <w:rFonts w:ascii="Times New Roman" w:hAnsi="Times New Roman"/>
          <w:bCs/>
          <w:color w:val="000000"/>
          <w:szCs w:val="22"/>
          <w:lang w:val="pt-BR"/>
        </w:rPr>
        <w:t xml:space="preserve">Convocar a </w:t>
      </w:r>
      <w:r w:rsidRPr="00D65A20">
        <w:rPr>
          <w:rFonts w:ascii="Times New Roman" w:hAnsi="Times New Roman"/>
          <w:bCs/>
          <w:szCs w:val="22"/>
          <w:lang w:val="pt-BR"/>
        </w:rPr>
        <w:t>Vigésima</w:t>
      </w:r>
      <w:r w:rsidRPr="00D65A20">
        <w:rPr>
          <w:rFonts w:ascii="Times New Roman" w:hAnsi="Times New Roman"/>
          <w:bCs/>
          <w:color w:val="000000"/>
          <w:szCs w:val="22"/>
          <w:lang w:val="pt-BR"/>
        </w:rPr>
        <w:t xml:space="preserve"> Reunião Ordinária da Comissão Consultiva da CIFTA, em conformidade com o artigo XXI da Convenção, no segundo semestre de 2020, e solicitar à Secretaria Técnica da CIFTA que apoie a preparação e o acompanhamento dessa atividade. </w:t>
      </w:r>
    </w:p>
    <w:p w14:paraId="6E8341E5" w14:textId="77777777" w:rsidR="0011327F" w:rsidRPr="009C048C"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pt-BR"/>
        </w:rPr>
      </w:pPr>
    </w:p>
    <w:p w14:paraId="6E8341E6" w14:textId="77777777" w:rsidR="0011327F" w:rsidRPr="00D65A20" w:rsidRDefault="0011327F" w:rsidP="00AA4399">
      <w:pPr>
        <w:widowControl/>
        <w:numPr>
          <w:ilvl w:val="0"/>
          <w:numId w:val="19"/>
        </w:numPr>
        <w:ind w:left="0"/>
        <w:rPr>
          <w:rFonts w:ascii="Times New Roman" w:hAnsi="Times New Roman"/>
          <w:bCs/>
          <w:color w:val="000000"/>
          <w:szCs w:val="22"/>
          <w:lang w:val="pt-BR"/>
        </w:rPr>
      </w:pPr>
      <w:r w:rsidRPr="00D65A20">
        <w:rPr>
          <w:rFonts w:ascii="Times New Roman" w:hAnsi="Times New Roman"/>
          <w:bCs/>
          <w:color w:val="000000"/>
          <w:szCs w:val="22"/>
          <w:lang w:val="pt-BR"/>
        </w:rPr>
        <w:t>Realizar a Quinta Conferência dos Estados Partes na CIFTA no primeiro semestre de 2021.</w:t>
      </w:r>
    </w:p>
    <w:p w14:paraId="6E8341E7" w14:textId="77777777" w:rsidR="0011327F" w:rsidRPr="009C048C"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6E8341E8" w14:textId="77777777" w:rsidR="0011327F" w:rsidRPr="00D65A20" w:rsidRDefault="0011327F" w:rsidP="00AA4399">
      <w:pPr>
        <w:widowControl/>
        <w:ind w:left="720" w:hanging="720"/>
        <w:jc w:val="left"/>
        <w:rPr>
          <w:rFonts w:ascii="Times New Roman" w:hAnsi="Times New Roman"/>
          <w:bCs/>
          <w:color w:val="000000"/>
          <w:szCs w:val="22"/>
          <w:u w:val="single"/>
          <w:shd w:val="clear" w:color="auto" w:fill="FFFFFF"/>
          <w:lang w:val="pt-BR"/>
        </w:rPr>
      </w:pPr>
      <w:r w:rsidRPr="00D65A20">
        <w:rPr>
          <w:rFonts w:ascii="Times New Roman" w:hAnsi="Times New Roman"/>
          <w:bCs/>
          <w:color w:val="000000"/>
          <w:szCs w:val="22"/>
          <w:shd w:val="clear" w:color="auto" w:fill="FFFFFF"/>
          <w:lang w:val="pt-BR"/>
        </w:rPr>
        <w:tab/>
      </w:r>
      <w:r w:rsidRPr="00D65A20">
        <w:rPr>
          <w:rFonts w:ascii="Times New Roman" w:hAnsi="Times New Roman"/>
          <w:bCs/>
          <w:color w:val="000000"/>
          <w:szCs w:val="22"/>
          <w:u w:val="single"/>
          <w:shd w:val="clear" w:color="auto" w:fill="FFFFFF"/>
          <w:lang w:val="pt-BR"/>
        </w:rPr>
        <w:t>Convenção Interamericana sobre Transparência nas Aquisições de Armas Convencionais (CITAAC)</w:t>
      </w:r>
    </w:p>
    <w:p w14:paraId="6E8341E9" w14:textId="77777777" w:rsidR="0011327F" w:rsidRPr="00D65A20" w:rsidRDefault="0011327F" w:rsidP="00AA4399">
      <w:pPr>
        <w:widowControl/>
        <w:rPr>
          <w:rFonts w:ascii="Times New Roman" w:hAnsi="Times New Roman"/>
          <w:color w:val="000000"/>
          <w:szCs w:val="22"/>
          <w:lang w:val="pt-BR"/>
        </w:rPr>
      </w:pPr>
    </w:p>
    <w:p w14:paraId="6E8341EA" w14:textId="592CF1BF"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Estabelecer março de 2021 </w:t>
      </w:r>
      <w:r w:rsidR="006E3F05" w:rsidRPr="00D65A20">
        <w:rPr>
          <w:rFonts w:ascii="Times New Roman" w:hAnsi="Times New Roman"/>
          <w:szCs w:val="22"/>
          <w:lang w:val="pt-BR"/>
        </w:rPr>
        <w:t xml:space="preserve">e a </w:t>
      </w:r>
      <w:r w:rsidRPr="00D65A20">
        <w:rPr>
          <w:rFonts w:ascii="Times New Roman" w:hAnsi="Times New Roman"/>
          <w:szCs w:val="22"/>
          <w:lang w:val="pt-BR"/>
        </w:rPr>
        <w:t xml:space="preserve">sede da Secretaria-Geral como data e local da Segunda Conferência dos Estados Partes na </w:t>
      </w:r>
      <w:r w:rsidR="0019174C" w:rsidRPr="00D65A20">
        <w:rPr>
          <w:rFonts w:ascii="Times New Roman" w:hAnsi="Times New Roman"/>
          <w:bCs/>
          <w:szCs w:val="22"/>
          <w:lang w:val="pt-BR"/>
        </w:rPr>
        <w:t>CITAAC</w:t>
      </w:r>
      <w:r w:rsidRPr="00D65A20">
        <w:rPr>
          <w:rFonts w:ascii="Times New Roman" w:hAnsi="Times New Roman"/>
          <w:szCs w:val="22"/>
          <w:lang w:val="pt-BR"/>
        </w:rPr>
        <w:t xml:space="preserve">, em conformidade com </w:t>
      </w:r>
      <w:r w:rsidR="0019174C" w:rsidRPr="00D65A20">
        <w:rPr>
          <w:rFonts w:ascii="Times New Roman" w:hAnsi="Times New Roman"/>
          <w:szCs w:val="22"/>
          <w:lang w:val="pt-BR"/>
        </w:rPr>
        <w:t>seu a</w:t>
      </w:r>
      <w:r w:rsidRPr="00D65A20">
        <w:rPr>
          <w:rFonts w:ascii="Times New Roman" w:hAnsi="Times New Roman"/>
          <w:szCs w:val="22"/>
          <w:lang w:val="pt-BR"/>
        </w:rPr>
        <w:t xml:space="preserve">rtigo VIII e a resolução AG/RES. 2809 (XLIII-O/13), e solicitar à Secretaria-Geral que aloque </w:t>
      </w:r>
      <w:r w:rsidR="0019174C" w:rsidRPr="00D65A20">
        <w:rPr>
          <w:rFonts w:ascii="Times New Roman" w:hAnsi="Times New Roman"/>
          <w:szCs w:val="22"/>
          <w:lang w:val="pt-BR"/>
        </w:rPr>
        <w:t xml:space="preserve">os </w:t>
      </w:r>
      <w:r w:rsidRPr="00D65A20">
        <w:rPr>
          <w:rFonts w:ascii="Times New Roman" w:hAnsi="Times New Roman"/>
          <w:szCs w:val="22"/>
          <w:lang w:val="pt-BR"/>
        </w:rPr>
        <w:t>recursos</w:t>
      </w:r>
      <w:r w:rsidR="0019174C" w:rsidRPr="00D65A20">
        <w:rPr>
          <w:rFonts w:ascii="Times New Roman" w:hAnsi="Times New Roman"/>
          <w:szCs w:val="22"/>
          <w:lang w:val="pt-BR"/>
        </w:rPr>
        <w:t xml:space="preserve"> necessários no orçamento</w:t>
      </w:r>
      <w:r w:rsidRPr="00D65A20">
        <w:rPr>
          <w:rFonts w:ascii="Times New Roman" w:hAnsi="Times New Roman"/>
          <w:szCs w:val="22"/>
          <w:lang w:val="pt-BR"/>
        </w:rPr>
        <w:t xml:space="preserve"> para a </w:t>
      </w:r>
      <w:r w:rsidR="0019174C" w:rsidRPr="00D65A20">
        <w:rPr>
          <w:rFonts w:ascii="Times New Roman" w:hAnsi="Times New Roman"/>
          <w:szCs w:val="22"/>
          <w:lang w:val="pt-BR"/>
        </w:rPr>
        <w:t xml:space="preserve">referida </w:t>
      </w:r>
      <w:r w:rsidRPr="00D65A20">
        <w:rPr>
          <w:rFonts w:ascii="Times New Roman" w:hAnsi="Times New Roman"/>
          <w:szCs w:val="22"/>
          <w:lang w:val="pt-BR"/>
        </w:rPr>
        <w:t xml:space="preserve">conferência e para </w:t>
      </w:r>
      <w:r w:rsidR="0019174C" w:rsidRPr="00D65A20">
        <w:rPr>
          <w:rFonts w:ascii="Times New Roman" w:hAnsi="Times New Roman"/>
          <w:szCs w:val="22"/>
          <w:lang w:val="pt-BR"/>
        </w:rPr>
        <w:t xml:space="preserve">a realização de uma </w:t>
      </w:r>
      <w:r w:rsidRPr="00D65A20">
        <w:rPr>
          <w:rFonts w:ascii="Times New Roman" w:hAnsi="Times New Roman"/>
          <w:szCs w:val="22"/>
          <w:lang w:val="pt-BR"/>
        </w:rPr>
        <w:t>reunião preparatória</w:t>
      </w:r>
      <w:r w:rsidR="0019174C" w:rsidRPr="00D65A20">
        <w:rPr>
          <w:rFonts w:ascii="Times New Roman" w:hAnsi="Times New Roman"/>
          <w:szCs w:val="22"/>
          <w:lang w:val="pt-BR"/>
        </w:rPr>
        <w:t>,</w:t>
      </w:r>
      <w:r w:rsidRPr="00D65A20">
        <w:rPr>
          <w:rFonts w:ascii="Times New Roman" w:hAnsi="Times New Roman"/>
          <w:szCs w:val="22"/>
          <w:lang w:val="pt-BR"/>
        </w:rPr>
        <w:t xml:space="preserve"> e </w:t>
      </w:r>
      <w:r w:rsidR="0019174C" w:rsidRPr="00D65A20">
        <w:rPr>
          <w:rFonts w:ascii="Times New Roman" w:hAnsi="Times New Roman"/>
          <w:szCs w:val="22"/>
          <w:lang w:val="pt-BR"/>
        </w:rPr>
        <w:t xml:space="preserve">que preste o apoio necessário para </w:t>
      </w:r>
      <w:r w:rsidRPr="00D65A20">
        <w:rPr>
          <w:rFonts w:ascii="Times New Roman" w:hAnsi="Times New Roman"/>
          <w:szCs w:val="22"/>
          <w:lang w:val="pt-BR"/>
        </w:rPr>
        <w:t>os seus preparativos e acompanhamento.</w:t>
      </w:r>
    </w:p>
    <w:p w14:paraId="6E8341EB"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1EC" w14:textId="2C431E5B"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Tomar nota das recomendações da </w:t>
      </w:r>
      <w:r w:rsidR="00075B73" w:rsidRPr="00D65A20">
        <w:rPr>
          <w:rFonts w:ascii="Times New Roman" w:hAnsi="Times New Roman"/>
          <w:szCs w:val="22"/>
          <w:lang w:val="pt-BR"/>
        </w:rPr>
        <w:t>SSM</w:t>
      </w:r>
      <w:r w:rsidRPr="00D65A20">
        <w:rPr>
          <w:rFonts w:ascii="Times New Roman" w:hAnsi="Times New Roman"/>
          <w:szCs w:val="22"/>
          <w:lang w:val="pt-BR"/>
        </w:rPr>
        <w:t xml:space="preserve"> e da JID sobre a criação de uma secretaria técnica para a </w:t>
      </w:r>
      <w:r w:rsidRPr="00D65A20">
        <w:rPr>
          <w:rFonts w:ascii="Times New Roman" w:hAnsi="Times New Roman"/>
          <w:bCs/>
          <w:szCs w:val="22"/>
          <w:lang w:val="pt-BR"/>
        </w:rPr>
        <w:t>CITAAC</w:t>
      </w:r>
      <w:r w:rsidRPr="00D65A20">
        <w:rPr>
          <w:rFonts w:ascii="Times New Roman" w:hAnsi="Times New Roman"/>
          <w:szCs w:val="22"/>
          <w:lang w:val="pt-BR"/>
        </w:rPr>
        <w:t xml:space="preserve"> (documento CP/CSH-1978/20) e solicitar que a CSH as examine anteriormente à Segunda Conferência dos Estados Partes na Convenção.</w:t>
      </w:r>
    </w:p>
    <w:p w14:paraId="6E8341ED" w14:textId="77777777" w:rsidR="0011327F" w:rsidRPr="00D65A20" w:rsidRDefault="0011327F" w:rsidP="00AA4399">
      <w:pPr>
        <w:widowControl/>
        <w:rPr>
          <w:rFonts w:ascii="Times New Roman" w:hAnsi="Times New Roman"/>
          <w:szCs w:val="22"/>
          <w:lang w:val="pt-BR"/>
        </w:rPr>
      </w:pPr>
    </w:p>
    <w:p w14:paraId="6E8341EE" w14:textId="77777777" w:rsidR="0011327F" w:rsidRPr="00D65A20" w:rsidRDefault="0011327F" w:rsidP="00AA4399">
      <w:pPr>
        <w:widowControl/>
        <w:rPr>
          <w:rFonts w:ascii="Times New Roman" w:hAnsi="Times New Roman"/>
          <w:color w:val="000000"/>
          <w:szCs w:val="22"/>
          <w:u w:val="single"/>
          <w:lang w:val="pt-BR"/>
        </w:rPr>
      </w:pPr>
      <w:r w:rsidRPr="00D65A20">
        <w:rPr>
          <w:rFonts w:ascii="Times New Roman" w:hAnsi="Times New Roman"/>
          <w:color w:val="000000"/>
          <w:szCs w:val="22"/>
          <w:lang w:val="pt-BR"/>
        </w:rPr>
        <w:lastRenderedPageBreak/>
        <w:tab/>
      </w:r>
      <w:r w:rsidRPr="00D65A20">
        <w:rPr>
          <w:rFonts w:ascii="Times New Roman" w:hAnsi="Times New Roman"/>
          <w:color w:val="000000"/>
          <w:szCs w:val="22"/>
          <w:u w:val="single"/>
          <w:lang w:val="pt-BR"/>
        </w:rPr>
        <w:t>Convenção Interamericana contra o Terrorismo</w:t>
      </w:r>
    </w:p>
    <w:p w14:paraId="6E8341EF" w14:textId="77777777" w:rsidR="0011327F" w:rsidRPr="00D65A20" w:rsidRDefault="0011327F" w:rsidP="00AA4399">
      <w:pPr>
        <w:widowControl/>
        <w:rPr>
          <w:rFonts w:ascii="Times New Roman" w:hAnsi="Times New Roman"/>
          <w:color w:val="000000"/>
          <w:szCs w:val="22"/>
          <w:u w:val="single"/>
          <w:lang w:val="pt-BR"/>
        </w:rPr>
      </w:pPr>
    </w:p>
    <w:p w14:paraId="6E8341F0" w14:textId="77777777" w:rsidR="0011327F" w:rsidRPr="00D65A20" w:rsidRDefault="0011327F" w:rsidP="00AA4399">
      <w:pPr>
        <w:widowControl/>
        <w:numPr>
          <w:ilvl w:val="0"/>
          <w:numId w:val="19"/>
        </w:numPr>
        <w:ind w:left="0"/>
        <w:rPr>
          <w:rFonts w:ascii="Times New Roman" w:hAnsi="Times New Roman"/>
          <w:color w:val="000000"/>
          <w:szCs w:val="22"/>
          <w:lang w:val="pt-BR"/>
        </w:rPr>
      </w:pPr>
      <w:r w:rsidRPr="00D65A20">
        <w:rPr>
          <w:rFonts w:ascii="Times New Roman" w:hAnsi="Times New Roman"/>
          <w:szCs w:val="22"/>
          <w:lang w:val="pt-BR"/>
        </w:rPr>
        <w:t xml:space="preserve">Convocar a primeira </w:t>
      </w:r>
      <w:r w:rsidRPr="00D65A20">
        <w:rPr>
          <w:rFonts w:ascii="Times New Roman" w:hAnsi="Times New Roman"/>
          <w:bCs/>
          <w:szCs w:val="22"/>
          <w:lang w:val="pt-BR"/>
        </w:rPr>
        <w:t>reunião</w:t>
      </w:r>
      <w:r w:rsidRPr="00D65A20">
        <w:rPr>
          <w:rFonts w:ascii="Times New Roman" w:hAnsi="Times New Roman"/>
          <w:szCs w:val="22"/>
          <w:lang w:val="pt-BR"/>
        </w:rPr>
        <w:t xml:space="preserve"> dos Estados Partes na Convenção Interamericana contra o Terrorismo para a primeira metade de 2021 na sede da OEA, em Washington, D.C.</w:t>
      </w:r>
    </w:p>
    <w:p w14:paraId="6E8341F1" w14:textId="77777777" w:rsidR="006E3F05" w:rsidRPr="00D65A20" w:rsidRDefault="006E3F05" w:rsidP="009C048C">
      <w:pPr>
        <w:widowControl/>
        <w:rPr>
          <w:rFonts w:ascii="Times New Roman" w:hAnsi="Times New Roman"/>
          <w:color w:val="000000"/>
          <w:szCs w:val="22"/>
          <w:lang w:val="pt-BR"/>
        </w:rPr>
      </w:pPr>
    </w:p>
    <w:p w14:paraId="6E8341F2" w14:textId="6E2C2AA0" w:rsidR="0011327F" w:rsidRPr="00D65A20" w:rsidRDefault="0011327F" w:rsidP="00AA4399">
      <w:pPr>
        <w:widowControl/>
        <w:numPr>
          <w:ilvl w:val="0"/>
          <w:numId w:val="19"/>
        </w:numPr>
        <w:ind w:left="0"/>
        <w:rPr>
          <w:rFonts w:ascii="Times New Roman" w:hAnsi="Times New Roman"/>
          <w:color w:val="000000"/>
          <w:szCs w:val="22"/>
          <w:lang w:val="pt-BR"/>
        </w:rPr>
      </w:pPr>
      <w:r w:rsidRPr="00D65A20">
        <w:rPr>
          <w:rFonts w:ascii="Times New Roman" w:hAnsi="Times New Roman"/>
          <w:szCs w:val="22"/>
          <w:lang w:val="pt-BR"/>
        </w:rPr>
        <w:t xml:space="preserve">Convidar os </w:t>
      </w:r>
      <w:r w:rsidRPr="00D65A20">
        <w:rPr>
          <w:rFonts w:ascii="Times New Roman" w:hAnsi="Times New Roman"/>
          <w:bCs/>
          <w:szCs w:val="22"/>
          <w:lang w:val="pt-BR"/>
        </w:rPr>
        <w:t>Estados</w:t>
      </w:r>
      <w:r w:rsidRPr="00D65A20">
        <w:rPr>
          <w:rFonts w:ascii="Times New Roman" w:hAnsi="Times New Roman"/>
          <w:szCs w:val="22"/>
          <w:lang w:val="pt-BR"/>
        </w:rPr>
        <w:t xml:space="preserve"> membros que ainda não o fizeram a </w:t>
      </w:r>
      <w:r w:rsidR="006E3F05" w:rsidRPr="00D65A20">
        <w:rPr>
          <w:rFonts w:ascii="Times New Roman" w:hAnsi="Times New Roman"/>
          <w:szCs w:val="22"/>
          <w:lang w:val="pt-BR"/>
        </w:rPr>
        <w:t xml:space="preserve">que considerem </w:t>
      </w:r>
      <w:r w:rsidRPr="00D65A20">
        <w:rPr>
          <w:rFonts w:ascii="Times New Roman" w:hAnsi="Times New Roman"/>
          <w:szCs w:val="22"/>
          <w:lang w:val="pt-BR"/>
        </w:rPr>
        <w:t>sua ratificação ou adesão, conforme o caso, à Convenção Interamericana contra o Terrorismo, aprovada em Bridgetown</w:t>
      </w:r>
      <w:r w:rsidR="008D6BDC">
        <w:rPr>
          <w:rFonts w:ascii="Times New Roman" w:hAnsi="Times New Roman"/>
          <w:szCs w:val="22"/>
          <w:lang w:val="pt-BR"/>
        </w:rPr>
        <w:t xml:space="preserve"> (</w:t>
      </w:r>
      <w:r w:rsidRPr="00D65A20">
        <w:rPr>
          <w:rFonts w:ascii="Times New Roman" w:hAnsi="Times New Roman"/>
          <w:szCs w:val="22"/>
          <w:lang w:val="pt-BR"/>
        </w:rPr>
        <w:t>Barbados</w:t>
      </w:r>
      <w:r w:rsidR="008D6BDC">
        <w:rPr>
          <w:rFonts w:ascii="Times New Roman" w:hAnsi="Times New Roman"/>
          <w:szCs w:val="22"/>
          <w:lang w:val="pt-BR"/>
        </w:rPr>
        <w:t>)</w:t>
      </w:r>
      <w:r w:rsidRPr="00D65A20">
        <w:rPr>
          <w:rFonts w:ascii="Times New Roman" w:hAnsi="Times New Roman"/>
          <w:szCs w:val="22"/>
          <w:lang w:val="pt-BR"/>
        </w:rPr>
        <w:t>, em 3 de junho de 2002, e que apoiem sua plena implementação.</w:t>
      </w:r>
    </w:p>
    <w:p w14:paraId="6E8341F3" w14:textId="77777777" w:rsidR="0011327F" w:rsidRPr="00D65A20" w:rsidRDefault="0011327F" w:rsidP="00AA4399">
      <w:pPr>
        <w:widowControl/>
        <w:rPr>
          <w:rFonts w:ascii="Times New Roman" w:hAnsi="Times New Roman"/>
          <w:color w:val="000000"/>
          <w:szCs w:val="22"/>
          <w:lang w:val="pt-BR"/>
        </w:rPr>
      </w:pPr>
    </w:p>
    <w:p w14:paraId="6E8341F4" w14:textId="77777777" w:rsidR="0011327F" w:rsidRPr="00D65A20" w:rsidRDefault="0011327F" w:rsidP="00AA4399">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u w:val="single"/>
          <w:lang w:val="pt-BR" w:eastAsia="zh-CN"/>
        </w:rPr>
      </w:pPr>
      <w:r w:rsidRPr="00D65A20">
        <w:rPr>
          <w:rFonts w:ascii="Times New Roman" w:hAnsi="Times New Roman"/>
          <w:color w:val="000000"/>
          <w:szCs w:val="22"/>
          <w:u w:val="single"/>
          <w:lang w:val="pt-BR"/>
        </w:rPr>
        <w:t xml:space="preserve">Instituições interamericanas: </w:t>
      </w:r>
      <w:r w:rsidR="006E3F05" w:rsidRPr="00D65A20">
        <w:rPr>
          <w:rFonts w:ascii="Times New Roman" w:hAnsi="Times New Roman"/>
          <w:color w:val="000000"/>
          <w:szCs w:val="22"/>
          <w:u w:val="single"/>
          <w:lang w:val="pt-BR"/>
        </w:rPr>
        <w:t>O</w:t>
      </w:r>
      <w:r w:rsidRPr="00D65A20">
        <w:rPr>
          <w:rFonts w:ascii="Times New Roman" w:hAnsi="Times New Roman"/>
          <w:color w:val="000000"/>
          <w:szCs w:val="22"/>
          <w:u w:val="single"/>
          <w:lang w:val="pt-BR"/>
        </w:rPr>
        <w:t>bservações e recomendações apresentadas nos relatórios anuais dos órgãos, organismos e entidades da Organização (artigo 91.f da Carta da Organização dos Estados Americanos)</w:t>
      </w:r>
    </w:p>
    <w:p w14:paraId="6E8341F5" w14:textId="77777777" w:rsidR="0011327F" w:rsidRPr="00D65A20" w:rsidRDefault="0011327F" w:rsidP="00AA4399">
      <w:pPr>
        <w:widowControl/>
        <w:rPr>
          <w:rFonts w:ascii="Times New Roman" w:hAnsi="Times New Roman"/>
          <w:color w:val="000000"/>
          <w:szCs w:val="22"/>
          <w:lang w:val="pt-BR"/>
        </w:rPr>
      </w:pPr>
    </w:p>
    <w:p w14:paraId="6E8341F6" w14:textId="77777777" w:rsidR="0011327F" w:rsidRPr="00D65A20" w:rsidRDefault="0011327F" w:rsidP="00AA4399">
      <w:pPr>
        <w:widowControl/>
        <w:suppressAutoHyphens/>
        <w:rPr>
          <w:rFonts w:ascii="Times New Roman" w:hAnsi="Times New Roman"/>
          <w:color w:val="000000"/>
          <w:szCs w:val="22"/>
          <w:lang w:val="pt-BR"/>
        </w:rPr>
      </w:pPr>
      <w:r w:rsidRPr="00D65A20">
        <w:rPr>
          <w:rFonts w:ascii="Times New Roman" w:hAnsi="Times New Roman"/>
          <w:color w:val="000000"/>
          <w:szCs w:val="22"/>
          <w:lang w:val="pt-BR"/>
        </w:rPr>
        <w:tab/>
      </w:r>
      <w:r w:rsidRPr="00D65A20">
        <w:rPr>
          <w:rFonts w:ascii="Times New Roman" w:hAnsi="Times New Roman"/>
          <w:color w:val="000000"/>
          <w:szCs w:val="22"/>
          <w:u w:val="single"/>
          <w:lang w:val="pt-BR"/>
        </w:rPr>
        <w:t xml:space="preserve">Comitê Interamericano contra o Terrorismo (CICTE) </w:t>
      </w:r>
    </w:p>
    <w:p w14:paraId="6E8341F7" w14:textId="77777777" w:rsidR="0011327F" w:rsidRPr="00D65A20" w:rsidRDefault="0011327F" w:rsidP="00AA4399">
      <w:pPr>
        <w:widowControl/>
        <w:rPr>
          <w:rFonts w:ascii="Times New Roman" w:hAnsi="Times New Roman"/>
          <w:szCs w:val="22"/>
          <w:lang w:val="pt-BR"/>
        </w:rPr>
      </w:pPr>
    </w:p>
    <w:p w14:paraId="6E8341F8"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Reiterar sua enérgica e inequívoca condenação ao terrorismo em todas as suas formas e manifestações, </w:t>
      </w:r>
      <w:r w:rsidRPr="00D65A20">
        <w:rPr>
          <w:rFonts w:ascii="Times New Roman" w:hAnsi="Times New Roman"/>
          <w:bCs/>
          <w:szCs w:val="22"/>
          <w:lang w:val="pt-BR"/>
        </w:rPr>
        <w:t>independentemente</w:t>
      </w:r>
      <w:r w:rsidRPr="00D65A20">
        <w:rPr>
          <w:rFonts w:ascii="Times New Roman" w:hAnsi="Times New Roman"/>
          <w:szCs w:val="22"/>
          <w:lang w:val="pt-BR"/>
        </w:rPr>
        <w:t xml:space="preserve"> de quem o cometa e de onde e com que propósitos seja cometido. </w:t>
      </w:r>
    </w:p>
    <w:p w14:paraId="6E8341F9" w14:textId="77777777" w:rsidR="0011327F" w:rsidRPr="00D65A20" w:rsidRDefault="0011327F" w:rsidP="00AA4399">
      <w:pPr>
        <w:widowControl/>
        <w:rPr>
          <w:rFonts w:ascii="Times New Roman" w:hAnsi="Times New Roman"/>
          <w:szCs w:val="22"/>
          <w:lang w:val="pt-BR"/>
        </w:rPr>
      </w:pPr>
    </w:p>
    <w:p w14:paraId="6E8341FA" w14:textId="651C9EDD"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bCs/>
          <w:szCs w:val="22"/>
          <w:lang w:val="pt-BR"/>
        </w:rPr>
        <w:t xml:space="preserve">Reafirmar seu compromisso com o trabalho do </w:t>
      </w:r>
      <w:r w:rsidRPr="00D65A20">
        <w:rPr>
          <w:rFonts w:ascii="Times New Roman" w:hAnsi="Times New Roman"/>
          <w:szCs w:val="22"/>
          <w:lang w:val="pt-BR"/>
        </w:rPr>
        <w:t xml:space="preserve">CICTE como a principal entidade regional que tem como propósito prevenir e combater o terrorismo nas Américas, assim como reconhecer as importantes conquistas alcançadas durante mais de vinte anos de trabalho. </w:t>
      </w:r>
    </w:p>
    <w:p w14:paraId="6E8341FB" w14:textId="77777777" w:rsidR="0011327F" w:rsidRPr="00D65A20" w:rsidRDefault="0011327F" w:rsidP="00AA4399">
      <w:pPr>
        <w:widowControl/>
        <w:rPr>
          <w:rFonts w:ascii="Times New Roman" w:hAnsi="Times New Roman"/>
          <w:szCs w:val="22"/>
          <w:lang w:val="pt-BR"/>
        </w:rPr>
      </w:pPr>
    </w:p>
    <w:p w14:paraId="6E8341FC"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Continuar </w:t>
      </w:r>
      <w:r w:rsidRPr="00D65A20">
        <w:rPr>
          <w:rFonts w:ascii="Times New Roman" w:hAnsi="Times New Roman"/>
          <w:bCs/>
          <w:szCs w:val="22"/>
          <w:lang w:val="pt-BR"/>
        </w:rPr>
        <w:t>comemorando</w:t>
      </w:r>
      <w:r w:rsidRPr="00D65A20">
        <w:rPr>
          <w:rFonts w:ascii="Times New Roman" w:hAnsi="Times New Roman"/>
          <w:szCs w:val="22"/>
          <w:lang w:val="pt-BR"/>
        </w:rPr>
        <w:t xml:space="preserve">, em conformidade com a </w:t>
      </w:r>
      <w:r w:rsidR="006E3F05" w:rsidRPr="00D65A20">
        <w:rPr>
          <w:rFonts w:ascii="Times New Roman" w:hAnsi="Times New Roman"/>
          <w:szCs w:val="22"/>
          <w:lang w:val="pt-BR"/>
        </w:rPr>
        <w:t>d</w:t>
      </w:r>
      <w:r w:rsidRPr="00D65A20">
        <w:rPr>
          <w:rFonts w:ascii="Times New Roman" w:hAnsi="Times New Roman"/>
          <w:szCs w:val="22"/>
          <w:lang w:val="pt-BR"/>
        </w:rPr>
        <w:t xml:space="preserve">eclaração AG/DEC. 101 (XLIX-O/19), </w:t>
      </w:r>
      <w:r w:rsidR="00FA2B96" w:rsidRPr="00D65A20">
        <w:rPr>
          <w:rFonts w:ascii="Times New Roman" w:hAnsi="Times New Roman"/>
          <w:szCs w:val="22"/>
          <w:lang w:val="pt-BR"/>
        </w:rPr>
        <w:t xml:space="preserve">“A ameaça dos grupos terroristas à segurança internacional e ao pleno gozo dos direitos humanos”, </w:t>
      </w:r>
      <w:r w:rsidRPr="00D65A20">
        <w:rPr>
          <w:rFonts w:ascii="Times New Roman" w:hAnsi="Times New Roman"/>
          <w:szCs w:val="22"/>
          <w:lang w:val="pt-BR"/>
        </w:rPr>
        <w:t xml:space="preserve">o </w:t>
      </w:r>
      <w:r w:rsidRPr="00D65A20">
        <w:rPr>
          <w:rFonts w:ascii="Times New Roman" w:hAnsi="Times New Roman"/>
          <w:bCs/>
          <w:szCs w:val="22"/>
          <w:lang w:val="pt-BR"/>
        </w:rPr>
        <w:t>Dia Interamericano contra o Terrorismo,</w:t>
      </w:r>
      <w:r w:rsidRPr="00D65A20">
        <w:rPr>
          <w:rFonts w:ascii="Times New Roman" w:hAnsi="Times New Roman"/>
          <w:szCs w:val="22"/>
          <w:lang w:val="pt-BR"/>
        </w:rPr>
        <w:t xml:space="preserve"> em 3 de junho de cada ano, de maneira apropriada, incluindo atividades educativas e de sensibilização pública, bem como a difusão dos esforços realizados para fortalecer a cooperação hemisférica na prevenção, </w:t>
      </w:r>
      <w:r w:rsidR="00C0481D" w:rsidRPr="00D65A20">
        <w:rPr>
          <w:rFonts w:ascii="Times New Roman" w:hAnsi="Times New Roman"/>
          <w:szCs w:val="22"/>
          <w:lang w:val="pt-BR"/>
        </w:rPr>
        <w:t xml:space="preserve">no </w:t>
      </w:r>
      <w:r w:rsidRPr="00D65A20">
        <w:rPr>
          <w:rFonts w:ascii="Times New Roman" w:hAnsi="Times New Roman"/>
          <w:szCs w:val="22"/>
          <w:lang w:val="pt-BR"/>
        </w:rPr>
        <w:t xml:space="preserve">combate e </w:t>
      </w:r>
      <w:r w:rsidR="00C0481D" w:rsidRPr="00D65A20">
        <w:rPr>
          <w:rFonts w:ascii="Times New Roman" w:hAnsi="Times New Roman"/>
          <w:szCs w:val="22"/>
          <w:lang w:val="pt-BR"/>
        </w:rPr>
        <w:t xml:space="preserve">na </w:t>
      </w:r>
      <w:r w:rsidRPr="00D65A20">
        <w:rPr>
          <w:rFonts w:ascii="Times New Roman" w:hAnsi="Times New Roman"/>
          <w:szCs w:val="22"/>
          <w:lang w:val="pt-BR"/>
        </w:rPr>
        <w:t xml:space="preserve">eliminação do terrorismo em todas as suas formas e manifestações. </w:t>
      </w:r>
    </w:p>
    <w:p w14:paraId="6E8341FD" w14:textId="77777777" w:rsidR="0011327F" w:rsidRPr="00D65A20" w:rsidRDefault="0011327F" w:rsidP="00AA4399">
      <w:pPr>
        <w:widowControl/>
        <w:rPr>
          <w:rFonts w:ascii="Times New Roman" w:hAnsi="Times New Roman"/>
          <w:szCs w:val="22"/>
          <w:lang w:val="pt-BR"/>
        </w:rPr>
      </w:pPr>
    </w:p>
    <w:p w14:paraId="6E8341FE" w14:textId="16077894" w:rsidR="0011327F" w:rsidRPr="00D65A20" w:rsidRDefault="0011327F" w:rsidP="00AA4399">
      <w:pPr>
        <w:widowControl/>
        <w:numPr>
          <w:ilvl w:val="0"/>
          <w:numId w:val="19"/>
        </w:numPr>
        <w:ind w:left="0"/>
        <w:rPr>
          <w:rFonts w:ascii="Times New Roman" w:hAnsi="Times New Roman"/>
          <w:szCs w:val="22"/>
          <w:lang w:val="pt-BR"/>
        </w:rPr>
      </w:pPr>
      <w:bookmarkStart w:id="24" w:name="_Hlk50713693"/>
      <w:r w:rsidRPr="00D65A20">
        <w:rPr>
          <w:rFonts w:ascii="Times New Roman" w:hAnsi="Times New Roman"/>
          <w:szCs w:val="22"/>
          <w:lang w:val="pt-BR"/>
        </w:rPr>
        <w:t xml:space="preserve">Promover uma </w:t>
      </w:r>
      <w:r w:rsidRPr="00D65A20">
        <w:rPr>
          <w:rFonts w:ascii="Times New Roman" w:hAnsi="Times New Roman"/>
          <w:bCs/>
          <w:szCs w:val="22"/>
          <w:lang w:val="pt-BR"/>
        </w:rPr>
        <w:t>robusta</w:t>
      </w:r>
      <w:r w:rsidRPr="00D65A20">
        <w:rPr>
          <w:rFonts w:ascii="Times New Roman" w:hAnsi="Times New Roman"/>
          <w:szCs w:val="22"/>
          <w:lang w:val="pt-BR"/>
        </w:rPr>
        <w:t xml:space="preserve"> cooperação sobre cibersegurança da infraestrutura crítica entre representantes de governo e do setor privado, inclusive os donos e operadores de infraestruturas críticas, membros da sociedade civil e </w:t>
      </w:r>
      <w:r w:rsidR="00FA2B96" w:rsidRPr="00D65A20">
        <w:rPr>
          <w:rFonts w:ascii="Times New Roman" w:hAnsi="Times New Roman"/>
          <w:szCs w:val="22"/>
          <w:lang w:val="pt-BR"/>
        </w:rPr>
        <w:t>do setor acadêmico</w:t>
      </w:r>
      <w:r w:rsidRPr="00D65A20">
        <w:rPr>
          <w:rFonts w:ascii="Times New Roman" w:hAnsi="Times New Roman"/>
          <w:szCs w:val="22"/>
          <w:lang w:val="pt-BR"/>
        </w:rPr>
        <w:t xml:space="preserve">, da mesma forma que o público </w:t>
      </w:r>
      <w:r w:rsidR="00FA2B96" w:rsidRPr="00D65A20">
        <w:rPr>
          <w:rFonts w:ascii="Times New Roman" w:hAnsi="Times New Roman"/>
          <w:szCs w:val="22"/>
          <w:lang w:val="pt-BR"/>
        </w:rPr>
        <w:t xml:space="preserve">em </w:t>
      </w:r>
      <w:r w:rsidRPr="00D65A20">
        <w:rPr>
          <w:rFonts w:ascii="Times New Roman" w:hAnsi="Times New Roman"/>
          <w:szCs w:val="22"/>
          <w:lang w:val="pt-BR"/>
        </w:rPr>
        <w:t>geral, enfatizando a importância de compartilhar e implementar as boas práticas de cibersegurança em todos os níveis.</w:t>
      </w:r>
      <w:bookmarkEnd w:id="24"/>
      <w:r w:rsidRPr="00D65A20">
        <w:rPr>
          <w:rFonts w:ascii="Times New Roman" w:hAnsi="Times New Roman"/>
          <w:szCs w:val="22"/>
          <w:lang w:val="pt-BR"/>
        </w:rPr>
        <w:t xml:space="preserve"> </w:t>
      </w:r>
    </w:p>
    <w:p w14:paraId="6E8341FF"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16"/>
          <w:szCs w:val="22"/>
          <w:lang w:val="pt-BR"/>
        </w:rPr>
      </w:pPr>
    </w:p>
    <w:p w14:paraId="6E834200"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Fortalecer as </w:t>
      </w:r>
      <w:r w:rsidRPr="00D65A20">
        <w:rPr>
          <w:rFonts w:ascii="Times New Roman" w:hAnsi="Times New Roman"/>
          <w:bCs/>
          <w:szCs w:val="22"/>
          <w:lang w:val="pt-BR"/>
        </w:rPr>
        <w:t>medidas</w:t>
      </w:r>
      <w:r w:rsidRPr="00D65A20">
        <w:rPr>
          <w:rFonts w:ascii="Times New Roman" w:hAnsi="Times New Roman"/>
          <w:szCs w:val="22"/>
          <w:lang w:val="pt-BR"/>
        </w:rPr>
        <w:t xml:space="preserve"> de proteção das crianças, inclusive a proteção contra a exploração sexual, modernizando as disposições do direito penal para circunscrever de maneira mais efetiva o uso de sistemas informáticos no cometimento de delitos sexuais contra crianças. </w:t>
      </w:r>
    </w:p>
    <w:p w14:paraId="6E834201" w14:textId="77777777" w:rsidR="0011327F" w:rsidRPr="00D65A20" w:rsidRDefault="0011327F" w:rsidP="00AA4399">
      <w:pPr>
        <w:widowControl/>
        <w:rPr>
          <w:rFonts w:ascii="Times New Roman" w:hAnsi="Times New Roman"/>
          <w:szCs w:val="22"/>
          <w:lang w:val="pt-BR"/>
        </w:rPr>
      </w:pPr>
    </w:p>
    <w:p w14:paraId="6E834202" w14:textId="1A12BA7A"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Ressaltar a necessidade de iniciar uma estreita cooperação em matéria de cibersegurança entre os Estados membros enquanto os efeitos da </w:t>
      </w:r>
      <w:r w:rsidR="00877D54" w:rsidRPr="00D65A20">
        <w:rPr>
          <w:rFonts w:ascii="Times New Roman" w:hAnsi="Times New Roman"/>
          <w:szCs w:val="22"/>
          <w:lang w:val="pt-BR"/>
        </w:rPr>
        <w:t>pandemia de</w:t>
      </w:r>
      <w:r w:rsidRPr="00D65A20">
        <w:rPr>
          <w:rFonts w:ascii="Times New Roman" w:hAnsi="Times New Roman"/>
          <w:szCs w:val="22"/>
          <w:lang w:val="pt-BR"/>
        </w:rPr>
        <w:t xml:space="preserve"> covid-19 expandem o panorama de ameaças cibernéticas e aumentam as oportunidades para as atividades cibernéticas maliciosas, o que torna mais vulneráveis os cidadãos e os governos. </w:t>
      </w:r>
    </w:p>
    <w:p w14:paraId="6E834203" w14:textId="77777777" w:rsidR="0011327F" w:rsidRPr="00D65A20" w:rsidRDefault="0011327F" w:rsidP="00AA4399">
      <w:pPr>
        <w:widowControl/>
        <w:rPr>
          <w:rFonts w:ascii="Times New Roman" w:hAnsi="Times New Roman"/>
          <w:szCs w:val="22"/>
          <w:lang w:val="pt-BR"/>
        </w:rPr>
      </w:pPr>
    </w:p>
    <w:p w14:paraId="6E834204" w14:textId="75D797A1"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Solicitar à Secretaria do CICTE</w:t>
      </w:r>
      <w:r w:rsidR="00FA2B96" w:rsidRPr="00D65A20">
        <w:rPr>
          <w:rFonts w:ascii="Times New Roman" w:hAnsi="Times New Roman"/>
          <w:szCs w:val="22"/>
          <w:lang w:val="pt-BR"/>
        </w:rPr>
        <w:t xml:space="preserve"> que</w:t>
      </w:r>
      <w:r w:rsidRPr="00D65A20">
        <w:rPr>
          <w:rFonts w:ascii="Times New Roman" w:hAnsi="Times New Roman"/>
          <w:szCs w:val="22"/>
          <w:lang w:val="pt-BR"/>
        </w:rPr>
        <w:t xml:space="preserve">, mediante seu Programa de Cibersegurança, apoie os Estados membros na </w:t>
      </w:r>
      <w:r w:rsidRPr="00D65A20">
        <w:rPr>
          <w:rFonts w:ascii="Times New Roman" w:hAnsi="Times New Roman"/>
          <w:bCs/>
          <w:szCs w:val="22"/>
          <w:lang w:val="pt-BR"/>
        </w:rPr>
        <w:t>implementação</w:t>
      </w:r>
      <w:r w:rsidRPr="00D65A20">
        <w:rPr>
          <w:rFonts w:ascii="Times New Roman" w:hAnsi="Times New Roman"/>
          <w:szCs w:val="22"/>
          <w:lang w:val="pt-BR"/>
        </w:rPr>
        <w:t xml:space="preserve"> das 11 normas voluntárias e não vinculantes para o comportamento responsável dos Estados, </w:t>
      </w:r>
      <w:r w:rsidR="00C0481D" w:rsidRPr="00D65A20">
        <w:rPr>
          <w:rFonts w:ascii="Times New Roman" w:hAnsi="Times New Roman"/>
          <w:szCs w:val="22"/>
          <w:lang w:val="pt-BR"/>
        </w:rPr>
        <w:t>constantes da</w:t>
      </w:r>
      <w:r w:rsidRPr="00D65A20">
        <w:rPr>
          <w:rFonts w:ascii="Times New Roman" w:hAnsi="Times New Roman"/>
          <w:szCs w:val="22"/>
          <w:lang w:val="pt-BR"/>
        </w:rPr>
        <w:t xml:space="preserve"> </w:t>
      </w:r>
      <w:r w:rsidR="00C0481D" w:rsidRPr="00D65A20">
        <w:rPr>
          <w:rFonts w:ascii="Times New Roman" w:hAnsi="Times New Roman"/>
          <w:szCs w:val="22"/>
          <w:lang w:val="pt-BR"/>
        </w:rPr>
        <w:t>R</w:t>
      </w:r>
      <w:r w:rsidRPr="00D65A20">
        <w:rPr>
          <w:rFonts w:ascii="Times New Roman" w:hAnsi="Times New Roman"/>
          <w:szCs w:val="22"/>
          <w:lang w:val="pt-BR"/>
        </w:rPr>
        <w:t>esolução</w:t>
      </w:r>
      <w:r w:rsidR="00FA2B96" w:rsidRPr="00D65A20">
        <w:rPr>
          <w:rFonts w:ascii="Times New Roman" w:hAnsi="Times New Roman"/>
          <w:szCs w:val="22"/>
          <w:lang w:val="pt-BR"/>
        </w:rPr>
        <w:t xml:space="preserve"> da Assembleia Geral das Nações </w:t>
      </w:r>
      <w:r w:rsidR="00FA2B96" w:rsidRPr="00D65A20">
        <w:rPr>
          <w:rFonts w:ascii="Times New Roman" w:hAnsi="Times New Roman"/>
          <w:szCs w:val="22"/>
          <w:lang w:val="pt-BR"/>
        </w:rPr>
        <w:lastRenderedPageBreak/>
        <w:t>Unidas</w:t>
      </w:r>
      <w:r w:rsidRPr="00D65A20">
        <w:rPr>
          <w:rFonts w:ascii="Times New Roman" w:hAnsi="Times New Roman"/>
          <w:szCs w:val="22"/>
          <w:lang w:val="pt-BR"/>
        </w:rPr>
        <w:t xml:space="preserve"> 70/237, “Avanços na esfera da informação e das telecomunicações no contexto da segurança internacional”. </w:t>
      </w:r>
    </w:p>
    <w:p w14:paraId="6E834205" w14:textId="77777777" w:rsidR="0011327F" w:rsidRPr="00D65A20" w:rsidRDefault="0011327F" w:rsidP="00AA4399">
      <w:pPr>
        <w:widowControl/>
        <w:rPr>
          <w:rFonts w:ascii="Times New Roman" w:hAnsi="Times New Roman"/>
          <w:szCs w:val="22"/>
          <w:lang w:val="pt-BR"/>
        </w:rPr>
      </w:pPr>
      <w:bookmarkStart w:id="25" w:name="_Hlk50706934"/>
    </w:p>
    <w:p w14:paraId="6E834206"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Expressar seu agradecimento ao Governo do Chile, na qualidade de Presidente do Grupo de Trabalho sobre </w:t>
      </w:r>
      <w:r w:rsidRPr="00D65A20">
        <w:rPr>
          <w:rFonts w:ascii="Times New Roman" w:hAnsi="Times New Roman"/>
          <w:bCs/>
          <w:szCs w:val="22"/>
          <w:lang w:val="pt-BR"/>
        </w:rPr>
        <w:t>Medidas de Fomento à Cooperação e à Confiança no</w:t>
      </w:r>
      <w:r w:rsidRPr="00D65A20">
        <w:rPr>
          <w:rFonts w:ascii="Times New Roman" w:hAnsi="Times New Roman"/>
          <w:szCs w:val="22"/>
          <w:lang w:val="pt-BR"/>
        </w:rPr>
        <w:t xml:space="preserve"> </w:t>
      </w:r>
      <w:r w:rsidRPr="00D65A20">
        <w:rPr>
          <w:rFonts w:ascii="Times New Roman" w:hAnsi="Times New Roman"/>
          <w:bCs/>
          <w:szCs w:val="22"/>
          <w:lang w:val="pt-BR"/>
        </w:rPr>
        <w:t>Ciberespaço</w:t>
      </w:r>
      <w:r w:rsidRPr="00D65A20">
        <w:rPr>
          <w:rFonts w:ascii="Times New Roman" w:hAnsi="Times New Roman"/>
          <w:szCs w:val="22"/>
          <w:lang w:val="pt-BR"/>
        </w:rPr>
        <w:t>, por seu oferecimento para receber a terceira reunião do Grupo quando as condições o permitirem</w:t>
      </w:r>
      <w:r w:rsidR="00C0481D" w:rsidRPr="00D65A20">
        <w:rPr>
          <w:rFonts w:ascii="Times New Roman" w:hAnsi="Times New Roman"/>
          <w:szCs w:val="22"/>
          <w:lang w:val="pt-BR"/>
        </w:rPr>
        <w:t>,</w:t>
      </w:r>
      <w:r w:rsidRPr="00D65A20">
        <w:rPr>
          <w:rFonts w:ascii="Times New Roman" w:hAnsi="Times New Roman"/>
          <w:szCs w:val="22"/>
          <w:lang w:val="pt-BR"/>
        </w:rPr>
        <w:t xml:space="preserve"> e solicitar o apoio da Secretaria do CICTE para organizar, nesse ínterim, diálogos informais mediante plataformas virtuais </w:t>
      </w:r>
      <w:r w:rsidR="00C0481D" w:rsidRPr="00D65A20">
        <w:rPr>
          <w:rFonts w:ascii="Times New Roman" w:hAnsi="Times New Roman"/>
          <w:szCs w:val="22"/>
          <w:lang w:val="pt-BR"/>
        </w:rPr>
        <w:t xml:space="preserve">a fim de </w:t>
      </w:r>
      <w:r w:rsidRPr="00D65A20">
        <w:rPr>
          <w:rFonts w:ascii="Times New Roman" w:hAnsi="Times New Roman"/>
          <w:szCs w:val="22"/>
          <w:lang w:val="pt-BR"/>
        </w:rPr>
        <w:t xml:space="preserve">avançar as considerações dos mandatos do referido Grupo de Trabalho. </w:t>
      </w:r>
    </w:p>
    <w:p w14:paraId="6E834207" w14:textId="77777777" w:rsidR="0011327F" w:rsidRPr="00D65A20" w:rsidRDefault="0011327F" w:rsidP="00AA4399">
      <w:pPr>
        <w:widowControl/>
        <w:rPr>
          <w:rFonts w:ascii="Times New Roman" w:hAnsi="Times New Roman"/>
          <w:szCs w:val="22"/>
          <w:lang w:val="pt-BR"/>
        </w:rPr>
      </w:pPr>
    </w:p>
    <w:p w14:paraId="6E834208" w14:textId="2C7CD25C"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bCs/>
          <w:szCs w:val="22"/>
          <w:lang w:val="pt-BR"/>
        </w:rPr>
        <w:t>Encarregar</w:t>
      </w:r>
      <w:r w:rsidRPr="00D65A20">
        <w:rPr>
          <w:rFonts w:ascii="Times New Roman" w:hAnsi="Times New Roman"/>
          <w:szCs w:val="22"/>
          <w:lang w:val="pt-BR"/>
        </w:rPr>
        <w:t xml:space="preserve"> a Secretaria do CICTE de apoiar, em sua esfera de competência e onde seja pertinente, a implementação das recomendações aprovadas pelo Grupo de Trabalho sobre Delito Cibernético da REMJA e, em coordenação com o Departamento de Cooperação Jurídica da SAJ e com a Secretaria da Comissão Interamericana de Telecomunicações (CITEL), implementar as recomendações aprovadas pela </w:t>
      </w:r>
      <w:r w:rsidR="00742518" w:rsidRPr="00D65A20">
        <w:rPr>
          <w:rFonts w:ascii="Times New Roman" w:hAnsi="Times New Roman"/>
          <w:szCs w:val="22"/>
          <w:lang w:val="pt-BR"/>
        </w:rPr>
        <w:t>CSH</w:t>
      </w:r>
      <w:r w:rsidRPr="00D65A20">
        <w:rPr>
          <w:rFonts w:ascii="Times New Roman" w:hAnsi="Times New Roman"/>
          <w:szCs w:val="22"/>
          <w:lang w:val="pt-BR"/>
        </w:rPr>
        <w:t xml:space="preserve"> para a intensificação da cooperação entre os três órgãos. </w:t>
      </w:r>
    </w:p>
    <w:p w14:paraId="6E834209" w14:textId="77777777" w:rsidR="0011327F" w:rsidRPr="00D65A20" w:rsidRDefault="0011327F" w:rsidP="00AA4399">
      <w:pPr>
        <w:widowControl/>
        <w:rPr>
          <w:rFonts w:ascii="Times New Roman" w:hAnsi="Times New Roman"/>
          <w:szCs w:val="22"/>
          <w:lang w:val="pt-BR"/>
        </w:rPr>
      </w:pPr>
    </w:p>
    <w:p w14:paraId="6E83420A" w14:textId="6F38BFE2"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Instar os Estados membros a que continu</w:t>
      </w:r>
      <w:r w:rsidR="009A17DB" w:rsidRPr="00D65A20">
        <w:rPr>
          <w:rFonts w:ascii="Times New Roman" w:hAnsi="Times New Roman"/>
          <w:szCs w:val="22"/>
          <w:lang w:val="pt-BR"/>
        </w:rPr>
        <w:t>e</w:t>
      </w:r>
      <w:r w:rsidRPr="00D65A20">
        <w:rPr>
          <w:rFonts w:ascii="Times New Roman" w:hAnsi="Times New Roman"/>
          <w:szCs w:val="22"/>
          <w:lang w:val="pt-BR"/>
        </w:rPr>
        <w:t xml:space="preserve">m fortalecendo a cooperação, a coordenação e a assistência mútua entre as </w:t>
      </w:r>
      <w:r w:rsidRPr="00D65A20">
        <w:rPr>
          <w:rFonts w:ascii="Times New Roman" w:hAnsi="Times New Roman"/>
          <w:bCs/>
          <w:szCs w:val="22"/>
          <w:lang w:val="pt-BR"/>
        </w:rPr>
        <w:t>instituições</w:t>
      </w:r>
      <w:r w:rsidRPr="00D65A20">
        <w:rPr>
          <w:rFonts w:ascii="Times New Roman" w:hAnsi="Times New Roman"/>
          <w:szCs w:val="22"/>
          <w:lang w:val="pt-BR"/>
        </w:rPr>
        <w:t xml:space="preserve"> encarregadas da aplicação da lei, a fim de enfrentar a crescente complexidade e diversidade de expressões do crime cibernético no Hemisfério, e confiar à </w:t>
      </w:r>
      <w:r w:rsidR="00506AF0" w:rsidRPr="00D65A20">
        <w:rPr>
          <w:rFonts w:ascii="Times New Roman" w:hAnsi="Times New Roman"/>
          <w:szCs w:val="22"/>
          <w:lang w:val="pt-BR"/>
        </w:rPr>
        <w:t>SAJ</w:t>
      </w:r>
      <w:r w:rsidRPr="00D65A20">
        <w:rPr>
          <w:rFonts w:ascii="Times New Roman" w:hAnsi="Times New Roman"/>
          <w:szCs w:val="22"/>
          <w:lang w:val="pt-BR"/>
        </w:rPr>
        <w:t xml:space="preserve"> e à Secretaria do CICTE, no âmbito dos respectivos poderes, o apoio, conforme seja pertinente, à implementação das Recomendações de Quito para o Fortalecimento da Cooperação Internacional em Matéria de Segurança Pública na Prevenção e Combate da Criminalidade, em coordenação com o </w:t>
      </w:r>
      <w:r w:rsidR="00506AF0" w:rsidRPr="00D65A20">
        <w:rPr>
          <w:rFonts w:ascii="Times New Roman" w:hAnsi="Times New Roman"/>
          <w:szCs w:val="22"/>
          <w:lang w:val="pt-BR"/>
        </w:rPr>
        <w:t>DSP</w:t>
      </w:r>
      <w:r w:rsidRPr="00D65A20">
        <w:rPr>
          <w:rFonts w:ascii="Times New Roman" w:hAnsi="Times New Roman"/>
          <w:szCs w:val="22"/>
          <w:lang w:val="pt-BR"/>
        </w:rPr>
        <w:t xml:space="preserve">. </w:t>
      </w:r>
    </w:p>
    <w:p w14:paraId="6E83420B" w14:textId="77777777" w:rsidR="0011327F" w:rsidRPr="00D65A20" w:rsidRDefault="0011327F" w:rsidP="00AA4399">
      <w:pPr>
        <w:widowControl/>
        <w:rPr>
          <w:rFonts w:ascii="Times New Roman" w:hAnsi="Times New Roman"/>
          <w:szCs w:val="22"/>
          <w:lang w:val="pt-BR"/>
        </w:rPr>
      </w:pPr>
    </w:p>
    <w:p w14:paraId="6E83420C" w14:textId="390D29C8"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Realizar ações para fortalecer as medidas de segurança e proteção de todos os espaços </w:t>
      </w:r>
      <w:r w:rsidR="00A52084" w:rsidRPr="00D65A20">
        <w:rPr>
          <w:rFonts w:ascii="Times New Roman" w:hAnsi="Times New Roman"/>
          <w:szCs w:val="22"/>
          <w:lang w:val="pt-BR"/>
        </w:rPr>
        <w:t>com grande</w:t>
      </w:r>
      <w:r w:rsidR="00A429DE" w:rsidRPr="00D65A20">
        <w:rPr>
          <w:rFonts w:ascii="Times New Roman" w:hAnsi="Times New Roman"/>
          <w:szCs w:val="22"/>
          <w:lang w:val="pt-BR"/>
        </w:rPr>
        <w:t xml:space="preserve"> </w:t>
      </w:r>
      <w:r w:rsidR="00506AF0" w:rsidRPr="00D65A20">
        <w:rPr>
          <w:rFonts w:ascii="Times New Roman" w:hAnsi="Times New Roman"/>
          <w:szCs w:val="22"/>
          <w:lang w:val="pt-BR"/>
        </w:rPr>
        <w:t>aglomeração</w:t>
      </w:r>
      <w:r w:rsidRPr="00D65A20">
        <w:rPr>
          <w:rFonts w:ascii="Times New Roman" w:hAnsi="Times New Roman"/>
          <w:szCs w:val="22"/>
          <w:lang w:val="pt-BR"/>
        </w:rPr>
        <w:t xml:space="preserve">, inclusive o </w:t>
      </w:r>
      <w:r w:rsidRPr="00D65A20">
        <w:rPr>
          <w:rFonts w:ascii="Times New Roman" w:hAnsi="Times New Roman"/>
          <w:bCs/>
          <w:szCs w:val="22"/>
          <w:lang w:val="pt-BR"/>
        </w:rPr>
        <w:t>fortalecimento</w:t>
      </w:r>
      <w:r w:rsidRPr="00D65A20">
        <w:rPr>
          <w:rFonts w:ascii="Times New Roman" w:hAnsi="Times New Roman"/>
          <w:szCs w:val="22"/>
          <w:lang w:val="pt-BR"/>
        </w:rPr>
        <w:t xml:space="preserve"> de capacidades nacionais para analisar os riscos, gerenciar crises e melhorar a preparação, </w:t>
      </w:r>
      <w:r w:rsidR="00506AF0" w:rsidRPr="00D65A20">
        <w:rPr>
          <w:rFonts w:ascii="Times New Roman" w:hAnsi="Times New Roman"/>
          <w:szCs w:val="22"/>
          <w:lang w:val="pt-BR"/>
        </w:rPr>
        <w:t xml:space="preserve">a </w:t>
      </w:r>
      <w:r w:rsidRPr="00D65A20">
        <w:rPr>
          <w:rFonts w:ascii="Times New Roman" w:hAnsi="Times New Roman"/>
          <w:szCs w:val="22"/>
          <w:lang w:val="pt-BR"/>
        </w:rPr>
        <w:t xml:space="preserve">coordenação e </w:t>
      </w:r>
      <w:r w:rsidR="00506AF0" w:rsidRPr="00D65A20">
        <w:rPr>
          <w:rFonts w:ascii="Times New Roman" w:hAnsi="Times New Roman"/>
          <w:szCs w:val="22"/>
          <w:lang w:val="pt-BR"/>
        </w:rPr>
        <w:t xml:space="preserve">a </w:t>
      </w:r>
      <w:r w:rsidRPr="00D65A20">
        <w:rPr>
          <w:rFonts w:ascii="Times New Roman" w:hAnsi="Times New Roman"/>
          <w:szCs w:val="22"/>
          <w:lang w:val="pt-BR"/>
        </w:rPr>
        <w:t xml:space="preserve">comunicação entre agências e governos. Reconhecer que a preparação para ataques terroristas inclui prevenção, proteção, mitigação, resposta e recuperação com ênfase em promover segurança e resiliência, inclusive </w:t>
      </w:r>
      <w:r w:rsidR="00506AF0" w:rsidRPr="00D65A20">
        <w:rPr>
          <w:rFonts w:ascii="Times New Roman" w:hAnsi="Times New Roman"/>
          <w:szCs w:val="22"/>
          <w:lang w:val="pt-BR"/>
        </w:rPr>
        <w:t xml:space="preserve">por meio </w:t>
      </w:r>
      <w:r w:rsidRPr="00D65A20">
        <w:rPr>
          <w:rFonts w:ascii="Times New Roman" w:hAnsi="Times New Roman"/>
          <w:szCs w:val="22"/>
          <w:lang w:val="pt-BR"/>
        </w:rPr>
        <w:t>de parcerias público-privadas quando for pertinente.</w:t>
      </w:r>
      <w:bookmarkEnd w:id="25"/>
      <w:r w:rsidRPr="00D65A20">
        <w:rPr>
          <w:rFonts w:ascii="Times New Roman" w:hAnsi="Times New Roman"/>
          <w:szCs w:val="22"/>
          <w:lang w:val="pt-BR"/>
        </w:rPr>
        <w:t xml:space="preserve"> </w:t>
      </w:r>
    </w:p>
    <w:p w14:paraId="6E83420D" w14:textId="77777777" w:rsidR="0011327F" w:rsidRPr="009C048C"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20E" w14:textId="2520119F" w:rsidR="0011327F" w:rsidRPr="00D65A20" w:rsidRDefault="0011327F" w:rsidP="00AA4399">
      <w:pPr>
        <w:widowControl/>
        <w:numPr>
          <w:ilvl w:val="0"/>
          <w:numId w:val="19"/>
        </w:numPr>
        <w:ind w:left="0"/>
        <w:rPr>
          <w:rFonts w:ascii="Times New Roman" w:hAnsi="Times New Roman"/>
          <w:szCs w:val="22"/>
          <w:lang w:val="pt-BR"/>
        </w:rPr>
      </w:pPr>
      <w:bookmarkStart w:id="26" w:name="_Hlk50707115"/>
      <w:r w:rsidRPr="00D65A20">
        <w:rPr>
          <w:rFonts w:ascii="Times New Roman" w:hAnsi="Times New Roman"/>
          <w:szCs w:val="22"/>
          <w:lang w:val="pt-BR"/>
        </w:rPr>
        <w:t xml:space="preserve">Fomentar </w:t>
      </w:r>
      <w:r w:rsidRPr="00D65A20">
        <w:rPr>
          <w:rFonts w:ascii="Times New Roman" w:hAnsi="Times New Roman"/>
          <w:bCs/>
          <w:szCs w:val="22"/>
          <w:lang w:val="pt-BR"/>
        </w:rPr>
        <w:t>medidas</w:t>
      </w:r>
      <w:r w:rsidRPr="00D65A20">
        <w:rPr>
          <w:rFonts w:ascii="Times New Roman" w:hAnsi="Times New Roman"/>
          <w:szCs w:val="22"/>
          <w:lang w:val="pt-BR"/>
        </w:rPr>
        <w:t xml:space="preserve"> que preparem a região para o manejo de crises e a avaliação de riscos no setor turístico, particularmente afetado pela </w:t>
      </w:r>
      <w:r w:rsidR="00877D54" w:rsidRPr="00D65A20">
        <w:rPr>
          <w:rFonts w:ascii="Times New Roman" w:hAnsi="Times New Roman"/>
          <w:szCs w:val="22"/>
          <w:lang w:val="pt-BR"/>
        </w:rPr>
        <w:t>pandemia de</w:t>
      </w:r>
      <w:r w:rsidRPr="00D65A20">
        <w:rPr>
          <w:rFonts w:ascii="Times New Roman" w:hAnsi="Times New Roman"/>
          <w:szCs w:val="22"/>
          <w:lang w:val="pt-BR"/>
        </w:rPr>
        <w:t xml:space="preserve"> covid-19, cujos efeitos demonstram a necessidade de ajustar os protocolos existentes em matéria de biossegurança e biocustódia no trânsito de pessoas, entre outros. </w:t>
      </w:r>
    </w:p>
    <w:p w14:paraId="6E83420F" w14:textId="77777777" w:rsidR="0011327F" w:rsidRPr="00D65A20" w:rsidRDefault="0011327F" w:rsidP="00AA4399">
      <w:pPr>
        <w:widowControl/>
        <w:rPr>
          <w:rFonts w:ascii="Times New Roman" w:hAnsi="Times New Roman"/>
          <w:szCs w:val="22"/>
          <w:lang w:val="pt-BR"/>
        </w:rPr>
      </w:pPr>
    </w:p>
    <w:p w14:paraId="6E834210" w14:textId="028CDDF9" w:rsidR="0011327F" w:rsidRPr="00D65A20" w:rsidRDefault="0011327F" w:rsidP="00AA4399">
      <w:pPr>
        <w:widowControl/>
        <w:numPr>
          <w:ilvl w:val="0"/>
          <w:numId w:val="19"/>
        </w:numPr>
        <w:ind w:left="0"/>
        <w:rPr>
          <w:rFonts w:ascii="Times New Roman" w:hAnsi="Times New Roman"/>
          <w:szCs w:val="22"/>
          <w:lang w:val="pt-BR"/>
        </w:rPr>
      </w:pPr>
      <w:bookmarkStart w:id="27" w:name="_Hlk50708306"/>
      <w:bookmarkEnd w:id="26"/>
      <w:r w:rsidRPr="00D65A20">
        <w:rPr>
          <w:rFonts w:ascii="Times New Roman" w:hAnsi="Times New Roman"/>
          <w:szCs w:val="22"/>
          <w:lang w:val="pt-BR"/>
        </w:rPr>
        <w:t xml:space="preserve">Reconhecer que a </w:t>
      </w:r>
      <w:r w:rsidR="00877D54" w:rsidRPr="00D65A20">
        <w:rPr>
          <w:rFonts w:ascii="Times New Roman" w:hAnsi="Times New Roman"/>
          <w:bCs/>
          <w:szCs w:val="22"/>
          <w:lang w:val="pt-BR"/>
        </w:rPr>
        <w:t>pandemia de</w:t>
      </w:r>
      <w:r w:rsidRPr="00D65A20">
        <w:rPr>
          <w:rFonts w:ascii="Times New Roman" w:hAnsi="Times New Roman"/>
          <w:szCs w:val="22"/>
          <w:lang w:val="pt-BR"/>
        </w:rPr>
        <w:t xml:space="preserve"> covid-19 representa um desafio para todos os setores da sociedade, inclusive aqueles relacionados com segurança fronteiriça e segurança da cadeia de abastecimento, e promover uma prevenção sustentável, mitigação e estratégias de</w:t>
      </w:r>
      <w:r w:rsidRPr="00D65A20">
        <w:rPr>
          <w:rFonts w:ascii="Times New Roman" w:hAnsi="Times New Roman"/>
          <w:bCs/>
          <w:szCs w:val="22"/>
          <w:lang w:val="pt-BR"/>
        </w:rPr>
        <w:t xml:space="preserve"> </w:t>
      </w:r>
      <w:r w:rsidRPr="00D65A20">
        <w:rPr>
          <w:rFonts w:ascii="Times New Roman" w:hAnsi="Times New Roman"/>
          <w:szCs w:val="22"/>
          <w:lang w:val="pt-BR"/>
        </w:rPr>
        <w:t>recuperação como regra geral para as operações de controle de fronteiras, junto ao desenvolvimento de diretrizes de saúde para os funcionários em postos de controle fronteiriços.</w:t>
      </w:r>
    </w:p>
    <w:bookmarkEnd w:id="27"/>
    <w:p w14:paraId="6E834211"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16"/>
          <w:szCs w:val="22"/>
          <w:lang w:val="pt-BR"/>
        </w:rPr>
      </w:pPr>
    </w:p>
    <w:p w14:paraId="6E834212" w14:textId="0E498CD8" w:rsidR="0011327F" w:rsidRPr="00D65A20" w:rsidRDefault="0011327F" w:rsidP="00AA4399">
      <w:pPr>
        <w:widowControl/>
        <w:numPr>
          <w:ilvl w:val="0"/>
          <w:numId w:val="19"/>
        </w:numPr>
        <w:ind w:left="0"/>
        <w:rPr>
          <w:rFonts w:ascii="Times New Roman" w:hAnsi="Times New Roman"/>
          <w:szCs w:val="22"/>
          <w:lang w:val="pt-BR"/>
        </w:rPr>
      </w:pPr>
      <w:bookmarkStart w:id="28" w:name="_Hlk50709424"/>
      <w:r w:rsidRPr="00D65A20">
        <w:rPr>
          <w:rFonts w:ascii="Times New Roman" w:hAnsi="Times New Roman"/>
          <w:bCs/>
          <w:szCs w:val="22"/>
          <w:lang w:val="pt-BR"/>
        </w:rPr>
        <w:t xml:space="preserve">Observar que a </w:t>
      </w:r>
      <w:r w:rsidR="00877D54" w:rsidRPr="00D65A20">
        <w:rPr>
          <w:rFonts w:ascii="Times New Roman" w:hAnsi="Times New Roman"/>
          <w:bCs/>
          <w:szCs w:val="22"/>
          <w:lang w:val="pt-BR"/>
        </w:rPr>
        <w:t>pandemia de</w:t>
      </w:r>
      <w:r w:rsidRPr="00D65A20">
        <w:rPr>
          <w:rFonts w:ascii="Times New Roman" w:hAnsi="Times New Roman"/>
          <w:bCs/>
          <w:szCs w:val="22"/>
          <w:lang w:val="pt-BR"/>
        </w:rPr>
        <w:t xml:space="preserve"> covid-19</w:t>
      </w:r>
      <w:r w:rsidRPr="00D65A20">
        <w:rPr>
          <w:rFonts w:ascii="Times New Roman" w:hAnsi="Times New Roman"/>
          <w:szCs w:val="22"/>
          <w:lang w:val="pt-BR"/>
        </w:rPr>
        <w:t xml:space="preserve"> é um catalisador potencial para a disseminação de informações errôneas e desinformação, que podem ser usadas por grupos terroristas em benefício próprio, e também reconhecer os esforços envidados pelo CICTE, no âmbito do Programa de Prevenção do Extremismo Violento, para promover discussões em âmbito regional sobre a importância da prevenção e do combate do </w:t>
      </w:r>
      <w:r w:rsidRPr="00D65A20">
        <w:rPr>
          <w:rFonts w:ascii="Times New Roman" w:hAnsi="Times New Roman"/>
          <w:bCs/>
          <w:szCs w:val="22"/>
          <w:lang w:val="pt-BR"/>
        </w:rPr>
        <w:t>extremismo</w:t>
      </w:r>
      <w:r w:rsidRPr="00D65A20">
        <w:rPr>
          <w:rFonts w:ascii="Times New Roman" w:hAnsi="Times New Roman"/>
          <w:szCs w:val="22"/>
          <w:lang w:val="pt-BR"/>
        </w:rPr>
        <w:t xml:space="preserve"> violento que possa levar ao terrorismo, a fim de fortalecer a cooperação e as competências hemisféricas para enfrentar essa ameaça. </w:t>
      </w:r>
    </w:p>
    <w:p w14:paraId="6E834213"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bCs/>
          <w:sz w:val="16"/>
          <w:szCs w:val="22"/>
          <w:lang w:val="pt-BR"/>
        </w:rPr>
      </w:pPr>
    </w:p>
    <w:p w14:paraId="6E834214" w14:textId="36ACF5AA"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lastRenderedPageBreak/>
        <w:t xml:space="preserve">Oferecer apoio à Secretaria do CICTE na execução dos programas e atividades de seu âmbito de competência durante o período 2020-2021, com uma abordagem pragmática e sensível à atual conjuntura mundial gerada </w:t>
      </w:r>
      <w:r w:rsidRPr="00D65A20">
        <w:rPr>
          <w:rFonts w:ascii="Times New Roman" w:hAnsi="Times New Roman"/>
          <w:bCs/>
          <w:szCs w:val="22"/>
          <w:lang w:val="pt-BR"/>
        </w:rPr>
        <w:t>pela</w:t>
      </w:r>
      <w:r w:rsidRPr="00D65A20">
        <w:rPr>
          <w:rFonts w:ascii="Times New Roman" w:hAnsi="Times New Roman"/>
          <w:szCs w:val="22"/>
          <w:lang w:val="pt-BR"/>
        </w:rPr>
        <w:t xml:space="preserve"> </w:t>
      </w:r>
      <w:r w:rsidR="00877D54" w:rsidRPr="00D65A20">
        <w:rPr>
          <w:rFonts w:ascii="Times New Roman" w:hAnsi="Times New Roman"/>
          <w:szCs w:val="22"/>
          <w:lang w:val="pt-BR"/>
        </w:rPr>
        <w:t>pandemia de</w:t>
      </w:r>
      <w:r w:rsidRPr="00D65A20">
        <w:rPr>
          <w:rFonts w:ascii="Times New Roman" w:hAnsi="Times New Roman"/>
          <w:szCs w:val="22"/>
          <w:lang w:val="pt-BR"/>
        </w:rPr>
        <w:t xml:space="preserve"> covid-19, que permita continuar com o apoio aos Estados membros com base na experiência acumulada durante mais de duas décadas e, por sua vez, sustentar a capacidade de resposta aos desafios atuais e emergentes. </w:t>
      </w:r>
    </w:p>
    <w:p w14:paraId="6E834215" w14:textId="77777777" w:rsidR="0011327F" w:rsidRPr="00D65A20" w:rsidRDefault="0011327F" w:rsidP="00AA4399">
      <w:pPr>
        <w:widowControl/>
        <w:rPr>
          <w:rFonts w:ascii="Times New Roman" w:hAnsi="Times New Roman"/>
          <w:szCs w:val="22"/>
          <w:lang w:val="pt-BR"/>
        </w:rPr>
      </w:pPr>
    </w:p>
    <w:p w14:paraId="6E834216" w14:textId="0B573ECE"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Agradecer à Secretaria do CICTE as medidas tomadas e os resultados obtidos para apoiar os Estados membros durante a </w:t>
      </w:r>
      <w:r w:rsidR="00877D54" w:rsidRPr="00D65A20">
        <w:rPr>
          <w:rFonts w:ascii="Times New Roman" w:hAnsi="Times New Roman"/>
          <w:szCs w:val="22"/>
          <w:lang w:val="pt-BR"/>
        </w:rPr>
        <w:t>pandemia de</w:t>
      </w:r>
      <w:r w:rsidRPr="00D65A20">
        <w:rPr>
          <w:rFonts w:ascii="Times New Roman" w:hAnsi="Times New Roman"/>
          <w:szCs w:val="22"/>
          <w:lang w:val="pt-BR"/>
        </w:rPr>
        <w:t xml:space="preserve"> covid-19 em </w:t>
      </w:r>
      <w:r w:rsidRPr="00D65A20">
        <w:rPr>
          <w:rFonts w:ascii="Times New Roman" w:hAnsi="Times New Roman"/>
          <w:bCs/>
          <w:szCs w:val="22"/>
          <w:lang w:val="pt-BR"/>
        </w:rPr>
        <w:t>áreas prioritárias,</w:t>
      </w:r>
      <w:r w:rsidRPr="00D65A20">
        <w:rPr>
          <w:rFonts w:ascii="Times New Roman" w:hAnsi="Times New Roman"/>
          <w:szCs w:val="22"/>
          <w:lang w:val="pt-BR"/>
        </w:rPr>
        <w:t xml:space="preserve"> como a </w:t>
      </w:r>
      <w:r w:rsidRPr="00D65A20">
        <w:rPr>
          <w:rFonts w:ascii="Times New Roman" w:hAnsi="Times New Roman"/>
          <w:bCs/>
          <w:szCs w:val="22"/>
          <w:lang w:val="pt-BR"/>
        </w:rPr>
        <w:t>cibersegurança</w:t>
      </w:r>
      <w:r w:rsidRPr="00D65A20">
        <w:rPr>
          <w:rFonts w:ascii="Times New Roman" w:hAnsi="Times New Roman"/>
          <w:szCs w:val="22"/>
          <w:lang w:val="pt-BR"/>
        </w:rPr>
        <w:t xml:space="preserve">, a </w:t>
      </w:r>
      <w:r w:rsidRPr="00D65A20">
        <w:rPr>
          <w:rFonts w:ascii="Times New Roman" w:hAnsi="Times New Roman"/>
          <w:bCs/>
          <w:szCs w:val="22"/>
          <w:lang w:val="pt-BR"/>
        </w:rPr>
        <w:t xml:space="preserve">biossegurança </w:t>
      </w:r>
      <w:r w:rsidRPr="00D65A20">
        <w:rPr>
          <w:rFonts w:ascii="Times New Roman" w:hAnsi="Times New Roman"/>
          <w:szCs w:val="22"/>
          <w:lang w:val="pt-BR"/>
        </w:rPr>
        <w:t xml:space="preserve">e a </w:t>
      </w:r>
      <w:r w:rsidRPr="00D65A20">
        <w:rPr>
          <w:rFonts w:ascii="Times New Roman" w:hAnsi="Times New Roman"/>
          <w:bCs/>
          <w:szCs w:val="22"/>
          <w:lang w:val="pt-BR"/>
        </w:rPr>
        <w:t>biocustódia</w:t>
      </w:r>
      <w:r w:rsidRPr="00D65A20">
        <w:rPr>
          <w:rFonts w:ascii="Times New Roman" w:hAnsi="Times New Roman"/>
          <w:szCs w:val="22"/>
          <w:lang w:val="pt-BR"/>
        </w:rPr>
        <w:t xml:space="preserve">, a </w:t>
      </w:r>
      <w:r w:rsidRPr="00D65A20">
        <w:rPr>
          <w:rFonts w:ascii="Times New Roman" w:hAnsi="Times New Roman"/>
          <w:bCs/>
          <w:szCs w:val="22"/>
          <w:lang w:val="pt-BR"/>
        </w:rPr>
        <w:t>segurança de fronteiras</w:t>
      </w:r>
      <w:r w:rsidRPr="00D65A20">
        <w:rPr>
          <w:rFonts w:ascii="Times New Roman" w:hAnsi="Times New Roman"/>
          <w:szCs w:val="22"/>
          <w:lang w:val="pt-BR"/>
        </w:rPr>
        <w:t xml:space="preserve">, a </w:t>
      </w:r>
      <w:r w:rsidRPr="00D65A20">
        <w:rPr>
          <w:rFonts w:ascii="Times New Roman" w:hAnsi="Times New Roman"/>
          <w:bCs/>
          <w:szCs w:val="22"/>
          <w:lang w:val="pt-BR"/>
        </w:rPr>
        <w:t xml:space="preserve">segurança de espaços </w:t>
      </w:r>
      <w:r w:rsidR="001A4D90" w:rsidRPr="00D65A20">
        <w:rPr>
          <w:rFonts w:ascii="Times New Roman" w:hAnsi="Times New Roman"/>
          <w:bCs/>
          <w:szCs w:val="22"/>
          <w:lang w:val="pt-BR"/>
        </w:rPr>
        <w:t xml:space="preserve">com </w:t>
      </w:r>
      <w:r w:rsidR="00474623" w:rsidRPr="00D65A20">
        <w:rPr>
          <w:rFonts w:ascii="Times New Roman" w:hAnsi="Times New Roman"/>
          <w:bCs/>
          <w:szCs w:val="22"/>
          <w:lang w:val="pt-BR"/>
        </w:rPr>
        <w:t xml:space="preserve">grande </w:t>
      </w:r>
      <w:r w:rsidR="001A4D90" w:rsidRPr="00D65A20">
        <w:rPr>
          <w:rFonts w:ascii="Times New Roman" w:hAnsi="Times New Roman"/>
          <w:bCs/>
          <w:szCs w:val="22"/>
          <w:lang w:val="pt-BR"/>
        </w:rPr>
        <w:t>aglomeração</w:t>
      </w:r>
      <w:r w:rsidRPr="00D65A20">
        <w:rPr>
          <w:rFonts w:ascii="Times New Roman" w:hAnsi="Times New Roman"/>
          <w:bCs/>
          <w:szCs w:val="22"/>
          <w:lang w:val="pt-BR"/>
        </w:rPr>
        <w:t>, inclusive destinos turísticos e grandes eventos</w:t>
      </w:r>
      <w:r w:rsidRPr="00D65A20">
        <w:rPr>
          <w:rFonts w:ascii="Times New Roman" w:hAnsi="Times New Roman"/>
          <w:szCs w:val="22"/>
          <w:lang w:val="pt-BR"/>
        </w:rPr>
        <w:t xml:space="preserve">, a </w:t>
      </w:r>
      <w:r w:rsidRPr="00D65A20">
        <w:rPr>
          <w:rFonts w:ascii="Times New Roman" w:hAnsi="Times New Roman"/>
          <w:bCs/>
          <w:szCs w:val="22"/>
          <w:lang w:val="pt-BR"/>
        </w:rPr>
        <w:t>assistência técnica contra o financiamento do terrorismo</w:t>
      </w:r>
      <w:r w:rsidRPr="00D65A20">
        <w:rPr>
          <w:rFonts w:ascii="Times New Roman" w:hAnsi="Times New Roman"/>
          <w:szCs w:val="22"/>
          <w:lang w:val="pt-BR"/>
        </w:rPr>
        <w:t xml:space="preserve"> e </w:t>
      </w:r>
      <w:r w:rsidR="0072662B" w:rsidRPr="00D65A20">
        <w:rPr>
          <w:rFonts w:ascii="Times New Roman" w:hAnsi="Times New Roman"/>
          <w:szCs w:val="22"/>
          <w:lang w:val="pt-BR"/>
        </w:rPr>
        <w:t>para a prevenção</w:t>
      </w:r>
      <w:r w:rsidR="009F0234" w:rsidRPr="00D65A20">
        <w:rPr>
          <w:rFonts w:ascii="Times New Roman" w:hAnsi="Times New Roman"/>
          <w:szCs w:val="22"/>
          <w:lang w:val="pt-BR"/>
        </w:rPr>
        <w:t xml:space="preserve"> </w:t>
      </w:r>
      <w:r w:rsidR="0072662B" w:rsidRPr="00D65A20">
        <w:rPr>
          <w:rFonts w:ascii="Times New Roman" w:hAnsi="Times New Roman"/>
          <w:szCs w:val="22"/>
          <w:lang w:val="pt-BR"/>
        </w:rPr>
        <w:t>d</w:t>
      </w:r>
      <w:r w:rsidR="009F0234" w:rsidRPr="00D65A20">
        <w:rPr>
          <w:rFonts w:ascii="Times New Roman" w:hAnsi="Times New Roman"/>
          <w:szCs w:val="22"/>
          <w:lang w:val="pt-BR"/>
        </w:rPr>
        <w:t>o</w:t>
      </w:r>
      <w:r w:rsidRPr="00D65A20">
        <w:rPr>
          <w:rFonts w:ascii="Times New Roman" w:hAnsi="Times New Roman"/>
          <w:bCs/>
          <w:szCs w:val="22"/>
          <w:lang w:val="pt-BR"/>
        </w:rPr>
        <w:t xml:space="preserve"> extremismo violento</w:t>
      </w:r>
      <w:r w:rsidRPr="00D65A20">
        <w:rPr>
          <w:rFonts w:ascii="Times New Roman" w:hAnsi="Times New Roman"/>
          <w:szCs w:val="22"/>
          <w:lang w:val="pt-BR"/>
        </w:rPr>
        <w:t>, bem como no desenvolvimento ou fortalecimento das ferramentas para facilitar o intercâmbio</w:t>
      </w:r>
      <w:r w:rsidRPr="00D65A20">
        <w:rPr>
          <w:rFonts w:ascii="Times New Roman" w:hAnsi="Times New Roman"/>
          <w:bCs/>
          <w:szCs w:val="22"/>
          <w:lang w:val="pt-BR"/>
        </w:rPr>
        <w:t xml:space="preserve"> de informações e/ou boas práticas</w:t>
      </w:r>
      <w:r w:rsidRPr="00D65A20">
        <w:rPr>
          <w:rFonts w:ascii="Times New Roman" w:hAnsi="Times New Roman"/>
          <w:szCs w:val="22"/>
          <w:lang w:val="pt-BR"/>
        </w:rPr>
        <w:t xml:space="preserve"> nos temas de competência do Comitê. </w:t>
      </w:r>
    </w:p>
    <w:bookmarkEnd w:id="28"/>
    <w:p w14:paraId="6E834217" w14:textId="77777777" w:rsidR="0011327F" w:rsidRPr="00D65A20" w:rsidRDefault="0011327F" w:rsidP="00AA4399">
      <w:pPr>
        <w:widowControl/>
        <w:rPr>
          <w:rFonts w:ascii="Times New Roman" w:hAnsi="Times New Roman"/>
          <w:szCs w:val="22"/>
          <w:lang w:val="pt-BR"/>
        </w:rPr>
      </w:pPr>
    </w:p>
    <w:p w14:paraId="6E834218" w14:textId="7BE899AA"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Complementar e fortalecer as medidas de cumprimento da lei com medidas preventivas, de acordo com a capacidade orçamentária, a fim de detectar e prevenir o cruzamento transfronteiriço irregular de </w:t>
      </w:r>
      <w:r w:rsidRPr="00D65A20">
        <w:rPr>
          <w:rFonts w:ascii="Times New Roman" w:hAnsi="Times New Roman"/>
          <w:bCs/>
          <w:szCs w:val="22"/>
          <w:lang w:val="pt-BR"/>
        </w:rPr>
        <w:t>combatentes</w:t>
      </w:r>
      <w:r w:rsidRPr="00D65A20">
        <w:rPr>
          <w:rFonts w:ascii="Times New Roman" w:hAnsi="Times New Roman"/>
          <w:szCs w:val="22"/>
          <w:lang w:val="pt-BR"/>
        </w:rPr>
        <w:t xml:space="preserve"> terroristas estrangeiros (CTE) e outros terroristas conhecidos ou supostos</w:t>
      </w:r>
      <w:r w:rsidR="00DD360F" w:rsidRPr="00D65A20">
        <w:rPr>
          <w:rFonts w:ascii="Times New Roman" w:hAnsi="Times New Roman"/>
          <w:szCs w:val="22"/>
          <w:lang w:val="pt-BR"/>
        </w:rPr>
        <w:t xml:space="preserve"> terroristas</w:t>
      </w:r>
      <w:r w:rsidRPr="00D65A20">
        <w:rPr>
          <w:rFonts w:ascii="Times New Roman" w:hAnsi="Times New Roman"/>
          <w:szCs w:val="22"/>
          <w:lang w:val="pt-BR"/>
        </w:rPr>
        <w:t xml:space="preserve">, de acordo com as leis nacionais, </w:t>
      </w:r>
      <w:r w:rsidR="00E20299" w:rsidRPr="00D65A20">
        <w:rPr>
          <w:rFonts w:ascii="Times New Roman" w:hAnsi="Times New Roman"/>
          <w:szCs w:val="22"/>
          <w:lang w:val="pt-BR"/>
        </w:rPr>
        <w:t>mediante</w:t>
      </w:r>
      <w:r w:rsidR="0011085A" w:rsidRPr="00D65A20">
        <w:rPr>
          <w:rFonts w:ascii="Times New Roman" w:hAnsi="Times New Roman"/>
          <w:szCs w:val="22"/>
          <w:lang w:val="pt-BR"/>
        </w:rPr>
        <w:t xml:space="preserve"> </w:t>
      </w:r>
      <w:r w:rsidRPr="00D65A20">
        <w:rPr>
          <w:rFonts w:ascii="Times New Roman" w:hAnsi="Times New Roman"/>
          <w:szCs w:val="22"/>
          <w:lang w:val="pt-BR"/>
        </w:rPr>
        <w:t xml:space="preserve">a prevenção da exploração do setor do transporte para facilitar o movimento de pessoas </w:t>
      </w:r>
      <w:r w:rsidR="00470389">
        <w:rPr>
          <w:rFonts w:ascii="Times New Roman" w:hAnsi="Times New Roman"/>
          <w:szCs w:val="22"/>
          <w:lang w:val="pt-BR"/>
        </w:rPr>
        <w:t>que pretendam</w:t>
      </w:r>
      <w:r w:rsidRPr="00D65A20">
        <w:rPr>
          <w:rFonts w:ascii="Times New Roman" w:hAnsi="Times New Roman"/>
          <w:szCs w:val="22"/>
          <w:lang w:val="pt-BR"/>
        </w:rPr>
        <w:t xml:space="preserve"> cometer ataques terroristas, o tráfico ilícito de armas pequenas e sistemas de armas avançadas, como os sistemas portáteis de defesa </w:t>
      </w:r>
      <w:r w:rsidR="002628BC" w:rsidRPr="00D65A20">
        <w:rPr>
          <w:rFonts w:ascii="Times New Roman" w:hAnsi="Times New Roman"/>
          <w:szCs w:val="22"/>
          <w:lang w:val="pt-BR"/>
        </w:rPr>
        <w:t>anti</w:t>
      </w:r>
      <w:r w:rsidRPr="00D65A20">
        <w:rPr>
          <w:rFonts w:ascii="Times New Roman" w:hAnsi="Times New Roman"/>
          <w:szCs w:val="22"/>
          <w:lang w:val="pt-BR"/>
        </w:rPr>
        <w:t xml:space="preserve">aérea (MANPADS) e os sistemas </w:t>
      </w:r>
      <w:r w:rsidR="00AB1188" w:rsidRPr="00D65A20">
        <w:rPr>
          <w:rFonts w:ascii="Times New Roman" w:hAnsi="Times New Roman"/>
          <w:szCs w:val="22"/>
          <w:lang w:val="pt-BR"/>
        </w:rPr>
        <w:t xml:space="preserve">de aeronaves </w:t>
      </w:r>
      <w:r w:rsidRPr="00D65A20">
        <w:rPr>
          <w:rFonts w:ascii="Times New Roman" w:hAnsi="Times New Roman"/>
          <w:szCs w:val="22"/>
          <w:lang w:val="pt-BR"/>
        </w:rPr>
        <w:t>não tripulad</w:t>
      </w:r>
      <w:r w:rsidR="00AB1188" w:rsidRPr="00D65A20">
        <w:rPr>
          <w:rFonts w:ascii="Times New Roman" w:hAnsi="Times New Roman"/>
          <w:szCs w:val="22"/>
          <w:lang w:val="pt-BR"/>
        </w:rPr>
        <w:t>a</w:t>
      </w:r>
      <w:r w:rsidRPr="00D65A20">
        <w:rPr>
          <w:rFonts w:ascii="Times New Roman" w:hAnsi="Times New Roman"/>
          <w:szCs w:val="22"/>
          <w:lang w:val="pt-BR"/>
        </w:rPr>
        <w:t>s, bem como o transporte ilícito de material explosivo, químico, biológico, nuclear e radiológico</w:t>
      </w:r>
      <w:r w:rsidR="00E20299" w:rsidRPr="00D65A20">
        <w:rPr>
          <w:rFonts w:ascii="Times New Roman" w:hAnsi="Times New Roman"/>
          <w:szCs w:val="22"/>
          <w:lang w:val="pt-BR"/>
        </w:rPr>
        <w:t xml:space="preserve">; </w:t>
      </w:r>
      <w:r w:rsidRPr="00D65A20">
        <w:rPr>
          <w:rFonts w:ascii="Times New Roman" w:hAnsi="Times New Roman"/>
          <w:szCs w:val="22"/>
          <w:lang w:val="pt-BR"/>
        </w:rPr>
        <w:t xml:space="preserve">e </w:t>
      </w:r>
      <w:r w:rsidR="0011085A" w:rsidRPr="00D65A20">
        <w:rPr>
          <w:rFonts w:ascii="Times New Roman" w:hAnsi="Times New Roman"/>
          <w:szCs w:val="22"/>
          <w:lang w:val="pt-BR"/>
        </w:rPr>
        <w:t xml:space="preserve">a fim de </w:t>
      </w:r>
      <w:r w:rsidRPr="00D65A20">
        <w:rPr>
          <w:rFonts w:ascii="Times New Roman" w:hAnsi="Times New Roman"/>
          <w:szCs w:val="22"/>
          <w:lang w:val="pt-BR"/>
        </w:rPr>
        <w:t xml:space="preserve">responder eficazmente às ameaças representadas </w:t>
      </w:r>
      <w:r w:rsidR="00AB1188" w:rsidRPr="00D65A20">
        <w:rPr>
          <w:rFonts w:ascii="Times New Roman" w:hAnsi="Times New Roman"/>
          <w:szCs w:val="22"/>
          <w:lang w:val="pt-BR"/>
        </w:rPr>
        <w:t xml:space="preserve">por combatentes terroristas estrangeiros </w:t>
      </w:r>
      <w:r w:rsidRPr="00D65A20">
        <w:rPr>
          <w:rFonts w:ascii="Times New Roman" w:hAnsi="Times New Roman"/>
          <w:szCs w:val="22"/>
          <w:lang w:val="pt-BR"/>
        </w:rPr>
        <w:t xml:space="preserve">e familiares que os acompanham, em conformidade com as </w:t>
      </w:r>
      <w:r w:rsidR="0011085A" w:rsidRPr="00D65A20">
        <w:rPr>
          <w:rFonts w:ascii="Times New Roman" w:hAnsi="Times New Roman"/>
          <w:szCs w:val="22"/>
          <w:lang w:val="pt-BR"/>
        </w:rPr>
        <w:t>R</w:t>
      </w:r>
      <w:r w:rsidRPr="00D65A20">
        <w:rPr>
          <w:rFonts w:ascii="Times New Roman" w:hAnsi="Times New Roman"/>
          <w:szCs w:val="22"/>
          <w:lang w:val="pt-BR"/>
        </w:rPr>
        <w:t xml:space="preserve">esoluções 2396 (2017) e 2178 (2014) do Conselho de Segurança da ONU, </w:t>
      </w:r>
      <w:r w:rsidR="0011085A" w:rsidRPr="00D65A20">
        <w:rPr>
          <w:rFonts w:ascii="Times New Roman" w:hAnsi="Times New Roman"/>
          <w:szCs w:val="22"/>
          <w:lang w:val="pt-BR"/>
        </w:rPr>
        <w:t>mediante</w:t>
      </w:r>
      <w:r w:rsidRPr="00D65A20">
        <w:rPr>
          <w:rFonts w:ascii="Times New Roman" w:hAnsi="Times New Roman"/>
          <w:szCs w:val="22"/>
          <w:lang w:val="pt-BR"/>
        </w:rPr>
        <w:t xml:space="preserve"> a implementação de protocolos de coleta e análise de dados de passageiros que melhorem a capacidade das autoridades para detectar fraudes e outras atividades suspeitas durante o controle fronteiriço de cargas</w:t>
      </w:r>
      <w:r w:rsidR="0011085A" w:rsidRPr="00D65A20">
        <w:rPr>
          <w:rFonts w:ascii="Times New Roman" w:hAnsi="Times New Roman"/>
          <w:szCs w:val="22"/>
          <w:lang w:val="pt-BR"/>
        </w:rPr>
        <w:t>, bem como</w:t>
      </w:r>
      <w:r w:rsidRPr="00D65A20">
        <w:rPr>
          <w:rFonts w:ascii="Times New Roman" w:hAnsi="Times New Roman"/>
          <w:szCs w:val="22"/>
          <w:lang w:val="pt-BR"/>
        </w:rPr>
        <w:t xml:space="preserve"> controles de documentos, </w:t>
      </w:r>
      <w:r w:rsidR="00E20299" w:rsidRPr="00D65A20">
        <w:rPr>
          <w:rFonts w:ascii="Times New Roman" w:hAnsi="Times New Roman"/>
          <w:szCs w:val="22"/>
          <w:lang w:val="pt-BR"/>
        </w:rPr>
        <w:t xml:space="preserve">sempre </w:t>
      </w:r>
      <w:r w:rsidRPr="00D65A20">
        <w:rPr>
          <w:rFonts w:ascii="Times New Roman" w:hAnsi="Times New Roman"/>
          <w:szCs w:val="22"/>
          <w:lang w:val="pt-BR"/>
        </w:rPr>
        <w:t xml:space="preserve">respeitando plenamente os direitos humanos, as liberdades fundamentais e o </w:t>
      </w:r>
      <w:r w:rsidR="0011085A" w:rsidRPr="00D65A20">
        <w:rPr>
          <w:rFonts w:ascii="Times New Roman" w:hAnsi="Times New Roman"/>
          <w:szCs w:val="22"/>
          <w:lang w:val="pt-BR"/>
        </w:rPr>
        <w:t>E</w:t>
      </w:r>
      <w:r w:rsidRPr="00D65A20">
        <w:rPr>
          <w:rFonts w:ascii="Times New Roman" w:hAnsi="Times New Roman"/>
          <w:szCs w:val="22"/>
          <w:lang w:val="pt-BR"/>
        </w:rPr>
        <w:t xml:space="preserve">stado de </w:t>
      </w:r>
      <w:r w:rsidR="0011085A" w:rsidRPr="00D65A20">
        <w:rPr>
          <w:rFonts w:ascii="Times New Roman" w:hAnsi="Times New Roman"/>
          <w:szCs w:val="22"/>
          <w:lang w:val="pt-BR"/>
        </w:rPr>
        <w:t>D</w:t>
      </w:r>
      <w:r w:rsidRPr="00D65A20">
        <w:rPr>
          <w:rFonts w:ascii="Times New Roman" w:hAnsi="Times New Roman"/>
          <w:szCs w:val="22"/>
          <w:lang w:val="pt-BR"/>
        </w:rPr>
        <w:t xml:space="preserve">ireito, de acordo com a legislação de cada Estado. </w:t>
      </w:r>
    </w:p>
    <w:p w14:paraId="6E834219" w14:textId="77777777" w:rsidR="0011327F" w:rsidRPr="00D65A20" w:rsidRDefault="0011327F" w:rsidP="00AA4399">
      <w:pPr>
        <w:widowControl/>
        <w:tabs>
          <w:tab w:val="clear" w:pos="1440"/>
          <w:tab w:val="clear" w:pos="2160"/>
          <w:tab w:val="clear" w:pos="2880"/>
          <w:tab w:val="clear" w:pos="3600"/>
          <w:tab w:val="clear" w:pos="4320"/>
          <w:tab w:val="clear" w:pos="5760"/>
          <w:tab w:val="clear" w:pos="6480"/>
          <w:tab w:val="clear" w:pos="7200"/>
          <w:tab w:val="clear" w:pos="7920"/>
        </w:tabs>
        <w:ind w:left="360" w:hanging="360"/>
        <w:rPr>
          <w:rFonts w:ascii="Times New Roman" w:hAnsi="Times New Roman"/>
          <w:bCs/>
          <w:szCs w:val="22"/>
          <w:lang w:val="pt-BR"/>
        </w:rPr>
      </w:pPr>
    </w:p>
    <w:p w14:paraId="6E83421A" w14:textId="6B22557B" w:rsidR="0011327F" w:rsidRPr="00D65A20" w:rsidRDefault="0039190A" w:rsidP="00AA4399">
      <w:pPr>
        <w:widowControl/>
        <w:numPr>
          <w:ilvl w:val="0"/>
          <w:numId w:val="19"/>
        </w:numPr>
        <w:ind w:left="0"/>
        <w:rPr>
          <w:rFonts w:ascii="Times New Roman" w:hAnsi="Times New Roman"/>
          <w:szCs w:val="22"/>
          <w:lang w:val="pt-BR"/>
        </w:rPr>
      </w:pPr>
      <w:bookmarkStart w:id="29" w:name="_Hlk50709125"/>
      <w:r w:rsidRPr="00D65A20">
        <w:rPr>
          <w:rFonts w:ascii="Times New Roman" w:hAnsi="Times New Roman"/>
          <w:szCs w:val="22"/>
          <w:lang w:val="pt-BR"/>
        </w:rPr>
        <w:t xml:space="preserve">Instar </w:t>
      </w:r>
      <w:r w:rsidR="0011327F" w:rsidRPr="00D65A20">
        <w:rPr>
          <w:rFonts w:ascii="Times New Roman" w:hAnsi="Times New Roman"/>
          <w:szCs w:val="22"/>
          <w:lang w:val="pt-BR"/>
        </w:rPr>
        <w:t xml:space="preserve">os Estados </w:t>
      </w:r>
      <w:r w:rsidR="00AB1188" w:rsidRPr="00D65A20">
        <w:rPr>
          <w:rFonts w:ascii="Times New Roman" w:hAnsi="Times New Roman"/>
          <w:szCs w:val="22"/>
          <w:lang w:val="pt-BR"/>
        </w:rPr>
        <w:t xml:space="preserve">membros </w:t>
      </w:r>
      <w:r w:rsidRPr="00D65A20">
        <w:rPr>
          <w:rFonts w:ascii="Times New Roman" w:hAnsi="Times New Roman"/>
          <w:szCs w:val="22"/>
          <w:lang w:val="pt-BR"/>
        </w:rPr>
        <w:t xml:space="preserve">a </w:t>
      </w:r>
      <w:r w:rsidR="0011327F" w:rsidRPr="00D65A20">
        <w:rPr>
          <w:rFonts w:ascii="Times New Roman" w:hAnsi="Times New Roman"/>
          <w:szCs w:val="22"/>
          <w:lang w:val="pt-BR"/>
        </w:rPr>
        <w:t xml:space="preserve">que, em matéria de biossegurança e biocustódia na região, articulem respostas coordenadas para detectar e responder eficazmente a possíveis incidentes biológicos, com um enfoque multissetorial. Para isso, é fundamental a articulação de esforços entre instituições governamentais, </w:t>
      </w:r>
      <w:r w:rsidR="00AB1188" w:rsidRPr="00D65A20">
        <w:rPr>
          <w:rFonts w:ascii="Times New Roman" w:hAnsi="Times New Roman"/>
          <w:szCs w:val="22"/>
          <w:lang w:val="pt-BR"/>
        </w:rPr>
        <w:t xml:space="preserve">o </w:t>
      </w:r>
      <w:r w:rsidR="0011327F" w:rsidRPr="00D65A20">
        <w:rPr>
          <w:rFonts w:ascii="Times New Roman" w:hAnsi="Times New Roman"/>
          <w:szCs w:val="22"/>
          <w:lang w:val="pt-BR"/>
        </w:rPr>
        <w:t xml:space="preserve">setor acadêmico, </w:t>
      </w:r>
      <w:r w:rsidR="00AB1188" w:rsidRPr="00D65A20">
        <w:rPr>
          <w:rFonts w:ascii="Times New Roman" w:hAnsi="Times New Roman"/>
          <w:szCs w:val="22"/>
          <w:lang w:val="pt-BR"/>
        </w:rPr>
        <w:t xml:space="preserve">o </w:t>
      </w:r>
      <w:r w:rsidR="0011327F" w:rsidRPr="00D65A20">
        <w:rPr>
          <w:rFonts w:ascii="Times New Roman" w:hAnsi="Times New Roman"/>
          <w:szCs w:val="22"/>
          <w:lang w:val="pt-BR"/>
        </w:rPr>
        <w:t xml:space="preserve">setor privado e organizações da sociedade civil, entre outros. </w:t>
      </w:r>
    </w:p>
    <w:bookmarkEnd w:id="29"/>
    <w:p w14:paraId="6E83421B" w14:textId="77777777" w:rsidR="0011327F" w:rsidRPr="00D65A20" w:rsidRDefault="0011327F" w:rsidP="00AA4399">
      <w:pPr>
        <w:widowControl/>
        <w:rPr>
          <w:rFonts w:ascii="Times New Roman" w:hAnsi="Times New Roman"/>
          <w:szCs w:val="22"/>
          <w:lang w:val="pt-BR"/>
        </w:rPr>
      </w:pPr>
    </w:p>
    <w:p w14:paraId="6E83421C" w14:textId="6F49FDC6" w:rsidR="0011327F" w:rsidRPr="00D65A20" w:rsidRDefault="0011327F" w:rsidP="00AA4399">
      <w:pPr>
        <w:widowControl/>
        <w:numPr>
          <w:ilvl w:val="0"/>
          <w:numId w:val="19"/>
        </w:numPr>
        <w:ind w:left="0"/>
        <w:rPr>
          <w:rFonts w:ascii="Times New Roman" w:hAnsi="Times New Roman"/>
          <w:szCs w:val="22"/>
          <w:lang w:val="pt-BR"/>
        </w:rPr>
      </w:pPr>
      <w:bookmarkStart w:id="30" w:name="_Hlk50710406"/>
      <w:r w:rsidRPr="00D65A20">
        <w:rPr>
          <w:rFonts w:ascii="Times New Roman" w:hAnsi="Times New Roman"/>
          <w:szCs w:val="22"/>
          <w:lang w:val="pt-BR"/>
        </w:rPr>
        <w:t xml:space="preserve">Ressaltar a importância de designar um ou mais </w:t>
      </w:r>
      <w:r w:rsidRPr="00D65A20">
        <w:rPr>
          <w:rFonts w:ascii="Times New Roman" w:hAnsi="Times New Roman"/>
          <w:bCs/>
          <w:szCs w:val="22"/>
          <w:lang w:val="pt-BR"/>
        </w:rPr>
        <w:t>Pontos de Contato Nacionais para o CICTE,</w:t>
      </w:r>
      <w:r w:rsidRPr="00D65A20">
        <w:rPr>
          <w:rFonts w:ascii="Times New Roman" w:hAnsi="Times New Roman"/>
          <w:szCs w:val="22"/>
          <w:lang w:val="pt-BR"/>
        </w:rPr>
        <w:t xml:space="preserve"> com a recomendação de </w:t>
      </w:r>
      <w:r w:rsidRPr="00D65A20">
        <w:rPr>
          <w:rFonts w:ascii="Times New Roman" w:hAnsi="Times New Roman"/>
          <w:bCs/>
          <w:szCs w:val="22"/>
          <w:lang w:val="pt-BR"/>
        </w:rPr>
        <w:t>que</w:t>
      </w:r>
      <w:r w:rsidRPr="00D65A20">
        <w:rPr>
          <w:rFonts w:ascii="Times New Roman" w:hAnsi="Times New Roman"/>
          <w:szCs w:val="22"/>
          <w:lang w:val="pt-BR"/>
        </w:rPr>
        <w:t xml:space="preserve"> </w:t>
      </w:r>
      <w:r w:rsidR="00950863" w:rsidRPr="00D65A20">
        <w:rPr>
          <w:rFonts w:ascii="Times New Roman" w:hAnsi="Times New Roman"/>
          <w:szCs w:val="22"/>
          <w:lang w:val="pt-BR"/>
        </w:rPr>
        <w:t>tenham</w:t>
      </w:r>
      <w:r w:rsidRPr="00D65A20">
        <w:rPr>
          <w:rFonts w:ascii="Times New Roman" w:hAnsi="Times New Roman"/>
          <w:szCs w:val="22"/>
          <w:lang w:val="pt-BR"/>
        </w:rPr>
        <w:t xml:space="preserve"> competência em matéria de prevenção e combate do terrorismo com a finalidade de fortalecer a cooperação na região e de facilitar o intercâmbio de informações e a cooperação estreita entre as autoridades dos diferentes países. </w:t>
      </w:r>
    </w:p>
    <w:bookmarkEnd w:id="30"/>
    <w:p w14:paraId="6E83421D" w14:textId="77777777" w:rsidR="0011327F" w:rsidRPr="00D65A20" w:rsidRDefault="0011327F" w:rsidP="00AA4399">
      <w:pPr>
        <w:widowControl/>
        <w:rPr>
          <w:rFonts w:ascii="Times New Roman" w:hAnsi="Times New Roman"/>
          <w:szCs w:val="22"/>
          <w:lang w:val="pt-BR"/>
        </w:rPr>
      </w:pPr>
    </w:p>
    <w:p w14:paraId="6E83421E" w14:textId="77777777" w:rsidR="0011327F" w:rsidRPr="00D65A20" w:rsidRDefault="0011327F" w:rsidP="00AA4399">
      <w:pPr>
        <w:widowControl/>
        <w:numPr>
          <w:ilvl w:val="0"/>
          <w:numId w:val="19"/>
        </w:numPr>
        <w:ind w:left="0"/>
        <w:rPr>
          <w:rFonts w:ascii="Times New Roman" w:hAnsi="Times New Roman"/>
          <w:szCs w:val="22"/>
          <w:lang w:val="pt-BR"/>
        </w:rPr>
      </w:pPr>
      <w:bookmarkStart w:id="31" w:name="_Hlk50711473"/>
      <w:r w:rsidRPr="00D65A20">
        <w:rPr>
          <w:rFonts w:ascii="Times New Roman" w:hAnsi="Times New Roman"/>
          <w:szCs w:val="22"/>
          <w:lang w:val="pt-BR"/>
        </w:rPr>
        <w:t>Realizar maiores esforços para desenvolver capacidades, criar resiliência e assegurar níveis mais altos de preparação em todos os setores da sociedade e potencializar a legislação nacional contra o terrorismo, os sistemas de pesquisa e de ajuizamento nos Estados membros</w:t>
      </w:r>
      <w:r w:rsidR="00950863" w:rsidRPr="00D65A20">
        <w:rPr>
          <w:rFonts w:ascii="Times New Roman" w:hAnsi="Times New Roman"/>
          <w:szCs w:val="22"/>
          <w:lang w:val="pt-BR"/>
        </w:rPr>
        <w:t>,</w:t>
      </w:r>
      <w:r w:rsidRPr="00D65A20">
        <w:rPr>
          <w:rFonts w:ascii="Times New Roman" w:hAnsi="Times New Roman"/>
          <w:szCs w:val="22"/>
          <w:lang w:val="pt-BR"/>
        </w:rPr>
        <w:t xml:space="preserve"> a fim de prevenir e mitigar o impacto de qualquer incidente terrorista, inclusive </w:t>
      </w:r>
      <w:r w:rsidR="004C48DD" w:rsidRPr="00D65A20">
        <w:rPr>
          <w:rFonts w:ascii="Times New Roman" w:hAnsi="Times New Roman"/>
          <w:szCs w:val="22"/>
          <w:lang w:val="pt-BR"/>
        </w:rPr>
        <w:t xml:space="preserve">por meio </w:t>
      </w:r>
      <w:r w:rsidRPr="00D65A20">
        <w:rPr>
          <w:rFonts w:ascii="Times New Roman" w:hAnsi="Times New Roman"/>
          <w:szCs w:val="22"/>
          <w:lang w:val="pt-BR"/>
        </w:rPr>
        <w:t xml:space="preserve">do estabelecimento de parcerias entre o setor público e o setor privado, quando apropriado. </w:t>
      </w:r>
    </w:p>
    <w:bookmarkEnd w:id="31"/>
    <w:p w14:paraId="6E83421F" w14:textId="77777777" w:rsidR="0011327F" w:rsidRPr="00D65A20" w:rsidRDefault="0011327F" w:rsidP="00AA4399">
      <w:pPr>
        <w:widowControl/>
        <w:rPr>
          <w:rFonts w:ascii="Times New Roman" w:hAnsi="Times New Roman"/>
          <w:szCs w:val="22"/>
          <w:lang w:val="pt-BR"/>
        </w:rPr>
      </w:pPr>
    </w:p>
    <w:p w14:paraId="6E834220" w14:textId="65E8C0E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lastRenderedPageBreak/>
        <w:t xml:space="preserve">Continuar dando seguimento às reflexões e propostas realizadas </w:t>
      </w:r>
      <w:r w:rsidR="004C48DD" w:rsidRPr="00D65A20">
        <w:rPr>
          <w:rFonts w:ascii="Times New Roman" w:hAnsi="Times New Roman"/>
          <w:szCs w:val="22"/>
          <w:lang w:val="pt-BR"/>
        </w:rPr>
        <w:t>no</w:t>
      </w:r>
      <w:r w:rsidRPr="00D65A20">
        <w:rPr>
          <w:rFonts w:ascii="Times New Roman" w:hAnsi="Times New Roman"/>
          <w:szCs w:val="22"/>
          <w:lang w:val="pt-BR"/>
        </w:rPr>
        <w:t xml:space="preserve"> D</w:t>
      </w:r>
      <w:r w:rsidRPr="00D65A20">
        <w:rPr>
          <w:rFonts w:ascii="Times New Roman" w:hAnsi="Times New Roman"/>
          <w:bCs/>
          <w:szCs w:val="22"/>
          <w:lang w:val="pt-BR"/>
        </w:rPr>
        <w:t>écimo Nono Período Ordinário de Sessões do CICTE, realizado em 2019,</w:t>
      </w:r>
      <w:r w:rsidRPr="00D65A20">
        <w:rPr>
          <w:rFonts w:ascii="Times New Roman" w:hAnsi="Times New Roman"/>
          <w:szCs w:val="22"/>
          <w:lang w:val="pt-BR"/>
        </w:rPr>
        <w:t xml:space="preserve"> para melhorar o trabalho do Comitê</w:t>
      </w:r>
      <w:r w:rsidR="004C48DD" w:rsidRPr="00D65A20">
        <w:rPr>
          <w:rFonts w:ascii="Times New Roman" w:hAnsi="Times New Roman"/>
          <w:szCs w:val="22"/>
          <w:lang w:val="pt-BR"/>
        </w:rPr>
        <w:t>,</w:t>
      </w:r>
      <w:r w:rsidRPr="00D65A20">
        <w:rPr>
          <w:rFonts w:ascii="Times New Roman" w:hAnsi="Times New Roman"/>
          <w:szCs w:val="22"/>
          <w:lang w:val="pt-BR"/>
        </w:rPr>
        <w:t xml:space="preserve"> e solicitar à Secretaria </w:t>
      </w:r>
      <w:r w:rsidR="00566423" w:rsidRPr="00D65A20">
        <w:rPr>
          <w:rFonts w:ascii="Times New Roman" w:hAnsi="Times New Roman"/>
          <w:szCs w:val="22"/>
          <w:lang w:val="pt-BR"/>
        </w:rPr>
        <w:t xml:space="preserve">do CICTE </w:t>
      </w:r>
      <w:r w:rsidRPr="00D65A20">
        <w:rPr>
          <w:rFonts w:ascii="Times New Roman" w:hAnsi="Times New Roman"/>
          <w:szCs w:val="22"/>
          <w:lang w:val="pt-BR"/>
        </w:rPr>
        <w:t xml:space="preserve">que informe a </w:t>
      </w:r>
      <w:r w:rsidR="00950863" w:rsidRPr="00D65A20">
        <w:rPr>
          <w:rFonts w:ascii="Times New Roman" w:hAnsi="Times New Roman"/>
          <w:szCs w:val="22"/>
          <w:lang w:val="pt-BR"/>
        </w:rPr>
        <w:t>CSH</w:t>
      </w:r>
      <w:r w:rsidRPr="00D65A20">
        <w:rPr>
          <w:rFonts w:ascii="Times New Roman" w:hAnsi="Times New Roman"/>
          <w:szCs w:val="22"/>
          <w:lang w:val="pt-BR"/>
        </w:rPr>
        <w:t xml:space="preserve"> sobre os avanços a esse respeito conforme necessário. </w:t>
      </w:r>
    </w:p>
    <w:p w14:paraId="6E834221" w14:textId="77777777" w:rsidR="0011327F" w:rsidRPr="00D65A20" w:rsidRDefault="0011327F" w:rsidP="00AA4399">
      <w:pPr>
        <w:widowControl/>
        <w:rPr>
          <w:rFonts w:ascii="Times New Roman" w:hAnsi="Times New Roman"/>
          <w:szCs w:val="22"/>
          <w:lang w:val="pt-BR"/>
        </w:rPr>
      </w:pPr>
    </w:p>
    <w:p w14:paraId="6E834222" w14:textId="4719469D"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Continuar fortalecendo a cooperação e o intercâmbio de informações entre os Estados</w:t>
      </w:r>
      <w:r w:rsidR="00950863" w:rsidRPr="00D65A20">
        <w:rPr>
          <w:rFonts w:ascii="Times New Roman" w:hAnsi="Times New Roman"/>
          <w:szCs w:val="22"/>
          <w:lang w:val="pt-BR"/>
        </w:rPr>
        <w:t xml:space="preserve"> membros</w:t>
      </w:r>
      <w:r w:rsidRPr="00D65A20">
        <w:rPr>
          <w:rFonts w:ascii="Times New Roman" w:hAnsi="Times New Roman"/>
          <w:szCs w:val="22"/>
          <w:lang w:val="pt-BR"/>
        </w:rPr>
        <w:t xml:space="preserve"> </w:t>
      </w:r>
      <w:r w:rsidR="004C48DD" w:rsidRPr="00D65A20">
        <w:rPr>
          <w:rFonts w:ascii="Times New Roman" w:hAnsi="Times New Roman"/>
          <w:szCs w:val="22"/>
          <w:lang w:val="pt-BR"/>
        </w:rPr>
        <w:t xml:space="preserve">a fim de </w:t>
      </w:r>
      <w:r w:rsidRPr="00D65A20">
        <w:rPr>
          <w:rFonts w:ascii="Times New Roman" w:hAnsi="Times New Roman"/>
          <w:szCs w:val="22"/>
          <w:lang w:val="pt-BR"/>
        </w:rPr>
        <w:t xml:space="preserve">prevenir, investigar, combater e punir atos terroristas, </w:t>
      </w:r>
      <w:r w:rsidR="00C042DE" w:rsidRPr="00D65A20">
        <w:rPr>
          <w:rFonts w:ascii="Times New Roman" w:hAnsi="Times New Roman"/>
          <w:szCs w:val="22"/>
          <w:lang w:val="pt-BR"/>
        </w:rPr>
        <w:t>mediante o impulso</w:t>
      </w:r>
      <w:r w:rsidRPr="00D65A20">
        <w:rPr>
          <w:rFonts w:ascii="Times New Roman" w:hAnsi="Times New Roman"/>
          <w:szCs w:val="22"/>
          <w:lang w:val="pt-BR"/>
        </w:rPr>
        <w:t xml:space="preserve"> </w:t>
      </w:r>
      <w:r w:rsidR="00C042DE" w:rsidRPr="00D65A20">
        <w:rPr>
          <w:rFonts w:ascii="Times New Roman" w:hAnsi="Times New Roman"/>
          <w:szCs w:val="22"/>
          <w:lang w:val="pt-BR"/>
        </w:rPr>
        <w:t>a</w:t>
      </w:r>
      <w:r w:rsidRPr="00D65A20">
        <w:rPr>
          <w:rFonts w:ascii="Times New Roman" w:hAnsi="Times New Roman"/>
          <w:szCs w:val="22"/>
          <w:lang w:val="pt-BR"/>
        </w:rPr>
        <w:t xml:space="preserve">o pleno funcionamento da </w:t>
      </w:r>
      <w:r w:rsidRPr="00D65A20">
        <w:rPr>
          <w:rFonts w:ascii="Times New Roman" w:hAnsi="Times New Roman"/>
          <w:bCs/>
          <w:szCs w:val="22"/>
          <w:lang w:val="pt-BR"/>
        </w:rPr>
        <w:t>Rede Interamericana contra o Terrorismo</w:t>
      </w:r>
      <w:r w:rsidRPr="00D65A20">
        <w:rPr>
          <w:rFonts w:ascii="Times New Roman" w:hAnsi="Times New Roman"/>
          <w:szCs w:val="22"/>
          <w:lang w:val="pt-BR"/>
        </w:rPr>
        <w:t xml:space="preserve">, iniciativa implementada pela Secretaria do CICTE como um mecanismo rápido e seguro para o intercâmbio de informações operacionais sobre ameaças terroristas, e incentivar todos os Estados membros que ainda não o fizeram a </w:t>
      </w:r>
      <w:r w:rsidR="00C042DE" w:rsidRPr="00D65A20">
        <w:rPr>
          <w:rFonts w:ascii="Times New Roman" w:hAnsi="Times New Roman"/>
          <w:szCs w:val="22"/>
          <w:lang w:val="pt-BR"/>
        </w:rPr>
        <w:t xml:space="preserve">que designem </w:t>
      </w:r>
      <w:r w:rsidRPr="00D65A20">
        <w:rPr>
          <w:rFonts w:ascii="Times New Roman" w:hAnsi="Times New Roman"/>
          <w:szCs w:val="22"/>
          <w:lang w:val="pt-BR"/>
        </w:rPr>
        <w:t>pontos focais para a Rede</w:t>
      </w:r>
      <w:r w:rsidR="00950863" w:rsidRPr="00D65A20">
        <w:rPr>
          <w:rFonts w:ascii="Times New Roman" w:hAnsi="Times New Roman"/>
          <w:szCs w:val="22"/>
          <w:lang w:val="pt-BR"/>
        </w:rPr>
        <w:t>,</w:t>
      </w:r>
      <w:r w:rsidRPr="00D65A20">
        <w:rPr>
          <w:rFonts w:ascii="Times New Roman" w:hAnsi="Times New Roman"/>
          <w:szCs w:val="22"/>
          <w:lang w:val="pt-BR"/>
        </w:rPr>
        <w:t xml:space="preserve"> a fim de fortalecer a capacidade de resposta rápida e fomentar maior cooperação e coordenação para prevenir e combater o terrorismo nas Américas. </w:t>
      </w:r>
    </w:p>
    <w:p w14:paraId="6E834223" w14:textId="77777777" w:rsidR="0011327F" w:rsidRPr="00D65A20" w:rsidRDefault="0011327F" w:rsidP="00AA4399">
      <w:pPr>
        <w:widowControl/>
        <w:rPr>
          <w:rFonts w:ascii="Times New Roman" w:hAnsi="Times New Roman"/>
          <w:szCs w:val="22"/>
          <w:lang w:val="pt-BR"/>
        </w:rPr>
      </w:pPr>
    </w:p>
    <w:p w14:paraId="6E834224" w14:textId="1A5B572B"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bCs/>
          <w:szCs w:val="22"/>
          <w:lang w:val="pt-BR"/>
        </w:rPr>
        <w:t>Agradecer</w:t>
      </w:r>
      <w:r w:rsidRPr="00D65A20">
        <w:rPr>
          <w:rFonts w:ascii="Times New Roman" w:hAnsi="Times New Roman"/>
          <w:szCs w:val="22"/>
          <w:lang w:val="pt-BR"/>
        </w:rPr>
        <w:t xml:space="preserve"> a colaboração contínua entre a Secretaria do CICTE, a Direção Executiva do Comitê contra o Terrorismo e o Escritório de Contraterrorismo</w:t>
      </w:r>
      <w:r w:rsidR="00950863" w:rsidRPr="00D65A20">
        <w:rPr>
          <w:rFonts w:ascii="Times New Roman" w:hAnsi="Times New Roman"/>
          <w:szCs w:val="22"/>
          <w:lang w:val="pt-BR"/>
        </w:rPr>
        <w:t xml:space="preserve">, ambos da Organização das </w:t>
      </w:r>
      <w:r w:rsidRPr="00D65A20">
        <w:rPr>
          <w:rFonts w:ascii="Times New Roman" w:hAnsi="Times New Roman"/>
          <w:szCs w:val="22"/>
          <w:lang w:val="pt-BR"/>
        </w:rPr>
        <w:t>Nações Unidas</w:t>
      </w:r>
      <w:r w:rsidR="00172445" w:rsidRPr="00D65A20">
        <w:rPr>
          <w:rFonts w:ascii="Times New Roman" w:hAnsi="Times New Roman"/>
          <w:szCs w:val="22"/>
          <w:lang w:val="pt-BR"/>
        </w:rPr>
        <w:t>,</w:t>
      </w:r>
      <w:r w:rsidRPr="00D65A20">
        <w:rPr>
          <w:rFonts w:ascii="Times New Roman" w:hAnsi="Times New Roman"/>
          <w:szCs w:val="22"/>
          <w:lang w:val="pt-BR"/>
        </w:rPr>
        <w:t xml:space="preserve"> bem como com </w:t>
      </w:r>
      <w:r w:rsidR="00950863" w:rsidRPr="00D65A20">
        <w:rPr>
          <w:rFonts w:ascii="Times New Roman" w:hAnsi="Times New Roman"/>
          <w:szCs w:val="22"/>
          <w:lang w:val="pt-BR"/>
        </w:rPr>
        <w:t>outros organismos</w:t>
      </w:r>
      <w:r w:rsidRPr="00D65A20">
        <w:rPr>
          <w:rFonts w:ascii="Times New Roman" w:hAnsi="Times New Roman"/>
          <w:szCs w:val="22"/>
          <w:lang w:val="pt-BR"/>
        </w:rPr>
        <w:t xml:space="preserve"> internacionais, regionais e agências especializadas na matéria, com a finalidade de sublinhar as importantes contribuições das organizações regionais, coordenar de forma mais estreita a cooperação hemisférica, buscar a complementaridade e evitar duplicação dos esforços realizados para combater o terrorismo. </w:t>
      </w:r>
    </w:p>
    <w:p w14:paraId="6E834225" w14:textId="77777777" w:rsidR="00A544BF" w:rsidRPr="00D65A20" w:rsidRDefault="00A544BF" w:rsidP="00A544BF">
      <w:pPr>
        <w:widowControl/>
        <w:rPr>
          <w:rFonts w:ascii="Times New Roman" w:hAnsi="Times New Roman"/>
          <w:szCs w:val="22"/>
          <w:lang w:val="pt-BR"/>
        </w:rPr>
      </w:pPr>
    </w:p>
    <w:p w14:paraId="6E834226" w14:textId="7B263C5B"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Assegurar que o orçamento-programa da Organização para 2021 atribua à Secretaria do CICTE os recursos financeiros necessários para implementar os mandatos, programas e atividades </w:t>
      </w:r>
      <w:r w:rsidR="0094574A" w:rsidRPr="00D65A20">
        <w:rPr>
          <w:rFonts w:ascii="Times New Roman" w:hAnsi="Times New Roman"/>
          <w:szCs w:val="22"/>
          <w:lang w:val="pt-BR"/>
        </w:rPr>
        <w:t xml:space="preserve">constantes do </w:t>
      </w:r>
      <w:r w:rsidRPr="00D65A20">
        <w:rPr>
          <w:rFonts w:ascii="Times New Roman" w:hAnsi="Times New Roman"/>
          <w:szCs w:val="22"/>
          <w:lang w:val="pt-BR"/>
        </w:rPr>
        <w:t xml:space="preserve">Plano de Trabalho </w:t>
      </w:r>
      <w:r w:rsidR="00266441" w:rsidRPr="00D65A20">
        <w:rPr>
          <w:rFonts w:ascii="Times New Roman" w:hAnsi="Times New Roman"/>
          <w:szCs w:val="22"/>
          <w:lang w:val="pt-BR"/>
        </w:rPr>
        <w:t xml:space="preserve">2020–2021 </w:t>
      </w:r>
      <w:r w:rsidRPr="00D65A20">
        <w:rPr>
          <w:rFonts w:ascii="Times New Roman" w:hAnsi="Times New Roman"/>
          <w:szCs w:val="22"/>
          <w:lang w:val="pt-BR"/>
        </w:rPr>
        <w:t>do CICTE</w:t>
      </w:r>
      <w:r w:rsidR="00266441" w:rsidRPr="00D65A20">
        <w:rPr>
          <w:rFonts w:ascii="Times New Roman" w:hAnsi="Times New Roman"/>
          <w:szCs w:val="22"/>
          <w:lang w:val="pt-BR"/>
        </w:rPr>
        <w:t>,</w:t>
      </w:r>
      <w:r w:rsidRPr="00D65A20">
        <w:rPr>
          <w:rFonts w:ascii="Times New Roman" w:hAnsi="Times New Roman"/>
          <w:szCs w:val="22"/>
          <w:lang w:val="pt-BR"/>
        </w:rPr>
        <w:t xml:space="preserve"> aprovado no </w:t>
      </w:r>
      <w:r w:rsidR="0094574A" w:rsidRPr="00D65A20">
        <w:rPr>
          <w:rFonts w:ascii="Times New Roman" w:hAnsi="Times New Roman"/>
          <w:szCs w:val="22"/>
          <w:lang w:val="pt-BR"/>
        </w:rPr>
        <w:t xml:space="preserve">seu </w:t>
      </w:r>
      <w:r w:rsidRPr="00D65A20">
        <w:rPr>
          <w:rFonts w:ascii="Times New Roman" w:hAnsi="Times New Roman"/>
          <w:szCs w:val="22"/>
          <w:lang w:val="pt-BR"/>
        </w:rPr>
        <w:t xml:space="preserve">Vigésimo Período Ordinário de Sessões, bem como os recursos suficientes para </w:t>
      </w:r>
      <w:r w:rsidRPr="00D65A20">
        <w:rPr>
          <w:rFonts w:ascii="Times New Roman" w:hAnsi="Times New Roman"/>
          <w:bCs/>
          <w:szCs w:val="22"/>
          <w:lang w:val="pt-BR"/>
        </w:rPr>
        <w:t>apoiar</w:t>
      </w:r>
      <w:r w:rsidRPr="00D65A20">
        <w:rPr>
          <w:rFonts w:ascii="Times New Roman" w:hAnsi="Times New Roman"/>
          <w:szCs w:val="22"/>
          <w:lang w:val="pt-BR"/>
        </w:rPr>
        <w:t xml:space="preserve"> a preparação e realização da reunião anual do CICTE, a participação nos diálogos políticos e técnicos sobre </w:t>
      </w:r>
      <w:r w:rsidR="00266441" w:rsidRPr="00D65A20">
        <w:rPr>
          <w:rFonts w:ascii="Times New Roman" w:hAnsi="Times New Roman"/>
          <w:szCs w:val="22"/>
          <w:lang w:val="pt-BR"/>
        </w:rPr>
        <w:t xml:space="preserve">os </w:t>
      </w:r>
      <w:r w:rsidRPr="00D65A20">
        <w:rPr>
          <w:rFonts w:ascii="Times New Roman" w:hAnsi="Times New Roman"/>
          <w:szCs w:val="22"/>
          <w:lang w:val="pt-BR"/>
        </w:rPr>
        <w:t xml:space="preserve">temas de </w:t>
      </w:r>
      <w:r w:rsidR="00266441" w:rsidRPr="00D65A20">
        <w:rPr>
          <w:rFonts w:ascii="Times New Roman" w:hAnsi="Times New Roman"/>
          <w:szCs w:val="22"/>
          <w:lang w:val="pt-BR"/>
        </w:rPr>
        <w:t xml:space="preserve">sua </w:t>
      </w:r>
      <w:r w:rsidRPr="00D65A20">
        <w:rPr>
          <w:rFonts w:ascii="Times New Roman" w:hAnsi="Times New Roman"/>
          <w:szCs w:val="22"/>
          <w:lang w:val="pt-BR"/>
        </w:rPr>
        <w:t xml:space="preserve">competência, o trabalho conjunto com outros organismos especializados na matéria e </w:t>
      </w:r>
      <w:r w:rsidR="00266441" w:rsidRPr="00D65A20">
        <w:rPr>
          <w:rFonts w:ascii="Times New Roman" w:hAnsi="Times New Roman"/>
          <w:szCs w:val="22"/>
          <w:lang w:val="pt-BR"/>
        </w:rPr>
        <w:t xml:space="preserve">o </w:t>
      </w:r>
      <w:r w:rsidRPr="00D65A20">
        <w:rPr>
          <w:rFonts w:ascii="Times New Roman" w:hAnsi="Times New Roman"/>
          <w:szCs w:val="22"/>
          <w:lang w:val="pt-BR"/>
        </w:rPr>
        <w:t xml:space="preserve">funcionamento permanente </w:t>
      </w:r>
      <w:r w:rsidR="00266441" w:rsidRPr="00D65A20">
        <w:rPr>
          <w:rFonts w:ascii="Times New Roman" w:hAnsi="Times New Roman"/>
          <w:szCs w:val="22"/>
          <w:lang w:val="pt-BR"/>
        </w:rPr>
        <w:t xml:space="preserve">da referida </w:t>
      </w:r>
      <w:r w:rsidRPr="00D65A20">
        <w:rPr>
          <w:rFonts w:ascii="Times New Roman" w:hAnsi="Times New Roman"/>
          <w:szCs w:val="22"/>
          <w:lang w:val="pt-BR"/>
        </w:rPr>
        <w:t xml:space="preserve">Secretaria. </w:t>
      </w:r>
    </w:p>
    <w:p w14:paraId="6E834227" w14:textId="77777777" w:rsidR="0011327F" w:rsidRPr="00D65A20" w:rsidRDefault="0011327F" w:rsidP="00AA4399">
      <w:pPr>
        <w:widowControl/>
        <w:rPr>
          <w:rFonts w:ascii="Times New Roman" w:hAnsi="Times New Roman"/>
          <w:szCs w:val="22"/>
          <w:lang w:val="pt-BR"/>
        </w:rPr>
      </w:pPr>
    </w:p>
    <w:p w14:paraId="6E834228"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Incentivar os Estados membros, </w:t>
      </w:r>
      <w:r w:rsidR="0094574A" w:rsidRPr="00D65A20">
        <w:rPr>
          <w:rFonts w:ascii="Times New Roman" w:hAnsi="Times New Roman"/>
          <w:szCs w:val="22"/>
          <w:lang w:val="pt-BR"/>
        </w:rPr>
        <w:t>os Observadores Permanentes</w:t>
      </w:r>
      <w:r w:rsidRPr="00D65A20">
        <w:rPr>
          <w:rFonts w:ascii="Times New Roman" w:hAnsi="Times New Roman"/>
          <w:szCs w:val="22"/>
          <w:lang w:val="pt-BR"/>
        </w:rPr>
        <w:t xml:space="preserve"> e </w:t>
      </w:r>
      <w:r w:rsidR="0094574A" w:rsidRPr="00D65A20">
        <w:rPr>
          <w:rFonts w:ascii="Times New Roman" w:hAnsi="Times New Roman"/>
          <w:szCs w:val="22"/>
          <w:lang w:val="pt-BR"/>
        </w:rPr>
        <w:t xml:space="preserve">os </w:t>
      </w:r>
      <w:r w:rsidRPr="00D65A20">
        <w:rPr>
          <w:rFonts w:ascii="Times New Roman" w:hAnsi="Times New Roman"/>
          <w:szCs w:val="22"/>
          <w:lang w:val="pt-BR"/>
        </w:rPr>
        <w:t xml:space="preserve">organismos internacionais a </w:t>
      </w:r>
      <w:r w:rsidR="0094574A" w:rsidRPr="00D65A20">
        <w:rPr>
          <w:rFonts w:ascii="Times New Roman" w:hAnsi="Times New Roman"/>
          <w:szCs w:val="22"/>
          <w:lang w:val="pt-BR"/>
        </w:rPr>
        <w:t xml:space="preserve">que continuem </w:t>
      </w:r>
      <w:r w:rsidRPr="00D65A20">
        <w:rPr>
          <w:rFonts w:ascii="Times New Roman" w:hAnsi="Times New Roman"/>
          <w:szCs w:val="22"/>
          <w:lang w:val="pt-BR"/>
        </w:rPr>
        <w:t xml:space="preserve">apoiando a Secretaria do CICTE </w:t>
      </w:r>
      <w:r w:rsidR="0094574A" w:rsidRPr="00D65A20">
        <w:rPr>
          <w:rFonts w:ascii="Times New Roman" w:hAnsi="Times New Roman"/>
          <w:szCs w:val="22"/>
          <w:lang w:val="pt-BR"/>
        </w:rPr>
        <w:t>por meio de</w:t>
      </w:r>
      <w:r w:rsidRPr="00D65A20">
        <w:rPr>
          <w:rFonts w:ascii="Times New Roman" w:hAnsi="Times New Roman"/>
          <w:szCs w:val="22"/>
          <w:lang w:val="pt-BR"/>
        </w:rPr>
        <w:t xml:space="preserve"> fontes de financiamento externo com o objetivo de facilitar o cumprimento de suas funções. </w:t>
      </w:r>
    </w:p>
    <w:p w14:paraId="6E834229" w14:textId="77777777" w:rsidR="0011327F" w:rsidRPr="00D65A20" w:rsidRDefault="0011327F" w:rsidP="00AA4399">
      <w:pPr>
        <w:widowControl/>
        <w:rPr>
          <w:rFonts w:ascii="Times New Roman" w:hAnsi="Times New Roman"/>
          <w:szCs w:val="22"/>
          <w:lang w:val="pt-BR"/>
        </w:rPr>
      </w:pPr>
    </w:p>
    <w:p w14:paraId="6E83422A"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Convocar o Vigésimo Primeiro Período Ordinário de Sessões do CICTE </w:t>
      </w:r>
      <w:r w:rsidR="0094574A" w:rsidRPr="00D65A20">
        <w:rPr>
          <w:rFonts w:ascii="Times New Roman" w:hAnsi="Times New Roman"/>
          <w:szCs w:val="22"/>
          <w:lang w:val="pt-BR"/>
        </w:rPr>
        <w:t>no</w:t>
      </w:r>
      <w:r w:rsidRPr="00D65A20">
        <w:rPr>
          <w:rFonts w:ascii="Times New Roman" w:hAnsi="Times New Roman"/>
          <w:szCs w:val="22"/>
          <w:lang w:val="pt-BR"/>
        </w:rPr>
        <w:t xml:space="preserve"> primeiro semestre de 2021 ou com antecedência suficiente à realização do período ordinário de sessões da Assembleia Geral desse ano. </w:t>
      </w:r>
    </w:p>
    <w:p w14:paraId="6E83422B" w14:textId="77777777" w:rsidR="0011327F" w:rsidRPr="00D65A20" w:rsidRDefault="0011327F" w:rsidP="00AA4399">
      <w:pPr>
        <w:widowControl/>
        <w:rPr>
          <w:rFonts w:ascii="Times New Roman" w:hAnsi="Times New Roman"/>
          <w:szCs w:val="22"/>
          <w:lang w:val="pt-BR"/>
        </w:rPr>
      </w:pPr>
    </w:p>
    <w:p w14:paraId="6E83422C"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Solicitar à </w:t>
      </w:r>
      <w:r w:rsidRPr="00D65A20">
        <w:rPr>
          <w:rFonts w:ascii="Times New Roman" w:hAnsi="Times New Roman"/>
          <w:bCs/>
          <w:szCs w:val="22"/>
          <w:lang w:val="pt-BR"/>
        </w:rPr>
        <w:t>Presidência</w:t>
      </w:r>
      <w:r w:rsidRPr="00D65A20">
        <w:rPr>
          <w:rFonts w:ascii="Times New Roman" w:hAnsi="Times New Roman"/>
          <w:szCs w:val="22"/>
          <w:lang w:val="pt-BR"/>
        </w:rPr>
        <w:t xml:space="preserve"> do CICTE que informe a Assembleia Geral, no Quinquagésimo Primeiro Período Ordinário de Sessões, sobre a implementação dos mandatos </w:t>
      </w:r>
      <w:r w:rsidR="0094574A" w:rsidRPr="00D65A20">
        <w:rPr>
          <w:rFonts w:ascii="Times New Roman" w:hAnsi="Times New Roman"/>
          <w:szCs w:val="22"/>
          <w:lang w:val="pt-BR"/>
        </w:rPr>
        <w:t>constantes do</w:t>
      </w:r>
      <w:r w:rsidRPr="00D65A20">
        <w:rPr>
          <w:rFonts w:ascii="Times New Roman" w:hAnsi="Times New Roman"/>
          <w:szCs w:val="22"/>
          <w:lang w:val="pt-BR"/>
        </w:rPr>
        <w:t xml:space="preserve"> Plano de Trabalho </w:t>
      </w:r>
      <w:r w:rsidR="001E01BA" w:rsidRPr="00D65A20">
        <w:rPr>
          <w:rFonts w:ascii="Times New Roman" w:hAnsi="Times New Roman"/>
          <w:szCs w:val="22"/>
          <w:lang w:val="pt-BR"/>
        </w:rPr>
        <w:t xml:space="preserve">2020–2021 </w:t>
      </w:r>
      <w:r w:rsidRPr="00D65A20">
        <w:rPr>
          <w:rFonts w:ascii="Times New Roman" w:hAnsi="Times New Roman"/>
          <w:szCs w:val="22"/>
          <w:lang w:val="pt-BR"/>
        </w:rPr>
        <w:t xml:space="preserve">do CICTE. </w:t>
      </w:r>
    </w:p>
    <w:p w14:paraId="6E83422D" w14:textId="77777777" w:rsidR="0011327F" w:rsidRPr="00D65A20" w:rsidRDefault="0011327F" w:rsidP="00AA4399">
      <w:pPr>
        <w:widowControl/>
        <w:jc w:val="left"/>
        <w:rPr>
          <w:rFonts w:ascii="Times New Roman" w:hAnsi="Times New Roman"/>
          <w:color w:val="000000"/>
          <w:szCs w:val="22"/>
          <w:lang w:val="pt-BR"/>
        </w:rPr>
      </w:pPr>
    </w:p>
    <w:p w14:paraId="6E83422E" w14:textId="77777777" w:rsidR="0011327F" w:rsidRPr="00D65A20" w:rsidRDefault="0011327F" w:rsidP="00AA4399">
      <w:pPr>
        <w:widowControl/>
        <w:jc w:val="left"/>
        <w:rPr>
          <w:rFonts w:ascii="Times New Roman" w:hAnsi="Times New Roman"/>
          <w:color w:val="000000"/>
          <w:szCs w:val="22"/>
          <w:u w:val="single"/>
          <w:lang w:val="pt-BR"/>
        </w:rPr>
      </w:pPr>
      <w:r w:rsidRPr="00D65A20">
        <w:rPr>
          <w:rFonts w:ascii="Times New Roman" w:hAnsi="Times New Roman"/>
          <w:color w:val="000000"/>
          <w:szCs w:val="22"/>
          <w:lang w:val="pt-BR"/>
        </w:rPr>
        <w:tab/>
      </w:r>
      <w:r w:rsidRPr="00D65A20">
        <w:rPr>
          <w:rFonts w:ascii="Times New Roman" w:hAnsi="Times New Roman"/>
          <w:color w:val="000000"/>
          <w:szCs w:val="22"/>
          <w:u w:val="single"/>
          <w:lang w:val="pt-BR"/>
        </w:rPr>
        <w:t>Junta Interamericana de Defesa (JID)</w:t>
      </w:r>
      <w:r w:rsidRPr="00D65A20">
        <w:rPr>
          <w:rFonts w:ascii="Times New Roman" w:hAnsi="Times New Roman"/>
          <w:szCs w:val="22"/>
          <w:vertAlign w:val="superscript"/>
          <w:lang w:val="pt-BR"/>
        </w:rPr>
        <w:t xml:space="preserve"> </w:t>
      </w:r>
      <w:r w:rsidRPr="00D65A20">
        <w:rPr>
          <w:rFonts w:ascii="Times New Roman" w:hAnsi="Times New Roman"/>
          <w:szCs w:val="22"/>
          <w:u w:val="single"/>
          <w:vertAlign w:val="superscript"/>
          <w:lang w:val="pt-BR"/>
        </w:rPr>
        <w:footnoteReference w:id="28"/>
      </w:r>
      <w:r w:rsidRPr="00D65A20">
        <w:rPr>
          <w:rFonts w:ascii="Times New Roman" w:hAnsi="Times New Roman"/>
          <w:color w:val="000000"/>
          <w:szCs w:val="22"/>
          <w:vertAlign w:val="superscript"/>
          <w:lang w:val="pt-BR"/>
        </w:rPr>
        <w:t>/</w:t>
      </w:r>
    </w:p>
    <w:p w14:paraId="6E83422F" w14:textId="77777777" w:rsidR="0011327F" w:rsidRPr="00D65A20" w:rsidRDefault="0011327F" w:rsidP="00AA4399">
      <w:pPr>
        <w:widowControl/>
        <w:jc w:val="left"/>
        <w:rPr>
          <w:rFonts w:ascii="Times New Roman" w:hAnsi="Times New Roman"/>
          <w:color w:val="000000"/>
          <w:szCs w:val="22"/>
          <w:u w:val="single"/>
          <w:lang w:val="pt-BR"/>
        </w:rPr>
      </w:pPr>
    </w:p>
    <w:p w14:paraId="6E834230" w14:textId="1860E26A" w:rsidR="0011327F" w:rsidRPr="00D65A20" w:rsidRDefault="0011327F" w:rsidP="00AA4399">
      <w:pPr>
        <w:widowControl/>
        <w:numPr>
          <w:ilvl w:val="0"/>
          <w:numId w:val="19"/>
        </w:numPr>
        <w:ind w:left="0"/>
        <w:rPr>
          <w:rFonts w:ascii="Times New Roman" w:hAnsi="Times New Roman"/>
          <w:bCs/>
          <w:i/>
          <w:color w:val="000000"/>
          <w:szCs w:val="22"/>
          <w:lang w:val="pt-BR"/>
        </w:rPr>
      </w:pPr>
      <w:r w:rsidRPr="00D65A20">
        <w:rPr>
          <w:rFonts w:ascii="Times New Roman" w:hAnsi="Times New Roman"/>
          <w:bCs/>
          <w:color w:val="000000"/>
          <w:szCs w:val="22"/>
          <w:lang w:val="pt-BR"/>
        </w:rPr>
        <w:t>Solicitar que a JID continue</w:t>
      </w:r>
      <w:r w:rsidRPr="00D65A20">
        <w:rPr>
          <w:rFonts w:ascii="Times New Roman" w:hAnsi="Times New Roman"/>
          <w:bCs/>
          <w:szCs w:val="22"/>
          <w:lang w:val="pt-BR"/>
        </w:rPr>
        <w:t xml:space="preserve"> fornecendo assessoria técnica em temas de remoção humanitária de minas ao Programa de Ação Integral contra Minas Antipessoal (AICMA) e oferecendo assessores técnicos e/ou monitores de garantia de qualidade às missões </w:t>
      </w:r>
      <w:r w:rsidR="00097CB4" w:rsidRPr="00D65A20">
        <w:rPr>
          <w:rFonts w:ascii="Times New Roman" w:hAnsi="Times New Roman"/>
          <w:bCs/>
          <w:szCs w:val="22"/>
          <w:lang w:val="pt-BR"/>
        </w:rPr>
        <w:t xml:space="preserve">do programa </w:t>
      </w:r>
      <w:r w:rsidRPr="00D65A20">
        <w:rPr>
          <w:rFonts w:ascii="Times New Roman" w:hAnsi="Times New Roman"/>
          <w:bCs/>
          <w:szCs w:val="22"/>
          <w:lang w:val="pt-BR"/>
        </w:rPr>
        <w:lastRenderedPageBreak/>
        <w:t>AICMA em apoio aos Estados membros que o solicitarem, a fim de contribuir para a meta de transformar as Américas em uma zona livre de minas antipessoal.</w:t>
      </w:r>
    </w:p>
    <w:p w14:paraId="6E834231"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 w:val="16"/>
          <w:szCs w:val="22"/>
          <w:lang w:val="pt-BR"/>
        </w:rPr>
      </w:pPr>
    </w:p>
    <w:p w14:paraId="6E834232" w14:textId="70BDC218" w:rsidR="0011327F" w:rsidRPr="00D65A20" w:rsidRDefault="0011327F" w:rsidP="00AA4399">
      <w:pPr>
        <w:widowControl/>
        <w:numPr>
          <w:ilvl w:val="0"/>
          <w:numId w:val="19"/>
        </w:numPr>
        <w:ind w:left="0"/>
        <w:rPr>
          <w:rFonts w:ascii="Times New Roman" w:hAnsi="Times New Roman"/>
          <w:bCs/>
          <w:i/>
          <w:color w:val="000000"/>
          <w:szCs w:val="22"/>
          <w:lang w:val="pt-BR"/>
        </w:rPr>
      </w:pPr>
      <w:r w:rsidRPr="00D65A20">
        <w:rPr>
          <w:rFonts w:ascii="Times New Roman" w:hAnsi="Times New Roman"/>
          <w:bCs/>
          <w:color w:val="000000"/>
          <w:szCs w:val="22"/>
          <w:lang w:val="pt-BR"/>
        </w:rPr>
        <w:t xml:space="preserve">Solicitar que a JID divulgue as lições aprendidas </w:t>
      </w:r>
      <w:r w:rsidR="00256857">
        <w:rPr>
          <w:rFonts w:ascii="Times New Roman" w:hAnsi="Times New Roman"/>
          <w:bCs/>
          <w:color w:val="000000"/>
          <w:szCs w:val="22"/>
          <w:lang w:val="pt-BR"/>
        </w:rPr>
        <w:t>em matéria de</w:t>
      </w:r>
      <w:r w:rsidRPr="00D65A20">
        <w:rPr>
          <w:rFonts w:ascii="Times New Roman" w:hAnsi="Times New Roman"/>
          <w:bCs/>
          <w:color w:val="000000"/>
          <w:szCs w:val="22"/>
          <w:lang w:val="pt-BR"/>
        </w:rPr>
        <w:t xml:space="preserve"> desminagem humanitária </w:t>
      </w:r>
      <w:r w:rsidR="00267E44" w:rsidRPr="00D65A20">
        <w:rPr>
          <w:rFonts w:ascii="Times New Roman" w:hAnsi="Times New Roman"/>
          <w:bCs/>
          <w:color w:val="000000"/>
          <w:szCs w:val="22"/>
          <w:lang w:val="pt-BR"/>
        </w:rPr>
        <w:t xml:space="preserve">nos </w:t>
      </w:r>
      <w:r w:rsidRPr="00D65A20">
        <w:rPr>
          <w:rFonts w:ascii="Times New Roman" w:hAnsi="Times New Roman"/>
          <w:bCs/>
          <w:color w:val="000000"/>
          <w:szCs w:val="22"/>
          <w:lang w:val="pt-BR"/>
        </w:rPr>
        <w:t>países do Hemisfério, com o objetivo de melhorar o modelo e aplicá-lo no futuro em outros países ou missões da região, a fim de contribuir para o desafio de alcançar “As Américas como zona livre de minas terrestres antipessoal”.</w:t>
      </w:r>
    </w:p>
    <w:p w14:paraId="6E834233" w14:textId="77777777" w:rsidR="0011327F" w:rsidRPr="00D65A20" w:rsidRDefault="0011327F" w:rsidP="00AA4399">
      <w:pPr>
        <w:widowControl/>
        <w:rPr>
          <w:rFonts w:ascii="Times New Roman" w:hAnsi="Times New Roman"/>
          <w:bCs/>
          <w:color w:val="000000"/>
          <w:szCs w:val="22"/>
          <w:lang w:val="pt-BR"/>
        </w:rPr>
      </w:pPr>
    </w:p>
    <w:p w14:paraId="6E834234" w14:textId="615A96B0" w:rsidR="0011327F" w:rsidRPr="00D65A20" w:rsidRDefault="0011327F" w:rsidP="00AA4399">
      <w:pPr>
        <w:widowControl/>
        <w:numPr>
          <w:ilvl w:val="0"/>
          <w:numId w:val="19"/>
        </w:numPr>
        <w:ind w:left="0"/>
        <w:rPr>
          <w:rFonts w:ascii="Times New Roman" w:hAnsi="Times New Roman"/>
          <w:bCs/>
          <w:i/>
          <w:color w:val="000000"/>
          <w:szCs w:val="22"/>
          <w:lang w:val="pt-BR"/>
        </w:rPr>
      </w:pPr>
      <w:r w:rsidRPr="00D65A20">
        <w:rPr>
          <w:rFonts w:ascii="Times New Roman" w:hAnsi="Times New Roman"/>
          <w:bCs/>
          <w:color w:val="000000"/>
          <w:szCs w:val="22"/>
          <w:lang w:val="pt-BR"/>
        </w:rPr>
        <w:t xml:space="preserve">Solicitar que a JID continue participando dos eventos da OEA em temas técnicos de desminagem </w:t>
      </w:r>
      <w:r w:rsidRPr="00D65A20">
        <w:rPr>
          <w:rFonts w:ascii="Times New Roman" w:hAnsi="Times New Roman"/>
          <w:bCs/>
          <w:szCs w:val="22"/>
          <w:lang w:val="pt-BR"/>
        </w:rPr>
        <w:t>humanitária</w:t>
      </w:r>
      <w:r w:rsidR="00267E44" w:rsidRPr="00D65A20">
        <w:rPr>
          <w:rFonts w:ascii="Times New Roman" w:hAnsi="Times New Roman"/>
          <w:bCs/>
          <w:szCs w:val="22"/>
          <w:lang w:val="pt-BR"/>
        </w:rPr>
        <w:t xml:space="preserve"> e em eventos relacionados com esse tema em nível </w:t>
      </w:r>
      <w:r w:rsidRPr="00D65A20">
        <w:rPr>
          <w:rFonts w:ascii="Times New Roman" w:hAnsi="Times New Roman"/>
          <w:bCs/>
          <w:color w:val="000000"/>
          <w:szCs w:val="22"/>
          <w:lang w:val="pt-BR"/>
        </w:rPr>
        <w:t>internaciona</w:t>
      </w:r>
      <w:r w:rsidR="00267E44" w:rsidRPr="00D65A20">
        <w:rPr>
          <w:rFonts w:ascii="Times New Roman" w:hAnsi="Times New Roman"/>
          <w:bCs/>
          <w:color w:val="000000"/>
          <w:szCs w:val="22"/>
          <w:lang w:val="pt-BR"/>
        </w:rPr>
        <w:t>l</w:t>
      </w:r>
      <w:r w:rsidRPr="00D65A20">
        <w:rPr>
          <w:rFonts w:ascii="Times New Roman" w:hAnsi="Times New Roman"/>
          <w:bCs/>
          <w:color w:val="000000"/>
          <w:szCs w:val="22"/>
          <w:lang w:val="pt-BR"/>
        </w:rPr>
        <w:t xml:space="preserve"> e regiona</w:t>
      </w:r>
      <w:r w:rsidR="00267E44" w:rsidRPr="00D65A20">
        <w:rPr>
          <w:rFonts w:ascii="Times New Roman" w:hAnsi="Times New Roman"/>
          <w:bCs/>
          <w:color w:val="000000"/>
          <w:szCs w:val="22"/>
          <w:lang w:val="pt-BR"/>
        </w:rPr>
        <w:t>l</w:t>
      </w:r>
      <w:r w:rsidRPr="00D65A20">
        <w:rPr>
          <w:rFonts w:ascii="Times New Roman" w:hAnsi="Times New Roman"/>
          <w:bCs/>
          <w:color w:val="000000"/>
          <w:szCs w:val="22"/>
          <w:lang w:val="pt-BR"/>
        </w:rPr>
        <w:t>, sujeito à disponibilidade de recursos financeiros, a fim de fortalecer relacionamentos e redes, atualizar informações e fortalecer o assessoramento técnico do</w:t>
      </w:r>
      <w:r w:rsidR="00267E44" w:rsidRPr="00D65A20">
        <w:rPr>
          <w:rFonts w:ascii="Times New Roman" w:hAnsi="Times New Roman"/>
          <w:bCs/>
          <w:color w:val="000000"/>
          <w:szCs w:val="22"/>
          <w:lang w:val="pt-BR"/>
        </w:rPr>
        <w:t xml:space="preserve"> programa</w:t>
      </w:r>
      <w:r w:rsidRPr="00D65A20">
        <w:rPr>
          <w:rFonts w:ascii="Times New Roman" w:hAnsi="Times New Roman"/>
          <w:bCs/>
          <w:color w:val="000000"/>
          <w:szCs w:val="22"/>
          <w:lang w:val="pt-BR"/>
        </w:rPr>
        <w:t xml:space="preserve"> AICMA</w:t>
      </w:r>
      <w:r w:rsidR="00267E44" w:rsidRPr="00D65A20">
        <w:rPr>
          <w:rFonts w:ascii="Times New Roman" w:hAnsi="Times New Roman"/>
          <w:bCs/>
          <w:color w:val="000000"/>
          <w:szCs w:val="22"/>
          <w:lang w:val="pt-BR"/>
        </w:rPr>
        <w:t xml:space="preserve"> no Hemisfério.</w:t>
      </w:r>
    </w:p>
    <w:p w14:paraId="6E834235" w14:textId="77777777" w:rsidR="0011327F" w:rsidRPr="00D65A20" w:rsidRDefault="0011327F" w:rsidP="00AA4399">
      <w:pPr>
        <w:widowControl/>
        <w:rPr>
          <w:rFonts w:ascii="Times New Roman" w:hAnsi="Times New Roman"/>
          <w:bCs/>
          <w:color w:val="000000"/>
          <w:szCs w:val="22"/>
          <w:lang w:val="pt-BR"/>
        </w:rPr>
      </w:pPr>
    </w:p>
    <w:p w14:paraId="6E834236" w14:textId="5508B023" w:rsidR="0011327F" w:rsidRPr="00D65A20" w:rsidRDefault="0011327F" w:rsidP="00AA4399">
      <w:pPr>
        <w:widowControl/>
        <w:numPr>
          <w:ilvl w:val="0"/>
          <w:numId w:val="19"/>
        </w:numPr>
        <w:ind w:left="0"/>
        <w:rPr>
          <w:rFonts w:ascii="Times New Roman" w:hAnsi="Times New Roman"/>
          <w:bCs/>
          <w:i/>
          <w:color w:val="000000"/>
          <w:szCs w:val="22"/>
          <w:lang w:val="pt-BR"/>
        </w:rPr>
      </w:pPr>
      <w:r w:rsidRPr="00D65A20">
        <w:rPr>
          <w:rFonts w:ascii="Times New Roman" w:hAnsi="Times New Roman"/>
          <w:bCs/>
          <w:color w:val="000000"/>
          <w:szCs w:val="22"/>
          <w:lang w:val="pt-BR"/>
        </w:rPr>
        <w:t xml:space="preserve">Solicitar que a JID continue trabalhando com a SEDI para manter atualizado 1) o banco de dados </w:t>
      </w:r>
      <w:r w:rsidR="00DD71BE" w:rsidRPr="00D65A20">
        <w:rPr>
          <w:rFonts w:ascii="Times New Roman" w:hAnsi="Times New Roman"/>
          <w:bCs/>
          <w:color w:val="000000"/>
          <w:szCs w:val="22"/>
          <w:lang w:val="pt-BR"/>
        </w:rPr>
        <w:t xml:space="preserve">que complementa </w:t>
      </w:r>
      <w:r w:rsidRPr="00D65A20">
        <w:rPr>
          <w:rFonts w:ascii="Times New Roman" w:hAnsi="Times New Roman"/>
          <w:bCs/>
          <w:color w:val="000000"/>
          <w:szCs w:val="22"/>
          <w:lang w:val="pt-BR"/>
        </w:rPr>
        <w:t xml:space="preserve">a Rede Interamericana de Mitigação de </w:t>
      </w:r>
      <w:r w:rsidRPr="00D65A20">
        <w:rPr>
          <w:rFonts w:ascii="Times New Roman" w:hAnsi="Times New Roman"/>
          <w:bCs/>
          <w:szCs w:val="22"/>
          <w:lang w:val="pt-BR"/>
        </w:rPr>
        <w:t>Desastres</w:t>
      </w:r>
      <w:r w:rsidRPr="00D65A20">
        <w:rPr>
          <w:rFonts w:ascii="Times New Roman" w:hAnsi="Times New Roman"/>
          <w:bCs/>
          <w:color w:val="000000"/>
          <w:szCs w:val="22"/>
          <w:lang w:val="pt-BR"/>
        </w:rPr>
        <w:t xml:space="preserve"> (RIMD) </w:t>
      </w:r>
      <w:r w:rsidR="00DD71BE" w:rsidRPr="00D65A20">
        <w:rPr>
          <w:rFonts w:ascii="Times New Roman" w:hAnsi="Times New Roman"/>
          <w:bCs/>
          <w:color w:val="000000"/>
          <w:szCs w:val="22"/>
          <w:lang w:val="pt-BR"/>
        </w:rPr>
        <w:t xml:space="preserve">sobre </w:t>
      </w:r>
      <w:r w:rsidRPr="00D65A20">
        <w:rPr>
          <w:rFonts w:ascii="Times New Roman" w:hAnsi="Times New Roman"/>
          <w:bCs/>
          <w:color w:val="000000"/>
          <w:szCs w:val="22"/>
          <w:lang w:val="pt-BR"/>
        </w:rPr>
        <w:t xml:space="preserve">as capacidades de resposta de emergência dos Estados membros, 2) o diretório de contatos em caso de desastres e 3) os acordos bilaterais vigentes que facilitam o trabalho de resposta e a passagem de equipamentos e materiais de busca e </w:t>
      </w:r>
      <w:r w:rsidR="0052456A" w:rsidRPr="00D65A20">
        <w:rPr>
          <w:rFonts w:ascii="Times New Roman" w:hAnsi="Times New Roman"/>
          <w:bCs/>
          <w:color w:val="000000"/>
          <w:szCs w:val="22"/>
          <w:lang w:val="pt-BR"/>
        </w:rPr>
        <w:t>pela alfândega</w:t>
      </w:r>
      <w:r w:rsidRPr="00D65A20">
        <w:rPr>
          <w:rFonts w:ascii="Times New Roman" w:hAnsi="Times New Roman"/>
          <w:bCs/>
          <w:color w:val="000000"/>
          <w:szCs w:val="22"/>
          <w:lang w:val="pt-BR"/>
        </w:rPr>
        <w:t>.</w:t>
      </w:r>
    </w:p>
    <w:p w14:paraId="6E834237" w14:textId="77777777" w:rsidR="0011327F" w:rsidRPr="00D65A20" w:rsidRDefault="0011327F" w:rsidP="00AA4399">
      <w:pPr>
        <w:widowControl/>
        <w:rPr>
          <w:rFonts w:ascii="Times New Roman" w:hAnsi="Times New Roman"/>
          <w:bCs/>
          <w:i/>
          <w:color w:val="000000"/>
          <w:szCs w:val="22"/>
          <w:lang w:val="pt-BR"/>
        </w:rPr>
      </w:pPr>
    </w:p>
    <w:p w14:paraId="6E834238"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bCs/>
          <w:szCs w:val="22"/>
          <w:lang w:val="pt-BR"/>
        </w:rPr>
        <w:t>Instruir a JID a que estabeleça um conjunto de procedimentos operacionais padrão para ajudar os Estados membros e as organizações regionais que participam das operações de assistência humanitária e resposta a desastres destinadas a mitigar a possível propagação da covid-19 e que possam servir de base para a futura atenção aos desastres na região</w:t>
      </w:r>
      <w:r w:rsidRPr="00D65A20">
        <w:rPr>
          <w:rFonts w:ascii="Times New Roman" w:hAnsi="Times New Roman"/>
          <w:szCs w:val="22"/>
          <w:lang w:val="pt-BR"/>
        </w:rPr>
        <w:t>.</w:t>
      </w:r>
    </w:p>
    <w:p w14:paraId="6E834239" w14:textId="77777777" w:rsidR="0011327F" w:rsidRPr="00D65A20" w:rsidRDefault="0011327F" w:rsidP="00AA4399">
      <w:pPr>
        <w:widowControl/>
        <w:rPr>
          <w:rFonts w:ascii="Times New Roman" w:hAnsi="Times New Roman"/>
          <w:bCs/>
          <w:i/>
          <w:color w:val="000000"/>
          <w:szCs w:val="22"/>
          <w:lang w:val="pt-BR"/>
        </w:rPr>
      </w:pPr>
    </w:p>
    <w:p w14:paraId="6E83423A" w14:textId="77777777" w:rsidR="0011327F" w:rsidRPr="00D65A20" w:rsidRDefault="0011327F" w:rsidP="00AA4399">
      <w:pPr>
        <w:widowControl/>
        <w:numPr>
          <w:ilvl w:val="0"/>
          <w:numId w:val="19"/>
        </w:numPr>
        <w:ind w:left="0"/>
        <w:rPr>
          <w:rFonts w:ascii="Times New Roman" w:hAnsi="Times New Roman"/>
          <w:bCs/>
          <w:i/>
          <w:szCs w:val="22"/>
          <w:lang w:val="pt-BR"/>
        </w:rPr>
      </w:pPr>
      <w:r w:rsidRPr="00D65A20">
        <w:rPr>
          <w:rFonts w:ascii="Times New Roman" w:hAnsi="Times New Roman"/>
          <w:bCs/>
          <w:szCs w:val="22"/>
          <w:lang w:val="pt-BR"/>
        </w:rPr>
        <w:t xml:space="preserve">Exortar os Estados membros a que continuem prestando seu importante apoio à JID na designação dos recursos humanos necessários para que possa funcionar adequadamente para o pleno desempenho de suas tarefas de assessoria técnica em benefício da OEA. </w:t>
      </w:r>
    </w:p>
    <w:p w14:paraId="6E83423B" w14:textId="77777777" w:rsidR="0011327F" w:rsidRPr="00D65A20" w:rsidRDefault="0011327F" w:rsidP="00AA4399">
      <w:pPr>
        <w:widowControl/>
        <w:rPr>
          <w:rFonts w:ascii="Times New Roman" w:hAnsi="Times New Roman"/>
          <w:bCs/>
          <w:color w:val="000000"/>
          <w:szCs w:val="22"/>
          <w:lang w:val="pt-BR"/>
        </w:rPr>
      </w:pPr>
    </w:p>
    <w:p w14:paraId="6E83423C" w14:textId="495A19DD" w:rsidR="0011327F" w:rsidRPr="00D65A20" w:rsidRDefault="0011327F" w:rsidP="00AA4399">
      <w:pPr>
        <w:widowControl/>
        <w:numPr>
          <w:ilvl w:val="0"/>
          <w:numId w:val="19"/>
        </w:numPr>
        <w:ind w:left="0"/>
        <w:rPr>
          <w:rFonts w:ascii="Times New Roman" w:hAnsi="Times New Roman"/>
          <w:bCs/>
          <w:color w:val="000000"/>
          <w:szCs w:val="22"/>
          <w:lang w:val="pt-BR"/>
        </w:rPr>
      </w:pPr>
      <w:r w:rsidRPr="00D65A20">
        <w:rPr>
          <w:rFonts w:ascii="Times New Roman" w:hAnsi="Times New Roman"/>
          <w:bCs/>
          <w:color w:val="000000"/>
          <w:szCs w:val="22"/>
          <w:lang w:val="pt-BR"/>
        </w:rPr>
        <w:t xml:space="preserve">Solicitar à JID que </w:t>
      </w:r>
      <w:r w:rsidR="0022563F" w:rsidRPr="00D65A20">
        <w:rPr>
          <w:rFonts w:ascii="Times New Roman" w:hAnsi="Times New Roman"/>
          <w:bCs/>
          <w:color w:val="000000"/>
          <w:szCs w:val="22"/>
          <w:lang w:val="pt-BR"/>
        </w:rPr>
        <w:t xml:space="preserve">se </w:t>
      </w:r>
      <w:r w:rsidRPr="00D65A20">
        <w:rPr>
          <w:rFonts w:ascii="Times New Roman" w:hAnsi="Times New Roman"/>
          <w:bCs/>
          <w:color w:val="000000"/>
          <w:szCs w:val="22"/>
          <w:lang w:val="pt-BR"/>
        </w:rPr>
        <w:t>coordene com a SEDI da OEA e a Secretaria Executiva da CMDA e, sujeito à disponibilidade de recursos financeiros, organize e realize um exercício de simulação de gestão de desastres, respostas a desastres e operações de assistência humanitária, a fim de integrar os esforços solicitados à JID pela Comissão Interamericana de Redução de Desastres Naturais</w:t>
      </w:r>
      <w:r w:rsidR="0022563F" w:rsidRPr="00D65A20">
        <w:rPr>
          <w:rFonts w:ascii="Times New Roman" w:hAnsi="Times New Roman"/>
          <w:bCs/>
          <w:color w:val="000000"/>
          <w:szCs w:val="22"/>
          <w:lang w:val="pt-BR"/>
        </w:rPr>
        <w:t xml:space="preserve"> </w:t>
      </w:r>
      <w:r w:rsidRPr="00D65A20">
        <w:rPr>
          <w:rFonts w:ascii="Times New Roman" w:hAnsi="Times New Roman"/>
          <w:bCs/>
          <w:color w:val="000000"/>
          <w:szCs w:val="22"/>
          <w:lang w:val="pt-BR"/>
        </w:rPr>
        <w:t>àqueles solicitados pela Secretaria Executiva da CMDA.</w:t>
      </w:r>
    </w:p>
    <w:p w14:paraId="6E83423D" w14:textId="77777777" w:rsidR="0011327F" w:rsidRPr="00D65A20" w:rsidRDefault="0011327F" w:rsidP="00AA4399">
      <w:pPr>
        <w:widowControl/>
        <w:rPr>
          <w:rFonts w:ascii="Times New Roman" w:hAnsi="Times New Roman"/>
          <w:bCs/>
          <w:color w:val="000000"/>
          <w:szCs w:val="22"/>
          <w:lang w:val="pt-BR"/>
        </w:rPr>
      </w:pPr>
    </w:p>
    <w:p w14:paraId="6E83423E" w14:textId="0F51A71D" w:rsidR="0011327F" w:rsidRPr="00D65A20" w:rsidRDefault="0011327F" w:rsidP="00AA4399">
      <w:pPr>
        <w:widowControl/>
        <w:numPr>
          <w:ilvl w:val="0"/>
          <w:numId w:val="19"/>
        </w:numPr>
        <w:ind w:left="0"/>
        <w:rPr>
          <w:rFonts w:ascii="Times New Roman" w:hAnsi="Times New Roman"/>
          <w:bCs/>
          <w:i/>
          <w:color w:val="000000"/>
          <w:szCs w:val="22"/>
          <w:lang w:val="pt-BR"/>
        </w:rPr>
      </w:pPr>
      <w:r w:rsidRPr="00D65A20">
        <w:rPr>
          <w:rFonts w:ascii="Times New Roman" w:hAnsi="Times New Roman"/>
          <w:bCs/>
          <w:color w:val="000000"/>
          <w:szCs w:val="22"/>
          <w:lang w:val="pt-BR"/>
        </w:rPr>
        <w:t xml:space="preserve">Solicitar </w:t>
      </w:r>
      <w:r w:rsidRPr="00D65A20">
        <w:rPr>
          <w:rFonts w:ascii="Times New Roman" w:hAnsi="Times New Roman"/>
          <w:bCs/>
          <w:szCs w:val="22"/>
          <w:lang w:val="pt-BR"/>
        </w:rPr>
        <w:t>que</w:t>
      </w:r>
      <w:r w:rsidRPr="00D65A20">
        <w:rPr>
          <w:rFonts w:ascii="Times New Roman" w:hAnsi="Times New Roman"/>
          <w:bCs/>
          <w:color w:val="000000"/>
          <w:szCs w:val="22"/>
          <w:lang w:val="pt-BR"/>
        </w:rPr>
        <w:t xml:space="preserve"> a JID analise e elabore propostas de mudanças ao Plano de Melhoria da Orientação e Assessoria da JID ao Sistema Interamericano em Casos de Desastres </w:t>
      </w:r>
      <w:r w:rsidRPr="00D65A20">
        <w:rPr>
          <w:rFonts w:ascii="Times New Roman" w:hAnsi="Times New Roman"/>
          <w:bCs/>
          <w:szCs w:val="22"/>
          <w:lang w:val="pt-BR"/>
        </w:rPr>
        <w:t xml:space="preserve">em consulta com a SEDI e </w:t>
      </w:r>
      <w:r w:rsidRPr="00D65A20">
        <w:rPr>
          <w:rFonts w:ascii="Times New Roman" w:hAnsi="Times New Roman"/>
          <w:bCs/>
          <w:color w:val="000000"/>
          <w:szCs w:val="22"/>
          <w:lang w:val="pt-BR"/>
        </w:rPr>
        <w:t>em apoio aos esforços da OEA para realinhar as ações de enfrentamento dos desastres, juntamente com organizações e instituições regionais responsáveis pela mitigação de desastres naturais.</w:t>
      </w:r>
    </w:p>
    <w:p w14:paraId="6E83423F" w14:textId="77777777" w:rsidR="00B56688" w:rsidRPr="00D65A20" w:rsidRDefault="00B56688" w:rsidP="00B56688">
      <w:pPr>
        <w:widowControl/>
        <w:rPr>
          <w:rFonts w:ascii="Times New Roman" w:hAnsi="Times New Roman"/>
          <w:bCs/>
          <w:i/>
          <w:color w:val="000000"/>
          <w:szCs w:val="22"/>
          <w:lang w:val="pt-BR"/>
        </w:rPr>
      </w:pPr>
    </w:p>
    <w:p w14:paraId="6E834240" w14:textId="4A84B536" w:rsidR="0011327F" w:rsidRPr="00D65A20" w:rsidRDefault="0011327F" w:rsidP="00AA4399">
      <w:pPr>
        <w:widowControl/>
        <w:numPr>
          <w:ilvl w:val="0"/>
          <w:numId w:val="19"/>
        </w:numPr>
        <w:ind w:left="0"/>
        <w:rPr>
          <w:rFonts w:ascii="Times New Roman" w:hAnsi="Times New Roman"/>
          <w:bCs/>
          <w:i/>
          <w:color w:val="000000"/>
          <w:szCs w:val="22"/>
          <w:lang w:val="pt-BR"/>
        </w:rPr>
      </w:pPr>
      <w:r w:rsidRPr="00D65A20">
        <w:rPr>
          <w:rFonts w:ascii="Times New Roman" w:hAnsi="Times New Roman"/>
          <w:bCs/>
          <w:color w:val="000000"/>
          <w:szCs w:val="22"/>
          <w:lang w:val="pt-BR"/>
        </w:rPr>
        <w:t xml:space="preserve">Solicitar que a JID organize </w:t>
      </w:r>
      <w:r w:rsidRPr="00D65A20">
        <w:rPr>
          <w:rFonts w:ascii="Times New Roman" w:hAnsi="Times New Roman"/>
          <w:szCs w:val="22"/>
          <w:lang w:val="pt-BR"/>
        </w:rPr>
        <w:t xml:space="preserve">em coordenação com a SEDI, </w:t>
      </w:r>
      <w:r w:rsidRPr="00D65A20">
        <w:rPr>
          <w:rFonts w:ascii="Times New Roman" w:hAnsi="Times New Roman"/>
          <w:bCs/>
          <w:color w:val="000000"/>
          <w:szCs w:val="22"/>
          <w:lang w:val="pt-BR"/>
        </w:rPr>
        <w:t xml:space="preserve">uma conferência sobre proteção da infraestrutura crítica em casos de desastres, sujeita à </w:t>
      </w:r>
      <w:r w:rsidRPr="00D65A20">
        <w:rPr>
          <w:rFonts w:ascii="Times New Roman" w:hAnsi="Times New Roman"/>
          <w:bCs/>
          <w:szCs w:val="22"/>
          <w:lang w:val="pt-BR"/>
        </w:rPr>
        <w:t>disponibilidade</w:t>
      </w:r>
      <w:r w:rsidRPr="00D65A20">
        <w:rPr>
          <w:rFonts w:ascii="Times New Roman" w:hAnsi="Times New Roman"/>
          <w:bCs/>
          <w:color w:val="000000"/>
          <w:szCs w:val="22"/>
          <w:lang w:val="pt-BR"/>
        </w:rPr>
        <w:t xml:space="preserve"> de recursos financeiros, com base nas lições aprendidas no </w:t>
      </w:r>
      <w:r w:rsidR="0022563F" w:rsidRPr="00D65A20">
        <w:rPr>
          <w:rFonts w:ascii="Times New Roman" w:hAnsi="Times New Roman"/>
          <w:bCs/>
          <w:color w:val="000000"/>
          <w:szCs w:val="22"/>
          <w:lang w:val="pt-BR"/>
        </w:rPr>
        <w:t>H</w:t>
      </w:r>
      <w:r w:rsidRPr="00D65A20">
        <w:rPr>
          <w:rFonts w:ascii="Times New Roman" w:hAnsi="Times New Roman"/>
          <w:bCs/>
          <w:color w:val="000000"/>
          <w:szCs w:val="22"/>
          <w:lang w:val="pt-BR"/>
        </w:rPr>
        <w:t>emisfério e fora dele, a fim de fortalecer ações preventivas contra ameaças similares.</w:t>
      </w:r>
    </w:p>
    <w:p w14:paraId="6E834241" w14:textId="77777777" w:rsidR="0011327F" w:rsidRPr="00D65A20" w:rsidRDefault="0011327F" w:rsidP="00AA4399">
      <w:pPr>
        <w:widowControl/>
        <w:rPr>
          <w:rFonts w:ascii="Times New Roman" w:hAnsi="Times New Roman"/>
          <w:bCs/>
          <w:color w:val="000000"/>
          <w:szCs w:val="22"/>
          <w:lang w:val="pt-BR"/>
        </w:rPr>
      </w:pPr>
    </w:p>
    <w:p w14:paraId="6E834242" w14:textId="77777777" w:rsidR="0011327F" w:rsidRPr="00D65A20" w:rsidRDefault="0011327F" w:rsidP="00AA4399">
      <w:pPr>
        <w:widowControl/>
        <w:numPr>
          <w:ilvl w:val="0"/>
          <w:numId w:val="19"/>
        </w:numPr>
        <w:ind w:left="0"/>
        <w:rPr>
          <w:rFonts w:ascii="Times New Roman" w:hAnsi="Times New Roman"/>
          <w:bCs/>
          <w:i/>
          <w:color w:val="000000"/>
          <w:szCs w:val="22"/>
          <w:lang w:val="pt-BR"/>
        </w:rPr>
      </w:pPr>
      <w:r w:rsidRPr="00D65A20">
        <w:rPr>
          <w:rFonts w:ascii="Times New Roman" w:hAnsi="Times New Roman"/>
          <w:bCs/>
          <w:szCs w:val="22"/>
          <w:lang w:val="pt-BR"/>
        </w:rPr>
        <w:t>Solicitar</w:t>
      </w:r>
      <w:r w:rsidRPr="00D65A20">
        <w:rPr>
          <w:rFonts w:ascii="Times New Roman" w:hAnsi="Times New Roman"/>
          <w:bCs/>
          <w:color w:val="000000"/>
          <w:szCs w:val="22"/>
          <w:lang w:val="pt-BR"/>
        </w:rPr>
        <w:t xml:space="preserve"> que a JID, em coordenação com outros órgãos, organismos e entidades, continue fortalecendo os mecanismos de cooperação em defesa cibernética no Hemisfério, por meio das ações a seguir: </w:t>
      </w:r>
    </w:p>
    <w:p w14:paraId="6E834244" w14:textId="77777777" w:rsidR="0011327F" w:rsidRPr="00D65A20" w:rsidRDefault="0011327F" w:rsidP="00AA4399">
      <w:pPr>
        <w:widowControl/>
        <w:autoSpaceDE w:val="0"/>
        <w:autoSpaceDN w:val="0"/>
        <w:adjustRightInd w:val="0"/>
        <w:ind w:left="1440" w:hanging="720"/>
        <w:rPr>
          <w:rFonts w:ascii="Times New Roman" w:eastAsia="MS Mincho" w:hAnsi="Times New Roman"/>
          <w:bCs/>
          <w:i/>
          <w:color w:val="000000"/>
          <w:szCs w:val="22"/>
          <w:lang w:val="pt-BR"/>
        </w:rPr>
      </w:pPr>
      <w:r w:rsidRPr="00D65A20">
        <w:rPr>
          <w:rFonts w:ascii="Times New Roman" w:hAnsi="Times New Roman"/>
          <w:bCs/>
          <w:szCs w:val="22"/>
          <w:lang w:val="pt-BR"/>
        </w:rPr>
        <w:lastRenderedPageBreak/>
        <w:t>a)</w:t>
      </w:r>
      <w:r w:rsidRPr="00D65A20">
        <w:rPr>
          <w:rFonts w:ascii="Times New Roman" w:hAnsi="Times New Roman"/>
          <w:bCs/>
          <w:szCs w:val="22"/>
          <w:lang w:val="pt-BR"/>
        </w:rPr>
        <w:tab/>
        <w:t xml:space="preserve">Promover o diálogo e as trocas de alto nível sobre os desafios comuns em matéria de defesa e segurança cibernética, a fim de </w:t>
      </w:r>
      <w:r w:rsidRPr="00D65A20">
        <w:rPr>
          <w:rFonts w:ascii="Times New Roman" w:hAnsi="Times New Roman"/>
          <w:bCs/>
          <w:color w:val="000000"/>
          <w:szCs w:val="22"/>
          <w:lang w:val="pt-BR"/>
        </w:rPr>
        <w:t xml:space="preserve">melhorar a colaboração e o intercâmbio de informações dentro das instituições militares e dos governos das Américas </w:t>
      </w:r>
      <w:r w:rsidRPr="00D65A20">
        <w:rPr>
          <w:rFonts w:ascii="Times New Roman" w:hAnsi="Times New Roman"/>
          <w:bCs/>
          <w:szCs w:val="22"/>
          <w:lang w:val="pt-BR"/>
        </w:rPr>
        <w:t>no caso de ser necessário, por meio da JID,</w:t>
      </w:r>
      <w:r w:rsidRPr="00D65A20">
        <w:rPr>
          <w:rFonts w:ascii="Times New Roman" w:hAnsi="Times New Roman"/>
          <w:bCs/>
          <w:color w:val="000000"/>
          <w:szCs w:val="22"/>
          <w:lang w:val="pt-BR"/>
        </w:rPr>
        <w:t xml:space="preserve"> e entre as referidas instituições e governos, com o apoio da Fundação Interamericana de Defesa</w:t>
      </w:r>
      <w:r w:rsidRPr="00D65A20">
        <w:rPr>
          <w:rFonts w:ascii="Times New Roman" w:hAnsi="Times New Roman"/>
          <w:bCs/>
          <w:szCs w:val="22"/>
          <w:lang w:val="pt-BR"/>
        </w:rPr>
        <w:t xml:space="preserve"> (FID).</w:t>
      </w:r>
      <w:r w:rsidRPr="00D65A20">
        <w:rPr>
          <w:rFonts w:ascii="Times New Roman" w:hAnsi="Times New Roman"/>
          <w:bCs/>
          <w:color w:val="000000"/>
          <w:szCs w:val="22"/>
          <w:lang w:val="pt-BR"/>
        </w:rPr>
        <w:t xml:space="preserve"> </w:t>
      </w:r>
    </w:p>
    <w:p w14:paraId="6E834245" w14:textId="77777777" w:rsidR="0011327F" w:rsidRPr="00D65A20" w:rsidRDefault="0011327F" w:rsidP="00AA4399">
      <w:pPr>
        <w:widowControl/>
        <w:autoSpaceDE w:val="0"/>
        <w:autoSpaceDN w:val="0"/>
        <w:adjustRightInd w:val="0"/>
        <w:ind w:left="1440" w:hanging="720"/>
        <w:rPr>
          <w:rFonts w:ascii="Times New Roman" w:hAnsi="Times New Roman"/>
          <w:bCs/>
          <w:i/>
          <w:color w:val="000000"/>
          <w:szCs w:val="22"/>
          <w:lang w:val="pt-BR"/>
        </w:rPr>
      </w:pPr>
      <w:r w:rsidRPr="00D65A20">
        <w:rPr>
          <w:rFonts w:ascii="Times New Roman" w:hAnsi="Times New Roman"/>
          <w:bCs/>
          <w:color w:val="000000"/>
          <w:szCs w:val="22"/>
          <w:lang w:val="pt-BR"/>
        </w:rPr>
        <w:t>b)</w:t>
      </w:r>
      <w:r w:rsidRPr="00D65A20">
        <w:rPr>
          <w:rFonts w:ascii="Times New Roman" w:hAnsi="Times New Roman"/>
          <w:bCs/>
          <w:color w:val="000000"/>
          <w:szCs w:val="22"/>
          <w:lang w:val="pt-BR"/>
        </w:rPr>
        <w:tab/>
        <w:t xml:space="preserve">Elaborar programas de fortalecimento da capacidade de defesa cibernética e assistência técnica para os Estados membros, sujeitos à disponibilidade de recursos, </w:t>
      </w:r>
      <w:r w:rsidRPr="00D65A20">
        <w:rPr>
          <w:rFonts w:ascii="Times New Roman" w:hAnsi="Times New Roman"/>
          <w:bCs/>
          <w:szCs w:val="22"/>
          <w:lang w:val="pt-BR"/>
        </w:rPr>
        <w:t xml:space="preserve">por meio da JID, </w:t>
      </w:r>
      <w:r w:rsidRPr="00D65A20">
        <w:rPr>
          <w:rFonts w:ascii="Times New Roman" w:hAnsi="Times New Roman"/>
          <w:bCs/>
          <w:color w:val="000000"/>
          <w:szCs w:val="22"/>
          <w:lang w:val="pt-BR"/>
        </w:rPr>
        <w:t xml:space="preserve">e apoiados pela FID, com o propósito de </w:t>
      </w:r>
      <w:r w:rsidRPr="00D65A20">
        <w:rPr>
          <w:rFonts w:ascii="Times New Roman" w:hAnsi="Times New Roman"/>
          <w:bCs/>
          <w:szCs w:val="22"/>
          <w:lang w:val="pt-BR"/>
        </w:rPr>
        <w:t>fortalecer as estratégias de defesa cibernética e a capacidade de resposta no Hemisfério Ocidental</w:t>
      </w:r>
      <w:r w:rsidRPr="00D65A20">
        <w:rPr>
          <w:rFonts w:ascii="Times New Roman" w:hAnsi="Times New Roman"/>
          <w:bCs/>
          <w:color w:val="000000"/>
          <w:szCs w:val="22"/>
          <w:lang w:val="pt-BR"/>
        </w:rPr>
        <w:t>, bem como melhorar as habilidades, a consciência e o conhecimento das ameaças de defesa cibernética às nações, sistemas, infraestruturas e operações dentro das instituições militares</w:t>
      </w:r>
      <w:r w:rsidRPr="00D65A20">
        <w:rPr>
          <w:rFonts w:ascii="Times New Roman" w:hAnsi="Times New Roman"/>
          <w:bCs/>
          <w:szCs w:val="22"/>
          <w:lang w:val="pt-BR"/>
        </w:rPr>
        <w:t xml:space="preserve">. </w:t>
      </w:r>
    </w:p>
    <w:p w14:paraId="6E834246" w14:textId="77777777" w:rsidR="0011327F" w:rsidRPr="00D65A20" w:rsidRDefault="0011327F" w:rsidP="00AA4399">
      <w:pPr>
        <w:widowControl/>
        <w:autoSpaceDE w:val="0"/>
        <w:autoSpaceDN w:val="0"/>
        <w:adjustRightInd w:val="0"/>
        <w:ind w:left="1440" w:hanging="720"/>
        <w:rPr>
          <w:rFonts w:ascii="Times New Roman" w:hAnsi="Times New Roman"/>
          <w:bCs/>
          <w:szCs w:val="22"/>
          <w:lang w:val="pt-BR"/>
        </w:rPr>
      </w:pPr>
      <w:r w:rsidRPr="00D65A20">
        <w:rPr>
          <w:rFonts w:ascii="Times New Roman" w:hAnsi="Times New Roman"/>
          <w:bCs/>
          <w:color w:val="000000"/>
          <w:szCs w:val="22"/>
          <w:lang w:val="pt-BR"/>
        </w:rPr>
        <w:t>c)</w:t>
      </w:r>
      <w:r w:rsidRPr="00D65A20">
        <w:rPr>
          <w:rFonts w:ascii="Times New Roman" w:hAnsi="Times New Roman"/>
          <w:bCs/>
          <w:color w:val="000000"/>
          <w:szCs w:val="22"/>
          <w:lang w:val="pt-BR"/>
        </w:rPr>
        <w:tab/>
      </w:r>
      <w:r w:rsidRPr="00D65A20">
        <w:rPr>
          <w:rFonts w:ascii="Times New Roman" w:hAnsi="Times New Roman"/>
          <w:bCs/>
          <w:szCs w:val="22"/>
          <w:lang w:val="pt-BR"/>
        </w:rPr>
        <w:t>Apoiar a CMDA e outras iniciativas destinadas a apoiar e incentivar a colaboração em defesa cibernética, por meio da JID, em parceria com a FID. Nes</w:t>
      </w:r>
      <w:r w:rsidR="0022563F" w:rsidRPr="00D65A20">
        <w:rPr>
          <w:rFonts w:ascii="Times New Roman" w:hAnsi="Times New Roman"/>
          <w:bCs/>
          <w:szCs w:val="22"/>
          <w:lang w:val="pt-BR"/>
        </w:rPr>
        <w:t>s</w:t>
      </w:r>
      <w:r w:rsidRPr="00D65A20">
        <w:rPr>
          <w:rFonts w:ascii="Times New Roman" w:hAnsi="Times New Roman"/>
          <w:bCs/>
          <w:szCs w:val="22"/>
          <w:lang w:val="pt-BR"/>
        </w:rPr>
        <w:t>e sentido, reconhecer o Foro Ibero-</w:t>
      </w:r>
      <w:r w:rsidR="00DD3444" w:rsidRPr="00D65A20">
        <w:rPr>
          <w:rFonts w:ascii="Times New Roman" w:hAnsi="Times New Roman"/>
          <w:bCs/>
          <w:szCs w:val="22"/>
          <w:lang w:val="pt-BR"/>
        </w:rPr>
        <w:t>A</w:t>
      </w:r>
      <w:r w:rsidRPr="00D65A20">
        <w:rPr>
          <w:rFonts w:ascii="Times New Roman" w:hAnsi="Times New Roman"/>
          <w:bCs/>
          <w:szCs w:val="22"/>
          <w:lang w:val="pt-BR"/>
        </w:rPr>
        <w:t xml:space="preserve">mericano de Defesa Cibernética como mecanismo de cooperação e fortalecimento das capacidades em defesa cibernética e buscar incentivar suas iniciativas. </w:t>
      </w:r>
    </w:p>
    <w:p w14:paraId="6E834247" w14:textId="77777777" w:rsidR="0011327F" w:rsidRPr="00D65A20" w:rsidRDefault="0011327F" w:rsidP="00AA4399">
      <w:pPr>
        <w:widowControl/>
        <w:autoSpaceDE w:val="0"/>
        <w:autoSpaceDN w:val="0"/>
        <w:adjustRightInd w:val="0"/>
        <w:rPr>
          <w:rFonts w:ascii="Times New Roman" w:hAnsi="Times New Roman"/>
          <w:bCs/>
          <w:szCs w:val="22"/>
          <w:lang w:val="pt-BR"/>
        </w:rPr>
      </w:pPr>
    </w:p>
    <w:p w14:paraId="6E834248" w14:textId="77777777"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 xml:space="preserve">Solicitar que a JID realize atividades nas seguintes áreas: </w:t>
      </w:r>
    </w:p>
    <w:p w14:paraId="6E834249" w14:textId="77777777" w:rsidR="0011327F" w:rsidRPr="00D65A20" w:rsidRDefault="0011327F" w:rsidP="00AA4399">
      <w:pPr>
        <w:widowControl/>
        <w:autoSpaceDE w:val="0"/>
        <w:autoSpaceDN w:val="0"/>
        <w:adjustRightInd w:val="0"/>
        <w:rPr>
          <w:rFonts w:ascii="Times New Roman" w:hAnsi="Times New Roman"/>
          <w:bCs/>
          <w:szCs w:val="22"/>
          <w:lang w:val="pt-BR"/>
        </w:rPr>
      </w:pPr>
    </w:p>
    <w:p w14:paraId="6E83424A"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bCs/>
          <w:color w:val="000000"/>
          <w:szCs w:val="22"/>
          <w:lang w:val="pt-BR"/>
        </w:rPr>
      </w:pPr>
      <w:r w:rsidRPr="00D65A20">
        <w:rPr>
          <w:rFonts w:ascii="Times New Roman" w:hAnsi="Times New Roman"/>
          <w:bCs/>
          <w:color w:val="000000"/>
          <w:szCs w:val="22"/>
          <w:lang w:val="pt-BR"/>
        </w:rPr>
        <w:t>a)</w:t>
      </w:r>
      <w:r w:rsidRPr="00D65A20">
        <w:rPr>
          <w:rFonts w:ascii="Times New Roman" w:hAnsi="Times New Roman"/>
          <w:bCs/>
          <w:color w:val="000000"/>
          <w:szCs w:val="22"/>
          <w:lang w:val="pt-BR"/>
        </w:rPr>
        <w:tab/>
        <w:t>Prestar, de maneira contínua, serviços de assessoria e análise técnica sobre ameaças novas e persistentes;</w:t>
      </w:r>
    </w:p>
    <w:p w14:paraId="6E83424B" w14:textId="15ADDE8B"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bCs/>
          <w:color w:val="000000"/>
          <w:szCs w:val="22"/>
          <w:lang w:val="pt-BR"/>
        </w:rPr>
      </w:pPr>
      <w:r w:rsidRPr="00D65A20">
        <w:rPr>
          <w:rFonts w:ascii="Times New Roman" w:hAnsi="Times New Roman"/>
          <w:bCs/>
          <w:color w:val="000000"/>
          <w:szCs w:val="22"/>
          <w:lang w:val="pt-BR"/>
        </w:rPr>
        <w:t>b)</w:t>
      </w:r>
      <w:r w:rsidRPr="00D65A20">
        <w:rPr>
          <w:rFonts w:ascii="Times New Roman" w:hAnsi="Times New Roman"/>
          <w:bCs/>
          <w:color w:val="000000"/>
          <w:szCs w:val="22"/>
          <w:lang w:val="pt-BR"/>
        </w:rPr>
        <w:tab/>
        <w:t xml:space="preserve">Direitos Humanos e Direito Internacional Humanitário, a fim de promover e fortalecer seu cumprimento nas </w:t>
      </w:r>
      <w:r w:rsidR="00B04717" w:rsidRPr="00D65A20">
        <w:rPr>
          <w:rFonts w:ascii="Times New Roman" w:hAnsi="Times New Roman"/>
          <w:bCs/>
          <w:color w:val="000000"/>
          <w:szCs w:val="22"/>
          <w:lang w:val="pt-BR"/>
        </w:rPr>
        <w:t xml:space="preserve">Forças Armadas </w:t>
      </w:r>
      <w:r w:rsidRPr="00D65A20">
        <w:rPr>
          <w:rFonts w:ascii="Times New Roman" w:hAnsi="Times New Roman"/>
          <w:bCs/>
          <w:color w:val="000000"/>
          <w:szCs w:val="22"/>
          <w:lang w:val="pt-BR"/>
        </w:rPr>
        <w:t xml:space="preserve">e </w:t>
      </w:r>
      <w:r w:rsidR="00B04717" w:rsidRPr="00D65A20">
        <w:rPr>
          <w:rFonts w:ascii="Times New Roman" w:hAnsi="Times New Roman"/>
          <w:bCs/>
          <w:color w:val="000000"/>
          <w:szCs w:val="22"/>
          <w:lang w:val="pt-BR"/>
        </w:rPr>
        <w:t xml:space="preserve">nas </w:t>
      </w:r>
      <w:r w:rsidRPr="00D65A20">
        <w:rPr>
          <w:rFonts w:ascii="Times New Roman" w:hAnsi="Times New Roman"/>
          <w:bCs/>
          <w:color w:val="000000"/>
          <w:szCs w:val="22"/>
          <w:lang w:val="pt-BR"/>
        </w:rPr>
        <w:t>forças de segurança do Hemisfério;</w:t>
      </w:r>
    </w:p>
    <w:p w14:paraId="6E83424C"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bCs/>
          <w:color w:val="000000"/>
          <w:szCs w:val="22"/>
          <w:lang w:val="pt-BR"/>
        </w:rPr>
      </w:pPr>
      <w:r w:rsidRPr="00D65A20">
        <w:rPr>
          <w:rFonts w:ascii="Times New Roman" w:hAnsi="Times New Roman"/>
          <w:bCs/>
          <w:color w:val="000000"/>
          <w:szCs w:val="22"/>
          <w:lang w:val="pt-BR"/>
        </w:rPr>
        <w:t>c)</w:t>
      </w:r>
      <w:r w:rsidRPr="00D65A20">
        <w:rPr>
          <w:rFonts w:ascii="Times New Roman" w:hAnsi="Times New Roman"/>
          <w:bCs/>
          <w:color w:val="000000"/>
          <w:szCs w:val="22"/>
          <w:lang w:val="pt-BR"/>
        </w:rPr>
        <w:tab/>
        <w:t>Integração da perspectiva de gênero, a fim de divulgar experiências bem-sucedidas em matéria de defesa e segurança hemisférica; e</w:t>
      </w:r>
    </w:p>
    <w:p w14:paraId="6E83424D" w14:textId="3F5516D1"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bCs/>
          <w:color w:val="000000"/>
          <w:szCs w:val="22"/>
          <w:lang w:val="pt-BR"/>
        </w:rPr>
      </w:pPr>
      <w:r w:rsidRPr="00D65A20">
        <w:rPr>
          <w:rFonts w:ascii="Times New Roman" w:hAnsi="Times New Roman"/>
          <w:bCs/>
          <w:color w:val="000000"/>
          <w:szCs w:val="22"/>
          <w:lang w:val="pt-BR"/>
        </w:rPr>
        <w:t>d)</w:t>
      </w:r>
      <w:r w:rsidRPr="00D65A20">
        <w:rPr>
          <w:rFonts w:ascii="Times New Roman" w:hAnsi="Times New Roman"/>
          <w:bCs/>
          <w:color w:val="000000"/>
          <w:szCs w:val="22"/>
          <w:lang w:val="pt-BR"/>
        </w:rPr>
        <w:tab/>
      </w:r>
      <w:r w:rsidR="00A31648">
        <w:rPr>
          <w:rFonts w:ascii="Times New Roman" w:hAnsi="Times New Roman"/>
          <w:bCs/>
          <w:color w:val="000000"/>
          <w:szCs w:val="22"/>
          <w:lang w:val="pt-BR"/>
        </w:rPr>
        <w:t>O p</w:t>
      </w:r>
      <w:r w:rsidRPr="00D65A20">
        <w:rPr>
          <w:rFonts w:ascii="Times New Roman" w:hAnsi="Times New Roman"/>
          <w:bCs/>
          <w:color w:val="000000"/>
          <w:szCs w:val="22"/>
          <w:lang w:val="pt-BR"/>
        </w:rPr>
        <w:t>apel em transformação das Forças Armadas</w:t>
      </w:r>
      <w:r w:rsidRPr="00D65A20">
        <w:rPr>
          <w:rFonts w:ascii="Times New Roman" w:hAnsi="Times New Roman"/>
          <w:bCs/>
          <w:szCs w:val="22"/>
          <w:lang w:val="pt-BR"/>
        </w:rPr>
        <w:t xml:space="preserve"> </w:t>
      </w:r>
      <w:r w:rsidRPr="00D65A20">
        <w:rPr>
          <w:rFonts w:ascii="Times New Roman" w:hAnsi="Times New Roman"/>
          <w:bCs/>
          <w:color w:val="000000"/>
          <w:szCs w:val="22"/>
          <w:lang w:val="pt-BR"/>
        </w:rPr>
        <w:t xml:space="preserve">e as suas possibilidades na mitigação e no enfrentamento de novas ameaças, a fim de disseminar experiências exitosas, boas práticas e lições aprendidas relacionadas ao tema, </w:t>
      </w:r>
      <w:r w:rsidRPr="00D65A20">
        <w:rPr>
          <w:rFonts w:ascii="Times New Roman" w:hAnsi="Times New Roman"/>
          <w:bCs/>
          <w:szCs w:val="22"/>
          <w:lang w:val="pt-BR"/>
        </w:rPr>
        <w:t>em coordenação com a SSM.</w:t>
      </w:r>
    </w:p>
    <w:p w14:paraId="6E83424E" w14:textId="77777777" w:rsidR="0011327F" w:rsidRPr="00D65A20" w:rsidRDefault="0011327F" w:rsidP="00AA4399">
      <w:pPr>
        <w:widowControl/>
        <w:rPr>
          <w:rFonts w:ascii="Times New Roman" w:hAnsi="Times New Roman"/>
          <w:color w:val="000000"/>
          <w:szCs w:val="22"/>
          <w:lang w:val="pt-BR"/>
        </w:rPr>
      </w:pPr>
    </w:p>
    <w:p w14:paraId="6E83424F" w14:textId="16C887DB" w:rsidR="0011327F" w:rsidRPr="00D65A20" w:rsidRDefault="0011327F" w:rsidP="00AA4399">
      <w:pPr>
        <w:widowControl/>
        <w:numPr>
          <w:ilvl w:val="0"/>
          <w:numId w:val="19"/>
        </w:numPr>
        <w:ind w:left="0"/>
        <w:rPr>
          <w:rFonts w:ascii="Times New Roman" w:hAnsi="Times New Roman"/>
          <w:bCs/>
          <w:i/>
          <w:color w:val="000000"/>
          <w:szCs w:val="22"/>
          <w:lang w:val="pt-BR"/>
        </w:rPr>
      </w:pPr>
      <w:r w:rsidRPr="00D65A20">
        <w:rPr>
          <w:rFonts w:ascii="Times New Roman" w:hAnsi="Times New Roman"/>
          <w:color w:val="000000"/>
          <w:szCs w:val="22"/>
          <w:lang w:val="pt-BR"/>
        </w:rPr>
        <w:t xml:space="preserve">Solicitar </w:t>
      </w:r>
      <w:r w:rsidRPr="00D65A20">
        <w:rPr>
          <w:rFonts w:ascii="Times New Roman" w:hAnsi="Times New Roman"/>
          <w:bCs/>
          <w:szCs w:val="22"/>
          <w:lang w:val="pt-BR"/>
        </w:rPr>
        <w:t>que</w:t>
      </w:r>
      <w:r w:rsidRPr="00D65A20">
        <w:rPr>
          <w:rFonts w:ascii="Times New Roman" w:hAnsi="Times New Roman"/>
          <w:color w:val="000000"/>
          <w:szCs w:val="22"/>
          <w:lang w:val="pt-BR"/>
        </w:rPr>
        <w:t xml:space="preserve"> a JID continue sua participação ativa na CMDA, </w:t>
      </w:r>
      <w:r w:rsidR="0015342F" w:rsidRPr="00D65A20">
        <w:rPr>
          <w:rFonts w:ascii="Times New Roman" w:hAnsi="Times New Roman"/>
          <w:color w:val="000000"/>
          <w:szCs w:val="22"/>
          <w:lang w:val="pt-BR"/>
        </w:rPr>
        <w:t xml:space="preserve">na </w:t>
      </w:r>
      <w:r w:rsidRPr="00D65A20">
        <w:rPr>
          <w:rFonts w:ascii="Times New Roman" w:hAnsi="Times New Roman"/>
          <w:color w:val="000000"/>
          <w:szCs w:val="22"/>
          <w:lang w:val="pt-BR"/>
        </w:rPr>
        <w:t xml:space="preserve">Conferência dos Exércitos Americanos (CEA), </w:t>
      </w:r>
      <w:r w:rsidR="0015342F" w:rsidRPr="00D65A20">
        <w:rPr>
          <w:rFonts w:ascii="Times New Roman" w:hAnsi="Times New Roman"/>
          <w:color w:val="000000"/>
          <w:szCs w:val="22"/>
          <w:lang w:val="pt-BR"/>
        </w:rPr>
        <w:t xml:space="preserve">na </w:t>
      </w:r>
      <w:r w:rsidRPr="00D65A20">
        <w:rPr>
          <w:rFonts w:ascii="Times New Roman" w:hAnsi="Times New Roman"/>
          <w:color w:val="000000"/>
          <w:szCs w:val="22"/>
          <w:lang w:val="pt-BR"/>
        </w:rPr>
        <w:t xml:space="preserve">Conferência Naval Interamericana (CNI), </w:t>
      </w:r>
      <w:r w:rsidR="0015342F" w:rsidRPr="00D65A20">
        <w:rPr>
          <w:rFonts w:ascii="Times New Roman" w:hAnsi="Times New Roman"/>
          <w:color w:val="000000"/>
          <w:szCs w:val="22"/>
          <w:lang w:val="pt-BR"/>
        </w:rPr>
        <w:t xml:space="preserve">no </w:t>
      </w:r>
      <w:r w:rsidRPr="00D65A20">
        <w:rPr>
          <w:rFonts w:ascii="Times New Roman" w:hAnsi="Times New Roman"/>
          <w:color w:val="000000"/>
          <w:szCs w:val="22"/>
          <w:lang w:val="pt-BR"/>
        </w:rPr>
        <w:t xml:space="preserve">Sistema de Cooperação entre as Forças Aéreas Americanas (SICOFAA), </w:t>
      </w:r>
      <w:r w:rsidR="0015342F" w:rsidRPr="00D65A20">
        <w:rPr>
          <w:rFonts w:ascii="Times New Roman" w:hAnsi="Times New Roman"/>
          <w:color w:val="000000"/>
          <w:szCs w:val="22"/>
          <w:lang w:val="pt-BR"/>
        </w:rPr>
        <w:t xml:space="preserve">na </w:t>
      </w:r>
      <w:r w:rsidRPr="00D65A20">
        <w:rPr>
          <w:rFonts w:ascii="Times New Roman" w:hAnsi="Times New Roman"/>
          <w:color w:val="000000"/>
          <w:szCs w:val="22"/>
          <w:lang w:val="pt-BR"/>
        </w:rPr>
        <w:t xml:space="preserve">MISPA, </w:t>
      </w:r>
      <w:r w:rsidR="0015342F" w:rsidRPr="00D65A20">
        <w:rPr>
          <w:rFonts w:ascii="Times New Roman" w:hAnsi="Times New Roman"/>
          <w:color w:val="000000"/>
          <w:szCs w:val="22"/>
          <w:lang w:val="pt-BR"/>
        </w:rPr>
        <w:t xml:space="preserve">na </w:t>
      </w:r>
      <w:r w:rsidRPr="00D65A20">
        <w:rPr>
          <w:rFonts w:ascii="Times New Roman" w:hAnsi="Times New Roman"/>
          <w:color w:val="000000"/>
          <w:szCs w:val="22"/>
          <w:lang w:val="pt-BR"/>
        </w:rPr>
        <w:t xml:space="preserve">Conferência das Forças Armadas Centro-Americanas (CFAC), </w:t>
      </w:r>
      <w:r w:rsidR="0015342F" w:rsidRPr="00D65A20">
        <w:rPr>
          <w:rFonts w:ascii="Times New Roman" w:hAnsi="Times New Roman"/>
          <w:color w:val="000000"/>
          <w:szCs w:val="22"/>
          <w:lang w:val="pt-BR"/>
        </w:rPr>
        <w:t xml:space="preserve">na </w:t>
      </w:r>
      <w:r w:rsidRPr="00D65A20">
        <w:rPr>
          <w:rFonts w:ascii="Times New Roman" w:hAnsi="Times New Roman"/>
          <w:color w:val="000000"/>
          <w:szCs w:val="22"/>
          <w:lang w:val="pt-BR"/>
        </w:rPr>
        <w:t xml:space="preserve">CARICOM, </w:t>
      </w:r>
      <w:r w:rsidR="0015342F" w:rsidRPr="00D65A20">
        <w:rPr>
          <w:rFonts w:ascii="Times New Roman" w:hAnsi="Times New Roman"/>
          <w:color w:val="000000"/>
          <w:szCs w:val="22"/>
          <w:lang w:val="pt-BR"/>
        </w:rPr>
        <w:t xml:space="preserve">na </w:t>
      </w:r>
      <w:r w:rsidRPr="00D65A20">
        <w:rPr>
          <w:rFonts w:ascii="Times New Roman" w:hAnsi="Times New Roman"/>
          <w:color w:val="000000"/>
          <w:szCs w:val="22"/>
          <w:lang w:val="pt-BR"/>
        </w:rPr>
        <w:t xml:space="preserve">Conferência de Segurança das Nações do Caribe (CANSEC), </w:t>
      </w:r>
      <w:r w:rsidR="0015342F" w:rsidRPr="00D65A20">
        <w:rPr>
          <w:rFonts w:ascii="Times New Roman" w:hAnsi="Times New Roman"/>
          <w:color w:val="000000"/>
          <w:szCs w:val="22"/>
          <w:lang w:val="pt-BR"/>
        </w:rPr>
        <w:t xml:space="preserve">na </w:t>
      </w:r>
      <w:r w:rsidRPr="00D65A20">
        <w:rPr>
          <w:rFonts w:ascii="Times New Roman" w:hAnsi="Times New Roman"/>
          <w:color w:val="000000"/>
          <w:szCs w:val="22"/>
          <w:lang w:val="pt-BR"/>
        </w:rPr>
        <w:t>Conferência de Segurança da América Central (CENTSEC), entre outros eventos, com vistas a divulgar conclusões, resultados, acordos e compromissos relevantes deles emanados.</w:t>
      </w:r>
    </w:p>
    <w:p w14:paraId="6E834250" w14:textId="77777777" w:rsidR="0011327F" w:rsidRPr="00D65A20" w:rsidRDefault="0011327F" w:rsidP="00AA4399">
      <w:pPr>
        <w:widowControl/>
        <w:rPr>
          <w:rFonts w:ascii="Times New Roman" w:hAnsi="Times New Roman"/>
          <w:color w:val="000000"/>
          <w:szCs w:val="22"/>
          <w:lang w:val="pt-BR"/>
        </w:rPr>
      </w:pPr>
    </w:p>
    <w:p w14:paraId="6E834251" w14:textId="2610A1CB" w:rsidR="0011327F" w:rsidRPr="00D65A20" w:rsidRDefault="0011327F" w:rsidP="00AA4399">
      <w:pPr>
        <w:widowControl/>
        <w:numPr>
          <w:ilvl w:val="0"/>
          <w:numId w:val="19"/>
        </w:numPr>
        <w:ind w:left="0"/>
        <w:rPr>
          <w:rFonts w:ascii="Times New Roman" w:hAnsi="Times New Roman"/>
          <w:bCs/>
          <w:color w:val="000000"/>
          <w:szCs w:val="22"/>
          <w:lang w:val="pt-BR"/>
        </w:rPr>
      </w:pPr>
      <w:r w:rsidRPr="00D65A20">
        <w:rPr>
          <w:rFonts w:ascii="Times New Roman" w:hAnsi="Times New Roman"/>
          <w:bCs/>
          <w:szCs w:val="22"/>
          <w:lang w:val="pt-BR"/>
        </w:rPr>
        <w:t xml:space="preserve">Estabelecer um fundo voluntário interamericano para apoiar o Colégio Interamericano de Defesa (CID) nas suas atividades educativas para um cargo de professor de extensão educativa, a fim de garantir o atendimento às prioridades indicadas pelos </w:t>
      </w:r>
      <w:r w:rsidR="00493432" w:rsidRPr="00D65A20">
        <w:rPr>
          <w:rFonts w:ascii="Times New Roman" w:hAnsi="Times New Roman"/>
          <w:bCs/>
          <w:szCs w:val="22"/>
          <w:lang w:val="pt-BR"/>
        </w:rPr>
        <w:t xml:space="preserve">Estados </w:t>
      </w:r>
      <w:r w:rsidRPr="00D65A20">
        <w:rPr>
          <w:rFonts w:ascii="Times New Roman" w:hAnsi="Times New Roman"/>
          <w:bCs/>
          <w:szCs w:val="22"/>
          <w:lang w:val="pt-BR"/>
        </w:rPr>
        <w:t xml:space="preserve">membros em </w:t>
      </w:r>
      <w:r w:rsidR="0015342F" w:rsidRPr="00D65A20">
        <w:rPr>
          <w:rFonts w:ascii="Times New Roman" w:hAnsi="Times New Roman"/>
          <w:bCs/>
          <w:szCs w:val="22"/>
          <w:lang w:val="pt-BR"/>
        </w:rPr>
        <w:t xml:space="preserve">matéria de </w:t>
      </w:r>
      <w:r w:rsidRPr="00D65A20">
        <w:rPr>
          <w:rFonts w:ascii="Times New Roman" w:hAnsi="Times New Roman"/>
          <w:bCs/>
          <w:szCs w:val="22"/>
          <w:lang w:val="pt-BR"/>
        </w:rPr>
        <w:t>defesa e segurança por meio das suas respectivas delegações junto à JID.</w:t>
      </w:r>
    </w:p>
    <w:p w14:paraId="6E834252" w14:textId="77777777" w:rsidR="0011327F" w:rsidRPr="00D65A20" w:rsidRDefault="0011327F" w:rsidP="00AA4399">
      <w:pPr>
        <w:widowControl/>
        <w:rPr>
          <w:rFonts w:ascii="Times New Roman" w:hAnsi="Times New Roman"/>
          <w:bCs/>
          <w:color w:val="000000"/>
          <w:szCs w:val="22"/>
          <w:lang w:val="pt-BR"/>
        </w:rPr>
      </w:pPr>
    </w:p>
    <w:p w14:paraId="6E834253" w14:textId="77777777" w:rsidR="0011327F" w:rsidRPr="00D65A20" w:rsidRDefault="0011327F" w:rsidP="00AA4399">
      <w:pPr>
        <w:widowControl/>
        <w:numPr>
          <w:ilvl w:val="0"/>
          <w:numId w:val="19"/>
        </w:numPr>
        <w:ind w:left="0"/>
        <w:rPr>
          <w:rFonts w:ascii="Times New Roman" w:hAnsi="Times New Roman"/>
          <w:bCs/>
          <w:i/>
          <w:color w:val="000000"/>
          <w:szCs w:val="22"/>
          <w:lang w:val="pt-BR"/>
        </w:rPr>
      </w:pPr>
      <w:r w:rsidRPr="00D65A20">
        <w:rPr>
          <w:rFonts w:ascii="Times New Roman" w:hAnsi="Times New Roman"/>
          <w:color w:val="000000"/>
          <w:szCs w:val="22"/>
          <w:lang w:val="pt-BR"/>
        </w:rPr>
        <w:t xml:space="preserve">Felicitar a </w:t>
      </w:r>
      <w:r w:rsidRPr="00D65A20">
        <w:rPr>
          <w:rFonts w:ascii="Times New Roman" w:hAnsi="Times New Roman"/>
          <w:bCs/>
          <w:szCs w:val="22"/>
          <w:lang w:val="pt-BR"/>
        </w:rPr>
        <w:t>Secretaria</w:t>
      </w:r>
      <w:r w:rsidRPr="00D65A20">
        <w:rPr>
          <w:rFonts w:ascii="Times New Roman" w:hAnsi="Times New Roman"/>
          <w:color w:val="000000"/>
          <w:szCs w:val="22"/>
          <w:lang w:val="pt-BR"/>
        </w:rPr>
        <w:t xml:space="preserve"> da JID e a SEDI pela assinatura de um acordo de cooperação que proporcionará acesso a bolsas de estudo e ajuda financeira oferecidas pela OEA a candidatos que </w:t>
      </w:r>
      <w:r w:rsidR="0015342F" w:rsidRPr="00D65A20">
        <w:rPr>
          <w:rFonts w:ascii="Times New Roman" w:hAnsi="Times New Roman"/>
          <w:color w:val="000000"/>
          <w:szCs w:val="22"/>
          <w:lang w:val="pt-BR"/>
        </w:rPr>
        <w:t xml:space="preserve">queiram </w:t>
      </w:r>
      <w:r w:rsidRPr="00D65A20">
        <w:rPr>
          <w:rFonts w:ascii="Times New Roman" w:hAnsi="Times New Roman"/>
          <w:color w:val="000000"/>
          <w:szCs w:val="22"/>
          <w:lang w:val="pt-BR"/>
        </w:rPr>
        <w:t xml:space="preserve">participar de programas do CID e incentivar a cooperação permanente entre o Departamento </w:t>
      </w:r>
      <w:r w:rsidRPr="00D65A20">
        <w:rPr>
          <w:rFonts w:ascii="Times New Roman" w:hAnsi="Times New Roman"/>
          <w:color w:val="000000"/>
          <w:szCs w:val="22"/>
          <w:lang w:val="pt-BR"/>
        </w:rPr>
        <w:lastRenderedPageBreak/>
        <w:t>de Desenvolvimento Humano, Educação e Emprego e o CID na área de educação em defesa e segurança.</w:t>
      </w:r>
    </w:p>
    <w:p w14:paraId="6E834254" w14:textId="77777777" w:rsidR="0011327F" w:rsidRPr="00D65A20" w:rsidRDefault="0011327F" w:rsidP="00AA4399">
      <w:pPr>
        <w:widowControl/>
        <w:rPr>
          <w:rFonts w:ascii="Times New Roman" w:hAnsi="Times New Roman"/>
          <w:color w:val="000000"/>
          <w:szCs w:val="22"/>
          <w:lang w:val="pt-BR"/>
        </w:rPr>
      </w:pPr>
    </w:p>
    <w:p w14:paraId="6E834255" w14:textId="77777777" w:rsidR="0011327F" w:rsidRPr="00D65A20" w:rsidRDefault="0011327F" w:rsidP="00AA4399">
      <w:pPr>
        <w:widowControl/>
        <w:jc w:val="left"/>
        <w:rPr>
          <w:rFonts w:ascii="Times New Roman" w:hAnsi="Times New Roman"/>
          <w:color w:val="000000"/>
          <w:szCs w:val="22"/>
          <w:u w:val="single"/>
          <w:lang w:val="pt-BR"/>
        </w:rPr>
      </w:pPr>
      <w:r w:rsidRPr="00D65A20">
        <w:rPr>
          <w:rFonts w:ascii="Times New Roman" w:hAnsi="Times New Roman"/>
          <w:color w:val="000000"/>
          <w:szCs w:val="22"/>
          <w:lang w:val="pt-BR"/>
        </w:rPr>
        <w:tab/>
      </w:r>
      <w:r w:rsidRPr="00D65A20">
        <w:rPr>
          <w:rFonts w:ascii="Times New Roman" w:hAnsi="Times New Roman"/>
          <w:color w:val="000000"/>
          <w:szCs w:val="22"/>
          <w:u w:val="single"/>
          <w:lang w:val="pt-BR"/>
        </w:rPr>
        <w:t>Comissão Interamericana para o Controle do Abuso de Drogas (CICAD)</w:t>
      </w:r>
    </w:p>
    <w:p w14:paraId="6E834256" w14:textId="77777777" w:rsidR="0011327F" w:rsidRPr="00D65A20" w:rsidRDefault="0011327F" w:rsidP="00AA4399">
      <w:pPr>
        <w:widowControl/>
        <w:jc w:val="left"/>
        <w:rPr>
          <w:rFonts w:ascii="Times New Roman" w:hAnsi="Times New Roman"/>
          <w:color w:val="000000"/>
          <w:szCs w:val="22"/>
          <w:u w:val="single"/>
          <w:lang w:val="pt-BR"/>
        </w:rPr>
      </w:pPr>
    </w:p>
    <w:p w14:paraId="6E834257" w14:textId="77777777" w:rsidR="0011327F" w:rsidRPr="00D65A20" w:rsidRDefault="0011327F" w:rsidP="00AA4399">
      <w:pPr>
        <w:widowControl/>
        <w:numPr>
          <w:ilvl w:val="0"/>
          <w:numId w:val="19"/>
        </w:numPr>
        <w:ind w:left="0"/>
        <w:rPr>
          <w:rFonts w:ascii="Times New Roman" w:hAnsi="Times New Roman"/>
          <w:i/>
          <w:color w:val="000000"/>
          <w:szCs w:val="22"/>
          <w:lang w:val="pt-BR"/>
        </w:rPr>
      </w:pPr>
      <w:r w:rsidRPr="00D65A20">
        <w:rPr>
          <w:rFonts w:ascii="Times New Roman" w:hAnsi="Times New Roman"/>
          <w:szCs w:val="22"/>
          <w:lang w:val="pt-BR"/>
        </w:rPr>
        <w:t>Reiterar o compromisso dos Estados membros, assistidos pela Secretaria Executiva da CICAD (SE/CICAD), com o princípio de responsabilidade comum e solidária na abordagem de todos os assuntos relacionados ao problema mundial das drogas, inclusive a cooperação internacional como ferramenta efetiva e necessária.</w:t>
      </w:r>
    </w:p>
    <w:p w14:paraId="6E834258" w14:textId="77777777" w:rsidR="0011327F" w:rsidRPr="00D65A20" w:rsidRDefault="0011327F" w:rsidP="00AA4399">
      <w:pPr>
        <w:widowControl/>
        <w:rPr>
          <w:rFonts w:ascii="Times New Roman" w:hAnsi="Times New Roman"/>
          <w:szCs w:val="22"/>
          <w:lang w:val="pt-BR"/>
        </w:rPr>
      </w:pPr>
    </w:p>
    <w:p w14:paraId="6E834259"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Fortalecer a comunicação, a colaboração, a cooperação e o intercâmbio de informações entre os Estados membros e a SE/CICAD, a fim de enfrentar e combater o problema mundial das drogas com uma abordagem integral, </w:t>
      </w:r>
      <w:r w:rsidRPr="00D65A20">
        <w:rPr>
          <w:rFonts w:ascii="Times New Roman" w:hAnsi="Times New Roman"/>
          <w:bCs/>
          <w:szCs w:val="22"/>
          <w:lang w:val="pt-BR"/>
        </w:rPr>
        <w:t>equilibrada</w:t>
      </w:r>
      <w:r w:rsidRPr="00D65A20">
        <w:rPr>
          <w:rFonts w:ascii="Times New Roman" w:hAnsi="Times New Roman"/>
          <w:szCs w:val="22"/>
          <w:lang w:val="pt-BR"/>
        </w:rPr>
        <w:t xml:space="preserve">, sustentável, multidisciplinar e baseada em evidências técnicas e científicas, em plena conformidade com os propósitos e princípios da Carta das Nações Unidas, </w:t>
      </w:r>
      <w:r w:rsidR="007A070F" w:rsidRPr="00D65A20">
        <w:rPr>
          <w:rFonts w:ascii="Times New Roman" w:hAnsi="Times New Roman"/>
          <w:szCs w:val="22"/>
          <w:lang w:val="pt-BR"/>
        </w:rPr>
        <w:t>d</w:t>
      </w:r>
      <w:r w:rsidRPr="00D65A20">
        <w:rPr>
          <w:rFonts w:ascii="Times New Roman" w:hAnsi="Times New Roman"/>
          <w:szCs w:val="22"/>
          <w:lang w:val="pt-BR"/>
        </w:rPr>
        <w:t xml:space="preserve">o Direito Internacional e </w:t>
      </w:r>
      <w:r w:rsidR="007A070F" w:rsidRPr="00D65A20">
        <w:rPr>
          <w:rFonts w:ascii="Times New Roman" w:hAnsi="Times New Roman"/>
          <w:szCs w:val="22"/>
          <w:lang w:val="pt-BR"/>
        </w:rPr>
        <w:t>d</w:t>
      </w:r>
      <w:r w:rsidRPr="00D65A20">
        <w:rPr>
          <w:rFonts w:ascii="Times New Roman" w:hAnsi="Times New Roman"/>
          <w:szCs w:val="22"/>
          <w:lang w:val="pt-BR"/>
        </w:rPr>
        <w:t>a Declaração Universal dos Direitos do Homem</w:t>
      </w:r>
      <w:r w:rsidR="007A070F" w:rsidRPr="00D65A20">
        <w:rPr>
          <w:rFonts w:ascii="Times New Roman" w:hAnsi="Times New Roman"/>
          <w:szCs w:val="22"/>
          <w:lang w:val="pt-BR"/>
        </w:rPr>
        <w:t>,</w:t>
      </w:r>
      <w:r w:rsidRPr="00D65A20">
        <w:rPr>
          <w:rFonts w:ascii="Times New Roman" w:hAnsi="Times New Roman"/>
          <w:szCs w:val="22"/>
          <w:lang w:val="pt-BR"/>
        </w:rPr>
        <w:t xml:space="preserve"> e no âmbito das três convenções internacionais sobre drogas e outros instrumentos pertinentes das Nações Unidas.</w:t>
      </w:r>
    </w:p>
    <w:p w14:paraId="6E83425A" w14:textId="77777777" w:rsidR="0011327F" w:rsidRPr="00D65A20" w:rsidRDefault="0011327F" w:rsidP="00AA4399">
      <w:pPr>
        <w:widowControl/>
        <w:rPr>
          <w:rFonts w:ascii="Times New Roman" w:hAnsi="Times New Roman"/>
          <w:szCs w:val="22"/>
          <w:lang w:val="pt-BR"/>
        </w:rPr>
      </w:pPr>
    </w:p>
    <w:p w14:paraId="6E83425B"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Convidar todos os Estados membros, por intermédio da SE/CICAD, a que participem e contribuam para o processo de revisão e atualização da Estratégia Hemisférica sobre Drogas e seu Plano de Ação, que será coordenado pela Presidência</w:t>
      </w:r>
      <w:r w:rsidR="00493432" w:rsidRPr="00D65A20">
        <w:rPr>
          <w:rFonts w:ascii="Times New Roman" w:hAnsi="Times New Roman"/>
          <w:szCs w:val="22"/>
          <w:lang w:val="pt-BR"/>
        </w:rPr>
        <w:t xml:space="preserve"> da CICAD</w:t>
      </w:r>
      <w:r w:rsidRPr="00D65A20">
        <w:rPr>
          <w:rFonts w:ascii="Times New Roman" w:hAnsi="Times New Roman"/>
          <w:szCs w:val="22"/>
          <w:lang w:val="pt-BR"/>
        </w:rPr>
        <w:t>, a cargo do Governo dos Estados Unidos da América, e apresentado à CICAD em seu Sexagésimo Oitavo Período Ordinário de Sessões, a realizar-se na República da Colômbia em novembro de 2020, levando em conta as obrigações dos Estados membros em virtude dos instrumentos relevantes do sistema internacional de fiscalização de drogas e outros instrumentos pertinentes.</w:t>
      </w:r>
    </w:p>
    <w:p w14:paraId="6E83425C" w14:textId="77777777" w:rsidR="0011327F" w:rsidRPr="00D65A20" w:rsidRDefault="0011327F" w:rsidP="00AA4399">
      <w:pPr>
        <w:widowControl/>
        <w:rPr>
          <w:rFonts w:ascii="Times New Roman" w:hAnsi="Times New Roman"/>
          <w:szCs w:val="22"/>
          <w:lang w:val="pt-BR"/>
        </w:rPr>
      </w:pPr>
    </w:p>
    <w:p w14:paraId="6E83425D" w14:textId="671BBC4A"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Tomar nota da </w:t>
      </w:r>
      <w:r w:rsidR="00440D67" w:rsidRPr="00D65A20">
        <w:rPr>
          <w:rFonts w:ascii="Times New Roman" w:hAnsi="Times New Roman"/>
          <w:szCs w:val="22"/>
          <w:lang w:val="pt-BR"/>
        </w:rPr>
        <w:t xml:space="preserve">conclusão e da </w:t>
      </w:r>
      <w:r w:rsidRPr="00D65A20">
        <w:rPr>
          <w:rFonts w:ascii="Times New Roman" w:hAnsi="Times New Roman"/>
          <w:szCs w:val="22"/>
          <w:lang w:val="pt-BR"/>
        </w:rPr>
        <w:t xml:space="preserve">aprovação do Relatório Hemisférico da </w:t>
      </w:r>
      <w:r w:rsidR="000F24D2" w:rsidRPr="00D65A20">
        <w:rPr>
          <w:rFonts w:ascii="Times New Roman" w:hAnsi="Times New Roman"/>
          <w:szCs w:val="22"/>
          <w:lang w:val="pt-BR"/>
        </w:rPr>
        <w:t xml:space="preserve">Sétima Rodada </w:t>
      </w:r>
      <w:r w:rsidRPr="00D65A20">
        <w:rPr>
          <w:rFonts w:ascii="Times New Roman" w:hAnsi="Times New Roman"/>
          <w:szCs w:val="22"/>
          <w:lang w:val="pt-BR"/>
        </w:rPr>
        <w:t xml:space="preserve">do Mecanismo de Avaliação Multilateral (MAM) (2014–2018) sobre a avaliação das políticas sobre drogas, que teve lugar no Sexagésimo Sexto Período Ordinário de Sessões da CICAD, bem como do relatório “Políticas sobre </w:t>
      </w:r>
      <w:r w:rsidR="000F24D2" w:rsidRPr="00D65A20">
        <w:rPr>
          <w:rFonts w:ascii="Times New Roman" w:hAnsi="Times New Roman"/>
          <w:szCs w:val="22"/>
          <w:lang w:val="pt-BR"/>
        </w:rPr>
        <w:t>D</w:t>
      </w:r>
      <w:r w:rsidRPr="00D65A20">
        <w:rPr>
          <w:rFonts w:ascii="Times New Roman" w:hAnsi="Times New Roman"/>
          <w:szCs w:val="22"/>
          <w:lang w:val="pt-BR"/>
        </w:rPr>
        <w:t xml:space="preserve">rogas e </w:t>
      </w:r>
      <w:r w:rsidR="000F24D2" w:rsidRPr="00D65A20">
        <w:rPr>
          <w:rFonts w:ascii="Times New Roman" w:hAnsi="Times New Roman"/>
          <w:szCs w:val="22"/>
          <w:lang w:val="pt-BR"/>
        </w:rPr>
        <w:t>P</w:t>
      </w:r>
      <w:r w:rsidRPr="00D65A20">
        <w:rPr>
          <w:rFonts w:ascii="Times New Roman" w:hAnsi="Times New Roman"/>
          <w:szCs w:val="22"/>
          <w:lang w:val="pt-BR"/>
        </w:rPr>
        <w:t xml:space="preserve">erspectiva de </w:t>
      </w:r>
      <w:r w:rsidR="000F24D2" w:rsidRPr="00D65A20">
        <w:rPr>
          <w:rFonts w:ascii="Times New Roman" w:hAnsi="Times New Roman"/>
          <w:szCs w:val="22"/>
          <w:lang w:val="pt-BR"/>
        </w:rPr>
        <w:t>G</w:t>
      </w:r>
      <w:r w:rsidRPr="00D65A20">
        <w:rPr>
          <w:rFonts w:ascii="Times New Roman" w:hAnsi="Times New Roman"/>
          <w:szCs w:val="22"/>
          <w:lang w:val="pt-BR"/>
        </w:rPr>
        <w:t xml:space="preserve">ênero nas Américas: Conclusões dos </w:t>
      </w:r>
      <w:r w:rsidR="000F24D2" w:rsidRPr="00D65A20">
        <w:rPr>
          <w:rFonts w:ascii="Times New Roman" w:hAnsi="Times New Roman"/>
          <w:szCs w:val="22"/>
          <w:lang w:val="pt-BR"/>
        </w:rPr>
        <w:t xml:space="preserve">Relatórios Nacionais </w:t>
      </w:r>
      <w:r w:rsidRPr="00D65A20">
        <w:rPr>
          <w:rFonts w:ascii="Times New Roman" w:hAnsi="Times New Roman"/>
          <w:szCs w:val="22"/>
          <w:lang w:val="pt-BR"/>
        </w:rPr>
        <w:t xml:space="preserve">da </w:t>
      </w:r>
      <w:r w:rsidR="000F24D2" w:rsidRPr="00D65A20">
        <w:rPr>
          <w:rFonts w:ascii="Times New Roman" w:hAnsi="Times New Roman"/>
          <w:szCs w:val="22"/>
          <w:lang w:val="pt-BR"/>
        </w:rPr>
        <w:t xml:space="preserve">Sétima Rodada </w:t>
      </w:r>
      <w:r w:rsidRPr="00D65A20">
        <w:rPr>
          <w:rFonts w:ascii="Times New Roman" w:hAnsi="Times New Roman"/>
          <w:szCs w:val="22"/>
          <w:lang w:val="pt-BR"/>
        </w:rPr>
        <w:t>do Mecanismo de Avaliação Multilateral (MAM)”</w:t>
      </w:r>
      <w:r w:rsidR="00440D67" w:rsidRPr="00D65A20">
        <w:rPr>
          <w:rFonts w:ascii="Times New Roman" w:hAnsi="Times New Roman"/>
          <w:szCs w:val="22"/>
          <w:lang w:val="pt-BR"/>
        </w:rPr>
        <w:t>;</w:t>
      </w:r>
      <w:r w:rsidRPr="00D65A20">
        <w:rPr>
          <w:rFonts w:ascii="Times New Roman" w:hAnsi="Times New Roman"/>
          <w:szCs w:val="22"/>
          <w:lang w:val="pt-BR"/>
        </w:rPr>
        <w:t xml:space="preserve"> e enfatizar o valor do MAM, inclusive suas conclusões como o instrumento mais importante da OEA para medir o progresso dos esforços de controle de drogas dos Estados membros</w:t>
      </w:r>
      <w:r w:rsidR="00440D67" w:rsidRPr="00D65A20">
        <w:rPr>
          <w:rFonts w:ascii="Times New Roman" w:hAnsi="Times New Roman"/>
          <w:szCs w:val="22"/>
          <w:lang w:val="pt-BR"/>
        </w:rPr>
        <w:t>;</w:t>
      </w:r>
      <w:r w:rsidRPr="00D65A20">
        <w:rPr>
          <w:rFonts w:ascii="Times New Roman" w:hAnsi="Times New Roman"/>
          <w:szCs w:val="22"/>
          <w:lang w:val="pt-BR"/>
        </w:rPr>
        <w:t xml:space="preserve"> e incentivar os países a que divulguem os relatórios como parte do apoio contínuo ao processo de avaliação.</w:t>
      </w:r>
    </w:p>
    <w:p w14:paraId="6E83425E" w14:textId="77777777" w:rsidR="0011327F" w:rsidRPr="00D65A20" w:rsidRDefault="0011327F" w:rsidP="00AA4399">
      <w:pPr>
        <w:widowControl/>
        <w:rPr>
          <w:rFonts w:ascii="Times New Roman" w:hAnsi="Times New Roman"/>
          <w:szCs w:val="22"/>
          <w:lang w:val="pt-BR"/>
        </w:rPr>
      </w:pPr>
    </w:p>
    <w:p w14:paraId="6E83425F"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Recordar a </w:t>
      </w:r>
      <w:r w:rsidRPr="00D65A20">
        <w:rPr>
          <w:rFonts w:ascii="Times New Roman" w:hAnsi="Times New Roman"/>
          <w:bCs/>
          <w:szCs w:val="22"/>
          <w:lang w:val="pt-BR"/>
        </w:rPr>
        <w:t>convocação</w:t>
      </w:r>
      <w:r w:rsidRPr="00D65A20">
        <w:rPr>
          <w:rFonts w:ascii="Times New Roman" w:hAnsi="Times New Roman"/>
          <w:szCs w:val="22"/>
          <w:lang w:val="pt-BR"/>
        </w:rPr>
        <w:t xml:space="preserve"> do Grupo de Trabalho Intergovernamental (GTI) para rever e atualizar o MAM para a oitava rodada e incentivar todos os Estados membros a que participem ativamente desse grupo, que será coordenado pela sua Presidência, a cargo do Governo do Canadá.</w:t>
      </w:r>
    </w:p>
    <w:p w14:paraId="6E834260" w14:textId="77777777" w:rsidR="0011327F" w:rsidRPr="00D65A20" w:rsidRDefault="0011327F" w:rsidP="00AA4399">
      <w:pPr>
        <w:widowControl/>
        <w:rPr>
          <w:rFonts w:ascii="Times New Roman" w:hAnsi="Times New Roman"/>
          <w:szCs w:val="22"/>
          <w:lang w:val="pt-BR"/>
        </w:rPr>
      </w:pPr>
    </w:p>
    <w:p w14:paraId="6E834261" w14:textId="5E54E77F"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Solicitar que a SE/CICAD continue apoiando programas e atividades de fortalecimento de capacidades nos âmbitos local, nacional e regional para desenvolver, implementar e fortalecer estratégias nacionais sobre drogas, planos de ação e a programação associada, recordando a Declaração Ministerial de 2019 do Sexagésimo Segundo Período de Sessões da Comissão de Entorpecentes das Nações Unidas sobre o fortalecimento de medidas em nível nacional, regional e internacional para acelerar o cumprimento de compromissos conjuntos, a fim de enfrentar e combater o problema mundial das drogas, incluindo as recomendações operacionais do documento final do </w:t>
      </w:r>
      <w:r w:rsidR="00ED62C8" w:rsidRPr="00D65A20">
        <w:rPr>
          <w:rFonts w:ascii="Times New Roman" w:hAnsi="Times New Roman"/>
          <w:szCs w:val="22"/>
          <w:lang w:val="pt-BR"/>
        </w:rPr>
        <w:lastRenderedPageBreak/>
        <w:t xml:space="preserve">período extraordinário de sessões </w:t>
      </w:r>
      <w:r w:rsidRPr="00D65A20">
        <w:rPr>
          <w:rFonts w:ascii="Times New Roman" w:hAnsi="Times New Roman"/>
          <w:szCs w:val="22"/>
          <w:lang w:val="pt-BR"/>
        </w:rPr>
        <w:t xml:space="preserve">da Assembleia Geral das Nações Unidas sobre o </w:t>
      </w:r>
      <w:r w:rsidR="00ED62C8" w:rsidRPr="00D65A20">
        <w:rPr>
          <w:rFonts w:ascii="Times New Roman" w:hAnsi="Times New Roman"/>
          <w:szCs w:val="22"/>
          <w:lang w:val="pt-BR"/>
        </w:rPr>
        <w:t>problema mundial das drogas</w:t>
      </w:r>
      <w:r w:rsidRPr="00D65A20">
        <w:rPr>
          <w:rFonts w:ascii="Times New Roman" w:hAnsi="Times New Roman"/>
          <w:szCs w:val="22"/>
          <w:lang w:val="pt-BR"/>
        </w:rPr>
        <w:t>, realizado em 2016 (UNGASS 2016).</w:t>
      </w:r>
    </w:p>
    <w:p w14:paraId="6E834262" w14:textId="77777777" w:rsidR="0011327F" w:rsidRPr="00D65A20" w:rsidRDefault="0011327F" w:rsidP="00AA4399">
      <w:pPr>
        <w:widowControl/>
        <w:rPr>
          <w:rFonts w:ascii="Times New Roman" w:hAnsi="Times New Roman"/>
          <w:szCs w:val="22"/>
          <w:lang w:val="pt-BR"/>
        </w:rPr>
      </w:pPr>
    </w:p>
    <w:p w14:paraId="6E834263"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Incentivar os </w:t>
      </w:r>
      <w:r w:rsidRPr="00D65A20">
        <w:rPr>
          <w:rFonts w:ascii="Times New Roman" w:hAnsi="Times New Roman"/>
          <w:bCs/>
          <w:szCs w:val="22"/>
          <w:lang w:val="pt-BR"/>
        </w:rPr>
        <w:t>Estados</w:t>
      </w:r>
      <w:r w:rsidRPr="00D65A20">
        <w:rPr>
          <w:rFonts w:ascii="Times New Roman" w:hAnsi="Times New Roman"/>
          <w:szCs w:val="22"/>
          <w:lang w:val="pt-BR"/>
        </w:rPr>
        <w:t xml:space="preserve"> membros a que continuem implementando e fortalecendo os processos de monitoramento e avaliação dos programas e políticas relacionados com drogas, e </w:t>
      </w:r>
      <w:r w:rsidRPr="00D65A20">
        <w:rPr>
          <w:rFonts w:ascii="Times New Roman" w:hAnsi="Times New Roman"/>
          <w:bCs/>
          <w:szCs w:val="22"/>
          <w:lang w:val="pt-BR"/>
        </w:rPr>
        <w:t xml:space="preserve">solicitar </w:t>
      </w:r>
      <w:r w:rsidR="00ED62C8" w:rsidRPr="00D65A20">
        <w:rPr>
          <w:rFonts w:ascii="Times New Roman" w:hAnsi="Times New Roman"/>
          <w:bCs/>
          <w:szCs w:val="22"/>
          <w:lang w:val="pt-BR"/>
        </w:rPr>
        <w:t xml:space="preserve">à </w:t>
      </w:r>
      <w:r w:rsidRPr="00D65A20">
        <w:rPr>
          <w:rFonts w:ascii="Times New Roman" w:hAnsi="Times New Roman"/>
          <w:szCs w:val="22"/>
          <w:lang w:val="pt-BR"/>
        </w:rPr>
        <w:t>SE/CICAD que preste apoio nesse sentido, conforme necessário.</w:t>
      </w:r>
    </w:p>
    <w:p w14:paraId="6E834264" w14:textId="77777777" w:rsidR="0011327F" w:rsidRPr="00D65A20" w:rsidRDefault="0011327F" w:rsidP="00AA4399">
      <w:pPr>
        <w:widowControl/>
        <w:suppressAutoHyphens/>
        <w:rPr>
          <w:rFonts w:ascii="Times New Roman" w:hAnsi="Times New Roman"/>
          <w:szCs w:val="22"/>
          <w:lang w:val="pt-BR"/>
        </w:rPr>
      </w:pPr>
    </w:p>
    <w:p w14:paraId="6E834265"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Incentivar os Estados membros a que realizem estudos de pesquisa técnica e científica, revisados por especialistas e </w:t>
      </w:r>
      <w:r w:rsidRPr="00D65A20">
        <w:rPr>
          <w:rFonts w:ascii="Times New Roman" w:hAnsi="Times New Roman"/>
          <w:bCs/>
          <w:szCs w:val="22"/>
          <w:lang w:val="pt-BR"/>
        </w:rPr>
        <w:t>apoiados</w:t>
      </w:r>
      <w:r w:rsidRPr="00D65A20">
        <w:rPr>
          <w:rFonts w:ascii="Times New Roman" w:hAnsi="Times New Roman"/>
          <w:szCs w:val="22"/>
          <w:lang w:val="pt-BR"/>
        </w:rPr>
        <w:t xml:space="preserve"> pela cooperação internacional, quando apropriado, sobre todos os aspectos do problema mundial das drogas em seus países, de modo que a pesquisa obtida sustente as políticas nacionais sobre drogas, com o objetivo de aumentar sua eficiência e eficácia.</w:t>
      </w:r>
    </w:p>
    <w:p w14:paraId="6E834266" w14:textId="77777777" w:rsidR="0011327F" w:rsidRPr="00D65A20" w:rsidRDefault="0011327F" w:rsidP="00AA4399">
      <w:pPr>
        <w:widowControl/>
        <w:rPr>
          <w:rFonts w:ascii="Times New Roman" w:hAnsi="Times New Roman"/>
          <w:szCs w:val="22"/>
          <w:lang w:val="pt-BR"/>
        </w:rPr>
      </w:pPr>
    </w:p>
    <w:p w14:paraId="6E834267" w14:textId="77777777" w:rsidR="0011327F" w:rsidRPr="00D65A20" w:rsidRDefault="0011327F" w:rsidP="00AA4399">
      <w:pPr>
        <w:widowControl/>
        <w:numPr>
          <w:ilvl w:val="0"/>
          <w:numId w:val="19"/>
        </w:numPr>
        <w:ind w:left="0"/>
        <w:rPr>
          <w:rFonts w:ascii="Times New Roman" w:hAnsi="Times New Roman"/>
          <w:i/>
          <w:szCs w:val="22"/>
          <w:lang w:val="pt-BR"/>
        </w:rPr>
      </w:pPr>
      <w:r w:rsidRPr="00D65A20">
        <w:rPr>
          <w:rFonts w:ascii="Times New Roman" w:hAnsi="Times New Roman"/>
          <w:szCs w:val="22"/>
          <w:lang w:val="pt-BR"/>
        </w:rPr>
        <w:t xml:space="preserve">Convidar os Estados membros a que continuem fortalecendo ou estabelecendo, conforme apropriado, </w:t>
      </w:r>
      <w:r w:rsidRPr="00D65A20">
        <w:rPr>
          <w:rFonts w:ascii="Times New Roman" w:hAnsi="Times New Roman"/>
          <w:bCs/>
          <w:szCs w:val="22"/>
          <w:lang w:val="pt-BR"/>
        </w:rPr>
        <w:t>observatórios</w:t>
      </w:r>
      <w:r w:rsidRPr="00D65A20">
        <w:rPr>
          <w:rFonts w:ascii="Times New Roman" w:hAnsi="Times New Roman"/>
          <w:szCs w:val="22"/>
          <w:lang w:val="pt-BR"/>
        </w:rPr>
        <w:t xml:space="preserve"> nacionais de drogas (ou escritórios similares), e incentivar a SE/CICAD a que forneça apoio, conforme necessário, no desenvolvimento de sistemas e redes nacionais de informação sobre drogas e pesquisa científica, bem como promover a cooperação entre os observatórios nacionais de drogas (ou escritórios similares), a fim de fortalecer o intercâmbio de informações sobre drogas na região.</w:t>
      </w:r>
    </w:p>
    <w:p w14:paraId="6E834268" w14:textId="77777777" w:rsidR="0011327F" w:rsidRPr="00D65A20" w:rsidRDefault="0011327F" w:rsidP="00AA4399">
      <w:pPr>
        <w:widowControl/>
        <w:rPr>
          <w:rFonts w:ascii="Times New Roman" w:hAnsi="Times New Roman"/>
          <w:szCs w:val="22"/>
          <w:lang w:val="pt-BR"/>
        </w:rPr>
      </w:pPr>
    </w:p>
    <w:p w14:paraId="6E834269" w14:textId="4B5B4DBB"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Relembrar aos Estados membros o compromisso de responder ao Questionário para os Relatórios Anuais (conhecido em inglês como ARQ) do UNODC, que foi recentemente atualizado e coleta dados sobre produção, tráfico, interdição e tendências de consumo de drogas, </w:t>
      </w:r>
      <w:r w:rsidRPr="00D65A20">
        <w:rPr>
          <w:rFonts w:ascii="Times New Roman" w:hAnsi="Times New Roman"/>
          <w:bCs/>
          <w:szCs w:val="22"/>
          <w:lang w:val="pt-BR"/>
        </w:rPr>
        <w:t>considerando</w:t>
      </w:r>
      <w:r w:rsidRPr="00D65A20">
        <w:rPr>
          <w:rFonts w:ascii="Times New Roman" w:hAnsi="Times New Roman"/>
          <w:szCs w:val="22"/>
          <w:lang w:val="pt-BR"/>
        </w:rPr>
        <w:t xml:space="preserve"> a importância de melhorar a comparabilidade dos dados informados, e convidar a SE/CICAD a prestar assistência aos Estados membros, mediante solicitação.</w:t>
      </w:r>
    </w:p>
    <w:p w14:paraId="6E83426A" w14:textId="77777777" w:rsidR="0011327F" w:rsidRPr="00D65A20" w:rsidRDefault="0011327F" w:rsidP="00AA4399">
      <w:pPr>
        <w:widowControl/>
        <w:rPr>
          <w:rFonts w:ascii="Times New Roman" w:hAnsi="Times New Roman"/>
          <w:szCs w:val="22"/>
          <w:lang w:val="pt-BR"/>
        </w:rPr>
      </w:pPr>
    </w:p>
    <w:p w14:paraId="6E83426B" w14:textId="08C1DC13"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szCs w:val="22"/>
          <w:lang w:val="pt-BR"/>
        </w:rPr>
        <w:t xml:space="preserve">Incentivar os Estados membros a que desenvolvam e implementem políticas baseadas em comprovação científica, </w:t>
      </w:r>
      <w:r w:rsidRPr="00D65A20">
        <w:rPr>
          <w:rFonts w:ascii="Times New Roman" w:hAnsi="Times New Roman"/>
          <w:bCs/>
          <w:szCs w:val="22"/>
          <w:lang w:val="pt-BR"/>
        </w:rPr>
        <w:t>destinadas</w:t>
      </w:r>
      <w:r w:rsidRPr="00D65A20">
        <w:rPr>
          <w:rFonts w:ascii="Times New Roman" w:hAnsi="Times New Roman"/>
          <w:szCs w:val="22"/>
          <w:lang w:val="pt-BR"/>
        </w:rPr>
        <w:t xml:space="preserve"> a melhorar a prevenção, a intervenção precoce, a atenção, a recuperação e reabilitação do uso de drogas, e a reintegração social, levando em consideração o impacto da </w:t>
      </w:r>
      <w:r w:rsidR="00877D54" w:rsidRPr="00D65A20">
        <w:rPr>
          <w:rFonts w:ascii="Times New Roman" w:hAnsi="Times New Roman"/>
          <w:szCs w:val="22"/>
          <w:lang w:val="pt-BR"/>
        </w:rPr>
        <w:t>pandemia de</w:t>
      </w:r>
      <w:r w:rsidRPr="00D65A20">
        <w:rPr>
          <w:rFonts w:ascii="Times New Roman" w:hAnsi="Times New Roman"/>
          <w:szCs w:val="22"/>
          <w:lang w:val="pt-BR"/>
        </w:rPr>
        <w:t xml:space="preserve"> covid-19; a que levem em conta a disponibilidade de acesso e a prestação de serviços sociais e de atenção à saúde para todos os indivíduos que usam drogas, inclusive os jovens; e a que promovam atitudes e linguagem não estigmatizantes, a inclusão e a consideração da influência dos contextos sociais e das perspectivas de gênero, bem como dos grupos etários, para promover o acesso</w:t>
      </w:r>
      <w:r w:rsidRPr="00D65A20">
        <w:rPr>
          <w:rFonts w:ascii="Times New Roman" w:hAnsi="Times New Roman"/>
          <w:b/>
          <w:szCs w:val="22"/>
          <w:lang w:val="pt-BR"/>
        </w:rPr>
        <w:t xml:space="preserve"> </w:t>
      </w:r>
      <w:r w:rsidRPr="00D65A20">
        <w:rPr>
          <w:rFonts w:ascii="Times New Roman" w:hAnsi="Times New Roman"/>
          <w:szCs w:val="22"/>
          <w:lang w:val="pt-BR"/>
        </w:rPr>
        <w:t>e a disponibilidade dessas medidas de redução da demanda.</w:t>
      </w:r>
    </w:p>
    <w:p w14:paraId="6E83426C" w14:textId="77777777" w:rsidR="0011327F" w:rsidRPr="00D65A20" w:rsidRDefault="0011327F" w:rsidP="00AA4399">
      <w:pPr>
        <w:widowControl/>
        <w:rPr>
          <w:rFonts w:ascii="Times New Roman" w:hAnsi="Times New Roman"/>
          <w:bCs/>
          <w:szCs w:val="22"/>
          <w:lang w:val="pt-BR"/>
        </w:rPr>
      </w:pPr>
    </w:p>
    <w:p w14:paraId="6E83426D" w14:textId="77777777"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bCs/>
          <w:szCs w:val="22"/>
          <w:lang w:val="pt-BR"/>
        </w:rPr>
        <w:t>Incentivar os Estados membros a que concebam e implementem estratégias baseadas em comprovação científica para a prevenção do uso de drogas, começando na primeira infância, com especial ênfase na prevenção do uso de drogas entre adolescentes.</w:t>
      </w:r>
    </w:p>
    <w:p w14:paraId="6E83426E" w14:textId="77777777" w:rsidR="00B56688" w:rsidRPr="00D65A20" w:rsidRDefault="00B56688" w:rsidP="00B56688">
      <w:pPr>
        <w:widowControl/>
        <w:rPr>
          <w:rFonts w:ascii="Times New Roman" w:hAnsi="Times New Roman"/>
          <w:bCs/>
          <w:szCs w:val="22"/>
          <w:lang w:val="pt-BR"/>
        </w:rPr>
      </w:pPr>
    </w:p>
    <w:p w14:paraId="6E83426F"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bCs/>
          <w:szCs w:val="22"/>
          <w:lang w:val="pt-BR"/>
        </w:rPr>
        <w:t>Considerar</w:t>
      </w:r>
      <w:r w:rsidRPr="00D65A20">
        <w:rPr>
          <w:rFonts w:ascii="Times New Roman" w:hAnsi="Times New Roman"/>
          <w:szCs w:val="22"/>
          <w:lang w:val="pt-BR"/>
        </w:rPr>
        <w:t xml:space="preserve"> e incentivar o uso de intervenções em linha com os padrões internacionais, </w:t>
      </w:r>
      <w:r w:rsidRPr="00D65A20">
        <w:rPr>
          <w:rFonts w:ascii="Times New Roman" w:hAnsi="Times New Roman"/>
          <w:bCs/>
          <w:szCs w:val="22"/>
          <w:lang w:val="pt-BR"/>
        </w:rPr>
        <w:t xml:space="preserve">no </w:t>
      </w:r>
      <w:r w:rsidRPr="00D65A20">
        <w:rPr>
          <w:rFonts w:ascii="Times New Roman" w:hAnsi="Times New Roman"/>
          <w:szCs w:val="22"/>
          <w:lang w:val="pt-BR"/>
        </w:rPr>
        <w:t xml:space="preserve">desenvolvimento de sistemas </w:t>
      </w:r>
      <w:bookmarkStart w:id="32" w:name="_Hlk51938445"/>
      <w:r w:rsidRPr="00D65A20">
        <w:rPr>
          <w:rFonts w:ascii="Times New Roman" w:hAnsi="Times New Roman"/>
          <w:szCs w:val="22"/>
          <w:lang w:val="pt-BR"/>
        </w:rPr>
        <w:t>de garantia de qualidade para programas de tratamento de drogas</w:t>
      </w:r>
      <w:bookmarkEnd w:id="32"/>
      <w:r w:rsidRPr="00D65A20">
        <w:rPr>
          <w:rFonts w:ascii="Times New Roman" w:hAnsi="Times New Roman"/>
          <w:szCs w:val="22"/>
          <w:lang w:val="pt-BR"/>
        </w:rPr>
        <w:t>.</w:t>
      </w:r>
    </w:p>
    <w:p w14:paraId="6E834270" w14:textId="77777777" w:rsidR="0011327F" w:rsidRPr="00D65A20" w:rsidRDefault="0011327F" w:rsidP="00AA4399">
      <w:pPr>
        <w:widowControl/>
        <w:rPr>
          <w:rFonts w:ascii="Times New Roman" w:hAnsi="Times New Roman"/>
          <w:szCs w:val="22"/>
          <w:lang w:val="pt-BR"/>
        </w:rPr>
      </w:pPr>
    </w:p>
    <w:p w14:paraId="6E834271"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Incentivar os Estados membros a que continuem incorporando alternativas inovadoras ao encarceramento baseadas em comprovação científica para delitos menores </w:t>
      </w:r>
      <w:r w:rsidRPr="00D65A20">
        <w:rPr>
          <w:rFonts w:ascii="Times New Roman" w:hAnsi="Times New Roman"/>
          <w:bCs/>
          <w:szCs w:val="22"/>
          <w:lang w:val="pt-BR"/>
        </w:rPr>
        <w:t>não violentos,</w:t>
      </w:r>
      <w:r w:rsidRPr="00D65A20">
        <w:rPr>
          <w:rFonts w:ascii="Times New Roman" w:hAnsi="Times New Roman"/>
          <w:szCs w:val="22"/>
          <w:lang w:val="pt-BR"/>
        </w:rPr>
        <w:t xml:space="preserve"> relacionados com drogas, e solicitar </w:t>
      </w:r>
      <w:r w:rsidR="00ED62C8" w:rsidRPr="00D65A20">
        <w:rPr>
          <w:rFonts w:ascii="Times New Roman" w:hAnsi="Times New Roman"/>
          <w:szCs w:val="22"/>
          <w:lang w:val="pt-BR"/>
        </w:rPr>
        <w:t xml:space="preserve">à </w:t>
      </w:r>
      <w:r w:rsidRPr="00D65A20">
        <w:rPr>
          <w:rFonts w:ascii="Times New Roman" w:hAnsi="Times New Roman"/>
          <w:szCs w:val="22"/>
          <w:lang w:val="pt-BR"/>
        </w:rPr>
        <w:t>SE/CICAD que continue prestando assistência técnica e compartilhando boas práticas nesse sentido com os Estados membros que o requeiram.</w:t>
      </w:r>
    </w:p>
    <w:p w14:paraId="6E834273"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lastRenderedPageBreak/>
        <w:t xml:space="preserve">Incentivar os Estados membros a que considerem a implementação de programas de desenvolvimento alternativo </w:t>
      </w:r>
      <w:r w:rsidRPr="00D65A20">
        <w:rPr>
          <w:rFonts w:ascii="Times New Roman" w:hAnsi="Times New Roman"/>
          <w:bCs/>
          <w:szCs w:val="22"/>
          <w:lang w:val="pt-BR"/>
        </w:rPr>
        <w:t>integral</w:t>
      </w:r>
      <w:r w:rsidRPr="00D65A20">
        <w:rPr>
          <w:rFonts w:ascii="Times New Roman" w:hAnsi="Times New Roman"/>
          <w:szCs w:val="22"/>
          <w:lang w:val="pt-BR"/>
        </w:rPr>
        <w:t xml:space="preserve"> e sustentável, incluindo, quando apropriado, o desenvolvimento alternativo preventivo e a participação de comunidades subnacionais e organizações pertinentes, a fim de aumentar o bem-estar da população afetada e vulnerável.</w:t>
      </w:r>
    </w:p>
    <w:p w14:paraId="6E834274" w14:textId="77777777" w:rsidR="0011327F" w:rsidRPr="00D65A20" w:rsidRDefault="0011327F" w:rsidP="00AA4399">
      <w:pPr>
        <w:widowControl/>
        <w:rPr>
          <w:rFonts w:ascii="Times New Roman" w:hAnsi="Times New Roman"/>
          <w:szCs w:val="22"/>
          <w:lang w:val="pt-BR"/>
        </w:rPr>
      </w:pPr>
    </w:p>
    <w:p w14:paraId="6E834275" w14:textId="77A0F063"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Reiterar o compromisso conjunto dos Estados membros de incorporar adequadamente uma perspectiva de gênero e de direitos humanos nos programas e projetos sobre drogas e de assegurar, na medida do possível, a </w:t>
      </w:r>
      <w:r w:rsidRPr="00D65A20">
        <w:rPr>
          <w:rFonts w:ascii="Times New Roman" w:hAnsi="Times New Roman"/>
          <w:bCs/>
          <w:szCs w:val="22"/>
          <w:lang w:val="pt-BR"/>
        </w:rPr>
        <w:t>participação</w:t>
      </w:r>
      <w:r w:rsidRPr="00D65A20">
        <w:rPr>
          <w:rFonts w:ascii="Times New Roman" w:hAnsi="Times New Roman"/>
          <w:szCs w:val="22"/>
          <w:lang w:val="pt-BR"/>
        </w:rPr>
        <w:t xml:space="preserve"> efetiva</w:t>
      </w:r>
      <w:r w:rsidRPr="00D65A20">
        <w:rPr>
          <w:rFonts w:ascii="Times New Roman" w:hAnsi="Times New Roman"/>
          <w:b/>
          <w:bCs/>
          <w:szCs w:val="22"/>
          <w:lang w:val="pt-BR"/>
        </w:rPr>
        <w:t xml:space="preserve"> </w:t>
      </w:r>
      <w:r w:rsidRPr="00D65A20">
        <w:rPr>
          <w:rFonts w:ascii="Times New Roman" w:hAnsi="Times New Roman"/>
          <w:szCs w:val="22"/>
          <w:lang w:val="pt-BR"/>
        </w:rPr>
        <w:t xml:space="preserve">e relevante das mulheres nas agências e organizações encarregadas do controle de drogas; e, nesse sentido, incentivar a participação dos Estados membros no </w:t>
      </w:r>
      <w:r w:rsidR="00440D67" w:rsidRPr="00D65A20">
        <w:rPr>
          <w:rFonts w:ascii="Times New Roman" w:hAnsi="Times New Roman"/>
          <w:szCs w:val="22"/>
          <w:lang w:val="pt-BR"/>
        </w:rPr>
        <w:t>p</w:t>
      </w:r>
      <w:r w:rsidRPr="00D65A20">
        <w:rPr>
          <w:rFonts w:ascii="Times New Roman" w:hAnsi="Times New Roman"/>
          <w:szCs w:val="22"/>
          <w:lang w:val="pt-BR"/>
        </w:rPr>
        <w:t xml:space="preserve">rograma Gênero </w:t>
      </w:r>
      <w:r w:rsidR="002C239C" w:rsidRPr="00D65A20">
        <w:rPr>
          <w:rFonts w:ascii="Times New Roman" w:hAnsi="Times New Roman"/>
          <w:szCs w:val="22"/>
          <w:lang w:val="pt-BR"/>
        </w:rPr>
        <w:t xml:space="preserve">no Sistema de </w:t>
      </w:r>
      <w:r w:rsidRPr="00D65A20">
        <w:rPr>
          <w:rFonts w:ascii="Times New Roman" w:hAnsi="Times New Roman"/>
          <w:szCs w:val="22"/>
          <w:lang w:val="pt-BR"/>
        </w:rPr>
        <w:t>Justiça Penal e no Programa Interamericano para o Fortalecimento da Igualdade de Gênero nos Organismos Nacionais Encarregados de Combater o Tráfico Ilícito de Drogas (GENLEA, na sigla em inglês), entre outros.</w:t>
      </w:r>
    </w:p>
    <w:p w14:paraId="6E834276" w14:textId="77777777" w:rsidR="0011327F" w:rsidRPr="00D65A20" w:rsidRDefault="0011327F" w:rsidP="00AA4399">
      <w:pPr>
        <w:widowControl/>
        <w:rPr>
          <w:rFonts w:ascii="Times New Roman" w:hAnsi="Times New Roman"/>
          <w:szCs w:val="22"/>
          <w:lang w:val="pt-BR"/>
        </w:rPr>
      </w:pPr>
    </w:p>
    <w:p w14:paraId="6E834277" w14:textId="7432F694"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Fortalecer a coordenação e a cooperação entre os Estados membros, e entre todos os órgãos, organismos e </w:t>
      </w:r>
      <w:r w:rsidRPr="00D65A20">
        <w:rPr>
          <w:rFonts w:ascii="Times New Roman" w:hAnsi="Times New Roman"/>
          <w:bCs/>
          <w:szCs w:val="22"/>
          <w:lang w:val="pt-BR"/>
        </w:rPr>
        <w:t>entidades</w:t>
      </w:r>
      <w:r w:rsidRPr="00D65A20">
        <w:rPr>
          <w:rFonts w:ascii="Times New Roman" w:hAnsi="Times New Roman"/>
          <w:szCs w:val="22"/>
          <w:lang w:val="pt-BR"/>
        </w:rPr>
        <w:t xml:space="preserve"> da OEA, a fim de combater as atividades ilícitas que facilitam a criminalidad</w:t>
      </w:r>
      <w:r w:rsidRPr="00D65A20">
        <w:rPr>
          <w:rFonts w:ascii="Times New Roman" w:hAnsi="Times New Roman"/>
          <w:bCs/>
          <w:szCs w:val="22"/>
          <w:lang w:val="pt-BR"/>
        </w:rPr>
        <w:t>e</w:t>
      </w:r>
      <w:r w:rsidRPr="00D65A20">
        <w:rPr>
          <w:rFonts w:ascii="Times New Roman" w:hAnsi="Times New Roman"/>
          <w:szCs w:val="22"/>
          <w:lang w:val="pt-BR"/>
        </w:rPr>
        <w:t xml:space="preserve"> organizada transnacional, como o tráfico de entorpecentes e de armas de fogo, a lavagem de dinheiro e outras atividades relacionadas com as drogas.</w:t>
      </w:r>
    </w:p>
    <w:p w14:paraId="6E834278" w14:textId="77777777" w:rsidR="0011327F" w:rsidRPr="00D65A20" w:rsidRDefault="0011327F" w:rsidP="00AA4399">
      <w:pPr>
        <w:widowControl/>
        <w:rPr>
          <w:rFonts w:ascii="Times New Roman" w:hAnsi="Times New Roman"/>
          <w:szCs w:val="22"/>
          <w:lang w:val="pt-BR"/>
        </w:rPr>
      </w:pPr>
    </w:p>
    <w:p w14:paraId="6E834279" w14:textId="329CFA8D" w:rsidR="0011327F" w:rsidRPr="00D65A20" w:rsidRDefault="0011327F" w:rsidP="00AA4399">
      <w:pPr>
        <w:widowControl/>
        <w:numPr>
          <w:ilvl w:val="0"/>
          <w:numId w:val="19"/>
        </w:numPr>
        <w:ind w:left="0"/>
        <w:rPr>
          <w:rFonts w:ascii="Times New Roman" w:hAnsi="Times New Roman"/>
          <w:color w:val="000000"/>
          <w:szCs w:val="22"/>
          <w:lang w:val="pt-BR"/>
        </w:rPr>
      </w:pPr>
      <w:r w:rsidRPr="00D65A20">
        <w:rPr>
          <w:rFonts w:ascii="Times New Roman" w:hAnsi="Times New Roman"/>
          <w:color w:val="000000"/>
          <w:szCs w:val="22"/>
          <w:lang w:val="pt-BR"/>
        </w:rPr>
        <w:t xml:space="preserve">Fortalecer as capacidades das agências de aplicação das leis antidrogas dos Estados membros para combater </w:t>
      </w:r>
      <w:r w:rsidRPr="00D65A20">
        <w:rPr>
          <w:rFonts w:ascii="Times New Roman" w:hAnsi="Times New Roman"/>
          <w:bCs/>
          <w:szCs w:val="22"/>
          <w:lang w:val="pt-BR"/>
        </w:rPr>
        <w:t>eficazmente</w:t>
      </w:r>
      <w:r w:rsidRPr="00D65A20">
        <w:rPr>
          <w:rFonts w:ascii="Times New Roman" w:hAnsi="Times New Roman"/>
          <w:color w:val="000000"/>
          <w:szCs w:val="22"/>
          <w:lang w:val="pt-BR"/>
        </w:rPr>
        <w:t xml:space="preserve"> a produção, o tráfico e a distribuição de drogas ilícitas de origem natural e sintética, incluindo as novas substâncias psicoativas (NSP) e as substâncias e precursores químicos utilizados em sua fabricação, mediante a adoção, por exemplo, de tecnologia de monitoramento e vigilância, identificação química e formação especializada que permitam tratar judicialmente comportamentos criminosos envolvendo drogas e precursores químicos,</w:t>
      </w:r>
      <w:r w:rsidRPr="00D65A20">
        <w:rPr>
          <w:rFonts w:ascii="Times New Roman" w:hAnsi="Times New Roman"/>
          <w:color w:val="FF0000"/>
          <w:szCs w:val="22"/>
          <w:lang w:val="pt-BR"/>
        </w:rPr>
        <w:t xml:space="preserve"> </w:t>
      </w:r>
      <w:r w:rsidRPr="00D65A20">
        <w:rPr>
          <w:rFonts w:ascii="Times New Roman" w:hAnsi="Times New Roman"/>
          <w:color w:val="000000"/>
          <w:szCs w:val="22"/>
          <w:lang w:val="pt-BR"/>
        </w:rPr>
        <w:t>bem como desenvolver e fortalecer as suas capacidades</w:t>
      </w:r>
      <w:r w:rsidR="004B513B" w:rsidRPr="00D65A20">
        <w:rPr>
          <w:rFonts w:ascii="Times New Roman" w:hAnsi="Times New Roman"/>
          <w:color w:val="000000"/>
          <w:szCs w:val="22"/>
          <w:lang w:val="pt-BR"/>
        </w:rPr>
        <w:t>, inclusive mediante cooperação internacional,</w:t>
      </w:r>
      <w:r w:rsidRPr="00D65A20">
        <w:rPr>
          <w:rFonts w:ascii="Times New Roman" w:hAnsi="Times New Roman"/>
          <w:color w:val="000000"/>
          <w:szCs w:val="22"/>
          <w:lang w:val="pt-BR"/>
        </w:rPr>
        <w:t xml:space="preserve"> para identificar e controlar modalidades emergentes, tais como o uso da internet, incluindo a </w:t>
      </w:r>
      <w:r w:rsidRPr="00D65A20">
        <w:rPr>
          <w:rFonts w:ascii="Times New Roman" w:hAnsi="Times New Roman"/>
          <w:i/>
          <w:iCs/>
          <w:color w:val="000000"/>
          <w:szCs w:val="22"/>
          <w:lang w:val="pt-BR"/>
        </w:rPr>
        <w:t>dark web</w:t>
      </w:r>
      <w:r w:rsidRPr="00D65A20">
        <w:rPr>
          <w:rFonts w:ascii="Times New Roman" w:hAnsi="Times New Roman"/>
          <w:color w:val="000000"/>
          <w:szCs w:val="22"/>
          <w:lang w:val="pt-BR"/>
        </w:rPr>
        <w:t>, dos sistemas de serviços postais e das criptomoedas, para a venda e distribuição de drogas ilícitas.</w:t>
      </w:r>
    </w:p>
    <w:p w14:paraId="6E83427A" w14:textId="77777777" w:rsidR="0011327F" w:rsidRPr="00D65A20" w:rsidRDefault="0011327F" w:rsidP="00AA4399">
      <w:pPr>
        <w:widowControl/>
        <w:rPr>
          <w:rFonts w:ascii="Times New Roman" w:hAnsi="Times New Roman"/>
          <w:szCs w:val="22"/>
          <w:lang w:val="pt-BR"/>
        </w:rPr>
      </w:pPr>
    </w:p>
    <w:p w14:paraId="6E83427B"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Promover a cooperação internacional a fim de fornecer assistência técnica e capacitação em apoio </w:t>
      </w:r>
      <w:r w:rsidRPr="00D65A20">
        <w:rPr>
          <w:rFonts w:ascii="Times New Roman" w:hAnsi="Times New Roman"/>
          <w:bCs/>
          <w:szCs w:val="22"/>
          <w:lang w:val="pt-BR"/>
        </w:rPr>
        <w:t>aos</w:t>
      </w:r>
      <w:r w:rsidRPr="00D65A20">
        <w:rPr>
          <w:rFonts w:ascii="Times New Roman" w:hAnsi="Times New Roman"/>
          <w:szCs w:val="22"/>
          <w:lang w:val="pt-BR"/>
        </w:rPr>
        <w:t xml:space="preserve"> esforços dos Estados membros para controlar o cultivo e a produção das drogas ilícitas que contribuem para o problema mundial das drogas.</w:t>
      </w:r>
    </w:p>
    <w:p w14:paraId="6E83427C" w14:textId="77777777" w:rsidR="0011327F" w:rsidRPr="00D65A20" w:rsidRDefault="0011327F" w:rsidP="00AA4399">
      <w:pPr>
        <w:widowControl/>
        <w:rPr>
          <w:rFonts w:ascii="Times New Roman" w:hAnsi="Times New Roman"/>
          <w:szCs w:val="22"/>
          <w:lang w:val="pt-BR"/>
        </w:rPr>
      </w:pPr>
    </w:p>
    <w:p w14:paraId="6E83427D"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Incentivar os Estados membros a que concebam, desenvolvam e fortaleçam os seus sistemas nacionais de alerta rápido (SAR) sobre NSP, drogas sintéticas e outras drogas emergentes, em coordenação com os SAR existentes nos âmbitos regional e global, e solicitar à SE/CICAD que forneça treinamento e assistência técnica para o fortalecimento de capacidades dos Estados membros no desenvolvimento dos </w:t>
      </w:r>
      <w:r w:rsidRPr="00D65A20">
        <w:rPr>
          <w:rFonts w:ascii="Times New Roman" w:hAnsi="Times New Roman"/>
          <w:bCs/>
          <w:szCs w:val="22"/>
          <w:lang w:val="pt-BR"/>
        </w:rPr>
        <w:t>SAR</w:t>
      </w:r>
      <w:r w:rsidRPr="00D65A20">
        <w:rPr>
          <w:rFonts w:ascii="Times New Roman" w:hAnsi="Times New Roman"/>
          <w:szCs w:val="22"/>
          <w:lang w:val="pt-BR"/>
        </w:rPr>
        <w:t>, incluindo apoio às entidades e agências correspondentes, sobre como utilizar as evidências no desenvolvimento de planos de ação nacionais para combater eficazmente as consequências adversas do uso indevido e do tráfico dessas substâncias.</w:t>
      </w:r>
    </w:p>
    <w:p w14:paraId="6E83427E" w14:textId="77777777" w:rsidR="0011327F" w:rsidRPr="00D65A20" w:rsidRDefault="0011327F" w:rsidP="00AA4399">
      <w:pPr>
        <w:widowControl/>
        <w:rPr>
          <w:rFonts w:ascii="Times New Roman" w:hAnsi="Times New Roman"/>
          <w:szCs w:val="22"/>
          <w:lang w:val="pt-BR"/>
        </w:rPr>
      </w:pPr>
    </w:p>
    <w:p w14:paraId="6E83427F" w14:textId="502BAC68"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Incentivar os Estados membros a que considerem a possibilidade de assinar ou ratificar a </w:t>
      </w:r>
      <w:r w:rsidR="00BC37F0" w:rsidRPr="00D65A20">
        <w:rPr>
          <w:rFonts w:ascii="Times New Roman" w:hAnsi="Times New Roman"/>
          <w:color w:val="000000"/>
          <w:szCs w:val="22"/>
          <w:lang w:val="pt-BR"/>
        </w:rPr>
        <w:t xml:space="preserve">Convenção </w:t>
      </w:r>
      <w:r w:rsidR="00A31648">
        <w:rPr>
          <w:rFonts w:ascii="Times New Roman" w:hAnsi="Times New Roman"/>
          <w:color w:val="000000"/>
          <w:szCs w:val="22"/>
          <w:lang w:val="pt-BR"/>
        </w:rPr>
        <w:t>de São José</w:t>
      </w:r>
      <w:r w:rsidRPr="00D65A20">
        <w:rPr>
          <w:rFonts w:ascii="Times New Roman" w:hAnsi="Times New Roman"/>
          <w:szCs w:val="22"/>
          <w:lang w:val="pt-BR"/>
        </w:rPr>
        <w:t>, dado que o tráfico marítimo de drogas constitui uma ameaça significativa e crescente na região, e solicitar à SE/CICAD que continue prestando, conforme necessário, assistência técnica e treinamento aos Estados membros em matéria de cooperação e controle do narcotráfico marítimo.</w:t>
      </w:r>
    </w:p>
    <w:p w14:paraId="6E834280" w14:textId="77777777" w:rsidR="0011327F" w:rsidRPr="00D65A20" w:rsidRDefault="0011327F" w:rsidP="00AA4399">
      <w:pPr>
        <w:widowControl/>
        <w:rPr>
          <w:rFonts w:ascii="Times New Roman" w:hAnsi="Times New Roman"/>
          <w:szCs w:val="22"/>
          <w:lang w:val="pt-BR"/>
        </w:rPr>
      </w:pPr>
    </w:p>
    <w:p w14:paraId="6E834281" w14:textId="30BA2F88" w:rsidR="0011327F" w:rsidRPr="00D65A20" w:rsidRDefault="0011327F" w:rsidP="00AA4399">
      <w:pPr>
        <w:widowControl/>
        <w:numPr>
          <w:ilvl w:val="0"/>
          <w:numId w:val="19"/>
        </w:numPr>
        <w:ind w:left="0"/>
        <w:rPr>
          <w:rFonts w:ascii="Times New Roman" w:hAnsi="Times New Roman"/>
          <w:bCs/>
          <w:szCs w:val="22"/>
          <w:lang w:val="pt-BR"/>
        </w:rPr>
      </w:pPr>
      <w:r w:rsidRPr="00D65A20">
        <w:rPr>
          <w:rFonts w:ascii="Times New Roman" w:hAnsi="Times New Roman"/>
          <w:szCs w:val="22"/>
          <w:lang w:val="pt-BR"/>
        </w:rPr>
        <w:lastRenderedPageBreak/>
        <w:t xml:space="preserve">Convidar os Estados membros a que </w:t>
      </w:r>
      <w:r w:rsidRPr="00D65A20">
        <w:rPr>
          <w:rFonts w:ascii="Times New Roman" w:hAnsi="Times New Roman"/>
          <w:bCs/>
          <w:szCs w:val="22"/>
          <w:lang w:val="pt-BR"/>
        </w:rPr>
        <w:t>apoiem a implementação da decisão do Sexagésimo Terceiro Período de Sessões da Comissão de Entorpecentes das Nações Unidas de continuar considerando as recomendações da Organização Mundial da Saúde sobre a cânabis e as substâncias a ela associadas, levando em conta sua complexidade, implicações, consequências e fundamentos. Do mesmo modo, solicitar à CICAD que continue promovendo o diálogo com organizações internacionais relevantes, a fim de aprofundar o entendimento técnico e as implicações dessas recomendações.</w:t>
      </w:r>
    </w:p>
    <w:p w14:paraId="6E834282" w14:textId="77777777" w:rsidR="0011327F" w:rsidRPr="00D65A20" w:rsidRDefault="0011327F" w:rsidP="00AA4399">
      <w:pPr>
        <w:widowControl/>
        <w:rPr>
          <w:rFonts w:ascii="Times New Roman" w:hAnsi="Times New Roman"/>
          <w:b/>
          <w:szCs w:val="22"/>
          <w:lang w:val="pt-BR"/>
        </w:rPr>
      </w:pPr>
    </w:p>
    <w:p w14:paraId="6E834283"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Promover a cooperação entre comissões nacionais de drogas, ministérios da saúde, instituições educacionais, </w:t>
      </w:r>
      <w:r w:rsidRPr="00D65A20">
        <w:rPr>
          <w:rFonts w:ascii="Times New Roman" w:hAnsi="Times New Roman"/>
          <w:bCs/>
          <w:szCs w:val="22"/>
          <w:lang w:val="pt-BR"/>
        </w:rPr>
        <w:t>sociedade</w:t>
      </w:r>
      <w:r w:rsidRPr="00D65A20">
        <w:rPr>
          <w:rFonts w:ascii="Times New Roman" w:hAnsi="Times New Roman"/>
          <w:szCs w:val="22"/>
          <w:lang w:val="pt-BR"/>
        </w:rPr>
        <w:t xml:space="preserve"> civil, atores do setor privado e outras instituições competentes nos Estados membros, com o objetivo de aprimorar os esforços para combater o problema mundial das drogas.</w:t>
      </w:r>
    </w:p>
    <w:p w14:paraId="6E834284" w14:textId="77777777" w:rsidR="0011327F" w:rsidRPr="00D65A20" w:rsidRDefault="0011327F" w:rsidP="00AA4399">
      <w:pPr>
        <w:widowControl/>
        <w:rPr>
          <w:rFonts w:ascii="Times New Roman" w:hAnsi="Times New Roman"/>
          <w:szCs w:val="22"/>
          <w:lang w:val="pt-BR"/>
        </w:rPr>
      </w:pPr>
    </w:p>
    <w:p w14:paraId="6E834285"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Continuar </w:t>
      </w:r>
      <w:r w:rsidRPr="00D65A20">
        <w:rPr>
          <w:rFonts w:ascii="Times New Roman" w:hAnsi="Times New Roman"/>
          <w:bCs/>
          <w:szCs w:val="22"/>
          <w:lang w:val="pt-BR"/>
        </w:rPr>
        <w:t>incentivando</w:t>
      </w:r>
      <w:r w:rsidRPr="00D65A20">
        <w:rPr>
          <w:rFonts w:ascii="Times New Roman" w:hAnsi="Times New Roman"/>
          <w:szCs w:val="22"/>
          <w:lang w:val="pt-BR"/>
        </w:rPr>
        <w:t xml:space="preserve"> os Estados membros a que apoiem o trabalho dos quatro grupos de peritos da CICAD (Redução da Demanda, Narcotráfico Marítimo, Produtos Químicos e Farmacêuticos, e Desenvolvimento Alternativo, Integral e Sustentável) e </w:t>
      </w:r>
      <w:r w:rsidRPr="00D65A20">
        <w:rPr>
          <w:rFonts w:ascii="Times New Roman" w:hAnsi="Times New Roman"/>
          <w:bCs/>
          <w:szCs w:val="22"/>
          <w:lang w:val="pt-BR"/>
        </w:rPr>
        <w:t xml:space="preserve">solicitar à </w:t>
      </w:r>
      <w:r w:rsidRPr="00D65A20">
        <w:rPr>
          <w:rFonts w:ascii="Times New Roman" w:hAnsi="Times New Roman"/>
          <w:szCs w:val="22"/>
          <w:lang w:val="pt-BR"/>
        </w:rPr>
        <w:t>SE/CICAD que, conforme necessário e quando possível, incentive e apoie a participação de peritos nacionais nas reuniões anuais dos grupos de peritos.</w:t>
      </w:r>
    </w:p>
    <w:p w14:paraId="6E834286" w14:textId="77777777" w:rsidR="0011327F" w:rsidRPr="00D65A20" w:rsidRDefault="0011327F" w:rsidP="00AA4399">
      <w:pPr>
        <w:widowControl/>
        <w:rPr>
          <w:rFonts w:ascii="Times New Roman" w:hAnsi="Times New Roman"/>
          <w:szCs w:val="22"/>
          <w:lang w:val="pt-BR"/>
        </w:rPr>
      </w:pPr>
    </w:p>
    <w:p w14:paraId="6E834287"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bCs/>
          <w:szCs w:val="22"/>
          <w:lang w:val="pt-BR"/>
        </w:rPr>
        <w:t>Solicitar à SE/CICAD que continue fomentando sinergias com outros organismos regionais, sub-regionais e internacionais, a fim de otimizar recursos e evitar a duplicação de esforços para enfrentar e combater o problema mundial das drogas.</w:t>
      </w:r>
    </w:p>
    <w:p w14:paraId="6E834288" w14:textId="77777777" w:rsidR="0011327F" w:rsidRPr="00D65A20" w:rsidRDefault="0011327F" w:rsidP="00AA4399">
      <w:pPr>
        <w:widowControl/>
        <w:rPr>
          <w:rFonts w:ascii="Times New Roman" w:hAnsi="Times New Roman"/>
          <w:szCs w:val="22"/>
          <w:lang w:val="pt-BR"/>
        </w:rPr>
      </w:pPr>
    </w:p>
    <w:p w14:paraId="6E834289" w14:textId="77777777" w:rsidR="0011327F" w:rsidRPr="00D65A20" w:rsidRDefault="0011327F" w:rsidP="00AA4399">
      <w:pPr>
        <w:widowControl/>
        <w:numPr>
          <w:ilvl w:val="0"/>
          <w:numId w:val="19"/>
        </w:numPr>
        <w:ind w:left="0"/>
        <w:rPr>
          <w:rFonts w:ascii="Times New Roman" w:hAnsi="Times New Roman"/>
          <w:szCs w:val="22"/>
          <w:lang w:val="pt-BR"/>
        </w:rPr>
      </w:pPr>
      <w:r w:rsidRPr="00D65A20">
        <w:rPr>
          <w:rFonts w:ascii="Times New Roman" w:hAnsi="Times New Roman"/>
          <w:szCs w:val="22"/>
          <w:lang w:val="pt-BR"/>
        </w:rPr>
        <w:t xml:space="preserve">Apoiar o fortalecimento da SE/CICAD e convidar os Estados membros, os Observadores Permanentes e </w:t>
      </w:r>
      <w:r w:rsidRPr="00D65A20">
        <w:rPr>
          <w:rFonts w:ascii="Times New Roman" w:hAnsi="Times New Roman"/>
          <w:bCs/>
          <w:szCs w:val="22"/>
          <w:lang w:val="pt-BR"/>
        </w:rPr>
        <w:t>outros</w:t>
      </w:r>
      <w:r w:rsidRPr="00D65A20">
        <w:rPr>
          <w:rFonts w:ascii="Times New Roman" w:hAnsi="Times New Roman"/>
          <w:szCs w:val="22"/>
          <w:lang w:val="pt-BR"/>
        </w:rPr>
        <w:t xml:space="preserve"> doadores internacionais a que continuem realizando contribuições voluntárias que lhe permitam cumprir suas metas.</w:t>
      </w:r>
    </w:p>
    <w:p w14:paraId="6E83428A" w14:textId="77777777" w:rsidR="0011327F" w:rsidRPr="00D65A20" w:rsidRDefault="0011327F" w:rsidP="00AA4399">
      <w:pPr>
        <w:widowControl/>
        <w:rPr>
          <w:rFonts w:ascii="Times New Roman" w:eastAsia="MS Mincho" w:hAnsi="Times New Roman"/>
          <w:szCs w:val="22"/>
          <w:lang w:val="pt-BR" w:eastAsia="es-ES_tradnl"/>
        </w:rPr>
      </w:pPr>
    </w:p>
    <w:p w14:paraId="6E83428B" w14:textId="77777777" w:rsidR="0011327F" w:rsidRPr="00D65A20" w:rsidRDefault="0011327F" w:rsidP="00AA4399">
      <w:pPr>
        <w:widowControl/>
        <w:numPr>
          <w:ilvl w:val="0"/>
          <w:numId w:val="19"/>
        </w:numPr>
        <w:ind w:left="0"/>
        <w:rPr>
          <w:rFonts w:ascii="Times New Roman" w:hAnsi="Times New Roman"/>
          <w:color w:val="000000"/>
          <w:szCs w:val="22"/>
          <w:lang w:val="pt-BR"/>
        </w:rPr>
      </w:pPr>
      <w:r w:rsidRPr="00D65A20">
        <w:rPr>
          <w:rFonts w:ascii="Times New Roman" w:hAnsi="Times New Roman"/>
          <w:szCs w:val="22"/>
          <w:lang w:val="pt-BR"/>
        </w:rPr>
        <w:t>Acolher e aceitar a oferta do Governo da República da Colômbia para ser sede do Sexagésimo Oitavo Período Ordinário de Sessões da CICAD, a realizar-se em novembro de 2020.</w:t>
      </w:r>
    </w:p>
    <w:p w14:paraId="6E83428C" w14:textId="4A3F3983" w:rsidR="0011327F" w:rsidRDefault="0011327F" w:rsidP="00AA4399">
      <w:pPr>
        <w:widowControl/>
        <w:rPr>
          <w:rFonts w:ascii="Times New Roman" w:hAnsi="Times New Roman"/>
          <w:color w:val="000000"/>
          <w:szCs w:val="22"/>
          <w:lang w:val="pt-BR"/>
        </w:rPr>
      </w:pPr>
    </w:p>
    <w:p w14:paraId="768E2736" w14:textId="77777777" w:rsidR="006D2791" w:rsidRPr="00D65A20" w:rsidRDefault="006D2791" w:rsidP="00AA4399">
      <w:pPr>
        <w:widowControl/>
        <w:rPr>
          <w:rFonts w:ascii="Times New Roman" w:hAnsi="Times New Roman"/>
          <w:color w:val="000000"/>
          <w:szCs w:val="22"/>
          <w:lang w:val="pt-BR"/>
        </w:rPr>
      </w:pPr>
    </w:p>
    <w:p w14:paraId="6E83428D" w14:textId="1553FA53" w:rsidR="0011327F" w:rsidRPr="00D65A20" w:rsidRDefault="0011327F" w:rsidP="00AA4399">
      <w:pPr>
        <w:widowControl/>
        <w:jc w:val="center"/>
        <w:rPr>
          <w:rFonts w:ascii="Times New Roman" w:hAnsi="Times New Roman"/>
          <w:color w:val="000000"/>
          <w:szCs w:val="22"/>
          <w:lang w:val="pt-BR"/>
        </w:rPr>
      </w:pPr>
      <w:r w:rsidRPr="00D65A20">
        <w:rPr>
          <w:rFonts w:ascii="Times New Roman" w:hAnsi="Times New Roman"/>
          <w:color w:val="000000"/>
          <w:szCs w:val="22"/>
          <w:lang w:val="pt-BR"/>
        </w:rPr>
        <w:t>II.</w:t>
      </w:r>
      <w:r w:rsidRPr="00D65A20">
        <w:rPr>
          <w:rFonts w:ascii="Times New Roman" w:hAnsi="Times New Roman"/>
          <w:color w:val="000000"/>
          <w:szCs w:val="22"/>
          <w:lang w:val="pt-BR"/>
        </w:rPr>
        <w:tab/>
        <w:t>ACOMPANHAMENTO E RELATÓRIOS</w:t>
      </w:r>
    </w:p>
    <w:p w14:paraId="6E83428E" w14:textId="77777777" w:rsidR="0011327F" w:rsidRPr="00D65A20" w:rsidRDefault="0011327F" w:rsidP="00AA4399">
      <w:pPr>
        <w:widowControl/>
        <w:rPr>
          <w:rFonts w:ascii="Times New Roman" w:hAnsi="Times New Roman"/>
          <w:color w:val="000000"/>
          <w:szCs w:val="22"/>
          <w:lang w:val="pt-BR"/>
        </w:rPr>
      </w:pPr>
    </w:p>
    <w:p w14:paraId="6E83428F" w14:textId="51B71206" w:rsidR="0011327F" w:rsidRPr="00D65A20" w:rsidRDefault="0011327F" w:rsidP="00AA4399">
      <w:pPr>
        <w:widowControl/>
        <w:numPr>
          <w:ilvl w:val="0"/>
          <w:numId w:val="19"/>
        </w:numPr>
        <w:ind w:left="0"/>
        <w:rPr>
          <w:rFonts w:ascii="Times New Roman" w:hAnsi="Times New Roman"/>
          <w:i/>
          <w:color w:val="000000"/>
          <w:szCs w:val="22"/>
          <w:lang w:val="pt-BR"/>
        </w:rPr>
      </w:pPr>
      <w:r w:rsidRPr="00D65A20">
        <w:rPr>
          <w:rFonts w:ascii="Times New Roman" w:hAnsi="Times New Roman"/>
          <w:color w:val="000000"/>
          <w:szCs w:val="22"/>
          <w:lang w:val="pt-BR"/>
        </w:rPr>
        <w:t>Solicitar que a CSH revise</w:t>
      </w:r>
      <w:r w:rsidRPr="00D65A20">
        <w:rPr>
          <w:rFonts w:ascii="Times New Roman" w:hAnsi="Times New Roman"/>
          <w:szCs w:val="22"/>
          <w:lang w:val="pt-BR"/>
        </w:rPr>
        <w:t xml:space="preserve">, no segundo semestre de </w:t>
      </w:r>
      <w:r w:rsidRPr="00D65A20">
        <w:rPr>
          <w:rFonts w:ascii="Times New Roman" w:hAnsi="Times New Roman"/>
          <w:color w:val="000000"/>
          <w:szCs w:val="22"/>
          <w:lang w:val="pt-BR"/>
        </w:rPr>
        <w:t>2020, a Lista de Pontos de Contato Nacionais e Autoridades Nacionais</w:t>
      </w:r>
      <w:r w:rsidR="00BC37F0" w:rsidRPr="00D65A20">
        <w:rPr>
          <w:rFonts w:ascii="Times New Roman" w:hAnsi="Times New Roman"/>
          <w:color w:val="000000"/>
          <w:szCs w:val="22"/>
          <w:lang w:val="pt-BR"/>
        </w:rPr>
        <w:t xml:space="preserve"> por Áreas Temáticas</w:t>
      </w:r>
      <w:r w:rsidRPr="00D65A20">
        <w:rPr>
          <w:rFonts w:ascii="Times New Roman" w:hAnsi="Times New Roman"/>
          <w:color w:val="000000"/>
          <w:szCs w:val="22"/>
          <w:lang w:val="pt-BR"/>
        </w:rPr>
        <w:t xml:space="preserve"> (documento </w:t>
      </w:r>
      <w:hyperlink r:id="rId32" w:history="1">
        <w:r w:rsidRPr="00D65A20">
          <w:rPr>
            <w:rFonts w:ascii="Times New Roman" w:hAnsi="Times New Roman"/>
            <w:color w:val="0000FF"/>
            <w:u w:val="single"/>
            <w:lang w:val="pt-BR"/>
          </w:rPr>
          <w:t>CP/CSH-1984/20</w:t>
        </w:r>
      </w:hyperlink>
      <w:r w:rsidRPr="00D65A20">
        <w:rPr>
          <w:rFonts w:ascii="Times New Roman" w:hAnsi="Times New Roman"/>
          <w:szCs w:val="22"/>
          <w:lang w:val="pt-BR"/>
        </w:rPr>
        <w:t xml:space="preserve">), a fim de consolidar </w:t>
      </w:r>
      <w:r w:rsidRPr="00D65A20">
        <w:rPr>
          <w:rFonts w:ascii="Times New Roman" w:hAnsi="Times New Roman"/>
          <w:color w:val="000000"/>
          <w:szCs w:val="22"/>
          <w:lang w:val="pt-BR"/>
        </w:rPr>
        <w:t>as autoridades/pontos de contato nacionais que trabalham em diversos temas de segurança; enviar avisos anuais aos Estados membros para a atualização e validação dos dados recebidos; e proporcionar acesso aos Estados membros aos referidos registros.</w:t>
      </w:r>
    </w:p>
    <w:p w14:paraId="6E834290" w14:textId="77777777" w:rsidR="00A544BF" w:rsidRPr="00D65A20" w:rsidRDefault="00A544BF" w:rsidP="00A544BF">
      <w:pPr>
        <w:widowControl/>
        <w:rPr>
          <w:rFonts w:ascii="Times New Roman" w:hAnsi="Times New Roman"/>
          <w:i/>
          <w:color w:val="000000"/>
          <w:szCs w:val="22"/>
          <w:lang w:val="pt-BR"/>
        </w:rPr>
      </w:pPr>
    </w:p>
    <w:p w14:paraId="6E834291" w14:textId="77777777" w:rsidR="0011327F" w:rsidRPr="00D65A20" w:rsidRDefault="0011327F" w:rsidP="00AA4399">
      <w:pPr>
        <w:widowControl/>
        <w:numPr>
          <w:ilvl w:val="0"/>
          <w:numId w:val="19"/>
        </w:numPr>
        <w:ind w:left="0"/>
        <w:rPr>
          <w:rFonts w:ascii="Times New Roman" w:hAnsi="Times New Roman"/>
          <w:color w:val="000000"/>
          <w:szCs w:val="22"/>
          <w:lang w:val="pt-BR"/>
        </w:rPr>
      </w:pPr>
      <w:r w:rsidRPr="00D65A20">
        <w:rPr>
          <w:rFonts w:ascii="Times New Roman" w:hAnsi="Times New Roman"/>
          <w:color w:val="000000"/>
          <w:szCs w:val="22"/>
          <w:lang w:val="pt-BR"/>
        </w:rPr>
        <w:t xml:space="preserve">Encarregar a SSM de apresentar anualmente à CSH, no início de cada período, o plano das atividades que serão realizadas para consultas ou adequada supervisão </w:t>
      </w:r>
      <w:r w:rsidR="00BC37F0" w:rsidRPr="00D65A20">
        <w:rPr>
          <w:rFonts w:ascii="Times New Roman" w:hAnsi="Times New Roman"/>
          <w:color w:val="000000"/>
          <w:szCs w:val="22"/>
          <w:lang w:val="pt-BR"/>
        </w:rPr>
        <w:t xml:space="preserve">por parte </w:t>
      </w:r>
      <w:r w:rsidRPr="00D65A20">
        <w:rPr>
          <w:rFonts w:ascii="Times New Roman" w:hAnsi="Times New Roman"/>
          <w:color w:val="000000"/>
          <w:szCs w:val="22"/>
          <w:lang w:val="pt-BR"/>
        </w:rPr>
        <w:t>dos Estados membros.</w:t>
      </w:r>
    </w:p>
    <w:p w14:paraId="6E834292" w14:textId="77777777" w:rsidR="0011327F" w:rsidRPr="00D65A20" w:rsidRDefault="0011327F" w:rsidP="00AA4399">
      <w:pPr>
        <w:widowControl/>
        <w:rPr>
          <w:rFonts w:ascii="Times New Roman" w:hAnsi="Times New Roman"/>
          <w:color w:val="000000"/>
          <w:szCs w:val="22"/>
          <w:lang w:val="pt-BR"/>
        </w:rPr>
      </w:pPr>
    </w:p>
    <w:p w14:paraId="6E834293" w14:textId="77777777" w:rsidR="0011327F" w:rsidRPr="00D65A20" w:rsidRDefault="0011327F" w:rsidP="00AA4399">
      <w:pPr>
        <w:widowControl/>
        <w:numPr>
          <w:ilvl w:val="0"/>
          <w:numId w:val="19"/>
        </w:numPr>
        <w:ind w:left="0"/>
        <w:rPr>
          <w:rFonts w:ascii="Times New Roman" w:eastAsia="MS Mincho" w:hAnsi="Times New Roman"/>
          <w:color w:val="000000"/>
          <w:szCs w:val="22"/>
          <w:lang w:val="pt-BR" w:eastAsia="es-ES_tradnl"/>
        </w:rPr>
      </w:pPr>
      <w:r w:rsidRPr="00D65A20">
        <w:rPr>
          <w:rFonts w:ascii="Times New Roman" w:hAnsi="Times New Roman"/>
          <w:color w:val="000000"/>
          <w:szCs w:val="22"/>
          <w:lang w:val="pt-BR"/>
        </w:rPr>
        <w:t xml:space="preserve">Solicitar ao Conselho Permanente que informe a Assembleia Geral, no Quinquagésimo Primeiro Período </w:t>
      </w:r>
      <w:r w:rsidRPr="00D65A20">
        <w:rPr>
          <w:rFonts w:ascii="Times New Roman" w:hAnsi="Times New Roman"/>
          <w:bCs/>
          <w:szCs w:val="22"/>
          <w:lang w:val="pt-BR"/>
        </w:rPr>
        <w:t>Ordinário</w:t>
      </w:r>
      <w:r w:rsidRPr="00D65A20">
        <w:rPr>
          <w:rFonts w:ascii="Times New Roman" w:hAnsi="Times New Roman"/>
          <w:color w:val="000000"/>
          <w:szCs w:val="22"/>
          <w:lang w:val="pt-BR"/>
        </w:rPr>
        <w:t xml:space="preserve"> de Sessões, sobre a implementação da presente resolução. A execução das atividades previstas nesta resolução estará sujeita à disponibilidade de recursos financeiros no orçamento-programa da Organização e de outros recursos.</w:t>
      </w:r>
    </w:p>
    <w:p w14:paraId="6E834295" w14:textId="77777777" w:rsidR="0011327F" w:rsidRPr="00D65A20" w:rsidRDefault="0011327F" w:rsidP="00AA4399">
      <w:pPr>
        <w:widowControl/>
        <w:numPr>
          <w:ilvl w:val="0"/>
          <w:numId w:val="19"/>
        </w:numPr>
        <w:ind w:left="0"/>
        <w:rPr>
          <w:rFonts w:ascii="Times New Roman" w:eastAsia="MS Mincho" w:hAnsi="Times New Roman"/>
          <w:color w:val="000000"/>
          <w:szCs w:val="22"/>
          <w:lang w:val="pt-BR" w:eastAsia="es-ES_tradnl"/>
        </w:rPr>
      </w:pPr>
      <w:r w:rsidRPr="00D65A20">
        <w:rPr>
          <w:rFonts w:ascii="Times New Roman" w:hAnsi="Times New Roman"/>
          <w:color w:val="000000"/>
          <w:szCs w:val="22"/>
          <w:lang w:val="pt-BR"/>
        </w:rPr>
        <w:lastRenderedPageBreak/>
        <w:t xml:space="preserve">Agradecer aos Estados </w:t>
      </w:r>
      <w:r w:rsidRPr="00D65A20">
        <w:rPr>
          <w:rFonts w:ascii="Times New Roman" w:hAnsi="Times New Roman"/>
          <w:bCs/>
          <w:szCs w:val="22"/>
          <w:lang w:val="pt-BR"/>
        </w:rPr>
        <w:t>membros</w:t>
      </w:r>
      <w:r w:rsidRPr="00D65A20">
        <w:rPr>
          <w:rFonts w:ascii="Times New Roman" w:hAnsi="Times New Roman"/>
          <w:color w:val="000000"/>
          <w:szCs w:val="22"/>
          <w:lang w:val="pt-BR"/>
        </w:rPr>
        <w:t>, aos Observadores Permanentes e aos parceiros colaboradores a importante participação e as contribuições financeiras que apoiam a formulação, a implementação e a avaliação dos programas e projetos no âmbito da segurança hemisférica.</w:t>
      </w:r>
    </w:p>
    <w:p w14:paraId="6E834296" w14:textId="46832D8A" w:rsidR="0011327F" w:rsidRDefault="0011327F" w:rsidP="00AA4399">
      <w:pPr>
        <w:widowControl/>
        <w:rPr>
          <w:rFonts w:ascii="Times New Roman" w:eastAsia="MS Mincho" w:hAnsi="Times New Roman"/>
          <w:color w:val="000000"/>
          <w:szCs w:val="22"/>
          <w:lang w:val="pt-BR" w:eastAsia="es-ES_tradnl"/>
        </w:rPr>
      </w:pPr>
    </w:p>
    <w:p w14:paraId="3176E8C4" w14:textId="77777777" w:rsidR="006D2791" w:rsidRPr="00D65A20" w:rsidRDefault="006D2791" w:rsidP="00AA4399">
      <w:pPr>
        <w:widowControl/>
        <w:rPr>
          <w:rFonts w:ascii="Times New Roman" w:eastAsia="MS Mincho" w:hAnsi="Times New Roman"/>
          <w:color w:val="000000"/>
          <w:szCs w:val="22"/>
          <w:lang w:val="pt-BR" w:eastAsia="es-ES_tradnl"/>
        </w:rPr>
      </w:pPr>
    </w:p>
    <w:p w14:paraId="6E834298" w14:textId="77777777" w:rsidR="0011327F" w:rsidRPr="00D65A20" w:rsidRDefault="0011327F" w:rsidP="00AA4399">
      <w:pPr>
        <w:widowControl/>
        <w:jc w:val="center"/>
        <w:rPr>
          <w:rFonts w:ascii="Times New Roman" w:hAnsi="Times New Roman"/>
          <w:color w:val="000000"/>
          <w:szCs w:val="22"/>
          <w:lang w:val="pt-BR"/>
        </w:rPr>
      </w:pPr>
      <w:r w:rsidRPr="00D65A20">
        <w:rPr>
          <w:rFonts w:ascii="Times New Roman" w:hAnsi="Times New Roman"/>
          <w:color w:val="000000"/>
          <w:szCs w:val="22"/>
          <w:lang w:val="pt-BR"/>
        </w:rPr>
        <w:t>III.</w:t>
      </w:r>
      <w:r w:rsidRPr="00D65A20">
        <w:rPr>
          <w:rFonts w:ascii="Times New Roman" w:hAnsi="Times New Roman"/>
          <w:color w:val="000000"/>
          <w:szCs w:val="22"/>
          <w:lang w:val="pt-BR"/>
        </w:rPr>
        <w:tab/>
        <w:t>CALENDÁRIO DE REUNIÕES E EVENTOS ESPECIAIS</w:t>
      </w:r>
      <w:r w:rsidRPr="00D65A20">
        <w:rPr>
          <w:rFonts w:ascii="Times New Roman" w:hAnsi="Times New Roman"/>
          <w:color w:val="000000"/>
          <w:szCs w:val="22"/>
          <w:u w:val="single"/>
          <w:vertAlign w:val="superscript"/>
          <w:lang w:val="pt-BR"/>
        </w:rPr>
        <w:footnoteReference w:id="29"/>
      </w:r>
      <w:r w:rsidRPr="00D65A20">
        <w:rPr>
          <w:rFonts w:ascii="Times New Roman" w:hAnsi="Times New Roman"/>
          <w:color w:val="000000"/>
          <w:szCs w:val="22"/>
          <w:vertAlign w:val="superscript"/>
          <w:lang w:val="pt-BR"/>
        </w:rPr>
        <w:t>/</w:t>
      </w:r>
    </w:p>
    <w:p w14:paraId="6E834299" w14:textId="77777777" w:rsidR="0011327F" w:rsidRPr="00D65A20" w:rsidRDefault="0011327F" w:rsidP="00AA4399">
      <w:pPr>
        <w:widowControl/>
        <w:rPr>
          <w:rFonts w:ascii="Times New Roman" w:hAnsi="Times New Roman"/>
          <w:szCs w:val="22"/>
          <w:lang w:val="pt-BR"/>
        </w:rPr>
      </w:pPr>
    </w:p>
    <w:tbl>
      <w:tblPr>
        <w:tblW w:w="9346" w:type="dxa"/>
        <w:shd w:val="clear" w:color="auto" w:fill="FFFFFF"/>
        <w:tblCellMar>
          <w:left w:w="0" w:type="dxa"/>
          <w:right w:w="0" w:type="dxa"/>
        </w:tblCellMar>
        <w:tblLook w:val="04A0" w:firstRow="1" w:lastRow="0" w:firstColumn="1" w:lastColumn="0" w:noHBand="0" w:noVBand="1"/>
      </w:tblPr>
      <w:tblGrid>
        <w:gridCol w:w="1469"/>
        <w:gridCol w:w="1536"/>
        <w:gridCol w:w="1616"/>
        <w:gridCol w:w="2961"/>
        <w:gridCol w:w="1764"/>
      </w:tblGrid>
      <w:tr w:rsidR="0011327F" w:rsidRPr="00D65A20" w14:paraId="6E83429F" w14:textId="77777777" w:rsidTr="0011327F">
        <w:trPr>
          <w:tblHeader/>
        </w:trPr>
        <w:tc>
          <w:tcPr>
            <w:tcW w:w="14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83429A" w14:textId="77777777" w:rsidR="0011327F" w:rsidRPr="00D65A20" w:rsidRDefault="0011327F" w:rsidP="00AA4399">
            <w:pPr>
              <w:widowControl/>
              <w:jc w:val="center"/>
              <w:rPr>
                <w:rFonts w:ascii="Times New Roman" w:eastAsia="SimSun" w:hAnsi="Times New Roman"/>
                <w:color w:val="000000"/>
                <w:szCs w:val="22"/>
                <w:lang w:val="pt-BR" w:eastAsia="zh-CN"/>
              </w:rPr>
            </w:pPr>
            <w:r w:rsidRPr="00D65A20">
              <w:rPr>
                <w:rFonts w:ascii="Times New Roman" w:eastAsia="SimSun" w:hAnsi="Times New Roman"/>
                <w:color w:val="000000"/>
                <w:szCs w:val="22"/>
                <w:lang w:val="pt-BR" w:eastAsia="zh-CN"/>
              </w:rPr>
              <w:t>Sequência numérica temporal</w:t>
            </w:r>
          </w:p>
        </w:tc>
        <w:tc>
          <w:tcPr>
            <w:tcW w:w="15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E83429B" w14:textId="77777777" w:rsidR="0011327F" w:rsidRPr="00D65A20" w:rsidRDefault="0011327F" w:rsidP="00AA4399">
            <w:pPr>
              <w:widowControl/>
              <w:jc w:val="center"/>
              <w:rPr>
                <w:rFonts w:ascii="Times New Roman" w:eastAsia="SimSun" w:hAnsi="Times New Roman"/>
                <w:color w:val="000000"/>
                <w:szCs w:val="22"/>
                <w:lang w:val="pt-BR" w:eastAsia="zh-CN"/>
              </w:rPr>
            </w:pPr>
            <w:r w:rsidRPr="00D65A20">
              <w:rPr>
                <w:rFonts w:ascii="Times New Roman" w:eastAsia="SimSun" w:hAnsi="Times New Roman"/>
                <w:color w:val="000000"/>
                <w:szCs w:val="22"/>
                <w:lang w:val="pt-BR" w:eastAsia="zh-CN"/>
              </w:rPr>
              <w:t>Tema</w:t>
            </w:r>
          </w:p>
        </w:tc>
        <w:tc>
          <w:tcPr>
            <w:tcW w:w="16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E83429C" w14:textId="77777777" w:rsidR="0011327F" w:rsidRPr="00D65A20" w:rsidRDefault="0011327F" w:rsidP="00AA4399">
            <w:pPr>
              <w:widowControl/>
              <w:jc w:val="center"/>
              <w:rPr>
                <w:rFonts w:ascii="Times New Roman" w:eastAsia="SimSun" w:hAnsi="Times New Roman"/>
                <w:color w:val="000000"/>
                <w:szCs w:val="22"/>
                <w:lang w:val="pt-BR" w:eastAsia="zh-CN"/>
              </w:rPr>
            </w:pPr>
            <w:r w:rsidRPr="00D65A20">
              <w:rPr>
                <w:rFonts w:ascii="Times New Roman" w:eastAsia="SimSun" w:hAnsi="Times New Roman"/>
                <w:color w:val="000000"/>
                <w:szCs w:val="22"/>
                <w:lang w:val="pt-BR" w:eastAsia="zh-CN"/>
              </w:rPr>
              <w:t>Data estimada</w:t>
            </w:r>
          </w:p>
        </w:tc>
        <w:tc>
          <w:tcPr>
            <w:tcW w:w="29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E83429D" w14:textId="77777777" w:rsidR="0011327F" w:rsidRPr="00D65A20" w:rsidRDefault="0011327F" w:rsidP="00AA4399">
            <w:pPr>
              <w:widowControl/>
              <w:jc w:val="center"/>
              <w:rPr>
                <w:rFonts w:ascii="Times New Roman" w:eastAsia="SimSun" w:hAnsi="Times New Roman"/>
                <w:color w:val="000000"/>
                <w:szCs w:val="22"/>
                <w:lang w:val="pt-BR" w:eastAsia="zh-CN"/>
              </w:rPr>
            </w:pPr>
            <w:r w:rsidRPr="00D65A20">
              <w:rPr>
                <w:rFonts w:ascii="Times New Roman" w:eastAsia="SimSun" w:hAnsi="Times New Roman"/>
                <w:color w:val="000000"/>
                <w:szCs w:val="22"/>
                <w:lang w:val="pt-BR" w:eastAsia="zh-CN"/>
              </w:rPr>
              <w:t>Nome</w:t>
            </w:r>
          </w:p>
        </w:tc>
        <w:tc>
          <w:tcPr>
            <w:tcW w:w="17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E83429E" w14:textId="77777777" w:rsidR="0011327F" w:rsidRPr="00D65A20" w:rsidRDefault="0011327F" w:rsidP="00AA4399">
            <w:pPr>
              <w:widowControl/>
              <w:jc w:val="center"/>
              <w:rPr>
                <w:rFonts w:ascii="Times New Roman" w:eastAsia="SimSun" w:hAnsi="Times New Roman"/>
                <w:color w:val="000000"/>
                <w:szCs w:val="22"/>
                <w:lang w:val="pt-BR" w:eastAsia="zh-CN"/>
              </w:rPr>
            </w:pPr>
            <w:r w:rsidRPr="00D65A20">
              <w:rPr>
                <w:rFonts w:ascii="Times New Roman" w:eastAsia="SimSun" w:hAnsi="Times New Roman"/>
                <w:color w:val="000000"/>
                <w:szCs w:val="22"/>
                <w:lang w:val="pt-BR" w:eastAsia="zh-CN"/>
              </w:rPr>
              <w:t>Lugar</w:t>
            </w:r>
          </w:p>
        </w:tc>
      </w:tr>
      <w:tr w:rsidR="0011327F" w:rsidRPr="00D65A20" w14:paraId="6E8342A5" w14:textId="77777777" w:rsidTr="0011327F">
        <w:tc>
          <w:tcPr>
            <w:tcW w:w="14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8342A0" w14:textId="77777777" w:rsidR="0011327F" w:rsidRPr="00D65A20" w:rsidRDefault="0011327F" w:rsidP="00AA4399">
            <w:pPr>
              <w:widowControl/>
              <w:jc w:val="center"/>
              <w:rPr>
                <w:rFonts w:ascii="Times New Roman" w:hAnsi="Times New Roman"/>
                <w:szCs w:val="22"/>
                <w:lang w:val="pt-BR"/>
              </w:rPr>
            </w:pPr>
            <w:r w:rsidRPr="00D65A20">
              <w:rPr>
                <w:rFonts w:ascii="Times New Roman" w:hAnsi="Times New Roman"/>
                <w:szCs w:val="22"/>
                <w:lang w:val="pt-BR"/>
              </w:rPr>
              <w:t>1</w:t>
            </w:r>
          </w:p>
        </w:tc>
        <w:tc>
          <w:tcPr>
            <w:tcW w:w="1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342A1" w14:textId="77777777" w:rsidR="0011327F" w:rsidRPr="00D65A20" w:rsidRDefault="0011327F" w:rsidP="00AA4399">
            <w:pPr>
              <w:widowControl/>
              <w:jc w:val="left"/>
              <w:rPr>
                <w:rFonts w:ascii="Times New Roman" w:hAnsi="Times New Roman"/>
                <w:szCs w:val="22"/>
                <w:lang w:val="pt-BR"/>
              </w:rPr>
            </w:pPr>
            <w:r w:rsidRPr="00D65A20">
              <w:rPr>
                <w:rFonts w:ascii="Times New Roman" w:hAnsi="Times New Roman"/>
                <w:szCs w:val="22"/>
                <w:lang w:val="pt-BR"/>
              </w:rPr>
              <w:t>CMDA</w:t>
            </w:r>
          </w:p>
        </w:tc>
        <w:tc>
          <w:tcPr>
            <w:tcW w:w="1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342A2" w14:textId="77777777" w:rsidR="0011327F" w:rsidRPr="00D65A20" w:rsidRDefault="0011327F" w:rsidP="00AA4399">
            <w:pPr>
              <w:widowControl/>
              <w:jc w:val="left"/>
              <w:rPr>
                <w:rFonts w:ascii="Times New Roman" w:hAnsi="Times New Roman"/>
                <w:szCs w:val="22"/>
                <w:lang w:val="pt-BR"/>
              </w:rPr>
            </w:pPr>
            <w:r w:rsidRPr="00D65A20">
              <w:rPr>
                <w:rFonts w:ascii="Times New Roman" w:hAnsi="Times New Roman"/>
                <w:szCs w:val="22"/>
                <w:lang w:val="pt-BR"/>
              </w:rPr>
              <w:t>Novembro 2020</w:t>
            </w:r>
          </w:p>
        </w:tc>
        <w:tc>
          <w:tcPr>
            <w:tcW w:w="2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342A3" w14:textId="77777777" w:rsidR="0011327F" w:rsidRPr="00D65A20" w:rsidRDefault="0011327F" w:rsidP="00AA4399">
            <w:pPr>
              <w:widowControl/>
              <w:jc w:val="left"/>
              <w:rPr>
                <w:rFonts w:ascii="Times New Roman" w:eastAsia="MS Mincho" w:hAnsi="Times New Roman"/>
                <w:szCs w:val="22"/>
                <w:lang w:val="pt-BR" w:eastAsia="es-ES_tradnl"/>
              </w:rPr>
            </w:pPr>
            <w:r w:rsidRPr="00D65A20">
              <w:rPr>
                <w:rFonts w:ascii="Times New Roman" w:eastAsia="MS Mincho" w:hAnsi="Times New Roman"/>
                <w:szCs w:val="22"/>
                <w:lang w:val="pt-BR" w:eastAsia="es-ES_tradnl"/>
              </w:rPr>
              <w:t>Décima Quarta Conferência de Ministros da Defesa das Américas</w:t>
            </w:r>
          </w:p>
        </w:tc>
        <w:tc>
          <w:tcPr>
            <w:tcW w:w="1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342A4" w14:textId="77777777" w:rsidR="0011327F" w:rsidRPr="00D65A20" w:rsidRDefault="0011327F" w:rsidP="00AA4399">
            <w:pPr>
              <w:widowControl/>
              <w:jc w:val="left"/>
              <w:rPr>
                <w:rFonts w:ascii="Times New Roman" w:hAnsi="Times New Roman"/>
                <w:szCs w:val="22"/>
                <w:lang w:val="pt-BR"/>
              </w:rPr>
            </w:pPr>
            <w:r w:rsidRPr="00D65A20">
              <w:rPr>
                <w:rFonts w:ascii="Times New Roman" w:hAnsi="Times New Roman"/>
                <w:szCs w:val="22"/>
                <w:lang w:val="pt-BR"/>
              </w:rPr>
              <w:t>Virtual</w:t>
            </w:r>
          </w:p>
        </w:tc>
      </w:tr>
      <w:tr w:rsidR="0011327F" w:rsidRPr="00D65A20" w14:paraId="6E8342AB" w14:textId="77777777" w:rsidTr="0011327F">
        <w:tc>
          <w:tcPr>
            <w:tcW w:w="14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8342A6" w14:textId="77777777" w:rsidR="0011327F" w:rsidRPr="00D65A20" w:rsidRDefault="0011327F" w:rsidP="00AA4399">
            <w:pPr>
              <w:widowControl/>
              <w:jc w:val="center"/>
              <w:rPr>
                <w:rFonts w:ascii="Times New Roman" w:eastAsia="SimSun" w:hAnsi="Times New Roman"/>
                <w:szCs w:val="22"/>
                <w:lang w:val="pt-BR" w:eastAsia="zh-CN"/>
              </w:rPr>
            </w:pPr>
            <w:r w:rsidRPr="00D65A20">
              <w:rPr>
                <w:rFonts w:ascii="Times New Roman" w:hAnsi="Times New Roman"/>
                <w:szCs w:val="22"/>
                <w:lang w:val="pt-BR"/>
              </w:rPr>
              <w:t>2</w:t>
            </w:r>
          </w:p>
        </w:tc>
        <w:tc>
          <w:tcPr>
            <w:tcW w:w="1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342A7" w14:textId="77777777" w:rsidR="0011327F" w:rsidRPr="00D65A20" w:rsidRDefault="0011327F" w:rsidP="00AA4399">
            <w:pPr>
              <w:widowControl/>
              <w:jc w:val="left"/>
              <w:rPr>
                <w:rFonts w:ascii="Times New Roman" w:eastAsia="SimSun" w:hAnsi="Times New Roman"/>
                <w:szCs w:val="22"/>
                <w:lang w:val="pt-BR" w:eastAsia="zh-CN"/>
              </w:rPr>
            </w:pPr>
            <w:r w:rsidRPr="00D65A20">
              <w:rPr>
                <w:rFonts w:ascii="Times New Roman" w:hAnsi="Times New Roman"/>
                <w:szCs w:val="22"/>
                <w:lang w:val="pt-BR"/>
              </w:rPr>
              <w:t>CICAD</w:t>
            </w:r>
          </w:p>
        </w:tc>
        <w:tc>
          <w:tcPr>
            <w:tcW w:w="1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342A8" w14:textId="77777777" w:rsidR="0011327F" w:rsidRPr="00D65A20" w:rsidRDefault="0011327F" w:rsidP="00AA4399">
            <w:pPr>
              <w:widowControl/>
              <w:jc w:val="left"/>
              <w:rPr>
                <w:rFonts w:ascii="Times New Roman" w:eastAsia="SimSun" w:hAnsi="Times New Roman"/>
                <w:szCs w:val="22"/>
                <w:lang w:val="pt-BR" w:eastAsia="zh-CN"/>
              </w:rPr>
            </w:pPr>
            <w:r w:rsidRPr="00D65A20">
              <w:rPr>
                <w:rFonts w:ascii="Times New Roman" w:hAnsi="Times New Roman"/>
                <w:szCs w:val="22"/>
                <w:lang w:val="pt-BR"/>
              </w:rPr>
              <w:t>Dezembro 2020</w:t>
            </w:r>
          </w:p>
        </w:tc>
        <w:tc>
          <w:tcPr>
            <w:tcW w:w="2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342A9" w14:textId="77777777" w:rsidR="0011327F" w:rsidRPr="00D65A20" w:rsidRDefault="0011327F" w:rsidP="002C6760">
            <w:pPr>
              <w:widowControl/>
              <w:jc w:val="left"/>
              <w:rPr>
                <w:rFonts w:ascii="Times New Roman" w:eastAsia="SimSun" w:hAnsi="Times New Roman"/>
                <w:szCs w:val="22"/>
                <w:lang w:val="pt-BR" w:eastAsia="zh-CN"/>
              </w:rPr>
            </w:pPr>
            <w:r w:rsidRPr="00D65A20">
              <w:rPr>
                <w:rFonts w:ascii="Times New Roman" w:eastAsia="MS Mincho" w:hAnsi="Times New Roman"/>
                <w:szCs w:val="22"/>
                <w:lang w:val="pt-BR" w:eastAsia="es-ES_tradnl"/>
              </w:rPr>
              <w:t xml:space="preserve">Sexagésimo </w:t>
            </w:r>
            <w:r w:rsidR="002C6760" w:rsidRPr="00D65A20">
              <w:rPr>
                <w:rFonts w:ascii="Times New Roman" w:eastAsia="MS Mincho" w:hAnsi="Times New Roman"/>
                <w:szCs w:val="22"/>
                <w:lang w:val="pt-BR" w:eastAsia="es-ES_tradnl"/>
              </w:rPr>
              <w:t xml:space="preserve">Oitavo Período Ordinário </w:t>
            </w:r>
            <w:r w:rsidRPr="00D65A20">
              <w:rPr>
                <w:rFonts w:ascii="Times New Roman" w:eastAsia="MS Mincho" w:hAnsi="Times New Roman"/>
                <w:szCs w:val="22"/>
                <w:lang w:val="pt-BR" w:eastAsia="es-ES_tradnl"/>
              </w:rPr>
              <w:t xml:space="preserve">de </w:t>
            </w:r>
            <w:r w:rsidR="002C6760" w:rsidRPr="00D65A20">
              <w:rPr>
                <w:rFonts w:ascii="Times New Roman" w:eastAsia="MS Mincho" w:hAnsi="Times New Roman"/>
                <w:szCs w:val="22"/>
                <w:lang w:val="pt-BR" w:eastAsia="es-ES_tradnl"/>
              </w:rPr>
              <w:t>S</w:t>
            </w:r>
            <w:r w:rsidRPr="00D65A20">
              <w:rPr>
                <w:rFonts w:ascii="Times New Roman" w:eastAsia="MS Mincho" w:hAnsi="Times New Roman"/>
                <w:szCs w:val="22"/>
                <w:lang w:val="pt-BR" w:eastAsia="es-ES_tradnl"/>
              </w:rPr>
              <w:t>essões da CICAD</w:t>
            </w:r>
          </w:p>
        </w:tc>
        <w:tc>
          <w:tcPr>
            <w:tcW w:w="1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342AA" w14:textId="77777777" w:rsidR="0011327F" w:rsidRPr="00D65A20" w:rsidRDefault="0011327F" w:rsidP="00AA4399">
            <w:pPr>
              <w:widowControl/>
              <w:jc w:val="left"/>
              <w:rPr>
                <w:rFonts w:ascii="Times New Roman" w:eastAsia="SimSun" w:hAnsi="Times New Roman"/>
                <w:szCs w:val="22"/>
                <w:lang w:val="pt-BR" w:eastAsia="zh-CN"/>
              </w:rPr>
            </w:pPr>
            <w:r w:rsidRPr="00D65A20">
              <w:rPr>
                <w:rFonts w:ascii="Times New Roman" w:eastAsia="SimSun" w:hAnsi="Times New Roman"/>
                <w:szCs w:val="22"/>
                <w:lang w:val="pt-BR" w:eastAsia="zh-CN"/>
              </w:rPr>
              <w:t>Colômbia</w:t>
            </w:r>
          </w:p>
        </w:tc>
      </w:tr>
      <w:tr w:rsidR="0011327F" w:rsidRPr="00D65A20" w14:paraId="6E8342B1" w14:textId="77777777" w:rsidTr="0011327F">
        <w:tc>
          <w:tcPr>
            <w:tcW w:w="14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8342AC" w14:textId="77777777" w:rsidR="0011327F" w:rsidRPr="00D65A20" w:rsidRDefault="0011327F" w:rsidP="00AA4399">
            <w:pPr>
              <w:widowControl/>
              <w:jc w:val="center"/>
              <w:rPr>
                <w:rFonts w:ascii="Times New Roman" w:eastAsia="SimSun" w:hAnsi="Times New Roman"/>
                <w:szCs w:val="22"/>
                <w:lang w:val="pt-BR" w:eastAsia="zh-CN"/>
              </w:rPr>
            </w:pPr>
            <w:r w:rsidRPr="00D65A20">
              <w:rPr>
                <w:rFonts w:ascii="Times New Roman" w:hAnsi="Times New Roman"/>
                <w:szCs w:val="22"/>
                <w:lang w:val="pt-BR"/>
              </w:rPr>
              <w:t>3</w:t>
            </w:r>
          </w:p>
        </w:tc>
        <w:tc>
          <w:tcPr>
            <w:tcW w:w="1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342AD" w14:textId="77777777" w:rsidR="0011327F" w:rsidRPr="00D65A20" w:rsidRDefault="0011327F" w:rsidP="00AA4399">
            <w:pPr>
              <w:widowControl/>
              <w:jc w:val="left"/>
              <w:rPr>
                <w:rFonts w:ascii="Times New Roman" w:eastAsia="SimSun" w:hAnsi="Times New Roman"/>
                <w:szCs w:val="22"/>
                <w:lang w:val="pt-BR" w:eastAsia="zh-CN"/>
              </w:rPr>
            </w:pPr>
            <w:r w:rsidRPr="00D65A20">
              <w:rPr>
                <w:rFonts w:ascii="Times New Roman" w:hAnsi="Times New Roman"/>
                <w:szCs w:val="22"/>
                <w:lang w:val="pt-BR"/>
              </w:rPr>
              <w:t>CIFTA</w:t>
            </w:r>
          </w:p>
        </w:tc>
        <w:tc>
          <w:tcPr>
            <w:tcW w:w="1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342AE" w14:textId="77777777" w:rsidR="0011327F" w:rsidRPr="00D65A20" w:rsidRDefault="0011327F" w:rsidP="00AA4399">
            <w:pPr>
              <w:widowControl/>
              <w:jc w:val="left"/>
              <w:rPr>
                <w:rFonts w:ascii="Times New Roman" w:eastAsia="SimSun" w:hAnsi="Times New Roman"/>
                <w:szCs w:val="22"/>
                <w:lang w:val="pt-BR" w:eastAsia="zh-CN"/>
              </w:rPr>
            </w:pPr>
            <w:r w:rsidRPr="00D65A20">
              <w:rPr>
                <w:rFonts w:ascii="Times New Roman" w:hAnsi="Times New Roman"/>
                <w:szCs w:val="22"/>
                <w:lang w:val="pt-BR"/>
              </w:rPr>
              <w:t>Segundo semestre 2020</w:t>
            </w:r>
          </w:p>
        </w:tc>
        <w:tc>
          <w:tcPr>
            <w:tcW w:w="2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342AF" w14:textId="77777777" w:rsidR="0011327F" w:rsidRPr="00D65A20" w:rsidRDefault="0011327F" w:rsidP="00AA4399">
            <w:pPr>
              <w:widowControl/>
              <w:jc w:val="left"/>
              <w:rPr>
                <w:rFonts w:ascii="Times New Roman" w:hAnsi="Times New Roman"/>
                <w:szCs w:val="22"/>
                <w:lang w:val="pt-BR"/>
              </w:rPr>
            </w:pPr>
            <w:r w:rsidRPr="00D65A20">
              <w:rPr>
                <w:rFonts w:ascii="Times New Roman" w:hAnsi="Times New Roman"/>
                <w:szCs w:val="22"/>
                <w:lang w:val="pt-BR"/>
              </w:rPr>
              <w:t xml:space="preserve">Vigésima </w:t>
            </w:r>
            <w:r w:rsidR="002C6760" w:rsidRPr="00D65A20">
              <w:rPr>
                <w:rFonts w:ascii="Times New Roman" w:hAnsi="Times New Roman"/>
                <w:szCs w:val="22"/>
                <w:lang w:val="pt-BR"/>
              </w:rPr>
              <w:t xml:space="preserve">Reunião Ordinária </w:t>
            </w:r>
            <w:r w:rsidRPr="00D65A20">
              <w:rPr>
                <w:rFonts w:ascii="Times New Roman" w:hAnsi="Times New Roman"/>
                <w:szCs w:val="22"/>
                <w:lang w:val="pt-BR"/>
              </w:rPr>
              <w:t>da Comissão Consultiva da CIFTA</w:t>
            </w:r>
          </w:p>
        </w:tc>
        <w:tc>
          <w:tcPr>
            <w:tcW w:w="1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342B0" w14:textId="77777777" w:rsidR="0011327F" w:rsidRPr="00D65A20" w:rsidRDefault="0011327F" w:rsidP="00AA4399">
            <w:pPr>
              <w:widowControl/>
              <w:jc w:val="left"/>
              <w:rPr>
                <w:rFonts w:ascii="Times New Roman" w:eastAsia="SimSun" w:hAnsi="Times New Roman"/>
                <w:szCs w:val="22"/>
                <w:lang w:val="pt-BR" w:eastAsia="zh-CN"/>
              </w:rPr>
            </w:pPr>
            <w:r w:rsidRPr="00D65A20">
              <w:rPr>
                <w:rFonts w:ascii="Times New Roman" w:hAnsi="Times New Roman"/>
                <w:szCs w:val="22"/>
                <w:lang w:val="pt-BR"/>
              </w:rPr>
              <w:t>A determinar</w:t>
            </w:r>
          </w:p>
        </w:tc>
      </w:tr>
      <w:tr w:rsidR="0011327F" w:rsidRPr="00964B6C" w14:paraId="6E8342B7" w14:textId="77777777" w:rsidTr="0011327F">
        <w:tc>
          <w:tcPr>
            <w:tcW w:w="14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8342B2" w14:textId="77777777" w:rsidR="0011327F" w:rsidRPr="00D65A20" w:rsidRDefault="0011327F" w:rsidP="00AA4399">
            <w:pPr>
              <w:widowControl/>
              <w:jc w:val="center"/>
              <w:rPr>
                <w:rFonts w:ascii="Times New Roman" w:eastAsia="SimSun" w:hAnsi="Times New Roman"/>
                <w:color w:val="000000"/>
                <w:szCs w:val="22"/>
                <w:lang w:val="pt-BR" w:eastAsia="zh-CN"/>
              </w:rPr>
            </w:pPr>
            <w:r w:rsidRPr="00D65A20">
              <w:rPr>
                <w:rFonts w:ascii="Times New Roman" w:hAnsi="Times New Roman"/>
                <w:color w:val="000000"/>
                <w:szCs w:val="22"/>
                <w:lang w:val="pt-BR"/>
              </w:rPr>
              <w:t>4</w:t>
            </w:r>
          </w:p>
        </w:tc>
        <w:tc>
          <w:tcPr>
            <w:tcW w:w="1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342B3" w14:textId="77777777" w:rsidR="0011327F" w:rsidRPr="00D65A20" w:rsidRDefault="0011327F" w:rsidP="00AA4399">
            <w:pPr>
              <w:widowControl/>
              <w:jc w:val="left"/>
              <w:rPr>
                <w:rFonts w:ascii="Times New Roman" w:eastAsia="SimSun" w:hAnsi="Times New Roman"/>
                <w:color w:val="000000"/>
                <w:szCs w:val="22"/>
                <w:lang w:val="pt-BR" w:eastAsia="zh-CN"/>
              </w:rPr>
            </w:pPr>
            <w:r w:rsidRPr="00D65A20">
              <w:rPr>
                <w:rFonts w:ascii="Times New Roman" w:hAnsi="Times New Roman"/>
                <w:color w:val="000000"/>
                <w:szCs w:val="22"/>
                <w:lang w:val="pt-BR"/>
              </w:rPr>
              <w:t>MFCS</w:t>
            </w:r>
          </w:p>
        </w:tc>
        <w:tc>
          <w:tcPr>
            <w:tcW w:w="1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342B4" w14:textId="77777777" w:rsidR="0011327F" w:rsidRPr="00D65A20" w:rsidRDefault="0011327F" w:rsidP="00AA4399">
            <w:pPr>
              <w:widowControl/>
              <w:jc w:val="left"/>
              <w:rPr>
                <w:rFonts w:ascii="Times New Roman" w:eastAsia="SimSun" w:hAnsi="Times New Roman"/>
                <w:color w:val="000000"/>
                <w:szCs w:val="22"/>
                <w:lang w:val="pt-BR" w:eastAsia="zh-CN"/>
              </w:rPr>
            </w:pPr>
            <w:r w:rsidRPr="00D65A20">
              <w:rPr>
                <w:rFonts w:ascii="Times New Roman" w:hAnsi="Times New Roman"/>
                <w:color w:val="000000"/>
                <w:szCs w:val="22"/>
                <w:lang w:val="pt-BR"/>
              </w:rPr>
              <w:t>Março 2021</w:t>
            </w:r>
          </w:p>
        </w:tc>
        <w:tc>
          <w:tcPr>
            <w:tcW w:w="2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342B5" w14:textId="77777777" w:rsidR="0011327F" w:rsidRPr="00D65A20" w:rsidRDefault="0011327F" w:rsidP="002C6760">
            <w:pPr>
              <w:widowControl/>
              <w:jc w:val="left"/>
              <w:rPr>
                <w:rFonts w:ascii="Times New Roman" w:eastAsia="SimSun" w:hAnsi="Times New Roman"/>
                <w:color w:val="000000"/>
                <w:szCs w:val="22"/>
                <w:lang w:val="pt-BR" w:eastAsia="zh-CN"/>
              </w:rPr>
            </w:pPr>
            <w:r w:rsidRPr="00D65A20">
              <w:rPr>
                <w:rFonts w:ascii="Times New Roman" w:hAnsi="Times New Roman"/>
                <w:szCs w:val="22"/>
                <w:lang w:val="pt-BR"/>
              </w:rPr>
              <w:t xml:space="preserve">Nono Fórum sobre Medidas de Fomento da </w:t>
            </w:r>
            <w:r w:rsidR="002C6760" w:rsidRPr="00D65A20">
              <w:rPr>
                <w:rFonts w:ascii="Times New Roman" w:hAnsi="Times New Roman"/>
                <w:szCs w:val="22"/>
                <w:lang w:val="pt-BR"/>
              </w:rPr>
              <w:t>C</w:t>
            </w:r>
            <w:r w:rsidRPr="00D65A20">
              <w:rPr>
                <w:rFonts w:ascii="Times New Roman" w:hAnsi="Times New Roman"/>
                <w:szCs w:val="22"/>
                <w:lang w:val="pt-BR"/>
              </w:rPr>
              <w:t>onfiança e da Segurança</w:t>
            </w:r>
          </w:p>
        </w:tc>
        <w:tc>
          <w:tcPr>
            <w:tcW w:w="1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342B6" w14:textId="311217DD" w:rsidR="0011327F" w:rsidRPr="00D65A20" w:rsidRDefault="0011327F" w:rsidP="00AA4399">
            <w:pPr>
              <w:widowControl/>
              <w:jc w:val="left"/>
              <w:rPr>
                <w:rFonts w:ascii="Times New Roman" w:eastAsia="SimSun" w:hAnsi="Times New Roman"/>
                <w:color w:val="000000"/>
                <w:szCs w:val="22"/>
                <w:lang w:val="pt-BR" w:eastAsia="zh-CN"/>
              </w:rPr>
            </w:pPr>
            <w:r w:rsidRPr="00D65A20">
              <w:rPr>
                <w:rFonts w:ascii="Times New Roman" w:hAnsi="Times New Roman"/>
                <w:color w:val="000000"/>
                <w:szCs w:val="22"/>
                <w:lang w:val="pt-BR"/>
              </w:rPr>
              <w:t>Sede da Secretaria</w:t>
            </w:r>
          </w:p>
        </w:tc>
      </w:tr>
      <w:tr w:rsidR="0011327F" w:rsidRPr="00D65A20" w14:paraId="6E8342BD" w14:textId="77777777" w:rsidTr="0011327F">
        <w:tc>
          <w:tcPr>
            <w:tcW w:w="14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8342B8" w14:textId="77777777" w:rsidR="0011327F" w:rsidRPr="00D65A20" w:rsidRDefault="0011327F" w:rsidP="00AA4399">
            <w:pPr>
              <w:widowControl/>
              <w:jc w:val="center"/>
              <w:rPr>
                <w:rFonts w:ascii="Times New Roman" w:eastAsia="SimSun" w:hAnsi="Times New Roman"/>
                <w:color w:val="000000"/>
                <w:szCs w:val="22"/>
                <w:lang w:val="pt-BR" w:eastAsia="zh-CN"/>
              </w:rPr>
            </w:pPr>
            <w:r w:rsidRPr="00D65A20">
              <w:rPr>
                <w:rFonts w:ascii="Times New Roman" w:hAnsi="Times New Roman"/>
                <w:color w:val="000000"/>
                <w:szCs w:val="22"/>
                <w:lang w:val="pt-BR"/>
              </w:rPr>
              <w:t>5</w:t>
            </w:r>
          </w:p>
        </w:tc>
        <w:tc>
          <w:tcPr>
            <w:tcW w:w="1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342B9" w14:textId="77777777" w:rsidR="0011327F" w:rsidRPr="00D65A20" w:rsidRDefault="0011327F" w:rsidP="00AA4399">
            <w:pPr>
              <w:widowControl/>
              <w:jc w:val="left"/>
              <w:rPr>
                <w:rFonts w:ascii="Times New Roman" w:eastAsia="SimSun" w:hAnsi="Times New Roman"/>
                <w:color w:val="000000"/>
                <w:szCs w:val="22"/>
                <w:lang w:val="pt-BR" w:eastAsia="zh-CN"/>
              </w:rPr>
            </w:pPr>
            <w:r w:rsidRPr="00D65A20">
              <w:rPr>
                <w:rFonts w:ascii="Times New Roman" w:hAnsi="Times New Roman"/>
                <w:color w:val="000000"/>
                <w:szCs w:val="22"/>
                <w:lang w:val="pt-BR"/>
              </w:rPr>
              <w:t>CITAAC</w:t>
            </w:r>
          </w:p>
        </w:tc>
        <w:tc>
          <w:tcPr>
            <w:tcW w:w="1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342BA" w14:textId="77777777" w:rsidR="0011327F" w:rsidRPr="00D65A20" w:rsidRDefault="0011327F" w:rsidP="00AA4399">
            <w:pPr>
              <w:widowControl/>
              <w:jc w:val="left"/>
              <w:rPr>
                <w:rFonts w:ascii="Times New Roman" w:eastAsia="SimSun" w:hAnsi="Times New Roman"/>
                <w:color w:val="000000"/>
                <w:szCs w:val="22"/>
                <w:lang w:val="pt-BR" w:eastAsia="zh-CN"/>
              </w:rPr>
            </w:pPr>
            <w:r w:rsidRPr="00D65A20">
              <w:rPr>
                <w:rFonts w:ascii="Times New Roman" w:hAnsi="Times New Roman"/>
                <w:color w:val="000000"/>
                <w:szCs w:val="22"/>
                <w:lang w:val="pt-BR"/>
              </w:rPr>
              <w:t>Março 2021</w:t>
            </w:r>
          </w:p>
        </w:tc>
        <w:tc>
          <w:tcPr>
            <w:tcW w:w="2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342BB" w14:textId="77777777" w:rsidR="0011327F" w:rsidRPr="00D65A20" w:rsidRDefault="0011327F" w:rsidP="00AA4399">
            <w:pPr>
              <w:widowControl/>
              <w:jc w:val="left"/>
              <w:rPr>
                <w:rFonts w:ascii="Times New Roman" w:eastAsia="SimSun" w:hAnsi="Times New Roman"/>
                <w:color w:val="000000"/>
                <w:szCs w:val="22"/>
                <w:lang w:val="pt-BR" w:eastAsia="zh-CN"/>
              </w:rPr>
            </w:pPr>
            <w:r w:rsidRPr="00D65A20">
              <w:rPr>
                <w:rFonts w:ascii="Times New Roman" w:hAnsi="Times New Roman"/>
                <w:color w:val="000000"/>
                <w:szCs w:val="22"/>
                <w:lang w:val="pt-BR"/>
              </w:rPr>
              <w:t>Segunda Conferência dos Estados Partes na Convenção</w:t>
            </w:r>
          </w:p>
        </w:tc>
        <w:tc>
          <w:tcPr>
            <w:tcW w:w="1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342BC" w14:textId="77777777" w:rsidR="0011327F" w:rsidRPr="00D65A20" w:rsidRDefault="0011327F" w:rsidP="00AA4399">
            <w:pPr>
              <w:widowControl/>
              <w:jc w:val="left"/>
              <w:rPr>
                <w:rFonts w:ascii="Times New Roman" w:eastAsia="SimSun" w:hAnsi="Times New Roman"/>
                <w:color w:val="000000"/>
                <w:szCs w:val="22"/>
                <w:lang w:val="pt-BR" w:eastAsia="zh-CN"/>
              </w:rPr>
            </w:pPr>
            <w:r w:rsidRPr="00D65A20">
              <w:rPr>
                <w:rFonts w:ascii="Times New Roman" w:hAnsi="Times New Roman"/>
                <w:color w:val="000000"/>
                <w:szCs w:val="22"/>
                <w:lang w:val="pt-BR"/>
              </w:rPr>
              <w:t>A determinar</w:t>
            </w:r>
          </w:p>
        </w:tc>
      </w:tr>
      <w:tr w:rsidR="0011327F" w:rsidRPr="00964B6C" w14:paraId="6E8342C3" w14:textId="77777777" w:rsidTr="0011327F">
        <w:tc>
          <w:tcPr>
            <w:tcW w:w="14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8342BE" w14:textId="77777777" w:rsidR="0011327F" w:rsidRPr="00D65A20" w:rsidRDefault="0011327F" w:rsidP="00AA4399">
            <w:pPr>
              <w:widowControl/>
              <w:jc w:val="center"/>
              <w:rPr>
                <w:rFonts w:ascii="Times New Roman" w:eastAsia="SimSun" w:hAnsi="Times New Roman"/>
                <w:color w:val="000000"/>
                <w:szCs w:val="22"/>
                <w:lang w:val="pt-BR" w:eastAsia="zh-CN"/>
              </w:rPr>
            </w:pPr>
            <w:r w:rsidRPr="00D65A20">
              <w:rPr>
                <w:rFonts w:ascii="Times New Roman" w:hAnsi="Times New Roman"/>
                <w:color w:val="000000"/>
                <w:szCs w:val="22"/>
                <w:lang w:val="pt-BR"/>
              </w:rPr>
              <w:t>6</w:t>
            </w:r>
          </w:p>
        </w:tc>
        <w:tc>
          <w:tcPr>
            <w:tcW w:w="1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342BF" w14:textId="77777777" w:rsidR="0011327F" w:rsidRPr="00D65A20" w:rsidRDefault="0011327F" w:rsidP="00AA4399">
            <w:pPr>
              <w:widowControl/>
              <w:jc w:val="left"/>
              <w:rPr>
                <w:rFonts w:ascii="Times New Roman" w:eastAsia="SimSun" w:hAnsi="Times New Roman"/>
                <w:color w:val="000000"/>
                <w:szCs w:val="22"/>
                <w:lang w:val="pt-BR" w:eastAsia="zh-CN"/>
              </w:rPr>
            </w:pPr>
            <w:r w:rsidRPr="00D65A20">
              <w:rPr>
                <w:rFonts w:ascii="Times New Roman" w:hAnsi="Times New Roman"/>
                <w:color w:val="000000"/>
                <w:szCs w:val="22"/>
                <w:lang w:val="pt-BR"/>
              </w:rPr>
              <w:t>Convenção Interamericana contra o Terrorismo</w:t>
            </w:r>
          </w:p>
        </w:tc>
        <w:tc>
          <w:tcPr>
            <w:tcW w:w="1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342C0" w14:textId="77777777" w:rsidR="0011327F" w:rsidRPr="00D65A20" w:rsidRDefault="0011327F" w:rsidP="00AA4399">
            <w:pPr>
              <w:widowControl/>
              <w:jc w:val="left"/>
              <w:rPr>
                <w:rFonts w:ascii="Times New Roman" w:eastAsia="SimSun" w:hAnsi="Times New Roman"/>
                <w:color w:val="000000"/>
                <w:szCs w:val="22"/>
                <w:lang w:val="pt-BR" w:eastAsia="zh-CN"/>
              </w:rPr>
            </w:pPr>
            <w:r w:rsidRPr="00D65A20">
              <w:rPr>
                <w:rFonts w:ascii="Times New Roman" w:hAnsi="Times New Roman"/>
                <w:color w:val="000000"/>
                <w:szCs w:val="22"/>
                <w:lang w:val="pt-BR"/>
              </w:rPr>
              <w:t>Primeiro semestre 2021</w:t>
            </w:r>
          </w:p>
        </w:tc>
        <w:tc>
          <w:tcPr>
            <w:tcW w:w="2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342C1" w14:textId="77777777" w:rsidR="0011327F" w:rsidRPr="00D65A20" w:rsidRDefault="0011327F" w:rsidP="002C6760">
            <w:pPr>
              <w:widowControl/>
              <w:jc w:val="left"/>
              <w:rPr>
                <w:rFonts w:ascii="Times New Roman" w:eastAsia="SimSun" w:hAnsi="Times New Roman"/>
                <w:color w:val="000000"/>
                <w:szCs w:val="22"/>
                <w:lang w:val="pt-BR" w:eastAsia="zh-CN"/>
              </w:rPr>
            </w:pPr>
            <w:r w:rsidRPr="00D65A20">
              <w:rPr>
                <w:rFonts w:ascii="Times New Roman" w:hAnsi="Times New Roman"/>
                <w:color w:val="000000"/>
                <w:szCs w:val="22"/>
                <w:lang w:val="pt-BR"/>
              </w:rPr>
              <w:t xml:space="preserve">Primeira </w:t>
            </w:r>
            <w:r w:rsidR="002C6760" w:rsidRPr="00D65A20">
              <w:rPr>
                <w:rFonts w:ascii="Times New Roman" w:hAnsi="Times New Roman"/>
                <w:color w:val="000000"/>
                <w:szCs w:val="22"/>
                <w:lang w:val="pt-BR"/>
              </w:rPr>
              <w:t>R</w:t>
            </w:r>
            <w:r w:rsidRPr="00D65A20">
              <w:rPr>
                <w:rFonts w:ascii="Times New Roman" w:hAnsi="Times New Roman"/>
                <w:color w:val="000000"/>
                <w:szCs w:val="22"/>
                <w:lang w:val="pt-BR"/>
              </w:rPr>
              <w:t>eunião dos Estados Partes na Convenção Interamericana contra o Terrorismo</w:t>
            </w:r>
          </w:p>
        </w:tc>
        <w:tc>
          <w:tcPr>
            <w:tcW w:w="1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342C2" w14:textId="590AE91D" w:rsidR="0011327F" w:rsidRPr="00D65A20" w:rsidRDefault="0011327F" w:rsidP="00AA4399">
            <w:pPr>
              <w:widowControl/>
              <w:jc w:val="left"/>
              <w:rPr>
                <w:rFonts w:ascii="Times New Roman" w:eastAsia="SimSun" w:hAnsi="Times New Roman"/>
                <w:color w:val="000000"/>
                <w:szCs w:val="22"/>
                <w:lang w:val="pt-BR" w:eastAsia="zh-CN"/>
              </w:rPr>
            </w:pPr>
            <w:r w:rsidRPr="00D65A20">
              <w:rPr>
                <w:rFonts w:ascii="Times New Roman" w:hAnsi="Times New Roman"/>
                <w:color w:val="000000"/>
                <w:szCs w:val="22"/>
                <w:lang w:val="pt-BR"/>
              </w:rPr>
              <w:t>Sede da Secretaria</w:t>
            </w:r>
          </w:p>
        </w:tc>
      </w:tr>
      <w:tr w:rsidR="0011327F" w:rsidRPr="00964B6C" w14:paraId="6E8342C9" w14:textId="77777777" w:rsidTr="0011327F">
        <w:tc>
          <w:tcPr>
            <w:tcW w:w="146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6E8342C4" w14:textId="77777777" w:rsidR="0011327F" w:rsidRPr="00D65A20" w:rsidRDefault="0011327F" w:rsidP="00AA4399">
            <w:pPr>
              <w:widowControl/>
              <w:jc w:val="center"/>
              <w:rPr>
                <w:rFonts w:ascii="Times New Roman" w:eastAsia="SimSun" w:hAnsi="Times New Roman"/>
                <w:color w:val="000000"/>
                <w:szCs w:val="22"/>
                <w:lang w:val="pt-BR" w:eastAsia="zh-CN"/>
              </w:rPr>
            </w:pPr>
            <w:r w:rsidRPr="00D65A20">
              <w:rPr>
                <w:rFonts w:ascii="Times New Roman" w:hAnsi="Times New Roman"/>
                <w:color w:val="000000"/>
                <w:szCs w:val="22"/>
                <w:lang w:val="pt-BR"/>
              </w:rPr>
              <w:t>7</w:t>
            </w:r>
          </w:p>
        </w:tc>
        <w:tc>
          <w:tcPr>
            <w:tcW w:w="153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6E8342C5" w14:textId="77777777" w:rsidR="0011327F" w:rsidRPr="00D65A20" w:rsidRDefault="0011327F" w:rsidP="00AA4399">
            <w:pPr>
              <w:widowControl/>
              <w:jc w:val="left"/>
              <w:rPr>
                <w:rFonts w:ascii="Times New Roman" w:eastAsia="SimSun" w:hAnsi="Times New Roman"/>
                <w:color w:val="000000"/>
                <w:szCs w:val="22"/>
                <w:lang w:val="pt-BR" w:eastAsia="zh-CN"/>
              </w:rPr>
            </w:pPr>
            <w:r w:rsidRPr="00D65A20">
              <w:rPr>
                <w:rFonts w:ascii="Times New Roman" w:hAnsi="Times New Roman"/>
                <w:color w:val="000000"/>
                <w:szCs w:val="22"/>
                <w:lang w:val="pt-BR"/>
              </w:rPr>
              <w:t>RANDOT</w:t>
            </w:r>
          </w:p>
        </w:tc>
        <w:tc>
          <w:tcPr>
            <w:tcW w:w="161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6E8342C6" w14:textId="77777777" w:rsidR="0011327F" w:rsidRPr="00D65A20" w:rsidRDefault="0011327F" w:rsidP="00AA4399">
            <w:pPr>
              <w:widowControl/>
              <w:jc w:val="left"/>
              <w:rPr>
                <w:rFonts w:ascii="Times New Roman" w:eastAsia="SimSun" w:hAnsi="Times New Roman"/>
                <w:color w:val="000000"/>
                <w:szCs w:val="22"/>
                <w:lang w:val="pt-BR" w:eastAsia="zh-CN"/>
              </w:rPr>
            </w:pPr>
            <w:r w:rsidRPr="00D65A20">
              <w:rPr>
                <w:rFonts w:ascii="Times New Roman" w:hAnsi="Times New Roman"/>
                <w:color w:val="000000"/>
                <w:szCs w:val="22"/>
                <w:lang w:val="pt-BR"/>
              </w:rPr>
              <w:t>Segundo semestre 2021</w:t>
            </w:r>
          </w:p>
        </w:tc>
        <w:tc>
          <w:tcPr>
            <w:tcW w:w="296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6E8342C7" w14:textId="77777777" w:rsidR="0011327F" w:rsidRPr="00D65A20" w:rsidRDefault="0011327F" w:rsidP="00AA4399">
            <w:pPr>
              <w:widowControl/>
              <w:jc w:val="left"/>
              <w:rPr>
                <w:rFonts w:ascii="Times New Roman" w:eastAsia="SimSun" w:hAnsi="Times New Roman"/>
                <w:color w:val="000000"/>
                <w:szCs w:val="22"/>
                <w:lang w:val="pt-BR" w:eastAsia="zh-CN"/>
              </w:rPr>
            </w:pPr>
            <w:r w:rsidRPr="00D65A20">
              <w:rPr>
                <w:rFonts w:ascii="Times New Roman" w:hAnsi="Times New Roman"/>
                <w:color w:val="000000"/>
                <w:szCs w:val="22"/>
                <w:lang w:val="pt-BR"/>
              </w:rPr>
              <w:t>Terceira Reunião de Autoridades Nacionais em Matéria de Criminalidade Organizada Transnacional</w:t>
            </w:r>
          </w:p>
        </w:tc>
        <w:tc>
          <w:tcPr>
            <w:tcW w:w="176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6E8342C8" w14:textId="4E8436B7" w:rsidR="0011327F" w:rsidRPr="00D65A20" w:rsidRDefault="0011327F" w:rsidP="00AA4399">
            <w:pPr>
              <w:widowControl/>
              <w:jc w:val="left"/>
              <w:rPr>
                <w:rFonts w:ascii="Times New Roman" w:hAnsi="Times New Roman"/>
                <w:color w:val="000000"/>
                <w:szCs w:val="22"/>
                <w:lang w:val="pt-BR"/>
              </w:rPr>
            </w:pPr>
            <w:r w:rsidRPr="00D65A20">
              <w:rPr>
                <w:rFonts w:ascii="Times New Roman" w:hAnsi="Times New Roman"/>
                <w:color w:val="000000"/>
                <w:szCs w:val="22"/>
                <w:lang w:val="pt-BR"/>
              </w:rPr>
              <w:t>Sede da Secretaria</w:t>
            </w:r>
          </w:p>
        </w:tc>
      </w:tr>
      <w:tr w:rsidR="0011327F" w:rsidRPr="00D65A20" w14:paraId="6E8342D0" w14:textId="77777777" w:rsidTr="0011327F">
        <w:tc>
          <w:tcPr>
            <w:tcW w:w="146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6E8342CA" w14:textId="77777777" w:rsidR="0011327F" w:rsidRPr="00D65A20" w:rsidRDefault="0011327F" w:rsidP="00AA4399">
            <w:pPr>
              <w:widowControl/>
              <w:jc w:val="center"/>
              <w:rPr>
                <w:rFonts w:ascii="Times New Roman" w:hAnsi="Times New Roman"/>
                <w:color w:val="000000"/>
                <w:szCs w:val="22"/>
                <w:lang w:val="pt-BR"/>
              </w:rPr>
            </w:pPr>
            <w:r w:rsidRPr="00D65A20">
              <w:rPr>
                <w:rFonts w:ascii="Times New Roman" w:hAnsi="Times New Roman"/>
                <w:color w:val="000000"/>
                <w:szCs w:val="22"/>
                <w:lang w:val="pt-BR"/>
              </w:rPr>
              <w:t>8</w:t>
            </w:r>
          </w:p>
        </w:tc>
        <w:tc>
          <w:tcPr>
            <w:tcW w:w="153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6E8342CB" w14:textId="77777777" w:rsidR="0011327F" w:rsidRPr="00D65A20" w:rsidRDefault="0011327F" w:rsidP="00AA4399">
            <w:pPr>
              <w:widowControl/>
              <w:jc w:val="left"/>
              <w:rPr>
                <w:rFonts w:ascii="Times New Roman" w:hAnsi="Times New Roman"/>
                <w:color w:val="000000"/>
                <w:szCs w:val="22"/>
                <w:lang w:val="pt-BR"/>
              </w:rPr>
            </w:pPr>
            <w:r w:rsidRPr="00D65A20">
              <w:rPr>
                <w:rFonts w:ascii="Times New Roman" w:hAnsi="Times New Roman"/>
                <w:color w:val="000000"/>
                <w:szCs w:val="22"/>
                <w:lang w:val="pt-BR"/>
              </w:rPr>
              <w:t>MISPA</w:t>
            </w:r>
          </w:p>
        </w:tc>
        <w:tc>
          <w:tcPr>
            <w:tcW w:w="161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6E8342CC" w14:textId="77777777" w:rsidR="0011327F" w:rsidRPr="00D65A20" w:rsidRDefault="0011327F" w:rsidP="00AA4399">
            <w:pPr>
              <w:widowControl/>
              <w:jc w:val="left"/>
              <w:rPr>
                <w:rFonts w:ascii="Times New Roman" w:hAnsi="Times New Roman"/>
                <w:color w:val="000000"/>
                <w:szCs w:val="22"/>
                <w:lang w:val="pt-BR"/>
              </w:rPr>
            </w:pPr>
            <w:r w:rsidRPr="00D65A20">
              <w:rPr>
                <w:rFonts w:ascii="Times New Roman" w:hAnsi="Times New Roman"/>
                <w:color w:val="000000"/>
                <w:szCs w:val="22"/>
                <w:lang w:val="pt-BR"/>
              </w:rPr>
              <w:t>Segundo semestre 2021</w:t>
            </w:r>
          </w:p>
        </w:tc>
        <w:tc>
          <w:tcPr>
            <w:tcW w:w="296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E8342CD" w14:textId="77777777" w:rsidR="0011327F" w:rsidRPr="00D65A20" w:rsidRDefault="0011327F" w:rsidP="00AA4399">
            <w:pPr>
              <w:widowControl/>
              <w:jc w:val="left"/>
              <w:rPr>
                <w:rFonts w:ascii="Times New Roman" w:hAnsi="Times New Roman"/>
                <w:szCs w:val="22"/>
                <w:lang w:val="pt-BR"/>
              </w:rPr>
            </w:pPr>
            <w:r w:rsidRPr="00D65A20">
              <w:rPr>
                <w:rFonts w:ascii="Times New Roman" w:hAnsi="Times New Roman"/>
                <w:szCs w:val="22"/>
                <w:lang w:val="pt-BR"/>
              </w:rPr>
              <w:t>Oitava Reunião de Ministros em Matéria de Segurança Pública das Américas (MISPA-VIII)</w:t>
            </w:r>
          </w:p>
          <w:p w14:paraId="6E8342CE" w14:textId="77777777" w:rsidR="0011327F" w:rsidRPr="00D65A20" w:rsidRDefault="0011327F" w:rsidP="00AA4399">
            <w:pPr>
              <w:widowControl/>
              <w:jc w:val="left"/>
              <w:rPr>
                <w:rFonts w:ascii="Times New Roman" w:hAnsi="Times New Roman"/>
                <w:color w:val="000000"/>
                <w:szCs w:val="22"/>
                <w:lang w:val="pt-BR"/>
              </w:rPr>
            </w:pPr>
          </w:p>
        </w:tc>
        <w:tc>
          <w:tcPr>
            <w:tcW w:w="176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6E8342CF" w14:textId="77777777" w:rsidR="0011327F" w:rsidRPr="00D65A20" w:rsidRDefault="0011327F" w:rsidP="00AA4399">
            <w:pPr>
              <w:widowControl/>
              <w:jc w:val="left"/>
              <w:rPr>
                <w:rFonts w:ascii="Times New Roman" w:hAnsi="Times New Roman"/>
                <w:color w:val="000000"/>
                <w:szCs w:val="22"/>
                <w:lang w:val="pt-BR"/>
              </w:rPr>
            </w:pPr>
            <w:r w:rsidRPr="00D65A20">
              <w:rPr>
                <w:rFonts w:ascii="Times New Roman" w:hAnsi="Times New Roman"/>
                <w:color w:val="000000"/>
                <w:szCs w:val="22"/>
                <w:lang w:val="pt-BR"/>
              </w:rPr>
              <w:t>El Salvador</w:t>
            </w:r>
          </w:p>
        </w:tc>
      </w:tr>
      <w:tr w:rsidR="0011327F" w:rsidRPr="00D65A20" w14:paraId="6E8342D6" w14:textId="77777777" w:rsidTr="0011327F">
        <w:tc>
          <w:tcPr>
            <w:tcW w:w="146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8342D1" w14:textId="77777777" w:rsidR="0011327F" w:rsidRPr="00D65A20" w:rsidRDefault="0011327F" w:rsidP="00AA4399">
            <w:pPr>
              <w:widowControl/>
              <w:jc w:val="center"/>
              <w:rPr>
                <w:rFonts w:ascii="Times New Roman" w:hAnsi="Times New Roman"/>
                <w:color w:val="000000"/>
                <w:szCs w:val="22"/>
                <w:lang w:val="pt-BR"/>
              </w:rPr>
            </w:pPr>
            <w:r w:rsidRPr="00D65A20">
              <w:rPr>
                <w:rFonts w:ascii="Times New Roman" w:hAnsi="Times New Roman"/>
                <w:color w:val="000000"/>
                <w:szCs w:val="22"/>
                <w:lang w:val="pt-BR"/>
              </w:rPr>
              <w:t>9</w:t>
            </w:r>
          </w:p>
        </w:tc>
        <w:tc>
          <w:tcPr>
            <w:tcW w:w="153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E8342D2" w14:textId="77777777" w:rsidR="0011327F" w:rsidRPr="00D65A20" w:rsidRDefault="0011327F" w:rsidP="00AA4399">
            <w:pPr>
              <w:widowControl/>
              <w:jc w:val="left"/>
              <w:rPr>
                <w:rFonts w:ascii="Times New Roman" w:hAnsi="Times New Roman"/>
                <w:color w:val="000000"/>
                <w:szCs w:val="22"/>
                <w:lang w:val="pt-BR"/>
              </w:rPr>
            </w:pPr>
            <w:r w:rsidRPr="00D65A20">
              <w:rPr>
                <w:rFonts w:ascii="Times New Roman" w:hAnsi="Times New Roman"/>
                <w:color w:val="000000"/>
                <w:szCs w:val="22"/>
                <w:lang w:val="pt-BR"/>
              </w:rPr>
              <w:t>MISPA</w:t>
            </w:r>
          </w:p>
        </w:tc>
        <w:tc>
          <w:tcPr>
            <w:tcW w:w="161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E8342D3" w14:textId="77777777" w:rsidR="0011327F" w:rsidRPr="00D65A20" w:rsidRDefault="0011327F" w:rsidP="00AA4399">
            <w:pPr>
              <w:widowControl/>
              <w:jc w:val="left"/>
              <w:rPr>
                <w:rFonts w:ascii="Times New Roman" w:hAnsi="Times New Roman"/>
                <w:color w:val="000000"/>
                <w:szCs w:val="22"/>
                <w:lang w:val="pt-BR"/>
              </w:rPr>
            </w:pPr>
            <w:r w:rsidRPr="00D65A20">
              <w:rPr>
                <w:rFonts w:ascii="Times New Roman" w:hAnsi="Times New Roman"/>
                <w:color w:val="000000"/>
                <w:szCs w:val="22"/>
                <w:lang w:val="pt-BR"/>
              </w:rPr>
              <w:t>Dezembro 2020</w:t>
            </w:r>
          </w:p>
        </w:tc>
        <w:tc>
          <w:tcPr>
            <w:tcW w:w="296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E8342D4" w14:textId="60DCA5C2" w:rsidR="0011327F" w:rsidRPr="00D65A20" w:rsidRDefault="0011327F" w:rsidP="00AA4399">
            <w:pPr>
              <w:widowControl/>
              <w:jc w:val="left"/>
              <w:rPr>
                <w:rFonts w:ascii="Times New Roman" w:hAnsi="Times New Roman"/>
                <w:szCs w:val="22"/>
                <w:lang w:val="pt-BR"/>
              </w:rPr>
            </w:pPr>
            <w:r w:rsidRPr="00D65A20">
              <w:rPr>
                <w:rFonts w:ascii="Times New Roman" w:hAnsi="Times New Roman"/>
                <w:szCs w:val="22"/>
                <w:lang w:val="pt-BR"/>
              </w:rPr>
              <w:t>Terceira Reunião do Grupo</w:t>
            </w:r>
            <w:r w:rsidR="007123CA" w:rsidRPr="00D65A20">
              <w:rPr>
                <w:rFonts w:ascii="Times New Roman" w:hAnsi="Times New Roman"/>
                <w:szCs w:val="22"/>
                <w:lang w:val="pt-BR"/>
              </w:rPr>
              <w:t xml:space="preserve"> de Trabalho</w:t>
            </w:r>
            <w:r w:rsidRPr="00D65A20">
              <w:rPr>
                <w:rFonts w:ascii="Times New Roman" w:hAnsi="Times New Roman"/>
                <w:szCs w:val="22"/>
                <w:lang w:val="pt-BR"/>
              </w:rPr>
              <w:t xml:space="preserve"> Técnico Subsidiário sobre Gestão da Polícia</w:t>
            </w:r>
          </w:p>
        </w:tc>
        <w:tc>
          <w:tcPr>
            <w:tcW w:w="176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E8342D5" w14:textId="77777777" w:rsidR="0011327F" w:rsidRPr="00D65A20" w:rsidRDefault="0011327F" w:rsidP="00AA4399">
            <w:pPr>
              <w:widowControl/>
              <w:jc w:val="left"/>
              <w:rPr>
                <w:rFonts w:ascii="Times New Roman" w:hAnsi="Times New Roman"/>
                <w:color w:val="000000"/>
                <w:szCs w:val="22"/>
                <w:lang w:val="pt-BR"/>
              </w:rPr>
            </w:pPr>
            <w:r w:rsidRPr="00D65A20">
              <w:rPr>
                <w:rFonts w:ascii="Times New Roman" w:hAnsi="Times New Roman"/>
                <w:color w:val="000000"/>
                <w:szCs w:val="22"/>
                <w:lang w:val="pt-BR"/>
              </w:rPr>
              <w:t>Equador</w:t>
            </w:r>
          </w:p>
        </w:tc>
      </w:tr>
      <w:tr w:rsidR="0011327F" w:rsidRPr="00D65A20" w14:paraId="6E8342DC" w14:textId="77777777" w:rsidTr="0011327F">
        <w:tc>
          <w:tcPr>
            <w:tcW w:w="14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8342D7" w14:textId="77777777" w:rsidR="0011327F" w:rsidRPr="00D65A20" w:rsidRDefault="0011327F" w:rsidP="00AA4399">
            <w:pPr>
              <w:widowControl/>
              <w:jc w:val="center"/>
              <w:rPr>
                <w:rFonts w:ascii="Times New Roman" w:hAnsi="Times New Roman"/>
                <w:color w:val="000000"/>
                <w:szCs w:val="22"/>
                <w:lang w:val="pt-BR"/>
              </w:rPr>
            </w:pPr>
            <w:r w:rsidRPr="00D65A20">
              <w:rPr>
                <w:rFonts w:ascii="Times New Roman" w:hAnsi="Times New Roman"/>
                <w:color w:val="000000"/>
                <w:szCs w:val="22"/>
                <w:lang w:val="pt-BR"/>
              </w:rPr>
              <w:t>10</w:t>
            </w:r>
          </w:p>
        </w:tc>
        <w:tc>
          <w:tcPr>
            <w:tcW w:w="1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342D8" w14:textId="77777777" w:rsidR="0011327F" w:rsidRPr="00D65A20" w:rsidRDefault="0011327F" w:rsidP="00AA4399">
            <w:pPr>
              <w:widowControl/>
              <w:jc w:val="left"/>
              <w:rPr>
                <w:rFonts w:ascii="Times New Roman" w:hAnsi="Times New Roman"/>
                <w:color w:val="000000"/>
                <w:szCs w:val="22"/>
                <w:lang w:val="pt-BR"/>
              </w:rPr>
            </w:pPr>
            <w:r w:rsidRPr="00D65A20">
              <w:rPr>
                <w:rFonts w:ascii="Times New Roman" w:hAnsi="Times New Roman"/>
                <w:color w:val="000000"/>
                <w:szCs w:val="22"/>
                <w:lang w:val="pt-BR"/>
              </w:rPr>
              <w:t>Sistemas de justiça, penitenciários e carcerários</w:t>
            </w:r>
          </w:p>
        </w:tc>
        <w:tc>
          <w:tcPr>
            <w:tcW w:w="1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342D9" w14:textId="77777777" w:rsidR="0011327F" w:rsidRPr="00D65A20" w:rsidRDefault="0011327F" w:rsidP="00AA4399">
            <w:pPr>
              <w:widowControl/>
              <w:jc w:val="left"/>
              <w:rPr>
                <w:rFonts w:ascii="Times New Roman" w:hAnsi="Times New Roman"/>
                <w:color w:val="000000"/>
                <w:szCs w:val="22"/>
                <w:lang w:val="pt-BR"/>
              </w:rPr>
            </w:pPr>
            <w:r w:rsidRPr="00D65A20">
              <w:rPr>
                <w:rFonts w:ascii="Times New Roman" w:hAnsi="Times New Roman"/>
                <w:color w:val="000000"/>
                <w:szCs w:val="22"/>
                <w:lang w:val="pt-BR"/>
              </w:rPr>
              <w:t>2021</w:t>
            </w:r>
          </w:p>
        </w:tc>
        <w:tc>
          <w:tcPr>
            <w:tcW w:w="2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342DA" w14:textId="77777777" w:rsidR="0011327F" w:rsidRPr="00D65A20" w:rsidRDefault="0011327F" w:rsidP="00AA4399">
            <w:pPr>
              <w:widowControl/>
              <w:jc w:val="left"/>
              <w:rPr>
                <w:rFonts w:ascii="Times New Roman" w:hAnsi="Times New Roman"/>
                <w:szCs w:val="22"/>
                <w:lang w:val="pt-BR"/>
              </w:rPr>
            </w:pPr>
            <w:r w:rsidRPr="00D65A20">
              <w:rPr>
                <w:rFonts w:ascii="Times New Roman" w:hAnsi="Times New Roman"/>
                <w:szCs w:val="22"/>
                <w:lang w:val="pt-BR"/>
              </w:rPr>
              <w:t>Quinta Reunião de Autoridades Responsáveis pelas Políticas Penitenciárias e Carcerárias</w:t>
            </w:r>
          </w:p>
        </w:tc>
        <w:tc>
          <w:tcPr>
            <w:tcW w:w="1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342DB" w14:textId="77777777" w:rsidR="0011327F" w:rsidRPr="00D65A20" w:rsidRDefault="0011327F" w:rsidP="00AA4399">
            <w:pPr>
              <w:widowControl/>
              <w:jc w:val="left"/>
              <w:rPr>
                <w:rFonts w:ascii="Times New Roman" w:hAnsi="Times New Roman"/>
                <w:color w:val="000000"/>
                <w:szCs w:val="22"/>
                <w:lang w:val="pt-BR"/>
              </w:rPr>
            </w:pPr>
            <w:r w:rsidRPr="00D65A20">
              <w:rPr>
                <w:rFonts w:ascii="Times New Roman" w:hAnsi="Times New Roman"/>
                <w:color w:val="000000"/>
                <w:szCs w:val="22"/>
                <w:lang w:val="pt-BR"/>
              </w:rPr>
              <w:t>Honduras</w:t>
            </w:r>
          </w:p>
        </w:tc>
      </w:tr>
    </w:tbl>
    <w:p w14:paraId="6E8342DD" w14:textId="77777777" w:rsidR="0011327F" w:rsidRPr="00D65A20" w:rsidRDefault="0011327F" w:rsidP="00AA4399">
      <w:pPr>
        <w:widowControl/>
        <w:rPr>
          <w:rFonts w:ascii="Times New Roman" w:hAnsi="Times New Roman"/>
          <w:szCs w:val="22"/>
          <w:lang w:val="pt-BR"/>
        </w:rPr>
      </w:pPr>
    </w:p>
    <w:p w14:paraId="6E8342DF" w14:textId="77777777" w:rsidR="0011327F" w:rsidRPr="00D65A20" w:rsidRDefault="0011327F" w:rsidP="00AA4399">
      <w:pPr>
        <w:widowControl/>
        <w:jc w:val="center"/>
        <w:rPr>
          <w:rFonts w:ascii="Times New Roman" w:hAnsi="Times New Roman"/>
          <w:sz w:val="20"/>
          <w:lang w:val="pt-BR"/>
        </w:rPr>
      </w:pPr>
      <w:r w:rsidRPr="00D65A20">
        <w:rPr>
          <w:rFonts w:ascii="Times New Roman" w:hAnsi="Times New Roman"/>
          <w:sz w:val="20"/>
          <w:lang w:val="pt-BR"/>
        </w:rPr>
        <w:lastRenderedPageBreak/>
        <w:t>NOTA</w:t>
      </w:r>
      <w:r w:rsidR="00523713" w:rsidRPr="00D65A20">
        <w:rPr>
          <w:rFonts w:ascii="Times New Roman" w:hAnsi="Times New Roman"/>
          <w:sz w:val="20"/>
          <w:lang w:val="pt-BR"/>
        </w:rPr>
        <w:t>S</w:t>
      </w:r>
      <w:r w:rsidRPr="00D65A20">
        <w:rPr>
          <w:rFonts w:ascii="Times New Roman" w:hAnsi="Times New Roman"/>
          <w:sz w:val="20"/>
          <w:lang w:val="pt-BR"/>
        </w:rPr>
        <w:t xml:space="preserve"> DE RODAPÉ</w:t>
      </w:r>
    </w:p>
    <w:p w14:paraId="6E8342E0" w14:textId="77777777" w:rsidR="0011327F" w:rsidRPr="00D65A20" w:rsidRDefault="0011327F" w:rsidP="00AA4399">
      <w:pPr>
        <w:widowControl/>
        <w:rPr>
          <w:rFonts w:ascii="Times New Roman" w:hAnsi="Times New Roman"/>
          <w:sz w:val="20"/>
          <w:lang w:val="pt-BR"/>
        </w:rPr>
      </w:pPr>
    </w:p>
    <w:p w14:paraId="6E8342E1" w14:textId="77777777" w:rsidR="0011327F" w:rsidRPr="00D65A20" w:rsidRDefault="0011327F" w:rsidP="00AA4399">
      <w:pPr>
        <w:widowControl/>
        <w:rPr>
          <w:rFonts w:ascii="Times New Roman" w:hAnsi="Times New Roman"/>
          <w:sz w:val="20"/>
          <w:lang w:val="pt-BR"/>
        </w:rPr>
      </w:pPr>
    </w:p>
    <w:p w14:paraId="6E8342E2" w14:textId="773B6224" w:rsidR="006C2CA3" w:rsidRPr="00D65A20" w:rsidRDefault="0011327F" w:rsidP="006C2CA3">
      <w:pPr>
        <w:widowControl/>
        <w:ind w:firstLine="720"/>
        <w:rPr>
          <w:rFonts w:ascii="Times New Roman" w:hAnsi="Times New Roman"/>
          <w:sz w:val="20"/>
          <w:szCs w:val="22"/>
          <w:lang w:val="pt-BR"/>
        </w:rPr>
      </w:pPr>
      <w:r w:rsidRPr="00D65A20">
        <w:rPr>
          <w:rFonts w:ascii="Times New Roman" w:hAnsi="Times New Roman"/>
          <w:sz w:val="20"/>
          <w:lang w:val="pt-BR"/>
        </w:rPr>
        <w:t>1.</w:t>
      </w:r>
      <w:r w:rsidRPr="00D65A20">
        <w:rPr>
          <w:rFonts w:ascii="Times New Roman" w:hAnsi="Times New Roman"/>
          <w:sz w:val="20"/>
          <w:lang w:val="pt-BR"/>
        </w:rPr>
        <w:tab/>
        <w:t>(...)</w:t>
      </w:r>
      <w:r w:rsidR="006C2CA3" w:rsidRPr="00D65A20">
        <w:rPr>
          <w:rFonts w:ascii="Times New Roman" w:hAnsi="Times New Roman"/>
          <w:sz w:val="20"/>
          <w:lang w:val="pt-BR"/>
        </w:rPr>
        <w:t>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6E8342E3" w14:textId="77777777" w:rsidR="006C2CA3" w:rsidRPr="00D65A20" w:rsidRDefault="006C2CA3" w:rsidP="006C2CA3">
      <w:pPr>
        <w:widowControl/>
        <w:rPr>
          <w:rFonts w:ascii="Times New Roman" w:hAnsi="Times New Roman"/>
          <w:sz w:val="20"/>
          <w:lang w:val="pt-BR"/>
        </w:rPr>
      </w:pPr>
    </w:p>
    <w:p w14:paraId="6E8342E4" w14:textId="3C3109D9" w:rsidR="006C2CA3" w:rsidRPr="00D65A20" w:rsidRDefault="006C2CA3" w:rsidP="006C2CA3">
      <w:pPr>
        <w:widowControl/>
        <w:ind w:firstLine="720"/>
        <w:rPr>
          <w:rFonts w:ascii="Times New Roman" w:hAnsi="Times New Roman"/>
          <w:sz w:val="20"/>
          <w:lang w:val="pt-BR"/>
        </w:rPr>
      </w:pPr>
      <w:r w:rsidRPr="00D65A20">
        <w:rPr>
          <w:rFonts w:ascii="Times New Roman" w:hAnsi="Times New Roman"/>
          <w:sz w:val="20"/>
          <w:lang w:val="pt-BR"/>
        </w:rPr>
        <w:t xml:space="preserve">Antígua e Barbuda não apoiou a resolução CP/RES. 1124 (2217/19), de 9 de abril de 2019, cuja intenção era nomear o Senhor Gustavo Tarre como Representante da Assembleia Nacional junto à OEA, e não aceitou as credenciais das autoridades que pretendiam representar a República Bolivariana da Venezuela no Quadragésimo Nono e no Quinquagésimo Períodos Ordinários de Sessões da Assembleia Geral. </w:t>
      </w:r>
    </w:p>
    <w:p w14:paraId="6E8342E5" w14:textId="77777777" w:rsidR="006C2CA3" w:rsidRPr="00D65A20" w:rsidRDefault="006C2CA3" w:rsidP="006C2CA3">
      <w:pPr>
        <w:widowControl/>
        <w:rPr>
          <w:rFonts w:ascii="Times New Roman" w:hAnsi="Times New Roman"/>
          <w:sz w:val="20"/>
          <w:lang w:val="pt-BR"/>
        </w:rPr>
      </w:pPr>
    </w:p>
    <w:p w14:paraId="6E8342E6" w14:textId="4E2923BD" w:rsidR="006C2CA3" w:rsidRPr="00D65A20" w:rsidRDefault="006C2CA3" w:rsidP="006D2791">
      <w:pPr>
        <w:widowControl/>
        <w:ind w:firstLine="720"/>
        <w:rPr>
          <w:rFonts w:ascii="Times New Roman" w:hAnsi="Times New Roman"/>
          <w:sz w:val="20"/>
          <w:lang w:val="pt-BR"/>
        </w:rPr>
      </w:pPr>
      <w:r w:rsidRPr="00D65A20">
        <w:rPr>
          <w:rFonts w:ascii="Times New Roman" w:hAnsi="Times New Roman"/>
          <w:sz w:val="20"/>
          <w:lang w:val="pt-BR"/>
        </w:rPr>
        <w:t>Desse modo, Antígua e Barbuda informa a todos os Estados membros e à Secretaria-Geral da Organização dos Estados Americanos que, até novo aviso, assim como fez no Quadragésimo Nono Período Ordinário de Sessões da Assembleia Geral, não se considerará vinculado a nenhuma declaração ou resolução emanada do Quinquagésimo Período Ordinário de Sessões da Assembleia Geral, nem a quaisquer futuras declarações ou resoluções de qualquer Conselho ou órgão da Organização que incluam a participação de qualquer pessoa ou entidade pretensamente falando pela República Bolivariana da Venezuela ou agindo em seu nome, e nas quais se alcancem 18 votos com a participação de um pretenso representante da República Bolivariana da Venezuela.</w:t>
      </w:r>
    </w:p>
    <w:p w14:paraId="6E8342E7" w14:textId="77777777" w:rsidR="0011327F" w:rsidRPr="00D65A20" w:rsidRDefault="0011327F" w:rsidP="006D2791">
      <w:pPr>
        <w:widowControl/>
        <w:suppressAutoHyphens/>
        <w:rPr>
          <w:rFonts w:ascii="Times New Roman" w:hAnsi="Times New Roman"/>
          <w:sz w:val="20"/>
          <w:lang w:val="pt-BR"/>
        </w:rPr>
      </w:pPr>
    </w:p>
    <w:p w14:paraId="6E8342E8" w14:textId="1D7DBD8E" w:rsidR="00440A50" w:rsidRPr="006D2791" w:rsidRDefault="00440A50" w:rsidP="006D2791">
      <w:pPr>
        <w:pStyle w:val="ListParagraph"/>
        <w:numPr>
          <w:ilvl w:val="0"/>
          <w:numId w:val="18"/>
        </w:numPr>
        <w:spacing w:after="0" w:line="240" w:lineRule="auto"/>
        <w:ind w:firstLine="0"/>
        <w:rPr>
          <w:rStyle w:val="FootnoteReference"/>
          <w:rFonts w:ascii="Times New Roman" w:hAnsi="Times New Roman"/>
          <w:sz w:val="20"/>
          <w:lang w:val="pt-BR"/>
        </w:rPr>
      </w:pPr>
      <w:r w:rsidRPr="006D2791">
        <w:rPr>
          <w:rFonts w:ascii="Times New Roman" w:hAnsi="Times New Roman"/>
          <w:sz w:val="20"/>
          <w:lang w:val="pt-BR"/>
        </w:rPr>
        <w:t>(...) Quinquagésimo Período Ordinário de Sessões da Assembleia Geral.</w:t>
      </w:r>
    </w:p>
    <w:p w14:paraId="6E8342E9" w14:textId="77777777" w:rsidR="00440A50" w:rsidRPr="00D65A20" w:rsidRDefault="00440A50" w:rsidP="006D2791">
      <w:pPr>
        <w:widowControl/>
        <w:suppressAutoHyphens/>
        <w:rPr>
          <w:rFonts w:ascii="Times New Roman" w:hAnsi="Times New Roman"/>
          <w:sz w:val="20"/>
          <w:lang w:val="pt-BR"/>
        </w:rPr>
      </w:pPr>
    </w:p>
    <w:p w14:paraId="6E8342EA" w14:textId="33B0DC0D" w:rsidR="0011327F" w:rsidRPr="00D65A20" w:rsidRDefault="00440A50" w:rsidP="006D2791">
      <w:pPr>
        <w:widowControl/>
        <w:suppressAutoHyphens/>
        <w:ind w:firstLine="720"/>
        <w:rPr>
          <w:rFonts w:ascii="Times New Roman" w:hAnsi="Times New Roman"/>
          <w:sz w:val="20"/>
          <w:lang w:val="pt-BR"/>
        </w:rPr>
      </w:pPr>
      <w:r w:rsidRPr="00D65A20">
        <w:rPr>
          <w:rFonts w:ascii="Times New Roman" w:hAnsi="Times New Roman"/>
          <w:sz w:val="20"/>
          <w:lang w:val="pt-BR"/>
        </w:rPr>
        <w:t>3</w:t>
      </w:r>
      <w:r w:rsidR="0011327F" w:rsidRPr="00D65A20">
        <w:rPr>
          <w:rFonts w:ascii="Times New Roman" w:hAnsi="Times New Roman"/>
          <w:sz w:val="20"/>
          <w:lang w:val="pt-BR"/>
        </w:rPr>
        <w:t>.</w:t>
      </w:r>
      <w:r w:rsidR="0011327F" w:rsidRPr="00D65A20">
        <w:rPr>
          <w:rFonts w:ascii="Times New Roman" w:hAnsi="Times New Roman"/>
          <w:sz w:val="20"/>
          <w:lang w:val="pt-BR"/>
        </w:rPr>
        <w:tab/>
        <w:t xml:space="preserve">(...) cibernético e a </w:t>
      </w:r>
      <w:r w:rsidR="006C2CA3" w:rsidRPr="00D65A20">
        <w:rPr>
          <w:rFonts w:ascii="Times New Roman" w:hAnsi="Times New Roman"/>
          <w:sz w:val="20"/>
          <w:lang w:val="pt-BR"/>
        </w:rPr>
        <w:t>COT</w:t>
      </w:r>
      <w:r w:rsidR="0011327F" w:rsidRPr="00D65A20">
        <w:rPr>
          <w:rFonts w:ascii="Times New Roman" w:hAnsi="Times New Roman"/>
          <w:sz w:val="20"/>
          <w:lang w:val="pt-BR"/>
        </w:rPr>
        <w:t xml:space="preserve">, Washington, D.C., 5 de dezembro de 2019; Quarta Reunião de Autoridades Penitenciárias, São Domingos, República Dominicana, 3 e 4 de fevereiro de 2020; reunião para considerar ferramentas </w:t>
      </w:r>
      <w:r w:rsidR="006C2CA3" w:rsidRPr="00D65A20">
        <w:rPr>
          <w:rFonts w:ascii="Times New Roman" w:hAnsi="Times New Roman"/>
          <w:sz w:val="20"/>
          <w:lang w:val="pt-BR"/>
        </w:rPr>
        <w:t>que fortaleçam as</w:t>
      </w:r>
      <w:r w:rsidR="0011327F" w:rsidRPr="00D65A20">
        <w:rPr>
          <w:rFonts w:ascii="Times New Roman" w:hAnsi="Times New Roman"/>
          <w:sz w:val="20"/>
          <w:lang w:val="pt-BR"/>
        </w:rPr>
        <w:t xml:space="preserve"> medidas legislativas e de cooperação </w:t>
      </w:r>
      <w:r w:rsidR="006C2CA3" w:rsidRPr="00D65A20">
        <w:rPr>
          <w:rFonts w:ascii="Times New Roman" w:hAnsi="Times New Roman"/>
          <w:sz w:val="20"/>
          <w:lang w:val="pt-BR"/>
        </w:rPr>
        <w:t xml:space="preserve">a fim de </w:t>
      </w:r>
      <w:r w:rsidR="0011327F" w:rsidRPr="00D65A20">
        <w:rPr>
          <w:rFonts w:ascii="Times New Roman" w:hAnsi="Times New Roman"/>
          <w:sz w:val="20"/>
          <w:lang w:val="pt-BR"/>
        </w:rPr>
        <w:t>combater a criminalidade organizada transnacional, Washington, D.C., 20 de fevereiro de 2020; Preocupações de segurança da América Central, 11 de junho de 2020 (reunião virtual); Preocupações especiais de segurança dos pequenos Estados insulares e de zonas litorâneas baixas em desenvolvimento do Caribe, 25 de junho de 2020 (reunião virtual); Sexagésimo Sétimo Período Ordinário de Sessões da CICAD, 16 de julho de 2020 (reunião virtual).</w:t>
      </w:r>
    </w:p>
    <w:p w14:paraId="6E8342EB" w14:textId="77777777" w:rsidR="0011327F" w:rsidRPr="00D65A20" w:rsidRDefault="0011327F" w:rsidP="00AA4399">
      <w:pPr>
        <w:widowControl/>
        <w:rPr>
          <w:rFonts w:ascii="Times New Roman" w:hAnsi="Times New Roman"/>
          <w:lang w:val="pt-BR"/>
        </w:rPr>
      </w:pPr>
    </w:p>
    <w:p w14:paraId="6E8342EC" w14:textId="47F0CF40" w:rsidR="0011327F" w:rsidRPr="00D65A20" w:rsidRDefault="00440A50" w:rsidP="00AA4399">
      <w:pPr>
        <w:widowControl/>
        <w:suppressAutoHyphens/>
        <w:ind w:firstLine="720"/>
        <w:rPr>
          <w:rFonts w:ascii="Times New Roman" w:hAnsi="Times New Roman"/>
          <w:lang w:val="pt-BR"/>
        </w:rPr>
      </w:pPr>
      <w:r w:rsidRPr="00D65A20">
        <w:rPr>
          <w:rFonts w:ascii="Times New Roman" w:hAnsi="Times New Roman"/>
          <w:sz w:val="20"/>
          <w:lang w:val="pt-BR"/>
        </w:rPr>
        <w:t>4</w:t>
      </w:r>
      <w:r w:rsidR="0011327F" w:rsidRPr="00D65A20">
        <w:rPr>
          <w:rFonts w:ascii="Times New Roman" w:hAnsi="Times New Roman"/>
          <w:sz w:val="20"/>
          <w:lang w:val="pt-BR"/>
        </w:rPr>
        <w:t>.</w:t>
      </w:r>
      <w:r w:rsidR="0011327F" w:rsidRPr="00D65A20">
        <w:rPr>
          <w:rFonts w:ascii="Times New Roman" w:hAnsi="Times New Roman"/>
          <w:sz w:val="20"/>
          <w:lang w:val="pt-BR"/>
        </w:rPr>
        <w:tab/>
        <w:t xml:space="preserve">(...) do </w:t>
      </w:r>
      <w:r w:rsidR="00905786" w:rsidRPr="00D65A20">
        <w:rPr>
          <w:rFonts w:ascii="Times New Roman" w:hAnsi="Times New Roman"/>
          <w:sz w:val="20"/>
          <w:lang w:val="pt-BR"/>
        </w:rPr>
        <w:t>Tratado de Não Proliferação de Armas Nucleares (</w:t>
      </w:r>
      <w:r w:rsidR="0011327F" w:rsidRPr="00D65A20">
        <w:rPr>
          <w:rFonts w:ascii="Times New Roman" w:hAnsi="Times New Roman"/>
          <w:sz w:val="20"/>
          <w:lang w:val="pt-BR"/>
        </w:rPr>
        <w:t>TNP</w:t>
      </w:r>
      <w:r w:rsidR="00905786" w:rsidRPr="00D65A20">
        <w:rPr>
          <w:rFonts w:ascii="Times New Roman" w:hAnsi="Times New Roman"/>
          <w:sz w:val="20"/>
          <w:lang w:val="pt-BR"/>
        </w:rPr>
        <w:t>)</w:t>
      </w:r>
      <w:r w:rsidR="0011327F" w:rsidRPr="00D65A20">
        <w:rPr>
          <w:rFonts w:ascii="Times New Roman" w:hAnsi="Times New Roman"/>
          <w:sz w:val="20"/>
          <w:lang w:val="pt-BR"/>
        </w:rPr>
        <w:t xml:space="preserve">. Nenhum Estado que possui armas nucleares ou que depende dessas armas para sua segurança apoia esse tratado. E esse tratado não resultará na eliminação de uma única arma nuclear, não aumentará a segurança de nenhum Estado, nem contribuirá de forma tangível para a paz e a segurança na realidade geopolítica do século XXI. Em vez disso, prejudicará os esforços legítimos voltados a fazer avançar a causa do desarmamento nuclear. Esse tratado ignora os atuais desafios de segurança que tornam necessária a dissuasão nuclear e arrisca solapar os esforços que estão sendo envidados para abordar os desafios de proliferação e segurança mundial. Nós também queremos alcançar um ambiente de segurança que torne possível esse progresso e também queremos obter um progresso maior e mais rápido no que se refere ao desarmamento nuclear, mas o </w:t>
      </w:r>
      <w:r w:rsidR="000844AB" w:rsidRPr="00D65A20">
        <w:rPr>
          <w:rFonts w:ascii="Times New Roman" w:hAnsi="Times New Roman"/>
          <w:sz w:val="20"/>
          <w:lang w:val="pt-BR"/>
        </w:rPr>
        <w:t xml:space="preserve">TPAN </w:t>
      </w:r>
      <w:r w:rsidR="0011327F" w:rsidRPr="00D65A20">
        <w:rPr>
          <w:rFonts w:ascii="Times New Roman" w:hAnsi="Times New Roman"/>
          <w:sz w:val="20"/>
          <w:lang w:val="pt-BR"/>
        </w:rPr>
        <w:t xml:space="preserve">não é a resposta. Medidas eficazes e verificáveis de controle de armas e desarmamento provaram ser as ferramentas apropriadas para limitar os riscos nucleares e prevenir a guerra nuclear. O </w:t>
      </w:r>
      <w:r w:rsidR="000844AB" w:rsidRPr="00D65A20">
        <w:rPr>
          <w:rFonts w:ascii="Times New Roman" w:hAnsi="Times New Roman"/>
          <w:sz w:val="20"/>
          <w:lang w:val="pt-BR"/>
        </w:rPr>
        <w:t xml:space="preserve">TPAN </w:t>
      </w:r>
      <w:r w:rsidR="0011327F" w:rsidRPr="00D65A20">
        <w:rPr>
          <w:rFonts w:ascii="Times New Roman" w:hAnsi="Times New Roman"/>
          <w:sz w:val="20"/>
          <w:lang w:val="pt-BR"/>
        </w:rPr>
        <w:t>não pode substituir o TNP como padrão de referência mundial para a não proliferação nuclear, o desarmamento nuclear e os usos pacíficos da energia nuclear. Reiteramos nosso contínuo compromisso com a melhor abordagem refletida no TNP, incluindo suas disposições para o desarmamento, e reafirmamos nossa determinação de salvaguardar e seguir promovendo sua autoridade, universalidade e eficácia. Os Estados Unidos convidam todos os Estados a apoiarem a busca dos EUA por uma “nova era de controle de armas” enquanto procuramos engajar a Rússia e a China para limitar todas as ogivas nucleares e fortalecer a verificação, bem como participar de outros diálogos que facilitem o progresso no desarmamento nuclear. Nesse sentido, saudamos a participação dos Estados regionais na iniciativa “Criando o Ambiente para o Desarmamento Nuclear” (CEND, na sua sigla em inglês).</w:t>
      </w:r>
    </w:p>
    <w:p w14:paraId="6E8342EE" w14:textId="7C4B940D" w:rsidR="0011327F" w:rsidRPr="00D65A20" w:rsidRDefault="00440A50" w:rsidP="00AA4399">
      <w:pPr>
        <w:widowControl/>
        <w:ind w:firstLine="720"/>
        <w:rPr>
          <w:rFonts w:ascii="Times New Roman" w:eastAsia="Calibri" w:hAnsi="Times New Roman"/>
          <w:sz w:val="20"/>
          <w:lang w:val="pt-BR"/>
        </w:rPr>
      </w:pPr>
      <w:r w:rsidRPr="00D65A20">
        <w:rPr>
          <w:rFonts w:ascii="Times New Roman" w:hAnsi="Times New Roman"/>
          <w:sz w:val="20"/>
          <w:lang w:val="pt-BR"/>
        </w:rPr>
        <w:lastRenderedPageBreak/>
        <w:t>5</w:t>
      </w:r>
      <w:r w:rsidR="0011327F" w:rsidRPr="00D65A20">
        <w:rPr>
          <w:rFonts w:ascii="Times New Roman" w:hAnsi="Times New Roman"/>
          <w:sz w:val="20"/>
          <w:lang w:val="pt-BR"/>
        </w:rPr>
        <w:t>.</w:t>
      </w:r>
      <w:r w:rsidR="0011327F" w:rsidRPr="00D65A20">
        <w:rPr>
          <w:rFonts w:ascii="Times New Roman" w:hAnsi="Times New Roman"/>
          <w:sz w:val="20"/>
          <w:lang w:val="pt-BR"/>
        </w:rPr>
        <w:tab/>
        <w:t xml:space="preserve">(...) </w:t>
      </w:r>
      <w:r w:rsidR="0011327F" w:rsidRPr="00D65A20">
        <w:rPr>
          <w:rFonts w:ascii="Times New Roman" w:eastAsia="Calibri" w:hAnsi="Times New Roman"/>
          <w:sz w:val="20"/>
          <w:lang w:val="pt-BR"/>
        </w:rPr>
        <w:t>o maior contribuinte para a ajuda à remoção humanitária de minas no mundo e no Hemisfério. Contribuímos com mais de US$ 3,7 bilhões para a destruição de armas convencionais (o que inclui a remoção humanitária de minas) desde 1993. Os Estados Unidos continuarão apoiando os esforços da OEA na eliminação da ameaça humanitária de todas as minas terrestres restantes e na declaração de países “livres de minas”.</w:t>
      </w:r>
    </w:p>
    <w:p w14:paraId="6E8342EF"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pt-BR"/>
        </w:rPr>
      </w:pPr>
    </w:p>
    <w:p w14:paraId="6E8342F0" w14:textId="7A7BB3B3"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pt-BR"/>
        </w:rPr>
      </w:pPr>
      <w:r w:rsidRPr="00D65A20">
        <w:rPr>
          <w:rFonts w:ascii="Times New Roman" w:hAnsi="Times New Roman"/>
          <w:sz w:val="20"/>
          <w:lang w:val="pt-BR"/>
        </w:rPr>
        <w:tab/>
      </w:r>
      <w:r w:rsidR="00440A50" w:rsidRPr="00D65A20">
        <w:rPr>
          <w:rFonts w:ascii="Times New Roman" w:hAnsi="Times New Roman"/>
          <w:sz w:val="20"/>
          <w:lang w:val="pt-BR"/>
        </w:rPr>
        <w:t>6</w:t>
      </w:r>
      <w:r w:rsidRPr="00D65A20">
        <w:rPr>
          <w:rFonts w:ascii="Times New Roman" w:hAnsi="Times New Roman"/>
          <w:sz w:val="20"/>
          <w:lang w:val="pt-BR"/>
        </w:rPr>
        <w:t>.</w:t>
      </w:r>
      <w:r w:rsidRPr="00D65A20">
        <w:rPr>
          <w:rFonts w:ascii="Times New Roman" w:hAnsi="Times New Roman"/>
          <w:sz w:val="20"/>
          <w:lang w:val="pt-BR"/>
        </w:rPr>
        <w:tab/>
        <w:t>(…) político destinado a promover o intercâmbio de ideias, boas práticas e experiências em temas de defesa e segurança. A CMDA não foi criada para coordenar e monitorar as conferências militares hemisféricas especializadas nem para desenvolver mecanismos operacionais.</w:t>
      </w:r>
    </w:p>
    <w:p w14:paraId="6E8342F1"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pt-BR"/>
        </w:rPr>
      </w:pPr>
    </w:p>
    <w:p w14:paraId="6E8342F2" w14:textId="76A9D954"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pt-BR"/>
        </w:rPr>
      </w:pPr>
      <w:r w:rsidRPr="00D65A20">
        <w:rPr>
          <w:rFonts w:ascii="Times New Roman" w:hAnsi="Times New Roman"/>
          <w:sz w:val="20"/>
          <w:lang w:val="pt-BR"/>
        </w:rPr>
        <w:tab/>
      </w:r>
      <w:r w:rsidR="00440A50" w:rsidRPr="00D65A20">
        <w:rPr>
          <w:rFonts w:ascii="Times New Roman" w:hAnsi="Times New Roman"/>
          <w:sz w:val="20"/>
          <w:lang w:val="pt-BR"/>
        </w:rPr>
        <w:t>7</w:t>
      </w:r>
      <w:r w:rsidRPr="00D65A20">
        <w:rPr>
          <w:rFonts w:ascii="Times New Roman" w:hAnsi="Times New Roman"/>
          <w:sz w:val="20"/>
          <w:lang w:val="pt-BR"/>
        </w:rPr>
        <w:t>.</w:t>
      </w:r>
      <w:r w:rsidRPr="00D65A20">
        <w:rPr>
          <w:rFonts w:ascii="Times New Roman" w:hAnsi="Times New Roman"/>
          <w:sz w:val="20"/>
          <w:lang w:val="pt-BR"/>
        </w:rPr>
        <w:tab/>
        <w:t xml:space="preserve">(…) na região. Daí a necessidade de que essas medidas se adaptem às condições e às realidades geográficas, políticas, econômicas, sociais, culturais e tecnológicas. Levando em conta esse enfoque, a Nicarágua apoia, de maneira geral, uma medida de confiança voltada para o intercâmbio de informações relacionadas à aprovação e/ou adequação de normas nas legislações que regulem os processos de obtenção de dados e informações, e para o intercâmbio de experiências entre os governos relacionado com a prevenção, gestão e proteção de dados informáticos; no âmbito dessa medida de confiança, a participação dos prestadores de serviço e usuários finais precisa </w:t>
      </w:r>
      <w:r w:rsidR="000844AB" w:rsidRPr="00D65A20">
        <w:rPr>
          <w:rFonts w:ascii="Times New Roman" w:hAnsi="Times New Roman"/>
          <w:sz w:val="20"/>
          <w:lang w:val="pt-BR"/>
        </w:rPr>
        <w:t xml:space="preserve">ser </w:t>
      </w:r>
      <w:r w:rsidRPr="00D65A20">
        <w:rPr>
          <w:rFonts w:ascii="Times New Roman" w:hAnsi="Times New Roman"/>
          <w:sz w:val="20"/>
          <w:lang w:val="pt-BR"/>
        </w:rPr>
        <w:t>voluntária e não deve ser uma obrigação para os Estados.</w:t>
      </w:r>
    </w:p>
    <w:p w14:paraId="6E8342F3"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pt-BR"/>
        </w:rPr>
      </w:pPr>
    </w:p>
    <w:p w14:paraId="6E8342F4" w14:textId="6D035CBB"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pt-BR"/>
        </w:rPr>
      </w:pPr>
      <w:r w:rsidRPr="00D65A20">
        <w:rPr>
          <w:rFonts w:ascii="Times New Roman" w:hAnsi="Times New Roman"/>
          <w:sz w:val="20"/>
          <w:lang w:val="pt-BR"/>
        </w:rPr>
        <w:tab/>
      </w:r>
      <w:r w:rsidR="00440A50" w:rsidRPr="00D65A20">
        <w:rPr>
          <w:rFonts w:ascii="Times New Roman" w:hAnsi="Times New Roman"/>
          <w:sz w:val="20"/>
          <w:lang w:val="pt-BR"/>
        </w:rPr>
        <w:t>8</w:t>
      </w:r>
      <w:r w:rsidRPr="00D65A20">
        <w:rPr>
          <w:rFonts w:ascii="Times New Roman" w:hAnsi="Times New Roman"/>
          <w:sz w:val="20"/>
          <w:lang w:val="pt-BR"/>
        </w:rPr>
        <w:t>.</w:t>
      </w:r>
      <w:r w:rsidRPr="00D65A20">
        <w:rPr>
          <w:rFonts w:ascii="Times New Roman" w:hAnsi="Times New Roman"/>
          <w:sz w:val="20"/>
          <w:lang w:val="pt-BR"/>
        </w:rPr>
        <w:tab/>
        <w:t>(…) esforços e recursos dos países, sobretudo quando já existem linhas e programas de apoio no âmbito das reuniões da MISPA com componentes policiais. O papel da SSM é acompanhar esses resultados.</w:t>
      </w:r>
    </w:p>
    <w:p w14:paraId="6E8342F5"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pt-BR"/>
        </w:rPr>
      </w:pPr>
    </w:p>
    <w:p w14:paraId="6E8342F6" w14:textId="35095D75"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pt-BR"/>
        </w:rPr>
      </w:pPr>
      <w:r w:rsidRPr="00D65A20">
        <w:rPr>
          <w:rFonts w:ascii="Times New Roman" w:hAnsi="Times New Roman"/>
          <w:sz w:val="20"/>
          <w:lang w:val="pt-BR"/>
        </w:rPr>
        <w:tab/>
      </w:r>
      <w:r w:rsidR="00440A50" w:rsidRPr="00D65A20">
        <w:rPr>
          <w:rFonts w:ascii="Times New Roman" w:hAnsi="Times New Roman"/>
          <w:sz w:val="20"/>
          <w:lang w:val="pt-BR"/>
        </w:rPr>
        <w:t>10</w:t>
      </w:r>
      <w:r w:rsidRPr="00D65A20">
        <w:rPr>
          <w:rFonts w:ascii="Times New Roman" w:hAnsi="Times New Roman"/>
          <w:sz w:val="20"/>
          <w:lang w:val="pt-BR"/>
        </w:rPr>
        <w:t>.</w:t>
      </w:r>
      <w:r w:rsidRPr="00D65A20">
        <w:rPr>
          <w:rFonts w:ascii="Times New Roman" w:hAnsi="Times New Roman"/>
          <w:sz w:val="20"/>
          <w:lang w:val="pt-BR"/>
        </w:rPr>
        <w:tab/>
        <w:t>(...) Nicarágua não aprova o Compromisso de Lima</w:t>
      </w:r>
      <w:r w:rsidR="00E51ECB" w:rsidRPr="00D65A20">
        <w:rPr>
          <w:rFonts w:ascii="Times New Roman" w:hAnsi="Times New Roman"/>
          <w:sz w:val="20"/>
          <w:lang w:val="pt-BR"/>
        </w:rPr>
        <w:t>:</w:t>
      </w:r>
      <w:r w:rsidRPr="00D65A20">
        <w:rPr>
          <w:rFonts w:ascii="Times New Roman" w:hAnsi="Times New Roman"/>
          <w:sz w:val="20"/>
          <w:lang w:val="pt-BR"/>
        </w:rPr>
        <w:t xml:space="preserve"> “Governabilidade democrática frente à corrupção”, nem outros documentos, declarações, comunicados ou resoluções que emanem da referida Cúpula, por não ter participado da sua negociação.</w:t>
      </w:r>
    </w:p>
    <w:p w14:paraId="6E8342F7"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pt-BR"/>
        </w:rPr>
      </w:pPr>
    </w:p>
    <w:p w14:paraId="6E8342F8" w14:textId="66B8B766"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pt-BR"/>
        </w:rPr>
      </w:pPr>
      <w:r w:rsidRPr="00D65A20">
        <w:rPr>
          <w:rFonts w:ascii="Times New Roman" w:hAnsi="Times New Roman"/>
          <w:sz w:val="20"/>
          <w:lang w:val="pt-BR"/>
        </w:rPr>
        <w:tab/>
        <w:t>1</w:t>
      </w:r>
      <w:r w:rsidR="00440A50" w:rsidRPr="00D65A20">
        <w:rPr>
          <w:rFonts w:ascii="Times New Roman" w:hAnsi="Times New Roman"/>
          <w:sz w:val="20"/>
          <w:lang w:val="pt-BR"/>
        </w:rPr>
        <w:t>1</w:t>
      </w:r>
      <w:r w:rsidRPr="00D65A20">
        <w:rPr>
          <w:rFonts w:ascii="Times New Roman" w:hAnsi="Times New Roman"/>
          <w:sz w:val="20"/>
          <w:lang w:val="pt-BR"/>
        </w:rPr>
        <w:t>.</w:t>
      </w:r>
      <w:r w:rsidRPr="00D65A20">
        <w:rPr>
          <w:rFonts w:ascii="Times New Roman" w:hAnsi="Times New Roman"/>
          <w:sz w:val="20"/>
          <w:lang w:val="pt-BR"/>
        </w:rPr>
        <w:tab/>
        <w:t xml:space="preserve">(…) assinou diversos instrumentos internacionais em matéria de combate e prevenção do tráfico ilícito de armas e incorporou à legislação nacional o Programa de Ação e o Instrumento Internacional de Rastreamento de Armas por meio da Lei Especial para o Controle e a Regulamentação de Armas de Fogo, Munições, Explosivos e Outros Materiais Correlatos, Lei 510, que nos permitiu desenvolver um rigoroso plano de controle e registro de armas de fogo em mãos dos civis e </w:t>
      </w:r>
      <w:r w:rsidR="00520877" w:rsidRPr="00D65A20">
        <w:rPr>
          <w:rFonts w:ascii="Times New Roman" w:hAnsi="Times New Roman"/>
          <w:sz w:val="20"/>
          <w:lang w:val="pt-BR"/>
        </w:rPr>
        <w:t>de confisco</w:t>
      </w:r>
      <w:r w:rsidRPr="00D65A20">
        <w:rPr>
          <w:rFonts w:ascii="Times New Roman" w:hAnsi="Times New Roman"/>
          <w:sz w:val="20"/>
          <w:lang w:val="pt-BR"/>
        </w:rPr>
        <w:t xml:space="preserve"> de armas de guerra. Como nação, somos conscientes do impacto humanitário e de todas as sequelas originadas desse flagelo no Hemisfério e, em particular, na região centro-americana, pelo que continuamos comprometidos com o multilateralismo para combater esse desafio.</w:t>
      </w:r>
    </w:p>
    <w:p w14:paraId="6E8342F9"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pt-BR"/>
        </w:rPr>
      </w:pPr>
    </w:p>
    <w:p w14:paraId="6E8342FA" w14:textId="5760C036"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pt-BR"/>
        </w:rPr>
      </w:pPr>
      <w:r w:rsidRPr="00D65A20">
        <w:rPr>
          <w:rFonts w:ascii="Times New Roman" w:hAnsi="Times New Roman"/>
          <w:sz w:val="20"/>
          <w:lang w:val="pt-BR"/>
        </w:rPr>
        <w:tab/>
        <w:t>1</w:t>
      </w:r>
      <w:r w:rsidR="00440A50" w:rsidRPr="00D65A20">
        <w:rPr>
          <w:rFonts w:ascii="Times New Roman" w:hAnsi="Times New Roman"/>
          <w:sz w:val="20"/>
          <w:lang w:val="pt-BR"/>
        </w:rPr>
        <w:t>2</w:t>
      </w:r>
      <w:r w:rsidRPr="00D65A20">
        <w:rPr>
          <w:rFonts w:ascii="Times New Roman" w:hAnsi="Times New Roman"/>
          <w:sz w:val="20"/>
          <w:lang w:val="pt-BR"/>
        </w:rPr>
        <w:t>.</w:t>
      </w:r>
      <w:r w:rsidRPr="00D65A20">
        <w:rPr>
          <w:rFonts w:ascii="Times New Roman" w:hAnsi="Times New Roman"/>
          <w:sz w:val="20"/>
          <w:lang w:val="pt-BR"/>
        </w:rPr>
        <w:tab/>
        <w:t>(...) pequenas e armamento leve (APAL) e suas munições e o seu impacto na América Latina e no Caribe”, implementado pelo DSP, com financiamento da União Europeia, é uma ferramenta de apoio que compila e permite o intercâmbio de informações sobre os diversos temas relacionados com o controle de APAL no Hemisfério. A Rede contém informações sobre as diversas atividades implementadas no âmbito do projeto e sobre materiais e boas práticas no tema.</w:t>
      </w:r>
    </w:p>
    <w:p w14:paraId="6E8342FB"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pt-BR"/>
        </w:rPr>
      </w:pPr>
    </w:p>
    <w:p w14:paraId="6E8342FC" w14:textId="35BAB0A2"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333333"/>
          <w:sz w:val="20"/>
          <w:lang w:val="pt-BR"/>
        </w:rPr>
      </w:pPr>
      <w:r w:rsidRPr="00D65A20">
        <w:rPr>
          <w:rFonts w:ascii="Times New Roman" w:hAnsi="Times New Roman"/>
          <w:color w:val="333333"/>
          <w:sz w:val="20"/>
          <w:lang w:val="pt-BR"/>
        </w:rPr>
        <w:t>1</w:t>
      </w:r>
      <w:r w:rsidR="00440A50" w:rsidRPr="00D65A20">
        <w:rPr>
          <w:rFonts w:ascii="Times New Roman" w:hAnsi="Times New Roman"/>
          <w:color w:val="333333"/>
          <w:sz w:val="20"/>
          <w:lang w:val="pt-BR"/>
        </w:rPr>
        <w:t>3</w:t>
      </w:r>
      <w:r w:rsidRPr="00D65A20">
        <w:rPr>
          <w:rFonts w:ascii="Times New Roman" w:hAnsi="Times New Roman"/>
          <w:color w:val="333333"/>
          <w:sz w:val="20"/>
          <w:lang w:val="pt-BR"/>
        </w:rPr>
        <w:t>.</w:t>
      </w:r>
      <w:r w:rsidRPr="00D65A20">
        <w:rPr>
          <w:rFonts w:ascii="Times New Roman" w:hAnsi="Times New Roman"/>
          <w:color w:val="333333"/>
          <w:sz w:val="20"/>
          <w:lang w:val="pt-BR"/>
        </w:rPr>
        <w:tab/>
        <w:t xml:space="preserve">(...) </w:t>
      </w:r>
      <w:r w:rsidRPr="00D65A20">
        <w:rPr>
          <w:rFonts w:ascii="Times New Roman" w:hAnsi="Times New Roman"/>
          <w:sz w:val="20"/>
          <w:lang w:val="pt-BR"/>
        </w:rPr>
        <w:t>todos os impactos socioeconômicos da pandemia. Será importante garantir que essas questões não deixem de ser o foco de atenção dos foros que detêm a maior capacidade técnica, o conhecimento institucional mais profundo e cujo mandado seja o de atuar nessas questões específicas.</w:t>
      </w:r>
      <w:r w:rsidRPr="00D65A20">
        <w:rPr>
          <w:rFonts w:ascii="Times New Roman" w:hAnsi="Times New Roman"/>
          <w:color w:val="333333"/>
          <w:sz w:val="20"/>
          <w:lang w:val="pt-BR"/>
        </w:rPr>
        <w:t xml:space="preserve"> </w:t>
      </w:r>
    </w:p>
    <w:p w14:paraId="6E8342FD"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333333"/>
          <w:sz w:val="20"/>
          <w:lang w:val="pt-BR"/>
        </w:rPr>
      </w:pPr>
    </w:p>
    <w:p w14:paraId="6E8342FE" w14:textId="56170899"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333333"/>
          <w:sz w:val="20"/>
          <w:lang w:val="pt-BR"/>
        </w:rPr>
      </w:pPr>
      <w:r w:rsidRPr="00D65A20">
        <w:rPr>
          <w:rFonts w:ascii="Times New Roman" w:hAnsi="Times New Roman"/>
          <w:color w:val="333333"/>
          <w:sz w:val="20"/>
          <w:lang w:val="pt-BR"/>
        </w:rPr>
        <w:t>1</w:t>
      </w:r>
      <w:r w:rsidR="00440A50" w:rsidRPr="00D65A20">
        <w:rPr>
          <w:rFonts w:ascii="Times New Roman" w:hAnsi="Times New Roman"/>
          <w:color w:val="333333"/>
          <w:sz w:val="20"/>
          <w:lang w:val="pt-BR"/>
        </w:rPr>
        <w:t>4</w:t>
      </w:r>
      <w:r w:rsidRPr="00D65A20">
        <w:rPr>
          <w:rFonts w:ascii="Times New Roman" w:hAnsi="Times New Roman"/>
          <w:color w:val="333333"/>
          <w:sz w:val="20"/>
          <w:lang w:val="pt-BR"/>
        </w:rPr>
        <w:t>.</w:t>
      </w:r>
      <w:r w:rsidRPr="00D65A20">
        <w:rPr>
          <w:rFonts w:ascii="Times New Roman" w:hAnsi="Times New Roman"/>
          <w:color w:val="333333"/>
          <w:sz w:val="20"/>
          <w:lang w:val="pt-BR"/>
        </w:rPr>
        <w:tab/>
        <w:t>(...)</w:t>
      </w:r>
      <w:r w:rsidRPr="00D65A20">
        <w:rPr>
          <w:rFonts w:ascii="Times New Roman" w:hAnsi="Times New Roman"/>
          <w:sz w:val="20"/>
          <w:lang w:val="pt-BR"/>
        </w:rPr>
        <w:t xml:space="preserve"> da dívida dos Estados do Caribe. O Brasil acredita que a Comissão de Segurança Hemisférica da OEA não seja o foro adequado para tratar desse assunto. O Brasil avalia que, para abordagem mais criteriosa sobre a questão, esses temas deveriam ser discutidos nos organismos econômicos internacionais especializados. </w:t>
      </w:r>
    </w:p>
    <w:p w14:paraId="6E8342FF" w14:textId="77777777"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333333"/>
          <w:sz w:val="20"/>
          <w:lang w:val="pt-BR"/>
        </w:rPr>
      </w:pPr>
    </w:p>
    <w:p w14:paraId="6E834300" w14:textId="4CB1B5F0" w:rsidR="0011327F"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 w:val="16"/>
          <w:szCs w:val="16"/>
          <w:lang w:val="pt-BR"/>
        </w:rPr>
      </w:pPr>
      <w:r w:rsidRPr="00D65A20">
        <w:rPr>
          <w:rFonts w:ascii="Times New Roman" w:hAnsi="Times New Roman"/>
          <w:color w:val="333333"/>
          <w:sz w:val="20"/>
          <w:lang w:val="pt-BR"/>
        </w:rPr>
        <w:t>1</w:t>
      </w:r>
      <w:r w:rsidR="00440A50" w:rsidRPr="00D65A20">
        <w:rPr>
          <w:rFonts w:ascii="Times New Roman" w:hAnsi="Times New Roman"/>
          <w:color w:val="333333"/>
          <w:sz w:val="20"/>
          <w:lang w:val="pt-BR"/>
        </w:rPr>
        <w:t>5</w:t>
      </w:r>
      <w:r w:rsidRPr="00D65A20">
        <w:rPr>
          <w:rFonts w:ascii="Times New Roman" w:hAnsi="Times New Roman"/>
          <w:color w:val="333333"/>
          <w:sz w:val="20"/>
          <w:lang w:val="pt-BR"/>
        </w:rPr>
        <w:t>.</w:t>
      </w:r>
      <w:r w:rsidRPr="00D65A20">
        <w:rPr>
          <w:rFonts w:ascii="Times New Roman" w:hAnsi="Times New Roman"/>
          <w:color w:val="333333"/>
          <w:sz w:val="20"/>
          <w:lang w:val="pt-BR"/>
        </w:rPr>
        <w:tab/>
        <w:t>(…) em 4 de novembro de 2019, apresentaram notificação oficial às Nações Unidas sobre sua saída do Acordo de Paris. A saída surtirá efeito um ano após a entrega da notificação.</w:t>
      </w:r>
    </w:p>
    <w:p w14:paraId="6E834301" w14:textId="77777777" w:rsidR="0011327F" w:rsidRPr="00D65A20" w:rsidRDefault="0011327F" w:rsidP="00AA4399">
      <w:pPr>
        <w:widowControl/>
        <w:rPr>
          <w:rFonts w:ascii="Times New Roman" w:hAnsi="Times New Roman"/>
          <w:lang w:val="pt-BR"/>
        </w:rPr>
      </w:pPr>
    </w:p>
    <w:p w14:paraId="6E834302" w14:textId="589DA8A7" w:rsidR="0011327F" w:rsidRPr="00D65A20" w:rsidRDefault="0011327F" w:rsidP="00AA4399">
      <w:pPr>
        <w:widowControl/>
        <w:rPr>
          <w:rFonts w:ascii="Times New Roman" w:hAnsi="Times New Roman"/>
          <w:sz w:val="20"/>
          <w:lang w:val="pt-BR"/>
        </w:rPr>
      </w:pPr>
      <w:r w:rsidRPr="00D65A20">
        <w:rPr>
          <w:rFonts w:ascii="Times New Roman" w:hAnsi="Times New Roman"/>
          <w:sz w:val="20"/>
          <w:lang w:val="pt-BR"/>
        </w:rPr>
        <w:lastRenderedPageBreak/>
        <w:tab/>
        <w:t>1</w:t>
      </w:r>
      <w:r w:rsidR="00440A50" w:rsidRPr="00D65A20">
        <w:rPr>
          <w:rFonts w:ascii="Times New Roman" w:hAnsi="Times New Roman"/>
          <w:sz w:val="20"/>
          <w:lang w:val="pt-BR"/>
        </w:rPr>
        <w:t>6</w:t>
      </w:r>
      <w:r w:rsidRPr="00D65A20">
        <w:rPr>
          <w:rFonts w:ascii="Times New Roman" w:hAnsi="Times New Roman"/>
          <w:sz w:val="20"/>
          <w:lang w:val="pt-BR"/>
        </w:rPr>
        <w:t>.</w:t>
      </w:r>
      <w:r w:rsidRPr="00D65A20">
        <w:rPr>
          <w:rFonts w:ascii="Times New Roman" w:hAnsi="Times New Roman"/>
          <w:sz w:val="20"/>
          <w:lang w:val="pt-BR"/>
        </w:rPr>
        <w:tab/>
        <w:t>(…) desta seção pelo fato de o seu conteúdo extrapolar as funções da JID ao atribuir-lhe funções e competências que não condizem com a natureza e a especialidade desse organismo. É por isso que as respostas aos desafios em matéria de segurança originadas pela mudança do clima são definidas no âmbito de competência de cada Estado membro da Organização dos Estados Americanos.</w:t>
      </w:r>
    </w:p>
    <w:p w14:paraId="6E834303" w14:textId="77777777" w:rsidR="0011327F" w:rsidRPr="00D65A20" w:rsidRDefault="0011327F" w:rsidP="00AA4399">
      <w:pPr>
        <w:widowControl/>
        <w:rPr>
          <w:rFonts w:ascii="Times New Roman" w:hAnsi="Times New Roman"/>
          <w:sz w:val="20"/>
          <w:lang w:val="pt-BR"/>
        </w:rPr>
      </w:pPr>
    </w:p>
    <w:p w14:paraId="6E834304" w14:textId="335C0129" w:rsidR="0011327F" w:rsidRPr="00D65A20" w:rsidRDefault="0011327F" w:rsidP="00AA4399">
      <w:pPr>
        <w:widowControl/>
        <w:rPr>
          <w:rFonts w:ascii="Times New Roman" w:hAnsi="Times New Roman"/>
          <w:sz w:val="20"/>
          <w:lang w:val="pt-BR"/>
        </w:rPr>
      </w:pPr>
      <w:r w:rsidRPr="00D65A20">
        <w:rPr>
          <w:rFonts w:ascii="Times New Roman" w:hAnsi="Times New Roman"/>
          <w:sz w:val="20"/>
          <w:lang w:val="pt-BR"/>
        </w:rPr>
        <w:tab/>
        <w:t>1</w:t>
      </w:r>
      <w:r w:rsidR="00440A50" w:rsidRPr="00D65A20">
        <w:rPr>
          <w:rFonts w:ascii="Times New Roman" w:hAnsi="Times New Roman"/>
          <w:sz w:val="20"/>
          <w:lang w:val="pt-BR"/>
        </w:rPr>
        <w:t>7</w:t>
      </w:r>
      <w:r w:rsidRPr="00D65A20">
        <w:rPr>
          <w:rFonts w:ascii="Times New Roman" w:hAnsi="Times New Roman"/>
          <w:sz w:val="20"/>
          <w:lang w:val="pt-BR"/>
        </w:rPr>
        <w:t>.</w:t>
      </w:r>
      <w:r w:rsidRPr="00D65A20">
        <w:rPr>
          <w:rFonts w:ascii="Times New Roman" w:hAnsi="Times New Roman"/>
          <w:sz w:val="20"/>
          <w:lang w:val="pt-BR"/>
        </w:rPr>
        <w:tab/>
        <w:t>(...) multilateralmente adotada no âmbito das Nações Unidas a respeito do tema, a qual se limita a potenciais “efeitos adversos da mudança do clima na segurança”, conforme o parágrafo operativo 26 da Resolução 2349 (2018) do Conselho de Segurança.</w:t>
      </w:r>
    </w:p>
    <w:p w14:paraId="6E834305" w14:textId="77777777" w:rsidR="0011327F" w:rsidRPr="00D65A20" w:rsidRDefault="0011327F" w:rsidP="00AA4399">
      <w:pPr>
        <w:widowControl/>
        <w:rPr>
          <w:rFonts w:ascii="Times New Roman" w:hAnsi="Times New Roman"/>
          <w:sz w:val="20"/>
          <w:lang w:val="pt-BR"/>
        </w:rPr>
      </w:pPr>
    </w:p>
    <w:p w14:paraId="6E834306" w14:textId="77777777" w:rsidR="0011327F" w:rsidRPr="00D65A20" w:rsidRDefault="0011327F" w:rsidP="00AA4399">
      <w:pPr>
        <w:widowControl/>
        <w:rPr>
          <w:rFonts w:ascii="Times New Roman" w:hAnsi="Times New Roman"/>
          <w:sz w:val="20"/>
          <w:lang w:val="pt-BR"/>
        </w:rPr>
      </w:pPr>
      <w:r w:rsidRPr="00D65A20">
        <w:rPr>
          <w:rFonts w:ascii="Times New Roman" w:hAnsi="Times New Roman"/>
          <w:sz w:val="20"/>
          <w:lang w:val="pt-BR"/>
        </w:rPr>
        <w:tab/>
        <w:t>Para o Brasil, a Comissão de Segurança Hemisférica da OEA não oferece foro adequado para tratar do tema da mudança do clima. A instância adequada para o tratamento dessa agenda é o ambiente negociador vinculado à Convenção-Quadro das Nações Unidas sobre Mudança do Clima (UNFCCC). O Brasil defende que potenciais impactos adversos da mudança do clima não constituem, necessariamente, ameaça à paz e à segurança hemisférica, razão pela qual essa relação deve ser completamente matizada e intermediada pelo grau de desenvolvimento socioeconômico dos países da região, o qual impacta, substancialmente, nas capacidades dessas sociedades de responderem e adaptarem-se, adequadamente, aos possíveis efeitos adversos da mudança do clima. Não é claro, portanto, como a linguagem securitária do capítulo poderá contribuir para o adequado enfrentamento dos possíveis impactos adversos da mudança do clima para a segurança dos países da região em respeito às demandas do paradigma do desenvolvimento sustentável e às previsões multilateralmente acordadas do regime internacional da mudança do clima.</w:t>
      </w:r>
    </w:p>
    <w:p w14:paraId="6E834307" w14:textId="77777777" w:rsidR="0011327F" w:rsidRPr="00D65A20" w:rsidRDefault="0011327F" w:rsidP="00AA4399">
      <w:pPr>
        <w:widowControl/>
        <w:rPr>
          <w:rFonts w:ascii="Times New Roman" w:hAnsi="Times New Roman"/>
          <w:sz w:val="20"/>
          <w:lang w:val="pt-BR"/>
        </w:rPr>
      </w:pPr>
    </w:p>
    <w:p w14:paraId="6E834308" w14:textId="6BA54A59" w:rsidR="0011327F" w:rsidRPr="00D65A20" w:rsidRDefault="0011327F" w:rsidP="00AA4399">
      <w:pPr>
        <w:widowControl/>
        <w:rPr>
          <w:rFonts w:ascii="Times New Roman" w:hAnsi="Times New Roman"/>
          <w:szCs w:val="22"/>
          <w:lang w:val="pt-BR"/>
        </w:rPr>
      </w:pPr>
      <w:r w:rsidRPr="00D65A20">
        <w:rPr>
          <w:rFonts w:ascii="Times New Roman" w:hAnsi="Times New Roman"/>
          <w:sz w:val="20"/>
          <w:lang w:val="pt-BR"/>
        </w:rPr>
        <w:tab/>
        <w:t>1</w:t>
      </w:r>
      <w:r w:rsidR="00440A50" w:rsidRPr="00D65A20">
        <w:rPr>
          <w:rFonts w:ascii="Times New Roman" w:hAnsi="Times New Roman"/>
          <w:sz w:val="20"/>
          <w:lang w:val="pt-BR"/>
        </w:rPr>
        <w:t>8</w:t>
      </w:r>
      <w:r w:rsidRPr="00D65A20">
        <w:rPr>
          <w:rFonts w:ascii="Times New Roman" w:hAnsi="Times New Roman"/>
          <w:sz w:val="20"/>
          <w:lang w:val="pt-BR"/>
        </w:rPr>
        <w:t>.</w:t>
      </w:r>
      <w:r w:rsidRPr="00D65A20">
        <w:rPr>
          <w:rFonts w:ascii="Times New Roman" w:hAnsi="Times New Roman"/>
          <w:sz w:val="20"/>
          <w:lang w:val="pt-BR"/>
        </w:rPr>
        <w:tab/>
        <w:t>(…) nossos países. A Nicarágua não está de acordo em que a Junta Interamericana de Defesa intervenha em assuntos militares ou de outra natureza que impliquem menosprezo pela soberania, pela institucionalidade e pelo ordenamento jurídico do país.</w:t>
      </w:r>
    </w:p>
    <w:p w14:paraId="6E834309" w14:textId="77777777" w:rsidR="009260F8" w:rsidRPr="00D65A20" w:rsidRDefault="0011327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rPr>
          <w:rStyle w:val="FootnoteReference"/>
          <w:rFonts w:ascii="Times New Roman" w:hAnsi="Times New Roman"/>
          <w:sz w:val="20"/>
          <w:lang w:val="pt-BR"/>
        </w:rPr>
      </w:pPr>
      <w:r w:rsidRPr="00D65A20">
        <w:rPr>
          <w:rFonts w:ascii="Times New Roman" w:hAnsi="Times New Roman"/>
          <w:noProof/>
          <w:lang w:val="pt-BR"/>
        </w:rPr>
        <w:t xml:space="preserve"> </w:t>
      </w:r>
      <w:bookmarkStart w:id="33" w:name="_Toc56522535"/>
      <w:bookmarkStart w:id="34" w:name="_Toc56526464"/>
      <w:bookmarkStart w:id="35" w:name="_Toc56526674"/>
      <w:r w:rsidR="009260F8" w:rsidRPr="00D65A20">
        <w:rPr>
          <w:rFonts w:ascii="Times New Roman" w:hAnsi="Times New Roman"/>
          <w:noProof/>
          <w:lang w:val="pt-BR" w:eastAsia="pt-BR"/>
        </w:rPr>
        <mc:AlternateContent>
          <mc:Choice Requires="wps">
            <w:drawing>
              <wp:anchor distT="0" distB="0" distL="114300" distR="114300" simplePos="0" relativeHeight="251656192" behindDoc="0" locked="1" layoutInCell="1" allowOverlap="1" wp14:anchorId="6E834F3B" wp14:editId="4A9F9581">
                <wp:simplePos x="0" y="0"/>
                <wp:positionH relativeFrom="column">
                  <wp:posOffset>-91440</wp:posOffset>
                </wp:positionH>
                <wp:positionV relativeFrom="page">
                  <wp:posOffset>9144000</wp:posOffset>
                </wp:positionV>
                <wp:extent cx="1590040" cy="107315"/>
                <wp:effectExtent l="0" t="1905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0040" cy="107315"/>
                        </a:xfrm>
                        <a:prstGeom prst="rect">
                          <a:avLst/>
                        </a:prstGeom>
                        <a:noFill/>
                        <a:ln w="9525" cap="flat" cmpd="sng" algn="ctr">
                          <a:noFill/>
                          <a:prstDash val="solid"/>
                          <a:round/>
                          <a:headEnd type="none" w="med" len="med"/>
                          <a:tailEnd type="none" w="med" len="med"/>
                        </a:ln>
                        <a:effectLst/>
                      </wps:spPr>
                      <wps:txbx>
                        <w:txbxContent>
                          <w:p w14:paraId="6E835036" w14:textId="77777777" w:rsidR="004B5422" w:rsidRPr="00331D67" w:rsidRDefault="004B5422" w:rsidP="009260F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AG08179S02</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E834F3B" id="_x0000_t202" coordsize="21600,21600" o:spt="202" path="m,l,21600r21600,l21600,xe">
                <v:stroke joinstyle="miter"/>
                <v:path gradientshapeok="t" o:connecttype="rect"/>
              </v:shapetype>
              <v:shape id="Text Box 1" o:spid="_x0000_s1026" type="#_x0000_t202" style="position:absolute;left:0;text-align:left;margin-left:-7.2pt;margin-top:10in;width:125.2pt;height: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" filled="f" stroked="f">
                <v:stroke joinstyle="round"/>
                <v:textbox>
                  <w:txbxContent>
                    <w:p w14:paraId="6E835036" w14:textId="77777777" w:rsidR="004B5422" w:rsidRPr="00331D67" w:rsidRDefault="004B5422" w:rsidP="009260F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AG08179S02</w:t>
                      </w:r>
                      <w:r>
                        <w:rPr>
                          <w:rFonts w:ascii="Times New Roman" w:hAnsi="Times New Roman"/>
                          <w:sz w:val="18"/>
                        </w:rPr>
                        <w:fldChar w:fldCharType="end"/>
                      </w:r>
                    </w:p>
                  </w:txbxContent>
                </v:textbox>
                <w10:wrap anchory="page"/>
                <w10:anchorlock/>
              </v:shape>
            </w:pict>
          </mc:Fallback>
        </mc:AlternateContent>
      </w:r>
      <w:r w:rsidR="009260F8" w:rsidRPr="00D65A20">
        <w:rPr>
          <w:rFonts w:ascii="Times New Roman" w:hAnsi="Times New Roman"/>
          <w:noProof/>
          <w:lang w:val="pt-BR" w:eastAsia="pt-BR"/>
        </w:rPr>
        <mc:AlternateContent>
          <mc:Choice Requires="wps">
            <w:drawing>
              <wp:anchor distT="0" distB="0" distL="118745" distR="118745" simplePos="0" relativeHeight="251655168" behindDoc="0" locked="1" layoutInCell="1" allowOverlap="1" wp14:anchorId="6E834F3D" wp14:editId="67374669">
                <wp:simplePos x="0" y="0"/>
                <wp:positionH relativeFrom="column">
                  <wp:posOffset>-91440</wp:posOffset>
                </wp:positionH>
                <wp:positionV relativeFrom="page">
                  <wp:posOffset>9144000</wp:posOffset>
                </wp:positionV>
                <wp:extent cx="572135" cy="38100"/>
                <wp:effectExtent l="0" t="38100" r="0"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135" cy="38100"/>
                        </a:xfrm>
                        <a:prstGeom prst="rect">
                          <a:avLst/>
                        </a:prstGeom>
                        <a:noFill/>
                        <a:ln w="9525" cap="flat" cmpd="sng" algn="ctr">
                          <a:noFill/>
                          <a:prstDash val="solid"/>
                          <a:round/>
                          <a:headEnd type="none" w="med" len="med"/>
                          <a:tailEnd type="none" w="med" len="med"/>
                        </a:ln>
                      </wps:spPr>
                      <wps:txbx>
                        <w:txbxContent>
                          <w:p w14:paraId="6E835037" w14:textId="77777777" w:rsidR="004B5422" w:rsidRPr="00153193" w:rsidRDefault="004B5422" w:rsidP="009260F8">
                            <w:pPr>
                              <w:rPr>
                                <w:rFonts w:ascii="Times New Roman" w:hAnsi="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E834F3D" id="Text Box 4" o:spid="_x0000_s1027" type="#_x0000_t202" style="position:absolute;left:0;text-align:left;margin-left:-7.2pt;margin-top:10in;width:45.05pt;height:3pt;z-index:251655168;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" filled="f" stroked="f">
                <v:stroke joinstyle="round"/>
                <v:textbox>
                  <w:txbxContent>
                    <w:p w14:paraId="6E835037" w14:textId="77777777" w:rsidR="004B5422" w:rsidRPr="00153193" w:rsidRDefault="004B5422" w:rsidP="009260F8">
                      <w:pPr>
                        <w:rPr>
                          <w:rFonts w:ascii="Times New Roman" w:hAnsi="Times New Roman"/>
                          <w:sz w:val="18"/>
                        </w:rPr>
                      </w:pPr>
                    </w:p>
                  </w:txbxContent>
                </v:textbox>
                <w10:wrap anchory="page"/>
                <w10:anchorlock/>
              </v:shape>
            </w:pict>
          </mc:Fallback>
        </mc:AlternateContent>
      </w:r>
      <w:r w:rsidR="009260F8" w:rsidRPr="00D65A20">
        <w:rPr>
          <w:rFonts w:ascii="Times New Roman" w:hAnsi="Times New Roman"/>
          <w:noProof/>
          <w:lang w:val="pt-BR" w:eastAsia="pt-BR"/>
        </w:rPr>
        <mc:AlternateContent>
          <mc:Choice Requires="wps">
            <w:drawing>
              <wp:anchor distT="0" distB="0" distL="114300" distR="114300" simplePos="0" relativeHeight="251654144" behindDoc="0" locked="1" layoutInCell="1" allowOverlap="1" wp14:anchorId="6E834F3F" wp14:editId="4E950E19">
                <wp:simplePos x="0" y="0"/>
                <wp:positionH relativeFrom="column">
                  <wp:posOffset>-91440</wp:posOffset>
                </wp:positionH>
                <wp:positionV relativeFrom="page">
                  <wp:posOffset>9144000</wp:posOffset>
                </wp:positionV>
                <wp:extent cx="268605" cy="17780"/>
                <wp:effectExtent l="0" t="57150" r="0" b="298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605" cy="17780"/>
                        </a:xfrm>
                        <a:prstGeom prst="rect">
                          <a:avLst/>
                        </a:prstGeom>
                        <a:noFill/>
                        <a:ln w="9525" cap="flat" cmpd="sng" algn="ctr">
                          <a:noFill/>
                          <a:prstDash val="solid"/>
                          <a:round/>
                          <a:headEnd type="none" w="med" len="med"/>
                          <a:tailEnd type="none" w="med" len="med"/>
                        </a:ln>
                        <a:effectLst/>
                      </wps:spPr>
                      <wps:txbx>
                        <w:txbxContent>
                          <w:p w14:paraId="6E835038" w14:textId="77777777" w:rsidR="004B5422" w:rsidRPr="00D901A0" w:rsidRDefault="004B5422" w:rsidP="009260F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CP43110S03</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E834F3F" id="Text Box 3" o:spid="_x0000_s1028" type="#_x0000_t202" style="position:absolute;left:0;text-align:left;margin-left:-7.2pt;margin-top:10in;width:21.15pt;height: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" filled="f" stroked="f">
                <v:stroke joinstyle="round"/>
                <v:textbox>
                  <w:txbxContent>
                    <w:p w14:paraId="6E835038" w14:textId="77777777" w:rsidR="004B5422" w:rsidRPr="00D901A0" w:rsidRDefault="004B5422" w:rsidP="009260F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CP43110S03</w:t>
                      </w:r>
                      <w:r>
                        <w:rPr>
                          <w:rFonts w:ascii="Times New Roman" w:hAnsi="Times New Roman"/>
                          <w:sz w:val="18"/>
                        </w:rPr>
                        <w:fldChar w:fldCharType="end"/>
                      </w:r>
                    </w:p>
                  </w:txbxContent>
                </v:textbox>
                <w10:wrap anchory="page"/>
                <w10:anchorlock/>
              </v:shape>
            </w:pict>
          </mc:Fallback>
        </mc:AlternateContent>
      </w:r>
      <w:bookmarkEnd w:id="33"/>
      <w:bookmarkEnd w:id="34"/>
      <w:bookmarkEnd w:id="35"/>
    </w:p>
    <w:p w14:paraId="6E83430A" w14:textId="77777777" w:rsidR="004D7FDE" w:rsidRPr="00D65A20" w:rsidRDefault="004D7FDE" w:rsidP="00AA4399">
      <w:pPr>
        <w:widowControl/>
        <w:rPr>
          <w:rFonts w:ascii="Times New Roman" w:hAnsi="Times New Roman"/>
          <w:lang w:val="pt-BR"/>
        </w:rPr>
        <w:sectPr w:rsidR="004D7FDE" w:rsidRPr="00D65A20" w:rsidSect="0037138D">
          <w:headerReference w:type="first" r:id="rId33"/>
          <w:footnotePr>
            <w:numRestart w:val="eachSect"/>
          </w:footnotePr>
          <w:endnotePr>
            <w:numFmt w:val="decimal"/>
          </w:endnotePr>
          <w:type w:val="oddPage"/>
          <w:pgSz w:w="12240" w:h="15840" w:code="1"/>
          <w:pgMar w:top="2160" w:right="1570" w:bottom="1296" w:left="1699" w:header="1296" w:footer="1296" w:gutter="0"/>
          <w:pgNumType w:fmt="numberInDash"/>
          <w:cols w:space="720"/>
          <w:noEndnote/>
          <w:titlePg/>
        </w:sectPr>
      </w:pPr>
    </w:p>
    <w:p w14:paraId="2589308E" w14:textId="77777777" w:rsidR="001061BB" w:rsidRPr="00D65A20" w:rsidRDefault="001061BB" w:rsidP="001061BB">
      <w:pPr>
        <w:widowControl/>
        <w:jc w:val="center"/>
        <w:rPr>
          <w:rStyle w:val="Heading1Char"/>
          <w:rFonts w:ascii="Times New Roman" w:hAnsi="Times New Roman"/>
          <w:lang w:val="pt-BR"/>
        </w:rPr>
      </w:pPr>
      <w:bookmarkStart w:id="36" w:name="_Toc56526465"/>
      <w:bookmarkStart w:id="37" w:name="_Toc56526675"/>
      <w:r w:rsidRPr="00D65A20">
        <w:rPr>
          <w:rStyle w:val="Heading1Char"/>
          <w:rFonts w:ascii="Times New Roman" w:hAnsi="Times New Roman"/>
          <w:lang w:val="pt-BR"/>
        </w:rPr>
        <w:lastRenderedPageBreak/>
        <w:t>AG/RES. 2951 (L-O/20)</w:t>
      </w:r>
      <w:bookmarkEnd w:id="36"/>
      <w:bookmarkEnd w:id="37"/>
    </w:p>
    <w:p w14:paraId="1B188657" w14:textId="77777777" w:rsidR="001061BB" w:rsidRPr="00D65A20" w:rsidRDefault="001061BB" w:rsidP="001061BB">
      <w:pPr>
        <w:widowControl/>
        <w:rPr>
          <w:rFonts w:ascii="Times New Roman" w:hAnsi="Times New Roman"/>
          <w:color w:val="000000"/>
          <w:szCs w:val="22"/>
          <w:lang w:val="pt-BR"/>
        </w:rPr>
      </w:pPr>
    </w:p>
    <w:p w14:paraId="16E6676A" w14:textId="77777777" w:rsidR="001061BB" w:rsidRPr="00D65A20" w:rsidRDefault="001061BB" w:rsidP="001061BB">
      <w:pPr>
        <w:pStyle w:val="Heading1"/>
        <w:rPr>
          <w:lang w:val="pt-BR"/>
        </w:rPr>
      </w:pPr>
      <w:bookmarkStart w:id="38" w:name="_Toc56526466"/>
      <w:bookmarkStart w:id="39" w:name="_Toc56526676"/>
      <w:r w:rsidRPr="00D65A20">
        <w:rPr>
          <w:lang w:val="pt-BR"/>
        </w:rPr>
        <w:t xml:space="preserve">ATUALIZAÇÃO DAS NORMAS DE PROCEDIMENTO </w:t>
      </w:r>
      <w:r w:rsidRPr="00D65A20">
        <w:rPr>
          <w:lang w:val="pt-BR"/>
        </w:rPr>
        <w:br/>
        <w:t>DO CONSELHO PERMANENTE E DE SEUS ÓRGÃOS SUBSIDIÁRIOS</w:t>
      </w:r>
      <w:r w:rsidRPr="00D65A20">
        <w:rPr>
          <w:u w:val="single"/>
          <w:vertAlign w:val="superscript"/>
          <w:lang w:val="pt-BR"/>
        </w:rPr>
        <w:footnoteReference w:id="30"/>
      </w:r>
      <w:r w:rsidRPr="00D65A20">
        <w:rPr>
          <w:u w:val="single"/>
          <w:vertAlign w:val="superscript"/>
          <w:lang w:val="pt-BR"/>
        </w:rPr>
        <w:t>/</w:t>
      </w:r>
      <w:bookmarkEnd w:id="38"/>
      <w:bookmarkEnd w:id="39"/>
      <w:r w:rsidRPr="00D65A20">
        <w:rPr>
          <w:rStyle w:val="FootnoteReference"/>
          <w:u w:val="single"/>
          <w:vertAlign w:val="superscript"/>
          <w:lang w:val="pt-BR"/>
        </w:rPr>
        <w:footnoteReference w:id="31"/>
      </w:r>
      <w:r w:rsidRPr="00D65A20">
        <w:rPr>
          <w:vertAlign w:val="superscript"/>
          <w:lang w:val="pt-BR"/>
        </w:rPr>
        <w:t>/</w:t>
      </w:r>
    </w:p>
    <w:p w14:paraId="2019FCA4" w14:textId="77777777" w:rsidR="001061BB" w:rsidRPr="00D65A20" w:rsidRDefault="001061BB" w:rsidP="001061B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1FFDDCB9" w14:textId="77777777" w:rsidR="001061BB" w:rsidRPr="00D65A20" w:rsidRDefault="001061BB" w:rsidP="001061B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lang w:val="pt-BR"/>
        </w:rPr>
      </w:pPr>
      <w:r w:rsidRPr="00D65A20">
        <w:rPr>
          <w:rFonts w:ascii="Times New Roman" w:eastAsia="Calibri" w:hAnsi="Times New Roman"/>
          <w:szCs w:val="22"/>
          <w:lang w:val="pt-BR"/>
        </w:rPr>
        <w:t>(Aprovada na primeira sessão plenária, realizada em 20 de outubro de 2020)</w:t>
      </w:r>
    </w:p>
    <w:p w14:paraId="69096113" w14:textId="77777777" w:rsidR="001061BB" w:rsidRPr="00D65A20" w:rsidRDefault="001061BB" w:rsidP="001061B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pt-BR"/>
        </w:rPr>
      </w:pPr>
    </w:p>
    <w:p w14:paraId="27DDF4C3" w14:textId="77777777" w:rsidR="001061BB" w:rsidRPr="00D65A20" w:rsidRDefault="001061BB" w:rsidP="001061B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pt-BR"/>
        </w:rPr>
      </w:pPr>
    </w:p>
    <w:p w14:paraId="0903B509" w14:textId="77777777" w:rsidR="001061BB" w:rsidRPr="00D65A20" w:rsidRDefault="001061BB" w:rsidP="001061B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A ASSEMBLEIA GERAL</w:t>
      </w:r>
    </w:p>
    <w:p w14:paraId="6E44C5BA" w14:textId="77777777" w:rsidR="001061BB" w:rsidRPr="00D65A20" w:rsidRDefault="001061BB" w:rsidP="001061B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5F6257E5" w14:textId="77777777" w:rsidR="001061BB" w:rsidRPr="00D65A20" w:rsidRDefault="001061BB" w:rsidP="001061BB">
      <w:pPr>
        <w:widowControl/>
        <w:tabs>
          <w:tab w:val="clear" w:pos="720"/>
          <w:tab w:val="clear" w:pos="1440"/>
          <w:tab w:val="clear" w:pos="2160"/>
          <w:tab w:val="clear" w:pos="2880"/>
          <w:tab w:val="clear" w:pos="3600"/>
          <w:tab w:val="clear" w:pos="4320"/>
          <w:tab w:val="clear" w:pos="5760"/>
          <w:tab w:val="clear" w:pos="6480"/>
          <w:tab w:val="clear" w:pos="7920"/>
          <w:tab w:val="left" w:pos="654"/>
          <w:tab w:val="left" w:pos="1308"/>
          <w:tab w:val="left" w:pos="1962"/>
          <w:tab w:val="left" w:pos="2616"/>
          <w:tab w:val="left" w:pos="3270"/>
          <w:tab w:val="left" w:pos="3924"/>
          <w:tab w:val="left" w:pos="4578"/>
          <w:tab w:val="left" w:pos="5232"/>
          <w:tab w:val="left" w:pos="5886"/>
          <w:tab w:val="left" w:pos="6540"/>
        </w:tabs>
        <w:suppressAutoHyphens/>
        <w:ind w:firstLine="720"/>
        <w:rPr>
          <w:rFonts w:ascii="Times New Roman" w:hAnsi="Times New Roman"/>
          <w:spacing w:val="-2"/>
          <w:szCs w:val="22"/>
          <w:lang w:val="pt-BR"/>
        </w:rPr>
      </w:pPr>
      <w:r w:rsidRPr="00D65A20">
        <w:rPr>
          <w:rFonts w:ascii="Times New Roman" w:hAnsi="Times New Roman"/>
          <w:spacing w:val="-2"/>
          <w:szCs w:val="22"/>
          <w:lang w:val="pt-BR"/>
        </w:rPr>
        <w:t>RECONHECENDO a necessidade urgente de atualizar e otimizar o funcionamento dos órgãos representativos da Organização, a fim de evitar impasses processuais como os verificados durante a crise da pandemia de covid-19, que desafiaram a eficácia da Organização e colocaram à prova a sua capacidade de resiliência;</w:t>
      </w:r>
    </w:p>
    <w:p w14:paraId="5AD2D89D" w14:textId="77777777" w:rsidR="001061BB" w:rsidRPr="00D65A20" w:rsidRDefault="001061BB" w:rsidP="001061BB">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napToGrid w:val="0"/>
        <w:rPr>
          <w:rFonts w:ascii="Times New Roman" w:eastAsia="Calibri" w:hAnsi="Times New Roman"/>
          <w:color w:val="000000"/>
          <w:szCs w:val="22"/>
          <w:lang w:val="pt-BR" w:eastAsia="es-ES"/>
        </w:rPr>
      </w:pPr>
    </w:p>
    <w:p w14:paraId="65CCD281" w14:textId="77777777" w:rsidR="001061BB" w:rsidRPr="00D65A20" w:rsidRDefault="001061BB" w:rsidP="001061BB">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napToGrid w:val="0"/>
        <w:ind w:firstLine="720"/>
        <w:rPr>
          <w:rFonts w:ascii="Times New Roman" w:eastAsia="SimSun" w:hAnsi="Times New Roman"/>
          <w:color w:val="000000"/>
          <w:szCs w:val="22"/>
          <w:lang w:val="pt-BR" w:eastAsia="zh-CN"/>
        </w:rPr>
      </w:pPr>
      <w:r w:rsidRPr="00D65A20">
        <w:rPr>
          <w:rFonts w:ascii="Times New Roman" w:eastAsia="SimSun" w:hAnsi="Times New Roman"/>
          <w:color w:val="000000"/>
          <w:szCs w:val="22"/>
          <w:lang w:val="pt-BR" w:eastAsia="zh-CN"/>
        </w:rPr>
        <w:t>CONSIDERANDO as resoluções AG/RES. 2892 (XLVI-O/16), “Modernização da gestão”, AG/RES. 2903 (XLVII-O/17), “Institucionalidade da Organização dos Estados Americanos: Revisão e fortalecimento; e AG/RES. 2937 (XLIX-O/19)</w:t>
      </w:r>
      <w:r w:rsidRPr="00D65A20">
        <w:rPr>
          <w:rFonts w:ascii="Times New Roman" w:eastAsia="SimSun" w:hAnsi="Times New Roman"/>
          <w:webHidden/>
          <w:color w:val="000000"/>
          <w:szCs w:val="22"/>
          <w:lang w:val="pt-BR" w:eastAsia="zh-CN"/>
        </w:rPr>
        <w:t>, “</w:t>
      </w:r>
      <w:r w:rsidRPr="00D65A20">
        <w:rPr>
          <w:rFonts w:ascii="Times New Roman" w:eastAsia="SimSun" w:hAnsi="Times New Roman"/>
          <w:color w:val="000000"/>
          <w:szCs w:val="22"/>
          <w:lang w:val="pt-BR" w:eastAsia="zh-CN"/>
        </w:rPr>
        <w:t>Relatório Final do Grupo de Trabalho Encarregado de Elaborar uma Proposta de Fortalecimento Institucional da Organização dos Estados Americanos”, junto com outras decisões pertinentes da Assembleia Geral e as recomendações feitas pelos grupos de trabalho instituídos por essas resoluções;</w:t>
      </w:r>
    </w:p>
    <w:p w14:paraId="7DB48609" w14:textId="77777777" w:rsidR="001061BB" w:rsidRPr="00D65A20" w:rsidRDefault="001061BB" w:rsidP="001061BB">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napToGrid w:val="0"/>
        <w:rPr>
          <w:rFonts w:ascii="Times New Roman" w:eastAsia="Calibri" w:hAnsi="Times New Roman"/>
          <w:color w:val="000000"/>
          <w:szCs w:val="22"/>
          <w:lang w:val="pt-BR" w:eastAsia="es-ES"/>
        </w:rPr>
      </w:pPr>
    </w:p>
    <w:p w14:paraId="11870C0C" w14:textId="77777777" w:rsidR="001061BB" w:rsidRPr="00D65A20" w:rsidRDefault="001061BB" w:rsidP="001061BB">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napToGrid w:val="0"/>
        <w:ind w:firstLine="720"/>
        <w:rPr>
          <w:rFonts w:ascii="Times New Roman" w:eastAsia="Calibri" w:hAnsi="Times New Roman"/>
          <w:color w:val="000000"/>
          <w:szCs w:val="22"/>
          <w:lang w:val="pt-BR" w:eastAsia="zh-CN"/>
        </w:rPr>
      </w:pPr>
      <w:r w:rsidRPr="00D65A20">
        <w:rPr>
          <w:rFonts w:ascii="Times New Roman" w:eastAsia="SimSun" w:hAnsi="Times New Roman"/>
          <w:color w:val="000000"/>
          <w:szCs w:val="22"/>
          <w:lang w:val="pt-BR" w:eastAsia="zh-CN"/>
        </w:rPr>
        <w:t>TENDO EM VISTA a resolução CP/RES. 1150 (2280/20), “Sessões virtuais do Conselho Permanente em razão da pandemia de covid-19”, aprovada pelo Conselho Permanente na sessão extraordinária virtual realizada em 16 de abril de 2020;</w:t>
      </w:r>
    </w:p>
    <w:p w14:paraId="04E5D6BE" w14:textId="77777777" w:rsidR="001061BB" w:rsidRPr="00D65A20" w:rsidRDefault="001061BB" w:rsidP="001061BB">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napToGrid w:val="0"/>
        <w:rPr>
          <w:rFonts w:ascii="Times New Roman" w:eastAsia="Calibri" w:hAnsi="Times New Roman"/>
          <w:color w:val="000000"/>
          <w:szCs w:val="22"/>
          <w:lang w:val="pt-BR" w:eastAsia="es-ES"/>
        </w:rPr>
      </w:pPr>
    </w:p>
    <w:p w14:paraId="006BFB36" w14:textId="77777777" w:rsidR="001061BB" w:rsidRPr="00D65A20" w:rsidRDefault="001061BB" w:rsidP="001061BB">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napToGrid w:val="0"/>
        <w:ind w:firstLine="720"/>
        <w:rPr>
          <w:rFonts w:ascii="Times New Roman" w:eastAsia="SimSun" w:hAnsi="Times New Roman"/>
          <w:color w:val="000000"/>
          <w:szCs w:val="22"/>
          <w:lang w:val="pt-BR" w:eastAsia="zh-CN"/>
        </w:rPr>
      </w:pPr>
      <w:r w:rsidRPr="00D65A20">
        <w:rPr>
          <w:rFonts w:ascii="Times New Roman" w:eastAsia="SimSun" w:hAnsi="Times New Roman"/>
          <w:color w:val="000000"/>
          <w:szCs w:val="22"/>
          <w:lang w:val="pt-BR" w:eastAsia="zh-CN"/>
        </w:rPr>
        <w:t xml:space="preserve">TOMANDO NOTA do documento CP/INF. 8685/20, “Proposta de </w:t>
      </w:r>
      <w:r w:rsidRPr="00D65A20">
        <w:rPr>
          <w:rFonts w:ascii="Times New Roman" w:eastAsia="SimSun" w:hAnsi="Times New Roman"/>
          <w:i/>
          <w:iCs/>
          <w:color w:val="000000"/>
          <w:szCs w:val="22"/>
          <w:lang w:val="pt-BR" w:eastAsia="zh-CN"/>
        </w:rPr>
        <w:t>modus operandi</w:t>
      </w:r>
      <w:r w:rsidRPr="00D65A20">
        <w:rPr>
          <w:rFonts w:ascii="Times New Roman" w:eastAsia="SimSun" w:hAnsi="Times New Roman"/>
          <w:color w:val="000000"/>
          <w:szCs w:val="22"/>
          <w:lang w:val="pt-BR" w:eastAsia="zh-CN"/>
        </w:rPr>
        <w:t xml:space="preserve"> para o Conselho Permanente durante o período extraordinário da pandemia”; e</w:t>
      </w:r>
    </w:p>
    <w:p w14:paraId="49910555" w14:textId="77777777" w:rsidR="001061BB" w:rsidRPr="00D65A20" w:rsidRDefault="001061BB" w:rsidP="001061BB">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napToGrid w:val="0"/>
        <w:rPr>
          <w:rFonts w:ascii="Times New Roman" w:eastAsia="SimSun" w:hAnsi="Times New Roman"/>
          <w:color w:val="000000"/>
          <w:szCs w:val="22"/>
          <w:lang w:val="pt-BR" w:eastAsia="zh-CN"/>
        </w:rPr>
      </w:pPr>
    </w:p>
    <w:p w14:paraId="5B8668FE" w14:textId="77777777" w:rsidR="001061BB" w:rsidRPr="00D65A20" w:rsidRDefault="001061BB" w:rsidP="001061B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 xml:space="preserve">COM BASE no disposto no artigo 15 do Estatuto do Conselho Permanente e nos artigos 24 e 80, </w:t>
      </w:r>
      <w:r w:rsidRPr="00D65A20">
        <w:rPr>
          <w:rFonts w:ascii="Times New Roman" w:eastAsia="Calibri" w:hAnsi="Times New Roman"/>
          <w:szCs w:val="22"/>
          <w:u w:val="single"/>
          <w:lang w:val="pt-BR"/>
        </w:rPr>
        <w:t>b</w:t>
      </w:r>
      <w:r w:rsidRPr="00D65A20">
        <w:rPr>
          <w:rFonts w:ascii="Times New Roman" w:eastAsia="Calibri" w:hAnsi="Times New Roman"/>
          <w:szCs w:val="22"/>
          <w:lang w:val="pt-BR"/>
        </w:rPr>
        <w:t>, do Regulamento do Conselho Permanente,</w:t>
      </w:r>
    </w:p>
    <w:p w14:paraId="4E76B8C8" w14:textId="77777777" w:rsidR="001061BB" w:rsidRPr="00D65A20" w:rsidRDefault="001061BB" w:rsidP="001061B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3B9BA8B3" w14:textId="77777777" w:rsidR="001061BB" w:rsidRPr="00D65A20" w:rsidRDefault="001061BB" w:rsidP="001061B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r w:rsidRPr="00D65A20">
        <w:rPr>
          <w:rFonts w:ascii="Times New Roman" w:eastAsia="Calibri" w:hAnsi="Times New Roman"/>
          <w:szCs w:val="22"/>
          <w:lang w:val="pt-BR"/>
        </w:rPr>
        <w:t>RESOLVE:</w:t>
      </w:r>
    </w:p>
    <w:p w14:paraId="5DA39EE9" w14:textId="77777777" w:rsidR="001061BB" w:rsidRPr="00D65A20" w:rsidRDefault="001061BB" w:rsidP="001061B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bCs/>
          <w:szCs w:val="22"/>
          <w:lang w:val="pt-BR"/>
        </w:rPr>
      </w:pPr>
    </w:p>
    <w:p w14:paraId="69144036" w14:textId="77777777" w:rsidR="001061BB" w:rsidRPr="00D65A20" w:rsidRDefault="001061BB" w:rsidP="001061B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1.</w:t>
      </w:r>
      <w:r w:rsidRPr="00D65A20">
        <w:rPr>
          <w:rFonts w:ascii="Times New Roman" w:eastAsia="Calibri" w:hAnsi="Times New Roman"/>
          <w:szCs w:val="22"/>
          <w:lang w:val="pt-BR"/>
        </w:rPr>
        <w:tab/>
        <w:t>Solicitar ao Conselho Permanente que estabeleça um grupo de trabalho, no âmbito da Comissão de Assuntos Jurídicos e Políticos, que se encarregue de analisar o marco regulatório vigente e documentos pertinentes sobre o funcionamento e os procedimentos do Conselho Permanente, inclusive suas comissões permanentes, comissões especiais, subcomissões, grupos de trabalho e demais mecanismos, bem como de formular as recomendações correspondentes que possam contribuir para fortalecer a resiliência da Organização.</w:t>
      </w:r>
    </w:p>
    <w:p w14:paraId="48F04337" w14:textId="77777777" w:rsidR="001061BB" w:rsidRPr="00D65A20" w:rsidRDefault="001061BB" w:rsidP="001061B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bCs/>
          <w:szCs w:val="22"/>
          <w:lang w:val="pt-BR"/>
        </w:rPr>
      </w:pPr>
    </w:p>
    <w:p w14:paraId="444F6887" w14:textId="77777777" w:rsidR="001061BB" w:rsidRPr="00D65A20" w:rsidRDefault="001061BB" w:rsidP="001061B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2.</w:t>
      </w:r>
      <w:r w:rsidRPr="00D65A20">
        <w:rPr>
          <w:rFonts w:ascii="Times New Roman" w:eastAsia="Calibri" w:hAnsi="Times New Roman"/>
          <w:szCs w:val="22"/>
          <w:lang w:val="pt-BR"/>
        </w:rPr>
        <w:tab/>
        <w:t xml:space="preserve">Encarregar o grupo de trabalho de apresentar, até 30 de abril de 2021, um projeto de recomendações, inclusive sobre sua natureza jurídica, para a aprovação do Conselho Permanente. O </w:t>
      </w:r>
      <w:r w:rsidRPr="00D65A20">
        <w:rPr>
          <w:rFonts w:ascii="Times New Roman" w:eastAsia="Calibri" w:hAnsi="Times New Roman"/>
          <w:szCs w:val="22"/>
          <w:lang w:val="pt-BR"/>
        </w:rPr>
        <w:lastRenderedPageBreak/>
        <w:t>documento resultante será submetido à consideração da Assembleia Geral, reunida em seu Quinquagésimo Primeiro Período Ordinário de Sessões.</w:t>
      </w:r>
    </w:p>
    <w:p w14:paraId="3569CAD3" w14:textId="77777777" w:rsidR="001061BB" w:rsidRPr="00D65A20" w:rsidRDefault="001061BB" w:rsidP="001061B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3696DAF1" w14:textId="77777777" w:rsidR="001061BB" w:rsidRPr="00D65A20" w:rsidRDefault="001061BB" w:rsidP="001061B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 xml:space="preserve">3. </w:t>
      </w:r>
      <w:r w:rsidRPr="00D65A20">
        <w:rPr>
          <w:rFonts w:ascii="Times New Roman" w:eastAsia="Calibri" w:hAnsi="Times New Roman"/>
          <w:szCs w:val="22"/>
          <w:lang w:val="pt-BR"/>
        </w:rPr>
        <w:tab/>
        <w:t>Solicitar à Secretaria-Geral que identifique os recursos financeiros que excepcionalmente sejam necessários para garantir o funcionamento do grupo de trabalho e o cumprimento do mandato estabelecido no parágrafo acima, considerando as limitações orçamentárias da Organização e as funções limitadas do grupo de trabalho, o qual deverá entregar um relatório ao final de seu mandato, detalhando os recursos e bens utilizados para seu cumprimento.</w:t>
      </w:r>
    </w:p>
    <w:p w14:paraId="545A24AB" w14:textId="77777777" w:rsidR="001061BB" w:rsidRPr="00D65A20" w:rsidRDefault="001061BB" w:rsidP="001061B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pt-BR"/>
        </w:rPr>
      </w:pPr>
      <w:r w:rsidRPr="00D65A20">
        <w:rPr>
          <w:rFonts w:ascii="Times New Roman" w:eastAsia="Calibri" w:hAnsi="Times New Roman"/>
          <w:szCs w:val="22"/>
          <w:lang w:val="pt-BR"/>
        </w:rPr>
        <w:br w:type="page"/>
      </w:r>
    </w:p>
    <w:p w14:paraId="6E834325" w14:textId="104E43BC" w:rsidR="00E553E7" w:rsidRPr="00D65A20" w:rsidRDefault="00E553E7"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pt-BR"/>
        </w:rPr>
      </w:pPr>
    </w:p>
    <w:p w14:paraId="6E834326" w14:textId="77777777" w:rsidR="00E553E7" w:rsidRPr="00D65A20" w:rsidRDefault="00E553E7"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sz w:val="20"/>
          <w:lang w:val="pt-BR"/>
        </w:rPr>
      </w:pPr>
      <w:r w:rsidRPr="00D65A20">
        <w:rPr>
          <w:rFonts w:ascii="Times New Roman" w:eastAsia="Calibri" w:hAnsi="Times New Roman"/>
          <w:sz w:val="20"/>
          <w:lang w:val="pt-BR"/>
        </w:rPr>
        <w:t>NOTA</w:t>
      </w:r>
      <w:r w:rsidR="00523713" w:rsidRPr="00D65A20">
        <w:rPr>
          <w:rFonts w:ascii="Times New Roman" w:eastAsia="Calibri" w:hAnsi="Times New Roman"/>
          <w:sz w:val="20"/>
          <w:lang w:val="pt-BR"/>
        </w:rPr>
        <w:t>S</w:t>
      </w:r>
      <w:r w:rsidRPr="00D65A20">
        <w:rPr>
          <w:rFonts w:ascii="Times New Roman" w:eastAsia="Calibri" w:hAnsi="Times New Roman"/>
          <w:sz w:val="20"/>
          <w:lang w:val="pt-BR"/>
        </w:rPr>
        <w:t xml:space="preserve"> DE RODAPÉ</w:t>
      </w:r>
    </w:p>
    <w:p w14:paraId="6E834327" w14:textId="77777777" w:rsidR="00E553E7" w:rsidRPr="00D65A20" w:rsidRDefault="00E553E7"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 w:val="20"/>
          <w:lang w:val="pt-BR"/>
        </w:rPr>
      </w:pPr>
    </w:p>
    <w:p w14:paraId="6E834328" w14:textId="77777777" w:rsidR="00E553E7" w:rsidRPr="00D65A20" w:rsidRDefault="00E553E7"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 w:val="20"/>
          <w:lang w:val="pt-BR"/>
        </w:rPr>
      </w:pPr>
    </w:p>
    <w:p w14:paraId="6E834329" w14:textId="77777777" w:rsidR="00112B3A" w:rsidRPr="00D65A20" w:rsidRDefault="00E553E7" w:rsidP="00112B3A">
      <w:pPr>
        <w:widowControl/>
        <w:ind w:firstLine="720"/>
        <w:rPr>
          <w:rFonts w:ascii="Times New Roman" w:hAnsi="Times New Roman"/>
          <w:sz w:val="20"/>
          <w:lang w:val="pt-BR"/>
        </w:rPr>
      </w:pPr>
      <w:r w:rsidRPr="00D65A20">
        <w:rPr>
          <w:rFonts w:ascii="Times New Roman" w:hAnsi="Times New Roman"/>
          <w:sz w:val="20"/>
          <w:lang w:val="pt-BR"/>
        </w:rPr>
        <w:t>1.</w:t>
      </w:r>
      <w:r w:rsidRPr="00D65A20">
        <w:rPr>
          <w:rFonts w:ascii="Times New Roman" w:hAnsi="Times New Roman"/>
          <w:sz w:val="20"/>
          <w:lang w:val="pt-BR"/>
        </w:rPr>
        <w:tab/>
        <w:t>(...)</w:t>
      </w:r>
      <w:r w:rsidR="00112B3A" w:rsidRPr="00D65A20">
        <w:rPr>
          <w:rFonts w:ascii="Times New Roman" w:hAnsi="Times New Roman"/>
          <w:sz w:val="20"/>
          <w:lang w:val="pt-BR"/>
        </w:rPr>
        <w:t xml:space="preserve">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6E83432A" w14:textId="77777777" w:rsidR="00112B3A" w:rsidRPr="00D65A20" w:rsidRDefault="00112B3A" w:rsidP="00112B3A">
      <w:pPr>
        <w:widowControl/>
        <w:rPr>
          <w:rFonts w:ascii="Times New Roman" w:hAnsi="Times New Roman"/>
          <w:sz w:val="20"/>
          <w:lang w:val="pt-BR"/>
        </w:rPr>
      </w:pPr>
    </w:p>
    <w:p w14:paraId="6E83432B" w14:textId="77777777" w:rsidR="00112B3A" w:rsidRPr="00D65A20" w:rsidRDefault="00112B3A" w:rsidP="00112B3A">
      <w:pPr>
        <w:widowControl/>
        <w:ind w:firstLine="720"/>
        <w:rPr>
          <w:rFonts w:ascii="Times New Roman" w:hAnsi="Times New Roman"/>
          <w:sz w:val="20"/>
          <w:lang w:val="pt-BR"/>
        </w:rPr>
      </w:pPr>
      <w:r w:rsidRPr="00D65A20">
        <w:rPr>
          <w:rFonts w:ascii="Times New Roman" w:hAnsi="Times New Roman"/>
          <w:sz w:val="20"/>
          <w:lang w:val="pt-BR"/>
        </w:rPr>
        <w:t xml:space="preserve">Antígua e Barbuda não apoiou a resolução CP/RES. 1124 (2217/19), de 9 de abril de 2019, cuja intenção era nomear o Senhor Gustavo Tarre como Representante da Assembleia Nacional junto à OEA, e não aceitou as credenciais das autoridades que pretendiam representar a República Bolivariana da Venezuela no Quadragésimo Nono e no Quinquagésimo Períodos Ordinários de Sessões da Assembleia Geral. </w:t>
      </w:r>
    </w:p>
    <w:p w14:paraId="6E83432C" w14:textId="77777777" w:rsidR="00112B3A" w:rsidRPr="00D65A20" w:rsidRDefault="00112B3A" w:rsidP="00112B3A">
      <w:pPr>
        <w:widowControl/>
        <w:rPr>
          <w:rFonts w:ascii="Times New Roman" w:hAnsi="Times New Roman"/>
          <w:sz w:val="20"/>
          <w:lang w:val="pt-BR"/>
        </w:rPr>
      </w:pPr>
    </w:p>
    <w:p w14:paraId="6E834331" w14:textId="7903ED7B" w:rsidR="00E553E7" w:rsidRPr="00D65A20" w:rsidRDefault="00112B3A" w:rsidP="00112B3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pt-BR"/>
        </w:rPr>
      </w:pPr>
      <w:r w:rsidRPr="00D65A20">
        <w:rPr>
          <w:rFonts w:ascii="Times New Roman" w:hAnsi="Times New Roman"/>
          <w:sz w:val="20"/>
          <w:lang w:val="pt-BR"/>
        </w:rPr>
        <w:t>Desse modo, Antígua e Barbuda informa a todos os Estados membros e à Secretaria-Geral da Organização dos Estados Americanos que, até novo aviso, assim como fez no Quadragésimo Nono Período Ordinário de Sessões da Assembleia Geral, não se considerará vinculado a nenhuma declaração ou resolução emanada do Quinquagésimo Período Ordinário de Sessões da Assembleia Geral, nem a quaisquer futuras declarações ou resoluções de qualquer Conselho ou órgão da Organização que incluam a participação de qualquer pessoa ou entidade pretensamente falando pela República Bolivariana da Venezuela ou agindo em seu nome, e nas quais se alcancem 18 votos com a participação de um pretenso representante da República Bolivariana da Venezuela</w:t>
      </w:r>
      <w:r w:rsidR="00E553E7" w:rsidRPr="00D65A20">
        <w:rPr>
          <w:rFonts w:ascii="Times New Roman" w:hAnsi="Times New Roman"/>
          <w:sz w:val="20"/>
          <w:lang w:val="pt-BR"/>
        </w:rPr>
        <w:t>.</w:t>
      </w:r>
    </w:p>
    <w:p w14:paraId="6E834332" w14:textId="77777777" w:rsidR="004D7FDE" w:rsidRPr="00D65A20" w:rsidRDefault="004D7FDE" w:rsidP="00AA4399">
      <w:pPr>
        <w:pStyle w:val="Heading1"/>
        <w:jc w:val="both"/>
        <w:rPr>
          <w:rFonts w:eastAsia="Batang"/>
          <w:bCs w:val="0"/>
          <w:lang w:val="pt-BR"/>
        </w:rPr>
      </w:pPr>
    </w:p>
    <w:p w14:paraId="6E834334" w14:textId="6F025F26" w:rsidR="00440A50" w:rsidRPr="00D65A20" w:rsidRDefault="00440A50" w:rsidP="00440A50">
      <w:pPr>
        <w:rPr>
          <w:rStyle w:val="FootnoteReference"/>
          <w:rFonts w:ascii="Times New Roman" w:hAnsi="Times New Roman"/>
          <w:sz w:val="20"/>
          <w:lang w:val="pt-BR"/>
        </w:rPr>
      </w:pPr>
      <w:r w:rsidRPr="00D65A20">
        <w:rPr>
          <w:rFonts w:ascii="Times New Roman" w:hAnsi="Times New Roman"/>
          <w:sz w:val="20"/>
          <w:lang w:val="pt-BR"/>
        </w:rPr>
        <w:tab/>
        <w:t xml:space="preserve">2. </w:t>
      </w:r>
      <w:r w:rsidR="006D2791">
        <w:rPr>
          <w:rFonts w:ascii="Times New Roman" w:hAnsi="Times New Roman"/>
          <w:sz w:val="20"/>
          <w:lang w:val="pt-BR"/>
        </w:rPr>
        <w:tab/>
      </w:r>
      <w:r w:rsidRPr="00D65A20">
        <w:rPr>
          <w:rFonts w:ascii="Times New Roman" w:hAnsi="Times New Roman"/>
          <w:sz w:val="20"/>
          <w:lang w:val="pt-BR"/>
        </w:rPr>
        <w:t>(...) Quinquagésimo Período Ordinário de Sessões da Assembleia Geral.</w:t>
      </w:r>
    </w:p>
    <w:p w14:paraId="6E834335" w14:textId="77777777" w:rsidR="00440A50" w:rsidRPr="00D65A20" w:rsidRDefault="00440A50" w:rsidP="00AA4399">
      <w:pPr>
        <w:widowControl/>
        <w:rPr>
          <w:rFonts w:ascii="Times New Roman" w:hAnsi="Times New Roman"/>
          <w:lang w:val="pt-BR"/>
        </w:rPr>
        <w:sectPr w:rsidR="00440A50" w:rsidRPr="00D65A20" w:rsidSect="0037138D">
          <w:footerReference w:type="default" r:id="rId34"/>
          <w:headerReference w:type="first" r:id="rId35"/>
          <w:footnotePr>
            <w:numRestart w:val="eachSect"/>
          </w:footnotePr>
          <w:type w:val="oddPage"/>
          <w:pgSz w:w="12240" w:h="15840"/>
          <w:pgMar w:top="2160" w:right="1570" w:bottom="1296" w:left="1699" w:header="1296" w:footer="720" w:gutter="0"/>
          <w:pgNumType w:fmt="numberInDash"/>
          <w:cols w:space="720"/>
          <w:titlePg/>
          <w:docGrid w:linePitch="360"/>
        </w:sectPr>
      </w:pPr>
    </w:p>
    <w:p w14:paraId="6E834336" w14:textId="77777777" w:rsidR="00A544BF" w:rsidRPr="00D65A20" w:rsidRDefault="004D7FDE" w:rsidP="00AA4399">
      <w:pPr>
        <w:widowControl/>
        <w:jc w:val="center"/>
        <w:rPr>
          <w:rStyle w:val="Heading1Char"/>
          <w:rFonts w:ascii="Times New Roman" w:eastAsia="Calibri" w:hAnsi="Times New Roman"/>
          <w:lang w:val="pt-BR"/>
        </w:rPr>
      </w:pPr>
      <w:bookmarkStart w:id="40" w:name="_Toc56526467"/>
      <w:bookmarkStart w:id="41" w:name="_Toc56526677"/>
      <w:r w:rsidRPr="00D65A20">
        <w:rPr>
          <w:rStyle w:val="Heading1Char"/>
          <w:rFonts w:ascii="Times New Roman" w:eastAsia="Calibri" w:hAnsi="Times New Roman"/>
          <w:lang w:val="pt-BR"/>
        </w:rPr>
        <w:lastRenderedPageBreak/>
        <w:t>AG/RES. 2952 (L-O/20)</w:t>
      </w:r>
      <w:bookmarkEnd w:id="40"/>
      <w:bookmarkEnd w:id="41"/>
    </w:p>
    <w:p w14:paraId="6E834337" w14:textId="77777777" w:rsidR="00A544BF" w:rsidRPr="00D65A20" w:rsidRDefault="00A544BF" w:rsidP="00AA4399">
      <w:pPr>
        <w:widowControl/>
        <w:jc w:val="center"/>
        <w:rPr>
          <w:rStyle w:val="Heading1Char"/>
          <w:rFonts w:ascii="Times New Roman" w:eastAsia="Calibri" w:hAnsi="Times New Roman"/>
          <w:lang w:val="pt-BR"/>
        </w:rPr>
      </w:pPr>
    </w:p>
    <w:p w14:paraId="6E834338" w14:textId="26BA6F50" w:rsidR="00BB3DE0" w:rsidRPr="00D65A20" w:rsidRDefault="00BB3DE0" w:rsidP="00A544BF">
      <w:pPr>
        <w:pStyle w:val="Heading1"/>
        <w:rPr>
          <w:vertAlign w:val="superscript"/>
          <w:lang w:val="pt-BR"/>
        </w:rPr>
      </w:pPr>
      <w:bookmarkStart w:id="42" w:name="_Toc56526468"/>
      <w:bookmarkStart w:id="43" w:name="_Toc56526678"/>
      <w:r w:rsidRPr="00D65A20">
        <w:rPr>
          <w:lang w:val="pt-BR"/>
        </w:rPr>
        <w:t>PROMOÇÃO DA RESPOSTA HEMISFÉRICA À MUDANÇA DO CLIMA NO</w:t>
      </w:r>
      <w:r w:rsidRPr="00D65A20">
        <w:rPr>
          <w:lang w:val="pt-BR"/>
        </w:rPr>
        <w:br/>
        <w:t xml:space="preserve">CONTEXTO DA </w:t>
      </w:r>
      <w:r w:rsidR="00877D54" w:rsidRPr="00D65A20">
        <w:rPr>
          <w:lang w:val="pt-BR"/>
        </w:rPr>
        <w:t>PANDEMIA DE</w:t>
      </w:r>
      <w:r w:rsidRPr="00D65A20">
        <w:rPr>
          <w:lang w:val="pt-BR"/>
        </w:rPr>
        <w:t xml:space="preserve"> COVID-19</w:t>
      </w:r>
      <w:r w:rsidRPr="006D2791">
        <w:rPr>
          <w:u w:val="single"/>
          <w:vertAlign w:val="superscript"/>
          <w:lang w:val="pt-BR"/>
        </w:rPr>
        <w:footnoteReference w:id="32"/>
      </w:r>
      <w:r w:rsidRPr="006D2791">
        <w:rPr>
          <w:vertAlign w:val="superscript"/>
          <w:lang w:val="pt-BR"/>
        </w:rPr>
        <w:t>/</w:t>
      </w:r>
      <w:r w:rsidRPr="006D2791">
        <w:rPr>
          <w:u w:val="single"/>
          <w:vertAlign w:val="superscript"/>
          <w:lang w:val="pt-BR"/>
        </w:rPr>
        <w:footnoteReference w:id="33"/>
      </w:r>
      <w:r w:rsidRPr="00D65A20">
        <w:rPr>
          <w:vertAlign w:val="superscript"/>
          <w:lang w:val="pt-BR"/>
        </w:rPr>
        <w:t>/</w:t>
      </w:r>
      <w:bookmarkEnd w:id="42"/>
      <w:bookmarkEnd w:id="43"/>
      <w:r w:rsidR="00714959" w:rsidRPr="00D65A20">
        <w:rPr>
          <w:rStyle w:val="FootnoteReference"/>
          <w:u w:val="single"/>
          <w:vertAlign w:val="superscript"/>
          <w:lang w:val="pt-BR"/>
        </w:rPr>
        <w:footnoteReference w:id="34"/>
      </w:r>
      <w:r w:rsidR="00714959" w:rsidRPr="00D65A20">
        <w:rPr>
          <w:vertAlign w:val="superscript"/>
          <w:lang w:val="pt-BR"/>
        </w:rPr>
        <w:t>/</w:t>
      </w:r>
    </w:p>
    <w:p w14:paraId="6E834339" w14:textId="77777777" w:rsidR="00BB3DE0" w:rsidRPr="00D65A20" w:rsidRDefault="00BB3DE0" w:rsidP="00AA4399">
      <w:pPr>
        <w:widowControl/>
        <w:tabs>
          <w:tab w:val="clear" w:pos="3600"/>
          <w:tab w:val="clear" w:pos="4320"/>
          <w:tab w:val="clear" w:pos="5760"/>
          <w:tab w:val="clear" w:pos="6480"/>
          <w:tab w:val="left" w:pos="8640"/>
        </w:tabs>
        <w:suppressAutoHyphens/>
        <w:rPr>
          <w:rFonts w:ascii="Times New Roman" w:hAnsi="Times New Roman"/>
          <w:szCs w:val="22"/>
          <w:lang w:val="pt-BR"/>
        </w:rPr>
      </w:pPr>
    </w:p>
    <w:p w14:paraId="6E83433A" w14:textId="77777777" w:rsidR="00BB3DE0" w:rsidRPr="00D65A20" w:rsidRDefault="00BB3DE0" w:rsidP="00AA4399">
      <w:pPr>
        <w:widowControl/>
        <w:jc w:val="center"/>
        <w:rPr>
          <w:rFonts w:ascii="Times New Roman" w:hAnsi="Times New Roman"/>
          <w:color w:val="000000"/>
          <w:szCs w:val="22"/>
          <w:lang w:val="pt-BR"/>
        </w:rPr>
      </w:pPr>
      <w:r w:rsidRPr="00D65A20">
        <w:rPr>
          <w:rFonts w:ascii="Times New Roman" w:hAnsi="Times New Roman"/>
          <w:noProof/>
          <w:color w:val="000000"/>
          <w:szCs w:val="22"/>
          <w:lang w:val="pt-BR"/>
        </w:rPr>
        <w:t>(</w:t>
      </w:r>
      <w:r w:rsidRPr="00D65A20">
        <w:rPr>
          <w:rFonts w:ascii="Times New Roman" w:hAnsi="Times New Roman"/>
          <w:lang w:val="pt-BR"/>
        </w:rPr>
        <w:t>Aprovada na primeira sessão plenária, realizada em 20 de outubro de 2020</w:t>
      </w:r>
      <w:r w:rsidRPr="00D65A20">
        <w:rPr>
          <w:rFonts w:ascii="Times New Roman" w:hAnsi="Times New Roman"/>
          <w:color w:val="000000"/>
          <w:szCs w:val="22"/>
          <w:lang w:val="pt-BR"/>
        </w:rPr>
        <w:t>)</w:t>
      </w:r>
    </w:p>
    <w:p w14:paraId="6E83433B" w14:textId="77777777" w:rsidR="00BB3DE0" w:rsidRPr="00D65A20" w:rsidRDefault="00BB3DE0" w:rsidP="00AA4399">
      <w:pPr>
        <w:widowControl/>
        <w:suppressAutoHyphens/>
        <w:rPr>
          <w:rFonts w:ascii="Times New Roman" w:hAnsi="Times New Roman"/>
          <w:szCs w:val="22"/>
          <w:lang w:val="pt-BR"/>
        </w:rPr>
      </w:pPr>
    </w:p>
    <w:p w14:paraId="6E83433C" w14:textId="77777777" w:rsidR="00BB3DE0" w:rsidRPr="00D65A20" w:rsidRDefault="00BB3DE0" w:rsidP="00AA4399">
      <w:pPr>
        <w:widowControl/>
        <w:suppressAutoHyphens/>
        <w:rPr>
          <w:rFonts w:ascii="Times New Roman" w:hAnsi="Times New Roman"/>
          <w:szCs w:val="22"/>
          <w:lang w:val="pt-BR"/>
        </w:rPr>
      </w:pPr>
    </w:p>
    <w:p w14:paraId="6E83433D" w14:textId="77777777" w:rsidR="00BB3DE0" w:rsidRPr="00D65A20" w:rsidRDefault="00BB3DE0" w:rsidP="00AA4399">
      <w:pPr>
        <w:widowControl/>
        <w:rPr>
          <w:rFonts w:ascii="Times New Roman" w:hAnsi="Times New Roman"/>
          <w:szCs w:val="22"/>
          <w:lang w:val="pt-BR"/>
        </w:rPr>
      </w:pPr>
      <w:r w:rsidRPr="00D65A20">
        <w:rPr>
          <w:rFonts w:ascii="Times New Roman" w:hAnsi="Times New Roman"/>
          <w:color w:val="000000"/>
          <w:szCs w:val="22"/>
          <w:lang w:val="pt-BR"/>
        </w:rPr>
        <w:tab/>
        <w:t>A ASSEMBLEIA GERAL,</w:t>
      </w:r>
    </w:p>
    <w:p w14:paraId="6E83433E" w14:textId="77777777" w:rsidR="00BB3DE0" w:rsidRPr="00D65A20" w:rsidRDefault="00BB3DE0" w:rsidP="00AA4399">
      <w:pPr>
        <w:widowControl/>
        <w:rPr>
          <w:rFonts w:ascii="Times New Roman" w:hAnsi="Times New Roman"/>
          <w:szCs w:val="22"/>
          <w:lang w:val="pt-BR"/>
        </w:rPr>
      </w:pPr>
    </w:p>
    <w:p w14:paraId="6E83433F" w14:textId="2F86293B" w:rsidR="00BB3DE0" w:rsidRPr="00D65A20" w:rsidRDefault="00BB3DE0" w:rsidP="00AA4399">
      <w:pPr>
        <w:widowControl/>
        <w:shd w:val="clear" w:color="auto" w:fill="FFFFFF"/>
        <w:ind w:firstLine="720"/>
        <w:rPr>
          <w:rFonts w:ascii="Times New Roman" w:hAnsi="Times New Roman"/>
          <w:szCs w:val="22"/>
          <w:lang w:val="pt-BR"/>
        </w:rPr>
      </w:pPr>
      <w:r w:rsidRPr="00D65A20">
        <w:rPr>
          <w:rFonts w:ascii="Times New Roman" w:hAnsi="Times New Roman"/>
          <w:szCs w:val="22"/>
          <w:lang w:val="pt-BR"/>
        </w:rPr>
        <w:t>MANIFESTANDO solidariedade com o</w:t>
      </w:r>
      <w:r w:rsidR="003F2F77" w:rsidRPr="00D65A20">
        <w:rPr>
          <w:rFonts w:ascii="Times New Roman" w:hAnsi="Times New Roman"/>
          <w:szCs w:val="22"/>
          <w:lang w:val="pt-BR"/>
        </w:rPr>
        <w:t>s</w:t>
      </w:r>
      <w:r w:rsidRPr="00D65A20">
        <w:rPr>
          <w:rFonts w:ascii="Times New Roman" w:hAnsi="Times New Roman"/>
          <w:szCs w:val="22"/>
          <w:lang w:val="pt-BR"/>
        </w:rPr>
        <w:t xml:space="preserve"> povo</w:t>
      </w:r>
      <w:r w:rsidR="003F2F77" w:rsidRPr="00D65A20">
        <w:rPr>
          <w:rFonts w:ascii="Times New Roman" w:hAnsi="Times New Roman"/>
          <w:szCs w:val="22"/>
          <w:lang w:val="pt-BR"/>
        </w:rPr>
        <w:t>s</w:t>
      </w:r>
      <w:r w:rsidRPr="00D65A20">
        <w:rPr>
          <w:rFonts w:ascii="Times New Roman" w:hAnsi="Times New Roman"/>
          <w:szCs w:val="22"/>
          <w:lang w:val="pt-BR"/>
        </w:rPr>
        <w:t xml:space="preserve"> e os governos das Américas, que enfrentam os impactos humanos, sociais e econômicos da </w:t>
      </w:r>
      <w:r w:rsidR="00877D54" w:rsidRPr="00D65A20">
        <w:rPr>
          <w:rFonts w:ascii="Times New Roman" w:hAnsi="Times New Roman"/>
          <w:szCs w:val="22"/>
          <w:lang w:val="pt-BR"/>
        </w:rPr>
        <w:t>pandemia de</w:t>
      </w:r>
      <w:r w:rsidRPr="00D65A20">
        <w:rPr>
          <w:rFonts w:ascii="Times New Roman" w:hAnsi="Times New Roman"/>
          <w:szCs w:val="22"/>
          <w:lang w:val="pt-BR"/>
        </w:rPr>
        <w:t xml:space="preserve"> covid-19, experimentados principalmente mediante a privação dos meios de subsistência, a perda desproporcional de vidas, o impacto nas populações vulneráveis e um decréscimo projetado do PIB de mais de 9% na América Latina e no Caribe como um todo;</w:t>
      </w:r>
      <w:r w:rsidRPr="00D65A20">
        <w:rPr>
          <w:rFonts w:ascii="Times New Roman" w:hAnsi="Times New Roman"/>
          <w:color w:val="000000"/>
          <w:szCs w:val="22"/>
          <w:lang w:val="pt-BR"/>
        </w:rPr>
        <w:t xml:space="preserve"> </w:t>
      </w:r>
    </w:p>
    <w:p w14:paraId="6E834340" w14:textId="77777777" w:rsidR="00BB3DE0" w:rsidRPr="00D65A20" w:rsidRDefault="00BB3DE0" w:rsidP="00AA4399">
      <w:pPr>
        <w:widowControl/>
        <w:shd w:val="clear" w:color="auto" w:fill="FFFFFF"/>
        <w:jc w:val="left"/>
        <w:rPr>
          <w:rFonts w:ascii="Times New Roman" w:hAnsi="Times New Roman"/>
          <w:szCs w:val="22"/>
          <w:lang w:val="pt-BR"/>
        </w:rPr>
      </w:pPr>
    </w:p>
    <w:p w14:paraId="6E834341" w14:textId="48E881A1" w:rsidR="00BB3DE0" w:rsidRPr="00D65A20" w:rsidRDefault="00BB3DE0" w:rsidP="00AA4399">
      <w:pPr>
        <w:widowControl/>
        <w:ind w:firstLine="720"/>
        <w:rPr>
          <w:rFonts w:ascii="Times New Roman" w:hAnsi="Times New Roman"/>
          <w:szCs w:val="22"/>
          <w:lang w:val="pt-BR"/>
        </w:rPr>
      </w:pPr>
      <w:r w:rsidRPr="00D65A20">
        <w:rPr>
          <w:rFonts w:ascii="Times New Roman" w:hAnsi="Times New Roman"/>
          <w:szCs w:val="22"/>
          <w:lang w:val="pt-BR"/>
        </w:rPr>
        <w:t>RECONHECENDO que a recuperação do Hemisfério dos impactos da covid-19 exigirá uma cooperação multilateral aprimorada a fim de atender às necessidades de financiamento e de construção de resiliência contra choques futuros para uma recuperação duradoura, bem como respostas de políticas inclusivas e a consideração da perspectiva de gênero para impulsionar o novo crescimento econômico;</w:t>
      </w:r>
    </w:p>
    <w:p w14:paraId="6E834342" w14:textId="77777777" w:rsidR="00BB3DE0" w:rsidRPr="00D65A20" w:rsidRDefault="00BB3DE0" w:rsidP="00AA4399">
      <w:pPr>
        <w:widowControl/>
        <w:jc w:val="left"/>
        <w:rPr>
          <w:rFonts w:ascii="Times New Roman" w:hAnsi="Times New Roman"/>
          <w:szCs w:val="22"/>
          <w:lang w:val="pt-BR"/>
        </w:rPr>
      </w:pPr>
    </w:p>
    <w:p w14:paraId="6E834343" w14:textId="77777777" w:rsidR="00BB3DE0" w:rsidRPr="00D65A20" w:rsidRDefault="00BB3DE0" w:rsidP="00AA4399">
      <w:pPr>
        <w:widowControl/>
        <w:ind w:firstLine="720"/>
        <w:rPr>
          <w:rFonts w:ascii="Times New Roman" w:hAnsi="Times New Roman"/>
          <w:szCs w:val="22"/>
          <w:lang w:val="pt-BR"/>
        </w:rPr>
      </w:pPr>
      <w:r w:rsidRPr="00D65A20">
        <w:rPr>
          <w:rFonts w:ascii="Times New Roman" w:hAnsi="Times New Roman"/>
          <w:szCs w:val="22"/>
          <w:lang w:val="pt-BR"/>
        </w:rPr>
        <w:t>RECONHECENDO TAMBÉM os desafios e o tempo perdido devido à covid-19 em 2020, que marca o início da Década de Ação para a entrega dos Objetivos de Desenvolvimento Sustentável;</w:t>
      </w:r>
    </w:p>
    <w:p w14:paraId="6E834344" w14:textId="77777777" w:rsidR="00BB3DE0" w:rsidRPr="00D65A20" w:rsidRDefault="00BB3DE0"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Times New Roman" w:eastAsia="Calibri" w:hAnsi="Times New Roman"/>
          <w:szCs w:val="22"/>
          <w:lang w:val="pt-BR"/>
        </w:rPr>
      </w:pPr>
    </w:p>
    <w:p w14:paraId="6E834345" w14:textId="77777777" w:rsidR="00BB3DE0" w:rsidRPr="00D65A20" w:rsidRDefault="00BB3DE0" w:rsidP="00AA4399">
      <w:pPr>
        <w:widowControl/>
        <w:ind w:firstLine="720"/>
        <w:rPr>
          <w:rFonts w:ascii="Times New Roman" w:hAnsi="Times New Roman"/>
          <w:szCs w:val="22"/>
          <w:lang w:val="pt-BR"/>
        </w:rPr>
      </w:pPr>
      <w:r w:rsidRPr="00D65A20">
        <w:rPr>
          <w:rFonts w:ascii="Times New Roman" w:hAnsi="Times New Roman"/>
          <w:szCs w:val="22"/>
          <w:lang w:val="pt-BR"/>
        </w:rPr>
        <w:t>RECONHECENDO AINDA o papel crítico que as mulheres estão desempenhando nos esforços de resposta à covid-19 e a necessidade de os Estados</w:t>
      </w:r>
      <w:r w:rsidR="003F2F77" w:rsidRPr="00D65A20">
        <w:rPr>
          <w:rFonts w:ascii="Times New Roman" w:hAnsi="Times New Roman"/>
          <w:szCs w:val="22"/>
          <w:lang w:val="pt-BR"/>
        </w:rPr>
        <w:t xml:space="preserve"> m</w:t>
      </w:r>
      <w:r w:rsidRPr="00D65A20">
        <w:rPr>
          <w:rFonts w:ascii="Times New Roman" w:hAnsi="Times New Roman"/>
          <w:szCs w:val="22"/>
          <w:lang w:val="pt-BR"/>
        </w:rPr>
        <w:t>embros garantirem uma participação plena, igualitária e significativa das mulheres na tomada de decisões e no acesso igualitário à liderança e à representação em todas as esferas da sociedade como base para uma resposta eficaz;</w:t>
      </w:r>
    </w:p>
    <w:p w14:paraId="6E834346" w14:textId="77777777" w:rsidR="00BB3DE0" w:rsidRPr="00D65A20" w:rsidRDefault="00BB3DE0" w:rsidP="00AA4399">
      <w:pPr>
        <w:widowControl/>
        <w:rPr>
          <w:rFonts w:ascii="Times New Roman" w:hAnsi="Times New Roman"/>
          <w:szCs w:val="22"/>
          <w:lang w:val="pt-BR"/>
        </w:rPr>
      </w:pPr>
    </w:p>
    <w:p w14:paraId="6E834347" w14:textId="77777777" w:rsidR="00BB3DE0" w:rsidRPr="00D65A20" w:rsidRDefault="00BB3DE0" w:rsidP="00AA4399">
      <w:pPr>
        <w:widowControl/>
        <w:ind w:firstLine="720"/>
        <w:rPr>
          <w:rFonts w:ascii="Times New Roman" w:hAnsi="Times New Roman"/>
          <w:szCs w:val="22"/>
          <w:lang w:val="pt-BR"/>
        </w:rPr>
      </w:pPr>
      <w:r w:rsidRPr="00D65A20">
        <w:rPr>
          <w:rFonts w:ascii="Times New Roman" w:hAnsi="Times New Roman"/>
          <w:color w:val="000000"/>
          <w:szCs w:val="22"/>
          <w:lang w:val="pt-BR"/>
        </w:rPr>
        <w:t xml:space="preserve">CONSCIENTE de que a região das Américas </w:t>
      </w:r>
      <w:r w:rsidRPr="00D65A20">
        <w:rPr>
          <w:rFonts w:ascii="Times New Roman" w:hAnsi="Times New Roman"/>
          <w:szCs w:val="22"/>
          <w:lang w:val="pt-BR"/>
        </w:rPr>
        <w:t xml:space="preserve">é </w:t>
      </w:r>
      <w:r w:rsidRPr="00D65A20">
        <w:rPr>
          <w:rFonts w:ascii="Times New Roman" w:hAnsi="Times New Roman"/>
          <w:color w:val="000000"/>
          <w:szCs w:val="22"/>
          <w:lang w:val="pt-BR"/>
        </w:rPr>
        <w:t xml:space="preserve">uma das mais propensas a desastres do mundo, com eventos como inundações, secas, temperaturas extremas, </w:t>
      </w:r>
      <w:r w:rsidRPr="00D65A20">
        <w:rPr>
          <w:rFonts w:ascii="Times New Roman" w:hAnsi="Times New Roman"/>
          <w:szCs w:val="22"/>
          <w:lang w:val="pt-BR"/>
        </w:rPr>
        <w:t xml:space="preserve">incêndios florestais </w:t>
      </w:r>
      <w:r w:rsidRPr="00D65A20">
        <w:rPr>
          <w:rFonts w:ascii="Times New Roman" w:hAnsi="Times New Roman"/>
          <w:color w:val="000000"/>
          <w:szCs w:val="22"/>
          <w:lang w:val="pt-BR"/>
        </w:rPr>
        <w:t xml:space="preserve">e grandes furacões com graves consequências sobre os meios de subsistência, a infraestrutura, as economias, os </w:t>
      </w:r>
      <w:r w:rsidRPr="00D65A20">
        <w:rPr>
          <w:rFonts w:ascii="Times New Roman" w:hAnsi="Times New Roman"/>
          <w:szCs w:val="22"/>
          <w:lang w:val="pt-BR"/>
        </w:rPr>
        <w:t>sistemas de saúde e as zonas costeiras nos países do Hemisfério;</w:t>
      </w:r>
      <w:r w:rsidRPr="00D65A20">
        <w:rPr>
          <w:rFonts w:ascii="Times New Roman" w:hAnsi="Times New Roman"/>
          <w:color w:val="000000"/>
          <w:szCs w:val="22"/>
          <w:lang w:val="pt-BR"/>
        </w:rPr>
        <w:t xml:space="preserve"> </w:t>
      </w:r>
    </w:p>
    <w:p w14:paraId="6E834348" w14:textId="77777777" w:rsidR="00BB3DE0" w:rsidRPr="00D65A20" w:rsidRDefault="00BB3DE0" w:rsidP="00AA4399">
      <w:pPr>
        <w:widowControl/>
        <w:rPr>
          <w:rFonts w:ascii="Times New Roman" w:hAnsi="Times New Roman"/>
          <w:lang w:val="pt-BR"/>
        </w:rPr>
      </w:pPr>
    </w:p>
    <w:p w14:paraId="6E834349" w14:textId="1AD742FF" w:rsidR="00BB3DE0" w:rsidRPr="00D65A20" w:rsidRDefault="00BB3DE0" w:rsidP="00AA4399">
      <w:pPr>
        <w:widowControl/>
        <w:ind w:firstLine="720"/>
        <w:rPr>
          <w:rFonts w:ascii="Times New Roman" w:hAnsi="Times New Roman"/>
          <w:lang w:val="pt-BR"/>
        </w:rPr>
      </w:pPr>
      <w:r w:rsidRPr="00D65A20">
        <w:rPr>
          <w:rFonts w:ascii="Times New Roman" w:hAnsi="Times New Roman"/>
          <w:szCs w:val="22"/>
          <w:lang w:val="pt-BR"/>
        </w:rPr>
        <w:t>PREOCUPADA com o aumento dos impactos da temperatura e do clima na América do Norte, que, em 2019, representaram US$</w:t>
      </w:r>
      <w:r w:rsidR="003F2F77" w:rsidRPr="00D65A20">
        <w:rPr>
          <w:rFonts w:ascii="Times New Roman" w:hAnsi="Times New Roman"/>
          <w:szCs w:val="22"/>
          <w:lang w:val="pt-BR"/>
        </w:rPr>
        <w:t> </w:t>
      </w:r>
      <w:r w:rsidRPr="00D65A20">
        <w:rPr>
          <w:rFonts w:ascii="Times New Roman" w:hAnsi="Times New Roman"/>
          <w:szCs w:val="22"/>
          <w:lang w:val="pt-BR"/>
        </w:rPr>
        <w:t>45 bilhões em perdas econômicas somente nos Estados Unidos, além de perdas projetadas de US$</w:t>
      </w:r>
      <w:r w:rsidR="003F2F77" w:rsidRPr="00D65A20">
        <w:rPr>
          <w:rFonts w:ascii="Times New Roman" w:hAnsi="Times New Roman"/>
          <w:szCs w:val="22"/>
          <w:lang w:val="pt-BR"/>
        </w:rPr>
        <w:t> </w:t>
      </w:r>
      <w:r w:rsidRPr="00D65A20">
        <w:rPr>
          <w:rFonts w:ascii="Times New Roman" w:hAnsi="Times New Roman"/>
          <w:szCs w:val="22"/>
          <w:lang w:val="pt-BR"/>
        </w:rPr>
        <w:t>21</w:t>
      </w:r>
      <w:r w:rsidR="003F2F77" w:rsidRPr="00D65A20">
        <w:rPr>
          <w:rFonts w:ascii="Times New Roman" w:hAnsi="Times New Roman"/>
          <w:szCs w:val="22"/>
          <w:lang w:val="pt-BR"/>
        </w:rPr>
        <w:t xml:space="preserve">– </w:t>
      </w:r>
      <w:r w:rsidRPr="00D65A20">
        <w:rPr>
          <w:rFonts w:ascii="Times New Roman" w:hAnsi="Times New Roman"/>
          <w:szCs w:val="22"/>
          <w:lang w:val="pt-BR"/>
        </w:rPr>
        <w:t>US$</w:t>
      </w:r>
      <w:r w:rsidR="003F2F77" w:rsidRPr="00D65A20">
        <w:rPr>
          <w:rFonts w:ascii="Times New Roman" w:hAnsi="Times New Roman"/>
          <w:szCs w:val="22"/>
          <w:lang w:val="pt-BR"/>
        </w:rPr>
        <w:t> </w:t>
      </w:r>
      <w:r w:rsidRPr="00D65A20">
        <w:rPr>
          <w:rFonts w:ascii="Times New Roman" w:hAnsi="Times New Roman"/>
          <w:szCs w:val="22"/>
          <w:lang w:val="pt-BR"/>
        </w:rPr>
        <w:t>43 bilhões por ano no Canadá, até 2050;</w:t>
      </w:r>
    </w:p>
    <w:p w14:paraId="6E83434A" w14:textId="77777777" w:rsidR="00BB3DE0" w:rsidRPr="00D65A20" w:rsidRDefault="00BB3DE0"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Times New Roman" w:eastAsia="Calibri" w:hAnsi="Times New Roman"/>
          <w:szCs w:val="22"/>
          <w:lang w:val="pt-BR"/>
        </w:rPr>
      </w:pPr>
    </w:p>
    <w:p w14:paraId="6E83434B" w14:textId="4F31FB0A" w:rsidR="00BB3DE0" w:rsidRPr="00D65A20" w:rsidRDefault="00BB3DE0" w:rsidP="00AA4399">
      <w:pPr>
        <w:widowControl/>
        <w:ind w:firstLine="720"/>
        <w:rPr>
          <w:rFonts w:ascii="Times New Roman" w:hAnsi="Times New Roman"/>
          <w:i/>
          <w:szCs w:val="22"/>
          <w:lang w:val="pt-BR"/>
        </w:rPr>
      </w:pPr>
      <w:r w:rsidRPr="00D65A20">
        <w:rPr>
          <w:rFonts w:ascii="Times New Roman" w:hAnsi="Times New Roman"/>
          <w:szCs w:val="22"/>
          <w:lang w:val="pt-BR"/>
        </w:rPr>
        <w:t xml:space="preserve">CIENTE da vulnerabilidade do Hemisfério à mudança do clima e aos desastres naturais, que já representam uma ameaça urgente com efeitos potencialmente irreversíveis sobre as populações e o </w:t>
      </w:r>
      <w:r w:rsidRPr="00D65A20">
        <w:rPr>
          <w:rFonts w:ascii="Times New Roman" w:hAnsi="Times New Roman"/>
          <w:szCs w:val="22"/>
          <w:lang w:val="pt-BR"/>
        </w:rPr>
        <w:lastRenderedPageBreak/>
        <w:t>planeta, e ressaltando a necessidade de garantir que as respostas emergenciais à crise da covid-19 não descarrilhem nem coloquem em risco os esforços das Américas para enfrentar os desafios climáticos urgentes, ao mesmo tempo em que considera o potencial das abordagens baseadas no ecossistema e das soluções baseadas na natureza</w:t>
      </w:r>
      <w:r w:rsidRPr="00D65A20">
        <w:rPr>
          <w:rFonts w:ascii="Times New Roman" w:hAnsi="Times New Roman"/>
          <w:szCs w:val="22"/>
          <w:u w:val="single"/>
          <w:vertAlign w:val="superscript"/>
          <w:lang w:val="pt-BR"/>
        </w:rPr>
        <w:footnoteReference w:id="35"/>
      </w:r>
      <w:r w:rsidRPr="00D65A20">
        <w:rPr>
          <w:rFonts w:ascii="Times New Roman" w:hAnsi="Times New Roman"/>
          <w:szCs w:val="22"/>
          <w:vertAlign w:val="superscript"/>
          <w:lang w:val="pt-BR"/>
        </w:rPr>
        <w:t>/</w:t>
      </w:r>
      <w:r w:rsidRPr="00D65A20">
        <w:rPr>
          <w:rFonts w:ascii="Times New Roman" w:hAnsi="Times New Roman"/>
          <w:szCs w:val="22"/>
          <w:lang w:val="pt-BR"/>
        </w:rPr>
        <w:t xml:space="preserve"> para enfrentar a mudança do clima e melhorar a saúde ambiental e a resiliência das suas sociedades;</w:t>
      </w:r>
    </w:p>
    <w:p w14:paraId="6E83434C" w14:textId="77777777" w:rsidR="00BB3DE0" w:rsidRPr="00D65A20" w:rsidRDefault="00BB3DE0"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Times New Roman" w:eastAsia="Calibri" w:hAnsi="Times New Roman"/>
          <w:i/>
          <w:szCs w:val="22"/>
          <w:lang w:val="pt-BR"/>
        </w:rPr>
      </w:pPr>
    </w:p>
    <w:p w14:paraId="6E83434D" w14:textId="4B7896A2" w:rsidR="00BB3DE0" w:rsidRPr="00D65A20" w:rsidRDefault="00BB3DE0" w:rsidP="00AA4399">
      <w:pPr>
        <w:widowControl/>
        <w:ind w:firstLine="720"/>
        <w:rPr>
          <w:rFonts w:ascii="Times New Roman" w:hAnsi="Times New Roman"/>
          <w:szCs w:val="22"/>
          <w:lang w:val="pt-BR"/>
        </w:rPr>
      </w:pPr>
      <w:r w:rsidRPr="00D65A20">
        <w:rPr>
          <w:rFonts w:ascii="Times New Roman" w:hAnsi="Times New Roman"/>
          <w:szCs w:val="22"/>
          <w:lang w:val="pt-BR"/>
        </w:rPr>
        <w:t xml:space="preserve">TOMANDO NOTA de que o investimento público na construção de resiliência, </w:t>
      </w:r>
      <w:r w:rsidR="0088463B" w:rsidRPr="00D65A20">
        <w:rPr>
          <w:rFonts w:ascii="Times New Roman" w:hAnsi="Times New Roman"/>
          <w:szCs w:val="22"/>
          <w:lang w:val="pt-BR"/>
        </w:rPr>
        <w:t xml:space="preserve">na </w:t>
      </w:r>
      <w:r w:rsidRPr="00D65A20">
        <w:rPr>
          <w:rFonts w:ascii="Times New Roman" w:hAnsi="Times New Roman"/>
          <w:szCs w:val="22"/>
          <w:lang w:val="pt-BR"/>
        </w:rPr>
        <w:t xml:space="preserve">adaptação e </w:t>
      </w:r>
      <w:r w:rsidR="0088463B" w:rsidRPr="00D65A20">
        <w:rPr>
          <w:rFonts w:ascii="Times New Roman" w:hAnsi="Times New Roman"/>
          <w:szCs w:val="22"/>
          <w:lang w:val="pt-BR"/>
        </w:rPr>
        <w:t xml:space="preserve">na </w:t>
      </w:r>
      <w:r w:rsidRPr="00D65A20">
        <w:rPr>
          <w:rFonts w:ascii="Times New Roman" w:hAnsi="Times New Roman"/>
          <w:szCs w:val="22"/>
          <w:lang w:val="pt-BR"/>
        </w:rPr>
        <w:t xml:space="preserve">mitigação </w:t>
      </w:r>
      <w:r w:rsidR="00BB7D54" w:rsidRPr="00D65A20">
        <w:rPr>
          <w:rFonts w:ascii="Times New Roman" w:hAnsi="Times New Roman"/>
          <w:szCs w:val="22"/>
          <w:lang w:val="pt-BR"/>
        </w:rPr>
        <w:t>relativas à mudança do clima</w:t>
      </w:r>
      <w:r w:rsidRPr="00D65A20">
        <w:rPr>
          <w:rFonts w:ascii="Times New Roman" w:hAnsi="Times New Roman"/>
          <w:szCs w:val="22"/>
          <w:lang w:val="pt-BR"/>
        </w:rPr>
        <w:t xml:space="preserve"> possivelmente criaria novas oportunidades de crescimento para as economias das Américas, incluindo as provindas de investimento estrangeiro, tornando, ao mesmo tempo, os meios de subsistência mais resilientes contra choques futuros;</w:t>
      </w:r>
    </w:p>
    <w:p w14:paraId="6E83434E" w14:textId="77777777" w:rsidR="00BB3DE0" w:rsidRPr="00D65A20" w:rsidRDefault="00BB3DE0" w:rsidP="00AA4399">
      <w:pPr>
        <w:widowControl/>
        <w:rPr>
          <w:rFonts w:ascii="Times New Roman" w:hAnsi="Times New Roman"/>
          <w:szCs w:val="22"/>
          <w:lang w:val="pt-BR"/>
        </w:rPr>
      </w:pPr>
    </w:p>
    <w:p w14:paraId="6E83434F" w14:textId="3B0D2D77" w:rsidR="00BB3DE0" w:rsidRPr="00D65A20" w:rsidRDefault="00BB3DE0" w:rsidP="00AA4399">
      <w:pPr>
        <w:widowControl/>
        <w:ind w:firstLine="720"/>
        <w:rPr>
          <w:rFonts w:ascii="Times New Roman" w:hAnsi="Times New Roman"/>
          <w:szCs w:val="22"/>
          <w:lang w:val="pt-BR" w:eastAsia="pt-BR"/>
        </w:rPr>
      </w:pPr>
      <w:r w:rsidRPr="00D65A20">
        <w:rPr>
          <w:rFonts w:ascii="Times New Roman" w:hAnsi="Times New Roman"/>
          <w:szCs w:val="22"/>
          <w:lang w:val="pt-BR"/>
        </w:rPr>
        <w:t xml:space="preserve">TOMANDO NOTA TAMBÉM do surgimento de novos instrumentos, como a troca de dívidas por ações climáticas para complementar os instrumentos de dívida contingente, os bônus verdes e azuis e as cláusulas sobre desastres naturais em acordos multilaterais de empréstimos, especialmente, mas não de forma exclusiva, para os </w:t>
      </w:r>
      <w:r w:rsidR="000F03F2" w:rsidRPr="00D65A20">
        <w:rPr>
          <w:rFonts w:ascii="Times New Roman" w:hAnsi="Times New Roman"/>
          <w:szCs w:val="22"/>
          <w:lang w:val="pt-BR"/>
        </w:rPr>
        <w:t>pequenos Estados insulares e de zonas litorâneas baixas</w:t>
      </w:r>
      <w:r w:rsidR="000F7324" w:rsidRPr="00D65A20">
        <w:rPr>
          <w:rFonts w:ascii="Times New Roman" w:hAnsi="Times New Roman"/>
          <w:szCs w:val="22"/>
          <w:lang w:val="pt-BR"/>
        </w:rPr>
        <w:t xml:space="preserve"> </w:t>
      </w:r>
      <w:r w:rsidRPr="00D65A20">
        <w:rPr>
          <w:rFonts w:ascii="Times New Roman" w:hAnsi="Times New Roman"/>
          <w:szCs w:val="22"/>
          <w:lang w:val="pt-BR"/>
        </w:rPr>
        <w:t>das Américas;</w:t>
      </w:r>
      <w:r w:rsidRPr="00D65A20">
        <w:rPr>
          <w:rFonts w:ascii="Times New Roman" w:hAnsi="Times New Roman"/>
          <w:szCs w:val="22"/>
          <w:lang w:val="pt-BR" w:eastAsia="pt-BR"/>
        </w:rPr>
        <w:t xml:space="preserve"> </w:t>
      </w:r>
    </w:p>
    <w:p w14:paraId="6E834350" w14:textId="77777777" w:rsidR="00BB3DE0" w:rsidRPr="00D65A20" w:rsidRDefault="00BB3DE0"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Times New Roman" w:eastAsia="Calibri" w:hAnsi="Times New Roman"/>
          <w:szCs w:val="22"/>
          <w:lang w:val="pt-BR"/>
        </w:rPr>
      </w:pPr>
    </w:p>
    <w:p w14:paraId="6E834351" w14:textId="0B756220" w:rsidR="00BB3DE0" w:rsidRPr="00D65A20" w:rsidRDefault="00BB3DE0" w:rsidP="00AA4399">
      <w:pPr>
        <w:widowControl/>
        <w:ind w:firstLine="720"/>
        <w:rPr>
          <w:rFonts w:ascii="Times New Roman" w:hAnsi="Times New Roman"/>
          <w:szCs w:val="22"/>
          <w:lang w:val="pt-BR"/>
        </w:rPr>
      </w:pPr>
      <w:r w:rsidRPr="00D65A20">
        <w:rPr>
          <w:rFonts w:ascii="Times New Roman" w:hAnsi="Times New Roman"/>
          <w:szCs w:val="22"/>
          <w:lang w:val="pt-BR"/>
        </w:rPr>
        <w:t xml:space="preserve">RECORDANDO a aprovação e a entrada em vigor do Acordo de Paris, adotado no âmbito da </w:t>
      </w:r>
      <w:r w:rsidR="000F03F2" w:rsidRPr="00D65A20">
        <w:rPr>
          <w:rFonts w:ascii="Times New Roman" w:hAnsi="Times New Roman"/>
          <w:szCs w:val="22"/>
          <w:lang w:val="pt-BR"/>
        </w:rPr>
        <w:t>Convenção-Quadro das Nações Unidas sobre Mudança do Clima (</w:t>
      </w:r>
      <w:r w:rsidRPr="00D65A20">
        <w:rPr>
          <w:rFonts w:ascii="Times New Roman" w:hAnsi="Times New Roman"/>
          <w:szCs w:val="22"/>
          <w:lang w:val="pt-BR"/>
        </w:rPr>
        <w:t>UNFCCC</w:t>
      </w:r>
      <w:r w:rsidR="000F03F2" w:rsidRPr="00D65A20">
        <w:rPr>
          <w:rFonts w:ascii="Times New Roman" w:hAnsi="Times New Roman"/>
          <w:szCs w:val="22"/>
          <w:lang w:val="pt-BR"/>
        </w:rPr>
        <w:t>)</w:t>
      </w:r>
      <w:r w:rsidRPr="00D65A20">
        <w:rPr>
          <w:rFonts w:ascii="Times New Roman" w:hAnsi="Times New Roman"/>
          <w:szCs w:val="22"/>
          <w:lang w:val="pt-BR"/>
        </w:rPr>
        <w:t xml:space="preserve">, e as ambições de mitigação e adaptação dos Estados Partes no Acordo por meio de contribuições nacionalmente determinadas (CNDs), bem como as disposições </w:t>
      </w:r>
      <w:r w:rsidR="00BB7D54" w:rsidRPr="00D65A20">
        <w:rPr>
          <w:rFonts w:ascii="Times New Roman" w:hAnsi="Times New Roman"/>
          <w:szCs w:val="22"/>
          <w:lang w:val="pt-BR"/>
        </w:rPr>
        <w:t xml:space="preserve">do Acordo </w:t>
      </w:r>
      <w:r w:rsidRPr="00D65A20">
        <w:rPr>
          <w:rFonts w:ascii="Times New Roman" w:hAnsi="Times New Roman"/>
          <w:szCs w:val="22"/>
          <w:lang w:val="pt-BR"/>
        </w:rPr>
        <w:t xml:space="preserve">sobre os esforços de mitigação e adaptação dos países em desenvolvimento, e seu apoio a </w:t>
      </w:r>
      <w:r w:rsidR="00BB7D54" w:rsidRPr="00D65A20">
        <w:rPr>
          <w:rFonts w:ascii="Times New Roman" w:hAnsi="Times New Roman"/>
          <w:szCs w:val="22"/>
          <w:lang w:val="pt-BR"/>
        </w:rPr>
        <w:t>tais esforços</w:t>
      </w:r>
      <w:r w:rsidRPr="00D65A20">
        <w:rPr>
          <w:rFonts w:ascii="Times New Roman" w:hAnsi="Times New Roman"/>
          <w:szCs w:val="22"/>
          <w:lang w:val="pt-BR"/>
        </w:rPr>
        <w:t>, levando em conta o processo contínuo de desenvolvimento de CNDs novas ou atualizadas que forneçam metas de mitigação mais ambiciosas</w:t>
      </w:r>
      <w:r w:rsidR="00BB7D54" w:rsidRPr="00D65A20">
        <w:rPr>
          <w:rFonts w:ascii="Times New Roman" w:hAnsi="Times New Roman"/>
          <w:szCs w:val="22"/>
          <w:lang w:val="pt-BR"/>
        </w:rPr>
        <w:t>,</w:t>
      </w:r>
      <w:r w:rsidRPr="00D65A20">
        <w:rPr>
          <w:rFonts w:ascii="Times New Roman" w:hAnsi="Times New Roman"/>
          <w:szCs w:val="22"/>
          <w:lang w:val="pt-BR"/>
        </w:rPr>
        <w:t xml:space="preserve"> e a necessidade de tornar o planejamento da adaptação mais robusto para a realização do desenvolvimento </w:t>
      </w:r>
      <w:r w:rsidRPr="00D65A20">
        <w:rPr>
          <w:rFonts w:ascii="Times New Roman" w:hAnsi="Times New Roman"/>
          <w:color w:val="000000"/>
          <w:szCs w:val="22"/>
          <w:lang w:val="pt-BR"/>
        </w:rPr>
        <w:t xml:space="preserve">sustentável; </w:t>
      </w:r>
    </w:p>
    <w:p w14:paraId="6E834352" w14:textId="77777777" w:rsidR="00BB3DE0" w:rsidRPr="00D65A20" w:rsidRDefault="00BB3DE0"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Times New Roman" w:eastAsia="Calibri" w:hAnsi="Times New Roman"/>
          <w:szCs w:val="22"/>
          <w:lang w:val="pt-BR"/>
        </w:rPr>
      </w:pPr>
    </w:p>
    <w:p w14:paraId="6E834353" w14:textId="77777777" w:rsidR="00BB3DE0" w:rsidRPr="00D65A20" w:rsidRDefault="00BB3DE0" w:rsidP="00AA4399">
      <w:pPr>
        <w:widowControl/>
        <w:ind w:firstLine="720"/>
        <w:rPr>
          <w:rFonts w:ascii="Times New Roman" w:hAnsi="Times New Roman"/>
          <w:szCs w:val="22"/>
          <w:lang w:val="pt-BR"/>
        </w:rPr>
      </w:pPr>
      <w:r w:rsidRPr="00D65A20">
        <w:rPr>
          <w:rFonts w:ascii="Times New Roman" w:hAnsi="Times New Roman"/>
          <w:szCs w:val="22"/>
          <w:lang w:val="pt-BR"/>
        </w:rPr>
        <w:t>TOMANDO NOTA do trabalho do Conselho Interamericano de Desenvolvimento Integral, da Comissão de Segurança Hemisférica e do Conselho Interamericano de Defesa na abordagem dos efeitos multissetoriais da mudança do clima;</w:t>
      </w:r>
      <w:r w:rsidRPr="00D65A20">
        <w:rPr>
          <w:rFonts w:ascii="Times New Roman" w:hAnsi="Times New Roman"/>
          <w:color w:val="000000"/>
          <w:szCs w:val="22"/>
          <w:lang w:val="pt-BR"/>
        </w:rPr>
        <w:t xml:space="preserve"> </w:t>
      </w:r>
    </w:p>
    <w:p w14:paraId="6E834354" w14:textId="77777777" w:rsidR="00BB3DE0" w:rsidRPr="00D65A20" w:rsidRDefault="00BB3DE0"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Times New Roman" w:eastAsia="Calibri" w:hAnsi="Times New Roman"/>
          <w:szCs w:val="22"/>
          <w:lang w:val="pt-BR"/>
        </w:rPr>
      </w:pPr>
    </w:p>
    <w:p w14:paraId="6E834355" w14:textId="00E19769" w:rsidR="00BB3DE0" w:rsidRPr="00D65A20" w:rsidRDefault="00BB3DE0" w:rsidP="00AA4399">
      <w:pPr>
        <w:widowControl/>
        <w:ind w:firstLine="720"/>
        <w:rPr>
          <w:rFonts w:ascii="Times New Roman" w:hAnsi="Times New Roman"/>
          <w:i/>
          <w:szCs w:val="22"/>
          <w:lang w:val="pt-BR"/>
        </w:rPr>
      </w:pPr>
      <w:r w:rsidRPr="00D65A20">
        <w:rPr>
          <w:rFonts w:ascii="Times New Roman" w:hAnsi="Times New Roman"/>
          <w:szCs w:val="22"/>
          <w:lang w:val="pt-BR"/>
        </w:rPr>
        <w:t xml:space="preserve">DESTACANDO o papel da Costa Rica como </w:t>
      </w:r>
      <w:r w:rsidR="00BB7D54" w:rsidRPr="00D65A20">
        <w:rPr>
          <w:rFonts w:ascii="Times New Roman" w:hAnsi="Times New Roman"/>
          <w:szCs w:val="22"/>
          <w:lang w:val="pt-BR"/>
        </w:rPr>
        <w:t xml:space="preserve">sede </w:t>
      </w:r>
      <w:r w:rsidRPr="00D65A20">
        <w:rPr>
          <w:rFonts w:ascii="Times New Roman" w:hAnsi="Times New Roman"/>
          <w:szCs w:val="22"/>
          <w:lang w:val="pt-BR"/>
        </w:rPr>
        <w:t xml:space="preserve">da </w:t>
      </w:r>
      <w:r w:rsidR="007408CE" w:rsidRPr="00D65A20">
        <w:rPr>
          <w:rFonts w:ascii="Times New Roman" w:hAnsi="Times New Roman"/>
          <w:szCs w:val="22"/>
          <w:lang w:val="pt-BR"/>
        </w:rPr>
        <w:t xml:space="preserve">Reunião Preparatória </w:t>
      </w:r>
      <w:r w:rsidR="003525E3" w:rsidRPr="00D65A20">
        <w:rPr>
          <w:rFonts w:ascii="Times New Roman" w:hAnsi="Times New Roman"/>
          <w:szCs w:val="22"/>
          <w:lang w:val="pt-BR"/>
        </w:rPr>
        <w:t>da</w:t>
      </w:r>
      <w:r w:rsidR="00F36503" w:rsidRPr="00D65A20">
        <w:rPr>
          <w:rFonts w:ascii="Times New Roman" w:hAnsi="Times New Roman"/>
          <w:szCs w:val="22"/>
          <w:lang w:val="pt-BR"/>
        </w:rPr>
        <w:t xml:space="preserve"> Vigésima Quinta Conferência das Partes</w:t>
      </w:r>
      <w:r w:rsidR="007408CE" w:rsidRPr="00D65A20">
        <w:rPr>
          <w:rFonts w:ascii="Times New Roman" w:hAnsi="Times New Roman"/>
          <w:szCs w:val="22"/>
          <w:lang w:val="pt-BR"/>
        </w:rPr>
        <w:t xml:space="preserve"> Convenção-Quadro das Nações Unidas sobre Mudança do Clima</w:t>
      </w:r>
      <w:r w:rsidR="00F36503" w:rsidRPr="00D65A20">
        <w:rPr>
          <w:rFonts w:ascii="Times New Roman" w:hAnsi="Times New Roman"/>
          <w:szCs w:val="22"/>
          <w:lang w:val="pt-BR"/>
        </w:rPr>
        <w:t xml:space="preserve"> (</w:t>
      </w:r>
      <w:r w:rsidR="007408CE" w:rsidRPr="00D65A20">
        <w:rPr>
          <w:rFonts w:ascii="Times New Roman" w:hAnsi="Times New Roman"/>
          <w:szCs w:val="22"/>
          <w:lang w:val="pt-BR"/>
        </w:rPr>
        <w:t>Pre-</w:t>
      </w:r>
      <w:r w:rsidRPr="00D65A20">
        <w:rPr>
          <w:rFonts w:ascii="Times New Roman" w:hAnsi="Times New Roman"/>
          <w:szCs w:val="22"/>
          <w:lang w:val="pt-BR"/>
        </w:rPr>
        <w:t>COP</w:t>
      </w:r>
      <w:r w:rsidR="007408CE" w:rsidRPr="00D65A20">
        <w:rPr>
          <w:rFonts w:ascii="Times New Roman" w:hAnsi="Times New Roman"/>
          <w:szCs w:val="22"/>
          <w:lang w:val="pt-BR"/>
        </w:rPr>
        <w:t xml:space="preserve"> </w:t>
      </w:r>
      <w:r w:rsidRPr="00D65A20">
        <w:rPr>
          <w:rFonts w:ascii="Times New Roman" w:hAnsi="Times New Roman"/>
          <w:szCs w:val="22"/>
          <w:lang w:val="pt-BR"/>
        </w:rPr>
        <w:t>25</w:t>
      </w:r>
      <w:r w:rsidR="0097387B" w:rsidRPr="00D65A20">
        <w:rPr>
          <w:rFonts w:ascii="Times New Roman" w:hAnsi="Times New Roman"/>
          <w:szCs w:val="22"/>
          <w:lang w:val="pt-BR"/>
        </w:rPr>
        <w:t>)</w:t>
      </w:r>
      <w:r w:rsidRPr="00D65A20">
        <w:rPr>
          <w:rFonts w:ascii="Times New Roman" w:hAnsi="Times New Roman"/>
          <w:szCs w:val="22"/>
          <w:lang w:val="pt-BR"/>
        </w:rPr>
        <w:t xml:space="preserve"> e do Chile como Presidência da COP</w:t>
      </w:r>
      <w:r w:rsidR="007408CE" w:rsidRPr="00D65A20">
        <w:rPr>
          <w:rFonts w:ascii="Times New Roman" w:hAnsi="Times New Roman"/>
          <w:szCs w:val="22"/>
          <w:lang w:val="pt-BR"/>
        </w:rPr>
        <w:t xml:space="preserve"> </w:t>
      </w:r>
      <w:r w:rsidRPr="00D65A20">
        <w:rPr>
          <w:rFonts w:ascii="Times New Roman" w:hAnsi="Times New Roman"/>
          <w:szCs w:val="22"/>
          <w:lang w:val="pt-BR"/>
        </w:rPr>
        <w:t>25, e expressando apreço por seus esforços e sua liderança na promoção de uma agenda climática ambiciosa;</w:t>
      </w:r>
    </w:p>
    <w:p w14:paraId="6E834356" w14:textId="77777777" w:rsidR="00BB3DE0" w:rsidRPr="00D65A20" w:rsidRDefault="00BB3DE0"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Times New Roman" w:eastAsia="Calibri" w:hAnsi="Times New Roman"/>
          <w:i/>
          <w:szCs w:val="22"/>
          <w:lang w:val="pt-BR"/>
        </w:rPr>
      </w:pPr>
    </w:p>
    <w:p w14:paraId="6E834357" w14:textId="4133F242" w:rsidR="00BB3DE0" w:rsidRPr="00D65A20" w:rsidRDefault="00BB3DE0" w:rsidP="00AA4399">
      <w:pPr>
        <w:widowControl/>
        <w:ind w:firstLine="720"/>
        <w:rPr>
          <w:rFonts w:ascii="Times New Roman" w:hAnsi="Times New Roman"/>
          <w:szCs w:val="22"/>
          <w:lang w:val="pt-BR"/>
        </w:rPr>
      </w:pPr>
      <w:r w:rsidRPr="00D65A20">
        <w:rPr>
          <w:rFonts w:ascii="Times New Roman" w:hAnsi="Times New Roman"/>
          <w:szCs w:val="22"/>
          <w:lang w:val="pt-BR"/>
        </w:rPr>
        <w:t>TENDO EM CONTA a próxima COP</w:t>
      </w:r>
      <w:r w:rsidR="007408CE" w:rsidRPr="00D65A20">
        <w:rPr>
          <w:rFonts w:ascii="Times New Roman" w:hAnsi="Times New Roman"/>
          <w:szCs w:val="22"/>
          <w:lang w:val="pt-BR"/>
        </w:rPr>
        <w:t xml:space="preserve"> </w:t>
      </w:r>
      <w:r w:rsidRPr="00D65A20">
        <w:rPr>
          <w:rFonts w:ascii="Times New Roman" w:hAnsi="Times New Roman"/>
          <w:szCs w:val="22"/>
          <w:lang w:val="pt-BR"/>
        </w:rPr>
        <w:t>26 a ser realizada em Glasgow e a oportunidade que ela proporciona para os Estados</w:t>
      </w:r>
      <w:r w:rsidR="00BB7D54" w:rsidRPr="00D65A20">
        <w:rPr>
          <w:rFonts w:ascii="Times New Roman" w:hAnsi="Times New Roman"/>
          <w:szCs w:val="22"/>
          <w:lang w:val="pt-BR"/>
        </w:rPr>
        <w:t xml:space="preserve"> m</w:t>
      </w:r>
      <w:r w:rsidRPr="00D65A20">
        <w:rPr>
          <w:rFonts w:ascii="Times New Roman" w:hAnsi="Times New Roman"/>
          <w:szCs w:val="22"/>
          <w:lang w:val="pt-BR"/>
        </w:rPr>
        <w:t xml:space="preserve">embros da OEA de chamar a atenção para as vulnerabilidades da </w:t>
      </w:r>
      <w:r w:rsidR="00BB7D54" w:rsidRPr="00D65A20">
        <w:rPr>
          <w:rFonts w:ascii="Times New Roman" w:hAnsi="Times New Roman"/>
          <w:szCs w:val="22"/>
          <w:lang w:val="pt-BR"/>
        </w:rPr>
        <w:t>r</w:t>
      </w:r>
      <w:r w:rsidRPr="00D65A20">
        <w:rPr>
          <w:rFonts w:ascii="Times New Roman" w:hAnsi="Times New Roman"/>
          <w:szCs w:val="22"/>
          <w:lang w:val="pt-BR"/>
        </w:rPr>
        <w:t>egião à mudança do clima;</w:t>
      </w:r>
    </w:p>
    <w:p w14:paraId="6E834358" w14:textId="77777777" w:rsidR="00BB3DE0" w:rsidRPr="00D65A20" w:rsidRDefault="00BB3DE0"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240"/>
        </w:tabs>
        <w:contextualSpacing/>
        <w:jc w:val="left"/>
        <w:rPr>
          <w:rFonts w:ascii="Times New Roman" w:eastAsia="Calibri" w:hAnsi="Times New Roman"/>
          <w:szCs w:val="22"/>
          <w:lang w:val="pt-BR"/>
        </w:rPr>
      </w:pPr>
    </w:p>
    <w:p w14:paraId="6E834359" w14:textId="30533CB3" w:rsidR="00BB3DE0" w:rsidRPr="00D65A20" w:rsidRDefault="00BB3DE0" w:rsidP="00AA4399">
      <w:pPr>
        <w:widowControl/>
        <w:ind w:firstLine="720"/>
        <w:rPr>
          <w:rFonts w:ascii="Times New Roman" w:hAnsi="Times New Roman"/>
          <w:szCs w:val="22"/>
          <w:lang w:val="pt-BR"/>
        </w:rPr>
      </w:pPr>
      <w:r w:rsidRPr="00D65A20">
        <w:rPr>
          <w:rFonts w:ascii="Times New Roman" w:hAnsi="Times New Roman"/>
          <w:szCs w:val="22"/>
          <w:lang w:val="pt-BR"/>
        </w:rPr>
        <w:t>RECONHECENDO que a mudança do clima é uma preocupação comum da humanidade e que, ao tomarem medidas para enfrentá-la, os Estados devem respeitar, promover e considerar as suas respectivas obrigações com os direitos humanos, o direito ao gozo do mais alto padrão de saúde física e mental, os direitos dos povos indígenas, das comunidades locais, dos migrantes, das crianças, das pessoas com deficiência e das pessoas em situação de vulnerabilidade e o direito ao desenvolvimento, bem como à igualdade de gênero, ao empoderamento das mulheres e à equidade intergeracional;</w:t>
      </w:r>
    </w:p>
    <w:p w14:paraId="6E83435B" w14:textId="77777777" w:rsidR="00BB3DE0" w:rsidRPr="00D65A20" w:rsidRDefault="00BB3DE0" w:rsidP="00AA4399">
      <w:pPr>
        <w:widowControl/>
        <w:ind w:firstLine="720"/>
        <w:rPr>
          <w:rFonts w:ascii="Times New Roman" w:hAnsi="Times New Roman"/>
          <w:szCs w:val="22"/>
          <w:lang w:val="pt-BR"/>
        </w:rPr>
      </w:pPr>
      <w:r w:rsidRPr="00D65A20">
        <w:rPr>
          <w:rFonts w:ascii="Times New Roman" w:hAnsi="Times New Roman"/>
          <w:szCs w:val="22"/>
          <w:lang w:val="pt-BR"/>
        </w:rPr>
        <w:lastRenderedPageBreak/>
        <w:t>EXPRESSANDO preocupação com que, embora as implicações da mudança do clima afetem indivíduos e comunidades em todo o mundo, os seus efeitos adversos sejam sentidos de forma mais aguda pelos segmentos da população que já estão em situação de vulnerabilidade devido a fatores como geografia, pobreza, gênero, idade e condição indígena, afrodescendente ou de minoria e deficiência; e</w:t>
      </w:r>
    </w:p>
    <w:p w14:paraId="6E83435C" w14:textId="77777777" w:rsidR="00BB3DE0" w:rsidRPr="00D65A20" w:rsidRDefault="00BB3DE0" w:rsidP="00AA4399">
      <w:pPr>
        <w:widowControl/>
        <w:rPr>
          <w:rFonts w:ascii="Times New Roman" w:hAnsi="Times New Roman"/>
          <w:szCs w:val="22"/>
          <w:lang w:val="pt-BR"/>
        </w:rPr>
      </w:pPr>
    </w:p>
    <w:p w14:paraId="6E83435D" w14:textId="2BF00C66" w:rsidR="00BB3DE0" w:rsidRPr="00D65A20" w:rsidRDefault="00BB3DE0" w:rsidP="00AA4399">
      <w:pPr>
        <w:widowControl/>
        <w:ind w:firstLine="720"/>
        <w:rPr>
          <w:rFonts w:ascii="Times New Roman" w:hAnsi="Times New Roman"/>
          <w:szCs w:val="22"/>
          <w:lang w:val="pt-BR"/>
        </w:rPr>
      </w:pPr>
      <w:r w:rsidRPr="00D65A20">
        <w:rPr>
          <w:rFonts w:ascii="Times New Roman" w:hAnsi="Times New Roman"/>
          <w:szCs w:val="22"/>
          <w:lang w:val="pt-BR"/>
        </w:rPr>
        <w:t>RECONHECENDO</w:t>
      </w:r>
      <w:r w:rsidR="00BB7D54" w:rsidRPr="00D65A20">
        <w:rPr>
          <w:rFonts w:ascii="Times New Roman" w:hAnsi="Times New Roman"/>
          <w:szCs w:val="22"/>
          <w:lang w:val="pt-BR"/>
        </w:rPr>
        <w:t xml:space="preserve"> </w:t>
      </w:r>
      <w:r w:rsidRPr="00D65A20">
        <w:rPr>
          <w:rFonts w:ascii="Times New Roman" w:hAnsi="Times New Roman"/>
          <w:szCs w:val="22"/>
          <w:lang w:val="pt-BR"/>
        </w:rPr>
        <w:t xml:space="preserve">a relação intrínseca das ações no âmbito da mudança do clima com o acesso equitativo ao desenvolvimento sustentável e a erradicação da pobreza nas Américas, bem como a necessidade de uma resposta efetiva e progressiva à ameaça urgente da mudança do clima, simultaneamente à resposta </w:t>
      </w:r>
      <w:r w:rsidR="00360827" w:rsidRPr="00D65A20">
        <w:rPr>
          <w:rFonts w:ascii="Times New Roman" w:hAnsi="Times New Roman"/>
          <w:szCs w:val="22"/>
          <w:lang w:val="pt-BR"/>
        </w:rPr>
        <w:t xml:space="preserve">para a </w:t>
      </w:r>
      <w:r w:rsidRPr="00D65A20">
        <w:rPr>
          <w:rFonts w:ascii="Times New Roman" w:hAnsi="Times New Roman"/>
          <w:szCs w:val="22"/>
          <w:lang w:val="pt-BR"/>
        </w:rPr>
        <w:t>recuperação econômica pós-covid-19,</w:t>
      </w:r>
    </w:p>
    <w:p w14:paraId="6E83435E" w14:textId="77777777" w:rsidR="00BB3DE0" w:rsidRPr="00D65A20" w:rsidRDefault="00BB3DE0" w:rsidP="00AA4399">
      <w:pPr>
        <w:widowControl/>
        <w:rPr>
          <w:rFonts w:ascii="Times New Roman" w:hAnsi="Times New Roman"/>
          <w:szCs w:val="22"/>
          <w:lang w:val="pt-BR"/>
        </w:rPr>
      </w:pPr>
    </w:p>
    <w:p w14:paraId="6E83435F" w14:textId="77777777" w:rsidR="00BB3DE0" w:rsidRPr="00D65A20" w:rsidRDefault="00BB3DE0" w:rsidP="00AA4399">
      <w:pPr>
        <w:widowControl/>
        <w:rPr>
          <w:rFonts w:ascii="Times New Roman" w:hAnsi="Times New Roman"/>
          <w:szCs w:val="22"/>
          <w:lang w:val="pt-BR"/>
        </w:rPr>
      </w:pPr>
      <w:r w:rsidRPr="00D65A20">
        <w:rPr>
          <w:rFonts w:ascii="Times New Roman" w:hAnsi="Times New Roman"/>
          <w:color w:val="000000"/>
          <w:szCs w:val="22"/>
          <w:lang w:val="pt-BR"/>
        </w:rPr>
        <w:t>RESOLVE:</w:t>
      </w:r>
    </w:p>
    <w:p w14:paraId="6E834360" w14:textId="77777777" w:rsidR="00BB3DE0" w:rsidRPr="00D65A20" w:rsidRDefault="00BB3DE0" w:rsidP="00AA4399">
      <w:pPr>
        <w:widowControl/>
        <w:rPr>
          <w:rFonts w:ascii="Times New Roman" w:hAnsi="Times New Roman"/>
          <w:color w:val="000000"/>
          <w:szCs w:val="22"/>
          <w:lang w:val="pt-BR"/>
        </w:rPr>
      </w:pPr>
    </w:p>
    <w:p w14:paraId="6E834361" w14:textId="33187DEC" w:rsidR="00BB3DE0" w:rsidRPr="00D65A20" w:rsidRDefault="00BB3DE0" w:rsidP="00AA4399">
      <w:pPr>
        <w:widowControl/>
        <w:ind w:firstLine="720"/>
        <w:rPr>
          <w:rFonts w:ascii="Times New Roman" w:hAnsi="Times New Roman"/>
          <w:szCs w:val="22"/>
          <w:lang w:val="pt-BR"/>
        </w:rPr>
      </w:pPr>
      <w:r w:rsidRPr="00D65A20">
        <w:rPr>
          <w:rFonts w:ascii="Times New Roman" w:hAnsi="Times New Roman"/>
          <w:szCs w:val="22"/>
          <w:lang w:val="pt-BR"/>
        </w:rPr>
        <w:t>1.</w:t>
      </w:r>
      <w:r w:rsidRPr="00D65A20">
        <w:rPr>
          <w:rFonts w:ascii="Times New Roman" w:hAnsi="Times New Roman"/>
          <w:szCs w:val="22"/>
          <w:lang w:val="pt-BR"/>
        </w:rPr>
        <w:tab/>
        <w:t>Fazer um apelo a todos os Estados</w:t>
      </w:r>
      <w:r w:rsidR="004C7CA9" w:rsidRPr="00D65A20">
        <w:rPr>
          <w:rFonts w:ascii="Times New Roman" w:hAnsi="Times New Roman"/>
          <w:szCs w:val="22"/>
          <w:lang w:val="pt-BR"/>
        </w:rPr>
        <w:t xml:space="preserve"> m</w:t>
      </w:r>
      <w:r w:rsidRPr="00D65A20">
        <w:rPr>
          <w:rFonts w:ascii="Times New Roman" w:hAnsi="Times New Roman"/>
          <w:szCs w:val="22"/>
          <w:lang w:val="pt-BR"/>
        </w:rPr>
        <w:t xml:space="preserve">embros a que tomem medidas robustas e integradas para prevenir e enfrentar os impactos negativos da </w:t>
      </w:r>
      <w:r w:rsidR="00877D54" w:rsidRPr="00D65A20">
        <w:rPr>
          <w:rFonts w:ascii="Times New Roman" w:hAnsi="Times New Roman"/>
          <w:szCs w:val="22"/>
          <w:lang w:val="pt-BR"/>
        </w:rPr>
        <w:t>pandemia de</w:t>
      </w:r>
      <w:r w:rsidRPr="00D65A20">
        <w:rPr>
          <w:rFonts w:ascii="Times New Roman" w:hAnsi="Times New Roman"/>
          <w:szCs w:val="22"/>
          <w:lang w:val="pt-BR"/>
        </w:rPr>
        <w:t xml:space="preserve"> covid-19, promover o crescimento e construir resiliência em sua resposta econômica à pandemia, ao mesmo tempo em que tornam os fluxos financeiros consistentes com um caminho rumo a baixas emissões de gases de efeito estufa e ao desenvolvimento resiliente ao clima, respeitando os direitos humanos dos indivíduos em situação de vulnerabilidade;</w:t>
      </w:r>
    </w:p>
    <w:p w14:paraId="6E834362" w14:textId="77777777" w:rsidR="00BB3DE0" w:rsidRPr="00D65A20" w:rsidRDefault="00BB3DE0" w:rsidP="00AA4399">
      <w:pPr>
        <w:widowControl/>
        <w:rPr>
          <w:rFonts w:ascii="Times New Roman" w:hAnsi="Times New Roman"/>
          <w:szCs w:val="22"/>
          <w:lang w:val="pt-BR"/>
        </w:rPr>
      </w:pPr>
    </w:p>
    <w:p w14:paraId="6E834363" w14:textId="20A98B70" w:rsidR="00BB3DE0" w:rsidRPr="00D65A20" w:rsidRDefault="00BB3DE0" w:rsidP="00AA4399">
      <w:pPr>
        <w:widowControl/>
        <w:ind w:firstLine="720"/>
        <w:rPr>
          <w:rFonts w:ascii="Times New Roman" w:hAnsi="Times New Roman"/>
          <w:szCs w:val="22"/>
          <w:lang w:val="pt-BR"/>
        </w:rPr>
      </w:pPr>
      <w:r w:rsidRPr="00D65A20">
        <w:rPr>
          <w:rFonts w:ascii="Times New Roman" w:hAnsi="Times New Roman"/>
          <w:color w:val="000000"/>
          <w:szCs w:val="22"/>
          <w:lang w:val="pt-BR"/>
        </w:rPr>
        <w:t>2.</w:t>
      </w:r>
      <w:r w:rsidRPr="00D65A20">
        <w:rPr>
          <w:rFonts w:ascii="Times New Roman" w:hAnsi="Times New Roman"/>
          <w:color w:val="000000"/>
          <w:szCs w:val="22"/>
          <w:lang w:val="pt-BR"/>
        </w:rPr>
        <w:tab/>
        <w:t xml:space="preserve">Fazer um apelo aos Estados membros que são partes </w:t>
      </w:r>
      <w:r w:rsidR="004C7CA9" w:rsidRPr="00D65A20">
        <w:rPr>
          <w:rFonts w:ascii="Times New Roman" w:hAnsi="Times New Roman"/>
          <w:color w:val="000000"/>
          <w:szCs w:val="22"/>
          <w:lang w:val="pt-BR"/>
        </w:rPr>
        <w:t>n</w:t>
      </w:r>
      <w:r w:rsidRPr="00D65A20">
        <w:rPr>
          <w:rFonts w:ascii="Times New Roman" w:hAnsi="Times New Roman"/>
          <w:color w:val="000000"/>
          <w:szCs w:val="22"/>
          <w:lang w:val="pt-BR"/>
        </w:rPr>
        <w:t>o Acordo de Paris sobre a mudança do clima a que deem continuidade ao impulso da ação climática nas Américas;</w:t>
      </w:r>
    </w:p>
    <w:p w14:paraId="6E834364" w14:textId="77777777" w:rsidR="00BB3DE0" w:rsidRPr="00D65A20" w:rsidRDefault="00BB3DE0" w:rsidP="00AA4399">
      <w:pPr>
        <w:widowControl/>
        <w:rPr>
          <w:rFonts w:ascii="Times New Roman" w:hAnsi="Times New Roman"/>
          <w:i/>
          <w:szCs w:val="22"/>
          <w:lang w:val="pt-BR"/>
        </w:rPr>
      </w:pPr>
    </w:p>
    <w:p w14:paraId="6E834365" w14:textId="57691F12" w:rsidR="00BB3DE0" w:rsidRPr="00D65A20" w:rsidRDefault="00BB3DE0" w:rsidP="00AA4399">
      <w:pPr>
        <w:widowControl/>
        <w:ind w:firstLine="720"/>
        <w:rPr>
          <w:rFonts w:ascii="Times New Roman" w:hAnsi="Times New Roman"/>
          <w:i/>
          <w:szCs w:val="22"/>
          <w:lang w:val="pt-BR"/>
        </w:rPr>
      </w:pPr>
      <w:r w:rsidRPr="00D65A20">
        <w:rPr>
          <w:rFonts w:ascii="Times New Roman" w:hAnsi="Times New Roman"/>
          <w:szCs w:val="22"/>
          <w:lang w:val="pt-BR"/>
        </w:rPr>
        <w:t>3.</w:t>
      </w:r>
      <w:r w:rsidRPr="00D65A20">
        <w:rPr>
          <w:rFonts w:ascii="Times New Roman" w:hAnsi="Times New Roman"/>
          <w:szCs w:val="22"/>
          <w:lang w:val="pt-BR"/>
        </w:rPr>
        <w:tab/>
        <w:t xml:space="preserve">Convidar os Estados membros, conforme julgarem apropriado, a </w:t>
      </w:r>
      <w:r w:rsidR="00B571F3" w:rsidRPr="00D65A20">
        <w:rPr>
          <w:rFonts w:ascii="Times New Roman" w:hAnsi="Times New Roman"/>
          <w:szCs w:val="22"/>
          <w:lang w:val="pt-BR"/>
        </w:rPr>
        <w:t xml:space="preserve">que envolvam </w:t>
      </w:r>
      <w:r w:rsidRPr="00D65A20">
        <w:rPr>
          <w:rFonts w:ascii="Times New Roman" w:hAnsi="Times New Roman"/>
          <w:szCs w:val="22"/>
          <w:lang w:val="pt-BR"/>
        </w:rPr>
        <w:t xml:space="preserve">os Observadores Permanentes em consulta com a Secretaria-Geral, bem como solicitar à Secretaria-Geral que </w:t>
      </w:r>
      <w:r w:rsidR="003A53E9" w:rsidRPr="00D65A20">
        <w:rPr>
          <w:rFonts w:ascii="Times New Roman" w:hAnsi="Times New Roman"/>
          <w:szCs w:val="22"/>
          <w:lang w:val="pt-BR"/>
        </w:rPr>
        <w:t xml:space="preserve">envolva </w:t>
      </w:r>
      <w:r w:rsidRPr="00D65A20">
        <w:rPr>
          <w:rFonts w:ascii="Times New Roman" w:hAnsi="Times New Roman"/>
          <w:szCs w:val="22"/>
          <w:lang w:val="pt-BR"/>
        </w:rPr>
        <w:t>os doadores</w:t>
      </w:r>
      <w:r w:rsidR="0066525C" w:rsidRPr="00D65A20">
        <w:rPr>
          <w:rFonts w:ascii="Times New Roman" w:hAnsi="Times New Roman"/>
          <w:szCs w:val="22"/>
          <w:lang w:val="pt-BR"/>
        </w:rPr>
        <w:t>,</w:t>
      </w:r>
      <w:r w:rsidRPr="00D65A20">
        <w:rPr>
          <w:rFonts w:ascii="Times New Roman" w:hAnsi="Times New Roman"/>
          <w:szCs w:val="22"/>
          <w:lang w:val="pt-BR"/>
        </w:rPr>
        <w:t xml:space="preserve"> com vistas a fazer avançar e promover o financiamento destinado, </w:t>
      </w:r>
      <w:r w:rsidRPr="00D65A20">
        <w:rPr>
          <w:rFonts w:ascii="Times New Roman" w:hAnsi="Times New Roman"/>
          <w:iCs/>
          <w:szCs w:val="22"/>
          <w:lang w:val="pt-BR"/>
        </w:rPr>
        <w:t>entre outras coisas</w:t>
      </w:r>
      <w:r w:rsidRPr="00D65A20">
        <w:rPr>
          <w:rFonts w:ascii="Times New Roman" w:hAnsi="Times New Roman"/>
          <w:i/>
          <w:szCs w:val="22"/>
          <w:lang w:val="pt-BR"/>
        </w:rPr>
        <w:t xml:space="preserve">, </w:t>
      </w:r>
      <w:r w:rsidRPr="00D65A20">
        <w:rPr>
          <w:rFonts w:ascii="Times New Roman" w:hAnsi="Times New Roman"/>
          <w:szCs w:val="22"/>
          <w:lang w:val="pt-BR"/>
        </w:rPr>
        <w:t xml:space="preserve">ao fortalecimento da capacitação e </w:t>
      </w:r>
      <w:r w:rsidR="00B571F3" w:rsidRPr="00D65A20">
        <w:rPr>
          <w:rFonts w:ascii="Times New Roman" w:hAnsi="Times New Roman"/>
          <w:szCs w:val="22"/>
          <w:lang w:val="pt-BR"/>
        </w:rPr>
        <w:t xml:space="preserve">ao </w:t>
      </w:r>
      <w:r w:rsidRPr="00D65A20">
        <w:rPr>
          <w:rFonts w:ascii="Times New Roman" w:hAnsi="Times New Roman"/>
          <w:szCs w:val="22"/>
          <w:lang w:val="pt-BR"/>
        </w:rPr>
        <w:t xml:space="preserve">aprimoramento do desenvolvimento e da transferência voluntária </w:t>
      </w:r>
      <w:r w:rsidR="00B571F3" w:rsidRPr="00D65A20">
        <w:rPr>
          <w:rFonts w:ascii="Times New Roman" w:hAnsi="Times New Roman"/>
          <w:szCs w:val="22"/>
          <w:lang w:val="pt-BR"/>
        </w:rPr>
        <w:t xml:space="preserve">de tecnologia </w:t>
      </w:r>
      <w:r w:rsidRPr="00D65A20">
        <w:rPr>
          <w:rFonts w:ascii="Times New Roman" w:hAnsi="Times New Roman"/>
          <w:szCs w:val="22"/>
          <w:lang w:val="pt-BR"/>
        </w:rPr>
        <w:t>em termos mutuamente acordados, levando em conta as necessidades expressas dos Estados membros</w:t>
      </w:r>
      <w:r w:rsidR="0066525C" w:rsidRPr="00D65A20">
        <w:rPr>
          <w:rFonts w:ascii="Times New Roman" w:hAnsi="Times New Roman"/>
          <w:szCs w:val="22"/>
          <w:lang w:val="pt-BR"/>
        </w:rPr>
        <w:t>,</w:t>
      </w:r>
      <w:r w:rsidRPr="00D65A20">
        <w:rPr>
          <w:rFonts w:ascii="Times New Roman" w:hAnsi="Times New Roman"/>
          <w:szCs w:val="22"/>
          <w:lang w:val="pt-BR"/>
        </w:rPr>
        <w:t xml:space="preserve"> a fim de ajudá-los a implementar os seus objetivos ambientais, explorar o potencial de abordagens baseadas no ecossistema e de soluções baseadas na natureza no enfrentamento à mudança do clima</w:t>
      </w:r>
      <w:r w:rsidR="00B571F3" w:rsidRPr="00D65A20">
        <w:rPr>
          <w:rFonts w:ascii="Times New Roman" w:hAnsi="Times New Roman"/>
          <w:szCs w:val="22"/>
          <w:lang w:val="pt-BR"/>
        </w:rPr>
        <w:t>, bem como apoi</w:t>
      </w:r>
      <w:r w:rsidR="0066525C" w:rsidRPr="00D65A20">
        <w:rPr>
          <w:rFonts w:ascii="Times New Roman" w:hAnsi="Times New Roman"/>
          <w:szCs w:val="22"/>
          <w:lang w:val="pt-BR"/>
        </w:rPr>
        <w:t>ar</w:t>
      </w:r>
      <w:r w:rsidRPr="00D65A20">
        <w:rPr>
          <w:rFonts w:ascii="Times New Roman" w:hAnsi="Times New Roman"/>
          <w:szCs w:val="22"/>
          <w:lang w:val="pt-BR"/>
        </w:rPr>
        <w:t xml:space="preserve"> suas respostas de políticas internas para impulsionar o crescimento econômico;</w:t>
      </w:r>
    </w:p>
    <w:p w14:paraId="6E834366" w14:textId="77777777" w:rsidR="00BB3DE0" w:rsidRPr="00D65A20" w:rsidRDefault="00BB3DE0" w:rsidP="00AA4399">
      <w:pPr>
        <w:widowControl/>
        <w:rPr>
          <w:rFonts w:ascii="Times New Roman" w:hAnsi="Times New Roman"/>
          <w:i/>
          <w:szCs w:val="22"/>
          <w:lang w:val="pt-BR"/>
        </w:rPr>
      </w:pPr>
    </w:p>
    <w:p w14:paraId="6E834367" w14:textId="6D7B7852" w:rsidR="00BB3DE0" w:rsidRPr="00D65A20" w:rsidRDefault="00BB3DE0" w:rsidP="00AA4399">
      <w:pPr>
        <w:widowControl/>
        <w:suppressAutoHyphens/>
        <w:ind w:firstLine="720"/>
        <w:textAlignment w:val="baseline"/>
        <w:rPr>
          <w:rFonts w:ascii="Times New Roman" w:hAnsi="Times New Roman"/>
          <w:szCs w:val="22"/>
          <w:lang w:val="pt-BR"/>
        </w:rPr>
      </w:pPr>
      <w:r w:rsidRPr="00D65A20">
        <w:rPr>
          <w:rFonts w:ascii="Times New Roman" w:hAnsi="Times New Roman"/>
          <w:szCs w:val="22"/>
          <w:lang w:val="pt-BR"/>
        </w:rPr>
        <w:t>4.</w:t>
      </w:r>
      <w:r w:rsidRPr="00D65A20">
        <w:rPr>
          <w:rFonts w:ascii="Times New Roman" w:hAnsi="Times New Roman"/>
          <w:szCs w:val="22"/>
          <w:lang w:val="pt-BR"/>
        </w:rPr>
        <w:tab/>
        <w:t>Solicitar à Secretaria-Geral que use os seus bons ofícios para defender soluções novas e rápidas de financiamento e para ampliar o acesso aos mecanismos de apoio técnico e financeiro existentes, quando apropriado, a fim de avançar na resposta hemisférica às crises da pandemia d</w:t>
      </w:r>
      <w:r w:rsidR="003A53E9" w:rsidRPr="00D65A20">
        <w:rPr>
          <w:rFonts w:ascii="Times New Roman" w:hAnsi="Times New Roman"/>
          <w:szCs w:val="22"/>
          <w:lang w:val="pt-BR"/>
        </w:rPr>
        <w:t>e</w:t>
      </w:r>
      <w:r w:rsidRPr="00D65A20">
        <w:rPr>
          <w:rFonts w:ascii="Times New Roman" w:hAnsi="Times New Roman"/>
          <w:szCs w:val="22"/>
          <w:lang w:val="pt-BR"/>
        </w:rPr>
        <w:t xml:space="preserve"> covid-19</w:t>
      </w:r>
      <w:r w:rsidR="00006AEF" w:rsidRPr="00D65A20">
        <w:rPr>
          <w:rFonts w:ascii="Times New Roman" w:hAnsi="Times New Roman"/>
          <w:szCs w:val="22"/>
          <w:lang w:val="pt-BR"/>
        </w:rPr>
        <w:t xml:space="preserve"> e da</w:t>
      </w:r>
      <w:r w:rsidRPr="00D65A20">
        <w:rPr>
          <w:rFonts w:ascii="Times New Roman" w:hAnsi="Times New Roman"/>
          <w:szCs w:val="22"/>
          <w:lang w:val="pt-BR"/>
        </w:rPr>
        <w:t xml:space="preserve"> mudança do clima.</w:t>
      </w:r>
    </w:p>
    <w:p w14:paraId="6E834368" w14:textId="77777777" w:rsidR="00BB3DE0" w:rsidRPr="00D65A20" w:rsidRDefault="00BB3DE0" w:rsidP="00AA4399">
      <w:pPr>
        <w:widowControl/>
        <w:jc w:val="left"/>
        <w:rPr>
          <w:rFonts w:ascii="Times New Roman" w:hAnsi="Times New Roman"/>
          <w:szCs w:val="22"/>
          <w:lang w:val="pt-BR"/>
        </w:rPr>
      </w:pPr>
      <w:r w:rsidRPr="00D65A20">
        <w:rPr>
          <w:rFonts w:ascii="Times New Roman" w:hAnsi="Times New Roman"/>
          <w:szCs w:val="22"/>
          <w:lang w:val="pt-BR"/>
        </w:rPr>
        <w:br w:type="page"/>
      </w:r>
    </w:p>
    <w:p w14:paraId="6E834369" w14:textId="77777777" w:rsidR="00BB3DE0" w:rsidRPr="00D65A20" w:rsidRDefault="00BB3DE0" w:rsidP="00AA4399">
      <w:pPr>
        <w:widowControl/>
        <w:jc w:val="center"/>
        <w:rPr>
          <w:rFonts w:ascii="Times New Roman" w:hAnsi="Times New Roman"/>
          <w:sz w:val="20"/>
          <w:lang w:val="pt-BR"/>
        </w:rPr>
      </w:pPr>
      <w:r w:rsidRPr="00D65A20">
        <w:rPr>
          <w:rFonts w:ascii="Times New Roman" w:hAnsi="Times New Roman"/>
          <w:sz w:val="20"/>
          <w:lang w:val="pt-BR"/>
        </w:rPr>
        <w:lastRenderedPageBreak/>
        <w:t>NOTAS DE RODAPÉ</w:t>
      </w:r>
    </w:p>
    <w:p w14:paraId="6E83436A" w14:textId="77777777" w:rsidR="00BB3DE0" w:rsidRPr="00D65A20" w:rsidRDefault="00BB3DE0" w:rsidP="00AA4399">
      <w:pPr>
        <w:widowControl/>
        <w:rPr>
          <w:rFonts w:ascii="Times New Roman" w:hAnsi="Times New Roman"/>
          <w:sz w:val="20"/>
          <w:lang w:val="pt-BR"/>
        </w:rPr>
      </w:pPr>
    </w:p>
    <w:p w14:paraId="6E83436B" w14:textId="77777777" w:rsidR="00BB3DE0" w:rsidRPr="00D65A20" w:rsidRDefault="00BB3DE0" w:rsidP="00AA4399">
      <w:pPr>
        <w:widowControl/>
        <w:rPr>
          <w:rFonts w:ascii="Times New Roman" w:hAnsi="Times New Roman"/>
          <w:sz w:val="20"/>
          <w:lang w:val="pt-BR"/>
        </w:rPr>
      </w:pPr>
    </w:p>
    <w:p w14:paraId="6E83436C" w14:textId="77777777" w:rsidR="00BB3DE0" w:rsidRPr="00D65A20" w:rsidRDefault="00BB3DE0" w:rsidP="00AA4399">
      <w:pPr>
        <w:widowControl/>
        <w:tabs>
          <w:tab w:val="clear" w:pos="1440"/>
          <w:tab w:val="clear" w:pos="2160"/>
          <w:tab w:val="clear" w:pos="2880"/>
          <w:tab w:val="clear" w:pos="3600"/>
          <w:tab w:val="clear" w:pos="4320"/>
          <w:tab w:val="clear" w:pos="5760"/>
          <w:tab w:val="clear" w:pos="6480"/>
          <w:tab w:val="clear" w:pos="7200"/>
          <w:tab w:val="clear" w:pos="7920"/>
          <w:tab w:val="left" w:pos="0"/>
        </w:tabs>
        <w:rPr>
          <w:rFonts w:ascii="Times New Roman" w:hAnsi="Times New Roman"/>
          <w:color w:val="26282A"/>
          <w:sz w:val="20"/>
          <w:lang w:val="pt-BR"/>
        </w:rPr>
      </w:pPr>
      <w:r w:rsidRPr="00D65A20">
        <w:rPr>
          <w:rFonts w:ascii="Times New Roman" w:hAnsi="Times New Roman"/>
          <w:sz w:val="20"/>
          <w:lang w:val="pt-BR"/>
        </w:rPr>
        <w:tab/>
        <w:t>1.</w:t>
      </w:r>
      <w:r w:rsidRPr="00D65A20">
        <w:rPr>
          <w:rFonts w:ascii="Times New Roman" w:hAnsi="Times New Roman"/>
          <w:sz w:val="20"/>
          <w:lang w:val="pt-BR"/>
        </w:rPr>
        <w:tab/>
        <w:t>(...) apresentaram notificação formal de sua retirada do Acordo de Paris às Nações Unidas. A retirada surtirá efeito um ano após a entrega da referida notificação.</w:t>
      </w:r>
    </w:p>
    <w:p w14:paraId="6E83436D" w14:textId="77777777" w:rsidR="00BB3DE0" w:rsidRPr="00D65A20" w:rsidRDefault="00BB3DE0" w:rsidP="00AA4399">
      <w:pPr>
        <w:widowControl/>
        <w:tabs>
          <w:tab w:val="clear" w:pos="1440"/>
          <w:tab w:val="clear" w:pos="2160"/>
          <w:tab w:val="clear" w:pos="2880"/>
          <w:tab w:val="clear" w:pos="3600"/>
          <w:tab w:val="clear" w:pos="4320"/>
          <w:tab w:val="clear" w:pos="5760"/>
          <w:tab w:val="clear" w:pos="6480"/>
          <w:tab w:val="clear" w:pos="7200"/>
          <w:tab w:val="clear" w:pos="7920"/>
          <w:tab w:val="left" w:pos="0"/>
        </w:tabs>
        <w:rPr>
          <w:rFonts w:ascii="Times New Roman" w:hAnsi="Times New Roman"/>
          <w:sz w:val="20"/>
          <w:lang w:val="pt-BR"/>
        </w:rPr>
      </w:pPr>
    </w:p>
    <w:p w14:paraId="6E83436E" w14:textId="77777777" w:rsidR="00112B3A" w:rsidRPr="00D65A20" w:rsidRDefault="00BB3DE0" w:rsidP="00112B3A">
      <w:pPr>
        <w:widowControl/>
        <w:ind w:firstLine="720"/>
        <w:rPr>
          <w:rFonts w:ascii="Times New Roman" w:hAnsi="Times New Roman"/>
          <w:sz w:val="20"/>
          <w:lang w:val="pt-BR"/>
        </w:rPr>
      </w:pPr>
      <w:r w:rsidRPr="00D65A20">
        <w:rPr>
          <w:rFonts w:ascii="Times New Roman" w:hAnsi="Times New Roman"/>
          <w:sz w:val="20"/>
          <w:lang w:val="pt-BR"/>
        </w:rPr>
        <w:t>2.</w:t>
      </w:r>
      <w:r w:rsidRPr="00D65A20">
        <w:rPr>
          <w:rFonts w:ascii="Times New Roman" w:hAnsi="Times New Roman"/>
          <w:sz w:val="20"/>
          <w:lang w:val="pt-BR"/>
        </w:rPr>
        <w:tab/>
        <w:t>(...)</w:t>
      </w:r>
      <w:r w:rsidR="00112B3A" w:rsidRPr="00D65A20">
        <w:rPr>
          <w:rFonts w:ascii="Times New Roman" w:hAnsi="Times New Roman"/>
          <w:sz w:val="20"/>
          <w:lang w:val="pt-BR"/>
        </w:rPr>
        <w:t xml:space="preserve">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6E83436F" w14:textId="77777777" w:rsidR="00112B3A" w:rsidRPr="00D65A20" w:rsidRDefault="00112B3A" w:rsidP="00112B3A">
      <w:pPr>
        <w:widowControl/>
        <w:rPr>
          <w:rFonts w:ascii="Times New Roman" w:hAnsi="Times New Roman"/>
          <w:sz w:val="20"/>
          <w:lang w:val="pt-BR"/>
        </w:rPr>
      </w:pPr>
    </w:p>
    <w:p w14:paraId="6E834370" w14:textId="77777777" w:rsidR="00112B3A" w:rsidRPr="00D65A20" w:rsidRDefault="00112B3A" w:rsidP="00112B3A">
      <w:pPr>
        <w:widowControl/>
        <w:ind w:firstLine="720"/>
        <w:rPr>
          <w:rFonts w:ascii="Times New Roman" w:hAnsi="Times New Roman"/>
          <w:sz w:val="20"/>
          <w:lang w:val="pt-BR"/>
        </w:rPr>
      </w:pPr>
      <w:r w:rsidRPr="00D65A20">
        <w:rPr>
          <w:rFonts w:ascii="Times New Roman" w:hAnsi="Times New Roman"/>
          <w:sz w:val="20"/>
          <w:lang w:val="pt-BR"/>
        </w:rPr>
        <w:t xml:space="preserve">Antígua e Barbuda não apoiou a resolução CP/RES. 1124 (2217/19), de 9 de abril de 2019, cuja intenção era nomear o Senhor Gustavo Tarre como Representante da Assembleia Nacional junto à OEA, e não aceitou as credenciais das autoridades que pretendiam representar a República Bolivariana da Venezuela no Quadragésimo Nono e no Quinquagésimo Períodos Ordinários de Sessões da Assembleia Geral. </w:t>
      </w:r>
    </w:p>
    <w:p w14:paraId="6E834371" w14:textId="77777777" w:rsidR="00112B3A" w:rsidRPr="00D65A20" w:rsidRDefault="00112B3A" w:rsidP="00112B3A">
      <w:pPr>
        <w:widowControl/>
        <w:rPr>
          <w:rFonts w:ascii="Times New Roman" w:hAnsi="Times New Roman"/>
          <w:sz w:val="20"/>
          <w:lang w:val="pt-BR"/>
        </w:rPr>
      </w:pPr>
    </w:p>
    <w:p w14:paraId="6E834376" w14:textId="4A0A5887" w:rsidR="00BB3DE0" w:rsidRPr="00D65A20" w:rsidRDefault="00112B3A" w:rsidP="00112B3A">
      <w:pPr>
        <w:widowControl/>
        <w:ind w:firstLine="720"/>
        <w:rPr>
          <w:rFonts w:ascii="Times New Roman" w:hAnsi="Times New Roman"/>
          <w:sz w:val="20"/>
          <w:lang w:val="pt-BR"/>
        </w:rPr>
      </w:pPr>
      <w:r w:rsidRPr="00D65A20">
        <w:rPr>
          <w:rFonts w:ascii="Times New Roman" w:hAnsi="Times New Roman"/>
          <w:sz w:val="20"/>
          <w:lang w:val="pt-BR"/>
        </w:rPr>
        <w:t>Desse modo, Antígua e Barbuda informa a todos os Estados membros e à Secretaria-Geral da Organização dos Estados Americanos que, até novo aviso, assim como fez no Quadragésimo Nono Período Ordinário de Sessões da Assembleia Geral, não se considerará vinculado a nenhuma declaração ou resolução emanada do Quinquagésimo Período Ordinário de Sessões da Assembleia Geral, nem a quaisquer futuras declarações ou resoluções de qualquer Conselho ou órgão da Organização que incluam a participação de qualquer pessoa ou entidade pretensamente falando pela República Bolivariana da Venezuela ou agindo em seu nome, e nas quais se alcancem 18 votos com a participação de um pretenso representante da República Bolivariana da Venezuela</w:t>
      </w:r>
      <w:r w:rsidR="00BB3DE0" w:rsidRPr="00D65A20">
        <w:rPr>
          <w:rFonts w:ascii="Times New Roman" w:hAnsi="Times New Roman"/>
          <w:sz w:val="20"/>
          <w:lang w:val="pt-BR"/>
        </w:rPr>
        <w:t>.</w:t>
      </w:r>
    </w:p>
    <w:p w14:paraId="6E834377" w14:textId="77777777" w:rsidR="00BB3DE0" w:rsidRPr="00D65A20" w:rsidRDefault="00BB3DE0" w:rsidP="00AA4399">
      <w:pPr>
        <w:widowControl/>
        <w:tabs>
          <w:tab w:val="clear" w:pos="1440"/>
          <w:tab w:val="clear" w:pos="2160"/>
          <w:tab w:val="clear" w:pos="2880"/>
          <w:tab w:val="clear" w:pos="3600"/>
          <w:tab w:val="clear" w:pos="4320"/>
          <w:tab w:val="clear" w:pos="5760"/>
          <w:tab w:val="clear" w:pos="6480"/>
          <w:tab w:val="clear" w:pos="7200"/>
          <w:tab w:val="clear" w:pos="7920"/>
          <w:tab w:val="left" w:pos="0"/>
        </w:tabs>
        <w:rPr>
          <w:rFonts w:ascii="Times New Roman" w:hAnsi="Times New Roman"/>
          <w:sz w:val="20"/>
          <w:lang w:val="pt-BR"/>
        </w:rPr>
      </w:pPr>
    </w:p>
    <w:p w14:paraId="6E834378" w14:textId="77777777" w:rsidR="00440A50" w:rsidRPr="00D65A20" w:rsidRDefault="00440A50" w:rsidP="00440A50">
      <w:pPr>
        <w:rPr>
          <w:rStyle w:val="FootnoteReference"/>
          <w:rFonts w:ascii="Times New Roman" w:hAnsi="Times New Roman"/>
          <w:sz w:val="20"/>
          <w:lang w:val="pt-BR"/>
        </w:rPr>
      </w:pPr>
      <w:r w:rsidRPr="00D65A20">
        <w:rPr>
          <w:rFonts w:ascii="Times New Roman" w:hAnsi="Times New Roman"/>
          <w:sz w:val="20"/>
          <w:lang w:val="pt-BR"/>
        </w:rPr>
        <w:tab/>
        <w:t xml:space="preserve">3. </w:t>
      </w:r>
      <w:r w:rsidR="00EE68D1" w:rsidRPr="00D65A20">
        <w:rPr>
          <w:rFonts w:ascii="Times New Roman" w:hAnsi="Times New Roman"/>
          <w:sz w:val="20"/>
          <w:lang w:val="pt-BR"/>
        </w:rPr>
        <w:tab/>
        <w:t>(...)</w:t>
      </w:r>
      <w:r w:rsidRPr="00D65A20">
        <w:rPr>
          <w:rFonts w:ascii="Times New Roman" w:hAnsi="Times New Roman"/>
          <w:sz w:val="20"/>
          <w:lang w:val="pt-BR"/>
        </w:rPr>
        <w:t xml:space="preserve"> Quinquagésimo Período Ordinário de Sessões da Assembleia Geral.</w:t>
      </w:r>
    </w:p>
    <w:p w14:paraId="6E834379" w14:textId="77777777" w:rsidR="00440A50" w:rsidRPr="00D65A20" w:rsidRDefault="00440A50" w:rsidP="00AA4399">
      <w:pPr>
        <w:widowControl/>
        <w:tabs>
          <w:tab w:val="clear" w:pos="1440"/>
          <w:tab w:val="clear" w:pos="2160"/>
          <w:tab w:val="clear" w:pos="2880"/>
          <w:tab w:val="clear" w:pos="3600"/>
          <w:tab w:val="clear" w:pos="4320"/>
          <w:tab w:val="clear" w:pos="5760"/>
          <w:tab w:val="clear" w:pos="6480"/>
          <w:tab w:val="clear" w:pos="7200"/>
          <w:tab w:val="clear" w:pos="7920"/>
          <w:tab w:val="left" w:pos="0"/>
        </w:tabs>
        <w:rPr>
          <w:rFonts w:ascii="Times New Roman" w:hAnsi="Times New Roman"/>
          <w:sz w:val="20"/>
          <w:lang w:val="pt-BR"/>
        </w:rPr>
      </w:pPr>
    </w:p>
    <w:p w14:paraId="6E83437A" w14:textId="09F310EF" w:rsidR="00BB3DE0" w:rsidRPr="00D65A20" w:rsidRDefault="00BB3DE0" w:rsidP="00AA4399">
      <w:pPr>
        <w:widowControl/>
        <w:tabs>
          <w:tab w:val="clear" w:pos="1440"/>
          <w:tab w:val="clear" w:pos="2160"/>
          <w:tab w:val="clear" w:pos="2880"/>
          <w:tab w:val="clear" w:pos="3600"/>
          <w:tab w:val="clear" w:pos="4320"/>
          <w:tab w:val="clear" w:pos="5760"/>
          <w:tab w:val="clear" w:pos="6480"/>
          <w:tab w:val="clear" w:pos="7200"/>
          <w:tab w:val="clear" w:pos="7920"/>
          <w:tab w:val="left" w:pos="0"/>
        </w:tabs>
        <w:rPr>
          <w:rFonts w:ascii="Times New Roman" w:hAnsi="Times New Roman"/>
          <w:sz w:val="18"/>
          <w:szCs w:val="22"/>
          <w:lang w:val="pt-BR"/>
        </w:rPr>
      </w:pPr>
      <w:r w:rsidRPr="00D65A20">
        <w:rPr>
          <w:rFonts w:ascii="Times New Roman" w:hAnsi="Times New Roman"/>
          <w:sz w:val="20"/>
          <w:lang w:val="pt-BR"/>
        </w:rPr>
        <w:tab/>
      </w:r>
      <w:r w:rsidR="00440A50" w:rsidRPr="00D65A20">
        <w:rPr>
          <w:rFonts w:ascii="Times New Roman" w:hAnsi="Times New Roman"/>
          <w:sz w:val="20"/>
          <w:lang w:val="pt-BR"/>
        </w:rPr>
        <w:t>4</w:t>
      </w:r>
      <w:r w:rsidRPr="00D65A20">
        <w:rPr>
          <w:rFonts w:ascii="Times New Roman" w:hAnsi="Times New Roman"/>
          <w:sz w:val="20"/>
          <w:lang w:val="pt-BR"/>
        </w:rPr>
        <w:t>.</w:t>
      </w:r>
      <w:r w:rsidRPr="00D65A20">
        <w:rPr>
          <w:rFonts w:ascii="Times New Roman" w:hAnsi="Times New Roman"/>
          <w:sz w:val="20"/>
          <w:lang w:val="pt-BR"/>
        </w:rPr>
        <w:tab/>
        <w:t>(...) acordada para “soluções baseadas na natureza”.</w:t>
      </w:r>
    </w:p>
    <w:p w14:paraId="6E83437B" w14:textId="77777777" w:rsidR="004D7FDE" w:rsidRPr="00D65A20" w:rsidRDefault="004D7FDE"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rPr>
          <w:rFonts w:ascii="Times New Roman" w:hAnsi="Times New Roman"/>
          <w:szCs w:val="22"/>
          <w:lang w:val="pt-BR"/>
        </w:rPr>
      </w:pPr>
    </w:p>
    <w:p w14:paraId="6E83437C" w14:textId="77777777" w:rsidR="004D7FDE" w:rsidRPr="00D65A20" w:rsidRDefault="004D7FDE"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6E83437D" w14:textId="77777777" w:rsidR="004D7FDE" w:rsidRPr="00D65A20" w:rsidRDefault="004D7FDE"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textAlignment w:val="baseline"/>
        <w:rPr>
          <w:rFonts w:ascii="Times New Roman" w:hAnsi="Times New Roman"/>
          <w:szCs w:val="22"/>
          <w:lang w:val="pt-BR" w:eastAsia="zh-CN"/>
        </w:rPr>
      </w:pPr>
    </w:p>
    <w:p w14:paraId="6E83437E" w14:textId="77777777" w:rsidR="000A6A85" w:rsidRPr="00D65A20" w:rsidRDefault="000A6A85" w:rsidP="00AA4399">
      <w:pPr>
        <w:widowControl/>
        <w:rPr>
          <w:rFonts w:ascii="Times New Roman" w:hAnsi="Times New Roman"/>
          <w:lang w:val="pt-BR"/>
        </w:rPr>
        <w:sectPr w:rsidR="000A6A85" w:rsidRPr="00D65A20" w:rsidSect="0037138D">
          <w:footerReference w:type="default" r:id="rId36"/>
          <w:headerReference w:type="first" r:id="rId37"/>
          <w:footnotePr>
            <w:numRestart w:val="eachSect"/>
          </w:footnotePr>
          <w:endnotePr>
            <w:numFmt w:val="decimal"/>
          </w:endnotePr>
          <w:type w:val="oddPage"/>
          <w:pgSz w:w="12240" w:h="15840" w:code="1"/>
          <w:pgMar w:top="2160" w:right="1570" w:bottom="1296" w:left="1699" w:header="1296" w:footer="1296" w:gutter="0"/>
          <w:pgNumType w:fmt="numberInDash"/>
          <w:cols w:space="720"/>
          <w:noEndnote/>
          <w:titlePg/>
        </w:sectPr>
      </w:pPr>
    </w:p>
    <w:p w14:paraId="6E83437F" w14:textId="77777777" w:rsidR="00A544BF" w:rsidRPr="00D65A20" w:rsidRDefault="000A6A85" w:rsidP="00AA4399">
      <w:pPr>
        <w:widowControl/>
        <w:jc w:val="center"/>
        <w:rPr>
          <w:rStyle w:val="Heading1Char"/>
          <w:rFonts w:ascii="Times New Roman" w:eastAsia="Calibri" w:hAnsi="Times New Roman"/>
          <w:lang w:val="pt-BR"/>
        </w:rPr>
      </w:pPr>
      <w:bookmarkStart w:id="44" w:name="_Toc56526469"/>
      <w:bookmarkStart w:id="45" w:name="_Toc56526679"/>
      <w:bookmarkStart w:id="46" w:name="_Toc14803660"/>
      <w:bookmarkStart w:id="47" w:name="_Toc12118537"/>
      <w:bookmarkStart w:id="48" w:name="_Toc12117116"/>
      <w:r w:rsidRPr="00D65A20">
        <w:rPr>
          <w:rStyle w:val="Heading1Char"/>
          <w:rFonts w:ascii="Times New Roman" w:eastAsia="Calibri" w:hAnsi="Times New Roman"/>
          <w:lang w:val="pt-BR"/>
        </w:rPr>
        <w:lastRenderedPageBreak/>
        <w:t>AG/RES. 2953 (L-O/20)</w:t>
      </w:r>
      <w:bookmarkEnd w:id="44"/>
      <w:bookmarkEnd w:id="45"/>
    </w:p>
    <w:bookmarkEnd w:id="46"/>
    <w:bookmarkEnd w:id="47"/>
    <w:bookmarkEnd w:id="48"/>
    <w:p w14:paraId="6E834380" w14:textId="77777777" w:rsidR="00A544BF" w:rsidRPr="00D65A20" w:rsidRDefault="00A544BF" w:rsidP="00AA4399">
      <w:pPr>
        <w:widowControl/>
        <w:jc w:val="center"/>
        <w:rPr>
          <w:rStyle w:val="Heading1Char"/>
          <w:rFonts w:ascii="Times New Roman" w:eastAsia="Calibri" w:hAnsi="Times New Roman"/>
          <w:lang w:val="pt-BR"/>
        </w:rPr>
      </w:pPr>
    </w:p>
    <w:p w14:paraId="6E834381" w14:textId="77777777" w:rsidR="00144F9C" w:rsidRPr="00D65A20" w:rsidRDefault="00144F9C" w:rsidP="00A544BF">
      <w:pPr>
        <w:pStyle w:val="Heading1"/>
        <w:rPr>
          <w:lang w:val="pt-BR"/>
        </w:rPr>
      </w:pPr>
      <w:bookmarkStart w:id="49" w:name="_Toc56526470"/>
      <w:bookmarkStart w:id="50" w:name="_Toc56526680"/>
      <w:r w:rsidRPr="00D65A20">
        <w:rPr>
          <w:lang w:val="pt-BR"/>
        </w:rPr>
        <w:t>PAPEL PRIORITÁRIO DA ORGANIZAÇÃO DOS ESTADOS AMERICANOS NO DESENVOLVIMENTO DAS TELECOMUNICAÇÕES/TECNOLOGIAS DA INFORMAÇÃO E DAS COMUNICAÇÕES POR INTERMÉDIO DA COMISSÃO INTERAMERICANA DE TELECOMUNICAÇÕES (CITEL)</w:t>
      </w:r>
      <w:r w:rsidRPr="00D65A20">
        <w:rPr>
          <w:u w:val="single"/>
          <w:vertAlign w:val="superscript"/>
          <w:lang w:val="pt-BR"/>
        </w:rPr>
        <w:footnoteReference w:id="36"/>
      </w:r>
      <w:r w:rsidRPr="00D65A20">
        <w:rPr>
          <w:vertAlign w:val="superscript"/>
          <w:lang w:val="pt-BR"/>
        </w:rPr>
        <w:t>/</w:t>
      </w:r>
      <w:bookmarkEnd w:id="49"/>
      <w:bookmarkEnd w:id="50"/>
      <w:r w:rsidR="00714959" w:rsidRPr="00D65A20">
        <w:rPr>
          <w:rStyle w:val="Heading1Char"/>
          <w:u w:val="single"/>
          <w:vertAlign w:val="superscript"/>
          <w:lang w:val="pt-BR"/>
        </w:rPr>
        <w:t xml:space="preserve"> </w:t>
      </w:r>
      <w:r w:rsidR="00714959" w:rsidRPr="00D65A20">
        <w:rPr>
          <w:rStyle w:val="FootnoteReference"/>
          <w:u w:val="single"/>
          <w:vertAlign w:val="superscript"/>
          <w:lang w:val="pt-BR"/>
        </w:rPr>
        <w:footnoteReference w:id="37"/>
      </w:r>
      <w:r w:rsidR="00714959" w:rsidRPr="00D65A20">
        <w:rPr>
          <w:vertAlign w:val="superscript"/>
          <w:lang w:val="pt-BR"/>
        </w:rPr>
        <w:t>/</w:t>
      </w:r>
    </w:p>
    <w:p w14:paraId="6E834382" w14:textId="77777777" w:rsidR="00144F9C" w:rsidRPr="00D65A20" w:rsidRDefault="00144F9C" w:rsidP="00AA4399">
      <w:pPr>
        <w:widowControl/>
        <w:rPr>
          <w:rFonts w:ascii="Times New Roman" w:hAnsi="Times New Roman"/>
          <w:szCs w:val="22"/>
          <w:lang w:val="pt-BR"/>
        </w:rPr>
      </w:pPr>
    </w:p>
    <w:p w14:paraId="6E834383" w14:textId="77777777" w:rsidR="00144F9C" w:rsidRPr="00D65A20" w:rsidRDefault="00144F9C" w:rsidP="00AA4399">
      <w:pPr>
        <w:widowControl/>
        <w:jc w:val="center"/>
        <w:rPr>
          <w:rFonts w:ascii="Times New Roman" w:hAnsi="Times New Roman"/>
          <w:szCs w:val="22"/>
          <w:lang w:val="pt-BR"/>
        </w:rPr>
      </w:pPr>
      <w:r w:rsidRPr="00D65A20">
        <w:rPr>
          <w:rFonts w:ascii="Times New Roman" w:hAnsi="Times New Roman"/>
          <w:szCs w:val="22"/>
          <w:lang w:val="pt-BR"/>
        </w:rPr>
        <w:t>(Aprovada na primeira sessão plenária, realizada em 20 de outubro de 2020)</w:t>
      </w:r>
    </w:p>
    <w:p w14:paraId="6E834384" w14:textId="77777777" w:rsidR="00144F9C" w:rsidRPr="00D65A20" w:rsidRDefault="00144F9C" w:rsidP="00AA4399">
      <w:pPr>
        <w:widowControl/>
        <w:rPr>
          <w:rFonts w:ascii="Times New Roman" w:hAnsi="Times New Roman"/>
          <w:szCs w:val="22"/>
          <w:lang w:val="pt-BR"/>
        </w:rPr>
      </w:pPr>
    </w:p>
    <w:p w14:paraId="6E834385" w14:textId="77777777" w:rsidR="00144F9C" w:rsidRPr="00D65A20" w:rsidRDefault="00144F9C" w:rsidP="00AA4399">
      <w:pPr>
        <w:widowControl/>
        <w:rPr>
          <w:rFonts w:ascii="Times New Roman" w:hAnsi="Times New Roman"/>
          <w:szCs w:val="22"/>
          <w:lang w:val="pt-BR"/>
        </w:rPr>
      </w:pPr>
    </w:p>
    <w:p w14:paraId="6E834386" w14:textId="77777777" w:rsidR="00144F9C" w:rsidRPr="00D65A20" w:rsidRDefault="00144F9C" w:rsidP="00AA4399">
      <w:pPr>
        <w:widowControl/>
        <w:ind w:firstLine="706"/>
        <w:rPr>
          <w:rFonts w:ascii="Times New Roman" w:hAnsi="Times New Roman"/>
          <w:szCs w:val="22"/>
          <w:lang w:val="pt-BR"/>
        </w:rPr>
      </w:pPr>
      <w:r w:rsidRPr="00D65A20">
        <w:rPr>
          <w:rFonts w:ascii="Times New Roman" w:hAnsi="Times New Roman"/>
          <w:szCs w:val="22"/>
          <w:lang w:val="pt-BR"/>
        </w:rPr>
        <w:t>A ASSEMBLEIA GERAL,</w:t>
      </w:r>
    </w:p>
    <w:p w14:paraId="6E834387" w14:textId="77777777" w:rsidR="00144F9C" w:rsidRPr="00D65A20" w:rsidRDefault="00144F9C" w:rsidP="00AA4399">
      <w:pPr>
        <w:widowControl/>
        <w:rPr>
          <w:rFonts w:ascii="Times New Roman" w:hAnsi="Times New Roman"/>
          <w:szCs w:val="22"/>
          <w:lang w:val="pt-BR"/>
        </w:rPr>
      </w:pPr>
    </w:p>
    <w:p w14:paraId="6E834388" w14:textId="77777777" w:rsidR="00144F9C" w:rsidRPr="00D65A20" w:rsidRDefault="00144F9C" w:rsidP="00AA4399">
      <w:pPr>
        <w:widowControl/>
        <w:rPr>
          <w:rFonts w:ascii="Times New Roman" w:hAnsi="Times New Roman"/>
          <w:szCs w:val="22"/>
          <w:lang w:val="pt-BR"/>
        </w:rPr>
      </w:pPr>
      <w:r w:rsidRPr="00D65A20">
        <w:rPr>
          <w:rFonts w:ascii="Times New Roman" w:hAnsi="Times New Roman"/>
          <w:szCs w:val="22"/>
          <w:lang w:val="pt-BR"/>
        </w:rPr>
        <w:t>RECORDANDO:</w:t>
      </w:r>
    </w:p>
    <w:p w14:paraId="6E834389" w14:textId="77777777" w:rsidR="00144F9C" w:rsidRPr="00D65A20" w:rsidRDefault="00144F9C" w:rsidP="00AA4399">
      <w:pPr>
        <w:widowControl/>
        <w:rPr>
          <w:rFonts w:ascii="Times New Roman" w:hAnsi="Times New Roman"/>
          <w:szCs w:val="22"/>
          <w:lang w:val="pt-BR"/>
        </w:rPr>
      </w:pPr>
    </w:p>
    <w:p w14:paraId="6E83438A" w14:textId="77777777" w:rsidR="00144F9C" w:rsidRPr="00D65A20" w:rsidRDefault="00144F9C" w:rsidP="00AA4399">
      <w:pPr>
        <w:widowControl/>
        <w:ind w:firstLine="706"/>
        <w:rPr>
          <w:rFonts w:ascii="Times New Roman" w:hAnsi="Times New Roman"/>
          <w:szCs w:val="22"/>
          <w:lang w:val="pt-BR"/>
        </w:rPr>
      </w:pPr>
      <w:r w:rsidRPr="00D65A20">
        <w:rPr>
          <w:rFonts w:ascii="Times New Roman" w:hAnsi="Times New Roman"/>
          <w:szCs w:val="22"/>
          <w:lang w:val="pt-BR"/>
        </w:rPr>
        <w:t>A resolução AG/RES. 2938 (XLIX-O/19)</w:t>
      </w:r>
      <w:r w:rsidRPr="00D65A20">
        <w:rPr>
          <w:rFonts w:ascii="Times New Roman" w:hAnsi="Times New Roman"/>
          <w:bCs/>
          <w:kern w:val="32"/>
          <w:szCs w:val="22"/>
          <w:lang w:val="pt-BR"/>
        </w:rPr>
        <w:t xml:space="preserve">, </w:t>
      </w:r>
      <w:r w:rsidRPr="00D65A20">
        <w:rPr>
          <w:rFonts w:ascii="Times New Roman" w:hAnsi="Times New Roman"/>
          <w:szCs w:val="22"/>
          <w:lang w:val="pt-BR"/>
        </w:rPr>
        <w:t xml:space="preserve">“Papel Prioritário da Organização dos Estados Americanos no desenvolvimento das telecomunicações/tecnologias da informação e das comunicações por intermédio da Comissão Interamericana de Telecomunicações (CITEL)”, </w:t>
      </w:r>
      <w:r w:rsidRPr="00D65A20">
        <w:rPr>
          <w:rFonts w:ascii="Times New Roman" w:hAnsi="Times New Roman"/>
          <w:bCs/>
          <w:kern w:val="32"/>
          <w:szCs w:val="22"/>
          <w:lang w:val="pt-BR"/>
        </w:rPr>
        <w:t>aprovada em 27 de junho de 2019;</w:t>
      </w:r>
      <w:r w:rsidRPr="00D65A20">
        <w:rPr>
          <w:rFonts w:ascii="Times New Roman" w:hAnsi="Times New Roman"/>
          <w:szCs w:val="22"/>
          <w:lang w:val="pt-BR"/>
        </w:rPr>
        <w:t xml:space="preserve"> e</w:t>
      </w:r>
    </w:p>
    <w:p w14:paraId="6E83438B" w14:textId="77777777" w:rsidR="00144F9C" w:rsidRPr="00D65A20" w:rsidRDefault="00144F9C" w:rsidP="00AA4399">
      <w:pPr>
        <w:widowControl/>
        <w:rPr>
          <w:rFonts w:ascii="Times New Roman" w:hAnsi="Times New Roman"/>
          <w:szCs w:val="22"/>
          <w:lang w:val="pt-BR"/>
        </w:rPr>
      </w:pPr>
    </w:p>
    <w:p w14:paraId="6E83438C" w14:textId="77777777" w:rsidR="00144F9C" w:rsidRPr="00D65A20" w:rsidRDefault="00144F9C" w:rsidP="00AA4399">
      <w:pPr>
        <w:widowControl/>
        <w:ind w:firstLine="706"/>
        <w:rPr>
          <w:rFonts w:ascii="Times New Roman" w:hAnsi="Times New Roman"/>
          <w:szCs w:val="22"/>
          <w:lang w:val="pt-BR"/>
        </w:rPr>
      </w:pPr>
      <w:r w:rsidRPr="00D65A20">
        <w:rPr>
          <w:rFonts w:ascii="Times New Roman" w:hAnsi="Times New Roman"/>
          <w:szCs w:val="22"/>
          <w:lang w:val="pt-BR"/>
        </w:rPr>
        <w:t xml:space="preserve">A resolução </w:t>
      </w:r>
      <w:r w:rsidRPr="00D65A20">
        <w:rPr>
          <w:rFonts w:ascii="Times New Roman" w:hAnsi="Times New Roman"/>
          <w:bCs/>
          <w:kern w:val="32"/>
          <w:szCs w:val="22"/>
          <w:lang w:val="pt-BR"/>
        </w:rPr>
        <w:t>AG/RES. 2940 (XLIX-O/19)</w:t>
      </w:r>
      <w:r w:rsidRPr="00D65A20">
        <w:rPr>
          <w:rFonts w:ascii="Times New Roman" w:hAnsi="Times New Roman"/>
          <w:szCs w:val="22"/>
          <w:lang w:val="pt-BR"/>
        </w:rPr>
        <w:t>, “Orçamento-programa da Organização para 2020”, aprovada em 27 de junho de 2019, no que se refere aos mandatos relacionados à CITEL;</w:t>
      </w:r>
    </w:p>
    <w:p w14:paraId="6E83438D" w14:textId="77777777" w:rsidR="00144F9C" w:rsidRPr="00D65A20" w:rsidRDefault="00144F9C" w:rsidP="00AA4399">
      <w:pPr>
        <w:widowControl/>
        <w:rPr>
          <w:rFonts w:ascii="Times New Roman" w:hAnsi="Times New Roman"/>
          <w:szCs w:val="22"/>
          <w:lang w:val="pt-BR"/>
        </w:rPr>
      </w:pPr>
    </w:p>
    <w:p w14:paraId="6E83438E" w14:textId="77777777" w:rsidR="00144F9C" w:rsidRPr="00D65A20" w:rsidRDefault="00144F9C" w:rsidP="00AA4399">
      <w:pPr>
        <w:widowControl/>
        <w:rPr>
          <w:rFonts w:ascii="Times New Roman" w:hAnsi="Times New Roman"/>
          <w:szCs w:val="22"/>
          <w:lang w:val="pt-BR"/>
        </w:rPr>
      </w:pPr>
      <w:r w:rsidRPr="00D65A20">
        <w:rPr>
          <w:rFonts w:ascii="Times New Roman" w:hAnsi="Times New Roman"/>
          <w:szCs w:val="22"/>
          <w:lang w:val="pt-BR"/>
        </w:rPr>
        <w:t>OBSERVANDO</w:t>
      </w:r>
      <w:r w:rsidR="00375DD9" w:rsidRPr="00D65A20">
        <w:rPr>
          <w:rFonts w:ascii="Times New Roman" w:hAnsi="Times New Roman"/>
          <w:szCs w:val="22"/>
          <w:lang w:val="pt-BR"/>
        </w:rPr>
        <w:t>:</w:t>
      </w:r>
      <w:r w:rsidRPr="00D65A20">
        <w:rPr>
          <w:rFonts w:ascii="Times New Roman" w:hAnsi="Times New Roman"/>
          <w:szCs w:val="22"/>
          <w:lang w:val="pt-BR"/>
        </w:rPr>
        <w:t xml:space="preserve"> </w:t>
      </w:r>
    </w:p>
    <w:p w14:paraId="6E83438F" w14:textId="77777777" w:rsidR="00144F9C" w:rsidRPr="00D65A20" w:rsidRDefault="00144F9C" w:rsidP="00AA4399">
      <w:pPr>
        <w:widowControl/>
        <w:rPr>
          <w:rFonts w:ascii="Times New Roman" w:hAnsi="Times New Roman"/>
          <w:szCs w:val="22"/>
          <w:lang w:val="pt-BR"/>
        </w:rPr>
      </w:pPr>
    </w:p>
    <w:p w14:paraId="6E834390" w14:textId="1498B4D9" w:rsidR="00144F9C" w:rsidRPr="00D65A20" w:rsidRDefault="00144F9C"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pt-BR" w:eastAsia="pt-BR"/>
        </w:rPr>
      </w:pPr>
      <w:r w:rsidRPr="00D65A20">
        <w:rPr>
          <w:rFonts w:ascii="Times New Roman" w:hAnsi="Times New Roman"/>
          <w:szCs w:val="22"/>
          <w:lang w:val="pt-BR" w:eastAsia="pt-BR"/>
        </w:rPr>
        <w:t>A resolução CITEL/RES. 80 (VII-18)</w:t>
      </w:r>
      <w:r w:rsidR="007231C9" w:rsidRPr="00D65A20">
        <w:rPr>
          <w:rFonts w:ascii="Times New Roman" w:hAnsi="Times New Roman"/>
          <w:szCs w:val="22"/>
          <w:lang w:val="pt-BR" w:eastAsia="pt-BR"/>
        </w:rPr>
        <w:t>,</w:t>
      </w:r>
      <w:r w:rsidRPr="00D65A20">
        <w:rPr>
          <w:rFonts w:ascii="Times New Roman" w:hAnsi="Times New Roman"/>
          <w:szCs w:val="22"/>
          <w:lang w:val="pt-BR" w:eastAsia="pt-BR"/>
        </w:rPr>
        <w:t xml:space="preserve"> “Fortalecimento da CITEL no interior da OEA”, aprovada na Sétima Reunião Ordinária da Assembleia da CITEL, em que a CITEL convida a Assembleia Geral da </w:t>
      </w:r>
      <w:r w:rsidR="007231C9" w:rsidRPr="00D65A20">
        <w:rPr>
          <w:rFonts w:ascii="Times New Roman" w:hAnsi="Times New Roman"/>
          <w:szCs w:val="22"/>
          <w:lang w:val="pt-BR" w:eastAsia="pt-BR"/>
        </w:rPr>
        <w:t>Organização dos Estados Americanos (</w:t>
      </w:r>
      <w:r w:rsidRPr="00D65A20">
        <w:rPr>
          <w:rFonts w:ascii="Times New Roman" w:hAnsi="Times New Roman"/>
          <w:szCs w:val="22"/>
          <w:lang w:val="pt-BR" w:eastAsia="pt-BR"/>
        </w:rPr>
        <w:t>OEA</w:t>
      </w:r>
      <w:r w:rsidR="007231C9" w:rsidRPr="00D65A20">
        <w:rPr>
          <w:rFonts w:ascii="Times New Roman" w:hAnsi="Times New Roman"/>
          <w:szCs w:val="22"/>
          <w:lang w:val="pt-BR" w:eastAsia="pt-BR"/>
        </w:rPr>
        <w:t>)</w:t>
      </w:r>
      <w:r w:rsidRPr="00D65A20">
        <w:rPr>
          <w:rFonts w:ascii="Times New Roman" w:hAnsi="Times New Roman"/>
          <w:szCs w:val="22"/>
          <w:lang w:val="pt-BR" w:eastAsia="pt-BR"/>
        </w:rPr>
        <w:t xml:space="preserve"> a reafirmar o seu compromisso com a sustentabilidade financeira da CITEL; e</w:t>
      </w:r>
    </w:p>
    <w:p w14:paraId="6E834391" w14:textId="77777777" w:rsidR="00144F9C" w:rsidRPr="00D65A20" w:rsidRDefault="00144F9C"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4"/>
          <w:szCs w:val="22"/>
          <w:lang w:val="pt-BR" w:eastAsia="pt-BR"/>
        </w:rPr>
      </w:pPr>
    </w:p>
    <w:p w14:paraId="6E834392" w14:textId="77777777" w:rsidR="00144F9C" w:rsidRPr="00D65A20" w:rsidRDefault="00144F9C" w:rsidP="00AA4399">
      <w:pPr>
        <w:widowControl/>
        <w:rPr>
          <w:rFonts w:ascii="Times New Roman" w:hAnsi="Times New Roman"/>
          <w:szCs w:val="22"/>
          <w:lang w:val="pt-BR"/>
        </w:rPr>
      </w:pPr>
      <w:r w:rsidRPr="00D65A20">
        <w:rPr>
          <w:rFonts w:ascii="Times New Roman" w:hAnsi="Times New Roman"/>
          <w:szCs w:val="22"/>
          <w:lang w:val="pt-BR"/>
        </w:rPr>
        <w:t>CONSIDERANDO:</w:t>
      </w:r>
    </w:p>
    <w:p w14:paraId="6E834393" w14:textId="77777777" w:rsidR="00144F9C" w:rsidRPr="00D65A20" w:rsidRDefault="00144F9C" w:rsidP="00AA4399">
      <w:pPr>
        <w:widowControl/>
        <w:rPr>
          <w:rFonts w:ascii="Times New Roman" w:hAnsi="Times New Roman"/>
          <w:szCs w:val="22"/>
          <w:lang w:val="pt-BR"/>
        </w:rPr>
      </w:pPr>
    </w:p>
    <w:p w14:paraId="6E834394" w14:textId="77777777" w:rsidR="00144F9C" w:rsidRPr="00D65A20" w:rsidRDefault="00144F9C" w:rsidP="00AA4399">
      <w:pPr>
        <w:widowControl/>
        <w:ind w:firstLine="706"/>
        <w:rPr>
          <w:rFonts w:ascii="Times New Roman" w:hAnsi="Times New Roman"/>
          <w:szCs w:val="22"/>
          <w:lang w:val="pt-BR"/>
        </w:rPr>
      </w:pPr>
      <w:r w:rsidRPr="00D65A20">
        <w:rPr>
          <w:rFonts w:ascii="Times New Roman" w:hAnsi="Times New Roman"/>
          <w:szCs w:val="22"/>
          <w:lang w:val="pt-BR"/>
        </w:rPr>
        <w:t xml:space="preserve">Que as telecomunicações e as tecnologias da informação e das comunicações (TICs) são ferramentas-chave para favorecer o desenvolvimento social, econômico, cultural e ambiental e, por conseguinte, para a implementação da Agenda 2030 para o Desenvolvimento Sustentável; </w:t>
      </w:r>
    </w:p>
    <w:p w14:paraId="6E834395" w14:textId="77777777" w:rsidR="00144F9C" w:rsidRPr="00D65A20" w:rsidRDefault="00144F9C" w:rsidP="00AA4399">
      <w:pPr>
        <w:widowControl/>
        <w:rPr>
          <w:rFonts w:ascii="Times New Roman" w:hAnsi="Times New Roman"/>
          <w:szCs w:val="22"/>
          <w:lang w:val="pt-BR"/>
        </w:rPr>
      </w:pPr>
    </w:p>
    <w:p w14:paraId="6E834396" w14:textId="77777777" w:rsidR="00144F9C" w:rsidRPr="00D65A20" w:rsidRDefault="00144F9C" w:rsidP="00AA4399">
      <w:pPr>
        <w:widowControl/>
        <w:rPr>
          <w:rFonts w:ascii="Times New Roman" w:hAnsi="Times New Roman"/>
          <w:szCs w:val="22"/>
          <w:lang w:val="pt-BR"/>
        </w:rPr>
      </w:pPr>
      <w:r w:rsidRPr="00D65A20">
        <w:rPr>
          <w:rFonts w:ascii="Times New Roman" w:hAnsi="Times New Roman"/>
          <w:szCs w:val="22"/>
          <w:lang w:val="pt-BR"/>
        </w:rPr>
        <w:tab/>
        <w:t xml:space="preserve">Que a CITEL é a entidade especializada da OEA em </w:t>
      </w:r>
      <w:r w:rsidR="00375DD9" w:rsidRPr="00D65A20">
        <w:rPr>
          <w:rFonts w:ascii="Times New Roman" w:hAnsi="Times New Roman"/>
          <w:szCs w:val="22"/>
          <w:lang w:val="pt-BR"/>
        </w:rPr>
        <w:t xml:space="preserve">matéria de </w:t>
      </w:r>
      <w:r w:rsidRPr="00D65A20">
        <w:rPr>
          <w:rFonts w:ascii="Times New Roman" w:hAnsi="Times New Roman"/>
          <w:szCs w:val="22"/>
          <w:lang w:val="pt-BR"/>
        </w:rPr>
        <w:t>telecomunicações e TICs e que, nessa qualidade, contribui efetivamente para a implementação dos quatro pilares da OEA e dos mandatos e iniciativas das Cúpulas das Américas, para o que estimulou ações com os líderes políticos da região, como o lançamento das iniciativas público-privadas Aliança TIC 2030 Américas, o apelo por maiores investimentos na infraestrutura de banda larga e a promoção do acesso à banda larga, com vistas à inclusão social, bem como a Aliança das Mulheres Rurais – Empoderando a Mulher Rural por meio das TICs;</w:t>
      </w:r>
    </w:p>
    <w:p w14:paraId="6E834397" w14:textId="77777777" w:rsidR="00144F9C" w:rsidRPr="00D65A20" w:rsidRDefault="00144F9C" w:rsidP="00AA4399">
      <w:pPr>
        <w:widowControl/>
        <w:jc w:val="left"/>
        <w:rPr>
          <w:rFonts w:ascii="Times New Roman" w:hAnsi="Times New Roman"/>
          <w:szCs w:val="22"/>
          <w:lang w:val="pt-BR"/>
        </w:rPr>
      </w:pPr>
    </w:p>
    <w:p w14:paraId="6E834398" w14:textId="77777777" w:rsidR="00144F9C" w:rsidRPr="00D65A20" w:rsidRDefault="00144F9C" w:rsidP="00AA4399">
      <w:pPr>
        <w:widowControl/>
        <w:ind w:firstLine="706"/>
        <w:rPr>
          <w:rFonts w:ascii="Times New Roman" w:hAnsi="Times New Roman"/>
          <w:szCs w:val="22"/>
          <w:lang w:val="pt-BR"/>
        </w:rPr>
      </w:pPr>
      <w:r w:rsidRPr="00D65A20">
        <w:rPr>
          <w:rFonts w:ascii="Times New Roman" w:hAnsi="Times New Roman"/>
          <w:szCs w:val="22"/>
          <w:lang w:val="pt-BR"/>
        </w:rPr>
        <w:lastRenderedPageBreak/>
        <w:t>Que, refletindo o seu papel único decorrente da sua composição e da sua capacidade de unir o setor acadêmico, o setor privado, a comunidade técnica e o governo, a CITEL promoveu os interesses de todo o Hemisfério na Conferência Mundial de Radiocomunicações da União Internacional de Telecomunicações (UIT), mediante a aprovação de mais de 300 Propostas Interamericanas;</w:t>
      </w:r>
    </w:p>
    <w:p w14:paraId="6E834399" w14:textId="77777777" w:rsidR="00144F9C" w:rsidRPr="00D65A20" w:rsidRDefault="00144F9C" w:rsidP="00AA4399">
      <w:pPr>
        <w:widowControl/>
        <w:rPr>
          <w:rFonts w:ascii="Times New Roman" w:hAnsi="Times New Roman"/>
          <w:szCs w:val="22"/>
          <w:lang w:val="pt-BR"/>
        </w:rPr>
      </w:pPr>
    </w:p>
    <w:p w14:paraId="6E83439A" w14:textId="77777777" w:rsidR="00144F9C" w:rsidRPr="00D65A20" w:rsidRDefault="00144F9C" w:rsidP="00AA4399">
      <w:pPr>
        <w:widowControl/>
        <w:ind w:firstLine="706"/>
        <w:rPr>
          <w:rFonts w:ascii="Times New Roman" w:hAnsi="Times New Roman"/>
          <w:szCs w:val="22"/>
          <w:lang w:val="pt-BR"/>
        </w:rPr>
      </w:pPr>
      <w:r w:rsidRPr="00D65A20">
        <w:rPr>
          <w:rFonts w:ascii="Times New Roman" w:hAnsi="Times New Roman"/>
          <w:szCs w:val="22"/>
          <w:lang w:val="pt-BR"/>
        </w:rPr>
        <w:t>Que, segundo a UIT, até esta data, um terço das pessoas da região não tem acesso à conexão de banda larga, e que é importante continuar fortalecendo a CITEL como a área fundamental para a cooperação sobre comunicações e TICs nas Américas, em especial seu papel no debate e na obtenção de acordos sobre inclusão digital, desenvolvimento da infraestrutura de telecomunicações, utilização do espectro radioelétrico e criação de um ambiente que propicie investimentos nas TICs;</w:t>
      </w:r>
    </w:p>
    <w:p w14:paraId="6E83439B" w14:textId="77777777" w:rsidR="00144F9C" w:rsidRPr="00D65A20" w:rsidRDefault="00144F9C" w:rsidP="00AA4399">
      <w:pPr>
        <w:widowControl/>
        <w:rPr>
          <w:rFonts w:ascii="Times New Roman" w:hAnsi="Times New Roman"/>
          <w:szCs w:val="22"/>
          <w:lang w:val="pt-BR"/>
        </w:rPr>
      </w:pPr>
    </w:p>
    <w:p w14:paraId="6E83439C" w14:textId="77777777" w:rsidR="00144F9C" w:rsidRPr="00D65A20" w:rsidRDefault="00144F9C" w:rsidP="00AA4399">
      <w:pPr>
        <w:widowControl/>
        <w:ind w:firstLine="706"/>
        <w:rPr>
          <w:rFonts w:ascii="Times New Roman" w:hAnsi="Times New Roman"/>
          <w:szCs w:val="22"/>
          <w:lang w:val="pt-BR"/>
        </w:rPr>
      </w:pPr>
      <w:r w:rsidRPr="00D65A20">
        <w:rPr>
          <w:rFonts w:ascii="Times New Roman" w:hAnsi="Times New Roman"/>
          <w:szCs w:val="22"/>
          <w:lang w:val="pt-BR"/>
        </w:rPr>
        <w:t>Que os esforços envidados para facilitar o processo de transição da televisão terrestre analógica para a digital (TDT) e a atribuição do dividendo digital, otimizando a compatibilidade mútua entre a radiodifusão e as estações móveis nas bandas de ondas métricas (VHF) e de ondas decimétricas (UHF) na América Central e no Caribe assentaram a base para a coordenação do espectro e a colaboração futura na região;</w:t>
      </w:r>
    </w:p>
    <w:p w14:paraId="6E83439D" w14:textId="77777777" w:rsidR="00144F9C" w:rsidRPr="00D65A20" w:rsidRDefault="00144F9C" w:rsidP="00AA4399">
      <w:pPr>
        <w:widowControl/>
        <w:rPr>
          <w:rFonts w:ascii="Times New Roman" w:hAnsi="Times New Roman"/>
          <w:szCs w:val="22"/>
          <w:lang w:val="pt-BR"/>
        </w:rPr>
      </w:pPr>
    </w:p>
    <w:p w14:paraId="6E83439E" w14:textId="05E6B432" w:rsidR="00144F9C" w:rsidRPr="00D65A20" w:rsidRDefault="00144F9C" w:rsidP="00AA4399">
      <w:pPr>
        <w:widowControl/>
        <w:ind w:firstLine="706"/>
        <w:rPr>
          <w:rFonts w:ascii="Times New Roman" w:hAnsi="Times New Roman"/>
          <w:szCs w:val="22"/>
          <w:lang w:val="pt-BR"/>
        </w:rPr>
      </w:pPr>
      <w:r w:rsidRPr="00D65A20">
        <w:rPr>
          <w:rFonts w:ascii="Times New Roman" w:hAnsi="Times New Roman"/>
          <w:szCs w:val="22"/>
          <w:lang w:val="pt-BR"/>
        </w:rPr>
        <w:t>Que a CITEL executou ações em coordenação com a UIT, a União de Telecomunicações do Caribe e a Comissão Técnica Regional de Telecomunicações para melhorar a capacidade de comunicação e resposta e aumentar a resiliência frente a desastres e situações de emergência na região; e</w:t>
      </w:r>
    </w:p>
    <w:p w14:paraId="6E83439F" w14:textId="77777777" w:rsidR="00144F9C" w:rsidRPr="00D65A20" w:rsidRDefault="00144F9C" w:rsidP="00AA4399">
      <w:pPr>
        <w:widowControl/>
        <w:rPr>
          <w:rFonts w:ascii="Times New Roman" w:hAnsi="Times New Roman"/>
          <w:szCs w:val="22"/>
          <w:lang w:val="pt-BR"/>
        </w:rPr>
      </w:pPr>
    </w:p>
    <w:p w14:paraId="6E8343A0" w14:textId="77777777" w:rsidR="00144F9C" w:rsidRPr="00D65A20" w:rsidRDefault="00144F9C" w:rsidP="00AA4399">
      <w:pPr>
        <w:widowControl/>
        <w:ind w:firstLine="706"/>
        <w:rPr>
          <w:rFonts w:ascii="Times New Roman" w:hAnsi="Times New Roman"/>
          <w:szCs w:val="22"/>
          <w:lang w:val="pt-BR"/>
        </w:rPr>
      </w:pPr>
      <w:r w:rsidRPr="00D65A20">
        <w:rPr>
          <w:rFonts w:ascii="Times New Roman" w:hAnsi="Times New Roman"/>
          <w:szCs w:val="22"/>
          <w:lang w:val="pt-BR"/>
        </w:rPr>
        <w:t>Que, após avaliar os resultados positivos dos trabalhos que vem realizando, é necessário assegurar a sustentabilidade financeira da CITEL, para garantir que disponha das ferramentas necessárias para continuar o seu trabalho e implementar o seu Plano Estratégico 2018-2022, de maneira compatível com o Plano Estratégico Integral da Organização,</w:t>
      </w:r>
    </w:p>
    <w:p w14:paraId="6E8343A1" w14:textId="77777777" w:rsidR="00144F9C" w:rsidRPr="00D65A20" w:rsidRDefault="00144F9C" w:rsidP="00AA4399">
      <w:pPr>
        <w:widowControl/>
        <w:rPr>
          <w:rFonts w:ascii="Times New Roman" w:hAnsi="Times New Roman"/>
          <w:szCs w:val="22"/>
          <w:lang w:val="pt-BR"/>
        </w:rPr>
      </w:pPr>
    </w:p>
    <w:p w14:paraId="6E8343A2" w14:textId="77777777" w:rsidR="00144F9C" w:rsidRPr="00D65A20" w:rsidRDefault="00144F9C" w:rsidP="00AA4399">
      <w:pPr>
        <w:widowControl/>
        <w:rPr>
          <w:rFonts w:ascii="Times New Roman" w:hAnsi="Times New Roman"/>
          <w:szCs w:val="22"/>
          <w:lang w:val="pt-BR"/>
        </w:rPr>
      </w:pPr>
      <w:r w:rsidRPr="00D65A20">
        <w:rPr>
          <w:rFonts w:ascii="Times New Roman" w:hAnsi="Times New Roman"/>
          <w:szCs w:val="22"/>
          <w:lang w:val="pt-BR"/>
        </w:rPr>
        <w:t>RESOLVE:</w:t>
      </w:r>
    </w:p>
    <w:p w14:paraId="6E8343A3" w14:textId="77777777" w:rsidR="00144F9C" w:rsidRPr="00D65A20" w:rsidRDefault="00144F9C" w:rsidP="00AA4399">
      <w:pPr>
        <w:widowControl/>
        <w:rPr>
          <w:rFonts w:ascii="Times New Roman" w:hAnsi="Times New Roman"/>
          <w:szCs w:val="22"/>
          <w:lang w:val="pt-BR"/>
        </w:rPr>
      </w:pPr>
    </w:p>
    <w:p w14:paraId="6E8343A4" w14:textId="48E79686" w:rsidR="00144F9C" w:rsidRPr="00D65A20" w:rsidRDefault="00144F9C" w:rsidP="00AA4399">
      <w:pPr>
        <w:widowControl/>
        <w:tabs>
          <w:tab w:val="left" w:pos="0"/>
        </w:tabs>
        <w:rPr>
          <w:rFonts w:ascii="Times New Roman" w:hAnsi="Times New Roman"/>
          <w:szCs w:val="22"/>
          <w:lang w:val="pt-BR"/>
        </w:rPr>
      </w:pPr>
      <w:r w:rsidRPr="00D65A20">
        <w:rPr>
          <w:rFonts w:ascii="Times New Roman" w:hAnsi="Times New Roman"/>
          <w:szCs w:val="22"/>
          <w:lang w:val="pt-BR"/>
        </w:rPr>
        <w:tab/>
        <w:t>1.</w:t>
      </w:r>
      <w:r w:rsidRPr="00D65A20">
        <w:rPr>
          <w:rFonts w:ascii="Times New Roman" w:hAnsi="Times New Roman"/>
          <w:szCs w:val="22"/>
          <w:lang w:val="pt-BR"/>
        </w:rPr>
        <w:tab/>
        <w:t xml:space="preserve">Incentivar os Estados membros da Organização dos Estados Americanos (OEA) a que intensifiquem a cooperação horizontal e o intercâmbio de informações, experiências e boas práticas entre </w:t>
      </w:r>
      <w:r w:rsidR="00E50F1D" w:rsidRPr="00D65A20">
        <w:rPr>
          <w:rFonts w:ascii="Times New Roman" w:hAnsi="Times New Roman"/>
          <w:szCs w:val="22"/>
          <w:lang w:val="pt-BR"/>
        </w:rPr>
        <w:t>si</w:t>
      </w:r>
      <w:r w:rsidRPr="00D65A20">
        <w:rPr>
          <w:rFonts w:ascii="Times New Roman" w:hAnsi="Times New Roman"/>
          <w:szCs w:val="22"/>
          <w:lang w:val="pt-BR"/>
        </w:rPr>
        <w:t xml:space="preserve">, em matéria de telecomunicações e tecnologias da informação e das comunicações (TICs), com o apoio da Secretaria da </w:t>
      </w:r>
      <w:r w:rsidR="00D506B1" w:rsidRPr="00D65A20">
        <w:rPr>
          <w:rFonts w:ascii="Times New Roman" w:hAnsi="Times New Roman"/>
          <w:szCs w:val="22"/>
          <w:lang w:val="pt-BR"/>
        </w:rPr>
        <w:t>Comissão Interamericana de Telecomunicações (</w:t>
      </w:r>
      <w:r w:rsidRPr="00D65A20">
        <w:rPr>
          <w:rFonts w:ascii="Times New Roman" w:hAnsi="Times New Roman"/>
          <w:szCs w:val="22"/>
          <w:lang w:val="pt-BR"/>
        </w:rPr>
        <w:t>CITEL</w:t>
      </w:r>
      <w:r w:rsidR="00D506B1" w:rsidRPr="00D65A20">
        <w:rPr>
          <w:rFonts w:ascii="Times New Roman" w:hAnsi="Times New Roman"/>
          <w:szCs w:val="22"/>
          <w:lang w:val="pt-BR"/>
        </w:rPr>
        <w:t>)</w:t>
      </w:r>
      <w:r w:rsidRPr="00D65A20">
        <w:rPr>
          <w:rFonts w:ascii="Times New Roman" w:hAnsi="Times New Roman"/>
          <w:szCs w:val="22"/>
          <w:lang w:val="pt-BR"/>
        </w:rPr>
        <w:t>.</w:t>
      </w:r>
    </w:p>
    <w:p w14:paraId="6E8343A5" w14:textId="77777777" w:rsidR="00144F9C" w:rsidRPr="00D65A20" w:rsidRDefault="00144F9C" w:rsidP="00AA4399">
      <w:pPr>
        <w:widowControl/>
        <w:tabs>
          <w:tab w:val="left" w:pos="0"/>
        </w:tabs>
        <w:rPr>
          <w:rFonts w:ascii="Times New Roman" w:hAnsi="Times New Roman"/>
          <w:szCs w:val="22"/>
          <w:lang w:val="pt-BR"/>
        </w:rPr>
      </w:pPr>
    </w:p>
    <w:p w14:paraId="6E8343A6" w14:textId="682C8317" w:rsidR="00144F9C" w:rsidRPr="00D65A20" w:rsidRDefault="00144F9C" w:rsidP="00AA4399">
      <w:pPr>
        <w:widowControl/>
        <w:tabs>
          <w:tab w:val="left" w:pos="0"/>
        </w:tabs>
        <w:rPr>
          <w:rFonts w:ascii="Times New Roman" w:hAnsi="Times New Roman"/>
          <w:szCs w:val="22"/>
          <w:lang w:val="pt-BR"/>
        </w:rPr>
      </w:pPr>
      <w:r w:rsidRPr="00D65A20">
        <w:rPr>
          <w:rFonts w:ascii="Times New Roman" w:hAnsi="Times New Roman"/>
          <w:szCs w:val="22"/>
          <w:lang w:val="pt-BR"/>
        </w:rPr>
        <w:tab/>
        <w:t>2.</w:t>
      </w:r>
      <w:r w:rsidRPr="00D65A20">
        <w:rPr>
          <w:rFonts w:ascii="Times New Roman" w:hAnsi="Times New Roman"/>
          <w:szCs w:val="22"/>
          <w:lang w:val="pt-BR"/>
        </w:rPr>
        <w:tab/>
        <w:t>Incentivar os Estados membros a que implementem atividades nos seus países e na região para avançar na conectividade e no acesso à banda larga, como motor fundamental do desenvolvimento sustentável, e convidá-los a que participem das diversas atividades convocadas pela CITEL.</w:t>
      </w:r>
    </w:p>
    <w:p w14:paraId="6E8343A7" w14:textId="77777777" w:rsidR="00144F9C" w:rsidRPr="00D65A20" w:rsidRDefault="00144F9C" w:rsidP="00AA4399">
      <w:pPr>
        <w:widowControl/>
        <w:tabs>
          <w:tab w:val="left" w:pos="0"/>
        </w:tabs>
        <w:rPr>
          <w:rFonts w:ascii="Times New Roman" w:hAnsi="Times New Roman"/>
          <w:szCs w:val="22"/>
          <w:lang w:val="pt-BR"/>
        </w:rPr>
      </w:pPr>
    </w:p>
    <w:p w14:paraId="6E8343A8" w14:textId="348026F4" w:rsidR="00144F9C" w:rsidRPr="00D65A20" w:rsidRDefault="00144F9C" w:rsidP="00AA4399">
      <w:pPr>
        <w:widowControl/>
        <w:tabs>
          <w:tab w:val="left" w:pos="0"/>
        </w:tabs>
        <w:rPr>
          <w:rFonts w:ascii="Times New Roman" w:hAnsi="Times New Roman"/>
          <w:szCs w:val="22"/>
          <w:lang w:val="pt-BR"/>
        </w:rPr>
      </w:pPr>
      <w:r w:rsidRPr="00D65A20">
        <w:rPr>
          <w:rFonts w:ascii="Times New Roman" w:hAnsi="Times New Roman"/>
          <w:szCs w:val="22"/>
          <w:lang w:val="pt-BR"/>
        </w:rPr>
        <w:tab/>
        <w:t>3.</w:t>
      </w:r>
      <w:r w:rsidRPr="00D65A20">
        <w:rPr>
          <w:rFonts w:ascii="Times New Roman" w:hAnsi="Times New Roman"/>
          <w:szCs w:val="22"/>
          <w:lang w:val="pt-BR"/>
        </w:rPr>
        <w:tab/>
        <w:t xml:space="preserve">Solicitar à Secretaria-Geral que, na proposta de orçamento-programa para 2021 para consideração da Comissão de Assuntos Administrativos e Orçamentários e aprovação da Assembleia Geral, continue levando em consideração as necessidades financeiras da CITEL, em conformidade com a resolução CITEL/RES. 80 (VII-18), aprovada na Sétima Reunião Ordinária da Assembleia da CITEL, e com a resolução AG/RES. </w:t>
      </w:r>
      <w:r w:rsidRPr="00D65A20">
        <w:rPr>
          <w:rFonts w:ascii="Times New Roman" w:hAnsi="Times New Roman"/>
          <w:bCs/>
          <w:kern w:val="32"/>
          <w:szCs w:val="22"/>
          <w:lang w:val="pt-BR"/>
        </w:rPr>
        <w:t>2940 (XLIX-O/19</w:t>
      </w:r>
      <w:r w:rsidRPr="00D65A20">
        <w:rPr>
          <w:rFonts w:ascii="Times New Roman" w:hAnsi="Times New Roman"/>
          <w:szCs w:val="22"/>
          <w:lang w:val="pt-BR"/>
        </w:rPr>
        <w:t xml:space="preserve">), “Orçamento-programa da Organização para 2020”, aprovada no Quadragésimo Nono Período </w:t>
      </w:r>
      <w:r w:rsidR="00E50F1D" w:rsidRPr="00D65A20">
        <w:rPr>
          <w:rFonts w:ascii="Times New Roman" w:hAnsi="Times New Roman"/>
          <w:szCs w:val="22"/>
          <w:lang w:val="pt-BR"/>
        </w:rPr>
        <w:t>O</w:t>
      </w:r>
      <w:r w:rsidRPr="00D65A20">
        <w:rPr>
          <w:rFonts w:ascii="Times New Roman" w:hAnsi="Times New Roman"/>
          <w:szCs w:val="22"/>
          <w:lang w:val="pt-BR"/>
        </w:rPr>
        <w:t>rdinário de Sessões da Assembleia Geral, de maneira que a CITEL possa continuar cumprindo os seus objetivos e a sua missão, além de otimizar o seu funcionamento.</w:t>
      </w:r>
    </w:p>
    <w:p w14:paraId="6E8343AA" w14:textId="7F52A1B1" w:rsidR="00144F9C" w:rsidRPr="00D65A20" w:rsidRDefault="00144F9C" w:rsidP="00AA4399">
      <w:pPr>
        <w:widowControl/>
        <w:ind w:firstLine="720"/>
        <w:rPr>
          <w:rFonts w:ascii="Times New Roman" w:hAnsi="Times New Roman"/>
          <w:szCs w:val="22"/>
          <w:lang w:val="pt-BR"/>
        </w:rPr>
      </w:pPr>
      <w:r w:rsidRPr="00D65A20">
        <w:rPr>
          <w:rFonts w:ascii="Times New Roman" w:hAnsi="Times New Roman"/>
          <w:szCs w:val="22"/>
          <w:lang w:val="pt-BR"/>
        </w:rPr>
        <w:lastRenderedPageBreak/>
        <w:t>4.</w:t>
      </w:r>
      <w:r w:rsidRPr="00D65A20">
        <w:rPr>
          <w:rFonts w:ascii="Times New Roman" w:hAnsi="Times New Roman"/>
          <w:szCs w:val="22"/>
          <w:lang w:val="pt-BR"/>
        </w:rPr>
        <w:tab/>
        <w:t>Solicitar à Secretaria da CITEL que informe o Quinquagésimo Primeiro Período Ordinário de Sessões da Assembleia Geral sobre a implementação desta resolução, cuja execução estará sujeita à disponibilidade de recursos financeiros no orçamento-programa da Organização e de outros recursos.</w:t>
      </w:r>
    </w:p>
    <w:p w14:paraId="6E8343AB" w14:textId="77777777" w:rsidR="00144F9C" w:rsidRPr="00D65A20" w:rsidRDefault="00144F9C" w:rsidP="00AA4399">
      <w:pPr>
        <w:widowControl/>
        <w:jc w:val="left"/>
        <w:rPr>
          <w:rFonts w:ascii="Times New Roman" w:hAnsi="Times New Roman"/>
          <w:szCs w:val="22"/>
          <w:lang w:val="pt-BR"/>
        </w:rPr>
      </w:pPr>
      <w:r w:rsidRPr="00D65A20">
        <w:rPr>
          <w:rFonts w:ascii="Times New Roman" w:hAnsi="Times New Roman"/>
          <w:szCs w:val="22"/>
          <w:lang w:val="pt-BR"/>
        </w:rPr>
        <w:br w:type="page"/>
      </w:r>
    </w:p>
    <w:p w14:paraId="6E8343AC" w14:textId="77777777" w:rsidR="00144F9C" w:rsidRPr="00D65A20" w:rsidRDefault="00144F9C" w:rsidP="00523713">
      <w:pPr>
        <w:widowControl/>
        <w:jc w:val="center"/>
        <w:rPr>
          <w:rFonts w:ascii="Times New Roman" w:hAnsi="Times New Roman"/>
          <w:sz w:val="20"/>
          <w:lang w:val="pt-BR"/>
        </w:rPr>
      </w:pPr>
      <w:r w:rsidRPr="00D65A20">
        <w:rPr>
          <w:rFonts w:ascii="Times New Roman" w:hAnsi="Times New Roman"/>
          <w:sz w:val="20"/>
          <w:lang w:val="pt-BR"/>
        </w:rPr>
        <w:lastRenderedPageBreak/>
        <w:t>NOTA</w:t>
      </w:r>
      <w:r w:rsidR="00523713" w:rsidRPr="00D65A20">
        <w:rPr>
          <w:rFonts w:ascii="Times New Roman" w:hAnsi="Times New Roman"/>
          <w:sz w:val="20"/>
          <w:lang w:val="pt-BR"/>
        </w:rPr>
        <w:t>S</w:t>
      </w:r>
      <w:r w:rsidRPr="00D65A20">
        <w:rPr>
          <w:rFonts w:ascii="Times New Roman" w:hAnsi="Times New Roman"/>
          <w:sz w:val="20"/>
          <w:lang w:val="pt-BR"/>
        </w:rPr>
        <w:t xml:space="preserve"> DE RODAPÉ</w:t>
      </w:r>
    </w:p>
    <w:p w14:paraId="6E8343AD" w14:textId="77777777" w:rsidR="00144F9C" w:rsidRPr="00D65A20" w:rsidRDefault="00144F9C" w:rsidP="00AA4399">
      <w:pPr>
        <w:widowControl/>
        <w:rPr>
          <w:rFonts w:ascii="Times New Roman" w:hAnsi="Times New Roman"/>
          <w:bCs/>
          <w:sz w:val="20"/>
          <w:lang w:val="pt-BR"/>
        </w:rPr>
      </w:pPr>
    </w:p>
    <w:p w14:paraId="6E8343AE" w14:textId="77777777" w:rsidR="00144F9C" w:rsidRPr="00D65A20" w:rsidRDefault="00144F9C" w:rsidP="00AA4399">
      <w:pPr>
        <w:widowControl/>
        <w:rPr>
          <w:rFonts w:ascii="Times New Roman" w:hAnsi="Times New Roman"/>
          <w:bCs/>
          <w:sz w:val="20"/>
          <w:lang w:val="pt-BR"/>
        </w:rPr>
      </w:pPr>
    </w:p>
    <w:p w14:paraId="6E8343AF" w14:textId="77777777" w:rsidR="00112B3A" w:rsidRPr="00D65A20" w:rsidRDefault="00144F9C" w:rsidP="00112B3A">
      <w:pPr>
        <w:widowControl/>
        <w:ind w:firstLine="720"/>
        <w:rPr>
          <w:rFonts w:ascii="Times New Roman" w:hAnsi="Times New Roman"/>
          <w:sz w:val="20"/>
          <w:lang w:val="pt-BR"/>
        </w:rPr>
      </w:pPr>
      <w:r w:rsidRPr="00D65A20">
        <w:rPr>
          <w:rFonts w:ascii="Times New Roman" w:hAnsi="Times New Roman"/>
          <w:sz w:val="20"/>
          <w:lang w:val="pt-BR"/>
        </w:rPr>
        <w:t>1.</w:t>
      </w:r>
      <w:r w:rsidRPr="00D65A20">
        <w:rPr>
          <w:rFonts w:ascii="Times New Roman" w:hAnsi="Times New Roman"/>
          <w:sz w:val="20"/>
          <w:lang w:val="pt-BR"/>
        </w:rPr>
        <w:tab/>
        <w:t>(...)</w:t>
      </w:r>
      <w:r w:rsidR="00112B3A" w:rsidRPr="00D65A20">
        <w:rPr>
          <w:rFonts w:ascii="Times New Roman" w:hAnsi="Times New Roman"/>
          <w:sz w:val="20"/>
          <w:lang w:val="pt-BR"/>
        </w:rPr>
        <w:t xml:space="preserve">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6E8343B0" w14:textId="77777777" w:rsidR="00112B3A" w:rsidRPr="00D65A20" w:rsidRDefault="00112B3A" w:rsidP="00112B3A">
      <w:pPr>
        <w:widowControl/>
        <w:rPr>
          <w:rFonts w:ascii="Times New Roman" w:hAnsi="Times New Roman"/>
          <w:sz w:val="20"/>
          <w:lang w:val="pt-BR"/>
        </w:rPr>
      </w:pPr>
    </w:p>
    <w:p w14:paraId="6E8343B1" w14:textId="77777777" w:rsidR="00112B3A" w:rsidRPr="00D65A20" w:rsidRDefault="00112B3A" w:rsidP="00112B3A">
      <w:pPr>
        <w:widowControl/>
        <w:ind w:firstLine="720"/>
        <w:rPr>
          <w:rFonts w:ascii="Times New Roman" w:hAnsi="Times New Roman"/>
          <w:sz w:val="20"/>
          <w:lang w:val="pt-BR"/>
        </w:rPr>
      </w:pPr>
      <w:r w:rsidRPr="00D65A20">
        <w:rPr>
          <w:rFonts w:ascii="Times New Roman" w:hAnsi="Times New Roman"/>
          <w:sz w:val="20"/>
          <w:lang w:val="pt-BR"/>
        </w:rPr>
        <w:t xml:space="preserve">Antígua e Barbuda não apoiou a resolução CP/RES. 1124 (2217/19), de 9 de abril de 2019, cuja intenção era nomear o Senhor Gustavo Tarre como Representante da Assembleia Nacional junto à OEA, e não aceitou as credenciais das autoridades que pretendiam representar a República Bolivariana da Venezuela no Quadragésimo Nono e no Quinquagésimo Períodos Ordinários de Sessões da Assembleia Geral. </w:t>
      </w:r>
    </w:p>
    <w:p w14:paraId="6E8343B2" w14:textId="77777777" w:rsidR="00112B3A" w:rsidRPr="00D65A20" w:rsidRDefault="00112B3A" w:rsidP="00112B3A">
      <w:pPr>
        <w:widowControl/>
        <w:rPr>
          <w:rFonts w:ascii="Times New Roman" w:hAnsi="Times New Roman"/>
          <w:sz w:val="20"/>
          <w:lang w:val="pt-BR"/>
        </w:rPr>
      </w:pPr>
    </w:p>
    <w:p w14:paraId="6E8343B7" w14:textId="2BEBF984" w:rsidR="00144F9C" w:rsidRPr="00D65A20" w:rsidRDefault="00112B3A" w:rsidP="00112B3A">
      <w:pPr>
        <w:widowControl/>
        <w:ind w:firstLine="720"/>
        <w:rPr>
          <w:rFonts w:ascii="Times New Roman" w:hAnsi="Times New Roman"/>
          <w:sz w:val="20"/>
          <w:lang w:val="pt-BR"/>
        </w:rPr>
      </w:pPr>
      <w:r w:rsidRPr="00D65A20">
        <w:rPr>
          <w:rFonts w:ascii="Times New Roman" w:hAnsi="Times New Roman"/>
          <w:sz w:val="20"/>
          <w:lang w:val="pt-BR"/>
        </w:rPr>
        <w:t>Desse modo, Antígua e Barbuda informa a todos os Estados membros e à Secretaria-Geral da Organização dos Estados Americanos que, até novo aviso, assim como fez no Quadragésimo Nono Período Ordinário de Sessões da Assembleia Geral, não se considerará vinculado a nenhuma declaração ou resolução emanada do Quinquagésimo Período Ordinário de Sessões da Assembleia Geral, nem a quaisquer futuras declarações ou resoluções de qualquer Conselho ou órgão da Organização que incluam a participação de qualquer pessoa ou entidade pretensamente falando pela República Bolivariana da Venezuela ou agindo em seu nome, e nas quais se alcancem 18 votos com a participação de um pretenso representante da República Bolivariana da Venezuela</w:t>
      </w:r>
      <w:r w:rsidR="00144F9C" w:rsidRPr="00D65A20">
        <w:rPr>
          <w:rFonts w:ascii="Times New Roman" w:hAnsi="Times New Roman"/>
          <w:sz w:val="20"/>
          <w:lang w:val="pt-BR"/>
        </w:rPr>
        <w:t>.</w:t>
      </w:r>
    </w:p>
    <w:p w14:paraId="6E8343B8" w14:textId="77777777" w:rsidR="000A6A85" w:rsidRPr="00D65A20" w:rsidRDefault="000A6A85"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0"/>
        <w:rPr>
          <w:rStyle w:val="FootnoteReference"/>
          <w:rFonts w:ascii="Times New Roman" w:hAnsi="Times New Roman"/>
          <w:sz w:val="20"/>
          <w:lang w:val="pt-BR"/>
        </w:rPr>
      </w:pPr>
    </w:p>
    <w:p w14:paraId="6E8343BA" w14:textId="775A7F14" w:rsidR="00440A50" w:rsidRPr="00D65A20" w:rsidRDefault="00440A50" w:rsidP="00440A50">
      <w:pPr>
        <w:rPr>
          <w:rStyle w:val="FootnoteReference"/>
          <w:rFonts w:ascii="Times New Roman" w:hAnsi="Times New Roman"/>
          <w:sz w:val="20"/>
          <w:lang w:val="pt-BR"/>
        </w:rPr>
      </w:pPr>
      <w:r w:rsidRPr="00D65A20">
        <w:rPr>
          <w:rFonts w:ascii="Times New Roman" w:hAnsi="Times New Roman"/>
          <w:sz w:val="20"/>
          <w:lang w:val="pt-BR"/>
        </w:rPr>
        <w:tab/>
        <w:t xml:space="preserve">2. </w:t>
      </w:r>
      <w:r w:rsidR="006D2791">
        <w:rPr>
          <w:rFonts w:ascii="Times New Roman" w:hAnsi="Times New Roman"/>
          <w:sz w:val="20"/>
          <w:lang w:val="pt-BR"/>
        </w:rPr>
        <w:tab/>
      </w:r>
      <w:r w:rsidRPr="00D65A20">
        <w:rPr>
          <w:rFonts w:ascii="Times New Roman" w:hAnsi="Times New Roman"/>
          <w:sz w:val="20"/>
          <w:lang w:val="pt-BR"/>
        </w:rPr>
        <w:t>(...) Quinquagésimo Período Ordinário de Sessões da Assembleia Geral.</w:t>
      </w:r>
    </w:p>
    <w:p w14:paraId="6E8343BB" w14:textId="77777777" w:rsidR="00440A50" w:rsidRPr="00D65A20" w:rsidRDefault="00440A50" w:rsidP="00AA4399">
      <w:pPr>
        <w:widowControl/>
        <w:rPr>
          <w:rFonts w:ascii="Times New Roman" w:hAnsi="Times New Roman"/>
          <w:lang w:val="pt-BR"/>
        </w:rPr>
        <w:sectPr w:rsidR="00440A50" w:rsidRPr="00D65A20" w:rsidSect="0037138D">
          <w:footerReference w:type="default" r:id="rId38"/>
          <w:headerReference w:type="first" r:id="rId39"/>
          <w:footnotePr>
            <w:numRestart w:val="eachSect"/>
          </w:footnotePr>
          <w:endnotePr>
            <w:numFmt w:val="decimal"/>
          </w:endnotePr>
          <w:type w:val="oddPage"/>
          <w:pgSz w:w="12240" w:h="15840"/>
          <w:pgMar w:top="2160" w:right="1570" w:bottom="1296" w:left="1699" w:header="1296" w:footer="1296" w:gutter="0"/>
          <w:pgNumType w:fmt="numberInDash"/>
          <w:cols w:space="720"/>
          <w:noEndnote/>
          <w:titlePg/>
        </w:sectPr>
      </w:pPr>
    </w:p>
    <w:p w14:paraId="6E8343BC" w14:textId="77777777" w:rsidR="00A544BF" w:rsidRPr="00D65A20" w:rsidRDefault="00AF3C43" w:rsidP="00AA4399">
      <w:pPr>
        <w:pStyle w:val="Heading1"/>
        <w:rPr>
          <w:rStyle w:val="Heading1Char"/>
          <w:rFonts w:eastAsia="Calibri"/>
          <w:lang w:val="pt-BR"/>
        </w:rPr>
      </w:pPr>
      <w:bookmarkStart w:id="51" w:name="_Toc56526471"/>
      <w:bookmarkStart w:id="52" w:name="_Toc56526681"/>
      <w:r w:rsidRPr="00D65A20">
        <w:rPr>
          <w:rStyle w:val="Heading1Char"/>
          <w:rFonts w:eastAsia="Calibri"/>
          <w:lang w:val="pt-BR"/>
        </w:rPr>
        <w:lastRenderedPageBreak/>
        <w:t>AG/RES. 2954 (L-O/20)</w:t>
      </w:r>
      <w:bookmarkEnd w:id="51"/>
      <w:bookmarkEnd w:id="52"/>
    </w:p>
    <w:p w14:paraId="6E8343BD" w14:textId="77777777" w:rsidR="00A544BF" w:rsidRPr="00D65A20" w:rsidRDefault="00A544BF" w:rsidP="00AA4399">
      <w:pPr>
        <w:pStyle w:val="Heading1"/>
        <w:rPr>
          <w:rStyle w:val="Heading1Char"/>
          <w:rFonts w:eastAsia="Calibri"/>
          <w:lang w:val="pt-BR"/>
        </w:rPr>
      </w:pPr>
    </w:p>
    <w:p w14:paraId="6E8343BE" w14:textId="723175BB" w:rsidR="000F1736" w:rsidRPr="00D65A20" w:rsidRDefault="001C5A63" w:rsidP="00AA4399">
      <w:pPr>
        <w:pStyle w:val="Heading1"/>
        <w:rPr>
          <w:bCs w:val="0"/>
          <w:szCs w:val="20"/>
          <w:lang w:val="pt-BR" w:eastAsia="en-US"/>
        </w:rPr>
      </w:pPr>
      <w:bookmarkStart w:id="53" w:name="_Toc56526472"/>
      <w:bookmarkStart w:id="54" w:name="_Toc56526682"/>
      <w:r w:rsidRPr="00D65A20">
        <w:rPr>
          <w:bCs w:val="0"/>
          <w:szCs w:val="20"/>
          <w:lang w:val="pt-BR" w:eastAsia="en-US"/>
        </w:rPr>
        <w:t xml:space="preserve">RUMO A </w:t>
      </w:r>
      <w:r w:rsidR="000F1736" w:rsidRPr="00D65A20">
        <w:rPr>
          <w:bCs w:val="0"/>
          <w:szCs w:val="20"/>
          <w:lang w:val="pt-BR" w:eastAsia="en-US"/>
        </w:rPr>
        <w:t>UMA CARTA EMPRESARIAL INTERAMERICANA</w:t>
      </w:r>
      <w:r w:rsidR="000F1736" w:rsidRPr="00D65A20">
        <w:rPr>
          <w:bCs w:val="0"/>
          <w:szCs w:val="20"/>
          <w:vertAlign w:val="superscript"/>
          <w:lang w:val="pt-BR" w:eastAsia="en-US"/>
        </w:rPr>
        <w:footnoteReference w:id="38"/>
      </w:r>
      <w:r w:rsidR="000F1736" w:rsidRPr="00D65A20">
        <w:rPr>
          <w:bCs w:val="0"/>
          <w:szCs w:val="20"/>
          <w:vertAlign w:val="superscript"/>
          <w:lang w:val="pt-BR" w:eastAsia="en-US"/>
        </w:rPr>
        <w:t>/</w:t>
      </w:r>
      <w:r w:rsidR="000F1736" w:rsidRPr="00D65A20">
        <w:rPr>
          <w:bCs w:val="0"/>
          <w:szCs w:val="20"/>
          <w:vertAlign w:val="superscript"/>
          <w:lang w:val="pt-BR" w:eastAsia="en-US"/>
        </w:rPr>
        <w:footnoteReference w:id="39"/>
      </w:r>
      <w:r w:rsidR="000F1736" w:rsidRPr="00D65A20">
        <w:rPr>
          <w:bCs w:val="0"/>
          <w:szCs w:val="20"/>
          <w:lang w:val="pt-BR" w:eastAsia="en-US"/>
        </w:rPr>
        <w:t>/</w:t>
      </w:r>
      <w:bookmarkEnd w:id="53"/>
      <w:bookmarkEnd w:id="54"/>
      <w:r w:rsidR="00714959" w:rsidRPr="00D65A20">
        <w:rPr>
          <w:rStyle w:val="FootnoteReference"/>
          <w:u w:val="single"/>
          <w:vertAlign w:val="superscript"/>
          <w:lang w:val="pt-BR"/>
        </w:rPr>
        <w:footnoteReference w:id="40"/>
      </w:r>
      <w:r w:rsidR="00714959" w:rsidRPr="00D65A20">
        <w:rPr>
          <w:vertAlign w:val="superscript"/>
          <w:lang w:val="pt-BR"/>
        </w:rPr>
        <w:t>/</w:t>
      </w:r>
    </w:p>
    <w:p w14:paraId="6E8343BF" w14:textId="77777777" w:rsidR="000F1736" w:rsidRPr="00D65A20" w:rsidRDefault="000F1736" w:rsidP="00AA4399">
      <w:pPr>
        <w:pStyle w:val="Heading1"/>
        <w:jc w:val="both"/>
        <w:rPr>
          <w:lang w:val="pt-BR"/>
        </w:rPr>
      </w:pPr>
    </w:p>
    <w:p w14:paraId="6E8343C0" w14:textId="77777777" w:rsidR="000F1736" w:rsidRPr="00D65A20" w:rsidRDefault="000F1736" w:rsidP="00AA4399">
      <w:pPr>
        <w:widowControl/>
        <w:jc w:val="center"/>
        <w:rPr>
          <w:rFonts w:ascii="Times New Roman" w:hAnsi="Times New Roman"/>
          <w:color w:val="000000"/>
          <w:szCs w:val="22"/>
          <w:lang w:val="pt-BR"/>
        </w:rPr>
      </w:pPr>
      <w:r w:rsidRPr="00D65A20">
        <w:rPr>
          <w:rFonts w:ascii="Times New Roman" w:hAnsi="Times New Roman"/>
          <w:color w:val="000000"/>
          <w:szCs w:val="22"/>
          <w:lang w:val="pt-BR"/>
        </w:rPr>
        <w:t>(</w:t>
      </w:r>
      <w:r w:rsidRPr="00D65A20">
        <w:rPr>
          <w:rFonts w:ascii="Times New Roman" w:hAnsi="Times New Roman"/>
          <w:szCs w:val="22"/>
          <w:lang w:val="pt-BR"/>
        </w:rPr>
        <w:t>Aprovada na primeira sessão plenária, realizada em 20 de outubro de 2020</w:t>
      </w:r>
      <w:r w:rsidRPr="00D65A20">
        <w:rPr>
          <w:rFonts w:ascii="Times New Roman" w:hAnsi="Times New Roman"/>
          <w:color w:val="000000"/>
          <w:szCs w:val="22"/>
          <w:lang w:val="pt-BR"/>
        </w:rPr>
        <w:t>)</w:t>
      </w:r>
    </w:p>
    <w:p w14:paraId="6E8343C1" w14:textId="77777777" w:rsidR="000F1736" w:rsidRPr="00D65A20" w:rsidRDefault="000F1736" w:rsidP="00AA4399">
      <w:pPr>
        <w:widowControl/>
        <w:rPr>
          <w:rFonts w:ascii="Times New Roman" w:hAnsi="Times New Roman"/>
          <w:color w:val="000000"/>
          <w:szCs w:val="22"/>
          <w:lang w:val="pt-BR"/>
        </w:rPr>
      </w:pPr>
    </w:p>
    <w:p w14:paraId="6E8343C2" w14:textId="77777777" w:rsidR="000F1736" w:rsidRPr="00D65A20" w:rsidRDefault="000F1736" w:rsidP="00AA4399">
      <w:pPr>
        <w:widowControl/>
        <w:rPr>
          <w:rFonts w:ascii="Times New Roman" w:hAnsi="Times New Roman"/>
          <w:color w:val="000000"/>
          <w:szCs w:val="22"/>
          <w:lang w:val="pt-BR"/>
        </w:rPr>
      </w:pPr>
    </w:p>
    <w:p w14:paraId="6E8343C3" w14:textId="77777777" w:rsidR="000F1736" w:rsidRPr="00D65A20" w:rsidRDefault="000F1736" w:rsidP="00AA4399">
      <w:pPr>
        <w:widowControl/>
        <w:rPr>
          <w:rFonts w:ascii="Times New Roman" w:hAnsi="Times New Roman"/>
          <w:color w:val="000000"/>
          <w:szCs w:val="22"/>
          <w:lang w:val="pt-BR"/>
        </w:rPr>
      </w:pPr>
      <w:r w:rsidRPr="00D65A20">
        <w:rPr>
          <w:rFonts w:ascii="Times New Roman" w:hAnsi="Times New Roman"/>
          <w:color w:val="000000"/>
          <w:szCs w:val="22"/>
          <w:lang w:val="pt-BR"/>
        </w:rPr>
        <w:tab/>
        <w:t>A ASSEMBLEIA GERAL,</w:t>
      </w:r>
    </w:p>
    <w:p w14:paraId="6E8343C4" w14:textId="77777777" w:rsidR="000F1736" w:rsidRPr="00D65A20" w:rsidRDefault="000F1736" w:rsidP="00AA4399">
      <w:pPr>
        <w:widowControl/>
        <w:rPr>
          <w:rFonts w:ascii="Times New Roman" w:hAnsi="Times New Roman"/>
          <w:color w:val="000000"/>
          <w:szCs w:val="22"/>
          <w:lang w:val="pt-BR"/>
        </w:rPr>
      </w:pPr>
    </w:p>
    <w:p w14:paraId="6E8343C5" w14:textId="77777777" w:rsidR="000F1736" w:rsidRPr="00D65A20" w:rsidRDefault="000F1736" w:rsidP="00AA4399">
      <w:pPr>
        <w:widowControl/>
        <w:rPr>
          <w:rFonts w:ascii="Times New Roman" w:eastAsia="Calibri" w:hAnsi="Times New Roman"/>
          <w:szCs w:val="22"/>
          <w:shd w:val="clear" w:color="auto" w:fill="FFFFFF"/>
          <w:lang w:val="pt-BR"/>
        </w:rPr>
      </w:pPr>
      <w:r w:rsidRPr="00D65A20">
        <w:rPr>
          <w:rFonts w:ascii="Times New Roman" w:hAnsi="Times New Roman"/>
          <w:color w:val="000000"/>
          <w:szCs w:val="22"/>
          <w:lang w:val="pt-BR"/>
        </w:rPr>
        <w:tab/>
        <w:t>CONSIDERANDO que a Carta da Organização dos Estados Americanos salienta que o desenvolvimento integral abrange os campos econômico, social, educacional, cultural, científico e tecnológico, por meio dos quais devem</w:t>
      </w:r>
      <w:r w:rsidRPr="00D65A20">
        <w:rPr>
          <w:rFonts w:ascii="Times New Roman" w:hAnsi="Times New Roman"/>
          <w:szCs w:val="22"/>
          <w:shd w:val="clear" w:color="auto" w:fill="FFFFFF"/>
          <w:lang w:val="pt-BR"/>
        </w:rPr>
        <w:t xml:space="preserve"> ser cumpridas as metas que cada país defina para alcançá-lo;</w:t>
      </w:r>
    </w:p>
    <w:p w14:paraId="6E8343C6" w14:textId="77777777" w:rsidR="000F1736" w:rsidRPr="00D65A20" w:rsidRDefault="000F1736" w:rsidP="00AA4399">
      <w:pPr>
        <w:widowControl/>
        <w:rPr>
          <w:rFonts w:ascii="Times New Roman" w:hAnsi="Times New Roman"/>
          <w:szCs w:val="22"/>
          <w:shd w:val="clear" w:color="auto" w:fill="FFFFFF"/>
          <w:lang w:val="pt-BR"/>
        </w:rPr>
      </w:pPr>
    </w:p>
    <w:p w14:paraId="6E8343C7" w14:textId="77777777" w:rsidR="000F1736" w:rsidRPr="00D65A20" w:rsidRDefault="000F1736" w:rsidP="00AA4399">
      <w:pPr>
        <w:widowControl/>
        <w:rPr>
          <w:rFonts w:ascii="Times New Roman" w:hAnsi="Times New Roman"/>
          <w:bCs/>
          <w:i/>
          <w:iCs/>
          <w:szCs w:val="22"/>
          <w:lang w:val="pt-BR"/>
        </w:rPr>
      </w:pPr>
      <w:r w:rsidRPr="00D65A20">
        <w:rPr>
          <w:rFonts w:ascii="Times New Roman" w:hAnsi="Times New Roman"/>
          <w:color w:val="000000"/>
          <w:szCs w:val="22"/>
          <w:lang w:val="pt-BR"/>
        </w:rPr>
        <w:tab/>
        <w:t>RECORDANDO que a Carta Social das Américas reconhece que o setor empresarial desempenha um papel fundamental na criação de emprego, na expansão de oportunidades e na contribuição para a redução da pobreza, e que as políticas públicas e as estruturas normativas devem facilitar a criação de novas empresas e a incorporação do setor informal à economia formal,</w:t>
      </w:r>
      <w:r w:rsidRPr="00D65A20">
        <w:rPr>
          <w:rFonts w:ascii="Times New Roman" w:hAnsi="Times New Roman"/>
          <w:color w:val="FF0000"/>
          <w:szCs w:val="22"/>
          <w:lang w:val="pt-BR"/>
        </w:rPr>
        <w:t xml:space="preserve"> </w:t>
      </w:r>
      <w:r w:rsidRPr="00D65A20">
        <w:rPr>
          <w:rFonts w:ascii="Times New Roman" w:hAnsi="Times New Roman"/>
          <w:color w:val="000000"/>
          <w:szCs w:val="22"/>
          <w:lang w:val="pt-BR"/>
        </w:rPr>
        <w:t xml:space="preserve">incluindo as mulheres empreendedoras e </w:t>
      </w:r>
      <w:r w:rsidRPr="00D65A20">
        <w:rPr>
          <w:rFonts w:ascii="Times New Roman" w:hAnsi="Times New Roman"/>
          <w:szCs w:val="22"/>
          <w:lang w:val="pt-BR"/>
        </w:rPr>
        <w:t>jovens, as pessoas com deficiência e outros grupos excluídos</w:t>
      </w:r>
      <w:r w:rsidRPr="00D65A20">
        <w:rPr>
          <w:rFonts w:ascii="Times New Roman" w:hAnsi="Times New Roman"/>
          <w:bCs/>
          <w:i/>
          <w:iCs/>
          <w:szCs w:val="22"/>
          <w:lang w:val="pt-BR"/>
        </w:rPr>
        <w:t>;</w:t>
      </w:r>
    </w:p>
    <w:p w14:paraId="6E8343C8" w14:textId="77777777" w:rsidR="000F1736" w:rsidRPr="00D65A20" w:rsidRDefault="000F1736" w:rsidP="00AA4399">
      <w:pPr>
        <w:widowControl/>
        <w:rPr>
          <w:rFonts w:ascii="Times New Roman" w:hAnsi="Times New Roman"/>
          <w:bCs/>
          <w:i/>
          <w:iCs/>
          <w:szCs w:val="22"/>
          <w:lang w:val="pt-BR"/>
        </w:rPr>
      </w:pPr>
    </w:p>
    <w:p w14:paraId="6E8343C9" w14:textId="77777777" w:rsidR="000F1736" w:rsidRPr="00D65A20" w:rsidRDefault="000F1736" w:rsidP="00AA4399">
      <w:pPr>
        <w:widowControl/>
        <w:rPr>
          <w:rFonts w:ascii="Times New Roman" w:eastAsia="Arial" w:hAnsi="Times New Roman"/>
          <w:szCs w:val="22"/>
          <w:lang w:val="pt-BR"/>
        </w:rPr>
      </w:pPr>
      <w:r w:rsidRPr="00D65A20">
        <w:rPr>
          <w:rFonts w:ascii="Times New Roman" w:eastAsia="Arial" w:hAnsi="Times New Roman"/>
          <w:szCs w:val="22"/>
          <w:lang w:val="pt-BR"/>
        </w:rPr>
        <w:tab/>
        <w:t>CONVENCIDA do papel positivo das iniciativas e atividades empresariais, ao lado do investimento, do empreendimento e da inovação privada, como propulsores que contribuem para a economia e o progresso dos Estados membros no âmbito dos Objetivos de Desenvolvimento Sustentável;</w:t>
      </w:r>
    </w:p>
    <w:p w14:paraId="6E8343CA" w14:textId="77777777" w:rsidR="000F1736" w:rsidRPr="00D65A20" w:rsidRDefault="000F1736" w:rsidP="00AA4399">
      <w:pPr>
        <w:widowControl/>
        <w:rPr>
          <w:rFonts w:ascii="Times New Roman" w:eastAsia="Arial" w:hAnsi="Times New Roman"/>
          <w:szCs w:val="22"/>
          <w:lang w:val="pt-BR"/>
        </w:rPr>
      </w:pPr>
    </w:p>
    <w:p w14:paraId="6E8343CB" w14:textId="77777777" w:rsidR="000F1736" w:rsidRPr="00D65A20" w:rsidRDefault="000F1736" w:rsidP="00AA4399">
      <w:pPr>
        <w:widowControl/>
        <w:rPr>
          <w:rFonts w:ascii="Times New Roman" w:eastAsia="Arial" w:hAnsi="Times New Roman"/>
          <w:szCs w:val="22"/>
          <w:lang w:val="pt-BR"/>
        </w:rPr>
      </w:pPr>
      <w:r w:rsidRPr="00D65A20">
        <w:rPr>
          <w:rFonts w:ascii="Times New Roman" w:eastAsia="Arial" w:hAnsi="Times New Roman"/>
          <w:szCs w:val="22"/>
          <w:lang w:val="pt-BR"/>
        </w:rPr>
        <w:tab/>
        <w:t>RECONHECENDO que a capacidade de resiliência da região a vulnerabilidades, como desastres naturais e outras perturbações externas, poderiam ser fortalecidas por meio da criação de parcerias público-privadas;</w:t>
      </w:r>
    </w:p>
    <w:p w14:paraId="6E8343CC" w14:textId="77777777" w:rsidR="000F1736" w:rsidRPr="00D65A20" w:rsidRDefault="000F1736" w:rsidP="00AA4399">
      <w:pPr>
        <w:widowControl/>
        <w:rPr>
          <w:rFonts w:ascii="Times New Roman" w:eastAsia="Arial" w:hAnsi="Times New Roman"/>
          <w:szCs w:val="22"/>
          <w:lang w:val="pt-BR"/>
        </w:rPr>
      </w:pPr>
    </w:p>
    <w:p w14:paraId="6E8343CD" w14:textId="275727FD" w:rsidR="000F1736" w:rsidRPr="00D65A20" w:rsidRDefault="000F1736"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1" w:right="-18" w:firstLine="771"/>
        <w:contextualSpacing/>
        <w:rPr>
          <w:rFonts w:ascii="Times New Roman" w:eastAsia="Calibri" w:hAnsi="Times New Roman"/>
          <w:color w:val="000000"/>
          <w:szCs w:val="22"/>
          <w:lang w:val="pt-BR"/>
        </w:rPr>
      </w:pPr>
      <w:r w:rsidRPr="00D65A20">
        <w:rPr>
          <w:rFonts w:ascii="Times New Roman" w:eastAsia="Calibri" w:hAnsi="Times New Roman"/>
          <w:color w:val="000000"/>
          <w:szCs w:val="22"/>
          <w:lang w:val="pt-BR"/>
        </w:rPr>
        <w:t>RECORDANDO a Declaração Tripartite de Princípios sobre as Empresas Multinacionais e a Política Social da Organização Internacional do Trabalho</w:t>
      </w:r>
      <w:r w:rsidR="00D13690" w:rsidRPr="00D65A20">
        <w:rPr>
          <w:rFonts w:ascii="Times New Roman" w:eastAsia="Calibri" w:hAnsi="Times New Roman"/>
          <w:color w:val="000000"/>
          <w:szCs w:val="22"/>
          <w:lang w:val="pt-BR"/>
        </w:rPr>
        <w:t>;</w:t>
      </w:r>
      <w:r w:rsidRPr="00D65A20">
        <w:rPr>
          <w:rFonts w:ascii="Times New Roman" w:eastAsia="Calibri" w:hAnsi="Times New Roman"/>
          <w:color w:val="000000"/>
          <w:szCs w:val="22"/>
          <w:lang w:val="pt-BR"/>
        </w:rPr>
        <w:t xml:space="preserve"> </w:t>
      </w:r>
    </w:p>
    <w:p w14:paraId="6E8343CE" w14:textId="77777777" w:rsidR="000F1736" w:rsidRPr="00D65A20" w:rsidRDefault="000F1736"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1" w:right="-18"/>
        <w:contextualSpacing/>
        <w:rPr>
          <w:rFonts w:ascii="Times New Roman" w:eastAsia="Calibri" w:hAnsi="Times New Roman"/>
          <w:color w:val="000000"/>
          <w:szCs w:val="22"/>
          <w:lang w:val="pt-BR"/>
        </w:rPr>
      </w:pPr>
    </w:p>
    <w:p w14:paraId="6E8343CF" w14:textId="77777777" w:rsidR="000F1736" w:rsidRPr="00D65A20" w:rsidRDefault="000F1736" w:rsidP="00AA4399">
      <w:pPr>
        <w:widowControl/>
        <w:ind w:right="-18" w:firstLine="720"/>
        <w:rPr>
          <w:rFonts w:ascii="Times New Roman" w:hAnsi="Times New Roman"/>
          <w:color w:val="000000"/>
          <w:szCs w:val="22"/>
          <w:bdr w:val="none" w:sz="0" w:space="0" w:color="auto" w:frame="1"/>
          <w:lang w:val="pt-BR"/>
        </w:rPr>
      </w:pPr>
      <w:r w:rsidRPr="00D65A20">
        <w:rPr>
          <w:rFonts w:ascii="Times New Roman" w:hAnsi="Times New Roman"/>
          <w:color w:val="000000"/>
          <w:szCs w:val="22"/>
          <w:bdr w:val="none" w:sz="0" w:space="0" w:color="auto" w:frame="1"/>
          <w:lang w:val="pt-BR"/>
        </w:rPr>
        <w:t>RESSALTANDO que a cooperação entre os Estados e todos os demais associados pertinentes, em particular o setor privado, pode contribuir para o desenvolvimento dos países, mediante a incorporação de práticas empresariais responsáveis, o respeito aos princípios do Pacto Mundial das Nações Unidas e a promoção dos Objetivos de Desenvolvimento Sustentável;</w:t>
      </w:r>
    </w:p>
    <w:p w14:paraId="6E8343D0" w14:textId="77777777" w:rsidR="000F1736" w:rsidRPr="00D65A20" w:rsidRDefault="000F1736" w:rsidP="00AA4399">
      <w:pPr>
        <w:widowControl/>
        <w:ind w:right="-18"/>
        <w:rPr>
          <w:rFonts w:ascii="Times New Roman" w:hAnsi="Times New Roman"/>
          <w:color w:val="000000"/>
          <w:szCs w:val="22"/>
          <w:lang w:val="pt-BR"/>
        </w:rPr>
      </w:pPr>
    </w:p>
    <w:p w14:paraId="6E8343D1" w14:textId="55A5CD2E" w:rsidR="000F1736" w:rsidRPr="00D65A20" w:rsidRDefault="000F1736" w:rsidP="00AA4399">
      <w:pPr>
        <w:widowControl/>
        <w:ind w:right="-18" w:firstLine="720"/>
        <w:rPr>
          <w:rFonts w:ascii="Times New Roman" w:hAnsi="Times New Roman"/>
          <w:color w:val="000000"/>
          <w:szCs w:val="22"/>
          <w:lang w:val="pt-BR"/>
        </w:rPr>
      </w:pPr>
      <w:r w:rsidRPr="00D65A20">
        <w:rPr>
          <w:rFonts w:ascii="Times New Roman" w:hAnsi="Times New Roman"/>
          <w:color w:val="000000"/>
          <w:szCs w:val="22"/>
          <w:lang w:val="pt-BR"/>
        </w:rPr>
        <w:t>RECONHECENDO, em particular, que o apoio do Conselho de Direitos Humanos, em sua resolução 17/4, aos Princípios Orientadores sobre Empresas e Direitos Humanos, das Nações Unidas, serviu para o estabelecimento de um marco autorizado para a prevenção e o enfrentamento dos efeitos adversos das atividades das empresas nos direitos humanos, com base nos três pilares do Marco das Nações Unidas para “Proteger, Respeitar e Remediar”; e</w:t>
      </w:r>
    </w:p>
    <w:p w14:paraId="6E8343D3" w14:textId="1C24CCF6" w:rsidR="000F1736" w:rsidRPr="00D65A20" w:rsidRDefault="000F1736" w:rsidP="00AA4399">
      <w:pPr>
        <w:widowControl/>
        <w:ind w:firstLine="720"/>
        <w:rPr>
          <w:rFonts w:ascii="Times New Roman" w:hAnsi="Times New Roman"/>
          <w:color w:val="000000"/>
          <w:szCs w:val="22"/>
          <w:lang w:val="pt-BR"/>
        </w:rPr>
      </w:pPr>
      <w:r w:rsidRPr="00D65A20">
        <w:rPr>
          <w:rFonts w:ascii="Times New Roman" w:hAnsi="Times New Roman"/>
          <w:szCs w:val="22"/>
          <w:lang w:val="pt-BR"/>
        </w:rPr>
        <w:lastRenderedPageBreak/>
        <w:t xml:space="preserve">RECORDANDO que, em 26 de setembro de 2019, o Presidente da Colômbia propôs a ideia de que, no âmbito da </w:t>
      </w:r>
      <w:r w:rsidR="00D506B1" w:rsidRPr="00D65A20">
        <w:rPr>
          <w:rFonts w:ascii="Times New Roman" w:hAnsi="Times New Roman"/>
          <w:szCs w:val="22"/>
          <w:lang w:val="pt-BR"/>
        </w:rPr>
        <w:t>Organização dos Estados Americanos</w:t>
      </w:r>
      <w:r w:rsidRPr="00D65A20">
        <w:rPr>
          <w:rFonts w:ascii="Times New Roman" w:hAnsi="Times New Roman"/>
          <w:szCs w:val="22"/>
          <w:lang w:val="pt-BR"/>
        </w:rPr>
        <w:t xml:space="preserve">, se disponha de uma Carta Empresarial Interamericana como ferramenta de </w:t>
      </w:r>
      <w:r w:rsidRPr="00D65A20">
        <w:rPr>
          <w:rFonts w:ascii="Times New Roman" w:hAnsi="Times New Roman"/>
          <w:color w:val="000000"/>
          <w:szCs w:val="22"/>
          <w:lang w:val="pt-BR"/>
        </w:rPr>
        <w:t>apoio aos Estados membros em seus esforços por alcançar suas metas de desenvolvimento integral, por meio do fortalecimento das iniciativas privadas para o desenvolvimento inclusivo e sustentável; a formalização do trabalho, do emprego e da educação; e a inovação empresarial, a tecnologia e as economias criativas,</w:t>
      </w:r>
    </w:p>
    <w:p w14:paraId="6E8343D4" w14:textId="77777777" w:rsidR="000F1736" w:rsidRPr="00D65A20" w:rsidRDefault="000F1736" w:rsidP="00AA4399">
      <w:pPr>
        <w:widowControl/>
        <w:rPr>
          <w:rFonts w:ascii="Times New Roman" w:hAnsi="Times New Roman"/>
          <w:szCs w:val="22"/>
          <w:lang w:val="pt-BR"/>
        </w:rPr>
      </w:pPr>
    </w:p>
    <w:p w14:paraId="6E8343D5" w14:textId="77777777" w:rsidR="000F1736" w:rsidRPr="00D65A20" w:rsidRDefault="000F1736" w:rsidP="00AA4399">
      <w:pPr>
        <w:widowControl/>
        <w:rPr>
          <w:rFonts w:ascii="Times New Roman" w:hAnsi="Times New Roman"/>
          <w:szCs w:val="22"/>
          <w:lang w:val="pt-BR"/>
        </w:rPr>
      </w:pPr>
      <w:r w:rsidRPr="00D65A20">
        <w:rPr>
          <w:rFonts w:ascii="Times New Roman" w:hAnsi="Times New Roman"/>
          <w:szCs w:val="22"/>
          <w:lang w:val="pt-BR"/>
        </w:rPr>
        <w:t>RESOLVE:</w:t>
      </w:r>
    </w:p>
    <w:p w14:paraId="6E8343D6" w14:textId="77777777" w:rsidR="000F1736" w:rsidRPr="00D65A20" w:rsidRDefault="000F1736" w:rsidP="00AA4399">
      <w:pPr>
        <w:widowControl/>
        <w:rPr>
          <w:rFonts w:ascii="Times New Roman" w:hAnsi="Times New Roman"/>
          <w:szCs w:val="22"/>
          <w:lang w:val="pt-BR"/>
        </w:rPr>
      </w:pPr>
    </w:p>
    <w:p w14:paraId="6E8343D7" w14:textId="4AD7B157" w:rsidR="000F1736" w:rsidRPr="00D65A20" w:rsidRDefault="000F1736" w:rsidP="00AA4399">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szCs w:val="22"/>
          <w:lang w:val="pt-BR"/>
        </w:rPr>
      </w:pPr>
      <w:r w:rsidRPr="00D65A20">
        <w:rPr>
          <w:rFonts w:ascii="Times New Roman" w:eastAsia="Calibri" w:hAnsi="Times New Roman"/>
          <w:szCs w:val="22"/>
          <w:lang w:val="pt-BR"/>
        </w:rPr>
        <w:t xml:space="preserve">Preparar um projeto de resolução denominado “Carta Empresarial Interamericana” </w:t>
      </w:r>
      <w:r w:rsidR="00E625FC" w:rsidRPr="00D65A20">
        <w:rPr>
          <w:rFonts w:ascii="Times New Roman" w:eastAsia="Calibri" w:hAnsi="Times New Roman"/>
          <w:szCs w:val="22"/>
          <w:lang w:val="pt-BR"/>
        </w:rPr>
        <w:t xml:space="preserve">a fim de </w:t>
      </w:r>
      <w:r w:rsidRPr="00D65A20">
        <w:rPr>
          <w:rFonts w:ascii="Times New Roman" w:eastAsia="Calibri" w:hAnsi="Times New Roman"/>
          <w:szCs w:val="22"/>
          <w:lang w:val="pt-BR"/>
        </w:rPr>
        <w:t xml:space="preserve">fortalecer os instrumentos da </w:t>
      </w:r>
      <w:r w:rsidR="00D506B1" w:rsidRPr="00D65A20">
        <w:rPr>
          <w:rFonts w:ascii="Times New Roman" w:eastAsia="Calibri" w:hAnsi="Times New Roman"/>
          <w:szCs w:val="22"/>
          <w:lang w:val="pt-BR"/>
        </w:rPr>
        <w:t xml:space="preserve">Organização dos Estados Americanos </w:t>
      </w:r>
      <w:r w:rsidRPr="00D65A20">
        <w:rPr>
          <w:rFonts w:ascii="Times New Roman" w:eastAsia="Calibri" w:hAnsi="Times New Roman"/>
          <w:szCs w:val="22"/>
          <w:lang w:val="pt-BR"/>
        </w:rPr>
        <w:t xml:space="preserve">na promoção do papel do setor privado no desenvolvimento integral do Hemisfério e utilizar a versão preliminar de texto proposto pelo </w:t>
      </w:r>
      <w:r w:rsidR="00E625FC" w:rsidRPr="00D65A20">
        <w:rPr>
          <w:rFonts w:ascii="Times New Roman" w:eastAsia="Calibri" w:hAnsi="Times New Roman"/>
          <w:szCs w:val="22"/>
          <w:lang w:val="pt-BR"/>
        </w:rPr>
        <w:t>G</w:t>
      </w:r>
      <w:r w:rsidRPr="00D65A20">
        <w:rPr>
          <w:rFonts w:ascii="Times New Roman" w:eastAsia="Calibri" w:hAnsi="Times New Roman"/>
          <w:szCs w:val="22"/>
          <w:lang w:val="pt-BR"/>
        </w:rPr>
        <w:t xml:space="preserve">overno da Colômbia, anexo a esta resolução, para iniciar as discussões, o mais rapidamente possível, tendo em mente sua aprovação no Quinquagésimo Primeiro Período Ordinário de Sessões da Assembleia Geral. </w:t>
      </w:r>
    </w:p>
    <w:p w14:paraId="6E8343D8" w14:textId="77777777" w:rsidR="000F1736" w:rsidRPr="00D65A20" w:rsidRDefault="000F1736"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lang w:val="pt-BR"/>
        </w:rPr>
      </w:pPr>
    </w:p>
    <w:p w14:paraId="6E8343D9" w14:textId="4FBB2461" w:rsidR="000F1736" w:rsidRPr="00D65A20" w:rsidRDefault="000F1736" w:rsidP="00AA4399">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pt-BR"/>
        </w:rPr>
      </w:pPr>
      <w:r w:rsidRPr="00D65A20">
        <w:rPr>
          <w:rFonts w:ascii="Times New Roman" w:hAnsi="Times New Roman"/>
          <w:color w:val="000000"/>
          <w:szCs w:val="22"/>
          <w:lang w:val="pt-BR"/>
        </w:rPr>
        <w:t xml:space="preserve">Solicitar à Secretaria-Geral que preste o apoio técnico e logístico necessário para </w:t>
      </w:r>
      <w:r w:rsidR="00E625FC" w:rsidRPr="00D65A20">
        <w:rPr>
          <w:rFonts w:ascii="Times New Roman" w:hAnsi="Times New Roman"/>
          <w:color w:val="000000"/>
          <w:szCs w:val="22"/>
          <w:lang w:val="pt-BR"/>
        </w:rPr>
        <w:t>a realização da</w:t>
      </w:r>
      <w:r w:rsidRPr="00D65A20">
        <w:rPr>
          <w:rFonts w:ascii="Times New Roman" w:hAnsi="Times New Roman"/>
          <w:color w:val="000000"/>
          <w:szCs w:val="22"/>
          <w:lang w:val="pt-BR"/>
        </w:rPr>
        <w:t xml:space="preserve">s discussões relacionadas com a proposta do </w:t>
      </w:r>
      <w:r w:rsidR="00E625FC" w:rsidRPr="00D65A20">
        <w:rPr>
          <w:rFonts w:ascii="Times New Roman" w:hAnsi="Times New Roman"/>
          <w:color w:val="000000"/>
          <w:szCs w:val="22"/>
          <w:lang w:val="pt-BR"/>
        </w:rPr>
        <w:t>G</w:t>
      </w:r>
      <w:r w:rsidRPr="00D65A20">
        <w:rPr>
          <w:rFonts w:ascii="Times New Roman" w:hAnsi="Times New Roman"/>
          <w:color w:val="000000"/>
          <w:szCs w:val="22"/>
          <w:lang w:val="pt-BR"/>
        </w:rPr>
        <w:t>overno da Colômbia.</w:t>
      </w:r>
    </w:p>
    <w:p w14:paraId="6E8343DA" w14:textId="77777777" w:rsidR="000F1736" w:rsidRPr="00D65A20" w:rsidRDefault="000F1736"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szCs w:val="22"/>
          <w:lang w:val="pt-BR"/>
        </w:rPr>
      </w:pPr>
    </w:p>
    <w:p w14:paraId="6E8343DB" w14:textId="77777777" w:rsidR="000F1736" w:rsidRPr="00D65A20" w:rsidRDefault="000F1736" w:rsidP="00AA4399">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color w:val="000000"/>
          <w:szCs w:val="22"/>
          <w:lang w:val="pt-BR"/>
        </w:rPr>
      </w:pPr>
      <w:r w:rsidRPr="00D65A20">
        <w:rPr>
          <w:rFonts w:ascii="Times New Roman" w:hAnsi="Times New Roman"/>
          <w:szCs w:val="22"/>
          <w:lang w:val="pt-BR"/>
        </w:rPr>
        <w:t xml:space="preserve">Incentivar os Estados membros a que realizem consultas internas amplas e inclusivas com as partes interessadas no contexto do processo das </w:t>
      </w:r>
      <w:r w:rsidRPr="00D65A20">
        <w:rPr>
          <w:rFonts w:ascii="Times New Roman" w:hAnsi="Times New Roman"/>
          <w:color w:val="000000"/>
          <w:szCs w:val="22"/>
          <w:lang w:val="pt-BR"/>
        </w:rPr>
        <w:t>discussões.</w:t>
      </w:r>
    </w:p>
    <w:p w14:paraId="1F1C89A7" w14:textId="77777777" w:rsidR="006D2791" w:rsidRDefault="006D2791" w:rsidP="00883231">
      <w:pPr>
        <w:widowControl/>
        <w:jc w:val="right"/>
        <w:rPr>
          <w:rFonts w:ascii="Times New Roman" w:hAnsi="Times New Roman"/>
          <w:color w:val="000000"/>
          <w:szCs w:val="22"/>
          <w:lang w:val="pt-BR"/>
        </w:rPr>
      </w:pPr>
    </w:p>
    <w:p w14:paraId="6CD7CECA" w14:textId="77777777" w:rsidR="006D2791" w:rsidRDefault="006D2791" w:rsidP="00883231">
      <w:pPr>
        <w:widowControl/>
        <w:jc w:val="right"/>
        <w:rPr>
          <w:rFonts w:ascii="Times New Roman" w:hAnsi="Times New Roman"/>
          <w:color w:val="000000"/>
          <w:szCs w:val="22"/>
          <w:lang w:val="pt-BR"/>
        </w:rPr>
      </w:pPr>
    </w:p>
    <w:p w14:paraId="5CB0989B" w14:textId="77777777" w:rsidR="006D2791" w:rsidRDefault="006D2791" w:rsidP="00883231">
      <w:pPr>
        <w:widowControl/>
        <w:jc w:val="right"/>
        <w:rPr>
          <w:rFonts w:ascii="Times New Roman" w:hAnsi="Times New Roman"/>
          <w:color w:val="000000"/>
          <w:szCs w:val="22"/>
          <w:lang w:val="pt-BR"/>
        </w:rPr>
        <w:sectPr w:rsidR="006D2791" w:rsidSect="0037138D">
          <w:footerReference w:type="default" r:id="rId40"/>
          <w:footnotePr>
            <w:numRestart w:val="eachSect"/>
          </w:footnotePr>
          <w:endnotePr>
            <w:numFmt w:val="decimal"/>
          </w:endnotePr>
          <w:type w:val="oddPage"/>
          <w:pgSz w:w="12240" w:h="15840"/>
          <w:pgMar w:top="2160" w:right="1570" w:bottom="1296" w:left="1699" w:header="1296" w:footer="1296" w:gutter="0"/>
          <w:pgNumType w:fmt="numberInDash"/>
          <w:cols w:space="720"/>
          <w:noEndnote/>
          <w:titlePg/>
        </w:sectPr>
      </w:pPr>
    </w:p>
    <w:p w14:paraId="6E8343DC" w14:textId="2E250153" w:rsidR="00D506B1" w:rsidRPr="00D65A20" w:rsidRDefault="00D506B1" w:rsidP="00883231">
      <w:pPr>
        <w:widowControl/>
        <w:jc w:val="right"/>
        <w:rPr>
          <w:rFonts w:ascii="Times New Roman" w:hAnsi="Times New Roman"/>
          <w:color w:val="000000"/>
          <w:szCs w:val="22"/>
          <w:lang w:val="pt-BR"/>
        </w:rPr>
      </w:pPr>
      <w:r w:rsidRPr="00D65A20">
        <w:rPr>
          <w:rFonts w:ascii="Times New Roman" w:hAnsi="Times New Roman"/>
          <w:color w:val="000000"/>
          <w:szCs w:val="22"/>
          <w:lang w:val="pt-BR"/>
        </w:rPr>
        <w:lastRenderedPageBreak/>
        <w:t>ANEXO</w:t>
      </w:r>
    </w:p>
    <w:p w14:paraId="6E8343DD" w14:textId="77777777" w:rsidR="00D506B1" w:rsidRPr="00D65A20" w:rsidRDefault="00D506B1" w:rsidP="00AA4399">
      <w:pPr>
        <w:widowControl/>
        <w:jc w:val="center"/>
        <w:rPr>
          <w:rFonts w:ascii="Times New Roman" w:hAnsi="Times New Roman"/>
          <w:color w:val="000000"/>
          <w:szCs w:val="22"/>
          <w:lang w:val="pt-BR"/>
        </w:rPr>
      </w:pPr>
    </w:p>
    <w:p w14:paraId="6E8343DE" w14:textId="77777777" w:rsidR="000F1736" w:rsidRPr="00D65A20" w:rsidRDefault="000F1736" w:rsidP="00AA4399">
      <w:pPr>
        <w:widowControl/>
        <w:jc w:val="center"/>
        <w:rPr>
          <w:rFonts w:ascii="Times New Roman" w:hAnsi="Times New Roman"/>
          <w:bCs/>
          <w:color w:val="000000"/>
          <w:szCs w:val="22"/>
          <w:lang w:val="pt-BR"/>
        </w:rPr>
      </w:pPr>
      <w:r w:rsidRPr="00D65A20">
        <w:rPr>
          <w:rFonts w:ascii="Times New Roman" w:hAnsi="Times New Roman"/>
          <w:bCs/>
          <w:color w:val="000000"/>
          <w:szCs w:val="22"/>
          <w:lang w:val="pt-BR"/>
        </w:rPr>
        <w:t>CARTA EMPRESARIAL INTERAMERICANA</w:t>
      </w:r>
    </w:p>
    <w:p w14:paraId="6E8343DF" w14:textId="77777777" w:rsidR="000F1736" w:rsidRPr="00D65A20" w:rsidRDefault="000F1736" w:rsidP="00AA4399">
      <w:pPr>
        <w:widowControl/>
        <w:rPr>
          <w:rFonts w:ascii="Times New Roman" w:hAnsi="Times New Roman"/>
          <w:bCs/>
          <w:color w:val="000000"/>
          <w:szCs w:val="22"/>
          <w:lang w:val="pt-BR"/>
        </w:rPr>
      </w:pPr>
    </w:p>
    <w:p w14:paraId="6E8343E0" w14:textId="77777777" w:rsidR="000F1736" w:rsidRPr="00D65A20" w:rsidRDefault="000F1736" w:rsidP="00AA4399">
      <w:pPr>
        <w:widowControl/>
        <w:rPr>
          <w:rFonts w:ascii="Times New Roman" w:hAnsi="Times New Roman"/>
          <w:bCs/>
          <w:color w:val="000000"/>
          <w:szCs w:val="22"/>
          <w:lang w:val="pt-BR"/>
        </w:rPr>
      </w:pPr>
    </w:p>
    <w:p w14:paraId="6E8343E1" w14:textId="77777777" w:rsidR="000F1736" w:rsidRPr="00D65A20" w:rsidRDefault="000F1736" w:rsidP="00AA4399">
      <w:pPr>
        <w:widowControl/>
        <w:rPr>
          <w:rFonts w:ascii="Times New Roman" w:hAnsi="Times New Roman"/>
          <w:bCs/>
          <w:color w:val="000000"/>
          <w:szCs w:val="22"/>
          <w:lang w:val="pt-BR"/>
        </w:rPr>
      </w:pPr>
      <w:r w:rsidRPr="00D65A20">
        <w:rPr>
          <w:rFonts w:ascii="Times New Roman" w:hAnsi="Times New Roman"/>
          <w:bCs/>
          <w:color w:val="000000"/>
          <w:szCs w:val="22"/>
          <w:lang w:val="pt-BR"/>
        </w:rPr>
        <w:tab/>
        <w:t>A ASSEMBLEIA GERAL,</w:t>
      </w:r>
    </w:p>
    <w:p w14:paraId="6E8343E2" w14:textId="77777777" w:rsidR="000F1736" w:rsidRPr="00D65A20" w:rsidRDefault="000F1736" w:rsidP="00AA4399">
      <w:pPr>
        <w:widowControl/>
        <w:rPr>
          <w:rFonts w:ascii="Times New Roman" w:hAnsi="Times New Roman"/>
          <w:bCs/>
          <w:color w:val="000000"/>
          <w:szCs w:val="22"/>
          <w:lang w:val="pt-BR"/>
        </w:rPr>
      </w:pPr>
    </w:p>
    <w:p w14:paraId="6E8343E3" w14:textId="77777777" w:rsidR="000F1736" w:rsidRPr="00D65A20" w:rsidRDefault="000F1736" w:rsidP="00AA4399">
      <w:pPr>
        <w:widowControl/>
        <w:rPr>
          <w:rFonts w:ascii="Times New Roman" w:hAnsi="Times New Roman"/>
          <w:bCs/>
          <w:color w:val="000000"/>
          <w:szCs w:val="22"/>
          <w:lang w:val="pt-BR"/>
        </w:rPr>
      </w:pPr>
      <w:r w:rsidRPr="00D65A20">
        <w:rPr>
          <w:rFonts w:ascii="Times New Roman" w:hAnsi="Times New Roman"/>
          <w:bCs/>
          <w:color w:val="000000"/>
          <w:szCs w:val="22"/>
          <w:lang w:val="pt-BR"/>
        </w:rPr>
        <w:tab/>
        <w:t>CONSIDERANDO que a Carta da Organização dos Estados Americanos salienta que o desenvolvimento integral abrange os campos econômico, social, educacional, cultural, científico e tecnológico, por meio dos quais os países buscam atingir suas metas de desenvolvimento;</w:t>
      </w:r>
    </w:p>
    <w:p w14:paraId="6E8343E4" w14:textId="77777777" w:rsidR="000F1736" w:rsidRPr="00D65A20" w:rsidRDefault="000F1736" w:rsidP="00AA4399">
      <w:pPr>
        <w:widowControl/>
        <w:rPr>
          <w:rFonts w:ascii="Times New Roman" w:hAnsi="Times New Roman"/>
          <w:bCs/>
          <w:color w:val="000000"/>
          <w:szCs w:val="22"/>
          <w:lang w:val="pt-BR"/>
        </w:rPr>
      </w:pPr>
    </w:p>
    <w:p w14:paraId="6E8343E5"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ab/>
        <w:t xml:space="preserve">LEVANDO EM CONTA que a Carta Democrática Interamericana reconhece que a democracia e o desenvolvimento econômico e social são interdependentes e se reforçam mutuamente; e que a promoção e a observância dos direitos econômicos, sociais e culturais são inerentes ao desenvolvimento integral, ao crescimento econômico com equidade, bem como à consolidação da democracia e do Estado de Direito nos Estados do Hemisfério; </w:t>
      </w:r>
    </w:p>
    <w:p w14:paraId="6E8343E6"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3E7"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ab/>
        <w:t>RECORDANDO que a Carta Social das Américas reconhece que o setor empresarial desempenha papel importante na criação de emprego e na expansão de oportunidades, e contribui para a redução da pobreza; e que as políticas públicas e as estruturas normativas devem promover a criação de novas empresas e a incorporação do setor informal à economia formal;</w:t>
      </w:r>
    </w:p>
    <w:p w14:paraId="6E8343E8"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3E9"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ab/>
        <w:t>REAFIRMANDO que a pobreza crítica representa um obstáculo ao desenvolvimento e, em especial, ao pleno desenvolvimento democrático dos povos do Hemisfério, e que sua eliminação é essencial e constitui uma responsabilidade comum e solidária dos Estados americanos;</w:t>
      </w:r>
    </w:p>
    <w:p w14:paraId="6E8343EA"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3EB"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shd w:val="clear" w:color="auto" w:fill="FFFFFF"/>
          <w:lang w:val="pt-BR"/>
        </w:rPr>
      </w:pPr>
      <w:r w:rsidRPr="00D65A20">
        <w:rPr>
          <w:rFonts w:ascii="Times New Roman" w:hAnsi="Times New Roman"/>
          <w:bCs/>
          <w:color w:val="000000"/>
          <w:szCs w:val="22"/>
          <w:lang w:val="pt-BR"/>
        </w:rPr>
        <w:tab/>
        <w:t xml:space="preserve">CONSIDERANDO </w:t>
      </w:r>
      <w:r w:rsidRPr="00D65A20">
        <w:rPr>
          <w:rFonts w:ascii="Times New Roman" w:hAnsi="Times New Roman"/>
          <w:bCs/>
          <w:color w:val="000000"/>
          <w:szCs w:val="22"/>
          <w:shd w:val="clear" w:color="auto" w:fill="FFFFFF"/>
          <w:lang w:val="pt-BR"/>
        </w:rPr>
        <w:t>que o desenvolvimento é responsabilidade primordial de cada Estado e deve constituir um processo integral e contínuo, que permita a plena realização da pessoa humana e para isso contribua;</w:t>
      </w:r>
    </w:p>
    <w:p w14:paraId="6E8343EC"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3ED" w14:textId="5C883ABF"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ab/>
        <w:t xml:space="preserve">LEVANDO EM CONTA que avançar na redução das desigualdades e em ações concretas para a implementação da Agenda 2030 e seus Objetivos de Desenvolvimento Sustentável, com a participação de todos os integrantes da sociedade, </w:t>
      </w:r>
      <w:r w:rsidR="00C6598B" w:rsidRPr="00D65A20">
        <w:rPr>
          <w:rFonts w:ascii="Times New Roman" w:hAnsi="Times New Roman"/>
          <w:bCs/>
          <w:color w:val="000000"/>
          <w:szCs w:val="22"/>
          <w:lang w:val="pt-BR"/>
        </w:rPr>
        <w:t>da</w:t>
      </w:r>
      <w:r w:rsidR="00992987" w:rsidRPr="00D65A20">
        <w:rPr>
          <w:rFonts w:ascii="Times New Roman" w:hAnsi="Times New Roman"/>
          <w:bCs/>
          <w:color w:val="000000"/>
          <w:szCs w:val="22"/>
          <w:lang w:val="pt-BR"/>
        </w:rPr>
        <w:t xml:space="preserve">s </w:t>
      </w:r>
      <w:r w:rsidRPr="00D65A20">
        <w:rPr>
          <w:rFonts w:ascii="Times New Roman" w:hAnsi="Times New Roman"/>
          <w:bCs/>
          <w:color w:val="000000"/>
          <w:szCs w:val="22"/>
          <w:lang w:val="pt-BR"/>
        </w:rPr>
        <w:t xml:space="preserve">empresas privadas de qualquer porte </w:t>
      </w:r>
      <w:r w:rsidR="00C6598B" w:rsidRPr="00D65A20">
        <w:rPr>
          <w:rFonts w:ascii="Times New Roman" w:hAnsi="Times New Roman"/>
          <w:bCs/>
          <w:color w:val="000000"/>
          <w:szCs w:val="22"/>
          <w:lang w:val="pt-BR"/>
        </w:rPr>
        <w:t>às</w:t>
      </w:r>
      <w:r w:rsidR="00992987" w:rsidRPr="00D65A20">
        <w:rPr>
          <w:rFonts w:ascii="Times New Roman" w:hAnsi="Times New Roman"/>
          <w:bCs/>
          <w:color w:val="000000"/>
          <w:szCs w:val="22"/>
          <w:lang w:val="pt-BR"/>
        </w:rPr>
        <w:t xml:space="preserve"> </w:t>
      </w:r>
      <w:r w:rsidRPr="00D65A20">
        <w:rPr>
          <w:rFonts w:ascii="Times New Roman" w:hAnsi="Times New Roman"/>
          <w:bCs/>
          <w:color w:val="000000"/>
          <w:szCs w:val="22"/>
          <w:lang w:val="pt-BR"/>
        </w:rPr>
        <w:t xml:space="preserve">organizações da sociedade civil e </w:t>
      </w:r>
      <w:r w:rsidR="00C6598B" w:rsidRPr="00D65A20">
        <w:rPr>
          <w:rFonts w:ascii="Times New Roman" w:hAnsi="Times New Roman"/>
          <w:bCs/>
          <w:color w:val="000000"/>
          <w:szCs w:val="22"/>
          <w:lang w:val="pt-BR"/>
        </w:rPr>
        <w:t>às</w:t>
      </w:r>
      <w:r w:rsidR="00992987" w:rsidRPr="00D65A20">
        <w:rPr>
          <w:rFonts w:ascii="Times New Roman" w:hAnsi="Times New Roman"/>
          <w:bCs/>
          <w:color w:val="000000"/>
          <w:szCs w:val="22"/>
          <w:lang w:val="pt-BR"/>
        </w:rPr>
        <w:t xml:space="preserve"> </w:t>
      </w:r>
      <w:r w:rsidRPr="00D65A20">
        <w:rPr>
          <w:rFonts w:ascii="Times New Roman" w:hAnsi="Times New Roman"/>
          <w:bCs/>
          <w:color w:val="000000"/>
          <w:szCs w:val="22"/>
          <w:lang w:val="pt-BR"/>
        </w:rPr>
        <w:t>organizações filantrópicas, nos levará à construção de sociedades prósperas, pacíficas e inclusivas, sem deixar ninguém para trás;</w:t>
      </w:r>
    </w:p>
    <w:p w14:paraId="6E8343EE"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jc w:val="left"/>
        <w:rPr>
          <w:rFonts w:ascii="Times New Roman" w:hAnsi="Times New Roman"/>
          <w:bCs/>
          <w:color w:val="000000"/>
          <w:szCs w:val="22"/>
          <w:lang w:val="pt-BR"/>
        </w:rPr>
      </w:pPr>
    </w:p>
    <w:p w14:paraId="6E8343EF" w14:textId="2561CE04"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ab/>
        <w:t>REAFIRMANDO que a realização do ODS 1, sobre o combate à pobreza em todas as suas formas e dimensões, é essencial à promoção e consolidação da democracia e constitui um interesse comum dos Estados Americanos;</w:t>
      </w:r>
    </w:p>
    <w:p w14:paraId="6E8343F0"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3F1"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ab/>
        <w:t xml:space="preserve">TENDO PRESENTE que, para o cumprimento do ODS 5, relativo à igualdade de gênero e ao empoderamento das mulheres e das meninas, é preciso consolidar e ampliar a participação do setor privado, fortalecendo a capacidade empresarial da mulher e promovendo sua participação </w:t>
      </w:r>
      <w:r w:rsidRPr="00D65A20">
        <w:rPr>
          <w:rFonts w:ascii="Times New Roman" w:hAnsi="Times New Roman"/>
          <w:bCs/>
          <w:szCs w:val="22"/>
          <w:lang w:val="pt-BR"/>
        </w:rPr>
        <w:t xml:space="preserve">[GT: e liderança] em campos destacados da economia, como as </w:t>
      </w:r>
      <w:r w:rsidRPr="00D65A20">
        <w:rPr>
          <w:rFonts w:ascii="Times New Roman" w:hAnsi="Times New Roman"/>
          <w:bCs/>
          <w:color w:val="000000"/>
          <w:szCs w:val="22"/>
          <w:lang w:val="pt-BR"/>
        </w:rPr>
        <w:t>carreiras CTEM – Ciências, Tecnologia, Engenharia e Matemáticas, entre outras;</w:t>
      </w:r>
    </w:p>
    <w:p w14:paraId="6E8343F2"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3F3" w14:textId="77777777" w:rsidR="000F1736" w:rsidRPr="00D65A20" w:rsidRDefault="000F1736"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1" w:right="-18" w:firstLine="771"/>
        <w:contextualSpacing/>
        <w:rPr>
          <w:rFonts w:ascii="Times New Roman" w:eastAsia="Calibri" w:hAnsi="Times New Roman"/>
          <w:bCs/>
          <w:color w:val="000000"/>
          <w:szCs w:val="22"/>
          <w:lang w:val="pt-BR"/>
        </w:rPr>
      </w:pPr>
      <w:r w:rsidRPr="00D65A20">
        <w:rPr>
          <w:rFonts w:ascii="Times New Roman" w:eastAsia="Calibri" w:hAnsi="Times New Roman"/>
          <w:bCs/>
          <w:color w:val="000000"/>
          <w:szCs w:val="22"/>
          <w:lang w:val="pt-BR"/>
        </w:rPr>
        <w:lastRenderedPageBreak/>
        <w:t>RECORDANDO que os esforços coletivos pelo cumprimento do ODS 8, relativo ao trabalho decente e ao crescimento econômico inclusivo e sustentável, contribuirão para a estabilidade da região, a consolidação da democracia e a prosperidade dos cidadãos;</w:t>
      </w:r>
    </w:p>
    <w:p w14:paraId="6E8343F4" w14:textId="77777777" w:rsidR="000F1736" w:rsidRPr="00D65A20" w:rsidRDefault="000F1736"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1" w:right="-18"/>
        <w:contextualSpacing/>
        <w:rPr>
          <w:rFonts w:ascii="Times New Roman" w:eastAsia="Calibri" w:hAnsi="Times New Roman"/>
          <w:bCs/>
          <w:color w:val="000000"/>
          <w:szCs w:val="22"/>
          <w:lang w:val="pt-BR"/>
        </w:rPr>
      </w:pPr>
    </w:p>
    <w:p w14:paraId="6E8343F5" w14:textId="77777777" w:rsidR="000F1736" w:rsidRPr="00D65A20" w:rsidRDefault="000F1736"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1" w:right="-18" w:firstLine="771"/>
        <w:contextualSpacing/>
        <w:rPr>
          <w:rFonts w:ascii="Times New Roman" w:eastAsia="Calibri" w:hAnsi="Times New Roman"/>
          <w:bCs/>
          <w:color w:val="000000"/>
          <w:szCs w:val="22"/>
          <w:lang w:val="pt-BR"/>
        </w:rPr>
      </w:pPr>
      <w:r w:rsidRPr="00D65A20">
        <w:rPr>
          <w:rFonts w:ascii="Times New Roman" w:eastAsia="Calibri" w:hAnsi="Times New Roman"/>
          <w:bCs/>
          <w:color w:val="000000"/>
          <w:szCs w:val="22"/>
          <w:lang w:val="pt-BR"/>
        </w:rPr>
        <w:t>RECONHECENDO que, para não deixar ninguém para trás e levar os benefícios do desenvolvimento a todos os integrantes da sociedade, são necessários a construção de infraestrutura resiliente, a promoção da industrialização inclusiva e sustentável e o fomento da inovação, aos quais se refere o ODS 9;</w:t>
      </w:r>
    </w:p>
    <w:p w14:paraId="6E8343F6"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3F7"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ab/>
        <w:t>CONVENCIDA do papel positivo das iniciativas e atividades empresariais, juntamente com o investimento, o empreendimento e a inovação privada, como impulsores da economia dos Estados, como geradoras da riqueza e da inclusão social, da criação de empregos dignos, do maior bem-estar nas sociedades e do desenvolvimento sustentável;</w:t>
      </w:r>
    </w:p>
    <w:p w14:paraId="6E8343F8"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3F9"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ab/>
        <w:t>CONSCIENTES de que as micro, pequenas e médias empresas (MPMEs), responsáveis pela maioria dos postos de trabalho em nossos Estados e regiões, enfrentam às vezes barreiras normativas ou carecem de suficiente acesso a financiamento e tecnologia; e que, somado a isso, frequentemente não dispõem de informação suficiente relacionada a direitos e obrigações para sua formalização;</w:t>
      </w:r>
    </w:p>
    <w:p w14:paraId="6E8343FA"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3FB"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ab/>
        <w:t>RECORDANDO a Declaração de Mar del Plata, de 2005, aprovada no encerramento da Quarta Cúpula das Américas, na qual os Chefes de Estado das Américas reconheceram a relevância da criação de trabalho para enfrentar a pobreza e fortalecer a governabilidade democrática, bem como a necessidade do aumento da transparência e do melhoramento do clima para o investimento em nossa região, a fim de conquistar um crescimento econômico sustentado, com equidade e inclusão social;</w:t>
      </w:r>
    </w:p>
    <w:p w14:paraId="6E8343FC"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jc w:val="left"/>
        <w:rPr>
          <w:rFonts w:ascii="Times New Roman" w:hAnsi="Times New Roman"/>
          <w:bCs/>
          <w:color w:val="000000"/>
          <w:szCs w:val="22"/>
          <w:lang w:val="pt-BR"/>
        </w:rPr>
      </w:pPr>
    </w:p>
    <w:p w14:paraId="6E8343FD"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ab/>
        <w:t xml:space="preserve">TENDO PRESENTE que o </w:t>
      </w:r>
      <w:r w:rsidRPr="00D65A20">
        <w:rPr>
          <w:rFonts w:ascii="Times New Roman" w:hAnsi="Times New Roman"/>
          <w:bCs/>
          <w:szCs w:val="22"/>
          <w:lang w:val="pt-BR"/>
        </w:rPr>
        <w:t xml:space="preserve">Protocolo Adicional à Convenção Americana sobre Direitos Humanos em Matéria de Direitos Econômicos, Sociais e Culturais (Protocolo de São Salvador) </w:t>
      </w:r>
      <w:r w:rsidRPr="00D65A20">
        <w:rPr>
          <w:rFonts w:ascii="Times New Roman" w:hAnsi="Times New Roman"/>
          <w:bCs/>
          <w:color w:val="000000"/>
          <w:szCs w:val="22"/>
          <w:lang w:val="pt-BR"/>
        </w:rPr>
        <w:t>ressalta a importância de que esses direitos sejam reafirmados, desenvolvidos, aperfeiçoados e protegidos, com vistas à consolidação do regime democrático representativo de governo;</w:t>
      </w:r>
    </w:p>
    <w:p w14:paraId="6E8343FE"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3FF"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iCs/>
          <w:color w:val="000000"/>
          <w:szCs w:val="22"/>
          <w:lang w:val="pt-BR"/>
        </w:rPr>
      </w:pPr>
      <w:r w:rsidRPr="00D65A20">
        <w:rPr>
          <w:rFonts w:ascii="Times New Roman" w:hAnsi="Times New Roman"/>
          <w:iCs/>
          <w:color w:val="000000"/>
          <w:szCs w:val="22"/>
          <w:lang w:val="pt-BR"/>
        </w:rPr>
        <w:tab/>
        <w:t>RECORDANDO que na Declaração de Santa Cruz de la Sierra, de 1994, os Chefes de Estado e de Governo das Américas reafirmaram sua determinação de avançar no desenvolvimento sustentável e implementar as decisões e compromissos da Declaração do Rio e da Agenda 21, e acordaram também prosseguir no entendimento e integração de considerações ambientais, sociais e econômicas no planejamento e na tomada de decisões;</w:t>
      </w:r>
    </w:p>
    <w:p w14:paraId="6E834400"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iCs/>
          <w:color w:val="000000"/>
          <w:szCs w:val="22"/>
          <w:lang w:val="pt-BR"/>
        </w:rPr>
      </w:pPr>
    </w:p>
    <w:p w14:paraId="6E834401"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ab/>
        <w:t>REITERANDO os mandatos decorrentes da Sexta Cúpula das Américas, a respeito da promoção do crescimento econômico com equidade e inclusão social, por meio do fortalecimento das cooperativas, das micro, pequenas e médias empresas, inclusive as indústrias culturais, bem como das iniciativas de economia popular e outras unidades de produção, inovação e competitividade nos países das Américas;</w:t>
      </w:r>
    </w:p>
    <w:p w14:paraId="6E834402"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jc w:val="left"/>
        <w:rPr>
          <w:rFonts w:ascii="Times New Roman" w:hAnsi="Times New Roman"/>
          <w:bCs/>
          <w:color w:val="000000"/>
          <w:szCs w:val="22"/>
          <w:lang w:val="pt-BR"/>
        </w:rPr>
      </w:pPr>
    </w:p>
    <w:p w14:paraId="6E834403"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ab/>
        <w:t>CONSCIENTES de que o respeito à propriedade privada, juntamente com a estabilidade jurídica e política, é condição fundamental para a promoção da iniciativa empresarial, a formalização da economia, o investimento estrangeiro, a inovação tecnológica e o aumento da produtividade;</w:t>
      </w:r>
    </w:p>
    <w:p w14:paraId="6E834404"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05"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lastRenderedPageBreak/>
        <w:tab/>
        <w:t xml:space="preserve">TENDO PRESENTE a resolução </w:t>
      </w:r>
      <w:r w:rsidRPr="00D65A20">
        <w:rPr>
          <w:rFonts w:ascii="Times New Roman" w:hAnsi="Times New Roman"/>
          <w:szCs w:val="22"/>
          <w:lang w:val="pt-BR"/>
        </w:rPr>
        <w:t xml:space="preserve">AG/RES. </w:t>
      </w:r>
      <w:bookmarkStart w:id="55" w:name="hit1"/>
      <w:bookmarkEnd w:id="55"/>
      <w:r w:rsidRPr="00D65A20">
        <w:rPr>
          <w:rFonts w:ascii="Times New Roman" w:hAnsi="Times New Roman"/>
          <w:szCs w:val="22"/>
          <w:lang w:val="pt-BR"/>
        </w:rPr>
        <w:t xml:space="preserve">2840, </w:t>
      </w:r>
      <w:r w:rsidRPr="00D65A20">
        <w:rPr>
          <w:rFonts w:ascii="Times New Roman" w:hAnsi="Times New Roman"/>
          <w:bCs/>
          <w:color w:val="000000"/>
          <w:szCs w:val="22"/>
          <w:lang w:val="pt-BR"/>
        </w:rPr>
        <w:t>de 2014, “Promoção e proteção dos direitos humanos no âmbito empresarial”, no sentido de que as empresas desempenham papel importante na vida política, econômica e social, e que a elas compete a responsabilidade de respeitar os direitos humanos em qualquer lugar em que exerçam suas atividades e reparar os casos em que se apresente uma ação de dano, em decorrência de suas atividades ou de omissão no cumprimento de suas responsabilidades;</w:t>
      </w:r>
    </w:p>
    <w:p w14:paraId="6E834406"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07" w14:textId="77777777" w:rsidR="000F1736" w:rsidRPr="00D65A20" w:rsidRDefault="000F1736"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1" w:right="-18" w:firstLine="771"/>
        <w:contextualSpacing/>
        <w:rPr>
          <w:rFonts w:ascii="Times New Roman" w:eastAsia="Calibri" w:hAnsi="Times New Roman"/>
          <w:bCs/>
          <w:color w:val="000000"/>
          <w:szCs w:val="22"/>
          <w:lang w:val="pt-BR"/>
        </w:rPr>
      </w:pPr>
      <w:r w:rsidRPr="00D65A20">
        <w:rPr>
          <w:rFonts w:ascii="Times New Roman" w:eastAsia="Calibri" w:hAnsi="Times New Roman"/>
          <w:bCs/>
          <w:color w:val="000000"/>
          <w:szCs w:val="22"/>
          <w:lang w:val="pt-BR"/>
        </w:rPr>
        <w:t>LEVANDO EM CONTA que o pleno exercício dos direitos econômicos, sociais e culturais exige a adoção progressiva de medidas por parte dos Estados membros, além da ação cooperativa regional e internacional; e</w:t>
      </w:r>
    </w:p>
    <w:p w14:paraId="6E834408"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shd w:val="clear" w:color="auto" w:fill="FFFFFF"/>
          <w:lang w:val="pt-BR"/>
        </w:rPr>
      </w:pPr>
    </w:p>
    <w:p w14:paraId="6E834409" w14:textId="342923D4"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shd w:val="clear" w:color="auto" w:fill="FFFFFF"/>
          <w:lang w:val="pt-BR"/>
        </w:rPr>
      </w:pPr>
      <w:r w:rsidRPr="00D65A20">
        <w:rPr>
          <w:rFonts w:ascii="Times New Roman" w:hAnsi="Times New Roman"/>
          <w:bCs/>
          <w:color w:val="000000"/>
          <w:szCs w:val="22"/>
          <w:shd w:val="clear" w:color="auto" w:fill="FFFFFF"/>
          <w:lang w:val="pt-BR"/>
        </w:rPr>
        <w:tab/>
        <w:t>RECONHECENDO que a vulnerabilidade da região aos desastres naturais e outras perturbações externas pede</w:t>
      </w:r>
      <w:r w:rsidR="00C6598B" w:rsidRPr="00D65A20">
        <w:rPr>
          <w:rFonts w:ascii="Times New Roman" w:hAnsi="Times New Roman"/>
          <w:bCs/>
          <w:color w:val="000000"/>
          <w:szCs w:val="22"/>
          <w:shd w:val="clear" w:color="auto" w:fill="FFFFFF"/>
          <w:lang w:val="pt-BR"/>
        </w:rPr>
        <w:t>m</w:t>
      </w:r>
      <w:r w:rsidRPr="00D65A20">
        <w:rPr>
          <w:rFonts w:ascii="Times New Roman" w:hAnsi="Times New Roman"/>
          <w:bCs/>
          <w:color w:val="000000"/>
          <w:szCs w:val="22"/>
          <w:shd w:val="clear" w:color="auto" w:fill="FFFFFF"/>
          <w:lang w:val="pt-BR"/>
        </w:rPr>
        <w:t xml:space="preserve"> o fortalecimento da capacidade de resiliência, por meio da criação de parcerias público-privadas,</w:t>
      </w:r>
    </w:p>
    <w:p w14:paraId="6E83440A"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jc w:val="left"/>
        <w:rPr>
          <w:rFonts w:ascii="Times New Roman" w:hAnsi="Times New Roman"/>
          <w:bCs/>
          <w:color w:val="000000"/>
          <w:szCs w:val="22"/>
          <w:shd w:val="clear" w:color="auto" w:fill="FFFFFF"/>
          <w:lang w:val="pt-BR"/>
        </w:rPr>
      </w:pPr>
    </w:p>
    <w:p w14:paraId="6E83440B"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jc w:val="left"/>
        <w:rPr>
          <w:rFonts w:ascii="Times New Roman" w:hAnsi="Times New Roman"/>
          <w:bCs/>
          <w:color w:val="000000"/>
          <w:szCs w:val="22"/>
          <w:lang w:val="pt-BR"/>
        </w:rPr>
      </w:pPr>
      <w:r w:rsidRPr="00D65A20">
        <w:rPr>
          <w:rFonts w:ascii="Times New Roman" w:hAnsi="Times New Roman"/>
          <w:bCs/>
          <w:color w:val="000000"/>
          <w:szCs w:val="22"/>
          <w:lang w:val="pt-BR"/>
        </w:rPr>
        <w:tab/>
        <w:t>RESOLVE aprovar a seguinte</w:t>
      </w:r>
    </w:p>
    <w:p w14:paraId="6E83440C"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0D"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jc w:val="center"/>
        <w:rPr>
          <w:rFonts w:ascii="Times New Roman" w:hAnsi="Times New Roman"/>
          <w:bCs/>
          <w:color w:val="000000"/>
          <w:szCs w:val="22"/>
          <w:lang w:val="pt-BR"/>
        </w:rPr>
      </w:pPr>
      <w:r w:rsidRPr="00D65A20">
        <w:rPr>
          <w:rFonts w:ascii="Times New Roman" w:hAnsi="Times New Roman"/>
          <w:bCs/>
          <w:color w:val="000000"/>
          <w:szCs w:val="22"/>
          <w:lang w:val="pt-BR"/>
        </w:rPr>
        <w:t>CARTA EMPRESARIAL INTERAMERICANA</w:t>
      </w:r>
    </w:p>
    <w:p w14:paraId="6E83440E" w14:textId="77777777" w:rsidR="000F1736" w:rsidRPr="00D65A20" w:rsidRDefault="000F1736" w:rsidP="00AA4399">
      <w:pPr>
        <w:widowControl/>
        <w:ind w:left="-51" w:right="-18"/>
        <w:rPr>
          <w:rFonts w:ascii="Times New Roman" w:hAnsi="Times New Roman"/>
          <w:bCs/>
          <w:color w:val="000000"/>
          <w:szCs w:val="22"/>
          <w:lang w:val="pt-BR"/>
        </w:rPr>
      </w:pPr>
    </w:p>
    <w:p w14:paraId="6E83440F" w14:textId="41FAAA1A" w:rsidR="000F1736" w:rsidRPr="00D65A20" w:rsidRDefault="00E34A5E" w:rsidP="00AA4399">
      <w:pPr>
        <w:widowControl/>
        <w:ind w:left="-51" w:right="-18"/>
        <w:jc w:val="center"/>
        <w:rPr>
          <w:rFonts w:ascii="Times New Roman" w:hAnsi="Times New Roman"/>
          <w:bCs/>
          <w:color w:val="000000"/>
          <w:szCs w:val="22"/>
          <w:lang w:val="pt-BR"/>
        </w:rPr>
      </w:pPr>
      <w:r w:rsidRPr="00D65A20">
        <w:rPr>
          <w:rFonts w:ascii="Times New Roman" w:hAnsi="Times New Roman"/>
          <w:bCs/>
          <w:color w:val="000000"/>
          <w:szCs w:val="22"/>
          <w:lang w:val="pt-BR"/>
        </w:rPr>
        <w:t>CAPÍTULO</w:t>
      </w:r>
      <w:r w:rsidR="000F1736" w:rsidRPr="00D65A20">
        <w:rPr>
          <w:rFonts w:ascii="Times New Roman" w:hAnsi="Times New Roman"/>
          <w:bCs/>
          <w:color w:val="000000"/>
          <w:szCs w:val="22"/>
          <w:lang w:val="pt-BR"/>
        </w:rPr>
        <w:t xml:space="preserve"> I.</w:t>
      </w:r>
    </w:p>
    <w:p w14:paraId="6E834410"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jc w:val="center"/>
        <w:rPr>
          <w:rFonts w:ascii="Times New Roman" w:hAnsi="Times New Roman"/>
          <w:bCs/>
          <w:color w:val="000000"/>
          <w:szCs w:val="22"/>
          <w:lang w:val="pt-BR"/>
        </w:rPr>
      </w:pPr>
      <w:r w:rsidRPr="00D65A20">
        <w:rPr>
          <w:rFonts w:ascii="Times New Roman" w:hAnsi="Times New Roman"/>
          <w:bCs/>
          <w:color w:val="000000"/>
          <w:szCs w:val="22"/>
          <w:lang w:val="pt-BR"/>
        </w:rPr>
        <w:t xml:space="preserve">RECONHECIMENTO DO PAPEL DAS EMPRESAS COMO CATALISADORAS DO DESENVOLVIMENTO </w:t>
      </w:r>
    </w:p>
    <w:p w14:paraId="6E834411"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jc w:val="left"/>
        <w:rPr>
          <w:rFonts w:ascii="Times New Roman" w:hAnsi="Times New Roman"/>
          <w:bCs/>
          <w:color w:val="000000"/>
          <w:szCs w:val="22"/>
          <w:lang w:val="pt-BR"/>
        </w:rPr>
      </w:pPr>
    </w:p>
    <w:p w14:paraId="6E834412" w14:textId="77777777" w:rsidR="000F1736" w:rsidRPr="00D65A20" w:rsidRDefault="000F1736" w:rsidP="00AA4399">
      <w:pPr>
        <w:widowControl/>
        <w:ind w:left="-51" w:right="-18"/>
        <w:rPr>
          <w:rFonts w:ascii="Times New Roman" w:hAnsi="Times New Roman"/>
          <w:bCs/>
          <w:color w:val="000000"/>
          <w:szCs w:val="22"/>
          <w:vertAlign w:val="superscript"/>
          <w:lang w:val="pt-BR"/>
        </w:rPr>
      </w:pPr>
      <w:r w:rsidRPr="00D65A20">
        <w:rPr>
          <w:rFonts w:ascii="Times New Roman" w:hAnsi="Times New Roman"/>
          <w:bCs/>
          <w:color w:val="000000"/>
          <w:szCs w:val="22"/>
          <w:lang w:val="pt-BR"/>
        </w:rPr>
        <w:t>Artigo 1</w:t>
      </w:r>
      <w:r w:rsidRPr="00D65A20">
        <w:rPr>
          <w:rFonts w:ascii="Times New Roman" w:hAnsi="Times New Roman"/>
          <w:bCs/>
          <w:color w:val="000000"/>
          <w:szCs w:val="22"/>
          <w:vertAlign w:val="superscript"/>
          <w:lang w:val="pt-BR"/>
        </w:rPr>
        <w:t>o</w:t>
      </w:r>
    </w:p>
    <w:p w14:paraId="6E834413"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14"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 xml:space="preserve">Os Estados membros, na observância dos princípios e valores interamericanos consignados em sua carta fundacional e demais instrumentos, buscarão fortalecer as organizações empresariais como atores fundamentais para o desenvolvimento inclusivo e sustentável, levando em conta sua função social em matéria de geração de emprego e redução da </w:t>
      </w:r>
      <w:r w:rsidRPr="00D65A20">
        <w:rPr>
          <w:rFonts w:ascii="Times New Roman" w:hAnsi="Times New Roman"/>
          <w:bCs/>
          <w:szCs w:val="22"/>
          <w:lang w:val="pt-BR"/>
        </w:rPr>
        <w:t>pobreza e d</w:t>
      </w:r>
      <w:r w:rsidRPr="00D65A20">
        <w:rPr>
          <w:rFonts w:ascii="Times New Roman" w:hAnsi="Times New Roman"/>
          <w:bCs/>
          <w:color w:val="000000"/>
          <w:szCs w:val="22"/>
          <w:lang w:val="pt-BR"/>
        </w:rPr>
        <w:t>a desigualdade, bem como da produção de bens e serviços básicos para o bem-estar da sociedade, além de seu papel primordial na construção de resiliência ante perturbações externas.</w:t>
      </w:r>
    </w:p>
    <w:p w14:paraId="6E834415"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16" w14:textId="77777777" w:rsidR="000F1736" w:rsidRPr="00D65A20" w:rsidRDefault="000F1736" w:rsidP="00AA4399">
      <w:pPr>
        <w:widowControl/>
        <w:ind w:left="-51" w:right="-18"/>
        <w:rPr>
          <w:rFonts w:ascii="Times New Roman" w:hAnsi="Times New Roman"/>
          <w:bCs/>
          <w:color w:val="000000"/>
          <w:szCs w:val="22"/>
          <w:vertAlign w:val="superscript"/>
          <w:lang w:val="pt-BR"/>
        </w:rPr>
      </w:pPr>
      <w:r w:rsidRPr="00D65A20">
        <w:rPr>
          <w:rFonts w:ascii="Times New Roman" w:hAnsi="Times New Roman"/>
          <w:bCs/>
          <w:color w:val="000000"/>
          <w:szCs w:val="22"/>
          <w:lang w:val="pt-BR"/>
        </w:rPr>
        <w:t>Artigo 2</w:t>
      </w:r>
      <w:r w:rsidRPr="00D65A20">
        <w:rPr>
          <w:rFonts w:ascii="Times New Roman" w:hAnsi="Times New Roman"/>
          <w:bCs/>
          <w:color w:val="000000"/>
          <w:szCs w:val="22"/>
          <w:vertAlign w:val="superscript"/>
          <w:lang w:val="pt-BR"/>
        </w:rPr>
        <w:t>o</w:t>
      </w:r>
    </w:p>
    <w:p w14:paraId="6E834417"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18" w14:textId="7A175BCA"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 xml:space="preserve">Os Estados membros estimularão políticas voltadas para a criação, formalização, consolidação e integração às cadeias globais de valor de mais empresas no Hemisfério, com especial ênfase </w:t>
      </w:r>
      <w:r w:rsidR="00E34A5E" w:rsidRPr="00D65A20">
        <w:rPr>
          <w:rFonts w:ascii="Times New Roman" w:hAnsi="Times New Roman"/>
          <w:bCs/>
          <w:color w:val="000000"/>
          <w:szCs w:val="22"/>
          <w:lang w:val="pt-BR"/>
        </w:rPr>
        <w:t>nas (</w:t>
      </w:r>
      <w:r w:rsidRPr="00D65A20">
        <w:rPr>
          <w:rFonts w:ascii="Times New Roman" w:hAnsi="Times New Roman"/>
          <w:bCs/>
          <w:color w:val="000000"/>
          <w:szCs w:val="22"/>
          <w:lang w:val="pt-BR"/>
        </w:rPr>
        <w:t>MPMEs</w:t>
      </w:r>
      <w:r w:rsidR="00E43B35" w:rsidRPr="00D65A20">
        <w:rPr>
          <w:rFonts w:ascii="Times New Roman" w:hAnsi="Times New Roman"/>
          <w:bCs/>
          <w:color w:val="000000"/>
          <w:szCs w:val="22"/>
          <w:lang w:val="pt-BR"/>
        </w:rPr>
        <w:t>)</w:t>
      </w:r>
      <w:r w:rsidRPr="00D65A20">
        <w:rPr>
          <w:rFonts w:ascii="Times New Roman" w:hAnsi="Times New Roman"/>
          <w:bCs/>
          <w:color w:val="000000"/>
          <w:szCs w:val="22"/>
          <w:lang w:val="pt-BR"/>
        </w:rPr>
        <w:t>.</w:t>
      </w:r>
    </w:p>
    <w:p w14:paraId="6E834419"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1A" w14:textId="77777777" w:rsidR="000F1736" w:rsidRPr="00D65A20" w:rsidRDefault="000F1736" w:rsidP="00AA4399">
      <w:pPr>
        <w:widowControl/>
        <w:ind w:left="-51" w:right="-18"/>
        <w:rPr>
          <w:rFonts w:ascii="Times New Roman" w:hAnsi="Times New Roman"/>
          <w:bCs/>
          <w:color w:val="000000"/>
          <w:szCs w:val="22"/>
          <w:lang w:val="pt-BR"/>
        </w:rPr>
      </w:pPr>
      <w:r w:rsidRPr="00D65A20">
        <w:rPr>
          <w:rFonts w:ascii="Times New Roman" w:hAnsi="Times New Roman"/>
          <w:bCs/>
          <w:color w:val="000000"/>
          <w:szCs w:val="22"/>
          <w:lang w:val="pt-BR"/>
        </w:rPr>
        <w:t>Artigo 3</w:t>
      </w:r>
      <w:r w:rsidRPr="00D65A20">
        <w:rPr>
          <w:rFonts w:ascii="Times New Roman" w:hAnsi="Times New Roman"/>
          <w:bCs/>
          <w:color w:val="000000"/>
          <w:szCs w:val="22"/>
          <w:vertAlign w:val="superscript"/>
          <w:lang w:val="pt-BR"/>
        </w:rPr>
        <w:t>o</w:t>
      </w:r>
      <w:r w:rsidRPr="00D65A20">
        <w:rPr>
          <w:rFonts w:ascii="Times New Roman" w:hAnsi="Times New Roman"/>
          <w:bCs/>
          <w:color w:val="000000"/>
          <w:szCs w:val="22"/>
          <w:lang w:val="pt-BR"/>
        </w:rPr>
        <w:t xml:space="preserve"> </w:t>
      </w:r>
    </w:p>
    <w:p w14:paraId="6E83441B"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1C"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Os Estados membros, fazendo uso dos instrumentos interamericanos, propiciarão o desenvolvimento de um ambiente favorável ao crescimento de um setor privado competitivo, em que os empresários disponham de condições apropriadas e de estabilidade jurídica para realizar investimentos de alto impacto, que se orientem pelo valor comum e pela formalização, e que contribuam para o cumprimento dos Objetivos de Desenvolvimento Sustentável.</w:t>
      </w:r>
    </w:p>
    <w:p w14:paraId="6E83441D"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jc w:val="left"/>
        <w:rPr>
          <w:rFonts w:ascii="Times New Roman" w:hAnsi="Times New Roman"/>
          <w:bCs/>
          <w:color w:val="000000"/>
          <w:szCs w:val="22"/>
          <w:lang w:val="pt-BR"/>
        </w:rPr>
      </w:pPr>
    </w:p>
    <w:p w14:paraId="6E83441E" w14:textId="77777777" w:rsidR="000F1736" w:rsidRPr="00D65A20" w:rsidRDefault="000F1736" w:rsidP="00AA4399">
      <w:pPr>
        <w:widowControl/>
        <w:ind w:left="-51" w:right="-18"/>
        <w:jc w:val="center"/>
        <w:rPr>
          <w:rFonts w:ascii="Times New Roman" w:hAnsi="Times New Roman"/>
          <w:bCs/>
          <w:color w:val="000000"/>
          <w:szCs w:val="22"/>
          <w:lang w:val="pt-BR"/>
        </w:rPr>
      </w:pPr>
      <w:r w:rsidRPr="00D65A20">
        <w:rPr>
          <w:rFonts w:ascii="Times New Roman" w:hAnsi="Times New Roman"/>
          <w:bCs/>
          <w:color w:val="000000"/>
          <w:szCs w:val="22"/>
          <w:lang w:val="pt-BR"/>
        </w:rPr>
        <w:br w:type="page"/>
      </w:r>
    </w:p>
    <w:p w14:paraId="6E83441F" w14:textId="77777777" w:rsidR="000F1736" w:rsidRPr="00D65A20" w:rsidRDefault="000F1736" w:rsidP="00AA4399">
      <w:pPr>
        <w:widowControl/>
        <w:ind w:left="-51" w:right="-18"/>
        <w:jc w:val="center"/>
        <w:rPr>
          <w:rFonts w:ascii="Times New Roman" w:hAnsi="Times New Roman"/>
          <w:bCs/>
          <w:color w:val="000000"/>
          <w:szCs w:val="22"/>
          <w:lang w:val="pt-BR"/>
        </w:rPr>
      </w:pPr>
      <w:r w:rsidRPr="00D65A20">
        <w:rPr>
          <w:rFonts w:ascii="Times New Roman" w:hAnsi="Times New Roman"/>
          <w:bCs/>
          <w:color w:val="000000"/>
          <w:szCs w:val="22"/>
          <w:lang w:val="pt-BR"/>
        </w:rPr>
        <w:lastRenderedPageBreak/>
        <w:t>CAPÍTULO II.</w:t>
      </w:r>
    </w:p>
    <w:p w14:paraId="6E834420"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jc w:val="center"/>
        <w:rPr>
          <w:rFonts w:ascii="Times New Roman" w:hAnsi="Times New Roman"/>
          <w:bCs/>
          <w:color w:val="000000"/>
          <w:szCs w:val="22"/>
          <w:lang w:val="pt-BR"/>
        </w:rPr>
      </w:pPr>
      <w:r w:rsidRPr="00D65A20">
        <w:rPr>
          <w:rFonts w:ascii="Times New Roman" w:hAnsi="Times New Roman"/>
          <w:bCs/>
          <w:color w:val="000000"/>
          <w:szCs w:val="22"/>
          <w:lang w:val="pt-BR"/>
        </w:rPr>
        <w:tab/>
        <w:t>FORTALECIMENTO DAS ESTRUTURAS JURÍDICAS E INSTITUCIONAIS</w:t>
      </w:r>
    </w:p>
    <w:p w14:paraId="6E834421"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22" w14:textId="77777777" w:rsidR="000F1736" w:rsidRPr="00D65A20" w:rsidRDefault="000F1736" w:rsidP="00AA4399">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51" w:right="-18"/>
        <w:rPr>
          <w:rFonts w:ascii="Times New Roman" w:hAnsi="Times New Roman"/>
          <w:bCs/>
          <w:color w:val="000000"/>
          <w:szCs w:val="22"/>
          <w:vertAlign w:val="superscript"/>
          <w:lang w:val="pt-BR"/>
        </w:rPr>
      </w:pPr>
      <w:r w:rsidRPr="00D65A20">
        <w:rPr>
          <w:rFonts w:ascii="Times New Roman" w:hAnsi="Times New Roman"/>
          <w:bCs/>
          <w:color w:val="000000"/>
          <w:szCs w:val="22"/>
          <w:lang w:val="pt-BR"/>
        </w:rPr>
        <w:t>Artigo 4</w:t>
      </w:r>
      <w:r w:rsidRPr="00D65A20">
        <w:rPr>
          <w:rFonts w:ascii="Times New Roman" w:hAnsi="Times New Roman"/>
          <w:bCs/>
          <w:color w:val="000000"/>
          <w:szCs w:val="22"/>
          <w:vertAlign w:val="superscript"/>
          <w:lang w:val="pt-BR"/>
        </w:rPr>
        <w:t>o</w:t>
      </w:r>
    </w:p>
    <w:p w14:paraId="6E834423"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24"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Os Estados membros, à luz de seus ordenamentos internos, das obrigações internacionais e com apego ao respeito de sua soberania, reconhecem a importância do melhoramento e da implementação de boas práticas em matéria normativa, aplicáveis às atividades empresariais, a fim de atrair o investimento privado, mediante a criação de um ambiente de negócios estável e previsível, que possibilite avaliar os riscos existentes para as empresas.</w:t>
      </w:r>
    </w:p>
    <w:p w14:paraId="6E834425"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26" w14:textId="77777777" w:rsidR="000F1736" w:rsidRPr="00D65A20" w:rsidRDefault="000F1736" w:rsidP="00AA4399">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51" w:right="-18"/>
        <w:rPr>
          <w:rFonts w:ascii="Times New Roman" w:hAnsi="Times New Roman"/>
          <w:bCs/>
          <w:color w:val="000000"/>
          <w:szCs w:val="22"/>
          <w:vertAlign w:val="superscript"/>
          <w:lang w:val="pt-BR"/>
        </w:rPr>
      </w:pPr>
      <w:r w:rsidRPr="00D65A20">
        <w:rPr>
          <w:rFonts w:ascii="Times New Roman" w:hAnsi="Times New Roman"/>
          <w:bCs/>
          <w:color w:val="000000"/>
          <w:szCs w:val="22"/>
          <w:lang w:val="pt-BR"/>
        </w:rPr>
        <w:t>Artigo 5</w:t>
      </w:r>
      <w:r w:rsidRPr="00D65A20">
        <w:rPr>
          <w:rFonts w:ascii="Times New Roman" w:hAnsi="Times New Roman"/>
          <w:bCs/>
          <w:color w:val="000000"/>
          <w:szCs w:val="22"/>
          <w:vertAlign w:val="superscript"/>
          <w:lang w:val="pt-BR"/>
        </w:rPr>
        <w:t>o</w:t>
      </w:r>
    </w:p>
    <w:p w14:paraId="6E834427"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28"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Os Estados membros, em sua determinação e compromisso com o livre desenvolvimento empresarial, se obrigam a estimular políticas públicas e estruturas normativas que se orientem pela eliminação das barreiras administrativas, burocráticas e paratarifárias que dificultem a criação de novas empresas ou a extinção de empresas existentes.</w:t>
      </w:r>
    </w:p>
    <w:p w14:paraId="6E834429"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2A" w14:textId="77777777" w:rsidR="000F1736" w:rsidRPr="00D65A20" w:rsidRDefault="000F1736" w:rsidP="00AA4399">
      <w:pPr>
        <w:widowControl/>
        <w:ind w:left="-51" w:right="-18"/>
        <w:rPr>
          <w:rFonts w:ascii="Times New Roman" w:hAnsi="Times New Roman"/>
          <w:bCs/>
          <w:color w:val="000000"/>
          <w:szCs w:val="22"/>
          <w:vertAlign w:val="superscript"/>
          <w:lang w:val="pt-BR"/>
        </w:rPr>
      </w:pPr>
      <w:bookmarkStart w:id="56" w:name="_Hlk45287169"/>
      <w:r w:rsidRPr="00D65A20">
        <w:rPr>
          <w:rFonts w:ascii="Times New Roman" w:hAnsi="Times New Roman"/>
          <w:bCs/>
          <w:color w:val="000000"/>
          <w:szCs w:val="22"/>
          <w:lang w:val="pt-BR"/>
        </w:rPr>
        <w:t>Artigo 6</w:t>
      </w:r>
      <w:r w:rsidRPr="00D65A20">
        <w:rPr>
          <w:rFonts w:ascii="Times New Roman" w:hAnsi="Times New Roman"/>
          <w:bCs/>
          <w:color w:val="000000"/>
          <w:szCs w:val="22"/>
          <w:vertAlign w:val="superscript"/>
          <w:lang w:val="pt-BR"/>
        </w:rPr>
        <w:t>o</w:t>
      </w:r>
    </w:p>
    <w:p w14:paraId="6E83442B"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2C"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Os Estados membros promoverão o desenvolvimento de políticas e estruturas normativas que facilitem e diversifiquem as opções de que dispõem os empreendedores para o acesso a serviços financeiros e para a aquisição de novos conhecimentos e tecnologias, em especial aqueles que se relacionem a mecanismos de financiamento inovadores, para as etapas iniciais dos negócios, de modo a possibilitar às empresas inovar, produzir bens ou serviços com maior valor agregado e promover sua integração às cadeias de valor nacionais, regionais e internacionais.</w:t>
      </w:r>
      <w:bookmarkEnd w:id="56"/>
    </w:p>
    <w:p w14:paraId="6E83442D"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2E" w14:textId="77777777" w:rsidR="000F1736" w:rsidRPr="00D65A20" w:rsidRDefault="000F1736" w:rsidP="00AA4399">
      <w:pPr>
        <w:widowControl/>
        <w:ind w:left="-51" w:right="-18"/>
        <w:rPr>
          <w:rFonts w:ascii="Times New Roman" w:hAnsi="Times New Roman"/>
          <w:bCs/>
          <w:color w:val="000000"/>
          <w:szCs w:val="22"/>
          <w:lang w:val="pt-BR"/>
        </w:rPr>
      </w:pPr>
      <w:r w:rsidRPr="00D65A20">
        <w:rPr>
          <w:rFonts w:ascii="Times New Roman" w:hAnsi="Times New Roman"/>
          <w:bCs/>
          <w:color w:val="000000"/>
          <w:szCs w:val="22"/>
          <w:lang w:val="pt-BR"/>
        </w:rPr>
        <w:t>Artigo 7</w:t>
      </w:r>
      <w:r w:rsidRPr="00D65A20">
        <w:rPr>
          <w:rFonts w:ascii="Times New Roman" w:hAnsi="Times New Roman"/>
          <w:bCs/>
          <w:color w:val="000000"/>
          <w:szCs w:val="22"/>
          <w:vertAlign w:val="superscript"/>
          <w:lang w:val="pt-BR"/>
        </w:rPr>
        <w:t>o</w:t>
      </w:r>
      <w:r w:rsidRPr="00D65A20">
        <w:rPr>
          <w:rFonts w:ascii="Times New Roman" w:hAnsi="Times New Roman"/>
          <w:bCs/>
          <w:color w:val="000000"/>
          <w:szCs w:val="22"/>
          <w:lang w:val="pt-BR"/>
        </w:rPr>
        <w:t xml:space="preserve"> </w:t>
      </w:r>
    </w:p>
    <w:p w14:paraId="6E83442F"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30"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Os Estados membros formularão políticas de produtividade e competitividade que contribuam para o crescimento das MPMEs, como peça fundamental para o desenvolvimento sustentável de nossos países, facilitando sua transformação digital, sua inovação, a renovação de sua produção, sua internacionalização e o melhoramento de seus processos, além do surgimento de novos modelos de negócios.</w:t>
      </w:r>
    </w:p>
    <w:p w14:paraId="6E834431"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32" w14:textId="6656C7F6" w:rsidR="000F1736" w:rsidRPr="00D65A20" w:rsidRDefault="00E34A5E"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1" w:right="-18"/>
        <w:contextualSpacing/>
        <w:jc w:val="center"/>
        <w:rPr>
          <w:rFonts w:ascii="Times New Roman" w:eastAsia="Calibri" w:hAnsi="Times New Roman"/>
          <w:bCs/>
          <w:color w:val="000000"/>
          <w:szCs w:val="22"/>
          <w:lang w:val="pt-BR"/>
        </w:rPr>
      </w:pPr>
      <w:r w:rsidRPr="00D65A20">
        <w:rPr>
          <w:rFonts w:ascii="Times New Roman" w:eastAsia="Calibri" w:hAnsi="Times New Roman"/>
          <w:bCs/>
          <w:color w:val="000000"/>
          <w:szCs w:val="22"/>
          <w:lang w:val="pt-BR"/>
        </w:rPr>
        <w:t>CAPÍTULO</w:t>
      </w:r>
      <w:r w:rsidR="000F1736" w:rsidRPr="00D65A20">
        <w:rPr>
          <w:rFonts w:ascii="Times New Roman" w:eastAsia="Calibri" w:hAnsi="Times New Roman"/>
          <w:bCs/>
          <w:color w:val="000000"/>
          <w:szCs w:val="22"/>
          <w:lang w:val="pt-BR"/>
        </w:rPr>
        <w:t xml:space="preserve"> III.</w:t>
      </w:r>
    </w:p>
    <w:p w14:paraId="6E834433"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jc w:val="center"/>
        <w:rPr>
          <w:rFonts w:ascii="Times New Roman" w:hAnsi="Times New Roman"/>
          <w:bCs/>
          <w:color w:val="000000"/>
          <w:szCs w:val="22"/>
          <w:lang w:val="pt-BR"/>
        </w:rPr>
      </w:pPr>
      <w:r w:rsidRPr="00D65A20">
        <w:rPr>
          <w:rFonts w:ascii="Times New Roman" w:hAnsi="Times New Roman"/>
          <w:bCs/>
          <w:color w:val="000000"/>
          <w:szCs w:val="22"/>
          <w:lang w:val="pt-BR"/>
        </w:rPr>
        <w:t>PAPEL DO INVESTIMENTO ESTRANGEIRO E DO COMÉRCIO INTERNACIONAL</w:t>
      </w:r>
    </w:p>
    <w:p w14:paraId="6E834434"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35" w14:textId="77777777" w:rsidR="000F1736" w:rsidRPr="00D65A20" w:rsidRDefault="000F1736" w:rsidP="00AA4399">
      <w:pPr>
        <w:widowControl/>
        <w:ind w:left="-51" w:right="-18"/>
        <w:rPr>
          <w:rFonts w:ascii="Times New Roman" w:hAnsi="Times New Roman"/>
          <w:bCs/>
          <w:color w:val="000000"/>
          <w:szCs w:val="22"/>
          <w:vertAlign w:val="superscript"/>
          <w:lang w:val="pt-BR"/>
        </w:rPr>
      </w:pPr>
      <w:r w:rsidRPr="00D65A20">
        <w:rPr>
          <w:rFonts w:ascii="Times New Roman" w:hAnsi="Times New Roman"/>
          <w:bCs/>
          <w:color w:val="000000"/>
          <w:szCs w:val="22"/>
          <w:lang w:val="pt-BR"/>
        </w:rPr>
        <w:t>Artigo 8</w:t>
      </w:r>
      <w:r w:rsidR="000411F9" w:rsidRPr="00D65A20">
        <w:rPr>
          <w:rFonts w:ascii="Times New Roman" w:hAnsi="Times New Roman"/>
          <w:bCs/>
          <w:color w:val="000000"/>
          <w:szCs w:val="22"/>
          <w:vertAlign w:val="superscript"/>
          <w:lang w:val="pt-BR"/>
        </w:rPr>
        <w:t>o</w:t>
      </w:r>
    </w:p>
    <w:p w14:paraId="6E834436"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37" w14:textId="6FD70D0A"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Os Estados membros estimularão</w:t>
      </w:r>
      <w:r w:rsidR="00C6598B" w:rsidRPr="00D65A20">
        <w:rPr>
          <w:rFonts w:ascii="Times New Roman" w:hAnsi="Times New Roman"/>
          <w:bCs/>
          <w:color w:val="000000"/>
          <w:szCs w:val="22"/>
          <w:lang w:val="pt-BR"/>
        </w:rPr>
        <w:t>,</w:t>
      </w:r>
      <w:r w:rsidRPr="00D65A20">
        <w:rPr>
          <w:rFonts w:ascii="Times New Roman" w:hAnsi="Times New Roman"/>
          <w:bCs/>
          <w:color w:val="000000"/>
          <w:szCs w:val="22"/>
          <w:lang w:val="pt-BR"/>
        </w:rPr>
        <w:t xml:space="preserve"> por meio de mecanismos de cooperação internacional para o desenvolvimento, como a </w:t>
      </w:r>
      <w:r w:rsidR="00ED51C4" w:rsidRPr="00D65A20">
        <w:rPr>
          <w:rFonts w:ascii="Times New Roman" w:hAnsi="Times New Roman"/>
          <w:bCs/>
          <w:color w:val="000000"/>
          <w:szCs w:val="22"/>
          <w:lang w:val="pt-BR"/>
        </w:rPr>
        <w:t xml:space="preserve">assistência oficial para o desenvolvimento </w:t>
      </w:r>
      <w:r w:rsidRPr="00D65A20">
        <w:rPr>
          <w:rFonts w:ascii="Times New Roman" w:hAnsi="Times New Roman"/>
          <w:bCs/>
          <w:color w:val="000000"/>
          <w:szCs w:val="22"/>
          <w:lang w:val="pt-BR"/>
        </w:rPr>
        <w:t xml:space="preserve">e a </w:t>
      </w:r>
      <w:r w:rsidR="00ED51C4" w:rsidRPr="00D65A20">
        <w:rPr>
          <w:rFonts w:ascii="Times New Roman" w:hAnsi="Times New Roman"/>
          <w:bCs/>
          <w:color w:val="000000"/>
          <w:szCs w:val="22"/>
          <w:lang w:val="pt-BR"/>
        </w:rPr>
        <w:t>c</w:t>
      </w:r>
      <w:r w:rsidRPr="00D65A20">
        <w:rPr>
          <w:rFonts w:ascii="Times New Roman" w:hAnsi="Times New Roman"/>
          <w:bCs/>
          <w:color w:val="000000"/>
          <w:szCs w:val="22"/>
          <w:lang w:val="pt-BR"/>
        </w:rPr>
        <w:t xml:space="preserve">ooperação Sul-Sul e </w:t>
      </w:r>
      <w:r w:rsidR="00ED51C4" w:rsidRPr="00D65A20">
        <w:rPr>
          <w:rFonts w:ascii="Times New Roman" w:hAnsi="Times New Roman"/>
          <w:bCs/>
          <w:color w:val="000000"/>
          <w:szCs w:val="22"/>
          <w:lang w:val="pt-BR"/>
        </w:rPr>
        <w:t>t</w:t>
      </w:r>
      <w:r w:rsidRPr="00D65A20">
        <w:rPr>
          <w:rFonts w:ascii="Times New Roman" w:hAnsi="Times New Roman"/>
          <w:bCs/>
          <w:color w:val="000000"/>
          <w:szCs w:val="22"/>
          <w:lang w:val="pt-BR"/>
        </w:rPr>
        <w:t>riangular, bem como as parcerias multiatores</w:t>
      </w:r>
      <w:r w:rsidR="00C6598B" w:rsidRPr="00D65A20">
        <w:rPr>
          <w:rFonts w:ascii="Times New Roman" w:hAnsi="Times New Roman"/>
          <w:bCs/>
          <w:color w:val="000000"/>
          <w:szCs w:val="22"/>
          <w:lang w:val="pt-BR"/>
        </w:rPr>
        <w:t>,</w:t>
      </w:r>
      <w:r w:rsidRPr="00D65A20">
        <w:rPr>
          <w:rFonts w:ascii="Times New Roman" w:hAnsi="Times New Roman"/>
          <w:bCs/>
          <w:color w:val="000000"/>
          <w:szCs w:val="22"/>
          <w:lang w:val="pt-BR"/>
        </w:rPr>
        <w:t xml:space="preserve"> o fortalecimento da infraestrutura produtiva, tecnológica, logística e de transporte, para a consecução de um ecossistema favorável à geração de novas e diversas iniciativas empresariais, em especial as localizadas em áreas mais isoladas e vulneráveis de cada Estado. </w:t>
      </w:r>
    </w:p>
    <w:p w14:paraId="6E834438"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39" w14:textId="43106945" w:rsidR="000F1736" w:rsidRPr="00D65A20" w:rsidRDefault="00E34A5E"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1" w:right="-18"/>
        <w:contextualSpacing/>
        <w:jc w:val="center"/>
        <w:rPr>
          <w:rFonts w:ascii="Times New Roman" w:eastAsia="Calibri" w:hAnsi="Times New Roman"/>
          <w:bCs/>
          <w:color w:val="000000"/>
          <w:szCs w:val="22"/>
          <w:lang w:val="pt-BR"/>
        </w:rPr>
      </w:pPr>
      <w:r w:rsidRPr="00D65A20">
        <w:rPr>
          <w:rFonts w:ascii="Times New Roman" w:eastAsia="Calibri" w:hAnsi="Times New Roman"/>
          <w:bCs/>
          <w:color w:val="000000"/>
          <w:szCs w:val="22"/>
          <w:lang w:val="pt-BR"/>
        </w:rPr>
        <w:lastRenderedPageBreak/>
        <w:t>CAPÍTULO</w:t>
      </w:r>
      <w:r w:rsidR="000F1736" w:rsidRPr="00D65A20">
        <w:rPr>
          <w:rFonts w:ascii="Times New Roman" w:eastAsia="Calibri" w:hAnsi="Times New Roman"/>
          <w:bCs/>
          <w:color w:val="000000"/>
          <w:szCs w:val="22"/>
          <w:lang w:val="pt-BR"/>
        </w:rPr>
        <w:t xml:space="preserve"> IV.</w:t>
      </w:r>
    </w:p>
    <w:p w14:paraId="6E83443A"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jc w:val="center"/>
        <w:rPr>
          <w:rFonts w:ascii="Times New Roman" w:hAnsi="Times New Roman"/>
          <w:bCs/>
          <w:color w:val="000000"/>
          <w:szCs w:val="22"/>
          <w:lang w:val="pt-BR"/>
        </w:rPr>
      </w:pPr>
      <w:r w:rsidRPr="00D65A20">
        <w:rPr>
          <w:rFonts w:ascii="Times New Roman" w:hAnsi="Times New Roman"/>
          <w:bCs/>
          <w:color w:val="000000"/>
          <w:szCs w:val="22"/>
          <w:lang w:val="pt-BR"/>
        </w:rPr>
        <w:t>PAPEL DAS MICRO, PEQUENAS E MÉDIAS EMPRESAS</w:t>
      </w:r>
    </w:p>
    <w:p w14:paraId="6E83443B"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3C" w14:textId="77777777" w:rsidR="000F1736" w:rsidRPr="00D65A20" w:rsidRDefault="000F1736" w:rsidP="00AA4399">
      <w:pPr>
        <w:widowControl/>
        <w:ind w:left="-51" w:right="-18"/>
        <w:rPr>
          <w:rFonts w:ascii="Times New Roman" w:hAnsi="Times New Roman"/>
          <w:bCs/>
          <w:color w:val="000000"/>
          <w:szCs w:val="22"/>
          <w:vertAlign w:val="superscript"/>
          <w:lang w:val="pt-BR"/>
        </w:rPr>
      </w:pPr>
      <w:r w:rsidRPr="00D65A20">
        <w:rPr>
          <w:rFonts w:ascii="Times New Roman" w:hAnsi="Times New Roman"/>
          <w:bCs/>
          <w:color w:val="000000"/>
          <w:szCs w:val="22"/>
          <w:lang w:val="pt-BR"/>
        </w:rPr>
        <w:t>Artigo 9</w:t>
      </w:r>
      <w:r w:rsidRPr="00D65A20">
        <w:rPr>
          <w:rFonts w:ascii="Times New Roman" w:hAnsi="Times New Roman"/>
          <w:bCs/>
          <w:color w:val="000000"/>
          <w:szCs w:val="22"/>
          <w:vertAlign w:val="superscript"/>
          <w:lang w:val="pt-BR"/>
        </w:rPr>
        <w:t>o</w:t>
      </w:r>
    </w:p>
    <w:p w14:paraId="6E83443D"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3E"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Os Estados membros reconhecem o papel das micro, pequenas e médias empresas como motores de crescimento e como fatores fundamentais na redução da pobreza, no fomento do desenvolvimento sustentável, na formalização do emprego e na inclusão social.</w:t>
      </w:r>
    </w:p>
    <w:p w14:paraId="6E83443F" w14:textId="77777777" w:rsidR="000F1736" w:rsidRPr="00D65A20" w:rsidRDefault="000F1736" w:rsidP="00AA4399">
      <w:pPr>
        <w:widowControl/>
        <w:jc w:val="left"/>
        <w:rPr>
          <w:rFonts w:ascii="Times New Roman" w:hAnsi="Times New Roman"/>
          <w:bCs/>
          <w:color w:val="000000"/>
          <w:szCs w:val="22"/>
          <w:lang w:val="pt-BR"/>
        </w:rPr>
      </w:pPr>
    </w:p>
    <w:p w14:paraId="6E834440" w14:textId="77777777" w:rsidR="000F1736" w:rsidRPr="00D65A20" w:rsidRDefault="000F1736" w:rsidP="00AA4399">
      <w:pPr>
        <w:widowControl/>
        <w:jc w:val="left"/>
        <w:rPr>
          <w:rFonts w:ascii="Times New Roman" w:hAnsi="Times New Roman"/>
          <w:bCs/>
          <w:color w:val="000000"/>
          <w:szCs w:val="22"/>
          <w:lang w:val="pt-BR"/>
        </w:rPr>
      </w:pPr>
      <w:r w:rsidRPr="00D65A20">
        <w:rPr>
          <w:rFonts w:ascii="Times New Roman" w:hAnsi="Times New Roman"/>
          <w:bCs/>
          <w:color w:val="000000"/>
          <w:szCs w:val="22"/>
          <w:lang w:val="pt-BR"/>
        </w:rPr>
        <w:t>Artigo 10</w:t>
      </w:r>
    </w:p>
    <w:p w14:paraId="6E834441" w14:textId="77777777" w:rsidR="000F1736" w:rsidRPr="00D65A20" w:rsidRDefault="000F1736" w:rsidP="00AA4399">
      <w:pPr>
        <w:widowControl/>
        <w:jc w:val="left"/>
        <w:rPr>
          <w:rFonts w:ascii="Times New Roman" w:hAnsi="Times New Roman"/>
          <w:bCs/>
          <w:color w:val="000000"/>
          <w:szCs w:val="22"/>
          <w:lang w:val="pt-BR"/>
        </w:rPr>
      </w:pPr>
    </w:p>
    <w:p w14:paraId="6E834442"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Os Estados membros se empenharão no estabelecimento de modalidades adequadas de financiamento, que possibilitem aumentar o número de micro, pequenas e médias empresas, fomentar seu desenvolvimento e propiciar seu crescimento.</w:t>
      </w:r>
    </w:p>
    <w:p w14:paraId="6E834443"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44" w14:textId="77777777" w:rsidR="000F1736" w:rsidRPr="00D65A20" w:rsidRDefault="000F1736" w:rsidP="00AA4399">
      <w:pPr>
        <w:widowControl/>
        <w:ind w:left="-51" w:right="-18"/>
        <w:rPr>
          <w:rFonts w:ascii="Times New Roman" w:hAnsi="Times New Roman"/>
          <w:bCs/>
          <w:color w:val="000000"/>
          <w:szCs w:val="22"/>
          <w:lang w:val="pt-BR"/>
        </w:rPr>
      </w:pPr>
      <w:r w:rsidRPr="00D65A20">
        <w:rPr>
          <w:rFonts w:ascii="Times New Roman" w:hAnsi="Times New Roman"/>
          <w:bCs/>
          <w:color w:val="000000"/>
          <w:szCs w:val="22"/>
          <w:lang w:val="pt-BR"/>
        </w:rPr>
        <w:t>Artigo 11</w:t>
      </w:r>
    </w:p>
    <w:p w14:paraId="6E834445"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46"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Os Estados membros fortalecerão a capacidade empresarial das mulheres da região, mediante políticas de capacitação e serviços de assessoramento, nos campos comercial, administrativo e das tecnologias da informação e das comunicações, trabalhando em estreita colaboração com o setor privado para aumentar sua participação em cargos de tomada de decisões no interior das empresas.</w:t>
      </w:r>
    </w:p>
    <w:p w14:paraId="6E834447"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48" w14:textId="77777777" w:rsidR="000F1736" w:rsidRPr="00D65A20" w:rsidRDefault="000F1736" w:rsidP="00AA4399">
      <w:pPr>
        <w:widowControl/>
        <w:ind w:left="-51" w:right="-18"/>
        <w:rPr>
          <w:rFonts w:ascii="Times New Roman" w:hAnsi="Times New Roman"/>
          <w:bCs/>
          <w:color w:val="000000"/>
          <w:szCs w:val="22"/>
          <w:lang w:val="pt-BR"/>
        </w:rPr>
      </w:pPr>
      <w:r w:rsidRPr="00D65A20">
        <w:rPr>
          <w:rFonts w:ascii="Times New Roman" w:hAnsi="Times New Roman"/>
          <w:bCs/>
          <w:color w:val="000000"/>
          <w:szCs w:val="22"/>
          <w:lang w:val="pt-BR"/>
        </w:rPr>
        <w:t>Artigo 12</w:t>
      </w:r>
    </w:p>
    <w:p w14:paraId="6E834449"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4A"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Os Estados membros incentivarão políticas para reforçar o financiamento das micro, pequenas e médias empresas pertencentes a mulheres, a fim de criar um clima propício ao aumento do número de empresárias e do porte de suas empresas, elevando os níveis gerais de produtividade dos países do Hemisfério.</w:t>
      </w:r>
    </w:p>
    <w:p w14:paraId="6E83444B"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4C" w14:textId="77777777" w:rsidR="000F1736" w:rsidRPr="00D65A20" w:rsidRDefault="000F1736" w:rsidP="00AA4399">
      <w:pPr>
        <w:widowControl/>
        <w:ind w:left="-51" w:right="-18"/>
        <w:rPr>
          <w:rFonts w:ascii="Times New Roman" w:hAnsi="Times New Roman"/>
          <w:bCs/>
          <w:color w:val="000000"/>
          <w:szCs w:val="22"/>
          <w:lang w:val="pt-BR"/>
        </w:rPr>
      </w:pPr>
      <w:r w:rsidRPr="00D65A20">
        <w:rPr>
          <w:rFonts w:ascii="Times New Roman" w:hAnsi="Times New Roman"/>
          <w:bCs/>
          <w:color w:val="000000"/>
          <w:szCs w:val="22"/>
          <w:lang w:val="pt-BR"/>
        </w:rPr>
        <w:t>Artigo 13</w:t>
      </w:r>
    </w:p>
    <w:p w14:paraId="6E83444D"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4E" w14:textId="6991C1E4"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Os Estados membros promoverão planos ambiciosos, que ofereçam estratégias de crescimento para os empresários, tais como zonas/centros de inovação, capacitação, incubação e aceleração de empreendimentos</w:t>
      </w:r>
      <w:r w:rsidR="00C6598B" w:rsidRPr="00D65A20">
        <w:rPr>
          <w:rFonts w:ascii="Times New Roman" w:hAnsi="Times New Roman"/>
          <w:bCs/>
          <w:color w:val="000000"/>
          <w:szCs w:val="22"/>
          <w:lang w:val="pt-BR"/>
        </w:rPr>
        <w:t>, e que tam</w:t>
      </w:r>
      <w:r w:rsidR="001E32D0" w:rsidRPr="00D65A20">
        <w:rPr>
          <w:rFonts w:ascii="Times New Roman" w:hAnsi="Times New Roman"/>
          <w:bCs/>
          <w:color w:val="000000"/>
          <w:szCs w:val="22"/>
          <w:lang w:val="pt-BR"/>
        </w:rPr>
        <w:t xml:space="preserve">bém </w:t>
      </w:r>
      <w:r w:rsidR="00C6598B" w:rsidRPr="00D65A20">
        <w:rPr>
          <w:rFonts w:ascii="Times New Roman" w:hAnsi="Times New Roman"/>
          <w:bCs/>
          <w:color w:val="000000"/>
          <w:szCs w:val="22"/>
          <w:lang w:val="pt-BR"/>
        </w:rPr>
        <w:t xml:space="preserve">disponham </w:t>
      </w:r>
      <w:r w:rsidRPr="00D65A20">
        <w:rPr>
          <w:rFonts w:ascii="Times New Roman" w:hAnsi="Times New Roman"/>
          <w:bCs/>
          <w:color w:val="000000"/>
          <w:szCs w:val="22"/>
          <w:lang w:val="pt-BR"/>
        </w:rPr>
        <w:t>a vinculação do empreendimento à educação.</w:t>
      </w:r>
    </w:p>
    <w:p w14:paraId="6E83444F"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50" w14:textId="7E2F4D74" w:rsidR="000F1736" w:rsidRPr="00D65A20" w:rsidRDefault="00E34A5E"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1" w:right="-18"/>
        <w:contextualSpacing/>
        <w:jc w:val="center"/>
        <w:rPr>
          <w:rFonts w:ascii="Times New Roman" w:eastAsia="Calibri" w:hAnsi="Times New Roman"/>
          <w:bCs/>
          <w:caps/>
          <w:color w:val="000000"/>
          <w:szCs w:val="22"/>
          <w:lang w:val="pt-BR"/>
        </w:rPr>
      </w:pPr>
      <w:r w:rsidRPr="00D65A20">
        <w:rPr>
          <w:rFonts w:ascii="Times New Roman" w:eastAsia="Calibri" w:hAnsi="Times New Roman"/>
          <w:bCs/>
          <w:caps/>
          <w:color w:val="000000"/>
          <w:szCs w:val="22"/>
          <w:lang w:val="pt-BR"/>
        </w:rPr>
        <w:t>CAPÍTULO</w:t>
      </w:r>
      <w:r w:rsidR="000F1736" w:rsidRPr="00D65A20">
        <w:rPr>
          <w:rFonts w:ascii="Times New Roman" w:eastAsia="Calibri" w:hAnsi="Times New Roman"/>
          <w:bCs/>
          <w:caps/>
          <w:color w:val="000000"/>
          <w:szCs w:val="22"/>
          <w:lang w:val="pt-BR"/>
        </w:rPr>
        <w:t xml:space="preserve"> V.</w:t>
      </w:r>
    </w:p>
    <w:p w14:paraId="6E834451"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jc w:val="center"/>
        <w:rPr>
          <w:rFonts w:ascii="Times New Roman" w:hAnsi="Times New Roman"/>
          <w:bCs/>
          <w:caps/>
          <w:color w:val="000000"/>
          <w:szCs w:val="22"/>
          <w:lang w:val="pt-BR"/>
        </w:rPr>
      </w:pPr>
      <w:r w:rsidRPr="00D65A20">
        <w:rPr>
          <w:rFonts w:ascii="Times New Roman" w:hAnsi="Times New Roman"/>
          <w:bCs/>
          <w:caps/>
          <w:color w:val="000000"/>
          <w:szCs w:val="22"/>
          <w:lang w:val="pt-BR"/>
        </w:rPr>
        <w:t>CompromisSos coM A formalização, O emprego e a educação</w:t>
      </w:r>
    </w:p>
    <w:p w14:paraId="6E834452"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aps/>
          <w:color w:val="000000"/>
          <w:szCs w:val="22"/>
          <w:lang w:val="pt-BR"/>
        </w:rPr>
      </w:pPr>
    </w:p>
    <w:p w14:paraId="6E834453" w14:textId="77777777" w:rsidR="000F1736" w:rsidRPr="00D65A20" w:rsidRDefault="000F1736" w:rsidP="00AA4399">
      <w:pPr>
        <w:widowControl/>
        <w:ind w:left="-51" w:right="-18"/>
        <w:rPr>
          <w:rFonts w:ascii="Times New Roman" w:hAnsi="Times New Roman"/>
          <w:bCs/>
          <w:color w:val="000000"/>
          <w:szCs w:val="22"/>
          <w:lang w:val="pt-BR"/>
        </w:rPr>
      </w:pPr>
      <w:r w:rsidRPr="00D65A20">
        <w:rPr>
          <w:rFonts w:ascii="Times New Roman" w:hAnsi="Times New Roman"/>
          <w:bCs/>
          <w:color w:val="000000"/>
          <w:szCs w:val="22"/>
          <w:lang w:val="pt-BR"/>
        </w:rPr>
        <w:t>Artigo 14</w:t>
      </w:r>
    </w:p>
    <w:p w14:paraId="6E834454"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55"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Os Estados membros promoverão a formulação e a implementação de políticas adequadas que contribuam para a formalização empresarial, como medida para combater a desigualdade e melhorar a produtividade, a arrecadação fiscal e o crescimento econômico; e apoiarão o papel do setor privado de contribuir para a melhor qualidade do emprego, conscientes de que, por meio da formalização, será possível conquistar maiores salários, maior segurança no trabalho e melhores condições laborais, em comparação com a economia informal.</w:t>
      </w:r>
    </w:p>
    <w:p w14:paraId="6E834456"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57" w14:textId="77777777" w:rsidR="000F1736" w:rsidRPr="00D65A20" w:rsidRDefault="000F1736" w:rsidP="00AA4399">
      <w:pPr>
        <w:widowControl/>
        <w:ind w:left="-51" w:right="-18"/>
        <w:rPr>
          <w:rFonts w:ascii="Times New Roman" w:hAnsi="Times New Roman"/>
          <w:bCs/>
          <w:color w:val="000000"/>
          <w:szCs w:val="22"/>
          <w:lang w:val="pt-BR"/>
        </w:rPr>
      </w:pPr>
      <w:r w:rsidRPr="00D65A20">
        <w:rPr>
          <w:rFonts w:ascii="Times New Roman" w:hAnsi="Times New Roman"/>
          <w:bCs/>
          <w:color w:val="000000"/>
          <w:szCs w:val="22"/>
          <w:lang w:val="pt-BR"/>
        </w:rPr>
        <w:lastRenderedPageBreak/>
        <w:t xml:space="preserve">Artigo 15 </w:t>
      </w:r>
    </w:p>
    <w:p w14:paraId="6E834458"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59"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É prioridade dos Estados membros promover a iniciativa empresarial e a educação empreendedora, consolidando os esforços por conseguir incentivar o empreendimento, com enfoque diferencial.</w:t>
      </w:r>
    </w:p>
    <w:p w14:paraId="6E83445A"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5B" w14:textId="77777777" w:rsidR="000F1736" w:rsidRPr="00D65A20" w:rsidRDefault="000F1736" w:rsidP="00AA4399">
      <w:pPr>
        <w:widowControl/>
        <w:ind w:left="-51" w:right="-18"/>
        <w:rPr>
          <w:rFonts w:ascii="Times New Roman" w:hAnsi="Times New Roman"/>
          <w:bCs/>
          <w:color w:val="000000"/>
          <w:szCs w:val="22"/>
          <w:lang w:val="pt-BR"/>
        </w:rPr>
      </w:pPr>
      <w:r w:rsidRPr="00D65A20">
        <w:rPr>
          <w:rFonts w:ascii="Times New Roman" w:hAnsi="Times New Roman"/>
          <w:bCs/>
          <w:color w:val="000000"/>
          <w:szCs w:val="22"/>
          <w:lang w:val="pt-BR"/>
        </w:rPr>
        <w:t>Artigo 16</w:t>
      </w:r>
    </w:p>
    <w:p w14:paraId="6E83445C"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5D"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Os Estados membros incentivarão a adoção de medidas para a oferta de uma educação para o trabalho e o desenvolvimento humano, que se articulem com as necessidades da sociedade e do mercado de trabalho atual, e que possibilitem o acesso ao trabalho decente e ao empreendimento; em especial, apoiarão as ações que incentivem parcerias estratégicas com o setor privado e o setor acadêmico, bem como aquelas que incorporem um enfoque de gênero, para desse modo tornar mais relevantes as habilidades dos trabalhadores no mercado laboral, com especial ênfase nos campos de ciência, tecnologia, robótica e engenharia.</w:t>
      </w:r>
    </w:p>
    <w:p w14:paraId="6E83445E"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5F" w14:textId="67D4A5EC" w:rsidR="000F1736" w:rsidRPr="00D65A20" w:rsidRDefault="00E34A5E"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1" w:right="-18"/>
        <w:contextualSpacing/>
        <w:jc w:val="center"/>
        <w:rPr>
          <w:rFonts w:ascii="Times New Roman" w:eastAsia="Calibri" w:hAnsi="Times New Roman"/>
          <w:bCs/>
          <w:caps/>
          <w:color w:val="000000"/>
          <w:szCs w:val="22"/>
          <w:lang w:val="pt-BR"/>
        </w:rPr>
      </w:pPr>
      <w:r w:rsidRPr="00D65A20">
        <w:rPr>
          <w:rFonts w:ascii="Times New Roman" w:eastAsia="Calibri" w:hAnsi="Times New Roman"/>
          <w:bCs/>
          <w:caps/>
          <w:color w:val="000000"/>
          <w:szCs w:val="22"/>
          <w:lang w:val="pt-BR"/>
        </w:rPr>
        <w:t>CAPÍTULO</w:t>
      </w:r>
      <w:r w:rsidR="000F1736" w:rsidRPr="00D65A20">
        <w:rPr>
          <w:rFonts w:ascii="Times New Roman" w:eastAsia="Calibri" w:hAnsi="Times New Roman"/>
          <w:bCs/>
          <w:caps/>
          <w:color w:val="000000"/>
          <w:szCs w:val="22"/>
          <w:lang w:val="pt-BR"/>
        </w:rPr>
        <w:t xml:space="preserve"> VI.</w:t>
      </w:r>
    </w:p>
    <w:p w14:paraId="6E834460"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jc w:val="center"/>
        <w:rPr>
          <w:rFonts w:ascii="Times New Roman" w:hAnsi="Times New Roman"/>
          <w:bCs/>
          <w:caps/>
          <w:color w:val="000000"/>
          <w:szCs w:val="22"/>
          <w:lang w:val="pt-BR"/>
        </w:rPr>
      </w:pPr>
      <w:r w:rsidRPr="00D65A20">
        <w:rPr>
          <w:rFonts w:ascii="Times New Roman" w:hAnsi="Times New Roman"/>
          <w:bCs/>
          <w:caps/>
          <w:color w:val="000000"/>
          <w:szCs w:val="22"/>
          <w:lang w:val="pt-BR"/>
        </w:rPr>
        <w:t>Inovação empresarial, adoção tecnológica e economIas crIativas</w:t>
      </w:r>
    </w:p>
    <w:p w14:paraId="6E834461"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aps/>
          <w:color w:val="000000"/>
          <w:szCs w:val="22"/>
          <w:lang w:val="pt-BR"/>
        </w:rPr>
      </w:pPr>
    </w:p>
    <w:p w14:paraId="6E834462" w14:textId="77777777" w:rsidR="000F1736" w:rsidRPr="00D65A20" w:rsidRDefault="000F1736" w:rsidP="00AA4399">
      <w:pPr>
        <w:widowControl/>
        <w:ind w:left="-51" w:right="-18"/>
        <w:rPr>
          <w:rFonts w:ascii="Times New Roman" w:hAnsi="Times New Roman"/>
          <w:bCs/>
          <w:color w:val="000000"/>
          <w:szCs w:val="22"/>
          <w:lang w:val="pt-BR"/>
        </w:rPr>
      </w:pPr>
      <w:r w:rsidRPr="00D65A20">
        <w:rPr>
          <w:rFonts w:ascii="Times New Roman" w:hAnsi="Times New Roman"/>
          <w:bCs/>
          <w:color w:val="000000"/>
          <w:szCs w:val="22"/>
          <w:lang w:val="pt-BR"/>
        </w:rPr>
        <w:t>Artigo 17</w:t>
      </w:r>
    </w:p>
    <w:p w14:paraId="6E834463"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64"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 xml:space="preserve">Os Estados membros construirão iniciativas de fomento à inovação aberta, que promovam a colaboração e a interconexão de grandes companhias, empresas de recente criação e MPMEs. </w:t>
      </w:r>
    </w:p>
    <w:p w14:paraId="6E834465"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66" w14:textId="77777777" w:rsidR="000F1736" w:rsidRPr="00D65A20" w:rsidRDefault="000F1736" w:rsidP="00AA4399">
      <w:pPr>
        <w:widowControl/>
        <w:ind w:left="-51" w:right="-18"/>
        <w:rPr>
          <w:rFonts w:ascii="Times New Roman" w:hAnsi="Times New Roman"/>
          <w:bCs/>
          <w:color w:val="000000"/>
          <w:szCs w:val="22"/>
          <w:lang w:val="pt-BR"/>
        </w:rPr>
      </w:pPr>
      <w:r w:rsidRPr="00D65A20">
        <w:rPr>
          <w:rFonts w:ascii="Times New Roman" w:hAnsi="Times New Roman"/>
          <w:bCs/>
          <w:color w:val="000000"/>
          <w:szCs w:val="22"/>
          <w:lang w:val="pt-BR"/>
        </w:rPr>
        <w:t>Artigo 18</w:t>
      </w:r>
    </w:p>
    <w:p w14:paraId="6E834467"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68"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 xml:space="preserve">Os Estados membros estimularão políticas públicas às quais se incorporem a inovação como motor da transformação estrutural, da modernização, da eficácia, da transparência, da participação e da responsabilização, desse modo contribuindo para o fortalecimento dos sistemas democráticos e a consecução do desenvolvimento inclusivo e sustentável. </w:t>
      </w:r>
    </w:p>
    <w:p w14:paraId="6E834469"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6A" w14:textId="77777777" w:rsidR="000F1736" w:rsidRPr="00D65A20" w:rsidRDefault="000F1736" w:rsidP="00AA4399">
      <w:pPr>
        <w:widowControl/>
        <w:ind w:left="-51" w:right="-18"/>
        <w:rPr>
          <w:rFonts w:ascii="Times New Roman" w:hAnsi="Times New Roman"/>
          <w:bCs/>
          <w:color w:val="000000"/>
          <w:szCs w:val="22"/>
          <w:lang w:val="pt-BR"/>
        </w:rPr>
      </w:pPr>
      <w:r w:rsidRPr="00D65A20">
        <w:rPr>
          <w:rFonts w:ascii="Times New Roman" w:hAnsi="Times New Roman"/>
          <w:bCs/>
          <w:color w:val="000000"/>
          <w:szCs w:val="22"/>
          <w:lang w:val="pt-BR"/>
        </w:rPr>
        <w:t>Artigo 19</w:t>
      </w:r>
    </w:p>
    <w:p w14:paraId="6E83446B"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6C"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Os Estados membros incentivarão a cooperação hemisférica para promover ecossistemas de inovação, em que o melhoramento das atividades, processos e tecnologias gere valor econômico, social e ambiental para todos os atores da sociedade, obedecendo a princípios de colaboração, produção sustentável e acesso viável a produtos e serviços essenciais.</w:t>
      </w:r>
    </w:p>
    <w:p w14:paraId="6E83446D"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6E" w14:textId="0A25F8D5" w:rsidR="000F1736" w:rsidRPr="00D65A20" w:rsidRDefault="000F1736" w:rsidP="00AA4399">
      <w:pPr>
        <w:widowControl/>
        <w:ind w:left="-51" w:right="-18"/>
        <w:rPr>
          <w:rFonts w:ascii="Times New Roman" w:hAnsi="Times New Roman"/>
          <w:bCs/>
          <w:color w:val="000000"/>
          <w:szCs w:val="22"/>
          <w:lang w:val="pt-BR"/>
        </w:rPr>
      </w:pPr>
      <w:r w:rsidRPr="00D65A20">
        <w:rPr>
          <w:rFonts w:ascii="Times New Roman" w:hAnsi="Times New Roman"/>
          <w:bCs/>
          <w:caps/>
          <w:color w:val="000000"/>
          <w:szCs w:val="22"/>
          <w:lang w:val="pt-BR"/>
        </w:rPr>
        <w:t>a</w:t>
      </w:r>
      <w:r w:rsidRPr="00D65A20">
        <w:rPr>
          <w:rFonts w:ascii="Times New Roman" w:hAnsi="Times New Roman"/>
          <w:bCs/>
          <w:color w:val="000000"/>
          <w:szCs w:val="22"/>
          <w:lang w:val="pt-BR"/>
        </w:rPr>
        <w:t>rt</w:t>
      </w:r>
      <w:r w:rsidR="00791299" w:rsidRPr="00D65A20">
        <w:rPr>
          <w:rFonts w:ascii="Times New Roman" w:hAnsi="Times New Roman"/>
          <w:bCs/>
          <w:color w:val="000000"/>
          <w:szCs w:val="22"/>
          <w:lang w:val="pt-BR"/>
        </w:rPr>
        <w:t>ig</w:t>
      </w:r>
      <w:r w:rsidRPr="00D65A20">
        <w:rPr>
          <w:rFonts w:ascii="Times New Roman" w:hAnsi="Times New Roman"/>
          <w:bCs/>
          <w:color w:val="000000"/>
          <w:szCs w:val="22"/>
          <w:lang w:val="pt-BR"/>
        </w:rPr>
        <w:t>o 20</w:t>
      </w:r>
    </w:p>
    <w:p w14:paraId="6E83446F"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70" w14:textId="2F213636"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 xml:space="preserve">Os Estados membros promoverão a cooperação e a transferência tecnológica, com vistas à diversificação produtiva, buscando, em especial, que as </w:t>
      </w:r>
      <w:r w:rsidR="00C6598B" w:rsidRPr="00D65A20">
        <w:rPr>
          <w:rFonts w:ascii="Times New Roman" w:hAnsi="Times New Roman"/>
          <w:bCs/>
          <w:color w:val="000000"/>
          <w:szCs w:val="22"/>
          <w:lang w:val="pt-BR"/>
        </w:rPr>
        <w:t>micro, pequenas e médias empresas (</w:t>
      </w:r>
      <w:r w:rsidRPr="00D65A20">
        <w:rPr>
          <w:rFonts w:ascii="Times New Roman" w:hAnsi="Times New Roman"/>
          <w:bCs/>
          <w:color w:val="000000"/>
          <w:szCs w:val="22"/>
          <w:lang w:val="pt-BR"/>
        </w:rPr>
        <w:t>MPMEs</w:t>
      </w:r>
      <w:r w:rsidR="00C6598B" w:rsidRPr="00D65A20">
        <w:rPr>
          <w:rFonts w:ascii="Times New Roman" w:hAnsi="Times New Roman"/>
          <w:bCs/>
          <w:color w:val="000000"/>
          <w:szCs w:val="22"/>
          <w:lang w:val="pt-BR"/>
        </w:rPr>
        <w:t>)</w:t>
      </w:r>
      <w:r w:rsidRPr="00D65A20">
        <w:rPr>
          <w:rFonts w:ascii="Times New Roman" w:hAnsi="Times New Roman"/>
          <w:bCs/>
          <w:color w:val="000000"/>
          <w:szCs w:val="22"/>
          <w:lang w:val="pt-BR"/>
        </w:rPr>
        <w:t xml:space="preserve"> adotem tecnologias disruptivas para inovar, realizar negócios ou criar novos serviços, com o propósito de acelerar sua adaptação às mudanças tecnológicas próprias de revolução industrial 4.0 e sua integração às cadeias internacionais de valor.</w:t>
      </w:r>
    </w:p>
    <w:p w14:paraId="6E834471"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72" w14:textId="77777777" w:rsidR="000F1736" w:rsidRPr="00D65A20" w:rsidRDefault="000F1736" w:rsidP="00AA4399">
      <w:pPr>
        <w:widowControl/>
        <w:ind w:left="-51" w:right="-18"/>
        <w:rPr>
          <w:rFonts w:ascii="Times New Roman" w:hAnsi="Times New Roman"/>
          <w:bCs/>
          <w:color w:val="000000"/>
          <w:szCs w:val="22"/>
          <w:lang w:val="pt-BR"/>
        </w:rPr>
      </w:pPr>
      <w:r w:rsidRPr="00D65A20">
        <w:rPr>
          <w:rFonts w:ascii="Times New Roman" w:hAnsi="Times New Roman"/>
          <w:bCs/>
          <w:color w:val="000000"/>
          <w:szCs w:val="22"/>
          <w:lang w:val="pt-BR"/>
        </w:rPr>
        <w:br w:type="page"/>
      </w:r>
    </w:p>
    <w:p w14:paraId="6E834473" w14:textId="77777777" w:rsidR="000F1736" w:rsidRPr="00D65A20" w:rsidRDefault="000F1736" w:rsidP="00AA4399">
      <w:pPr>
        <w:widowControl/>
        <w:ind w:left="-51" w:right="-18"/>
        <w:rPr>
          <w:rFonts w:ascii="Times New Roman" w:hAnsi="Times New Roman"/>
          <w:bCs/>
          <w:color w:val="000000"/>
          <w:szCs w:val="22"/>
          <w:lang w:val="pt-BR"/>
        </w:rPr>
      </w:pPr>
      <w:r w:rsidRPr="00D65A20">
        <w:rPr>
          <w:rFonts w:ascii="Times New Roman" w:hAnsi="Times New Roman"/>
          <w:bCs/>
          <w:color w:val="000000"/>
          <w:szCs w:val="22"/>
          <w:lang w:val="pt-BR"/>
        </w:rPr>
        <w:lastRenderedPageBreak/>
        <w:t xml:space="preserve">Artigo 21 </w:t>
      </w:r>
    </w:p>
    <w:p w14:paraId="6E834474"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75" w14:textId="3C741D0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 xml:space="preserve">Os Estados membros implementarão ações estratégicas para estabelecer, desenvolver e fortalecer o Mercado de Conteúdo Original de nossas indústrias culturais e criativas, em especial no âmbito das </w:t>
      </w:r>
      <w:r w:rsidR="00C6598B" w:rsidRPr="00D65A20">
        <w:rPr>
          <w:rFonts w:ascii="Times New Roman" w:hAnsi="Times New Roman"/>
          <w:bCs/>
          <w:color w:val="000000"/>
          <w:szCs w:val="22"/>
          <w:lang w:val="pt-BR"/>
        </w:rPr>
        <w:t>micro, pequenas e médias empresas</w:t>
      </w:r>
      <w:r w:rsidRPr="00D65A20">
        <w:rPr>
          <w:rFonts w:ascii="Times New Roman" w:hAnsi="Times New Roman"/>
          <w:bCs/>
          <w:color w:val="000000"/>
          <w:szCs w:val="22"/>
          <w:lang w:val="pt-BR"/>
        </w:rPr>
        <w:t>, a fim de consolidar a economia criativa ou Economia Laranja em nosso Hemisfério, como fonte de crescimento econômico sustentável.</w:t>
      </w:r>
    </w:p>
    <w:p w14:paraId="6E834476"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77" w14:textId="77777777" w:rsidR="000F1736" w:rsidRPr="00D65A20" w:rsidRDefault="000F1736" w:rsidP="00AA4399">
      <w:pPr>
        <w:widowControl/>
        <w:ind w:left="-51" w:right="-18"/>
        <w:rPr>
          <w:rFonts w:ascii="Times New Roman" w:hAnsi="Times New Roman"/>
          <w:bCs/>
          <w:color w:val="000000"/>
          <w:szCs w:val="22"/>
          <w:lang w:val="pt-BR"/>
        </w:rPr>
      </w:pPr>
      <w:r w:rsidRPr="00D65A20">
        <w:rPr>
          <w:rFonts w:ascii="Times New Roman" w:hAnsi="Times New Roman"/>
          <w:bCs/>
          <w:color w:val="000000"/>
          <w:szCs w:val="22"/>
          <w:lang w:val="pt-BR"/>
        </w:rPr>
        <w:t>Artigo 22</w:t>
      </w:r>
    </w:p>
    <w:p w14:paraId="6E834478"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79"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Os Estados membros comprometem</w:t>
      </w:r>
      <w:r w:rsidR="00170B10" w:rsidRPr="00D65A20">
        <w:rPr>
          <w:rFonts w:ascii="Times New Roman" w:hAnsi="Times New Roman"/>
          <w:bCs/>
          <w:color w:val="000000"/>
          <w:szCs w:val="22"/>
          <w:lang w:val="pt-BR"/>
        </w:rPr>
        <w:t>-se</w:t>
      </w:r>
      <w:r w:rsidRPr="00D65A20">
        <w:rPr>
          <w:rFonts w:ascii="Times New Roman" w:hAnsi="Times New Roman"/>
          <w:bCs/>
          <w:color w:val="000000"/>
          <w:szCs w:val="22"/>
          <w:lang w:val="pt-BR"/>
        </w:rPr>
        <w:t xml:space="preserve"> a incentivar e apoiar empreendedores sociais, organizações híbridas e modelos de empresas com propósito, que aspirem a alcançar a rentabilidade financeira simultaneamente ao benef</w:t>
      </w:r>
      <w:r w:rsidR="00170B10" w:rsidRPr="00D65A20">
        <w:rPr>
          <w:rFonts w:ascii="Times New Roman" w:hAnsi="Times New Roman"/>
          <w:bCs/>
          <w:color w:val="000000"/>
          <w:szCs w:val="22"/>
          <w:lang w:val="pt-BR"/>
        </w:rPr>
        <w:t>í</w:t>
      </w:r>
      <w:r w:rsidRPr="00D65A20">
        <w:rPr>
          <w:rFonts w:ascii="Times New Roman" w:hAnsi="Times New Roman"/>
          <w:bCs/>
          <w:color w:val="000000"/>
          <w:szCs w:val="22"/>
          <w:lang w:val="pt-BR"/>
        </w:rPr>
        <w:t>cio social e ambiental.</w:t>
      </w:r>
    </w:p>
    <w:p w14:paraId="6E83447A"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7B" w14:textId="4720ACD4" w:rsidR="000F1736" w:rsidRPr="00D65A20" w:rsidRDefault="00E34A5E" w:rsidP="00AA4399">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51" w:right="-18"/>
        <w:jc w:val="center"/>
        <w:rPr>
          <w:rFonts w:ascii="Times New Roman" w:hAnsi="Times New Roman"/>
          <w:bCs/>
          <w:color w:val="000000"/>
          <w:szCs w:val="22"/>
          <w:lang w:val="pt-BR"/>
        </w:rPr>
      </w:pPr>
      <w:r w:rsidRPr="00D65A20">
        <w:rPr>
          <w:rFonts w:ascii="Times New Roman" w:hAnsi="Times New Roman"/>
          <w:bCs/>
          <w:color w:val="000000"/>
          <w:szCs w:val="22"/>
          <w:lang w:val="pt-BR"/>
        </w:rPr>
        <w:t>CAPÍTULO</w:t>
      </w:r>
      <w:r w:rsidR="000F1736" w:rsidRPr="00D65A20">
        <w:rPr>
          <w:rFonts w:ascii="Times New Roman" w:hAnsi="Times New Roman"/>
          <w:bCs/>
          <w:color w:val="000000"/>
          <w:szCs w:val="22"/>
          <w:lang w:val="pt-BR"/>
        </w:rPr>
        <w:t xml:space="preserve"> VII.</w:t>
      </w:r>
    </w:p>
    <w:p w14:paraId="6E83447C"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jc w:val="center"/>
        <w:rPr>
          <w:rFonts w:ascii="Times New Roman" w:hAnsi="Times New Roman"/>
          <w:bCs/>
          <w:color w:val="000000"/>
          <w:szCs w:val="22"/>
          <w:lang w:val="pt-BR"/>
        </w:rPr>
      </w:pPr>
      <w:r w:rsidRPr="00D65A20">
        <w:rPr>
          <w:rFonts w:ascii="Times New Roman" w:hAnsi="Times New Roman"/>
          <w:bCs/>
          <w:color w:val="000000"/>
          <w:szCs w:val="22"/>
          <w:lang w:val="pt-BR"/>
        </w:rPr>
        <w:t xml:space="preserve">FOMENTO DO DESENVOLVIMENTO SUSTENTÁVEL E CONSTRUÇÃO DE RESILIÊNCIA </w:t>
      </w:r>
    </w:p>
    <w:p w14:paraId="6E83447D"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7E" w14:textId="77777777" w:rsidR="000F1736" w:rsidRPr="00D65A20" w:rsidRDefault="000F1736" w:rsidP="00AA4399">
      <w:pPr>
        <w:widowControl/>
        <w:ind w:left="-51" w:right="-18"/>
        <w:rPr>
          <w:rFonts w:ascii="Times New Roman" w:hAnsi="Times New Roman"/>
          <w:bCs/>
          <w:color w:val="000000"/>
          <w:szCs w:val="22"/>
          <w:lang w:val="pt-BR"/>
        </w:rPr>
      </w:pPr>
      <w:r w:rsidRPr="00D65A20">
        <w:rPr>
          <w:rFonts w:ascii="Times New Roman" w:hAnsi="Times New Roman"/>
          <w:bCs/>
          <w:color w:val="000000"/>
          <w:szCs w:val="22"/>
          <w:lang w:val="pt-BR"/>
        </w:rPr>
        <w:t>Artigo 23</w:t>
      </w:r>
    </w:p>
    <w:p w14:paraId="6E83447F"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80"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Os Estados membros promoverão a pronta adoção de práticas empresariais sustentáveis ambiental e socialmente, como pilar para o incentivo ao desenvolvimento empresarial.</w:t>
      </w:r>
    </w:p>
    <w:p w14:paraId="6E834481"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82" w14:textId="77777777" w:rsidR="000F1736" w:rsidRPr="00D65A20" w:rsidRDefault="000F1736" w:rsidP="00AA4399">
      <w:pPr>
        <w:widowControl/>
        <w:ind w:left="-51" w:right="-18"/>
        <w:rPr>
          <w:rFonts w:ascii="Times New Roman" w:hAnsi="Times New Roman"/>
          <w:bCs/>
          <w:color w:val="000000"/>
          <w:szCs w:val="22"/>
          <w:lang w:val="pt-BR"/>
        </w:rPr>
      </w:pPr>
      <w:r w:rsidRPr="00D65A20">
        <w:rPr>
          <w:rFonts w:ascii="Times New Roman" w:hAnsi="Times New Roman"/>
          <w:bCs/>
          <w:color w:val="000000"/>
          <w:szCs w:val="22"/>
          <w:lang w:val="pt-BR"/>
        </w:rPr>
        <w:t>Artigo 24</w:t>
      </w:r>
    </w:p>
    <w:p w14:paraId="6E834483"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84"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Para superar as vulnerabilidades da população rural e para garantir a segurança alimentar e nutricional do Hemisfério, os Estados membros estimularão políticas destinadas à formalização da propriedade rural, à implementação de práticas sustentáveis de agricultura, ao aumento do investimento no campo, à promoção das iniciativas do setor privado em benefício dos agricultores, à adoção de novas tecnologias para o desenvolvimento agroindustrial e à inclusão de novos atores nas cadeias produtivas.</w:t>
      </w:r>
    </w:p>
    <w:p w14:paraId="6E834485"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86" w14:textId="77777777" w:rsidR="000F1736" w:rsidRPr="00D65A20" w:rsidRDefault="000F1736" w:rsidP="00AA4399">
      <w:pPr>
        <w:widowControl/>
        <w:ind w:left="-51" w:right="-18"/>
        <w:rPr>
          <w:rFonts w:ascii="Times New Roman" w:hAnsi="Times New Roman"/>
          <w:bCs/>
          <w:color w:val="000000"/>
          <w:szCs w:val="22"/>
          <w:lang w:val="pt-BR"/>
        </w:rPr>
      </w:pPr>
      <w:r w:rsidRPr="00D65A20">
        <w:rPr>
          <w:rFonts w:ascii="Times New Roman" w:hAnsi="Times New Roman"/>
          <w:bCs/>
          <w:color w:val="000000"/>
          <w:szCs w:val="22"/>
          <w:lang w:val="pt-BR"/>
        </w:rPr>
        <w:t>Artigo 25</w:t>
      </w:r>
    </w:p>
    <w:p w14:paraId="6E834487"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88"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Os Estados membros incentivarão o desenvolvimento de planos conjuntos e articulados com o setor privado, destinados ao fortalecimento das políticas e programas de construção de resiliência, adaptação e recuperação social e econômica ante desastres naturais e outras perturbações externas.</w:t>
      </w:r>
    </w:p>
    <w:p w14:paraId="6E834489"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8A" w14:textId="77777777" w:rsidR="000F1736" w:rsidRPr="00D65A20" w:rsidRDefault="000F1736" w:rsidP="00AA4399">
      <w:pPr>
        <w:widowControl/>
        <w:ind w:left="-51" w:right="-18"/>
        <w:rPr>
          <w:rFonts w:ascii="Times New Roman" w:hAnsi="Times New Roman"/>
          <w:bCs/>
          <w:color w:val="000000"/>
          <w:szCs w:val="22"/>
          <w:lang w:val="pt-BR"/>
        </w:rPr>
      </w:pPr>
      <w:r w:rsidRPr="00D65A20">
        <w:rPr>
          <w:rFonts w:ascii="Times New Roman" w:hAnsi="Times New Roman"/>
          <w:bCs/>
          <w:color w:val="000000"/>
          <w:szCs w:val="22"/>
          <w:lang w:val="pt-BR"/>
        </w:rPr>
        <w:t>Artigo 26</w:t>
      </w:r>
    </w:p>
    <w:p w14:paraId="6E83448B"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8C" w14:textId="28138D55"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Os Estados membros comprometem</w:t>
      </w:r>
      <w:r w:rsidR="00170B10" w:rsidRPr="00D65A20">
        <w:rPr>
          <w:rFonts w:ascii="Times New Roman" w:hAnsi="Times New Roman"/>
          <w:bCs/>
          <w:color w:val="000000"/>
          <w:szCs w:val="22"/>
          <w:lang w:val="pt-BR"/>
        </w:rPr>
        <w:t>-se</w:t>
      </w:r>
      <w:r w:rsidRPr="00D65A20">
        <w:rPr>
          <w:rFonts w:ascii="Times New Roman" w:hAnsi="Times New Roman"/>
          <w:bCs/>
          <w:color w:val="000000"/>
          <w:szCs w:val="22"/>
          <w:lang w:val="pt-BR"/>
        </w:rPr>
        <w:t xml:space="preserve"> a intermediar acordos e programas com </w:t>
      </w:r>
      <w:r w:rsidR="00C6598B" w:rsidRPr="00D65A20">
        <w:rPr>
          <w:rFonts w:ascii="Times New Roman" w:hAnsi="Times New Roman"/>
          <w:bCs/>
          <w:color w:val="000000"/>
          <w:szCs w:val="22"/>
          <w:lang w:val="pt-BR"/>
        </w:rPr>
        <w:t>a banca internacional</w:t>
      </w:r>
      <w:r w:rsidRPr="00D65A20">
        <w:rPr>
          <w:rFonts w:ascii="Times New Roman" w:hAnsi="Times New Roman"/>
          <w:bCs/>
          <w:color w:val="000000"/>
          <w:szCs w:val="22"/>
          <w:lang w:val="pt-BR"/>
        </w:rPr>
        <w:t>, com vistas a que as empresas privadas possam dispor de acesso a empréstimos flexíveis para fomentar a construção de resiliência e a rápida recuperação econômica em casos de desastres naturais e outras perturbações externas.</w:t>
      </w:r>
    </w:p>
    <w:p w14:paraId="6E83448D"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8E" w14:textId="77777777" w:rsidR="000F1736" w:rsidRPr="00D65A20" w:rsidRDefault="000F1736" w:rsidP="00AA4399">
      <w:pPr>
        <w:widowControl/>
        <w:ind w:left="-51" w:right="-18"/>
        <w:rPr>
          <w:rFonts w:ascii="Times New Roman" w:hAnsi="Times New Roman"/>
          <w:color w:val="000000"/>
          <w:szCs w:val="22"/>
          <w:lang w:val="pt-BR"/>
        </w:rPr>
      </w:pPr>
      <w:r w:rsidRPr="00D65A20">
        <w:rPr>
          <w:rFonts w:ascii="Times New Roman" w:hAnsi="Times New Roman"/>
          <w:color w:val="000000"/>
          <w:szCs w:val="22"/>
          <w:lang w:val="pt-BR"/>
        </w:rPr>
        <w:br w:type="page"/>
      </w:r>
    </w:p>
    <w:p w14:paraId="6E83448F" w14:textId="260B3817" w:rsidR="000F1736" w:rsidRPr="00D65A20" w:rsidRDefault="000F1736" w:rsidP="00AA4399">
      <w:pPr>
        <w:widowControl/>
        <w:ind w:left="-51" w:right="-18"/>
        <w:rPr>
          <w:rFonts w:ascii="Times New Roman" w:hAnsi="Times New Roman"/>
          <w:color w:val="000000"/>
          <w:szCs w:val="22"/>
          <w:lang w:val="pt-BR"/>
        </w:rPr>
      </w:pPr>
      <w:r w:rsidRPr="00D65A20">
        <w:rPr>
          <w:rFonts w:ascii="Times New Roman" w:hAnsi="Times New Roman"/>
          <w:color w:val="000000"/>
          <w:szCs w:val="22"/>
          <w:lang w:val="pt-BR"/>
        </w:rPr>
        <w:lastRenderedPageBreak/>
        <w:t>Arti</w:t>
      </w:r>
      <w:r w:rsidR="00791299" w:rsidRPr="00D65A20">
        <w:rPr>
          <w:rFonts w:ascii="Times New Roman" w:hAnsi="Times New Roman"/>
          <w:color w:val="000000"/>
          <w:szCs w:val="22"/>
          <w:lang w:val="pt-BR"/>
        </w:rPr>
        <w:t>g</w:t>
      </w:r>
      <w:r w:rsidRPr="00D65A20">
        <w:rPr>
          <w:rFonts w:ascii="Times New Roman" w:hAnsi="Times New Roman"/>
          <w:color w:val="000000"/>
          <w:szCs w:val="22"/>
          <w:lang w:val="pt-BR"/>
        </w:rPr>
        <w:t>o 27</w:t>
      </w:r>
    </w:p>
    <w:p w14:paraId="6E834490"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color w:val="000000"/>
          <w:szCs w:val="22"/>
          <w:lang w:val="pt-BR"/>
        </w:rPr>
      </w:pPr>
    </w:p>
    <w:p w14:paraId="6E834491"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color w:val="000000"/>
          <w:szCs w:val="22"/>
          <w:lang w:val="pt-BR"/>
        </w:rPr>
      </w:pPr>
      <w:r w:rsidRPr="00D65A20">
        <w:rPr>
          <w:rFonts w:ascii="Times New Roman" w:hAnsi="Times New Roman"/>
          <w:color w:val="000000"/>
          <w:szCs w:val="22"/>
          <w:lang w:val="pt-BR"/>
        </w:rPr>
        <w:t>Os Estados membros fomentarão o desenvolvimento de projetos inovadores do setor privado, com vistas à transição para uma economia baixa em carbono e resiliente ao clima, de maneira inclusiva, reconhecendo o papel catalisador do setor privado para a consecução desse objetivo.</w:t>
      </w:r>
    </w:p>
    <w:p w14:paraId="6E834492"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color w:val="000000"/>
          <w:szCs w:val="22"/>
          <w:lang w:val="pt-BR"/>
        </w:rPr>
      </w:pPr>
    </w:p>
    <w:p w14:paraId="6E834493" w14:textId="631E7063" w:rsidR="000F1736" w:rsidRPr="00D65A20" w:rsidRDefault="00E34A5E" w:rsidP="00AA4399">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51" w:right="-18"/>
        <w:jc w:val="center"/>
        <w:rPr>
          <w:rFonts w:ascii="Times New Roman" w:hAnsi="Times New Roman"/>
          <w:bCs/>
          <w:color w:val="000000"/>
          <w:szCs w:val="22"/>
          <w:lang w:val="pt-BR"/>
        </w:rPr>
      </w:pPr>
      <w:r w:rsidRPr="00D65A20">
        <w:rPr>
          <w:rFonts w:ascii="Times New Roman" w:hAnsi="Times New Roman"/>
          <w:bCs/>
          <w:color w:val="000000"/>
          <w:szCs w:val="22"/>
          <w:lang w:val="pt-BR"/>
        </w:rPr>
        <w:t>CAPÍTULO</w:t>
      </w:r>
      <w:r w:rsidR="000F1736" w:rsidRPr="00D65A20">
        <w:rPr>
          <w:rFonts w:ascii="Times New Roman" w:hAnsi="Times New Roman"/>
          <w:bCs/>
          <w:color w:val="000000"/>
          <w:szCs w:val="22"/>
          <w:lang w:val="pt-BR"/>
        </w:rPr>
        <w:t xml:space="preserve"> VIII.</w:t>
      </w:r>
    </w:p>
    <w:p w14:paraId="6E834494"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jc w:val="center"/>
        <w:rPr>
          <w:rFonts w:ascii="Times New Roman" w:hAnsi="Times New Roman"/>
          <w:bCs/>
          <w:color w:val="000000"/>
          <w:szCs w:val="22"/>
          <w:lang w:val="pt-BR"/>
        </w:rPr>
      </w:pPr>
      <w:r w:rsidRPr="00D65A20">
        <w:rPr>
          <w:rFonts w:ascii="Times New Roman" w:hAnsi="Times New Roman"/>
          <w:bCs/>
          <w:color w:val="000000"/>
          <w:szCs w:val="22"/>
          <w:lang w:val="pt-BR"/>
        </w:rPr>
        <w:t xml:space="preserve">CUMPRIMENTO DE OBRIGAÇÕES COMPLEMENTARES </w:t>
      </w:r>
    </w:p>
    <w:p w14:paraId="6E834495"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jc w:val="center"/>
        <w:rPr>
          <w:rFonts w:ascii="Times New Roman" w:hAnsi="Times New Roman"/>
          <w:bCs/>
          <w:color w:val="000000"/>
          <w:szCs w:val="22"/>
          <w:lang w:val="pt-BR"/>
        </w:rPr>
      </w:pPr>
      <w:r w:rsidRPr="00D65A20">
        <w:rPr>
          <w:rFonts w:ascii="Times New Roman" w:hAnsi="Times New Roman"/>
          <w:bCs/>
          <w:color w:val="000000"/>
          <w:szCs w:val="22"/>
          <w:lang w:val="pt-BR"/>
        </w:rPr>
        <w:t>DE ACORDO COM O DIREITO INTERNACIONAL</w:t>
      </w:r>
    </w:p>
    <w:p w14:paraId="6E834496"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97" w14:textId="77777777" w:rsidR="000F1736" w:rsidRPr="00D65A20" w:rsidRDefault="000F1736" w:rsidP="00AA4399">
      <w:pPr>
        <w:widowControl/>
        <w:ind w:left="-51" w:right="-18"/>
        <w:rPr>
          <w:rFonts w:ascii="Times New Roman" w:hAnsi="Times New Roman"/>
          <w:bCs/>
          <w:color w:val="000000"/>
          <w:szCs w:val="22"/>
          <w:lang w:val="pt-BR" w:eastAsia="es-ES"/>
        </w:rPr>
      </w:pPr>
      <w:r w:rsidRPr="00D65A20">
        <w:rPr>
          <w:rFonts w:ascii="Times New Roman" w:hAnsi="Times New Roman"/>
          <w:bCs/>
          <w:color w:val="000000"/>
          <w:szCs w:val="22"/>
          <w:lang w:val="pt-BR"/>
        </w:rPr>
        <w:t xml:space="preserve">Artigo </w:t>
      </w:r>
      <w:r w:rsidRPr="00D65A20">
        <w:rPr>
          <w:rFonts w:ascii="Times New Roman" w:hAnsi="Times New Roman"/>
          <w:bCs/>
          <w:color w:val="000000"/>
          <w:szCs w:val="22"/>
          <w:lang w:val="pt-BR" w:eastAsia="es-ES"/>
        </w:rPr>
        <w:t xml:space="preserve">28 </w:t>
      </w:r>
    </w:p>
    <w:p w14:paraId="6E834498" w14:textId="77777777" w:rsidR="000F1736" w:rsidRPr="00D65A20" w:rsidRDefault="000F1736" w:rsidP="00AA4399">
      <w:pPr>
        <w:widowControl/>
        <w:ind w:left="-51" w:right="-18"/>
        <w:rPr>
          <w:rFonts w:ascii="Times New Roman" w:hAnsi="Times New Roman"/>
          <w:bCs/>
          <w:color w:val="000000"/>
          <w:szCs w:val="22"/>
          <w:lang w:val="pt-BR"/>
        </w:rPr>
      </w:pPr>
    </w:p>
    <w:p w14:paraId="6E834499" w14:textId="77777777" w:rsidR="000F1736" w:rsidRPr="00D65A20" w:rsidRDefault="000F1736" w:rsidP="00AA4399">
      <w:pPr>
        <w:widowControl/>
        <w:ind w:left="-51" w:right="-18"/>
        <w:rPr>
          <w:rFonts w:ascii="Times New Roman" w:hAnsi="Times New Roman"/>
          <w:bCs/>
          <w:color w:val="000000"/>
          <w:szCs w:val="22"/>
          <w:lang w:val="pt-BR"/>
        </w:rPr>
      </w:pPr>
      <w:r w:rsidRPr="00D65A20">
        <w:rPr>
          <w:rFonts w:ascii="Times New Roman" w:hAnsi="Times New Roman"/>
          <w:bCs/>
          <w:color w:val="000000"/>
          <w:szCs w:val="22"/>
          <w:lang w:val="pt-BR"/>
        </w:rPr>
        <w:t xml:space="preserve">Os Estados membros envidarão esforços </w:t>
      </w:r>
      <w:r w:rsidR="00170B10" w:rsidRPr="00D65A20">
        <w:rPr>
          <w:rFonts w:ascii="Times New Roman" w:hAnsi="Times New Roman"/>
          <w:bCs/>
          <w:color w:val="000000"/>
          <w:szCs w:val="22"/>
          <w:lang w:val="pt-BR"/>
        </w:rPr>
        <w:t xml:space="preserve">para </w:t>
      </w:r>
      <w:r w:rsidRPr="00D65A20">
        <w:rPr>
          <w:rFonts w:ascii="Times New Roman" w:hAnsi="Times New Roman"/>
          <w:bCs/>
          <w:color w:val="000000"/>
          <w:szCs w:val="22"/>
          <w:lang w:val="pt-BR"/>
        </w:rPr>
        <w:t>fortalecer mecanismos que garantam o respeito das empresas aos direitos humanos e ao meio ambiente, em conformidade com os instrumentos internacionais aplicáveis e com apego às legislações nacionais.</w:t>
      </w:r>
    </w:p>
    <w:p w14:paraId="6E83449A" w14:textId="77777777" w:rsidR="000F1736" w:rsidRPr="00D65A20" w:rsidRDefault="000F1736" w:rsidP="00AA4399">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51" w:right="-18"/>
        <w:rPr>
          <w:rFonts w:ascii="Times New Roman" w:hAnsi="Times New Roman"/>
          <w:bCs/>
          <w:color w:val="000000"/>
          <w:szCs w:val="22"/>
          <w:lang w:val="pt-BR"/>
        </w:rPr>
      </w:pPr>
    </w:p>
    <w:p w14:paraId="6E83449B" w14:textId="77777777" w:rsidR="000F1736" w:rsidRPr="00D65A20" w:rsidRDefault="000F1736" w:rsidP="00AA4399">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Artigo 29</w:t>
      </w:r>
    </w:p>
    <w:p w14:paraId="6E83449C"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9D"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Os Estados membros reafirmam suas obrigações em matéria de combate à corrupção, especialmente as constantes da Convenção Interamericana contra a Corrupção</w:t>
      </w:r>
      <w:r w:rsidR="00170B10" w:rsidRPr="00D65A20">
        <w:rPr>
          <w:rFonts w:ascii="Times New Roman" w:hAnsi="Times New Roman"/>
          <w:bCs/>
          <w:color w:val="000000"/>
          <w:szCs w:val="22"/>
          <w:lang w:val="pt-BR"/>
        </w:rPr>
        <w:t>. A</w:t>
      </w:r>
      <w:r w:rsidRPr="00D65A20">
        <w:rPr>
          <w:rFonts w:ascii="Times New Roman" w:hAnsi="Times New Roman"/>
          <w:bCs/>
          <w:color w:val="000000"/>
          <w:szCs w:val="22"/>
          <w:lang w:val="pt-BR"/>
        </w:rPr>
        <w:t>s empresas combaterão a corrupção em todas as suas modalidades, adotando planos de contenção, colaborando com as autoridades e implementando boas práticas internacionais aplicáveis, entre outros aspectos.</w:t>
      </w:r>
    </w:p>
    <w:p w14:paraId="6E83449E"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9F" w14:textId="77777777" w:rsidR="000F1736" w:rsidRPr="00D65A20" w:rsidRDefault="000F1736" w:rsidP="00AA4399">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Artigo 30</w:t>
      </w:r>
    </w:p>
    <w:p w14:paraId="6E8344A0"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A1" w14:textId="58A0E5CD"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 xml:space="preserve">Os Estados membros </w:t>
      </w:r>
      <w:r w:rsidR="00C6598B" w:rsidRPr="00D65A20">
        <w:rPr>
          <w:rFonts w:ascii="Times New Roman" w:hAnsi="Times New Roman"/>
          <w:bCs/>
          <w:color w:val="000000"/>
          <w:szCs w:val="22"/>
          <w:lang w:val="pt-BR"/>
        </w:rPr>
        <w:t>se empenharão em</w:t>
      </w:r>
      <w:r w:rsidRPr="00D65A20">
        <w:rPr>
          <w:rFonts w:ascii="Times New Roman" w:hAnsi="Times New Roman"/>
          <w:bCs/>
          <w:color w:val="000000"/>
          <w:szCs w:val="22"/>
          <w:lang w:val="pt-BR"/>
        </w:rPr>
        <w:t xml:space="preserve"> que as empresas com atividades em sua jurisdição fortaleçam suas políticas </w:t>
      </w:r>
      <w:r w:rsidR="00170B10" w:rsidRPr="00D65A20">
        <w:rPr>
          <w:rFonts w:ascii="Times New Roman" w:hAnsi="Times New Roman"/>
          <w:bCs/>
          <w:color w:val="000000"/>
          <w:szCs w:val="22"/>
          <w:lang w:val="pt-BR"/>
        </w:rPr>
        <w:t xml:space="preserve">a fim de </w:t>
      </w:r>
      <w:r w:rsidRPr="00D65A20">
        <w:rPr>
          <w:rFonts w:ascii="Times New Roman" w:hAnsi="Times New Roman"/>
          <w:bCs/>
          <w:color w:val="000000"/>
          <w:szCs w:val="22"/>
          <w:lang w:val="pt-BR"/>
        </w:rPr>
        <w:t>garantir o respeito dos direitos trabalhistas fundamentais reconhecidos pela Declaração da OIT, de 1998, e outros instrumentos internacionais aplicáveis e as respectivas legislações nacionais.</w:t>
      </w:r>
    </w:p>
    <w:p w14:paraId="6E8344A2" w14:textId="77777777" w:rsidR="000F1736" w:rsidRPr="00D65A20" w:rsidRDefault="000F1736" w:rsidP="00AA4399">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51" w:right="-18"/>
        <w:rPr>
          <w:rFonts w:ascii="Times New Roman" w:hAnsi="Times New Roman"/>
          <w:bCs/>
          <w:color w:val="000000"/>
          <w:szCs w:val="22"/>
          <w:lang w:val="pt-BR"/>
        </w:rPr>
      </w:pPr>
    </w:p>
    <w:p w14:paraId="6E8344A3" w14:textId="77777777" w:rsidR="000F1736" w:rsidRPr="00D65A20" w:rsidRDefault="000F1736" w:rsidP="00AA4399">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 xml:space="preserve">Artigo </w:t>
      </w:r>
      <w:r w:rsidRPr="00D65A20">
        <w:rPr>
          <w:rFonts w:ascii="Times New Roman" w:hAnsi="Times New Roman"/>
          <w:bCs/>
          <w:color w:val="000000"/>
          <w:szCs w:val="22"/>
          <w:lang w:val="pt-BR" w:eastAsia="es-ES"/>
        </w:rPr>
        <w:t>31</w:t>
      </w:r>
    </w:p>
    <w:p w14:paraId="6E8344A4"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A5"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O Conselho Permanente realizará, na medida do possível, duas sessões extraordinárias por ano, em que os Estados membros tenham a oportunidade de compartilhar sua experiência na implementação da Carta Empresarial Interamericana. Como resultado dessas sessões, a Secretaria-Geral apresentará um relatório sobre o exposto pelos Estados, bem como sobre as observações que os Estados membros acordem incluir no relatório, para apresentação anual à Assembleia Geral.</w:t>
      </w:r>
    </w:p>
    <w:p w14:paraId="6E8344A6"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A7"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 xml:space="preserve">Como mecanismo facilitador na preparação do relatório à Assembleia Geral, o Presidente do Conselho Permanente poderá constituir um Grupo de Trabalho para que, com o apoio técnico da Secretaria-Geral, elabore o relatório, que será submetido à consideração do Conselho Permanente, sujeito à disponibilidade de recursos financeiros no orçamento-programa da Organização e de outros recursos. </w:t>
      </w:r>
    </w:p>
    <w:p w14:paraId="6E8344A8"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A9" w14:textId="77777777" w:rsidR="000F1736" w:rsidRPr="00D65A20" w:rsidRDefault="000F1736" w:rsidP="00AA4399">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br w:type="page"/>
      </w:r>
    </w:p>
    <w:p w14:paraId="6E8344AA" w14:textId="69DD43A0" w:rsidR="000F1736" w:rsidRPr="00D65A20" w:rsidRDefault="000F1736" w:rsidP="00AA4399">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lastRenderedPageBreak/>
        <w:t>Arti</w:t>
      </w:r>
      <w:r w:rsidR="00791299" w:rsidRPr="00D65A20">
        <w:rPr>
          <w:rFonts w:ascii="Times New Roman" w:hAnsi="Times New Roman"/>
          <w:bCs/>
          <w:color w:val="000000"/>
          <w:szCs w:val="22"/>
          <w:lang w:val="pt-BR"/>
        </w:rPr>
        <w:t>g</w:t>
      </w:r>
      <w:r w:rsidRPr="00D65A20">
        <w:rPr>
          <w:rFonts w:ascii="Times New Roman" w:hAnsi="Times New Roman"/>
          <w:bCs/>
          <w:color w:val="000000"/>
          <w:szCs w:val="22"/>
          <w:lang w:val="pt-BR"/>
        </w:rPr>
        <w:t>o 32</w:t>
      </w:r>
    </w:p>
    <w:p w14:paraId="6E8344AB" w14:textId="77777777"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p>
    <w:p w14:paraId="6E8344AC" w14:textId="2A12055F" w:rsidR="000F1736" w:rsidRPr="00D65A20" w:rsidRDefault="000F1736" w:rsidP="00AA4399">
      <w:pPr>
        <w:widowControl/>
        <w:tabs>
          <w:tab w:val="clear" w:pos="1440"/>
          <w:tab w:val="clear" w:pos="2160"/>
          <w:tab w:val="clear" w:pos="2880"/>
          <w:tab w:val="clear" w:pos="3600"/>
          <w:tab w:val="clear" w:pos="4320"/>
          <w:tab w:val="clear" w:pos="5760"/>
          <w:tab w:val="clear" w:pos="7920"/>
        </w:tabs>
        <w:ind w:left="-51" w:right="-18"/>
        <w:rPr>
          <w:rFonts w:ascii="Times New Roman" w:hAnsi="Times New Roman"/>
          <w:bCs/>
          <w:color w:val="000000"/>
          <w:szCs w:val="22"/>
          <w:lang w:val="pt-BR"/>
        </w:rPr>
      </w:pPr>
      <w:r w:rsidRPr="00D65A20">
        <w:rPr>
          <w:rFonts w:ascii="Times New Roman" w:hAnsi="Times New Roman"/>
          <w:bCs/>
          <w:color w:val="000000"/>
          <w:szCs w:val="22"/>
          <w:lang w:val="pt-BR"/>
        </w:rPr>
        <w:t>Os Estados membros promoverão a criação de um mecanismo de que participem, além das representações governamentais, representantes do setor empresarial, a fim de fazer o acompanhamento desta Carta</w:t>
      </w:r>
      <w:r w:rsidR="00C6598B" w:rsidRPr="00D65A20">
        <w:rPr>
          <w:rFonts w:ascii="Times New Roman" w:hAnsi="Times New Roman"/>
          <w:bCs/>
          <w:color w:val="000000"/>
          <w:szCs w:val="22"/>
          <w:lang w:val="pt-BR"/>
        </w:rPr>
        <w:t>, os quais poderão</w:t>
      </w:r>
      <w:r w:rsidRPr="00D65A20">
        <w:rPr>
          <w:rFonts w:ascii="Times New Roman" w:hAnsi="Times New Roman"/>
          <w:bCs/>
          <w:color w:val="000000"/>
          <w:szCs w:val="22"/>
          <w:lang w:val="pt-BR"/>
        </w:rPr>
        <w:t xml:space="preserve"> reunir-se em espaços como a Cúpula das Américas ou a Assembleia Geral da OEA, entre outros.</w:t>
      </w:r>
    </w:p>
    <w:p w14:paraId="6E8344AD" w14:textId="77777777" w:rsidR="000F1736" w:rsidRPr="00D65A20" w:rsidRDefault="000F1736" w:rsidP="00AA4399">
      <w:pPr>
        <w:widowControl/>
        <w:jc w:val="center"/>
        <w:rPr>
          <w:rFonts w:ascii="Times New Roman" w:hAnsi="Times New Roman"/>
          <w:sz w:val="20"/>
          <w:lang w:val="pt-BR"/>
        </w:rPr>
      </w:pPr>
      <w:r w:rsidRPr="00D65A20">
        <w:rPr>
          <w:rFonts w:ascii="Times New Roman" w:hAnsi="Times New Roman"/>
          <w:bCs/>
          <w:color w:val="000000"/>
          <w:szCs w:val="22"/>
          <w:lang w:val="pt-BR"/>
        </w:rPr>
        <w:br w:type="page"/>
      </w:r>
      <w:r w:rsidRPr="00D65A20">
        <w:rPr>
          <w:rFonts w:ascii="Times New Roman" w:hAnsi="Times New Roman"/>
          <w:sz w:val="20"/>
          <w:lang w:val="pt-BR"/>
        </w:rPr>
        <w:lastRenderedPageBreak/>
        <w:t>NOTAS DE RODAPÉ</w:t>
      </w:r>
    </w:p>
    <w:p w14:paraId="6E8344AE" w14:textId="77777777" w:rsidR="000F1736" w:rsidRPr="00D65A20" w:rsidRDefault="000F1736" w:rsidP="00AA4399">
      <w:pPr>
        <w:widowControl/>
        <w:rPr>
          <w:rFonts w:ascii="Times New Roman" w:hAnsi="Times New Roman"/>
          <w:sz w:val="20"/>
          <w:lang w:val="pt-BR"/>
        </w:rPr>
      </w:pPr>
    </w:p>
    <w:p w14:paraId="6E8344AF" w14:textId="77777777" w:rsidR="000F1736" w:rsidRPr="00D65A20" w:rsidRDefault="000F1736" w:rsidP="00AA4399">
      <w:pPr>
        <w:widowControl/>
        <w:rPr>
          <w:rFonts w:ascii="Times New Roman" w:hAnsi="Times New Roman"/>
          <w:sz w:val="20"/>
          <w:lang w:val="pt-BR"/>
        </w:rPr>
      </w:pPr>
    </w:p>
    <w:p w14:paraId="6E8344B0" w14:textId="77777777" w:rsidR="000F1736" w:rsidRPr="00D65A20" w:rsidRDefault="000F1736" w:rsidP="00AA4399">
      <w:pPr>
        <w:widowControl/>
        <w:tabs>
          <w:tab w:val="clear" w:pos="1440"/>
          <w:tab w:val="clear" w:pos="2160"/>
          <w:tab w:val="clear" w:pos="2880"/>
          <w:tab w:val="clear" w:pos="3600"/>
          <w:tab w:val="clear" w:pos="4320"/>
          <w:tab w:val="clear" w:pos="5760"/>
          <w:tab w:val="clear" w:pos="6480"/>
          <w:tab w:val="clear" w:pos="7200"/>
          <w:tab w:val="clear" w:pos="7920"/>
          <w:tab w:val="left" w:pos="0"/>
        </w:tabs>
        <w:rPr>
          <w:rFonts w:ascii="Times New Roman" w:hAnsi="Times New Roman"/>
          <w:sz w:val="20"/>
          <w:lang w:val="pt-BR"/>
        </w:rPr>
      </w:pPr>
      <w:r w:rsidRPr="00D65A20">
        <w:rPr>
          <w:rFonts w:ascii="Times New Roman" w:hAnsi="Times New Roman"/>
          <w:sz w:val="20"/>
          <w:lang w:val="pt-BR"/>
        </w:rPr>
        <w:tab/>
        <w:t>1.</w:t>
      </w:r>
      <w:r w:rsidRPr="00D65A20">
        <w:rPr>
          <w:rFonts w:ascii="Times New Roman" w:hAnsi="Times New Roman"/>
          <w:sz w:val="20"/>
          <w:lang w:val="pt-BR"/>
        </w:rPr>
        <w:tab/>
        <w:t>(...) natureza juridicamente vinculante e a sua discussão se dará no âmbito do Conselho Interamericano de Desenvolvimento Integral (CIDI).</w:t>
      </w:r>
    </w:p>
    <w:p w14:paraId="6E8344B1" w14:textId="77777777" w:rsidR="000F1736" w:rsidRPr="00D65A20" w:rsidRDefault="000F1736" w:rsidP="00AA4399">
      <w:pPr>
        <w:widowControl/>
        <w:tabs>
          <w:tab w:val="clear" w:pos="1440"/>
          <w:tab w:val="clear" w:pos="2160"/>
          <w:tab w:val="clear" w:pos="2880"/>
          <w:tab w:val="clear" w:pos="3600"/>
          <w:tab w:val="clear" w:pos="4320"/>
          <w:tab w:val="clear" w:pos="5760"/>
          <w:tab w:val="clear" w:pos="6480"/>
          <w:tab w:val="clear" w:pos="7200"/>
          <w:tab w:val="clear" w:pos="7920"/>
          <w:tab w:val="left" w:pos="0"/>
        </w:tabs>
        <w:rPr>
          <w:rFonts w:ascii="Times New Roman" w:hAnsi="Times New Roman"/>
          <w:sz w:val="20"/>
          <w:lang w:val="pt-BR"/>
        </w:rPr>
      </w:pPr>
    </w:p>
    <w:p w14:paraId="6E8344B2" w14:textId="77777777" w:rsidR="00112B3A" w:rsidRPr="00D65A20" w:rsidRDefault="000F1736" w:rsidP="00112B3A">
      <w:pPr>
        <w:widowControl/>
        <w:ind w:firstLine="720"/>
        <w:rPr>
          <w:rFonts w:ascii="Times New Roman" w:hAnsi="Times New Roman"/>
          <w:sz w:val="20"/>
          <w:lang w:val="pt-BR"/>
        </w:rPr>
      </w:pPr>
      <w:r w:rsidRPr="00D65A20">
        <w:rPr>
          <w:rFonts w:ascii="Times New Roman" w:hAnsi="Times New Roman"/>
          <w:sz w:val="20"/>
          <w:lang w:val="pt-BR"/>
        </w:rPr>
        <w:t>2.</w:t>
      </w:r>
      <w:r w:rsidRPr="00D65A20">
        <w:rPr>
          <w:rFonts w:ascii="Times New Roman" w:hAnsi="Times New Roman"/>
          <w:sz w:val="20"/>
          <w:lang w:val="pt-BR"/>
        </w:rPr>
        <w:tab/>
        <w:t>(...)</w:t>
      </w:r>
      <w:r w:rsidR="00112B3A" w:rsidRPr="00D65A20">
        <w:rPr>
          <w:rFonts w:ascii="Times New Roman" w:hAnsi="Times New Roman"/>
          <w:sz w:val="20"/>
          <w:lang w:val="pt-BR"/>
        </w:rPr>
        <w:t xml:space="preserve">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6E8344B3" w14:textId="77777777" w:rsidR="00112B3A" w:rsidRPr="00D65A20" w:rsidRDefault="00112B3A" w:rsidP="00112B3A">
      <w:pPr>
        <w:widowControl/>
        <w:rPr>
          <w:rFonts w:ascii="Times New Roman" w:hAnsi="Times New Roman"/>
          <w:sz w:val="20"/>
          <w:lang w:val="pt-BR"/>
        </w:rPr>
      </w:pPr>
    </w:p>
    <w:p w14:paraId="6E8344B4" w14:textId="77777777" w:rsidR="00112B3A" w:rsidRPr="00D65A20" w:rsidRDefault="00112B3A" w:rsidP="00112B3A">
      <w:pPr>
        <w:widowControl/>
        <w:ind w:firstLine="720"/>
        <w:rPr>
          <w:rFonts w:ascii="Times New Roman" w:hAnsi="Times New Roman"/>
          <w:sz w:val="20"/>
          <w:lang w:val="pt-BR"/>
        </w:rPr>
      </w:pPr>
      <w:r w:rsidRPr="00D65A20">
        <w:rPr>
          <w:rFonts w:ascii="Times New Roman" w:hAnsi="Times New Roman"/>
          <w:sz w:val="20"/>
          <w:lang w:val="pt-BR"/>
        </w:rPr>
        <w:t xml:space="preserve">Antígua e Barbuda não apoiou a resolução CP/RES. 1124 (2217/19), de 9 de abril de 2019, cuja intenção era nomear o Senhor Gustavo Tarre como Representante da Assembleia Nacional junto à OEA, e não aceitou as credenciais das autoridades que pretendiam representar a República Bolivariana da Venezuela no Quadragésimo Nono e no Quinquagésimo Períodos Ordinários de Sessões da Assembleia Geral. </w:t>
      </w:r>
    </w:p>
    <w:p w14:paraId="6E8344B5" w14:textId="77777777" w:rsidR="00112B3A" w:rsidRPr="00D65A20" w:rsidRDefault="00112B3A" w:rsidP="00112B3A">
      <w:pPr>
        <w:widowControl/>
        <w:rPr>
          <w:rFonts w:ascii="Times New Roman" w:hAnsi="Times New Roman"/>
          <w:sz w:val="20"/>
          <w:lang w:val="pt-BR"/>
        </w:rPr>
      </w:pPr>
    </w:p>
    <w:p w14:paraId="6E8344BA" w14:textId="06CB4588" w:rsidR="000F1736" w:rsidRPr="00D65A20" w:rsidRDefault="00112B3A" w:rsidP="00112B3A">
      <w:pPr>
        <w:widowControl/>
        <w:ind w:firstLine="720"/>
        <w:rPr>
          <w:rFonts w:ascii="Times New Roman" w:hAnsi="Times New Roman"/>
          <w:sz w:val="20"/>
          <w:lang w:val="pt-BR"/>
        </w:rPr>
      </w:pPr>
      <w:r w:rsidRPr="00D65A20">
        <w:rPr>
          <w:rFonts w:ascii="Times New Roman" w:hAnsi="Times New Roman"/>
          <w:sz w:val="20"/>
          <w:lang w:val="pt-BR"/>
        </w:rPr>
        <w:t>Desse modo, Antígua e Barbuda informa a todos os Estados membros e à Secretaria-Geral da Organização dos Estados Americanos que, até novo aviso, assim como fez no Quadragésimo Nono Período Ordinário de Sessões da Assembleia Geral, não se considerará vinculado a nenhuma declaração ou resolução emanada do Quinquagésimo Período Ordinário de Sessões da Assembleia Geral, nem a quaisquer futuras declarações ou resoluções de qualquer Conselho ou órgão da Organização que incluam a participação de qualquer pessoa ou entidade pretensamente falando pela República Bolivariana da Venezuela ou agindo em seu nome, e nas quais se alcancem 18 votos com a participação de um pretenso representante da República Bolivariana da Venezuela</w:t>
      </w:r>
      <w:r w:rsidR="000F1736" w:rsidRPr="00D65A20">
        <w:rPr>
          <w:rFonts w:ascii="Times New Roman" w:hAnsi="Times New Roman"/>
          <w:sz w:val="20"/>
          <w:lang w:val="pt-BR"/>
        </w:rPr>
        <w:t>.</w:t>
      </w:r>
    </w:p>
    <w:p w14:paraId="6E8344BB" w14:textId="77777777" w:rsidR="00AF3C43" w:rsidRPr="00D65A20" w:rsidRDefault="00AF3C43" w:rsidP="00AA4399">
      <w:pPr>
        <w:widowControl/>
        <w:outlineLvl w:val="0"/>
        <w:rPr>
          <w:rStyle w:val="FootnoteReference"/>
          <w:rFonts w:ascii="Times New Roman" w:hAnsi="Times New Roman"/>
          <w:sz w:val="20"/>
          <w:lang w:val="pt-BR"/>
        </w:rPr>
      </w:pPr>
    </w:p>
    <w:p w14:paraId="6E8344BD" w14:textId="67E3C90F" w:rsidR="00440A50" w:rsidRPr="00D65A20" w:rsidRDefault="00440A50" w:rsidP="00440A50">
      <w:pPr>
        <w:rPr>
          <w:rStyle w:val="FootnoteReference"/>
          <w:rFonts w:ascii="Times New Roman" w:hAnsi="Times New Roman"/>
          <w:sz w:val="20"/>
          <w:lang w:val="pt-BR"/>
        </w:rPr>
      </w:pPr>
      <w:r w:rsidRPr="00D65A20">
        <w:rPr>
          <w:rFonts w:ascii="Times New Roman" w:hAnsi="Times New Roman"/>
          <w:sz w:val="20"/>
          <w:lang w:val="pt-BR"/>
        </w:rPr>
        <w:tab/>
        <w:t xml:space="preserve">3. </w:t>
      </w:r>
      <w:r w:rsidR="000B13C0">
        <w:rPr>
          <w:rFonts w:ascii="Times New Roman" w:hAnsi="Times New Roman"/>
          <w:sz w:val="20"/>
          <w:lang w:val="pt-BR"/>
        </w:rPr>
        <w:tab/>
      </w:r>
      <w:r w:rsidRPr="00D65A20">
        <w:rPr>
          <w:rFonts w:ascii="Times New Roman" w:hAnsi="Times New Roman"/>
          <w:sz w:val="20"/>
          <w:lang w:val="pt-BR"/>
        </w:rPr>
        <w:t>(...) Quinquagésimo Período Ordinário de Sessões da Assembleia Geral.</w:t>
      </w:r>
    </w:p>
    <w:p w14:paraId="6E8344BE" w14:textId="77777777" w:rsidR="00440A50" w:rsidRPr="00D65A20" w:rsidRDefault="00440A50" w:rsidP="00AA4399">
      <w:pPr>
        <w:widowControl/>
        <w:rPr>
          <w:rFonts w:ascii="Times New Roman" w:hAnsi="Times New Roman"/>
          <w:lang w:val="pt-BR"/>
        </w:rPr>
        <w:sectPr w:rsidR="00440A50" w:rsidRPr="00D65A20" w:rsidSect="0037138D">
          <w:footnotePr>
            <w:numRestart w:val="eachSect"/>
          </w:footnotePr>
          <w:endnotePr>
            <w:numFmt w:val="decimal"/>
          </w:endnotePr>
          <w:type w:val="oddPage"/>
          <w:pgSz w:w="12240" w:h="15840"/>
          <w:pgMar w:top="2160" w:right="1570" w:bottom="1296" w:left="1699" w:header="1296" w:footer="1296" w:gutter="0"/>
          <w:pgNumType w:fmt="numberInDash"/>
          <w:cols w:space="720"/>
          <w:noEndnote/>
          <w:titlePg/>
        </w:sectPr>
      </w:pPr>
    </w:p>
    <w:p w14:paraId="6E8344BF" w14:textId="77777777" w:rsidR="00A544BF" w:rsidRPr="00D65A20" w:rsidRDefault="00BB2BAA" w:rsidP="00AA4399">
      <w:pPr>
        <w:widowControl/>
        <w:jc w:val="center"/>
        <w:rPr>
          <w:rStyle w:val="Heading1Char"/>
          <w:rFonts w:ascii="Times New Roman" w:hAnsi="Times New Roman"/>
          <w:lang w:val="pt-BR"/>
        </w:rPr>
      </w:pPr>
      <w:bookmarkStart w:id="57" w:name="_Toc56526473"/>
      <w:bookmarkStart w:id="58" w:name="_Toc56526683"/>
      <w:r w:rsidRPr="00D65A20">
        <w:rPr>
          <w:rStyle w:val="Heading1Char"/>
          <w:rFonts w:ascii="Times New Roman" w:hAnsi="Times New Roman"/>
          <w:lang w:val="pt-BR"/>
        </w:rPr>
        <w:lastRenderedPageBreak/>
        <w:t>AG/RES. 2955 (L-O/20)</w:t>
      </w:r>
      <w:bookmarkEnd w:id="57"/>
      <w:bookmarkEnd w:id="58"/>
    </w:p>
    <w:p w14:paraId="6E8344C0" w14:textId="77777777" w:rsidR="00A544BF" w:rsidRPr="00D65A20" w:rsidRDefault="00A544BF" w:rsidP="00AA4399">
      <w:pPr>
        <w:widowControl/>
        <w:jc w:val="center"/>
        <w:rPr>
          <w:rStyle w:val="Heading1Char"/>
          <w:rFonts w:ascii="Times New Roman" w:hAnsi="Times New Roman"/>
          <w:lang w:val="pt-BR"/>
        </w:rPr>
      </w:pPr>
    </w:p>
    <w:p w14:paraId="6E8344C1" w14:textId="77777777" w:rsidR="00A925FD" w:rsidRPr="00D65A20" w:rsidRDefault="00A925FD" w:rsidP="00A544BF">
      <w:pPr>
        <w:pStyle w:val="Heading1"/>
        <w:rPr>
          <w:lang w:val="pt-BR"/>
        </w:rPr>
      </w:pPr>
      <w:bookmarkStart w:id="59" w:name="_Toc56526474"/>
      <w:bookmarkStart w:id="60" w:name="_Toc56526684"/>
      <w:r w:rsidRPr="00D65A20">
        <w:rPr>
          <w:lang w:val="pt-BR"/>
        </w:rPr>
        <w:t xml:space="preserve">PROMOVENDO INICIATIVAS HEMISFÉRICAS EM MATÉRIA </w:t>
      </w:r>
      <w:bookmarkStart w:id="61" w:name="_Toc23776823"/>
      <w:bookmarkStart w:id="62" w:name="_Toc12287044"/>
      <w:r w:rsidRPr="00D65A20">
        <w:rPr>
          <w:lang w:val="pt-BR"/>
        </w:rPr>
        <w:t>DE DESENVOLVIMENTO INTEGRAL</w:t>
      </w:r>
      <w:bookmarkEnd w:id="61"/>
      <w:bookmarkEnd w:id="62"/>
      <w:r w:rsidRPr="00D65A20">
        <w:rPr>
          <w:lang w:val="pt-BR"/>
        </w:rPr>
        <w:t>: PROMOÇÃO DA RESILIÊNCIA</w:t>
      </w:r>
      <w:r w:rsidRPr="000B13C0">
        <w:rPr>
          <w:u w:val="single"/>
          <w:vertAlign w:val="superscript"/>
          <w:lang w:val="pt-BR"/>
        </w:rPr>
        <w:footnoteReference w:id="41"/>
      </w:r>
      <w:r w:rsidRPr="00D65A20">
        <w:rPr>
          <w:vertAlign w:val="superscript"/>
          <w:lang w:val="pt-BR"/>
        </w:rPr>
        <w:t>/</w:t>
      </w:r>
      <w:bookmarkEnd w:id="59"/>
      <w:bookmarkEnd w:id="60"/>
      <w:r w:rsidR="00714959" w:rsidRPr="00D65A20">
        <w:rPr>
          <w:rStyle w:val="FootnoteReference"/>
          <w:u w:val="single"/>
          <w:vertAlign w:val="superscript"/>
          <w:lang w:val="pt-BR"/>
        </w:rPr>
        <w:footnoteReference w:id="42"/>
      </w:r>
      <w:r w:rsidR="00714959" w:rsidRPr="00D65A20">
        <w:rPr>
          <w:vertAlign w:val="superscript"/>
          <w:lang w:val="pt-BR"/>
        </w:rPr>
        <w:t>/</w:t>
      </w:r>
    </w:p>
    <w:p w14:paraId="6E8344C2"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iCs/>
          <w:szCs w:val="22"/>
          <w:lang w:val="pt-BR" w:eastAsia="es-ES"/>
        </w:rPr>
      </w:pPr>
    </w:p>
    <w:p w14:paraId="6E8344C3"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rPr>
          <w:rFonts w:ascii="Times New Roman" w:eastAsia="Calibri" w:hAnsi="Times New Roman"/>
          <w:bCs/>
          <w:szCs w:val="28"/>
          <w:lang w:val="pt-BR" w:eastAsia="es-ES"/>
        </w:rPr>
      </w:pPr>
      <w:bookmarkStart w:id="63" w:name="_Toc56522546"/>
      <w:bookmarkStart w:id="64" w:name="_Toc56526475"/>
      <w:bookmarkStart w:id="65" w:name="_Toc56526685"/>
      <w:r w:rsidRPr="00D65A20">
        <w:rPr>
          <w:rFonts w:ascii="Times New Roman" w:eastAsia="Calibri" w:hAnsi="Times New Roman"/>
          <w:bCs/>
          <w:szCs w:val="22"/>
          <w:lang w:val="pt-BR" w:eastAsia="es-ES"/>
        </w:rPr>
        <w:t>(Aprovada na primeira sessão plenária, realizada em 20 de outubro de 2020</w:t>
      </w:r>
      <w:r w:rsidRPr="00D65A20">
        <w:rPr>
          <w:rFonts w:ascii="Times New Roman" w:eastAsia="Calibri" w:hAnsi="Times New Roman"/>
          <w:bCs/>
          <w:szCs w:val="28"/>
          <w:lang w:val="pt-BR" w:eastAsia="es-ES"/>
        </w:rPr>
        <w:t>)</w:t>
      </w:r>
      <w:bookmarkEnd w:id="63"/>
      <w:bookmarkEnd w:id="64"/>
      <w:bookmarkEnd w:id="65"/>
    </w:p>
    <w:p w14:paraId="6E8344C4"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MS Mincho" w:hAnsi="Times New Roman"/>
          <w:szCs w:val="22"/>
          <w:lang w:val="pt-BR"/>
        </w:rPr>
      </w:pPr>
    </w:p>
    <w:p w14:paraId="6E8344C5"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MS Mincho" w:hAnsi="Times New Roman"/>
          <w:szCs w:val="22"/>
          <w:lang w:val="pt-BR"/>
        </w:rPr>
      </w:pPr>
    </w:p>
    <w:p w14:paraId="6E8344C6"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A ASSEMBLEIA GERAL,</w:t>
      </w:r>
    </w:p>
    <w:p w14:paraId="6E8344C7"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4C8" w14:textId="5D84D739"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vertAlign w:val="superscript"/>
          <w:lang w:val="pt-BR"/>
        </w:rPr>
      </w:pPr>
      <w:r w:rsidRPr="00D65A20">
        <w:rPr>
          <w:rFonts w:ascii="Times New Roman" w:eastAsia="Calibri" w:hAnsi="Times New Roman"/>
          <w:szCs w:val="22"/>
          <w:lang w:val="pt-BR"/>
        </w:rPr>
        <w:t>REITERANDO a importância da promoção do desenvolvimento integral, inclusive a construção da resiliência, como um dos propósitos essenciais da Organização</w:t>
      </w:r>
      <w:r w:rsidR="00A40807" w:rsidRPr="00D65A20">
        <w:rPr>
          <w:rFonts w:ascii="Times New Roman" w:eastAsia="Calibri" w:hAnsi="Times New Roman"/>
          <w:szCs w:val="22"/>
          <w:lang w:val="pt-BR"/>
        </w:rPr>
        <w:t xml:space="preserve"> dos Estados Americanos (OEA)</w:t>
      </w:r>
      <w:r w:rsidRPr="00D65A20">
        <w:rPr>
          <w:rFonts w:ascii="Times New Roman" w:eastAsia="Calibri" w:hAnsi="Times New Roman"/>
          <w:szCs w:val="22"/>
          <w:lang w:val="pt-BR"/>
        </w:rPr>
        <w:t>, constantes dos instrumentos do Sistema Interamericano, como a Carta da OEA, a Carta Democrática Interamericana e a Carta Social das Américas, bem como dos mandatos da OEA e das iniciativas emanadas das Cúpulas das Américas;</w:t>
      </w:r>
      <w:r w:rsidRPr="00D65A20">
        <w:rPr>
          <w:rFonts w:ascii="Times New Roman" w:eastAsia="Calibri" w:hAnsi="Times New Roman"/>
          <w:szCs w:val="22"/>
          <w:vertAlign w:val="superscript"/>
          <w:lang w:val="pt-BR"/>
        </w:rPr>
        <w:t xml:space="preserve"> </w:t>
      </w:r>
    </w:p>
    <w:p w14:paraId="6E8344C9"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szCs w:val="22"/>
          <w:vertAlign w:val="superscript"/>
          <w:lang w:val="pt-BR"/>
        </w:rPr>
      </w:pPr>
    </w:p>
    <w:p w14:paraId="6E8344CA" w14:textId="0BFCDF0A" w:rsidR="00A925FD" w:rsidRPr="00D65A20" w:rsidRDefault="00A925FD" w:rsidP="00AA4399">
      <w:pPr>
        <w:widowControl/>
        <w:tabs>
          <w:tab w:val="clear" w:pos="2880"/>
          <w:tab w:val="clear" w:pos="3600"/>
          <w:tab w:val="clear" w:pos="4320"/>
          <w:tab w:val="clear" w:pos="5760"/>
          <w:tab w:val="clear" w:pos="6480"/>
          <w:tab w:val="clear" w:pos="7200"/>
          <w:tab w:val="clear" w:pos="7920"/>
        </w:tabs>
        <w:ind w:firstLine="706"/>
        <w:rPr>
          <w:rFonts w:ascii="Times New Roman" w:hAnsi="Times New Roman"/>
          <w:color w:val="000000"/>
          <w:szCs w:val="22"/>
          <w:lang w:val="pt-BR"/>
        </w:rPr>
      </w:pPr>
      <w:r w:rsidRPr="00D65A20">
        <w:rPr>
          <w:rFonts w:ascii="Times New Roman" w:hAnsi="Times New Roman"/>
          <w:bCs/>
          <w:color w:val="000000"/>
          <w:szCs w:val="22"/>
          <w:lang w:val="pt-BR"/>
        </w:rPr>
        <w:t xml:space="preserve">CONSCIENTE de que os Estados membros da </w:t>
      </w:r>
      <w:r w:rsidR="00E37A7D" w:rsidRPr="00D65A20">
        <w:rPr>
          <w:rFonts w:ascii="Times New Roman" w:hAnsi="Times New Roman"/>
          <w:bCs/>
          <w:color w:val="000000"/>
          <w:szCs w:val="22"/>
          <w:lang w:val="pt-BR"/>
        </w:rPr>
        <w:t>OEA</w:t>
      </w:r>
      <w:r w:rsidRPr="00D65A20">
        <w:rPr>
          <w:rFonts w:ascii="Times New Roman" w:hAnsi="Times New Roman"/>
          <w:bCs/>
          <w:color w:val="000000"/>
          <w:szCs w:val="22"/>
          <w:lang w:val="pt-BR"/>
        </w:rPr>
        <w:t xml:space="preserve"> foram afetados significativamente pelos impactos sociais, econômicos e ambientais decorrentes da pandemia de </w:t>
      </w:r>
      <w:r w:rsidR="0085717A" w:rsidRPr="00D65A20">
        <w:rPr>
          <w:rFonts w:ascii="Times New Roman" w:hAnsi="Times New Roman"/>
          <w:bCs/>
          <w:color w:val="000000"/>
          <w:szCs w:val="22"/>
          <w:lang w:val="pt-BR"/>
        </w:rPr>
        <w:t>covid</w:t>
      </w:r>
      <w:r w:rsidRPr="00D65A20">
        <w:rPr>
          <w:rFonts w:ascii="Times New Roman" w:hAnsi="Times New Roman"/>
          <w:bCs/>
          <w:color w:val="000000"/>
          <w:szCs w:val="22"/>
          <w:lang w:val="pt-BR"/>
        </w:rPr>
        <w:t xml:space="preserve">-19, inclusive aqueles que são mais vulneráveis às comoções externas, como os pequenos Estados insulares e de zonas litorâneas baixas em desenvolvimento; e reconhecendo que esses efeitos não são iguais para as populações de nosso Hemisfério, aumentando a vulnerabilidade dos trabalhadores informais, daqueles que perderam sua fonte de trabalho e </w:t>
      </w:r>
      <w:r w:rsidR="00A40807" w:rsidRPr="00D65A20">
        <w:rPr>
          <w:rFonts w:ascii="Times New Roman" w:hAnsi="Times New Roman"/>
          <w:bCs/>
          <w:color w:val="000000"/>
          <w:szCs w:val="22"/>
          <w:lang w:val="pt-BR"/>
        </w:rPr>
        <w:t>de outras</w:t>
      </w:r>
      <w:r w:rsidRPr="00D65A20">
        <w:rPr>
          <w:rFonts w:ascii="Times New Roman" w:hAnsi="Times New Roman"/>
          <w:bCs/>
          <w:color w:val="000000"/>
          <w:szCs w:val="22"/>
          <w:lang w:val="pt-BR"/>
        </w:rPr>
        <w:t xml:space="preserve"> populações vulneráveis;</w:t>
      </w:r>
    </w:p>
    <w:p w14:paraId="6E8344CB"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4CC"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ind w:firstLine="720"/>
        <w:rPr>
          <w:rFonts w:ascii="Times New Roman" w:hAnsi="Times New Roman"/>
          <w:bCs/>
          <w:color w:val="202124"/>
          <w:szCs w:val="22"/>
          <w:lang w:val="pt-BR"/>
        </w:rPr>
      </w:pPr>
      <w:r w:rsidRPr="00D65A20">
        <w:rPr>
          <w:rFonts w:ascii="Times New Roman" w:hAnsi="Times New Roman"/>
          <w:bCs/>
          <w:color w:val="202124"/>
          <w:szCs w:val="22"/>
          <w:lang w:val="pt-BR"/>
        </w:rPr>
        <w:t xml:space="preserve">RECONHECENDO que a pandemia de </w:t>
      </w:r>
      <w:r w:rsidR="0085717A" w:rsidRPr="00D65A20">
        <w:rPr>
          <w:rFonts w:ascii="Times New Roman" w:hAnsi="Times New Roman"/>
          <w:bCs/>
          <w:color w:val="202124"/>
          <w:szCs w:val="22"/>
          <w:lang w:val="pt-BR"/>
        </w:rPr>
        <w:t>covid</w:t>
      </w:r>
      <w:r w:rsidRPr="00D65A20">
        <w:rPr>
          <w:rFonts w:ascii="Times New Roman" w:hAnsi="Times New Roman"/>
          <w:bCs/>
          <w:color w:val="202124"/>
          <w:szCs w:val="22"/>
          <w:lang w:val="pt-BR"/>
        </w:rPr>
        <w:t xml:space="preserve">-19 ameaça o progresso global que visa à erradicação da pobreza, inclusive a pobreza extrema, em todas as suas formas e dimensões, requisito indispensável para o desenvolvimento sustentável; </w:t>
      </w:r>
    </w:p>
    <w:p w14:paraId="6E8344CD"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b/>
          <w:bCs/>
          <w:color w:val="202124"/>
          <w:szCs w:val="22"/>
          <w:lang w:val="pt-BR"/>
        </w:rPr>
      </w:pPr>
    </w:p>
    <w:p w14:paraId="6E8344CE" w14:textId="7F052ACA" w:rsidR="00A925FD" w:rsidRPr="00D65A20" w:rsidRDefault="00A925FD" w:rsidP="00AA4399">
      <w:pPr>
        <w:widowControl/>
        <w:tabs>
          <w:tab w:val="clear" w:pos="2880"/>
          <w:tab w:val="clear" w:pos="3600"/>
          <w:tab w:val="clear" w:pos="4320"/>
          <w:tab w:val="clear" w:pos="5760"/>
          <w:tab w:val="clear" w:pos="6480"/>
          <w:tab w:val="clear" w:pos="7200"/>
          <w:tab w:val="clear" w:pos="7920"/>
        </w:tabs>
        <w:ind w:firstLine="706"/>
        <w:rPr>
          <w:rFonts w:ascii="Times New Roman" w:hAnsi="Times New Roman"/>
          <w:szCs w:val="22"/>
          <w:lang w:val="pt-BR"/>
        </w:rPr>
      </w:pPr>
      <w:r w:rsidRPr="00D65A20">
        <w:rPr>
          <w:rFonts w:ascii="Times New Roman" w:hAnsi="Times New Roman"/>
          <w:bCs/>
          <w:color w:val="000000"/>
          <w:szCs w:val="22"/>
          <w:lang w:val="pt-BR"/>
        </w:rPr>
        <w:t>TENDO PRESENTE que a pandemia reforça a necessidade de que os Estados membros formulem e implementem, com urgência, políticas, estratégias e programas destinados a reduzir sua vulnerabilidade e fomentar sua resiliência diante de perturbações externas, inclusive os efeitos adversos da mudança do clima</w:t>
      </w:r>
      <w:r w:rsidRPr="00D65A20">
        <w:rPr>
          <w:rFonts w:ascii="Times New Roman" w:hAnsi="Times New Roman"/>
          <w:szCs w:val="22"/>
          <w:u w:val="single"/>
          <w:vertAlign w:val="superscript"/>
          <w:lang w:val="pt-BR"/>
        </w:rPr>
        <w:footnoteReference w:id="43"/>
      </w:r>
      <w:r w:rsidRPr="00D65A20">
        <w:rPr>
          <w:rFonts w:ascii="Times New Roman" w:hAnsi="Times New Roman"/>
          <w:bCs/>
          <w:color w:val="000000"/>
          <w:szCs w:val="22"/>
          <w:vertAlign w:val="superscript"/>
          <w:lang w:val="pt-BR"/>
        </w:rPr>
        <w:t>/</w:t>
      </w:r>
      <w:r w:rsidRPr="00D65A20">
        <w:rPr>
          <w:rFonts w:ascii="Times New Roman" w:hAnsi="Times New Roman"/>
          <w:bCs/>
          <w:color w:val="000000"/>
          <w:szCs w:val="22"/>
          <w:lang w:val="pt-BR"/>
        </w:rPr>
        <w:t>, em conformidade com suas obrigações nacionais e internacionais;</w:t>
      </w:r>
      <w:r w:rsidRPr="00D65A20">
        <w:rPr>
          <w:rFonts w:ascii="Times New Roman" w:hAnsi="Times New Roman"/>
          <w:bCs/>
          <w:color w:val="000000"/>
          <w:szCs w:val="22"/>
          <w:vertAlign w:val="superscript"/>
          <w:lang w:val="pt-BR"/>
        </w:rPr>
        <w:t xml:space="preserve"> </w:t>
      </w:r>
    </w:p>
    <w:p w14:paraId="6E8344CF"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4D0" w14:textId="77777777" w:rsidR="00A925FD" w:rsidRPr="00D65A20" w:rsidRDefault="00A925FD" w:rsidP="00AA4399">
      <w:pPr>
        <w:widowControl/>
        <w:shd w:val="clear" w:color="auto" w:fill="FFFFFF"/>
        <w:tabs>
          <w:tab w:val="clear" w:pos="2880"/>
          <w:tab w:val="clear" w:pos="3600"/>
          <w:tab w:val="clear" w:pos="4320"/>
          <w:tab w:val="clear" w:pos="5760"/>
          <w:tab w:val="clear" w:pos="6480"/>
          <w:tab w:val="clear" w:pos="7200"/>
          <w:tab w:val="clear" w:pos="7920"/>
        </w:tabs>
        <w:ind w:firstLine="706"/>
        <w:rPr>
          <w:rFonts w:ascii="Times New Roman" w:hAnsi="Times New Roman"/>
          <w:color w:val="000000"/>
          <w:szCs w:val="22"/>
          <w:shd w:val="clear" w:color="auto" w:fill="00FFFF"/>
          <w:lang w:val="pt-BR"/>
        </w:rPr>
      </w:pPr>
      <w:r w:rsidRPr="00D65A20">
        <w:rPr>
          <w:rFonts w:ascii="Times New Roman" w:hAnsi="Times New Roman"/>
          <w:color w:val="000000"/>
          <w:szCs w:val="22"/>
          <w:shd w:val="clear" w:color="auto" w:fill="FFFFFF"/>
          <w:lang w:val="pt-BR"/>
        </w:rPr>
        <w:t xml:space="preserve">RECONHECENDO que os desafios sanitários, sociais, econômicos, ambientais e financeiros provocados pela pandemia de </w:t>
      </w:r>
      <w:r w:rsidR="0085717A" w:rsidRPr="00D65A20">
        <w:rPr>
          <w:rFonts w:ascii="Times New Roman" w:hAnsi="Times New Roman"/>
          <w:color w:val="000000"/>
          <w:szCs w:val="22"/>
          <w:shd w:val="clear" w:color="auto" w:fill="FFFFFF"/>
          <w:lang w:val="pt-BR"/>
        </w:rPr>
        <w:t>covid</w:t>
      </w:r>
      <w:r w:rsidRPr="00D65A20">
        <w:rPr>
          <w:rFonts w:ascii="Times New Roman" w:hAnsi="Times New Roman"/>
          <w:color w:val="000000"/>
          <w:szCs w:val="22"/>
          <w:shd w:val="clear" w:color="auto" w:fill="FFFFFF"/>
          <w:lang w:val="pt-BR"/>
        </w:rPr>
        <w:t>-19 impactam a implementação de políticas voltadas para o desenvolvimento sustentável, e que alguns Estados necessitam de apoio técnico e financeiro, quando seja pertinente, oferecidos, entre outros, por organismos financeiros internacionais e instituições de desenvolvimento, levando em conta a capacidade individual e os desafios de cada país para abordar essa crise e alcançar um desenvolvimento socioeconômico sustentável mais sólido e resistente ao clima;</w:t>
      </w:r>
    </w:p>
    <w:p w14:paraId="6E8344D1" w14:textId="77777777" w:rsidR="00A925FD" w:rsidRPr="00D65A20" w:rsidRDefault="00A925FD" w:rsidP="00AA4399">
      <w:pPr>
        <w:widowControl/>
        <w:shd w:val="clear" w:color="auto" w:fill="FFFFFF"/>
        <w:tabs>
          <w:tab w:val="clear" w:pos="2880"/>
          <w:tab w:val="clear" w:pos="3600"/>
          <w:tab w:val="clear" w:pos="4320"/>
          <w:tab w:val="clear" w:pos="5760"/>
          <w:tab w:val="clear" w:pos="6480"/>
          <w:tab w:val="clear" w:pos="7200"/>
          <w:tab w:val="clear" w:pos="7920"/>
        </w:tabs>
        <w:rPr>
          <w:rFonts w:ascii="Times New Roman" w:hAnsi="Times New Roman"/>
          <w:color w:val="000000"/>
          <w:szCs w:val="22"/>
          <w:shd w:val="clear" w:color="auto" w:fill="00FFFF"/>
          <w:lang w:val="pt-BR"/>
        </w:rPr>
      </w:pPr>
    </w:p>
    <w:p w14:paraId="6E8344D2" w14:textId="192EA0C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RECORDANDO que o trabalho da OEA no pilar de desenvolvimento é regido pelo Plano Estratégico Integral da Organização [</w:t>
      </w:r>
      <w:hyperlink r:id="rId41" w:history="1">
        <w:r w:rsidRPr="00D65A20">
          <w:rPr>
            <w:rFonts w:ascii="Times New Roman" w:eastAsia="Calibri" w:hAnsi="Times New Roman"/>
            <w:color w:val="0000FF"/>
            <w:szCs w:val="22"/>
            <w:u w:val="single"/>
            <w:lang w:val="pt-BR"/>
          </w:rPr>
          <w:t>AG/RES. 1 (LI-E/16</w:t>
        </w:r>
      </w:hyperlink>
      <w:r w:rsidR="000B13C0" w:rsidRPr="00D65A20">
        <w:rPr>
          <w:rFonts w:ascii="Times New Roman" w:eastAsia="Calibri" w:hAnsi="Times New Roman"/>
          <w:szCs w:val="22"/>
          <w:lang w:val="pt-BR"/>
        </w:rPr>
        <w:t>)</w:t>
      </w:r>
      <w:r w:rsidRPr="00D65A20">
        <w:rPr>
          <w:rFonts w:ascii="Times New Roman" w:eastAsia="Calibri" w:hAnsi="Times New Roman"/>
          <w:szCs w:val="22"/>
          <w:lang w:val="pt-BR"/>
        </w:rPr>
        <w:t xml:space="preserve"> </w:t>
      </w:r>
      <w:r w:rsidRPr="00D65A20">
        <w:rPr>
          <w:rFonts w:ascii="Times New Roman" w:eastAsia="Calibri" w:hAnsi="Times New Roman"/>
          <w:color w:val="0000FF"/>
          <w:szCs w:val="22"/>
          <w:u w:val="single"/>
          <w:lang w:val="pt-BR"/>
        </w:rPr>
        <w:t>rev.1</w:t>
      </w:r>
      <w:r w:rsidRPr="00D65A20">
        <w:rPr>
          <w:rFonts w:ascii="Times New Roman" w:eastAsia="Calibri" w:hAnsi="Times New Roman"/>
          <w:szCs w:val="22"/>
          <w:lang w:val="pt-BR"/>
        </w:rPr>
        <w:t xml:space="preserve">] </w:t>
      </w:r>
      <w:r w:rsidR="000A6BAD" w:rsidRPr="00D65A20">
        <w:rPr>
          <w:rFonts w:ascii="Times New Roman" w:eastAsia="Calibri" w:hAnsi="Times New Roman"/>
          <w:szCs w:val="22"/>
          <w:lang w:val="pt-BR"/>
        </w:rPr>
        <w:t xml:space="preserve">para o período 2016–2020 </w:t>
      </w:r>
      <w:r w:rsidRPr="00D65A20">
        <w:rPr>
          <w:rFonts w:ascii="Times New Roman" w:eastAsia="Calibri" w:hAnsi="Times New Roman"/>
          <w:szCs w:val="22"/>
          <w:lang w:val="pt-BR"/>
        </w:rPr>
        <w:t xml:space="preserve">e pela </w:t>
      </w:r>
      <w:r w:rsidRPr="00D65A20">
        <w:rPr>
          <w:rFonts w:ascii="Times New Roman" w:eastAsia="Calibri" w:hAnsi="Times New Roman"/>
          <w:szCs w:val="22"/>
          <w:lang w:val="pt-BR"/>
        </w:rPr>
        <w:lastRenderedPageBreak/>
        <w:t>Compilação do Plano Estratégico Integral da OEA, de 2019, (</w:t>
      </w:r>
      <w:hyperlink r:id="rId42" w:history="1">
        <w:r w:rsidRPr="00D65A20">
          <w:rPr>
            <w:rFonts w:ascii="Times New Roman" w:eastAsia="Calibri" w:hAnsi="Times New Roman"/>
            <w:color w:val="0000FF"/>
            <w:szCs w:val="22"/>
            <w:u w:val="single"/>
            <w:lang w:val="pt-BR"/>
          </w:rPr>
          <w:t>CP/doc.5469/19 rev. 1</w:t>
        </w:r>
      </w:hyperlink>
      <w:r w:rsidRPr="00D65A20">
        <w:rPr>
          <w:rFonts w:ascii="Times New Roman" w:eastAsia="Calibri" w:hAnsi="Times New Roman"/>
          <w:color w:val="000000"/>
          <w:szCs w:val="22"/>
          <w:lang w:val="pt-BR"/>
        </w:rPr>
        <w:t>),</w:t>
      </w:r>
      <w:r w:rsidRPr="00D65A20">
        <w:rPr>
          <w:rFonts w:ascii="Times New Roman" w:eastAsia="Calibri" w:hAnsi="Times New Roman"/>
          <w:szCs w:val="22"/>
          <w:lang w:val="pt-BR"/>
        </w:rPr>
        <w:t xml:space="preserve"> </w:t>
      </w:r>
      <w:r w:rsidR="00E337F0" w:rsidRPr="00D65A20">
        <w:rPr>
          <w:rFonts w:ascii="Times New Roman" w:eastAsia="Calibri" w:hAnsi="Times New Roman"/>
          <w:szCs w:val="22"/>
          <w:lang w:val="pt-BR"/>
        </w:rPr>
        <w:t xml:space="preserve">os quais estão </w:t>
      </w:r>
      <w:r w:rsidRPr="00D65A20">
        <w:rPr>
          <w:rFonts w:ascii="Times New Roman" w:eastAsia="Calibri" w:hAnsi="Times New Roman"/>
          <w:szCs w:val="22"/>
          <w:lang w:val="pt-BR"/>
        </w:rPr>
        <w:t xml:space="preserve">alinhados </w:t>
      </w:r>
      <w:r w:rsidR="00E337F0" w:rsidRPr="00D65A20">
        <w:rPr>
          <w:rFonts w:ascii="Times New Roman" w:eastAsia="Calibri" w:hAnsi="Times New Roman"/>
          <w:szCs w:val="22"/>
          <w:lang w:val="pt-BR"/>
        </w:rPr>
        <w:t>e contribuem para a implementação da</w:t>
      </w:r>
      <w:r w:rsidRPr="00D65A20">
        <w:rPr>
          <w:rFonts w:ascii="Times New Roman" w:eastAsia="Calibri" w:hAnsi="Times New Roman"/>
          <w:szCs w:val="22"/>
          <w:lang w:val="pt-BR"/>
        </w:rPr>
        <w:t xml:space="preserve"> Agenda 2030 para o Desenvolvimento Sustentável e seus Objetivos de Desenvolvimento Sustentável (ODS), como âmbito geral de </w:t>
      </w:r>
      <w:r w:rsidR="00E337F0" w:rsidRPr="00D65A20">
        <w:rPr>
          <w:rFonts w:ascii="Times New Roman" w:eastAsia="Calibri" w:hAnsi="Times New Roman"/>
          <w:szCs w:val="22"/>
          <w:lang w:val="pt-BR"/>
        </w:rPr>
        <w:t xml:space="preserve">sua </w:t>
      </w:r>
      <w:r w:rsidRPr="00D65A20">
        <w:rPr>
          <w:rFonts w:ascii="Times New Roman" w:eastAsia="Calibri" w:hAnsi="Times New Roman"/>
          <w:szCs w:val="22"/>
          <w:lang w:val="pt-BR"/>
        </w:rPr>
        <w:t>atuação;</w:t>
      </w:r>
    </w:p>
    <w:p w14:paraId="6E8344D3"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4D4"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ACOLHENDO os resultados das reuniões de ministros e altas autoridades no âmbito do Conselho Interamericano de Desenvolvimento Integral (CIDI), nas áreas de educação, cultura e energia, bem como os processos setoriais sobre trabalho, portos, cooperação, ciência e tecnologia, turismo, competitividade e micro, pequenas e médias empresas;</w:t>
      </w:r>
    </w:p>
    <w:p w14:paraId="6E8344D5"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4D6"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Cs/>
          <w:i/>
          <w:iCs/>
          <w:szCs w:val="22"/>
          <w:lang w:val="pt-BR"/>
        </w:rPr>
      </w:pPr>
      <w:r w:rsidRPr="00D65A20">
        <w:rPr>
          <w:rFonts w:ascii="Times New Roman" w:eastAsia="Calibri" w:hAnsi="Times New Roman"/>
          <w:szCs w:val="22"/>
          <w:lang w:val="pt-BR"/>
        </w:rPr>
        <w:t xml:space="preserve">DANDO CONTINUIDADE ao disposto na resolução </w:t>
      </w:r>
      <w:hyperlink r:id="rId43" w:history="1">
        <w:r w:rsidRPr="00D65A20">
          <w:rPr>
            <w:rFonts w:ascii="Times New Roman" w:eastAsia="Calibri" w:hAnsi="Times New Roman"/>
            <w:color w:val="0000FF"/>
            <w:szCs w:val="22"/>
            <w:u w:val="single"/>
            <w:lang w:val="pt-BR"/>
          </w:rPr>
          <w:t>AG/RES. 2939 (XLIX-O/19</w:t>
        </w:r>
      </w:hyperlink>
      <w:r w:rsidRPr="00D65A20">
        <w:rPr>
          <w:rFonts w:ascii="Times New Roman" w:eastAsia="Calibri" w:hAnsi="Times New Roman"/>
          <w:szCs w:val="22"/>
          <w:lang w:val="pt-BR"/>
        </w:rPr>
        <w:t xml:space="preserve">)], “Promovendo iniciativas hemisféricas em matéria de desenvolvimento integral”, aprovada pela Assembleia Geral no Quadragésimo Nono Período Ordinário de Sessões; </w:t>
      </w:r>
    </w:p>
    <w:p w14:paraId="6E8344D7"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4D8" w14:textId="72BDF23C"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TOMANDO NOTA do progresso registrado pela Secretaria</w:t>
      </w:r>
      <w:r w:rsidR="006C0B91" w:rsidRPr="00D65A20">
        <w:rPr>
          <w:rFonts w:ascii="Times New Roman" w:eastAsia="Calibri" w:hAnsi="Times New Roman"/>
          <w:szCs w:val="22"/>
          <w:lang w:val="pt-BR"/>
        </w:rPr>
        <w:t xml:space="preserve"> Executiva de Desenvolvimento Integral</w:t>
      </w:r>
      <w:r w:rsidRPr="00D65A20">
        <w:rPr>
          <w:rFonts w:ascii="Times New Roman" w:eastAsia="Calibri" w:hAnsi="Times New Roman"/>
          <w:szCs w:val="22"/>
          <w:lang w:val="pt-BR"/>
        </w:rPr>
        <w:t xml:space="preserve"> no âmbito do Plano Estratégico Integral da Organização [AG/RES. 1 (LI-E/16 rev.1] </w:t>
      </w:r>
      <w:r w:rsidR="000A6BAD" w:rsidRPr="00D65A20">
        <w:rPr>
          <w:rFonts w:ascii="Times New Roman" w:eastAsia="Calibri" w:hAnsi="Times New Roman"/>
          <w:szCs w:val="22"/>
          <w:lang w:val="pt-BR"/>
        </w:rPr>
        <w:t xml:space="preserve">para 2016–2020, </w:t>
      </w:r>
      <w:r w:rsidRPr="00D65A20">
        <w:rPr>
          <w:rFonts w:ascii="Times New Roman" w:eastAsia="Calibri" w:hAnsi="Times New Roman"/>
          <w:szCs w:val="22"/>
          <w:lang w:val="pt-BR"/>
        </w:rPr>
        <w:t>segundo suas sete linhas estratégicas e objetivos para o pilar de desenvolvimento integral e conforme expressa o Relatório Anual da Secretaria Executiva de Desenvolvimento Integral (SEDI) ao Conselho Interamericano de Desenvolvimento Integral</w:t>
      </w:r>
      <w:r w:rsidR="00BE56F8" w:rsidRPr="00D65A20">
        <w:rPr>
          <w:rFonts w:ascii="Times New Roman" w:eastAsia="Calibri" w:hAnsi="Times New Roman"/>
          <w:szCs w:val="22"/>
          <w:lang w:val="pt-BR"/>
        </w:rPr>
        <w:t xml:space="preserve"> (CIDI)</w:t>
      </w:r>
      <w:r w:rsidRPr="00D65A20">
        <w:rPr>
          <w:rFonts w:ascii="Times New Roman" w:eastAsia="Calibri" w:hAnsi="Times New Roman"/>
          <w:szCs w:val="22"/>
          <w:lang w:val="pt-BR"/>
        </w:rPr>
        <w:t xml:space="preserve"> </w:t>
      </w:r>
      <w:r w:rsidR="003525E3" w:rsidRPr="00D65A20">
        <w:rPr>
          <w:rFonts w:ascii="Times New Roman" w:hAnsi="Times New Roman"/>
          <w:color w:val="000000"/>
          <w:lang w:val="pt-BR"/>
        </w:rPr>
        <w:t>(</w:t>
      </w:r>
      <w:hyperlink r:id="rId44" w:history="1">
        <w:r w:rsidR="003525E3" w:rsidRPr="00D65A20">
          <w:rPr>
            <w:rStyle w:val="Hyperlink"/>
            <w:rFonts w:ascii="Times New Roman" w:hAnsi="Times New Roman"/>
            <w:color w:val="0000FF"/>
            <w:lang w:val="pt-BR"/>
          </w:rPr>
          <w:t>CIDI/doc.283/20 rev.1</w:t>
        </w:r>
        <w:r w:rsidR="003525E3" w:rsidRPr="00D65A20">
          <w:rPr>
            <w:rStyle w:val="Hyperlink"/>
            <w:rFonts w:ascii="Times New Roman" w:hAnsi="Times New Roman"/>
            <w:color w:val="000000"/>
            <w:lang w:val="pt-BR"/>
          </w:rPr>
          <w:t>);</w:t>
        </w:r>
      </w:hyperlink>
      <w:r w:rsidR="003525E3" w:rsidRPr="00D65A20">
        <w:rPr>
          <w:rFonts w:ascii="Times New Roman" w:eastAsia="Calibri" w:hAnsi="Times New Roman"/>
          <w:szCs w:val="22"/>
          <w:lang w:val="pt-BR"/>
        </w:rPr>
        <w:t xml:space="preserve"> </w:t>
      </w:r>
      <w:r w:rsidRPr="00D65A20">
        <w:rPr>
          <w:rFonts w:ascii="Times New Roman" w:eastAsia="Calibri" w:hAnsi="Times New Roman"/>
          <w:szCs w:val="22"/>
          <w:lang w:val="pt-BR"/>
        </w:rPr>
        <w:t>e</w:t>
      </w:r>
    </w:p>
    <w:p w14:paraId="6E8344D9"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szCs w:val="22"/>
          <w:lang w:val="pt-BR"/>
        </w:rPr>
      </w:pPr>
    </w:p>
    <w:p w14:paraId="6E8344DA"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color w:val="000000"/>
          <w:szCs w:val="22"/>
          <w:lang w:val="pt-BR"/>
        </w:rPr>
        <w:t>LEVANDO EM CONTA que o CIDI aprovou a resolução CIDI/RES.342 (CII-O/20), “Modificaç</w:t>
      </w:r>
      <w:r w:rsidR="002D58C3" w:rsidRPr="00D65A20">
        <w:rPr>
          <w:rFonts w:ascii="Times New Roman" w:hAnsi="Times New Roman"/>
          <w:color w:val="000000"/>
          <w:szCs w:val="22"/>
          <w:lang w:val="pt-BR"/>
        </w:rPr>
        <w:t>ão</w:t>
      </w:r>
      <w:r w:rsidRPr="00D65A20">
        <w:rPr>
          <w:rFonts w:ascii="Times New Roman" w:hAnsi="Times New Roman"/>
          <w:color w:val="000000"/>
          <w:szCs w:val="22"/>
          <w:lang w:val="pt-BR"/>
        </w:rPr>
        <w:t xml:space="preserve"> </w:t>
      </w:r>
      <w:r w:rsidR="002D58C3" w:rsidRPr="00D65A20">
        <w:rPr>
          <w:rFonts w:ascii="Times New Roman" w:hAnsi="Times New Roman"/>
          <w:color w:val="000000"/>
          <w:szCs w:val="22"/>
          <w:lang w:val="pt-BR"/>
        </w:rPr>
        <w:t>d</w:t>
      </w:r>
      <w:r w:rsidRPr="00D65A20">
        <w:rPr>
          <w:rFonts w:ascii="Times New Roman" w:hAnsi="Times New Roman"/>
          <w:color w:val="000000"/>
          <w:szCs w:val="22"/>
          <w:lang w:val="pt-BR"/>
        </w:rPr>
        <w:t xml:space="preserve">o Estatuto da Agência Interamericana de Cooperação e Desenvolvimento (AICD) e </w:t>
      </w:r>
      <w:r w:rsidR="002D58C3" w:rsidRPr="00D65A20">
        <w:rPr>
          <w:rFonts w:ascii="Times New Roman" w:hAnsi="Times New Roman"/>
          <w:color w:val="000000"/>
          <w:szCs w:val="22"/>
          <w:lang w:val="pt-BR"/>
        </w:rPr>
        <w:t>d</w:t>
      </w:r>
      <w:r w:rsidRPr="00D65A20">
        <w:rPr>
          <w:rFonts w:ascii="Times New Roman" w:hAnsi="Times New Roman"/>
          <w:color w:val="000000"/>
          <w:szCs w:val="22"/>
          <w:lang w:val="pt-BR"/>
        </w:rPr>
        <w:t xml:space="preserve">o Estatuto da Comissão do Fundo de Capital para os Programas de Bolsas de Estudo e </w:t>
      </w:r>
      <w:r w:rsidR="002D58C3" w:rsidRPr="00D65A20">
        <w:rPr>
          <w:rFonts w:ascii="Times New Roman" w:hAnsi="Times New Roman"/>
          <w:color w:val="000000"/>
          <w:szCs w:val="22"/>
          <w:lang w:val="pt-BR"/>
        </w:rPr>
        <w:t xml:space="preserve">Capacitação </w:t>
      </w:r>
      <w:r w:rsidRPr="00D65A20">
        <w:rPr>
          <w:rFonts w:ascii="Times New Roman" w:hAnsi="Times New Roman"/>
          <w:color w:val="000000"/>
          <w:szCs w:val="22"/>
          <w:lang w:val="pt-BR"/>
        </w:rPr>
        <w:t xml:space="preserve">da OEA”, </w:t>
      </w:r>
    </w:p>
    <w:p w14:paraId="6E8344DB"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4DC"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r w:rsidRPr="00D65A20">
        <w:rPr>
          <w:rFonts w:ascii="Times New Roman" w:eastAsia="Calibri" w:hAnsi="Times New Roman"/>
          <w:szCs w:val="22"/>
          <w:lang w:val="pt-BR"/>
        </w:rPr>
        <w:t>RESOLVE:</w:t>
      </w:r>
    </w:p>
    <w:p w14:paraId="6E8344DD"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szCs w:val="22"/>
          <w:lang w:val="pt-BR"/>
        </w:rPr>
      </w:pPr>
    </w:p>
    <w:p w14:paraId="6E8344DE" w14:textId="77777777" w:rsidR="00A925FD" w:rsidRPr="00D65A20" w:rsidRDefault="00A925FD" w:rsidP="00AA4399">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pt-BR"/>
        </w:rPr>
      </w:pPr>
      <w:r w:rsidRPr="00D65A20">
        <w:rPr>
          <w:rFonts w:ascii="Times New Roman" w:eastAsia="Calibri" w:hAnsi="Times New Roman"/>
          <w:szCs w:val="22"/>
          <w:lang w:val="pt-BR"/>
        </w:rPr>
        <w:t xml:space="preserve">Agradecer aos governos dos seguintes Estados membros, que presidiram e </w:t>
      </w:r>
      <w:r w:rsidR="002D58C3" w:rsidRPr="00D65A20">
        <w:rPr>
          <w:rFonts w:ascii="Times New Roman" w:eastAsia="Calibri" w:hAnsi="Times New Roman"/>
          <w:szCs w:val="22"/>
          <w:lang w:val="pt-BR"/>
        </w:rPr>
        <w:t xml:space="preserve">foram sede de </w:t>
      </w:r>
      <w:r w:rsidRPr="00D65A20">
        <w:rPr>
          <w:rFonts w:ascii="Times New Roman" w:eastAsia="Calibri" w:hAnsi="Times New Roman"/>
          <w:szCs w:val="22"/>
          <w:lang w:val="pt-BR"/>
        </w:rPr>
        <w:t xml:space="preserve">reuniões de ministros e altas autoridades no âmbito do Conselho Interamericano de Desenvolvimento Integral (CIDI) e dos processos setoriais realizados desde o Quadragésimo Nono Período Ordinário de Sessões da Assembleia Geral, a hospitalidade, a liderança e o compromisso: </w:t>
      </w:r>
    </w:p>
    <w:p w14:paraId="6E8344DF"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Calibri" w:hAnsi="Times New Roman"/>
          <w:szCs w:val="22"/>
          <w:lang w:val="pt-BR"/>
        </w:rPr>
      </w:pPr>
    </w:p>
    <w:p w14:paraId="6E8344E0" w14:textId="3F372043" w:rsidR="00A925FD" w:rsidRPr="00D65A20" w:rsidRDefault="00A925FD" w:rsidP="00AA4399">
      <w:pPr>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 w:val="left" w:pos="2430"/>
          <w:tab w:val="left" w:pos="3240"/>
        </w:tabs>
        <w:ind w:left="1440" w:hanging="720"/>
        <w:rPr>
          <w:rFonts w:ascii="Times New Roman" w:eastAsia="Calibri" w:hAnsi="Times New Roman"/>
          <w:szCs w:val="22"/>
          <w:lang w:val="pt-BR"/>
        </w:rPr>
      </w:pPr>
      <w:r w:rsidRPr="00D65A20">
        <w:rPr>
          <w:rFonts w:ascii="Times New Roman" w:eastAsia="Calibri" w:hAnsi="Times New Roman"/>
          <w:szCs w:val="22"/>
          <w:lang w:val="pt-BR"/>
        </w:rPr>
        <w:t xml:space="preserve">Antígua e Barbuda, por presidir a Décima Reunião da Comissão Interamericana de Ministros da Educação no </w:t>
      </w:r>
      <w:r w:rsidR="00BE56F8" w:rsidRPr="00D65A20">
        <w:rPr>
          <w:rFonts w:ascii="Times New Roman" w:eastAsia="Calibri" w:hAnsi="Times New Roman"/>
          <w:szCs w:val="22"/>
          <w:lang w:val="pt-BR"/>
        </w:rPr>
        <w:t>â</w:t>
      </w:r>
      <w:r w:rsidRPr="00D65A20">
        <w:rPr>
          <w:rFonts w:ascii="Times New Roman" w:eastAsia="Calibri" w:hAnsi="Times New Roman"/>
          <w:szCs w:val="22"/>
          <w:lang w:val="pt-BR"/>
        </w:rPr>
        <w:t>mbito do CIDI, realizada em Washington, D.C., em 8 e 9 de julho de 2019, em Washington, D.C.;</w:t>
      </w:r>
    </w:p>
    <w:p w14:paraId="6E8344E1" w14:textId="77777777" w:rsidR="00A925FD" w:rsidRPr="00D65A20" w:rsidRDefault="00A925FD" w:rsidP="00AA4399">
      <w:pPr>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 w:val="left" w:pos="2430"/>
          <w:tab w:val="left" w:pos="3240"/>
        </w:tabs>
        <w:ind w:left="1440" w:hanging="720"/>
        <w:rPr>
          <w:rFonts w:ascii="Times New Roman" w:eastAsia="Calibri" w:hAnsi="Times New Roman"/>
          <w:szCs w:val="22"/>
          <w:lang w:val="pt-BR"/>
        </w:rPr>
      </w:pPr>
      <w:r w:rsidRPr="00D65A20">
        <w:rPr>
          <w:rFonts w:ascii="Times New Roman" w:eastAsia="Calibri" w:hAnsi="Times New Roman"/>
          <w:szCs w:val="22"/>
          <w:lang w:val="pt-BR"/>
        </w:rPr>
        <w:t xml:space="preserve">Honduras, por </w:t>
      </w:r>
      <w:r w:rsidR="002D58C3" w:rsidRPr="00D65A20">
        <w:rPr>
          <w:rFonts w:ascii="Times New Roman" w:eastAsia="Calibri" w:hAnsi="Times New Roman"/>
          <w:szCs w:val="22"/>
          <w:lang w:val="pt-BR"/>
        </w:rPr>
        <w:t>ser sede</w:t>
      </w:r>
      <w:r w:rsidRPr="00D65A20">
        <w:rPr>
          <w:rFonts w:ascii="Times New Roman" w:eastAsia="Calibri" w:hAnsi="Times New Roman"/>
          <w:szCs w:val="22"/>
          <w:lang w:val="pt-BR"/>
        </w:rPr>
        <w:t xml:space="preserve"> </w:t>
      </w:r>
      <w:r w:rsidR="002D58C3" w:rsidRPr="00D65A20">
        <w:rPr>
          <w:rFonts w:ascii="Times New Roman" w:eastAsia="Calibri" w:hAnsi="Times New Roman"/>
          <w:szCs w:val="22"/>
          <w:lang w:val="pt-BR"/>
        </w:rPr>
        <w:t>d</w:t>
      </w:r>
      <w:r w:rsidRPr="00D65A20">
        <w:rPr>
          <w:rFonts w:ascii="Times New Roman" w:eastAsia="Calibri" w:hAnsi="Times New Roman"/>
          <w:szCs w:val="22"/>
          <w:lang w:val="pt-BR"/>
        </w:rPr>
        <w:t>a Vigésima Reunião da Comissão Executiva da Comissão Interamericana de Portos (CECIP), na Ilha de Roatán, em 17 de julho de 2019;</w:t>
      </w:r>
    </w:p>
    <w:p w14:paraId="6E8344E2" w14:textId="3E7B90CA" w:rsidR="00A925FD" w:rsidRPr="00D65A20" w:rsidRDefault="00A925FD" w:rsidP="00AA4399">
      <w:pPr>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 w:val="left" w:pos="2430"/>
          <w:tab w:val="left" w:pos="3240"/>
        </w:tabs>
        <w:ind w:left="1440" w:hanging="720"/>
        <w:rPr>
          <w:rFonts w:ascii="Times New Roman" w:eastAsia="Calibri" w:hAnsi="Times New Roman"/>
          <w:szCs w:val="22"/>
          <w:lang w:val="pt-BR"/>
        </w:rPr>
      </w:pPr>
      <w:r w:rsidRPr="00D65A20">
        <w:rPr>
          <w:rFonts w:ascii="Times New Roman" w:eastAsia="Calibri" w:hAnsi="Times New Roman"/>
          <w:szCs w:val="22"/>
          <w:lang w:val="pt-BR"/>
        </w:rPr>
        <w:t xml:space="preserve">Barbados, por </w:t>
      </w:r>
      <w:r w:rsidR="002D58C3" w:rsidRPr="00D65A20">
        <w:rPr>
          <w:rFonts w:ascii="Times New Roman" w:eastAsia="Calibri" w:hAnsi="Times New Roman"/>
          <w:szCs w:val="22"/>
          <w:lang w:val="pt-BR"/>
        </w:rPr>
        <w:t>ser sede</w:t>
      </w:r>
      <w:r w:rsidRPr="00D65A20">
        <w:rPr>
          <w:rFonts w:ascii="Times New Roman" w:eastAsia="Calibri" w:hAnsi="Times New Roman"/>
          <w:szCs w:val="22"/>
          <w:lang w:val="pt-BR"/>
        </w:rPr>
        <w:t xml:space="preserve"> </w:t>
      </w:r>
      <w:r w:rsidR="002D58C3" w:rsidRPr="00D65A20">
        <w:rPr>
          <w:rFonts w:ascii="Times New Roman" w:eastAsia="Calibri" w:hAnsi="Times New Roman"/>
          <w:szCs w:val="22"/>
          <w:lang w:val="pt-BR"/>
        </w:rPr>
        <w:t>d</w:t>
      </w:r>
      <w:r w:rsidRPr="00D65A20">
        <w:rPr>
          <w:rFonts w:ascii="Times New Roman" w:eastAsia="Calibri" w:hAnsi="Times New Roman"/>
          <w:szCs w:val="22"/>
          <w:lang w:val="pt-BR"/>
        </w:rPr>
        <w:t xml:space="preserve">a Oitava Reunião Interamericana de Ministros e Máximas Autoridades de Cultura no </w:t>
      </w:r>
      <w:r w:rsidR="007A7E6B" w:rsidRPr="00D65A20">
        <w:rPr>
          <w:rFonts w:ascii="Times New Roman" w:eastAsia="Calibri" w:hAnsi="Times New Roman"/>
          <w:szCs w:val="22"/>
          <w:lang w:val="pt-BR"/>
        </w:rPr>
        <w:t>â</w:t>
      </w:r>
      <w:r w:rsidRPr="00D65A20">
        <w:rPr>
          <w:rFonts w:ascii="Times New Roman" w:eastAsia="Calibri" w:hAnsi="Times New Roman"/>
          <w:szCs w:val="22"/>
          <w:lang w:val="pt-BR"/>
        </w:rPr>
        <w:t xml:space="preserve">mbito do CIDI, em 19 e 20 de setembro de 2019; </w:t>
      </w:r>
    </w:p>
    <w:p w14:paraId="6E8344E3" w14:textId="77777777" w:rsidR="00A925FD" w:rsidRPr="00D65A20" w:rsidRDefault="00A925FD" w:rsidP="00AA4399">
      <w:pPr>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 w:val="left" w:pos="2552"/>
        </w:tabs>
        <w:ind w:left="1418" w:hanging="709"/>
        <w:textAlignment w:val="baseline"/>
        <w:rPr>
          <w:rFonts w:ascii="Times New Roman" w:hAnsi="Times New Roman"/>
          <w:bCs/>
          <w:color w:val="000000"/>
          <w:szCs w:val="22"/>
          <w:lang w:val="pt-BR"/>
        </w:rPr>
      </w:pPr>
      <w:r w:rsidRPr="00D65A20">
        <w:rPr>
          <w:rFonts w:ascii="Times New Roman" w:hAnsi="Times New Roman"/>
          <w:bCs/>
          <w:color w:val="000000"/>
          <w:szCs w:val="22"/>
          <w:lang w:val="pt-BR"/>
        </w:rPr>
        <w:t>Chile, pelo Décimo Segundo Intercâmbio para a Competitividade das Américas</w:t>
      </w:r>
      <w:r w:rsidR="00A40807" w:rsidRPr="00D65A20">
        <w:rPr>
          <w:rFonts w:ascii="Times New Roman" w:hAnsi="Times New Roman"/>
          <w:bCs/>
          <w:color w:val="000000"/>
          <w:szCs w:val="22"/>
          <w:lang w:val="pt-BR"/>
        </w:rPr>
        <w:t xml:space="preserve"> </w:t>
      </w:r>
      <w:r w:rsidR="00BE56F8" w:rsidRPr="00D65A20">
        <w:rPr>
          <w:rFonts w:ascii="Times New Roman" w:hAnsi="Times New Roman"/>
          <w:bCs/>
          <w:color w:val="000000"/>
          <w:szCs w:val="22"/>
          <w:lang w:val="pt-BR"/>
        </w:rPr>
        <w:t>(ACE)</w:t>
      </w:r>
      <w:r w:rsidRPr="00D65A20">
        <w:rPr>
          <w:rFonts w:ascii="Times New Roman" w:hAnsi="Times New Roman"/>
          <w:bCs/>
          <w:color w:val="000000"/>
          <w:szCs w:val="22"/>
          <w:lang w:val="pt-BR"/>
        </w:rPr>
        <w:t>, realizado de 6 a 10 de outubro de 2019;</w:t>
      </w:r>
    </w:p>
    <w:p w14:paraId="6E8344E4" w14:textId="72186859" w:rsidR="00A925FD" w:rsidRPr="00D65A20" w:rsidRDefault="00A925FD" w:rsidP="00AA4399">
      <w:pPr>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 w:val="left" w:pos="2552"/>
        </w:tabs>
        <w:ind w:left="1418" w:hanging="709"/>
        <w:textAlignment w:val="baseline"/>
        <w:rPr>
          <w:rFonts w:ascii="Times New Roman" w:hAnsi="Times New Roman"/>
          <w:bCs/>
          <w:color w:val="000000"/>
          <w:szCs w:val="22"/>
          <w:lang w:val="pt-BR"/>
        </w:rPr>
      </w:pPr>
      <w:r w:rsidRPr="00D65A20">
        <w:rPr>
          <w:rFonts w:ascii="Times New Roman" w:hAnsi="Times New Roman"/>
          <w:color w:val="000000"/>
          <w:szCs w:val="22"/>
          <w:lang w:val="pt-BR"/>
        </w:rPr>
        <w:t xml:space="preserve">Peru, por </w:t>
      </w:r>
      <w:r w:rsidR="002D58C3" w:rsidRPr="00D65A20">
        <w:rPr>
          <w:rFonts w:ascii="Times New Roman" w:hAnsi="Times New Roman"/>
          <w:color w:val="000000"/>
          <w:szCs w:val="22"/>
          <w:lang w:val="pt-BR"/>
        </w:rPr>
        <w:t>ser sede</w:t>
      </w:r>
      <w:r w:rsidRPr="00D65A20">
        <w:rPr>
          <w:rFonts w:ascii="Times New Roman" w:hAnsi="Times New Roman"/>
          <w:color w:val="000000"/>
          <w:szCs w:val="22"/>
          <w:lang w:val="pt-BR"/>
        </w:rPr>
        <w:t xml:space="preserve"> d</w:t>
      </w:r>
      <w:r w:rsidR="00E72EC6" w:rsidRPr="00D65A20">
        <w:rPr>
          <w:rFonts w:ascii="Times New Roman" w:hAnsi="Times New Roman"/>
          <w:color w:val="000000"/>
          <w:szCs w:val="22"/>
          <w:lang w:val="pt-BR"/>
        </w:rPr>
        <w:t>o</w:t>
      </w:r>
      <w:r w:rsidRPr="00D65A20">
        <w:rPr>
          <w:rFonts w:ascii="Times New Roman" w:hAnsi="Times New Roman"/>
          <w:color w:val="000000"/>
          <w:szCs w:val="22"/>
          <w:lang w:val="pt-BR"/>
        </w:rPr>
        <w:t xml:space="preserve"> </w:t>
      </w:r>
      <w:r w:rsidR="00E72EC6" w:rsidRPr="00D65A20">
        <w:rPr>
          <w:rFonts w:ascii="Times New Roman" w:hAnsi="Times New Roman"/>
          <w:color w:val="000000"/>
          <w:szCs w:val="22"/>
          <w:lang w:val="pt-BR"/>
        </w:rPr>
        <w:t>Primeiro Seminário Internacional sobre Prospectiva Tecnológica para as Américas</w:t>
      </w:r>
      <w:r w:rsidR="00E72EC6" w:rsidRPr="00D65A20">
        <w:rPr>
          <w:rFonts w:ascii="Times New Roman" w:hAnsi="Times New Roman"/>
          <w:color w:val="4D5156"/>
          <w:sz w:val="21"/>
          <w:szCs w:val="21"/>
          <w:shd w:val="clear" w:color="auto" w:fill="FFFFFF"/>
          <w:lang w:val="pt-BR"/>
        </w:rPr>
        <w:t xml:space="preserve"> (</w:t>
      </w:r>
      <w:r w:rsidRPr="00D65A20">
        <w:rPr>
          <w:rFonts w:ascii="Times New Roman" w:hAnsi="Times New Roman"/>
          <w:color w:val="000000"/>
          <w:szCs w:val="22"/>
          <w:lang w:val="pt-BR"/>
        </w:rPr>
        <w:t>Prospecta Américas</w:t>
      </w:r>
      <w:r w:rsidR="00E72EC6" w:rsidRPr="00D65A20">
        <w:rPr>
          <w:rFonts w:ascii="Times New Roman" w:hAnsi="Times New Roman"/>
          <w:color w:val="000000"/>
          <w:szCs w:val="22"/>
          <w:lang w:val="pt-BR"/>
        </w:rPr>
        <w:t>)</w:t>
      </w:r>
      <w:r w:rsidRPr="00D65A20">
        <w:rPr>
          <w:rFonts w:ascii="Times New Roman" w:hAnsi="Times New Roman"/>
          <w:color w:val="000000"/>
          <w:szCs w:val="22"/>
          <w:lang w:val="pt-BR"/>
        </w:rPr>
        <w:t>, realizad</w:t>
      </w:r>
      <w:r w:rsidR="007A7E6B" w:rsidRPr="00D65A20">
        <w:rPr>
          <w:rFonts w:ascii="Times New Roman" w:hAnsi="Times New Roman"/>
          <w:color w:val="000000"/>
          <w:szCs w:val="22"/>
          <w:lang w:val="pt-BR"/>
        </w:rPr>
        <w:t>a</w:t>
      </w:r>
      <w:r w:rsidRPr="00D65A20">
        <w:rPr>
          <w:rFonts w:ascii="Times New Roman" w:hAnsi="Times New Roman"/>
          <w:color w:val="000000"/>
          <w:szCs w:val="22"/>
          <w:lang w:val="pt-BR"/>
        </w:rPr>
        <w:t xml:space="preserve"> em Lima, em 24 e 25 de outubro de 2019;</w:t>
      </w:r>
    </w:p>
    <w:p w14:paraId="6E8344E5" w14:textId="77777777" w:rsidR="00A925FD" w:rsidRPr="00D65A20" w:rsidRDefault="00A925FD" w:rsidP="00AA4399">
      <w:pPr>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s>
        <w:ind w:left="1418" w:hanging="709"/>
        <w:textAlignment w:val="baseline"/>
        <w:rPr>
          <w:rFonts w:ascii="Times New Roman" w:hAnsi="Times New Roman"/>
          <w:bCs/>
          <w:color w:val="000000"/>
          <w:szCs w:val="22"/>
          <w:lang w:val="pt-BR"/>
        </w:rPr>
      </w:pPr>
      <w:r w:rsidRPr="00D65A20">
        <w:rPr>
          <w:rFonts w:ascii="Times New Roman" w:hAnsi="Times New Roman"/>
          <w:bCs/>
          <w:color w:val="000000"/>
          <w:szCs w:val="22"/>
          <w:lang w:val="pt-BR"/>
        </w:rPr>
        <w:t xml:space="preserve">Equador, por </w:t>
      </w:r>
      <w:r w:rsidR="002D58C3" w:rsidRPr="00D65A20">
        <w:rPr>
          <w:rFonts w:ascii="Times New Roman" w:hAnsi="Times New Roman"/>
          <w:bCs/>
          <w:color w:val="000000"/>
          <w:szCs w:val="22"/>
          <w:lang w:val="pt-BR"/>
        </w:rPr>
        <w:t>ser sede</w:t>
      </w:r>
      <w:r w:rsidRPr="00D65A20">
        <w:rPr>
          <w:rFonts w:ascii="Times New Roman" w:hAnsi="Times New Roman"/>
          <w:bCs/>
          <w:color w:val="000000"/>
          <w:szCs w:val="22"/>
          <w:lang w:val="pt-BR"/>
        </w:rPr>
        <w:t xml:space="preserve"> </w:t>
      </w:r>
      <w:r w:rsidR="002D58C3" w:rsidRPr="00D65A20">
        <w:rPr>
          <w:rFonts w:ascii="Times New Roman" w:hAnsi="Times New Roman"/>
          <w:bCs/>
          <w:color w:val="000000"/>
          <w:szCs w:val="22"/>
          <w:lang w:val="pt-BR"/>
        </w:rPr>
        <w:t>d</w:t>
      </w:r>
      <w:r w:rsidRPr="00D65A20">
        <w:rPr>
          <w:rFonts w:ascii="Times New Roman" w:hAnsi="Times New Roman"/>
          <w:bCs/>
          <w:color w:val="000000"/>
          <w:szCs w:val="22"/>
          <w:lang w:val="pt-BR"/>
        </w:rPr>
        <w:t xml:space="preserve">a Reunião dos Grupos de Trabalho da </w:t>
      </w:r>
      <w:r w:rsidR="00A40807" w:rsidRPr="00D65A20">
        <w:rPr>
          <w:rFonts w:ascii="Times New Roman" w:hAnsi="Times New Roman"/>
          <w:bCs/>
          <w:color w:val="000000"/>
          <w:szCs w:val="22"/>
          <w:lang w:val="pt-BR"/>
        </w:rPr>
        <w:t xml:space="preserve">Vigésima </w:t>
      </w:r>
      <w:r w:rsidRPr="00D65A20">
        <w:rPr>
          <w:rFonts w:ascii="Times New Roman" w:hAnsi="Times New Roman"/>
          <w:bCs/>
          <w:color w:val="000000"/>
          <w:szCs w:val="22"/>
          <w:lang w:val="pt-BR"/>
        </w:rPr>
        <w:t>Conferência Interamericana de Ministros do Trabalho, realizada em Quito, de 3 a 5 de dezembro de 2019;</w:t>
      </w:r>
    </w:p>
    <w:p w14:paraId="6E8344E6" w14:textId="77777777" w:rsidR="00A925FD" w:rsidRPr="00D65A20" w:rsidRDefault="00A925FD" w:rsidP="00AA4399">
      <w:pPr>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 w:val="left" w:pos="2430"/>
          <w:tab w:val="left" w:pos="3240"/>
        </w:tabs>
        <w:ind w:left="1440" w:hanging="720"/>
        <w:rPr>
          <w:rFonts w:ascii="Times New Roman" w:eastAsia="Calibri" w:hAnsi="Times New Roman"/>
          <w:szCs w:val="22"/>
          <w:lang w:val="pt-BR"/>
        </w:rPr>
      </w:pPr>
      <w:r w:rsidRPr="00D65A20">
        <w:rPr>
          <w:rFonts w:ascii="Times New Roman" w:eastAsia="Calibri" w:hAnsi="Times New Roman"/>
          <w:szCs w:val="22"/>
          <w:lang w:val="pt-BR"/>
        </w:rPr>
        <w:t xml:space="preserve">Jamaica, por </w:t>
      </w:r>
      <w:r w:rsidR="002D58C3" w:rsidRPr="00D65A20">
        <w:rPr>
          <w:rFonts w:ascii="Times New Roman" w:eastAsia="Calibri" w:hAnsi="Times New Roman"/>
          <w:szCs w:val="22"/>
          <w:lang w:val="pt-BR"/>
        </w:rPr>
        <w:t>ser sede d</w:t>
      </w:r>
      <w:r w:rsidRPr="00D65A20">
        <w:rPr>
          <w:rFonts w:ascii="Times New Roman" w:eastAsia="Calibri" w:hAnsi="Times New Roman"/>
          <w:szCs w:val="22"/>
          <w:lang w:val="pt-BR"/>
        </w:rPr>
        <w:t xml:space="preserve">a Quarta Reunião Ministerial da Parceria em Energia e Clima para as Américas (ECPA), </w:t>
      </w:r>
      <w:r w:rsidR="002D58C3" w:rsidRPr="00D65A20">
        <w:rPr>
          <w:rFonts w:ascii="Times New Roman" w:eastAsia="Calibri" w:hAnsi="Times New Roman"/>
          <w:szCs w:val="22"/>
          <w:lang w:val="pt-BR"/>
        </w:rPr>
        <w:t xml:space="preserve">realizada </w:t>
      </w:r>
      <w:r w:rsidRPr="00D65A20">
        <w:rPr>
          <w:rFonts w:ascii="Times New Roman" w:eastAsia="Calibri" w:hAnsi="Times New Roman"/>
          <w:szCs w:val="22"/>
          <w:lang w:val="pt-BR"/>
        </w:rPr>
        <w:t>em 27 e 28 de fevereiro de 2020; e</w:t>
      </w:r>
    </w:p>
    <w:p w14:paraId="6E8344E7" w14:textId="77777777" w:rsidR="00A925FD" w:rsidRPr="00D65A20" w:rsidRDefault="00A925FD" w:rsidP="00AA4399">
      <w:pPr>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 w:val="left" w:pos="2430"/>
          <w:tab w:val="left" w:pos="3240"/>
        </w:tabs>
        <w:ind w:left="1440" w:hanging="720"/>
        <w:rPr>
          <w:rFonts w:ascii="Times New Roman" w:eastAsia="Calibri" w:hAnsi="Times New Roman"/>
          <w:szCs w:val="22"/>
          <w:lang w:val="pt-BR"/>
        </w:rPr>
      </w:pPr>
      <w:r w:rsidRPr="00D65A20">
        <w:rPr>
          <w:rFonts w:ascii="Times New Roman" w:eastAsia="Calibri" w:hAnsi="Times New Roman"/>
          <w:szCs w:val="22"/>
          <w:lang w:val="pt-BR"/>
        </w:rPr>
        <w:lastRenderedPageBreak/>
        <w:t xml:space="preserve">México, por presidir a Segunda Reunião Extraordinária da Comissão Interamericana de Turismo (CITUR), realizada, de maneira virtual, em 14 de agosto de 2020. </w:t>
      </w:r>
    </w:p>
    <w:p w14:paraId="6E8344E8"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ind w:left="1418" w:hanging="1418"/>
        <w:textAlignment w:val="baseline"/>
        <w:rPr>
          <w:rFonts w:ascii="Times New Roman" w:hAnsi="Times New Roman"/>
          <w:b/>
          <w:bCs/>
          <w:color w:val="000000"/>
          <w:szCs w:val="22"/>
          <w:lang w:val="pt-BR"/>
        </w:rPr>
      </w:pPr>
    </w:p>
    <w:p w14:paraId="6E8344E9" w14:textId="170E8D4D" w:rsidR="00A925FD" w:rsidRPr="00D65A20" w:rsidRDefault="00A925FD" w:rsidP="00AA4399">
      <w:pPr>
        <w:widowControl/>
        <w:tabs>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color w:val="000000"/>
          <w:szCs w:val="22"/>
          <w:lang w:val="pt-BR"/>
        </w:rPr>
        <w:t>2.</w:t>
      </w:r>
      <w:r w:rsidRPr="00D65A20">
        <w:rPr>
          <w:rFonts w:ascii="Times New Roman" w:hAnsi="Times New Roman"/>
          <w:color w:val="000000"/>
          <w:szCs w:val="22"/>
          <w:lang w:val="pt-BR"/>
        </w:rPr>
        <w:tab/>
        <w:t xml:space="preserve">Aceitar com satisfação os amáveis oferecimentos de sede dos seguintes Estados membros para as próximas reuniões setoriais de âmbito ministerial e dos respectivos processos que serão realizados no âmbito do CIDI, conscientes de que talvez </w:t>
      </w:r>
      <w:r w:rsidR="00B75F66" w:rsidRPr="00D65A20">
        <w:rPr>
          <w:rFonts w:ascii="Times New Roman" w:hAnsi="Times New Roman"/>
          <w:color w:val="000000"/>
          <w:szCs w:val="22"/>
          <w:lang w:val="pt-BR"/>
        </w:rPr>
        <w:t>devam</w:t>
      </w:r>
      <w:r w:rsidRPr="00D65A20">
        <w:rPr>
          <w:rFonts w:ascii="Times New Roman" w:hAnsi="Times New Roman"/>
          <w:color w:val="000000"/>
          <w:szCs w:val="22"/>
          <w:lang w:val="pt-BR"/>
        </w:rPr>
        <w:t xml:space="preserve"> ser reprogramados em virtude da atual pandemia, e instar as autoridades de todos os Estados membros a que participem dessas reuniões:</w:t>
      </w:r>
    </w:p>
    <w:p w14:paraId="6E8344EA"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4EB" w14:textId="77777777" w:rsidR="00A925FD" w:rsidRPr="00D65A20" w:rsidRDefault="00A925FD" w:rsidP="00AA4399">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31"/>
        <w:textAlignment w:val="baseline"/>
        <w:rPr>
          <w:rFonts w:ascii="Times New Roman" w:hAnsi="Times New Roman"/>
          <w:color w:val="000000"/>
          <w:szCs w:val="22"/>
          <w:lang w:val="pt-BR"/>
        </w:rPr>
      </w:pPr>
      <w:r w:rsidRPr="00D65A20">
        <w:rPr>
          <w:rFonts w:ascii="Times New Roman" w:hAnsi="Times New Roman"/>
          <w:color w:val="000000"/>
          <w:szCs w:val="22"/>
          <w:lang w:val="pt-BR"/>
        </w:rPr>
        <w:t>Costa Rica: Quarta Reunião Interamericana de Ministros e Altas Autoridades de Desenvolvimento Sustentável, prevista para julho de 2020, adiada para o segundo semestre de 2021;</w:t>
      </w:r>
    </w:p>
    <w:p w14:paraId="6E8344EC" w14:textId="77777777" w:rsidR="00A925FD" w:rsidRPr="00D65A20" w:rsidRDefault="00A925FD" w:rsidP="00AA4399">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31"/>
        <w:textAlignment w:val="baseline"/>
        <w:rPr>
          <w:rFonts w:ascii="Times New Roman" w:hAnsi="Times New Roman"/>
          <w:color w:val="000000"/>
          <w:szCs w:val="22"/>
          <w:lang w:val="pt-BR"/>
        </w:rPr>
      </w:pPr>
      <w:r w:rsidRPr="00D65A20">
        <w:rPr>
          <w:rFonts w:ascii="Times New Roman" w:hAnsi="Times New Roman"/>
          <w:color w:val="000000"/>
          <w:szCs w:val="22"/>
          <w:lang w:val="pt-BR"/>
        </w:rPr>
        <w:t>Argentina: Décima Segunda Reunião Ordinária da Comissão Interamericana de Portos (CIP), que se realizará na cidade de Buenos Aires, de 19 a 21 de maio de 2021;</w:t>
      </w:r>
    </w:p>
    <w:p w14:paraId="6E8344ED" w14:textId="4EE26540" w:rsidR="00A925FD" w:rsidRPr="00D65A20" w:rsidRDefault="00A925FD" w:rsidP="00AA4399">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31"/>
        <w:textAlignment w:val="baseline"/>
        <w:rPr>
          <w:rFonts w:ascii="Times New Roman" w:hAnsi="Times New Roman"/>
          <w:color w:val="000000"/>
          <w:szCs w:val="22"/>
          <w:lang w:val="pt-BR"/>
        </w:rPr>
      </w:pPr>
      <w:r w:rsidRPr="00D65A20">
        <w:rPr>
          <w:rFonts w:ascii="Times New Roman" w:hAnsi="Times New Roman"/>
          <w:color w:val="000000"/>
          <w:szCs w:val="22"/>
          <w:lang w:val="pt-BR"/>
        </w:rPr>
        <w:t xml:space="preserve">México: </w:t>
      </w:r>
      <w:r w:rsidR="00E72EC6" w:rsidRPr="00D65A20">
        <w:rPr>
          <w:rFonts w:ascii="Times New Roman" w:hAnsi="Times New Roman"/>
          <w:color w:val="000000"/>
          <w:szCs w:val="22"/>
          <w:lang w:val="pt-BR"/>
        </w:rPr>
        <w:t>Segundo Seminário Internacional sobre Prospectiva Tecnológica para as Américas (</w:t>
      </w:r>
      <w:r w:rsidRPr="00D65A20">
        <w:rPr>
          <w:rFonts w:ascii="Times New Roman" w:hAnsi="Times New Roman"/>
          <w:color w:val="000000"/>
          <w:szCs w:val="22"/>
          <w:lang w:val="pt-BR"/>
        </w:rPr>
        <w:t>Prospecta Américas</w:t>
      </w:r>
      <w:r w:rsidR="00E72EC6" w:rsidRPr="00D65A20">
        <w:rPr>
          <w:rFonts w:ascii="Times New Roman" w:hAnsi="Times New Roman"/>
          <w:color w:val="000000"/>
          <w:szCs w:val="22"/>
          <w:lang w:val="pt-BR"/>
        </w:rPr>
        <w:t>)</w:t>
      </w:r>
      <w:r w:rsidRPr="00D65A20">
        <w:rPr>
          <w:rFonts w:ascii="Times New Roman" w:hAnsi="Times New Roman"/>
          <w:color w:val="000000"/>
          <w:szCs w:val="22"/>
          <w:lang w:val="pt-BR"/>
        </w:rPr>
        <w:t>, a ser realizad</w:t>
      </w:r>
      <w:r w:rsidR="00E72EC6" w:rsidRPr="00D65A20">
        <w:rPr>
          <w:rFonts w:ascii="Times New Roman" w:hAnsi="Times New Roman"/>
          <w:color w:val="000000"/>
          <w:szCs w:val="22"/>
          <w:lang w:val="pt-BR"/>
        </w:rPr>
        <w:t>o</w:t>
      </w:r>
      <w:r w:rsidRPr="00D65A20">
        <w:rPr>
          <w:rFonts w:ascii="Times New Roman" w:hAnsi="Times New Roman"/>
          <w:color w:val="000000"/>
          <w:szCs w:val="22"/>
          <w:lang w:val="pt-BR"/>
        </w:rPr>
        <w:t xml:space="preserve"> em duas sessões</w:t>
      </w:r>
      <w:r w:rsidR="00E046CF" w:rsidRPr="00D65A20">
        <w:rPr>
          <w:rFonts w:ascii="Times New Roman" w:hAnsi="Times New Roman"/>
          <w:color w:val="000000"/>
          <w:szCs w:val="22"/>
          <w:lang w:val="pt-BR"/>
        </w:rPr>
        <w:t xml:space="preserve"> —</w:t>
      </w:r>
      <w:r w:rsidRPr="00D65A20">
        <w:rPr>
          <w:rFonts w:ascii="Times New Roman" w:hAnsi="Times New Roman"/>
          <w:color w:val="000000"/>
          <w:szCs w:val="22"/>
          <w:lang w:val="pt-BR"/>
        </w:rPr>
        <w:t xml:space="preserve"> </w:t>
      </w:r>
      <w:r w:rsidR="00E046CF" w:rsidRPr="00D65A20">
        <w:rPr>
          <w:rFonts w:ascii="Times New Roman" w:hAnsi="Times New Roman"/>
          <w:color w:val="000000"/>
          <w:szCs w:val="22"/>
          <w:lang w:val="pt-BR"/>
        </w:rPr>
        <w:t>a</w:t>
      </w:r>
      <w:r w:rsidRPr="00D65A20">
        <w:rPr>
          <w:rFonts w:ascii="Times New Roman" w:hAnsi="Times New Roman"/>
          <w:color w:val="000000"/>
          <w:szCs w:val="22"/>
          <w:lang w:val="pt-BR"/>
        </w:rPr>
        <w:t xml:space="preserve"> primeira, em modalidade virtual, em novembro de 2020, e a segunda, presencial, no primeiro </w:t>
      </w:r>
      <w:r w:rsidR="00E046CF" w:rsidRPr="00D65A20">
        <w:rPr>
          <w:rFonts w:ascii="Times New Roman" w:hAnsi="Times New Roman"/>
          <w:color w:val="000000"/>
          <w:szCs w:val="22"/>
          <w:lang w:val="pt-BR"/>
        </w:rPr>
        <w:t xml:space="preserve">trimestre </w:t>
      </w:r>
      <w:r w:rsidRPr="00D65A20">
        <w:rPr>
          <w:rFonts w:ascii="Times New Roman" w:hAnsi="Times New Roman"/>
          <w:color w:val="000000"/>
          <w:szCs w:val="22"/>
          <w:lang w:val="pt-BR"/>
        </w:rPr>
        <w:t xml:space="preserve">de 2021; </w:t>
      </w:r>
    </w:p>
    <w:p w14:paraId="6E8344EE" w14:textId="504D6121" w:rsidR="00A925FD" w:rsidRPr="00D65A20" w:rsidRDefault="00A925FD" w:rsidP="00AA4399">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31"/>
        <w:textAlignment w:val="baseline"/>
        <w:rPr>
          <w:rFonts w:ascii="Times New Roman" w:hAnsi="Times New Roman"/>
          <w:color w:val="000000"/>
          <w:szCs w:val="22"/>
          <w:lang w:val="pt-BR"/>
        </w:rPr>
      </w:pPr>
      <w:r w:rsidRPr="00D65A20">
        <w:rPr>
          <w:rFonts w:ascii="Times New Roman" w:hAnsi="Times New Roman"/>
          <w:color w:val="000000"/>
          <w:szCs w:val="22"/>
          <w:lang w:val="pt-BR"/>
        </w:rPr>
        <w:t xml:space="preserve">Jamaica: Sexta Reunião de Ministros e Altas Autoridades de Ciência e Tecnologia no </w:t>
      </w:r>
      <w:r w:rsidR="003E28D3" w:rsidRPr="00D65A20">
        <w:rPr>
          <w:rFonts w:ascii="Times New Roman" w:hAnsi="Times New Roman"/>
          <w:color w:val="000000"/>
          <w:szCs w:val="22"/>
          <w:lang w:val="pt-BR"/>
        </w:rPr>
        <w:t>â</w:t>
      </w:r>
      <w:r w:rsidRPr="00D65A20">
        <w:rPr>
          <w:rFonts w:ascii="Times New Roman" w:hAnsi="Times New Roman"/>
          <w:color w:val="000000"/>
          <w:szCs w:val="22"/>
          <w:lang w:val="pt-BR"/>
        </w:rPr>
        <w:t>mbito do CIDI, em 2021;</w:t>
      </w:r>
    </w:p>
    <w:p w14:paraId="6E8344EF" w14:textId="77777777" w:rsidR="00A925FD" w:rsidRPr="00D65A20" w:rsidRDefault="00A925FD" w:rsidP="00AA4399">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31"/>
        <w:textAlignment w:val="baseline"/>
        <w:rPr>
          <w:rFonts w:ascii="Times New Roman" w:hAnsi="Times New Roman"/>
          <w:color w:val="000000"/>
          <w:szCs w:val="22"/>
          <w:lang w:val="pt-BR"/>
        </w:rPr>
      </w:pPr>
      <w:r w:rsidRPr="00D65A20">
        <w:rPr>
          <w:rFonts w:ascii="Times New Roman" w:hAnsi="Times New Roman"/>
          <w:color w:val="000000"/>
          <w:szCs w:val="22"/>
          <w:lang w:val="pt-BR"/>
        </w:rPr>
        <w:t>Argentina: Vigésima Primeira Conferência Interamericana de Ministros do Trabalho (CIMT), prevista para 22 a 24 de setembro de 2021;</w:t>
      </w:r>
    </w:p>
    <w:p w14:paraId="6E8344F0" w14:textId="3701D603" w:rsidR="00A925FD" w:rsidRPr="00D65A20" w:rsidRDefault="00A925FD" w:rsidP="00AA4399">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31"/>
        <w:textAlignment w:val="baseline"/>
        <w:rPr>
          <w:rFonts w:ascii="Times New Roman" w:hAnsi="Times New Roman"/>
          <w:color w:val="000000"/>
          <w:szCs w:val="22"/>
          <w:lang w:val="pt-BR"/>
        </w:rPr>
      </w:pPr>
      <w:r w:rsidRPr="00D65A20">
        <w:rPr>
          <w:rFonts w:ascii="Times New Roman" w:hAnsi="Times New Roman"/>
          <w:color w:val="000000"/>
          <w:szCs w:val="22"/>
          <w:lang w:val="pt-BR"/>
        </w:rPr>
        <w:t xml:space="preserve">Equador: Décimo Primeiro Fórum </w:t>
      </w:r>
      <w:r w:rsidR="00A40807" w:rsidRPr="00D65A20">
        <w:rPr>
          <w:rFonts w:ascii="Times New Roman" w:hAnsi="Times New Roman"/>
          <w:color w:val="000000"/>
          <w:szCs w:val="22"/>
          <w:lang w:val="pt-BR"/>
        </w:rPr>
        <w:t xml:space="preserve">para a </w:t>
      </w:r>
      <w:r w:rsidRPr="00D65A20">
        <w:rPr>
          <w:rFonts w:ascii="Times New Roman" w:hAnsi="Times New Roman"/>
          <w:color w:val="000000"/>
          <w:szCs w:val="22"/>
          <w:lang w:val="pt-BR"/>
        </w:rPr>
        <w:t>Competitividade das Américas, em março de 2021;</w:t>
      </w:r>
      <w:r w:rsidRPr="00D65A20">
        <w:rPr>
          <w:rFonts w:ascii="Times New Roman" w:hAnsi="Times New Roman"/>
          <w:b/>
          <w:bCs/>
          <w:color w:val="000000"/>
          <w:szCs w:val="22"/>
          <w:lang w:val="pt-BR"/>
        </w:rPr>
        <w:t xml:space="preserve"> </w:t>
      </w:r>
    </w:p>
    <w:p w14:paraId="6E8344F1" w14:textId="77777777" w:rsidR="00A925FD" w:rsidRPr="00D65A20" w:rsidRDefault="00A925FD" w:rsidP="00AA4399">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31"/>
        <w:textAlignment w:val="baseline"/>
        <w:rPr>
          <w:rFonts w:ascii="Times New Roman" w:hAnsi="Times New Roman"/>
          <w:color w:val="000000"/>
          <w:szCs w:val="22"/>
          <w:lang w:val="pt-BR"/>
        </w:rPr>
      </w:pPr>
      <w:r w:rsidRPr="00D65A20">
        <w:rPr>
          <w:rFonts w:ascii="Times New Roman" w:hAnsi="Times New Roman"/>
          <w:color w:val="000000"/>
          <w:szCs w:val="22"/>
          <w:lang w:val="pt-BR"/>
        </w:rPr>
        <w:t xml:space="preserve">Paraguai: Vigésimo Quinto </w:t>
      </w:r>
      <w:r w:rsidRPr="00D65A20">
        <w:rPr>
          <w:rFonts w:ascii="Times New Roman" w:hAnsi="Times New Roman"/>
          <w:color w:val="333333"/>
          <w:szCs w:val="22"/>
          <w:lang w:val="pt-BR"/>
        </w:rPr>
        <w:t xml:space="preserve">Congresso Interamericano de </w:t>
      </w:r>
      <w:r w:rsidR="00BE56F8" w:rsidRPr="00D65A20">
        <w:rPr>
          <w:rFonts w:ascii="Times New Roman" w:hAnsi="Times New Roman"/>
          <w:color w:val="333333"/>
          <w:szCs w:val="22"/>
          <w:lang w:val="pt-BR"/>
        </w:rPr>
        <w:t xml:space="preserve">Ministros e Altas Autoridades de </w:t>
      </w:r>
      <w:r w:rsidRPr="00D65A20">
        <w:rPr>
          <w:rFonts w:ascii="Times New Roman" w:hAnsi="Times New Roman"/>
          <w:color w:val="333333"/>
          <w:szCs w:val="22"/>
          <w:lang w:val="pt-BR"/>
        </w:rPr>
        <w:t xml:space="preserve">Turismo, </w:t>
      </w:r>
      <w:r w:rsidRPr="00D65A20">
        <w:rPr>
          <w:rFonts w:ascii="Times New Roman" w:hAnsi="Times New Roman"/>
          <w:color w:val="000000"/>
          <w:szCs w:val="22"/>
          <w:lang w:val="pt-BR"/>
        </w:rPr>
        <w:t>previsto para 2021;</w:t>
      </w:r>
    </w:p>
    <w:p w14:paraId="6E8344F2" w14:textId="77777777" w:rsidR="00A925FD" w:rsidRPr="00D65A20" w:rsidRDefault="00A925FD" w:rsidP="00AA4399">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31"/>
        <w:textAlignment w:val="baseline"/>
        <w:rPr>
          <w:rFonts w:ascii="Times New Roman" w:hAnsi="Times New Roman"/>
          <w:color w:val="000000"/>
          <w:szCs w:val="22"/>
          <w:lang w:val="pt-BR"/>
        </w:rPr>
      </w:pPr>
      <w:r w:rsidRPr="00D65A20">
        <w:rPr>
          <w:rFonts w:ascii="Times New Roman" w:hAnsi="Times New Roman"/>
          <w:color w:val="000000"/>
          <w:szCs w:val="22"/>
          <w:lang w:val="pt-BR"/>
        </w:rPr>
        <w:t xml:space="preserve">Chile: Sétimo Diálogo Interamericano de Altas Autoridades de MPMEs, previsto para 2021; </w:t>
      </w:r>
    </w:p>
    <w:p w14:paraId="6E8344F3" w14:textId="263E8D5B" w:rsidR="00A925FD" w:rsidRPr="00D65A20" w:rsidRDefault="00A925FD" w:rsidP="00AA4399">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31"/>
        <w:textAlignment w:val="baseline"/>
        <w:rPr>
          <w:rFonts w:ascii="Times New Roman" w:hAnsi="Times New Roman"/>
          <w:szCs w:val="22"/>
          <w:lang w:val="pt-BR"/>
        </w:rPr>
      </w:pPr>
      <w:r w:rsidRPr="00D65A20">
        <w:rPr>
          <w:rFonts w:ascii="Times New Roman" w:hAnsi="Times New Roman"/>
          <w:color w:val="000000"/>
          <w:szCs w:val="22"/>
          <w:lang w:val="pt-BR"/>
        </w:rPr>
        <w:t xml:space="preserve">Estados Unidos: Décimo Terceiro </w:t>
      </w:r>
      <w:r w:rsidR="00BE56F8" w:rsidRPr="00D65A20">
        <w:rPr>
          <w:rFonts w:ascii="Times New Roman" w:hAnsi="Times New Roman"/>
          <w:color w:val="000000"/>
          <w:szCs w:val="22"/>
          <w:lang w:val="pt-BR"/>
        </w:rPr>
        <w:t xml:space="preserve">e Décimo Quarto </w:t>
      </w:r>
      <w:r w:rsidRPr="00D65A20">
        <w:rPr>
          <w:rFonts w:ascii="Times New Roman" w:hAnsi="Times New Roman"/>
          <w:color w:val="000000"/>
          <w:szCs w:val="22"/>
          <w:lang w:val="pt-BR"/>
        </w:rPr>
        <w:t>Intercâmbio</w:t>
      </w:r>
      <w:r w:rsidR="00BE56F8" w:rsidRPr="00D65A20">
        <w:rPr>
          <w:rFonts w:ascii="Times New Roman" w:hAnsi="Times New Roman"/>
          <w:color w:val="000000"/>
          <w:szCs w:val="22"/>
          <w:lang w:val="pt-BR"/>
        </w:rPr>
        <w:t>s</w:t>
      </w:r>
      <w:r w:rsidRPr="00D65A20">
        <w:rPr>
          <w:rFonts w:ascii="Times New Roman" w:hAnsi="Times New Roman"/>
          <w:color w:val="000000"/>
          <w:szCs w:val="22"/>
          <w:lang w:val="pt-BR"/>
        </w:rPr>
        <w:t xml:space="preserve"> </w:t>
      </w:r>
      <w:r w:rsidR="00BE56F8" w:rsidRPr="00D65A20">
        <w:rPr>
          <w:rFonts w:ascii="Times New Roman" w:hAnsi="Times New Roman"/>
          <w:color w:val="000000"/>
          <w:szCs w:val="22"/>
          <w:lang w:val="pt-BR"/>
        </w:rPr>
        <w:t xml:space="preserve">para a </w:t>
      </w:r>
      <w:r w:rsidRPr="00D65A20">
        <w:rPr>
          <w:rFonts w:ascii="Times New Roman" w:hAnsi="Times New Roman"/>
          <w:color w:val="000000"/>
          <w:szCs w:val="22"/>
          <w:lang w:val="pt-BR"/>
        </w:rPr>
        <w:t>Competitividade das Américas (ACE), previsto</w:t>
      </w:r>
      <w:r w:rsidR="00BE56F8" w:rsidRPr="00D65A20">
        <w:rPr>
          <w:rFonts w:ascii="Times New Roman" w:hAnsi="Times New Roman"/>
          <w:color w:val="000000"/>
          <w:szCs w:val="22"/>
          <w:lang w:val="pt-BR"/>
        </w:rPr>
        <w:t>s</w:t>
      </w:r>
      <w:r w:rsidRPr="00D65A20">
        <w:rPr>
          <w:rFonts w:ascii="Times New Roman" w:hAnsi="Times New Roman"/>
          <w:color w:val="000000"/>
          <w:szCs w:val="22"/>
          <w:lang w:val="pt-BR"/>
        </w:rPr>
        <w:t xml:space="preserve"> para agosto </w:t>
      </w:r>
      <w:r w:rsidR="00BE56F8" w:rsidRPr="00D65A20">
        <w:rPr>
          <w:rFonts w:ascii="Times New Roman" w:hAnsi="Times New Roman"/>
          <w:color w:val="000000"/>
          <w:szCs w:val="22"/>
          <w:lang w:val="pt-BR"/>
        </w:rPr>
        <w:t xml:space="preserve">e novembro </w:t>
      </w:r>
      <w:r w:rsidRPr="00D65A20">
        <w:rPr>
          <w:rFonts w:ascii="Times New Roman" w:hAnsi="Times New Roman"/>
          <w:color w:val="000000"/>
          <w:szCs w:val="22"/>
          <w:lang w:val="pt-BR"/>
        </w:rPr>
        <w:t xml:space="preserve">de 2021, </w:t>
      </w:r>
      <w:r w:rsidR="00BE56F8" w:rsidRPr="00D65A20">
        <w:rPr>
          <w:rFonts w:ascii="Times New Roman" w:hAnsi="Times New Roman"/>
          <w:color w:val="000000"/>
          <w:szCs w:val="22"/>
          <w:lang w:val="pt-BR"/>
        </w:rPr>
        <w:t>respectivamente</w:t>
      </w:r>
      <w:r w:rsidRPr="00D65A20">
        <w:rPr>
          <w:rFonts w:ascii="Times New Roman" w:hAnsi="Times New Roman"/>
          <w:color w:val="000000"/>
          <w:szCs w:val="22"/>
          <w:lang w:val="pt-BR"/>
        </w:rPr>
        <w:t>.</w:t>
      </w:r>
    </w:p>
    <w:p w14:paraId="6E8344F4" w14:textId="77777777" w:rsidR="00A925FD" w:rsidRPr="00D65A20" w:rsidRDefault="00A925FD" w:rsidP="00AA4399">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31"/>
        <w:textAlignment w:val="baseline"/>
        <w:rPr>
          <w:rFonts w:ascii="Times New Roman" w:hAnsi="Times New Roman"/>
          <w:color w:val="000000"/>
          <w:szCs w:val="22"/>
          <w:lang w:val="pt-BR"/>
        </w:rPr>
      </w:pPr>
      <w:r w:rsidRPr="00D65A20">
        <w:rPr>
          <w:rFonts w:ascii="Times New Roman" w:hAnsi="Times New Roman"/>
          <w:color w:val="000000"/>
          <w:szCs w:val="22"/>
          <w:lang w:val="pt-BR"/>
        </w:rPr>
        <w:t>República Dominicana: Quinta Reunião de Ministros e Altas Autoridades de Desenvolvimento Social, prevista para 2022; e</w:t>
      </w:r>
    </w:p>
    <w:p w14:paraId="6E8344F5" w14:textId="77777777" w:rsidR="00A925FD" w:rsidRPr="00D65A20" w:rsidRDefault="00A925FD" w:rsidP="00AA4399">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31"/>
        <w:textAlignment w:val="baseline"/>
        <w:rPr>
          <w:rFonts w:ascii="Times New Roman" w:hAnsi="Times New Roman"/>
          <w:color w:val="000000"/>
          <w:szCs w:val="22"/>
          <w:lang w:val="pt-BR"/>
        </w:rPr>
      </w:pPr>
      <w:r w:rsidRPr="00D65A20">
        <w:rPr>
          <w:rFonts w:ascii="Times New Roman" w:hAnsi="Times New Roman"/>
          <w:color w:val="000000"/>
          <w:szCs w:val="22"/>
          <w:lang w:val="pt-BR"/>
        </w:rPr>
        <w:t>Guatemala: Nona Reunião Interamericana de Ministros e Altas Autoridades de Cultura</w:t>
      </w:r>
      <w:r w:rsidR="00BE56F8" w:rsidRPr="00D65A20">
        <w:rPr>
          <w:rFonts w:ascii="Times New Roman" w:hAnsi="Times New Roman"/>
          <w:color w:val="000000"/>
          <w:szCs w:val="22"/>
          <w:lang w:val="pt-BR"/>
        </w:rPr>
        <w:t xml:space="preserve"> no âmbito do CIDI</w:t>
      </w:r>
      <w:r w:rsidRPr="00D65A20">
        <w:rPr>
          <w:rFonts w:ascii="Times New Roman" w:hAnsi="Times New Roman"/>
          <w:color w:val="000000"/>
          <w:szCs w:val="22"/>
          <w:lang w:val="pt-BR"/>
        </w:rPr>
        <w:t>, programada para 2022.</w:t>
      </w:r>
    </w:p>
    <w:p w14:paraId="6E8344F6" w14:textId="77777777" w:rsidR="00A925FD" w:rsidRPr="00D65A20" w:rsidRDefault="00A925FD" w:rsidP="00AA4399">
      <w:pPr>
        <w:widowControl/>
        <w:tabs>
          <w:tab w:val="clear" w:pos="720"/>
          <w:tab w:val="clear" w:pos="2880"/>
          <w:tab w:val="clear" w:pos="3600"/>
          <w:tab w:val="clear" w:pos="4320"/>
          <w:tab w:val="clear" w:pos="5760"/>
          <w:tab w:val="clear" w:pos="6480"/>
          <w:tab w:val="clear" w:pos="7200"/>
          <w:tab w:val="clear" w:pos="7920"/>
          <w:tab w:val="left" w:pos="993"/>
        </w:tabs>
        <w:textAlignment w:val="baseline"/>
        <w:rPr>
          <w:rFonts w:ascii="Times New Roman" w:hAnsi="Times New Roman"/>
          <w:szCs w:val="22"/>
          <w:lang w:val="pt-BR"/>
        </w:rPr>
      </w:pPr>
    </w:p>
    <w:p w14:paraId="6E8344F7" w14:textId="77777777" w:rsidR="00A925FD" w:rsidRPr="00D65A20" w:rsidRDefault="00A925FD" w:rsidP="00C2498D">
      <w:pPr>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Calibri" w:hAnsi="Times New Roman"/>
          <w:szCs w:val="22"/>
          <w:lang w:val="pt-BR"/>
        </w:rPr>
      </w:pPr>
      <w:r w:rsidRPr="00D65A20">
        <w:rPr>
          <w:rFonts w:ascii="Times New Roman" w:eastAsia="Calibri" w:hAnsi="Times New Roman"/>
          <w:szCs w:val="22"/>
          <w:lang w:val="pt-BR"/>
        </w:rPr>
        <w:t>COM RESPEITO À LINHA ESTRATÉGICA “PROMOVER ECONOMIAS INCLUSIVAS E COMPETITIVAS”</w:t>
      </w:r>
    </w:p>
    <w:p w14:paraId="6E8344F8"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4F9" w14:textId="48C19C7F" w:rsidR="00A925FD" w:rsidRPr="00D65A20" w:rsidRDefault="00A925FD" w:rsidP="00AA4399">
      <w:pPr>
        <w:widowControl/>
        <w:numPr>
          <w:ilvl w:val="0"/>
          <w:numId w:val="2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rFonts w:ascii="Times New Roman" w:hAnsi="Times New Roman"/>
          <w:color w:val="000000"/>
          <w:szCs w:val="22"/>
          <w:lang w:val="pt-BR"/>
        </w:rPr>
      </w:pPr>
      <w:r w:rsidRPr="00D65A20">
        <w:rPr>
          <w:rFonts w:ascii="Times New Roman" w:hAnsi="Times New Roman"/>
          <w:bCs/>
          <w:color w:val="000000"/>
          <w:szCs w:val="22"/>
          <w:lang w:val="pt-BR"/>
        </w:rPr>
        <w:t>Instar os Estados membros a que, mediante o intercâmbio de boas práticas, experiências, oportunidades de capacitação e assistência técnica, fortaleçam o Grupo Virtual de Peritos no âmbito d</w:t>
      </w:r>
      <w:r w:rsidR="00F0413C" w:rsidRPr="00D65A20">
        <w:rPr>
          <w:rFonts w:ascii="Times New Roman" w:hAnsi="Times New Roman"/>
          <w:bCs/>
          <w:color w:val="000000"/>
          <w:szCs w:val="22"/>
          <w:lang w:val="pt-BR"/>
        </w:rPr>
        <w:t>o</w:t>
      </w:r>
      <w:r w:rsidRPr="00D65A20">
        <w:rPr>
          <w:rFonts w:ascii="Times New Roman" w:hAnsi="Times New Roman"/>
          <w:bCs/>
          <w:color w:val="000000"/>
          <w:szCs w:val="22"/>
          <w:lang w:val="pt-BR"/>
        </w:rPr>
        <w:t xml:space="preserve"> Prospecta Américas, da Comissão Interamericana de Ciência e Tecnologia (COMCyT), com o objetivo de abordar </w:t>
      </w:r>
      <w:r w:rsidR="00BE56F8" w:rsidRPr="00D65A20">
        <w:rPr>
          <w:rFonts w:ascii="Times New Roman" w:hAnsi="Times New Roman"/>
          <w:bCs/>
          <w:color w:val="000000"/>
          <w:szCs w:val="22"/>
          <w:lang w:val="pt-BR"/>
        </w:rPr>
        <w:t xml:space="preserve">os </w:t>
      </w:r>
      <w:r w:rsidRPr="00D65A20">
        <w:rPr>
          <w:rFonts w:ascii="Times New Roman" w:hAnsi="Times New Roman"/>
          <w:bCs/>
          <w:color w:val="000000"/>
          <w:szCs w:val="22"/>
          <w:lang w:val="pt-BR"/>
        </w:rPr>
        <w:t xml:space="preserve">imperativos do desenvolvimento nas Américas, inclusive aqueles que decorram da </w:t>
      </w:r>
      <w:r w:rsidR="00BE56F8" w:rsidRPr="00D65A20">
        <w:rPr>
          <w:rFonts w:ascii="Times New Roman" w:hAnsi="Times New Roman"/>
          <w:bCs/>
          <w:color w:val="000000"/>
          <w:szCs w:val="22"/>
          <w:lang w:val="pt-BR"/>
        </w:rPr>
        <w:t xml:space="preserve">pandemia de </w:t>
      </w:r>
      <w:r w:rsidR="002A132B" w:rsidRPr="00D65A20">
        <w:rPr>
          <w:rFonts w:ascii="Times New Roman" w:hAnsi="Times New Roman"/>
          <w:bCs/>
          <w:color w:val="000000"/>
          <w:szCs w:val="22"/>
          <w:lang w:val="pt-BR"/>
        </w:rPr>
        <w:t>covid</w:t>
      </w:r>
      <w:r w:rsidRPr="00D65A20">
        <w:rPr>
          <w:rFonts w:ascii="Times New Roman" w:hAnsi="Times New Roman"/>
          <w:bCs/>
          <w:color w:val="000000"/>
          <w:szCs w:val="22"/>
          <w:lang w:val="pt-BR"/>
        </w:rPr>
        <w:t xml:space="preserve">-19. Do mesmo modo, incentivar os Estados membros que tenham interesse, e que disponham de capacidade nas tecnologias transformadoras, a que se unam à rede de centros interamericanos de excelência em prospecção tecnológica da COMCyT, a fim de complementar recursos e competências regionais, realizar estudos, desenvolver linhas de pesquisa </w:t>
      </w:r>
      <w:r w:rsidRPr="00D65A20">
        <w:rPr>
          <w:rFonts w:ascii="Times New Roman" w:hAnsi="Times New Roman"/>
          <w:bCs/>
          <w:color w:val="000000"/>
          <w:szCs w:val="22"/>
          <w:lang w:val="pt-BR"/>
        </w:rPr>
        <w:lastRenderedPageBreak/>
        <w:t xml:space="preserve">e outras atividades de colaboração para abordar os desafios estratégicos nas Américas, e apoiar a recuperação econômica levando tecnologias, conhecimentos, emprego e crescimento aos países da região. As contribuições não devem ser interpretadas como mandatos que pressuponham ou promovam desembolsos financeiros como condição de participação. </w:t>
      </w:r>
    </w:p>
    <w:p w14:paraId="6E8344FA"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4FB" w14:textId="341C8004" w:rsidR="00A925FD" w:rsidRPr="00D65A20" w:rsidRDefault="00A925FD" w:rsidP="00AA4399">
      <w:pPr>
        <w:widowControl/>
        <w:numPr>
          <w:ilvl w:val="0"/>
          <w:numId w:val="2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rFonts w:ascii="Times New Roman" w:hAnsi="Times New Roman"/>
          <w:color w:val="000000"/>
          <w:szCs w:val="22"/>
          <w:lang w:val="pt-BR"/>
        </w:rPr>
      </w:pPr>
      <w:r w:rsidRPr="00D65A20">
        <w:rPr>
          <w:rFonts w:ascii="Times New Roman" w:hAnsi="Times New Roman"/>
          <w:szCs w:val="22"/>
          <w:lang w:val="pt-BR"/>
        </w:rPr>
        <w:t xml:space="preserve">Encarregar a Secretaria Executiva de Desenvolvimento Integral (SEDI) de continuar apoiando </w:t>
      </w:r>
      <w:r w:rsidRPr="00D65A20">
        <w:rPr>
          <w:rFonts w:ascii="Times New Roman" w:hAnsi="Times New Roman"/>
          <w:bCs/>
          <w:color w:val="000000"/>
          <w:szCs w:val="22"/>
          <w:lang w:val="pt-BR"/>
        </w:rPr>
        <w:t>o trabalho da COMCyT, inclusive a segunda edição do Seminário Prospecta Américas, em Hidalgo, México, bem como a Rede Interamericana de Competitividade (RIAC) e o</w:t>
      </w:r>
      <w:r w:rsidR="00BE56F8" w:rsidRPr="00D65A20">
        <w:rPr>
          <w:rFonts w:ascii="Times New Roman" w:hAnsi="Times New Roman"/>
          <w:bCs/>
          <w:color w:val="000000"/>
          <w:szCs w:val="22"/>
          <w:lang w:val="pt-BR"/>
        </w:rPr>
        <w:t>s</w:t>
      </w:r>
      <w:r w:rsidRPr="00D65A20">
        <w:rPr>
          <w:rFonts w:ascii="Times New Roman" w:hAnsi="Times New Roman"/>
          <w:bCs/>
          <w:color w:val="000000"/>
          <w:szCs w:val="22"/>
          <w:lang w:val="pt-BR"/>
        </w:rPr>
        <w:t xml:space="preserve"> Intercâmbio</w:t>
      </w:r>
      <w:r w:rsidR="00BE56F8" w:rsidRPr="00D65A20">
        <w:rPr>
          <w:rFonts w:ascii="Times New Roman" w:hAnsi="Times New Roman"/>
          <w:bCs/>
          <w:color w:val="000000"/>
          <w:szCs w:val="22"/>
          <w:lang w:val="pt-BR"/>
        </w:rPr>
        <w:t>s</w:t>
      </w:r>
      <w:r w:rsidRPr="00D65A20">
        <w:rPr>
          <w:rFonts w:ascii="Times New Roman" w:hAnsi="Times New Roman"/>
          <w:bCs/>
          <w:color w:val="000000"/>
          <w:szCs w:val="22"/>
          <w:lang w:val="pt-BR"/>
        </w:rPr>
        <w:t xml:space="preserve"> </w:t>
      </w:r>
      <w:r w:rsidR="00BE56F8" w:rsidRPr="00D65A20">
        <w:rPr>
          <w:rFonts w:ascii="Times New Roman" w:hAnsi="Times New Roman"/>
          <w:bCs/>
          <w:color w:val="000000"/>
          <w:szCs w:val="22"/>
          <w:lang w:val="pt-BR"/>
        </w:rPr>
        <w:t xml:space="preserve">para a </w:t>
      </w:r>
      <w:r w:rsidRPr="00D65A20">
        <w:rPr>
          <w:rFonts w:ascii="Times New Roman" w:hAnsi="Times New Roman"/>
          <w:bCs/>
          <w:color w:val="000000"/>
          <w:szCs w:val="22"/>
          <w:lang w:val="pt-BR"/>
        </w:rPr>
        <w:t xml:space="preserve">Competitividade das Américas, e de incentivar a participação plena dos Estados membros, no mais alto nível possível. </w:t>
      </w:r>
    </w:p>
    <w:p w14:paraId="6E8344FC" w14:textId="77777777" w:rsidR="00A925FD" w:rsidRPr="00D65A20" w:rsidRDefault="00A925FD" w:rsidP="00AA4399">
      <w:pPr>
        <w:widowControl/>
        <w:tabs>
          <w:tab w:val="clear" w:pos="1440"/>
          <w:tab w:val="clear" w:pos="2880"/>
          <w:tab w:val="clear" w:pos="3600"/>
          <w:tab w:val="clear" w:pos="4320"/>
          <w:tab w:val="clear" w:pos="5760"/>
          <w:tab w:val="clear" w:pos="6480"/>
          <w:tab w:val="clear" w:pos="7200"/>
          <w:tab w:val="clear" w:pos="7920"/>
          <w:tab w:val="left" w:pos="1134"/>
        </w:tabs>
        <w:rPr>
          <w:rFonts w:ascii="Times New Roman" w:hAnsi="Times New Roman"/>
          <w:color w:val="000000"/>
          <w:szCs w:val="22"/>
          <w:lang w:val="pt-BR"/>
        </w:rPr>
      </w:pPr>
    </w:p>
    <w:p w14:paraId="6E8344FD" w14:textId="6F6C2761" w:rsidR="00A925FD" w:rsidRPr="00D65A20" w:rsidRDefault="00A925FD" w:rsidP="00AA4399">
      <w:pPr>
        <w:widowControl/>
        <w:numPr>
          <w:ilvl w:val="0"/>
          <w:numId w:val="2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rFonts w:ascii="Times New Roman" w:hAnsi="Times New Roman"/>
          <w:color w:val="202124"/>
          <w:szCs w:val="22"/>
          <w:shd w:val="clear" w:color="auto" w:fill="00FFFF"/>
          <w:lang w:val="pt-BR"/>
        </w:rPr>
      </w:pPr>
      <w:r w:rsidRPr="00D65A20">
        <w:rPr>
          <w:rFonts w:ascii="Times New Roman" w:hAnsi="Times New Roman"/>
          <w:color w:val="000000"/>
          <w:szCs w:val="22"/>
          <w:lang w:val="pt-BR"/>
        </w:rPr>
        <w:t xml:space="preserve">Incumbir a </w:t>
      </w:r>
      <w:r w:rsidRPr="00D65A20">
        <w:rPr>
          <w:rFonts w:ascii="Times New Roman" w:hAnsi="Times New Roman"/>
          <w:color w:val="202124"/>
          <w:szCs w:val="22"/>
          <w:lang w:val="pt-BR"/>
        </w:rPr>
        <w:t>SEDI de continuar apoiando todos os Estados membros, no decorrer do triênio 2019</w:t>
      </w:r>
      <w:r w:rsidR="002A132B" w:rsidRPr="00D65A20">
        <w:rPr>
          <w:rFonts w:ascii="Times New Roman" w:hAnsi="Times New Roman"/>
          <w:color w:val="202124"/>
          <w:szCs w:val="22"/>
          <w:lang w:val="pt-BR"/>
        </w:rPr>
        <w:t>–</w:t>
      </w:r>
      <w:r w:rsidRPr="00D65A20">
        <w:rPr>
          <w:rFonts w:ascii="Times New Roman" w:hAnsi="Times New Roman"/>
          <w:color w:val="202124"/>
          <w:szCs w:val="22"/>
          <w:lang w:val="pt-BR"/>
        </w:rPr>
        <w:t>2022, na implementação do Programa de Digitalização de MPMEs da OEA, formulado para permitir que as micro, pequenas e médias empresas</w:t>
      </w:r>
      <w:r w:rsidR="00BE56F8" w:rsidRPr="00D65A20">
        <w:rPr>
          <w:rFonts w:ascii="Times New Roman" w:hAnsi="Times New Roman"/>
          <w:color w:val="202124"/>
          <w:szCs w:val="22"/>
          <w:lang w:val="pt-BR"/>
        </w:rPr>
        <w:t xml:space="preserve"> (MPMEs)</w:t>
      </w:r>
      <w:r w:rsidRPr="00D65A20">
        <w:rPr>
          <w:rFonts w:ascii="Times New Roman" w:hAnsi="Times New Roman"/>
          <w:color w:val="202124"/>
          <w:szCs w:val="22"/>
          <w:lang w:val="pt-BR"/>
        </w:rPr>
        <w:t xml:space="preserve"> se digitalizem, mediante processos de capacitação e apoio técnico que lhes permitam ter acesso à criação de páginas eletrônicas gratuitas, entre outras ferramentas tecnológicas que são necessárias para sua sobrevivência e bem-sucedido desenvolvimento econômico. Os resultados preliminares serão compartilhados no Sétimo Diálogo Interamericano de Altas Autoridades de MPMEs, a ser realizado no Chile, em 2021. Além disso, a SEDI continuará incentivando e apoiando, à medida que os recursos o permitam, o fortalecimento de competências e apoio técnico para o Programa de Centros de Desenvolvimento de Pequenas Empresas na região, para ajudar os Estados membros a aumentar a resiliência, a competitividade e a internacionalização das MPMEs e a responder adequadamente às necessidades das economias locais após a pandemia de </w:t>
      </w:r>
      <w:r w:rsidR="00146733" w:rsidRPr="00D65A20">
        <w:rPr>
          <w:rFonts w:ascii="Times New Roman" w:hAnsi="Times New Roman"/>
          <w:color w:val="202124"/>
          <w:szCs w:val="22"/>
          <w:lang w:val="pt-BR"/>
        </w:rPr>
        <w:t>covid</w:t>
      </w:r>
      <w:r w:rsidRPr="00D65A20">
        <w:rPr>
          <w:rFonts w:ascii="Times New Roman" w:hAnsi="Times New Roman"/>
          <w:color w:val="202124"/>
          <w:szCs w:val="22"/>
          <w:lang w:val="pt-BR"/>
        </w:rPr>
        <w:t xml:space="preserve">-19. </w:t>
      </w:r>
    </w:p>
    <w:p w14:paraId="6E8344FE"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4FF" w14:textId="768C376B" w:rsidR="00A925FD" w:rsidRPr="00D65A20" w:rsidRDefault="00A925FD" w:rsidP="00AA4399">
      <w:pPr>
        <w:widowControl/>
        <w:tabs>
          <w:tab w:val="clear" w:pos="1440"/>
          <w:tab w:val="clear" w:pos="2160"/>
          <w:tab w:val="clear" w:pos="2880"/>
          <w:tab w:val="clear" w:pos="3600"/>
          <w:tab w:val="clear" w:pos="4320"/>
          <w:tab w:val="clear" w:pos="5760"/>
          <w:tab w:val="clear" w:pos="6480"/>
          <w:tab w:val="clear" w:pos="7200"/>
          <w:tab w:val="clear" w:pos="7920"/>
        </w:tabs>
        <w:ind w:firstLine="709"/>
        <w:rPr>
          <w:rFonts w:ascii="Times New Roman" w:hAnsi="Times New Roman"/>
          <w:bCs/>
          <w:color w:val="000000"/>
          <w:szCs w:val="22"/>
          <w:lang w:val="pt-BR"/>
        </w:rPr>
      </w:pPr>
      <w:r w:rsidRPr="00D65A20">
        <w:rPr>
          <w:rFonts w:ascii="Times New Roman" w:hAnsi="Times New Roman"/>
          <w:bCs/>
          <w:color w:val="000000"/>
          <w:szCs w:val="22"/>
          <w:lang w:val="pt-BR"/>
        </w:rPr>
        <w:t>6.</w:t>
      </w:r>
      <w:r w:rsidRPr="00D65A20">
        <w:rPr>
          <w:rFonts w:ascii="Times New Roman" w:hAnsi="Times New Roman"/>
          <w:b/>
          <w:bCs/>
          <w:color w:val="000000"/>
          <w:szCs w:val="22"/>
          <w:lang w:val="pt-BR"/>
        </w:rPr>
        <w:tab/>
      </w:r>
      <w:r w:rsidRPr="00D65A20">
        <w:rPr>
          <w:rFonts w:ascii="Times New Roman" w:hAnsi="Times New Roman"/>
          <w:bCs/>
          <w:color w:val="000000"/>
          <w:szCs w:val="22"/>
          <w:lang w:val="pt-BR"/>
        </w:rPr>
        <w:t>Encarregar a SEDI</w:t>
      </w:r>
      <w:r w:rsidR="00EA79FD" w:rsidRPr="00D65A20">
        <w:rPr>
          <w:rFonts w:ascii="Times New Roman" w:hAnsi="Times New Roman"/>
          <w:bCs/>
          <w:color w:val="000000"/>
          <w:szCs w:val="22"/>
          <w:lang w:val="pt-BR"/>
        </w:rPr>
        <w:t xml:space="preserve"> de que</w:t>
      </w:r>
      <w:r w:rsidRPr="00D65A20">
        <w:rPr>
          <w:rFonts w:ascii="Times New Roman" w:hAnsi="Times New Roman"/>
          <w:bCs/>
          <w:color w:val="000000"/>
          <w:szCs w:val="22"/>
          <w:lang w:val="pt-BR"/>
        </w:rPr>
        <w:t xml:space="preserve">, na qualidade de Secretaria Técnica da Comissão Interamericana de Turismo (CITUR), seguindo as disposições das Declarações de Lima e </w:t>
      </w:r>
      <w:r w:rsidR="00FA06D1" w:rsidRPr="00D65A20">
        <w:rPr>
          <w:rFonts w:ascii="Times New Roman" w:hAnsi="Times New Roman"/>
          <w:bCs/>
          <w:color w:val="000000"/>
          <w:szCs w:val="22"/>
          <w:lang w:val="pt-BR"/>
        </w:rPr>
        <w:t xml:space="preserve">de </w:t>
      </w:r>
      <w:r w:rsidRPr="00D65A20">
        <w:rPr>
          <w:rFonts w:ascii="Times New Roman" w:hAnsi="Times New Roman"/>
          <w:bCs/>
          <w:color w:val="000000"/>
          <w:szCs w:val="22"/>
          <w:lang w:val="pt-BR"/>
        </w:rPr>
        <w:t xml:space="preserve">Georgetown e do Plano de Trabalho da CITUR e levando em consideração o contexto de cada país, </w:t>
      </w:r>
      <w:r w:rsidR="008E21E2" w:rsidRPr="00D65A20">
        <w:rPr>
          <w:rFonts w:ascii="Times New Roman" w:hAnsi="Times New Roman"/>
          <w:bCs/>
          <w:color w:val="000000"/>
          <w:szCs w:val="22"/>
          <w:lang w:val="pt-BR"/>
        </w:rPr>
        <w:t>continue</w:t>
      </w:r>
      <w:r w:rsidRPr="00D65A20">
        <w:rPr>
          <w:rFonts w:ascii="Times New Roman" w:hAnsi="Times New Roman"/>
          <w:bCs/>
          <w:color w:val="000000"/>
          <w:szCs w:val="22"/>
          <w:lang w:val="pt-BR"/>
        </w:rPr>
        <w:t xml:space="preserve"> apoiando os esforços dos Estados membros, no âmbito da CITUR, </w:t>
      </w:r>
      <w:r w:rsidR="008E21E2" w:rsidRPr="00D65A20">
        <w:rPr>
          <w:rFonts w:ascii="Times New Roman" w:hAnsi="Times New Roman"/>
          <w:bCs/>
          <w:color w:val="000000"/>
          <w:szCs w:val="22"/>
          <w:lang w:val="pt-BR"/>
        </w:rPr>
        <w:t xml:space="preserve">para </w:t>
      </w:r>
      <w:r w:rsidRPr="00D65A20">
        <w:rPr>
          <w:rFonts w:ascii="Times New Roman" w:hAnsi="Times New Roman"/>
          <w:bCs/>
          <w:color w:val="000000"/>
          <w:szCs w:val="22"/>
          <w:lang w:val="pt-BR"/>
        </w:rPr>
        <w:t xml:space="preserve">fortalecer a recuperação do setor de turismo do impacto da pandemia de </w:t>
      </w:r>
      <w:r w:rsidR="00146733" w:rsidRPr="00D65A20">
        <w:rPr>
          <w:rFonts w:ascii="Times New Roman" w:hAnsi="Times New Roman"/>
          <w:bCs/>
          <w:color w:val="000000"/>
          <w:szCs w:val="22"/>
          <w:lang w:val="pt-BR"/>
        </w:rPr>
        <w:t>covid</w:t>
      </w:r>
      <w:r w:rsidRPr="00D65A20">
        <w:rPr>
          <w:rFonts w:ascii="Times New Roman" w:hAnsi="Times New Roman"/>
          <w:bCs/>
          <w:color w:val="000000"/>
          <w:szCs w:val="22"/>
          <w:lang w:val="pt-BR"/>
        </w:rPr>
        <w:t xml:space="preserve">-19 e continuar trabalhando na criação de um modelo de gestão de desenvolvimento turístico rural comunitário sustentável para as Américas, considerando os modelos e iniciativas nacionais e internacionais existentes, como as recomendações emanadas da Organização Mundial do Turismo, no decorrer do ano de 2020, cujo tema declarado é “Turismo e Desenvolvimento Rural”. </w:t>
      </w:r>
    </w:p>
    <w:p w14:paraId="6E834500"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501" w14:textId="67D23E94" w:rsidR="00A925FD" w:rsidRPr="00D65A20" w:rsidRDefault="00A925FD" w:rsidP="00AA4399">
      <w:pPr>
        <w:widowControl/>
        <w:tabs>
          <w:tab w:val="clear" w:pos="2880"/>
          <w:tab w:val="clear" w:pos="3600"/>
          <w:tab w:val="clear" w:pos="4320"/>
          <w:tab w:val="clear" w:pos="5760"/>
          <w:tab w:val="clear" w:pos="6480"/>
          <w:tab w:val="clear" w:pos="7200"/>
          <w:tab w:val="clear" w:pos="7920"/>
          <w:tab w:val="left" w:pos="851"/>
        </w:tabs>
        <w:rPr>
          <w:rFonts w:ascii="Times New Roman" w:hAnsi="Times New Roman"/>
          <w:color w:val="000000"/>
          <w:szCs w:val="22"/>
          <w:shd w:val="clear" w:color="auto" w:fill="00FFFF"/>
          <w:lang w:val="pt-BR"/>
        </w:rPr>
      </w:pPr>
      <w:r w:rsidRPr="00D65A20">
        <w:rPr>
          <w:rFonts w:ascii="Times New Roman" w:hAnsi="Times New Roman"/>
          <w:color w:val="000000"/>
          <w:szCs w:val="22"/>
          <w:lang w:val="pt-BR"/>
        </w:rPr>
        <w:tab/>
        <w:t xml:space="preserve">7. </w:t>
      </w:r>
      <w:r w:rsidRPr="00D65A20">
        <w:rPr>
          <w:rFonts w:ascii="Times New Roman" w:hAnsi="Times New Roman"/>
          <w:color w:val="000000"/>
          <w:szCs w:val="22"/>
          <w:lang w:val="pt-BR"/>
        </w:rPr>
        <w:tab/>
      </w:r>
      <w:r w:rsidR="00EA79FD" w:rsidRPr="00D65A20">
        <w:rPr>
          <w:rFonts w:ascii="Times New Roman" w:hAnsi="Times New Roman"/>
          <w:color w:val="000000"/>
          <w:szCs w:val="22"/>
          <w:lang w:val="pt-BR"/>
        </w:rPr>
        <w:t>Encarregar a</w:t>
      </w:r>
      <w:r w:rsidRPr="00D65A20">
        <w:rPr>
          <w:rFonts w:ascii="Times New Roman" w:hAnsi="Times New Roman"/>
          <w:color w:val="000000"/>
          <w:szCs w:val="22"/>
          <w:lang w:val="pt-BR"/>
        </w:rPr>
        <w:t xml:space="preserve"> SEDI</w:t>
      </w:r>
      <w:r w:rsidR="00EA79FD" w:rsidRPr="00D65A20">
        <w:rPr>
          <w:rFonts w:ascii="Times New Roman" w:hAnsi="Times New Roman"/>
          <w:color w:val="000000"/>
          <w:szCs w:val="22"/>
          <w:lang w:val="pt-BR"/>
        </w:rPr>
        <w:t xml:space="preserve"> de que</w:t>
      </w:r>
      <w:r w:rsidRPr="00D65A20">
        <w:rPr>
          <w:rFonts w:ascii="Times New Roman" w:hAnsi="Times New Roman"/>
          <w:color w:val="000000"/>
          <w:szCs w:val="22"/>
          <w:lang w:val="pt-BR"/>
        </w:rPr>
        <w:t xml:space="preserve">, na qualidade de Secretaria Técnica da CITUR, </w:t>
      </w:r>
      <w:r w:rsidR="00EA79FD" w:rsidRPr="00D65A20">
        <w:rPr>
          <w:rFonts w:ascii="Times New Roman" w:hAnsi="Times New Roman"/>
          <w:color w:val="000000"/>
          <w:szCs w:val="22"/>
          <w:lang w:val="pt-BR"/>
        </w:rPr>
        <w:t>continue apoiando as</w:t>
      </w:r>
      <w:r w:rsidRPr="00D65A20">
        <w:rPr>
          <w:rFonts w:ascii="Times New Roman" w:hAnsi="Times New Roman"/>
          <w:color w:val="000000"/>
          <w:szCs w:val="22"/>
          <w:lang w:val="pt-BR"/>
        </w:rPr>
        <w:t xml:space="preserve"> ações e iniciativas para enfrentar o desafio da pandemia de </w:t>
      </w:r>
      <w:r w:rsidR="00146733" w:rsidRPr="00D65A20">
        <w:rPr>
          <w:rFonts w:ascii="Times New Roman" w:hAnsi="Times New Roman"/>
          <w:color w:val="000000"/>
          <w:szCs w:val="22"/>
          <w:lang w:val="pt-BR"/>
        </w:rPr>
        <w:t>covid</w:t>
      </w:r>
      <w:r w:rsidR="008E21E2" w:rsidRPr="00D65A20">
        <w:rPr>
          <w:rFonts w:ascii="Times New Roman" w:hAnsi="Times New Roman"/>
          <w:color w:val="000000"/>
          <w:szCs w:val="22"/>
          <w:lang w:val="pt-BR"/>
        </w:rPr>
        <w:t>-</w:t>
      </w:r>
      <w:r w:rsidRPr="00D65A20">
        <w:rPr>
          <w:rFonts w:ascii="Times New Roman" w:hAnsi="Times New Roman"/>
          <w:color w:val="000000"/>
          <w:szCs w:val="22"/>
          <w:lang w:val="pt-BR"/>
        </w:rPr>
        <w:t xml:space="preserve">19, e </w:t>
      </w:r>
      <w:r w:rsidR="00EA79FD" w:rsidRPr="00D65A20">
        <w:rPr>
          <w:rFonts w:ascii="Times New Roman" w:hAnsi="Times New Roman"/>
          <w:color w:val="000000"/>
          <w:szCs w:val="22"/>
          <w:lang w:val="pt-BR"/>
        </w:rPr>
        <w:t>incentive os</w:t>
      </w:r>
      <w:r w:rsidRPr="00D65A20">
        <w:rPr>
          <w:rFonts w:ascii="Times New Roman" w:hAnsi="Times New Roman"/>
          <w:color w:val="000000"/>
          <w:szCs w:val="22"/>
          <w:lang w:val="pt-BR"/>
        </w:rPr>
        <w:t xml:space="preserve"> Estados membros para que apoiem os esforços da CITUR na conceituação de uma agenda turística com projeção até 2050 nas Américas. </w:t>
      </w:r>
    </w:p>
    <w:p w14:paraId="6E834502" w14:textId="77777777" w:rsidR="00A925FD" w:rsidRPr="00D65A20" w:rsidRDefault="00A925FD" w:rsidP="00AA4399">
      <w:pPr>
        <w:widowControl/>
        <w:tabs>
          <w:tab w:val="clear" w:pos="1440"/>
          <w:tab w:val="clear" w:pos="2880"/>
          <w:tab w:val="clear" w:pos="3600"/>
          <w:tab w:val="clear" w:pos="4320"/>
          <w:tab w:val="clear" w:pos="5760"/>
          <w:tab w:val="clear" w:pos="6480"/>
          <w:tab w:val="clear" w:pos="7200"/>
          <w:tab w:val="clear" w:pos="7920"/>
          <w:tab w:val="left" w:pos="851"/>
        </w:tabs>
        <w:rPr>
          <w:rFonts w:ascii="Times New Roman" w:hAnsi="Times New Roman"/>
          <w:color w:val="000000"/>
          <w:szCs w:val="22"/>
          <w:shd w:val="clear" w:color="auto" w:fill="00FFFF"/>
          <w:lang w:val="pt-BR"/>
        </w:rPr>
      </w:pPr>
    </w:p>
    <w:p w14:paraId="6E834503" w14:textId="290DB5FB" w:rsidR="00A925FD" w:rsidRPr="00D65A20" w:rsidRDefault="00EA79FD" w:rsidP="00AA4399">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color w:val="000000"/>
          <w:szCs w:val="22"/>
          <w:u w:val="single"/>
          <w:lang w:val="pt-BR"/>
        </w:rPr>
      </w:pPr>
      <w:r w:rsidRPr="00D65A20">
        <w:rPr>
          <w:rFonts w:ascii="Times New Roman" w:hAnsi="Times New Roman"/>
          <w:bCs/>
          <w:color w:val="000000"/>
          <w:szCs w:val="22"/>
          <w:lang w:val="pt-BR"/>
        </w:rPr>
        <w:t xml:space="preserve">Encarregar </w:t>
      </w:r>
      <w:r w:rsidR="00A925FD" w:rsidRPr="00D65A20">
        <w:rPr>
          <w:rFonts w:ascii="Times New Roman" w:hAnsi="Times New Roman"/>
          <w:bCs/>
          <w:color w:val="000000"/>
          <w:szCs w:val="22"/>
          <w:lang w:val="pt-BR"/>
        </w:rPr>
        <w:t>a SEDI</w:t>
      </w:r>
      <w:r w:rsidRPr="00D65A20">
        <w:rPr>
          <w:rFonts w:ascii="Times New Roman" w:hAnsi="Times New Roman"/>
          <w:bCs/>
          <w:color w:val="000000"/>
          <w:szCs w:val="22"/>
          <w:lang w:val="pt-BR"/>
        </w:rPr>
        <w:t xml:space="preserve"> de que</w:t>
      </w:r>
      <w:r w:rsidR="00A925FD" w:rsidRPr="00D65A20">
        <w:rPr>
          <w:rFonts w:ascii="Times New Roman" w:hAnsi="Times New Roman"/>
          <w:bCs/>
          <w:color w:val="000000"/>
          <w:szCs w:val="22"/>
          <w:lang w:val="pt-BR"/>
        </w:rPr>
        <w:t xml:space="preserve">, na qualidade de Secretaria Técnica da Comissão Interamericana de Cultura (CIC), seguindo as disposições da Declaração de Bridgetown e do Plano de Trabalho da CIC, </w:t>
      </w:r>
      <w:r w:rsidRPr="00D65A20">
        <w:rPr>
          <w:rFonts w:ascii="Times New Roman" w:hAnsi="Times New Roman"/>
          <w:bCs/>
          <w:color w:val="000000"/>
          <w:szCs w:val="22"/>
          <w:lang w:val="pt-BR"/>
        </w:rPr>
        <w:t>continue</w:t>
      </w:r>
      <w:r w:rsidR="00A925FD" w:rsidRPr="00D65A20">
        <w:rPr>
          <w:rFonts w:ascii="Times New Roman" w:hAnsi="Times New Roman"/>
          <w:bCs/>
          <w:color w:val="000000"/>
          <w:szCs w:val="22"/>
          <w:lang w:val="pt-BR"/>
        </w:rPr>
        <w:t xml:space="preserve"> apoiando o Grupo de Trabalho sobre Contas Satélites de Cultura no intercâmbio de experiências sobre o fortalecimento da capacidade dos Estados membros de avaliar a contribuição da cultura e da economia criativa, e solicitar à SEDI que, com o apoio da CIC, compartilhe as experiências dos países em matéria de esforços por manter e promover a cultura e a economia criativa no contexto da pandemia de </w:t>
      </w:r>
      <w:r w:rsidR="00146733" w:rsidRPr="00D65A20">
        <w:rPr>
          <w:rFonts w:ascii="Times New Roman" w:hAnsi="Times New Roman"/>
          <w:bCs/>
          <w:color w:val="000000"/>
          <w:szCs w:val="22"/>
          <w:lang w:val="pt-BR"/>
        </w:rPr>
        <w:t>covid</w:t>
      </w:r>
      <w:r w:rsidR="00A925FD" w:rsidRPr="00D65A20">
        <w:rPr>
          <w:rFonts w:ascii="Times New Roman" w:hAnsi="Times New Roman"/>
          <w:bCs/>
          <w:color w:val="000000"/>
          <w:szCs w:val="22"/>
          <w:lang w:val="pt-BR"/>
        </w:rPr>
        <w:t xml:space="preserve">-19 e suas consequências. </w:t>
      </w:r>
    </w:p>
    <w:p w14:paraId="6E834504"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pt-BR"/>
        </w:rPr>
      </w:pPr>
    </w:p>
    <w:p w14:paraId="6E834505" w14:textId="77777777" w:rsidR="00A925FD" w:rsidRPr="00D65A20" w:rsidRDefault="00A925FD" w:rsidP="00C2498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jc w:val="left"/>
        <w:rPr>
          <w:rFonts w:ascii="Times New Roman" w:eastAsia="Calibri" w:hAnsi="Times New Roman"/>
          <w:szCs w:val="22"/>
          <w:lang w:val="pt-BR"/>
        </w:rPr>
      </w:pPr>
      <w:r w:rsidRPr="00D65A20">
        <w:rPr>
          <w:rFonts w:ascii="Times New Roman" w:eastAsia="Calibri" w:hAnsi="Times New Roman"/>
          <w:szCs w:val="22"/>
          <w:lang w:val="pt-BR"/>
        </w:rPr>
        <w:lastRenderedPageBreak/>
        <w:t>II.</w:t>
      </w:r>
      <w:r w:rsidRPr="00D65A20">
        <w:rPr>
          <w:rFonts w:ascii="Times New Roman" w:eastAsia="Calibri" w:hAnsi="Times New Roman"/>
          <w:szCs w:val="22"/>
          <w:lang w:val="pt-BR"/>
        </w:rPr>
        <w:tab/>
        <w:t>COM RESPEITO À LINHA ESTRATÉGICA “FORTALECER A IMPLEMENTAÇÃO DOS OBJETIVOS DE DESENVOLVIMENTO SUSTENTÁVEL, EM CONFORMIDADE COM O PROGRAMA INTERAMERICANO DE DESENVOLVIMENTO SUSTENTÁVEL 2016–2021”</w:t>
      </w:r>
    </w:p>
    <w:p w14:paraId="6E834506"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507" w14:textId="5CB96F26" w:rsidR="00A925FD" w:rsidRPr="00D65A20" w:rsidRDefault="00A925FD" w:rsidP="00AA4399">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rFonts w:ascii="Times New Roman" w:hAnsi="Times New Roman"/>
          <w:szCs w:val="22"/>
          <w:lang w:val="pt-BR"/>
        </w:rPr>
      </w:pPr>
      <w:r w:rsidRPr="00D65A20">
        <w:rPr>
          <w:rFonts w:ascii="Times New Roman" w:hAnsi="Times New Roman"/>
          <w:bCs/>
          <w:color w:val="000000"/>
          <w:szCs w:val="22"/>
          <w:lang w:val="pt-BR"/>
        </w:rPr>
        <w:t>Incentivar os Estados membros a que</w:t>
      </w:r>
      <w:r w:rsidR="00FA06D1" w:rsidRPr="00D65A20">
        <w:rPr>
          <w:rFonts w:ascii="Times New Roman" w:hAnsi="Times New Roman"/>
          <w:bCs/>
          <w:color w:val="000000"/>
          <w:szCs w:val="22"/>
          <w:lang w:val="pt-BR"/>
        </w:rPr>
        <w:t>,</w:t>
      </w:r>
      <w:r w:rsidRPr="00D65A20">
        <w:rPr>
          <w:rFonts w:ascii="Times New Roman" w:hAnsi="Times New Roman"/>
          <w:bCs/>
          <w:color w:val="000000"/>
          <w:szCs w:val="22"/>
          <w:lang w:val="pt-BR"/>
        </w:rPr>
        <w:t xml:space="preserve"> </w:t>
      </w:r>
      <w:r w:rsidR="00FA06D1" w:rsidRPr="00D65A20">
        <w:rPr>
          <w:rFonts w:ascii="Times New Roman" w:hAnsi="Times New Roman"/>
          <w:bCs/>
          <w:color w:val="000000"/>
          <w:szCs w:val="22"/>
          <w:lang w:val="pt-BR"/>
        </w:rPr>
        <w:t xml:space="preserve">em seus planos de desenvolvimento e estratégias financeiras, </w:t>
      </w:r>
      <w:r w:rsidRPr="00D65A20">
        <w:rPr>
          <w:rFonts w:ascii="Times New Roman" w:hAnsi="Times New Roman"/>
          <w:bCs/>
          <w:color w:val="000000"/>
          <w:szCs w:val="22"/>
          <w:lang w:val="pt-BR"/>
        </w:rPr>
        <w:t>incorporem projetos de preparação, recuperação e reconstrução, no âmbito da gestão de redução do risco de desastres</w:t>
      </w:r>
      <w:r w:rsidR="00FA06D1" w:rsidRPr="00D65A20">
        <w:rPr>
          <w:rFonts w:ascii="Times New Roman" w:hAnsi="Times New Roman"/>
          <w:bCs/>
          <w:color w:val="000000"/>
          <w:szCs w:val="22"/>
          <w:lang w:val="pt-BR"/>
        </w:rPr>
        <w:t>.</w:t>
      </w:r>
      <w:r w:rsidRPr="00D65A20">
        <w:rPr>
          <w:rFonts w:ascii="Times New Roman" w:hAnsi="Times New Roman"/>
          <w:bCs/>
          <w:color w:val="000000"/>
          <w:szCs w:val="22"/>
          <w:lang w:val="pt-BR"/>
        </w:rPr>
        <w:t xml:space="preserve">  </w:t>
      </w:r>
    </w:p>
    <w:p w14:paraId="6E834508"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509" w14:textId="77777777" w:rsidR="00A925FD" w:rsidRPr="00D65A20" w:rsidRDefault="00A925FD" w:rsidP="00AA4399">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rFonts w:ascii="Times New Roman" w:hAnsi="Times New Roman"/>
          <w:bCs/>
          <w:color w:val="000000"/>
          <w:szCs w:val="22"/>
          <w:lang w:val="pt-BR"/>
        </w:rPr>
      </w:pPr>
      <w:r w:rsidRPr="00D65A20">
        <w:rPr>
          <w:rFonts w:ascii="Times New Roman" w:hAnsi="Times New Roman"/>
          <w:bCs/>
          <w:color w:val="000000"/>
          <w:szCs w:val="22"/>
          <w:lang w:val="pt-BR"/>
        </w:rPr>
        <w:t>Encarregar a SEDI de continuar promovendo o intercâmbio de experiências e boas práticas entre os Estados membros na preparação e resposta comunitária para emergências.</w:t>
      </w:r>
    </w:p>
    <w:p w14:paraId="6E83450A"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50B" w14:textId="50E9DE0B" w:rsidR="00A925FD" w:rsidRPr="00D65A20" w:rsidRDefault="007C25AE" w:rsidP="00AA4399">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rFonts w:ascii="Times New Roman" w:hAnsi="Times New Roman"/>
          <w:bCs/>
          <w:color w:val="000000"/>
          <w:szCs w:val="22"/>
          <w:lang w:val="pt-BR"/>
        </w:rPr>
      </w:pPr>
      <w:r w:rsidRPr="00D65A20">
        <w:rPr>
          <w:rFonts w:ascii="Times New Roman" w:hAnsi="Times New Roman"/>
          <w:bCs/>
          <w:color w:val="000000"/>
          <w:szCs w:val="22"/>
          <w:lang w:val="pt-BR"/>
        </w:rPr>
        <w:t xml:space="preserve">Encarregar </w:t>
      </w:r>
      <w:r w:rsidR="00A925FD" w:rsidRPr="00D65A20">
        <w:rPr>
          <w:rFonts w:ascii="Times New Roman" w:hAnsi="Times New Roman"/>
          <w:bCs/>
          <w:color w:val="000000"/>
          <w:szCs w:val="22"/>
          <w:lang w:val="pt-BR"/>
        </w:rPr>
        <w:t xml:space="preserve">a SEDI de continuar desenvolvendo e ministrando capacitação destinada a oferecer aos jovens conhecimento e ferramentas na área de comunidades sustentáveis, com um enfoque integral, inclusive por meio do Portal de Educação das Américas. </w:t>
      </w:r>
    </w:p>
    <w:p w14:paraId="6E83450C"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50D"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rPr>
      </w:pPr>
      <w:r w:rsidRPr="00D65A20">
        <w:rPr>
          <w:rFonts w:ascii="Times New Roman" w:hAnsi="Times New Roman"/>
          <w:b/>
          <w:bCs/>
          <w:color w:val="000000"/>
          <w:szCs w:val="22"/>
          <w:lang w:val="pt-BR"/>
        </w:rPr>
        <w:tab/>
      </w:r>
      <w:r w:rsidRPr="00D65A20">
        <w:rPr>
          <w:rFonts w:ascii="Times New Roman" w:hAnsi="Times New Roman"/>
          <w:bCs/>
          <w:color w:val="000000"/>
          <w:szCs w:val="22"/>
          <w:lang w:val="pt-BR"/>
        </w:rPr>
        <w:t xml:space="preserve">12. </w:t>
      </w:r>
      <w:r w:rsidRPr="00D65A20">
        <w:rPr>
          <w:rFonts w:ascii="Times New Roman" w:hAnsi="Times New Roman"/>
          <w:bCs/>
          <w:color w:val="000000"/>
          <w:szCs w:val="22"/>
          <w:lang w:val="pt-BR"/>
        </w:rPr>
        <w:tab/>
        <w:t>Encarregar a SEDI de continuar prestando assistência aos esforços da ECPA por apoiar os Estados membros no desenvolvimento de energia renovável e gás natural, bem como possíveis opções para</w:t>
      </w:r>
      <w:r w:rsidRPr="00D65A20">
        <w:rPr>
          <w:rFonts w:ascii="Times New Roman" w:hAnsi="Times New Roman"/>
          <w:color w:val="000000"/>
          <w:szCs w:val="22"/>
          <w:lang w:val="pt-BR"/>
        </w:rPr>
        <w:t xml:space="preserve"> c</w:t>
      </w:r>
      <w:r w:rsidRPr="00D65A20">
        <w:rPr>
          <w:rFonts w:ascii="Times New Roman" w:hAnsi="Times New Roman"/>
          <w:bCs/>
          <w:color w:val="000000"/>
          <w:szCs w:val="22"/>
          <w:lang w:val="pt-BR"/>
        </w:rPr>
        <w:t xml:space="preserve">onstruir infraestrutura energética transfronteiriça </w:t>
      </w:r>
      <w:r w:rsidR="00FA06D1" w:rsidRPr="00D65A20">
        <w:rPr>
          <w:rFonts w:ascii="Times New Roman" w:hAnsi="Times New Roman"/>
          <w:bCs/>
          <w:color w:val="000000"/>
          <w:szCs w:val="22"/>
          <w:lang w:val="pt-BR"/>
        </w:rPr>
        <w:t xml:space="preserve">e intersetorial </w:t>
      </w:r>
      <w:r w:rsidRPr="00D65A20">
        <w:rPr>
          <w:rFonts w:ascii="Times New Roman" w:hAnsi="Times New Roman"/>
          <w:bCs/>
          <w:color w:val="000000"/>
          <w:szCs w:val="22"/>
          <w:lang w:val="pt-BR"/>
        </w:rPr>
        <w:t xml:space="preserve">e serviços energéticos, diversificando as fontes e a distribuição geográfica, com vistas à geração de energia e à proteção das comunidades contra falhas na rede elétrica causadas por desastres. </w:t>
      </w:r>
    </w:p>
    <w:p w14:paraId="6E83450E"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50F" w14:textId="36F832A6"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color w:val="000000"/>
          <w:szCs w:val="22"/>
          <w:shd w:val="clear" w:color="auto" w:fill="00FFFF"/>
          <w:lang w:val="pt-BR"/>
        </w:rPr>
      </w:pPr>
      <w:r w:rsidRPr="00D65A20">
        <w:rPr>
          <w:rFonts w:ascii="Times New Roman" w:hAnsi="Times New Roman"/>
          <w:color w:val="000000"/>
          <w:szCs w:val="22"/>
          <w:lang w:val="pt-BR"/>
        </w:rPr>
        <w:tab/>
        <w:t>13.</w:t>
      </w:r>
      <w:r w:rsidRPr="00D65A20">
        <w:rPr>
          <w:rFonts w:ascii="Times New Roman" w:hAnsi="Times New Roman"/>
          <w:color w:val="000000"/>
          <w:szCs w:val="22"/>
          <w:lang w:val="pt-BR"/>
        </w:rPr>
        <w:tab/>
      </w:r>
      <w:r w:rsidR="007C25AE" w:rsidRPr="00D65A20">
        <w:rPr>
          <w:rFonts w:ascii="Times New Roman" w:hAnsi="Times New Roman"/>
          <w:color w:val="000000"/>
          <w:szCs w:val="22"/>
          <w:lang w:val="pt-BR"/>
        </w:rPr>
        <w:t xml:space="preserve">Encarregar </w:t>
      </w:r>
      <w:r w:rsidRPr="00D65A20">
        <w:rPr>
          <w:rFonts w:ascii="Times New Roman" w:hAnsi="Times New Roman"/>
          <w:color w:val="000000"/>
          <w:szCs w:val="22"/>
          <w:lang w:val="pt-BR"/>
        </w:rPr>
        <w:t xml:space="preserve">a SEDI de continuar prestando apoio à promoção ou ao desenvolvimento, conforme </w:t>
      </w:r>
      <w:r w:rsidR="00212173" w:rsidRPr="00D65A20">
        <w:rPr>
          <w:rFonts w:ascii="Times New Roman" w:hAnsi="Times New Roman"/>
          <w:color w:val="000000"/>
          <w:szCs w:val="22"/>
          <w:lang w:val="pt-BR"/>
        </w:rPr>
        <w:t>o caso</w:t>
      </w:r>
      <w:r w:rsidRPr="00D65A20">
        <w:rPr>
          <w:rFonts w:ascii="Times New Roman" w:hAnsi="Times New Roman"/>
          <w:color w:val="000000"/>
          <w:szCs w:val="22"/>
          <w:lang w:val="pt-BR"/>
        </w:rPr>
        <w:t>, de políticas em matéria de gestão integral de recursos hídricos, bem como em matéria de segurança hídrica, que incluam disposições para a redução dos efeitos da mudança do clima</w:t>
      </w:r>
      <w:r w:rsidRPr="00D65A20">
        <w:rPr>
          <w:rFonts w:ascii="Times New Roman" w:hAnsi="Times New Roman"/>
          <w:szCs w:val="22"/>
          <w:u w:val="single"/>
          <w:vertAlign w:val="superscript"/>
          <w:lang w:val="pt-BR"/>
        </w:rPr>
        <w:footnoteReference w:id="44"/>
      </w:r>
      <w:r w:rsidRPr="00D65A20">
        <w:rPr>
          <w:rFonts w:ascii="Times New Roman" w:hAnsi="Times New Roman"/>
          <w:color w:val="000000"/>
          <w:szCs w:val="22"/>
          <w:vertAlign w:val="superscript"/>
          <w:lang w:val="pt-BR"/>
        </w:rPr>
        <w:t>/</w:t>
      </w:r>
      <w:r w:rsidRPr="00D65A20">
        <w:rPr>
          <w:rFonts w:ascii="Times New Roman" w:hAnsi="Times New Roman"/>
          <w:color w:val="000000"/>
          <w:szCs w:val="22"/>
          <w:lang w:val="pt-BR"/>
        </w:rPr>
        <w:t>, e a adaptação a esses efeitos, tais como as secas e inundações graves, em especial nos países que sofrem escassez de água e regiões de risco.</w:t>
      </w:r>
      <w:r w:rsidRPr="00D65A20">
        <w:rPr>
          <w:rFonts w:ascii="Times New Roman" w:hAnsi="Times New Roman"/>
          <w:color w:val="000000"/>
          <w:szCs w:val="22"/>
          <w:vertAlign w:val="superscript"/>
          <w:lang w:val="pt-BR"/>
        </w:rPr>
        <w:t xml:space="preserve"> </w:t>
      </w:r>
    </w:p>
    <w:p w14:paraId="6E834510"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511" w14:textId="5DE9F4FA" w:rsidR="00A925FD" w:rsidRPr="00D65A20" w:rsidRDefault="00A925FD" w:rsidP="00AA4399">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rFonts w:ascii="Times New Roman" w:eastAsia="Calibri" w:hAnsi="Times New Roman"/>
          <w:szCs w:val="22"/>
          <w:lang w:val="pt-BR"/>
        </w:rPr>
      </w:pPr>
      <w:r w:rsidRPr="00D65A20">
        <w:rPr>
          <w:rFonts w:ascii="Times New Roman" w:eastAsia="Calibri" w:hAnsi="Times New Roman"/>
          <w:szCs w:val="22"/>
          <w:lang w:val="pt-BR"/>
        </w:rPr>
        <w:t>Encarregar a Secretaria da CIP de continuar seu trabalho de implementação de programas que promovam a sustentabilidade ambiental nos Estados membros, inclusive a redução da poluição, no âmbito do Programa de Incentivo aos Portos</w:t>
      </w:r>
      <w:r w:rsidR="001B403E" w:rsidRPr="00D65A20">
        <w:rPr>
          <w:rFonts w:ascii="Times New Roman" w:eastAsia="Calibri" w:hAnsi="Times New Roman"/>
          <w:szCs w:val="22"/>
          <w:lang w:val="pt-BR"/>
        </w:rPr>
        <w:t>,</w:t>
      </w:r>
      <w:r w:rsidRPr="00D65A20">
        <w:rPr>
          <w:rFonts w:ascii="Times New Roman" w:eastAsia="Calibri" w:hAnsi="Times New Roman"/>
          <w:szCs w:val="22"/>
          <w:lang w:val="pt-BR"/>
        </w:rPr>
        <w:t xml:space="preserve"> </w:t>
      </w:r>
      <w:r w:rsidR="00D411FF" w:rsidRPr="00D65A20">
        <w:rPr>
          <w:rFonts w:ascii="Times New Roman" w:eastAsia="Calibri" w:hAnsi="Times New Roman"/>
          <w:szCs w:val="22"/>
          <w:lang w:val="pt-BR"/>
        </w:rPr>
        <w:t xml:space="preserve">a fim de </w:t>
      </w:r>
      <w:r w:rsidR="00212173" w:rsidRPr="00D65A20">
        <w:rPr>
          <w:rFonts w:ascii="Times New Roman" w:eastAsia="Calibri" w:hAnsi="Times New Roman"/>
          <w:szCs w:val="22"/>
          <w:lang w:val="pt-BR"/>
        </w:rPr>
        <w:t xml:space="preserve">reduzir emissões de gases de efeito estufa </w:t>
      </w:r>
      <w:r w:rsidR="005564A7" w:rsidRPr="00D65A20">
        <w:rPr>
          <w:rFonts w:ascii="Times New Roman" w:eastAsia="Calibri" w:hAnsi="Times New Roman"/>
          <w:szCs w:val="22"/>
          <w:lang w:val="pt-BR"/>
        </w:rPr>
        <w:t xml:space="preserve">emitidos por </w:t>
      </w:r>
      <w:r w:rsidR="00212173" w:rsidRPr="00D65A20">
        <w:rPr>
          <w:rFonts w:ascii="Times New Roman" w:eastAsia="Calibri" w:hAnsi="Times New Roman"/>
          <w:szCs w:val="22"/>
          <w:lang w:val="pt-BR"/>
        </w:rPr>
        <w:t>navios cargueiros</w:t>
      </w:r>
      <w:r w:rsidRPr="00D65A20">
        <w:rPr>
          <w:rFonts w:ascii="Times New Roman" w:eastAsia="Calibri" w:hAnsi="Times New Roman"/>
          <w:szCs w:val="22"/>
          <w:lang w:val="pt-BR"/>
        </w:rPr>
        <w:t xml:space="preserve">. </w:t>
      </w:r>
    </w:p>
    <w:p w14:paraId="6E834512"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080"/>
          <w:tab w:val="left" w:pos="2430"/>
          <w:tab w:val="left" w:pos="3240"/>
        </w:tabs>
        <w:rPr>
          <w:rFonts w:ascii="Times New Roman" w:eastAsia="Calibri" w:hAnsi="Times New Roman"/>
          <w:bCs/>
          <w:iCs/>
          <w:szCs w:val="22"/>
          <w:lang w:val="pt-BR"/>
        </w:rPr>
      </w:pPr>
    </w:p>
    <w:p w14:paraId="6E834513" w14:textId="77777777" w:rsidR="00A925FD" w:rsidRPr="00D65A20" w:rsidRDefault="00A925FD" w:rsidP="00AA4399">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color w:val="000000"/>
          <w:szCs w:val="22"/>
          <w:shd w:val="clear" w:color="auto" w:fill="00FFFF"/>
          <w:lang w:val="pt-BR"/>
        </w:rPr>
      </w:pPr>
      <w:r w:rsidRPr="00D65A20">
        <w:rPr>
          <w:rFonts w:ascii="Times New Roman" w:hAnsi="Times New Roman"/>
          <w:color w:val="000000"/>
          <w:szCs w:val="22"/>
          <w:lang w:val="pt-BR"/>
        </w:rPr>
        <w:t xml:space="preserve">Reiterar seu apoio à Iniciativa Capacetes Brancos como um dos mecanismos valiosos do Hemisfério na prevenção e redução de casos de desastre, bem como na resposta a esses casos, e na luta contra a fome e a pobreza. </w:t>
      </w:r>
    </w:p>
    <w:p w14:paraId="6E834514"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515" w14:textId="77777777" w:rsidR="00A925FD" w:rsidRPr="00D65A20" w:rsidRDefault="00146733" w:rsidP="00AA4399">
      <w:pPr>
        <w:widowControl/>
        <w:tabs>
          <w:tab w:val="clear" w:pos="2880"/>
          <w:tab w:val="clear" w:pos="3600"/>
          <w:tab w:val="clear" w:pos="4320"/>
          <w:tab w:val="clear" w:pos="5760"/>
          <w:tab w:val="clear" w:pos="6480"/>
          <w:tab w:val="clear" w:pos="7200"/>
          <w:tab w:val="clear" w:pos="7920"/>
        </w:tabs>
        <w:ind w:firstLine="697"/>
        <w:rPr>
          <w:rFonts w:ascii="Times New Roman" w:hAnsi="Times New Roman"/>
          <w:color w:val="000000"/>
          <w:szCs w:val="22"/>
          <w:shd w:val="clear" w:color="auto" w:fill="00FFFF"/>
          <w:lang w:val="pt-BR"/>
        </w:rPr>
      </w:pPr>
      <w:r w:rsidRPr="00D65A20">
        <w:rPr>
          <w:rFonts w:ascii="Times New Roman" w:hAnsi="Times New Roman"/>
          <w:color w:val="000000"/>
          <w:szCs w:val="22"/>
          <w:lang w:val="pt-BR"/>
        </w:rPr>
        <w:t>16.</w:t>
      </w:r>
      <w:r w:rsidR="00A925FD" w:rsidRPr="00D65A20">
        <w:rPr>
          <w:rFonts w:ascii="Times New Roman" w:hAnsi="Times New Roman"/>
          <w:color w:val="000000"/>
          <w:szCs w:val="22"/>
          <w:lang w:val="pt-BR"/>
        </w:rPr>
        <w:tab/>
        <w:t xml:space="preserve">Incentivar a Iniciativa Capacetes Brancos a que continue fomentando a crescente colaboração humanitária regional e, nesse contexto, a que continue partilhando sua experiência e melhores práticas em prevenção, preparação e resposta em situações de desastre, mais ainda no contexto internacional decorrente da </w:t>
      </w:r>
      <w:r w:rsidR="005564A7" w:rsidRPr="00D65A20">
        <w:rPr>
          <w:rFonts w:ascii="Times New Roman" w:hAnsi="Times New Roman"/>
          <w:color w:val="000000"/>
          <w:szCs w:val="22"/>
          <w:lang w:val="pt-BR"/>
        </w:rPr>
        <w:t xml:space="preserve">pandemia de </w:t>
      </w:r>
      <w:r w:rsidR="00212173" w:rsidRPr="00D65A20">
        <w:rPr>
          <w:rFonts w:ascii="Times New Roman" w:hAnsi="Times New Roman"/>
          <w:color w:val="000000"/>
          <w:szCs w:val="22"/>
          <w:lang w:val="pt-BR"/>
        </w:rPr>
        <w:t>covid</w:t>
      </w:r>
      <w:r w:rsidR="00A925FD" w:rsidRPr="00D65A20">
        <w:rPr>
          <w:rFonts w:ascii="Times New Roman" w:hAnsi="Times New Roman"/>
          <w:color w:val="000000"/>
          <w:szCs w:val="22"/>
          <w:lang w:val="pt-BR"/>
        </w:rPr>
        <w:t xml:space="preserve">-19. </w:t>
      </w:r>
    </w:p>
    <w:p w14:paraId="6E834516"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517"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ind w:firstLine="697"/>
        <w:rPr>
          <w:rFonts w:ascii="Times New Roman" w:hAnsi="Times New Roman"/>
          <w:color w:val="000000"/>
          <w:szCs w:val="22"/>
          <w:shd w:val="clear" w:color="auto" w:fill="00FFFF"/>
          <w:lang w:val="pt-BR"/>
        </w:rPr>
      </w:pPr>
      <w:r w:rsidRPr="00D65A20">
        <w:rPr>
          <w:rFonts w:ascii="Times New Roman" w:hAnsi="Times New Roman"/>
          <w:color w:val="000000"/>
          <w:szCs w:val="22"/>
          <w:lang w:val="pt-BR"/>
        </w:rPr>
        <w:t xml:space="preserve">17. </w:t>
      </w:r>
      <w:r w:rsidRPr="00D65A20">
        <w:rPr>
          <w:rFonts w:ascii="Times New Roman" w:hAnsi="Times New Roman"/>
          <w:color w:val="000000"/>
          <w:szCs w:val="22"/>
          <w:lang w:val="pt-BR"/>
        </w:rPr>
        <w:tab/>
        <w:t xml:space="preserve">Tomar nota do trabalho da Comissão de Políticas de Cooperação Solidária para o Desenvolvimento sobre a análise do Estudo sobre Ferramentas e Entidades do Sistema Interamericano para a Atenção de Desastres Naturais. </w:t>
      </w:r>
    </w:p>
    <w:p w14:paraId="6E834518"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519" w14:textId="0FD6F4A2" w:rsidR="00A925FD" w:rsidRPr="00D65A20" w:rsidRDefault="00A925FD" w:rsidP="00AA4399">
      <w:pPr>
        <w:widowControl/>
        <w:tabs>
          <w:tab w:val="clear" w:pos="2880"/>
          <w:tab w:val="clear" w:pos="3600"/>
          <w:tab w:val="clear" w:pos="4320"/>
          <w:tab w:val="clear" w:pos="5760"/>
          <w:tab w:val="clear" w:pos="6480"/>
          <w:tab w:val="clear" w:pos="7200"/>
          <w:tab w:val="clear" w:pos="7920"/>
        </w:tabs>
        <w:ind w:firstLine="653"/>
        <w:rPr>
          <w:rFonts w:ascii="Times New Roman" w:hAnsi="Times New Roman"/>
          <w:color w:val="000000"/>
          <w:szCs w:val="22"/>
          <w:shd w:val="clear" w:color="auto" w:fill="00FFFF"/>
          <w:lang w:val="pt-BR"/>
        </w:rPr>
      </w:pPr>
      <w:r w:rsidRPr="00D65A20">
        <w:rPr>
          <w:rFonts w:ascii="Times New Roman" w:hAnsi="Times New Roman"/>
          <w:color w:val="000000"/>
          <w:szCs w:val="22"/>
          <w:lang w:val="pt-BR"/>
        </w:rPr>
        <w:lastRenderedPageBreak/>
        <w:t xml:space="preserve">18. </w:t>
      </w:r>
      <w:r w:rsidRPr="00D65A20">
        <w:rPr>
          <w:rFonts w:ascii="Times New Roman" w:hAnsi="Times New Roman"/>
          <w:color w:val="000000"/>
          <w:szCs w:val="22"/>
          <w:lang w:val="pt-BR"/>
        </w:rPr>
        <w:tab/>
        <w:t xml:space="preserve">Endossar as recomendações do CIDI, constantes do documento CIDI/CPD/doc.200/20 rev.3, sobre as ferramentas e entidades do Sistema Interamericano para abordar a resposta a desastres naturais, e delegar ao CIDI, em coordenação com a Comissão de Segurança Hemisférica (CSH), a supervisão da implementação dos mandatos atribuídos à Secretaria-Geral. </w:t>
      </w:r>
    </w:p>
    <w:p w14:paraId="6E83451A"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51B" w14:textId="73680823" w:rsidR="00A925FD" w:rsidRPr="00D65A20" w:rsidRDefault="00A925FD" w:rsidP="00AA4399">
      <w:pPr>
        <w:widowControl/>
        <w:tabs>
          <w:tab w:val="clear" w:pos="2880"/>
          <w:tab w:val="clear" w:pos="3600"/>
          <w:tab w:val="clear" w:pos="4320"/>
          <w:tab w:val="clear" w:pos="5760"/>
          <w:tab w:val="clear" w:pos="6480"/>
          <w:tab w:val="clear" w:pos="7200"/>
          <w:tab w:val="clear" w:pos="7920"/>
        </w:tabs>
        <w:ind w:firstLine="623"/>
        <w:rPr>
          <w:rFonts w:ascii="Times New Roman" w:hAnsi="Times New Roman"/>
          <w:color w:val="000000"/>
          <w:szCs w:val="22"/>
          <w:shd w:val="clear" w:color="auto" w:fill="00FFFF"/>
          <w:lang w:val="pt-BR"/>
        </w:rPr>
      </w:pPr>
      <w:r w:rsidRPr="00D65A20">
        <w:rPr>
          <w:rFonts w:ascii="Times New Roman" w:hAnsi="Times New Roman"/>
          <w:color w:val="000000"/>
          <w:szCs w:val="22"/>
          <w:lang w:val="pt-BR"/>
        </w:rPr>
        <w:t xml:space="preserve">19. </w:t>
      </w:r>
      <w:r w:rsidRPr="00D65A20">
        <w:rPr>
          <w:rFonts w:ascii="Times New Roman" w:hAnsi="Times New Roman"/>
          <w:color w:val="000000"/>
          <w:szCs w:val="22"/>
          <w:lang w:val="pt-BR"/>
        </w:rPr>
        <w:tab/>
        <w:t xml:space="preserve">Aprovar </w:t>
      </w:r>
      <w:r w:rsidR="005564A7" w:rsidRPr="00D65A20">
        <w:rPr>
          <w:rFonts w:ascii="Times New Roman" w:hAnsi="Times New Roman"/>
          <w:color w:val="000000"/>
          <w:szCs w:val="22"/>
          <w:lang w:val="pt-BR"/>
        </w:rPr>
        <w:t xml:space="preserve">as emendas ao </w:t>
      </w:r>
      <w:r w:rsidRPr="00D65A20">
        <w:rPr>
          <w:rFonts w:ascii="Times New Roman" w:hAnsi="Times New Roman"/>
          <w:color w:val="000000"/>
          <w:szCs w:val="22"/>
          <w:lang w:val="pt-BR"/>
        </w:rPr>
        <w:t xml:space="preserve">Estatuto da Comissão Interamericana de Redução de Desastres Naturais, constante do </w:t>
      </w:r>
      <w:r w:rsidR="00212173" w:rsidRPr="00D65A20">
        <w:rPr>
          <w:rFonts w:ascii="Times New Roman" w:hAnsi="Times New Roman"/>
          <w:color w:val="000000"/>
          <w:szCs w:val="22"/>
          <w:lang w:val="pt-BR"/>
        </w:rPr>
        <w:t>a</w:t>
      </w:r>
      <w:r w:rsidRPr="00D65A20">
        <w:rPr>
          <w:rFonts w:ascii="Times New Roman" w:hAnsi="Times New Roman"/>
          <w:color w:val="000000"/>
          <w:szCs w:val="22"/>
          <w:lang w:val="pt-BR"/>
        </w:rPr>
        <w:t>nexo desta resolução.</w:t>
      </w:r>
    </w:p>
    <w:p w14:paraId="6E83451C"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outlineLvl w:val="1"/>
        <w:rPr>
          <w:rFonts w:ascii="Times New Roman" w:eastAsia="Calibri" w:hAnsi="Times New Roman"/>
          <w:szCs w:val="22"/>
          <w:lang w:val="pt-BR"/>
        </w:rPr>
      </w:pPr>
    </w:p>
    <w:p w14:paraId="6E83451D"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Calibri" w:hAnsi="Times New Roman"/>
          <w:szCs w:val="22"/>
          <w:lang w:val="pt-BR"/>
        </w:rPr>
      </w:pPr>
      <w:r w:rsidRPr="00D65A20">
        <w:rPr>
          <w:rFonts w:ascii="Times New Roman" w:eastAsia="Calibri" w:hAnsi="Times New Roman"/>
          <w:szCs w:val="22"/>
          <w:lang w:val="pt-BR"/>
        </w:rPr>
        <w:t>III.</w:t>
      </w:r>
      <w:r w:rsidRPr="00D65A20">
        <w:rPr>
          <w:rFonts w:ascii="Times New Roman" w:eastAsia="Calibri" w:hAnsi="Times New Roman"/>
          <w:szCs w:val="22"/>
          <w:lang w:val="pt-BR"/>
        </w:rPr>
        <w:tab/>
        <w:t xml:space="preserve">COM RESPEITO À LINHA ESTRATÉGICA “PROMOVER A EDUCAÇÃO E O DESENVOLVIMENTO HUMANO NAS AMÉRICAS” </w:t>
      </w:r>
    </w:p>
    <w:p w14:paraId="6E83451E"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51F" w14:textId="71C6145B"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rPr>
      </w:pPr>
      <w:r w:rsidRPr="00D65A20">
        <w:rPr>
          <w:rFonts w:ascii="Times New Roman" w:hAnsi="Times New Roman"/>
          <w:b/>
          <w:bCs/>
          <w:color w:val="000000"/>
          <w:szCs w:val="22"/>
          <w:lang w:val="pt-BR"/>
        </w:rPr>
        <w:tab/>
      </w:r>
      <w:r w:rsidRPr="00D65A20">
        <w:rPr>
          <w:rFonts w:ascii="Times New Roman" w:hAnsi="Times New Roman"/>
          <w:bCs/>
          <w:color w:val="000000"/>
          <w:szCs w:val="22"/>
          <w:lang w:val="pt-BR"/>
        </w:rPr>
        <w:t>20.</w:t>
      </w:r>
      <w:r w:rsidRPr="00D65A20">
        <w:rPr>
          <w:rFonts w:ascii="Times New Roman" w:hAnsi="Times New Roman"/>
          <w:szCs w:val="22"/>
          <w:lang w:val="pt-BR"/>
        </w:rPr>
        <w:tab/>
      </w:r>
      <w:r w:rsidRPr="00D65A20">
        <w:rPr>
          <w:rFonts w:ascii="Times New Roman" w:hAnsi="Times New Roman"/>
          <w:color w:val="000000"/>
          <w:szCs w:val="22"/>
          <w:lang w:val="pt-BR"/>
        </w:rPr>
        <w:t xml:space="preserve">Endossar o </w:t>
      </w:r>
      <w:r w:rsidRPr="00D65A20">
        <w:rPr>
          <w:rFonts w:ascii="Times New Roman" w:hAnsi="Times New Roman"/>
          <w:bCs/>
          <w:color w:val="000000"/>
          <w:szCs w:val="22"/>
          <w:lang w:val="pt-BR"/>
        </w:rPr>
        <w:t>Plano de Ação de Antígua e Barbuda</w:t>
      </w:r>
      <w:r w:rsidR="005564A7" w:rsidRPr="00D65A20">
        <w:rPr>
          <w:rFonts w:ascii="Times New Roman" w:hAnsi="Times New Roman"/>
          <w:bCs/>
          <w:color w:val="000000"/>
          <w:szCs w:val="22"/>
          <w:lang w:val="pt-BR"/>
        </w:rPr>
        <w:t xml:space="preserve"> 2019</w:t>
      </w:r>
      <w:r w:rsidRPr="00D65A20">
        <w:rPr>
          <w:rFonts w:ascii="Times New Roman" w:hAnsi="Times New Roman"/>
          <w:bCs/>
          <w:color w:val="000000"/>
          <w:szCs w:val="22"/>
          <w:lang w:val="pt-BR"/>
        </w:rPr>
        <w:t xml:space="preserve">, “A Agenda </w:t>
      </w:r>
      <w:r w:rsidR="007E2123" w:rsidRPr="00D65A20">
        <w:rPr>
          <w:rFonts w:ascii="Times New Roman" w:hAnsi="Times New Roman"/>
          <w:bCs/>
          <w:color w:val="000000"/>
          <w:szCs w:val="22"/>
          <w:lang w:val="pt-BR"/>
        </w:rPr>
        <w:t>Interamericana de Educação</w:t>
      </w:r>
      <w:r w:rsidRPr="00D65A20">
        <w:rPr>
          <w:rFonts w:ascii="Times New Roman" w:hAnsi="Times New Roman"/>
          <w:bCs/>
          <w:color w:val="000000"/>
          <w:szCs w:val="22"/>
          <w:lang w:val="pt-BR"/>
        </w:rPr>
        <w:t xml:space="preserve">: </w:t>
      </w:r>
      <w:r w:rsidR="007E2123" w:rsidRPr="00D65A20">
        <w:rPr>
          <w:rFonts w:ascii="Times New Roman" w:hAnsi="Times New Roman"/>
          <w:bCs/>
          <w:color w:val="000000"/>
          <w:szCs w:val="22"/>
          <w:lang w:val="pt-BR"/>
        </w:rPr>
        <w:t>C</w:t>
      </w:r>
      <w:r w:rsidRPr="00D65A20">
        <w:rPr>
          <w:rFonts w:ascii="Times New Roman" w:hAnsi="Times New Roman"/>
          <w:bCs/>
          <w:color w:val="000000"/>
          <w:szCs w:val="22"/>
          <w:lang w:val="pt-BR"/>
        </w:rPr>
        <w:t xml:space="preserve">onstruindo parcerias sustentáveis por meio da cooperação, com foco renovado na educação e no desenvolvimento de competências para o aprimoramento da cidadania”, aprovado na Décima Reunião Interamericana de Ministros da Educação, realizada em Washington, D.C., em 8 e </w:t>
      </w:r>
      <w:r w:rsidRPr="00D65A20">
        <w:rPr>
          <w:rFonts w:ascii="Times New Roman" w:hAnsi="Times New Roman"/>
          <w:color w:val="000000"/>
          <w:szCs w:val="22"/>
          <w:lang w:val="pt-BR"/>
        </w:rPr>
        <w:t xml:space="preserve">9 de </w:t>
      </w:r>
      <w:r w:rsidRPr="00D65A20">
        <w:rPr>
          <w:rFonts w:ascii="Times New Roman" w:hAnsi="Times New Roman"/>
          <w:bCs/>
          <w:color w:val="000000"/>
          <w:szCs w:val="22"/>
          <w:lang w:val="pt-BR"/>
        </w:rPr>
        <w:t xml:space="preserve">julho </w:t>
      </w:r>
      <w:r w:rsidRPr="00D65A20">
        <w:rPr>
          <w:rFonts w:ascii="Times New Roman" w:hAnsi="Times New Roman"/>
          <w:color w:val="000000"/>
          <w:szCs w:val="22"/>
          <w:lang w:val="pt-BR"/>
        </w:rPr>
        <w:t>de 2019</w:t>
      </w:r>
      <w:r w:rsidRPr="00D65A20">
        <w:rPr>
          <w:rFonts w:ascii="Times New Roman" w:hAnsi="Times New Roman"/>
          <w:bCs/>
          <w:color w:val="000000"/>
          <w:szCs w:val="22"/>
          <w:lang w:val="pt-BR"/>
        </w:rPr>
        <w:t xml:space="preserve"> (CIDI/RME/doc.6/19). </w:t>
      </w:r>
    </w:p>
    <w:p w14:paraId="6E834520"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521" w14:textId="41B00ADF"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rPr>
      </w:pPr>
      <w:r w:rsidRPr="00D65A20">
        <w:rPr>
          <w:rFonts w:ascii="Times New Roman" w:hAnsi="Times New Roman"/>
          <w:color w:val="000000"/>
          <w:szCs w:val="22"/>
          <w:lang w:val="pt-BR"/>
        </w:rPr>
        <w:tab/>
        <w:t>2</w:t>
      </w:r>
      <w:r w:rsidRPr="00D65A20">
        <w:rPr>
          <w:rFonts w:ascii="Times New Roman" w:hAnsi="Times New Roman"/>
          <w:bCs/>
          <w:color w:val="000000"/>
          <w:szCs w:val="22"/>
          <w:lang w:val="pt-BR"/>
        </w:rPr>
        <w:t>1.</w:t>
      </w:r>
      <w:r w:rsidRPr="00D65A20">
        <w:rPr>
          <w:rFonts w:ascii="Times New Roman" w:hAnsi="Times New Roman"/>
          <w:bCs/>
          <w:color w:val="000000"/>
          <w:szCs w:val="22"/>
          <w:lang w:val="pt-BR"/>
        </w:rPr>
        <w:tab/>
        <w:t>Encarregar a SEDI de continuar apoiando o Plano de Trabalho 2019</w:t>
      </w:r>
      <w:r w:rsidR="003742D1" w:rsidRPr="00D65A20">
        <w:rPr>
          <w:rFonts w:ascii="Times New Roman" w:hAnsi="Times New Roman"/>
          <w:bCs/>
          <w:color w:val="000000"/>
          <w:szCs w:val="22"/>
          <w:lang w:val="pt-BR"/>
        </w:rPr>
        <w:t>–</w:t>
      </w:r>
      <w:r w:rsidRPr="00D65A20">
        <w:rPr>
          <w:rFonts w:ascii="Times New Roman" w:hAnsi="Times New Roman"/>
          <w:bCs/>
          <w:color w:val="000000"/>
          <w:szCs w:val="22"/>
          <w:lang w:val="pt-BR"/>
        </w:rPr>
        <w:t xml:space="preserve">2022 da </w:t>
      </w:r>
      <w:r w:rsidR="00D411FF" w:rsidRPr="00D65A20">
        <w:rPr>
          <w:rFonts w:ascii="Times New Roman" w:hAnsi="Times New Roman"/>
          <w:bCs/>
          <w:color w:val="000000"/>
          <w:szCs w:val="22"/>
          <w:lang w:val="pt-BR"/>
        </w:rPr>
        <w:t>Comissão Interamericana de Educação (</w:t>
      </w:r>
      <w:r w:rsidRPr="00D65A20">
        <w:rPr>
          <w:rFonts w:ascii="Times New Roman" w:hAnsi="Times New Roman"/>
          <w:bCs/>
          <w:color w:val="000000"/>
          <w:szCs w:val="22"/>
          <w:lang w:val="pt-BR"/>
        </w:rPr>
        <w:t>CIE</w:t>
      </w:r>
      <w:r w:rsidR="00D411FF" w:rsidRPr="00D65A20">
        <w:rPr>
          <w:rFonts w:ascii="Times New Roman" w:hAnsi="Times New Roman"/>
          <w:bCs/>
          <w:color w:val="000000"/>
          <w:szCs w:val="22"/>
          <w:lang w:val="pt-BR"/>
        </w:rPr>
        <w:t>)</w:t>
      </w:r>
      <w:r w:rsidRPr="00D65A20">
        <w:rPr>
          <w:rFonts w:ascii="Times New Roman" w:hAnsi="Times New Roman"/>
          <w:bCs/>
          <w:color w:val="000000"/>
          <w:szCs w:val="22"/>
          <w:lang w:val="pt-BR"/>
        </w:rPr>
        <w:t xml:space="preserve"> e seu objetivo de compartilhar iniciativas concretas para a implementação da Agenda Interamericana </w:t>
      </w:r>
      <w:r w:rsidR="003742D1" w:rsidRPr="00D65A20">
        <w:rPr>
          <w:rFonts w:ascii="Times New Roman" w:hAnsi="Times New Roman"/>
          <w:bCs/>
          <w:color w:val="000000"/>
          <w:szCs w:val="22"/>
          <w:lang w:val="pt-BR"/>
        </w:rPr>
        <w:t>de Educação</w:t>
      </w:r>
      <w:r w:rsidR="00BE6E64" w:rsidRPr="00D65A20">
        <w:rPr>
          <w:rFonts w:ascii="Times New Roman" w:hAnsi="Times New Roman"/>
          <w:bCs/>
          <w:color w:val="000000"/>
          <w:szCs w:val="22"/>
          <w:lang w:val="pt-BR"/>
        </w:rPr>
        <w:t xml:space="preserve"> </w:t>
      </w:r>
      <w:r w:rsidRPr="00D65A20">
        <w:rPr>
          <w:rFonts w:ascii="Times New Roman" w:hAnsi="Times New Roman"/>
          <w:bCs/>
          <w:color w:val="000000"/>
          <w:szCs w:val="22"/>
          <w:lang w:val="pt-BR"/>
        </w:rPr>
        <w:t xml:space="preserve">(AEI); aprofundar sinergias entre as iniciativas globais, hemisféricas e sub-regionais de educação; e promover a cooperação intersetorial e com </w:t>
      </w:r>
      <w:r w:rsidR="00FA6A9D" w:rsidRPr="00D65A20">
        <w:rPr>
          <w:rFonts w:ascii="Times New Roman" w:hAnsi="Times New Roman"/>
          <w:bCs/>
          <w:color w:val="000000"/>
          <w:szCs w:val="22"/>
          <w:lang w:val="pt-BR"/>
        </w:rPr>
        <w:t>outros</w:t>
      </w:r>
      <w:r w:rsidRPr="00D65A20">
        <w:rPr>
          <w:rFonts w:ascii="Times New Roman" w:hAnsi="Times New Roman"/>
          <w:bCs/>
          <w:color w:val="000000"/>
          <w:szCs w:val="22"/>
          <w:lang w:val="pt-BR"/>
        </w:rPr>
        <w:t xml:space="preserve"> atores sociais, com a finalidade de contribuir para alcançar os objetivos propostos pela Agenda 2030 para o Desenvolvimento Sustentável e para reduzir as desigualdades exacerbadas pela pandemia</w:t>
      </w:r>
      <w:r w:rsidR="005564A7" w:rsidRPr="00D65A20">
        <w:rPr>
          <w:rFonts w:ascii="Times New Roman" w:hAnsi="Times New Roman"/>
          <w:bCs/>
          <w:color w:val="000000"/>
          <w:szCs w:val="22"/>
          <w:lang w:val="pt-BR"/>
        </w:rPr>
        <w:t xml:space="preserve"> de covid-19</w:t>
      </w:r>
      <w:r w:rsidRPr="00D65A20">
        <w:rPr>
          <w:rFonts w:ascii="Times New Roman" w:hAnsi="Times New Roman"/>
          <w:bCs/>
          <w:color w:val="000000"/>
          <w:szCs w:val="22"/>
          <w:lang w:val="pt-BR"/>
        </w:rPr>
        <w:t>.</w:t>
      </w:r>
    </w:p>
    <w:p w14:paraId="6E834522"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523" w14:textId="6540636F" w:rsidR="00A925FD" w:rsidRPr="00D65A20" w:rsidRDefault="00A925FD" w:rsidP="00AA4399">
      <w:pPr>
        <w:widowControl/>
        <w:tabs>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rPr>
      </w:pPr>
      <w:r w:rsidRPr="00D65A20">
        <w:rPr>
          <w:rFonts w:ascii="Times New Roman" w:hAnsi="Times New Roman"/>
          <w:color w:val="000000"/>
          <w:szCs w:val="22"/>
          <w:lang w:val="pt-BR"/>
        </w:rPr>
        <w:t xml:space="preserve">22. </w:t>
      </w:r>
      <w:r w:rsidRPr="00D65A20">
        <w:rPr>
          <w:rFonts w:ascii="Times New Roman" w:hAnsi="Times New Roman"/>
          <w:color w:val="000000"/>
          <w:szCs w:val="22"/>
          <w:lang w:val="pt-BR"/>
        </w:rPr>
        <w:tab/>
      </w:r>
      <w:r w:rsidR="007C25AE" w:rsidRPr="00D65A20">
        <w:rPr>
          <w:rFonts w:ascii="Times New Roman" w:hAnsi="Times New Roman"/>
          <w:color w:val="000000"/>
          <w:szCs w:val="22"/>
          <w:lang w:val="pt-BR"/>
        </w:rPr>
        <w:t xml:space="preserve">Encarregar </w:t>
      </w:r>
      <w:r w:rsidRPr="00D65A20">
        <w:rPr>
          <w:rFonts w:ascii="Times New Roman" w:hAnsi="Times New Roman"/>
          <w:color w:val="000000"/>
          <w:szCs w:val="22"/>
          <w:lang w:val="pt-BR"/>
        </w:rPr>
        <w:t xml:space="preserve">a SEDI de apoiar os ministérios e as instituições encarregadas de educação na região no incentivo à Proposta Hemisférica de Ação para a Continuidade da Educação </w:t>
      </w:r>
      <w:r w:rsidR="003D01F9" w:rsidRPr="00D65A20">
        <w:rPr>
          <w:rFonts w:ascii="Times New Roman" w:hAnsi="Times New Roman"/>
          <w:color w:val="000000"/>
          <w:szCs w:val="22"/>
          <w:lang w:val="pt-BR"/>
        </w:rPr>
        <w:t>no contexto</w:t>
      </w:r>
      <w:r w:rsidRPr="00D65A20">
        <w:rPr>
          <w:rFonts w:ascii="Times New Roman" w:hAnsi="Times New Roman"/>
          <w:color w:val="000000"/>
          <w:szCs w:val="22"/>
          <w:lang w:val="pt-BR"/>
        </w:rPr>
        <w:t xml:space="preserve"> da pandemia de </w:t>
      </w:r>
      <w:r w:rsidR="00FA6A9D" w:rsidRPr="00D65A20">
        <w:rPr>
          <w:rFonts w:ascii="Times New Roman" w:hAnsi="Times New Roman"/>
          <w:color w:val="000000"/>
          <w:szCs w:val="22"/>
          <w:lang w:val="pt-BR"/>
        </w:rPr>
        <w:t xml:space="preserve">covid-19 </w:t>
      </w:r>
      <w:r w:rsidRPr="00D65A20">
        <w:rPr>
          <w:rFonts w:ascii="Times New Roman" w:hAnsi="Times New Roman"/>
          <w:color w:val="000000"/>
          <w:szCs w:val="22"/>
          <w:lang w:val="pt-BR"/>
        </w:rPr>
        <w:t>(PHACE).</w:t>
      </w:r>
    </w:p>
    <w:p w14:paraId="6E834524"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525" w14:textId="69459982" w:rsidR="00A925FD" w:rsidRPr="00D65A20" w:rsidRDefault="00A925FD" w:rsidP="00AA4399">
      <w:pPr>
        <w:widowControl/>
        <w:tabs>
          <w:tab w:val="clear" w:pos="2880"/>
          <w:tab w:val="clear" w:pos="3600"/>
          <w:tab w:val="clear" w:pos="4320"/>
          <w:tab w:val="clear" w:pos="5760"/>
          <w:tab w:val="clear" w:pos="6480"/>
          <w:tab w:val="clear" w:pos="7200"/>
          <w:tab w:val="clear" w:pos="7920"/>
        </w:tabs>
        <w:ind w:firstLine="749"/>
        <w:rPr>
          <w:rFonts w:ascii="Times New Roman" w:hAnsi="Times New Roman"/>
          <w:bCs/>
          <w:color w:val="000000"/>
          <w:szCs w:val="22"/>
          <w:lang w:val="pt-BR"/>
        </w:rPr>
      </w:pPr>
      <w:r w:rsidRPr="00D65A20">
        <w:rPr>
          <w:rFonts w:ascii="Times New Roman" w:hAnsi="Times New Roman"/>
          <w:bCs/>
          <w:color w:val="000000"/>
          <w:szCs w:val="22"/>
          <w:lang w:val="pt-BR"/>
        </w:rPr>
        <w:t>23.</w:t>
      </w:r>
      <w:r w:rsidRPr="00D65A20">
        <w:rPr>
          <w:rFonts w:ascii="Times New Roman" w:hAnsi="Times New Roman"/>
          <w:color w:val="000000"/>
          <w:szCs w:val="22"/>
          <w:lang w:val="pt-BR"/>
        </w:rPr>
        <w:tab/>
      </w:r>
      <w:r w:rsidR="00AB60F5" w:rsidRPr="00D65A20">
        <w:rPr>
          <w:rFonts w:ascii="Times New Roman" w:hAnsi="Times New Roman"/>
          <w:bCs/>
          <w:color w:val="000000"/>
          <w:szCs w:val="22"/>
          <w:lang w:val="pt-BR"/>
        </w:rPr>
        <w:t>Encarregar a</w:t>
      </w:r>
      <w:r w:rsidRPr="00D65A20">
        <w:rPr>
          <w:rFonts w:ascii="Times New Roman" w:hAnsi="Times New Roman"/>
          <w:bCs/>
          <w:color w:val="000000"/>
          <w:szCs w:val="22"/>
          <w:lang w:val="pt-BR"/>
        </w:rPr>
        <w:t xml:space="preserve"> SEDI</w:t>
      </w:r>
      <w:r w:rsidR="003F11C6" w:rsidRPr="00D65A20">
        <w:rPr>
          <w:rFonts w:ascii="Times New Roman" w:hAnsi="Times New Roman"/>
          <w:bCs/>
          <w:color w:val="000000"/>
          <w:szCs w:val="22"/>
          <w:lang w:val="pt-BR"/>
        </w:rPr>
        <w:t xml:space="preserve"> de</w:t>
      </w:r>
      <w:r w:rsidRPr="00D65A20">
        <w:rPr>
          <w:rFonts w:ascii="Times New Roman" w:hAnsi="Times New Roman"/>
          <w:bCs/>
          <w:color w:val="000000"/>
          <w:szCs w:val="22"/>
          <w:lang w:val="pt-BR"/>
        </w:rPr>
        <w:t xml:space="preserve">, mediante a coordenação que conduz como Secretaria Técnica da CIE, </w:t>
      </w:r>
      <w:r w:rsidR="00AB60F5" w:rsidRPr="00D65A20">
        <w:rPr>
          <w:rFonts w:ascii="Times New Roman" w:hAnsi="Times New Roman"/>
          <w:bCs/>
          <w:color w:val="000000"/>
          <w:szCs w:val="22"/>
          <w:lang w:val="pt-BR"/>
        </w:rPr>
        <w:t>incentivar e promover</w:t>
      </w:r>
      <w:r w:rsidRPr="00D65A20">
        <w:rPr>
          <w:rFonts w:ascii="Times New Roman" w:hAnsi="Times New Roman"/>
          <w:bCs/>
          <w:color w:val="000000"/>
          <w:szCs w:val="22"/>
          <w:lang w:val="pt-BR"/>
        </w:rPr>
        <w:t xml:space="preserve"> espaços de diálogo entre as autoridades dos </w:t>
      </w:r>
      <w:r w:rsidR="00C108A4" w:rsidRPr="00D65A20">
        <w:rPr>
          <w:rFonts w:ascii="Times New Roman" w:hAnsi="Times New Roman"/>
          <w:bCs/>
          <w:color w:val="000000"/>
          <w:szCs w:val="22"/>
          <w:lang w:val="pt-BR"/>
        </w:rPr>
        <w:t xml:space="preserve">grupos de trabalho </w:t>
      </w:r>
      <w:r w:rsidRPr="00D65A20">
        <w:rPr>
          <w:rFonts w:ascii="Times New Roman" w:hAnsi="Times New Roman"/>
          <w:bCs/>
          <w:color w:val="000000"/>
          <w:szCs w:val="22"/>
          <w:lang w:val="pt-BR"/>
        </w:rPr>
        <w:t xml:space="preserve">e demais Estados membros interessados na implementação de programas que colaborem na consecução dos mandatos incluídos no Plano de Ação de Antígua e Barbuda 2019. </w:t>
      </w:r>
    </w:p>
    <w:p w14:paraId="6E834526"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527" w14:textId="0295512C"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color w:val="000000"/>
          <w:szCs w:val="22"/>
          <w:shd w:val="clear" w:color="auto" w:fill="00FFFF"/>
          <w:lang w:val="pt-BR"/>
        </w:rPr>
      </w:pPr>
      <w:r w:rsidRPr="00D65A20">
        <w:rPr>
          <w:rFonts w:ascii="Times New Roman" w:hAnsi="Times New Roman"/>
          <w:color w:val="000000"/>
          <w:szCs w:val="22"/>
          <w:lang w:val="pt-BR"/>
        </w:rPr>
        <w:tab/>
        <w:t>24.</w:t>
      </w:r>
      <w:r w:rsidRPr="00D65A20">
        <w:rPr>
          <w:rFonts w:ascii="Times New Roman" w:hAnsi="Times New Roman"/>
          <w:color w:val="000000"/>
          <w:szCs w:val="22"/>
          <w:lang w:val="pt-BR"/>
        </w:rPr>
        <w:tab/>
        <w:t>Encarregar a SEDI</w:t>
      </w:r>
      <w:r w:rsidR="003F11C6" w:rsidRPr="00D65A20">
        <w:rPr>
          <w:rFonts w:ascii="Times New Roman" w:hAnsi="Times New Roman"/>
          <w:color w:val="000000"/>
          <w:szCs w:val="22"/>
          <w:lang w:val="pt-BR"/>
        </w:rPr>
        <w:t xml:space="preserve"> de</w:t>
      </w:r>
      <w:r w:rsidRPr="00D65A20">
        <w:rPr>
          <w:rFonts w:ascii="Times New Roman" w:hAnsi="Times New Roman"/>
          <w:color w:val="000000"/>
          <w:szCs w:val="22"/>
          <w:lang w:val="pt-BR"/>
        </w:rPr>
        <w:t xml:space="preserve">, em cumprimento aos mandatos emanados da Décima Reunião Interamericana de Ministros da Educação </w:t>
      </w:r>
      <w:r w:rsidR="00917BC3">
        <w:rPr>
          <w:rFonts w:ascii="Times New Roman" w:hAnsi="Times New Roman"/>
          <w:color w:val="000000"/>
          <w:szCs w:val="22"/>
          <w:lang w:val="pt-BR"/>
        </w:rPr>
        <w:t xml:space="preserve">no âmbito do CIDI </w:t>
      </w:r>
      <w:r w:rsidRPr="00D65A20">
        <w:rPr>
          <w:rFonts w:ascii="Times New Roman" w:hAnsi="Times New Roman"/>
          <w:color w:val="000000"/>
          <w:szCs w:val="22"/>
          <w:lang w:val="pt-BR"/>
        </w:rPr>
        <w:t xml:space="preserve">e da Vigésima Conferência Interamericana de Ministros do Trabalho, em consulta com os Estados membros, considerar a </w:t>
      </w:r>
      <w:r w:rsidR="00FA6A9D" w:rsidRPr="00D65A20">
        <w:rPr>
          <w:rFonts w:ascii="Times New Roman" w:hAnsi="Times New Roman"/>
          <w:color w:val="000000"/>
          <w:szCs w:val="22"/>
          <w:lang w:val="pt-BR"/>
        </w:rPr>
        <w:t xml:space="preserve">possibilidade </w:t>
      </w:r>
      <w:r w:rsidRPr="00D65A20">
        <w:rPr>
          <w:rFonts w:ascii="Times New Roman" w:hAnsi="Times New Roman"/>
          <w:color w:val="000000"/>
          <w:szCs w:val="22"/>
          <w:lang w:val="pt-BR"/>
        </w:rPr>
        <w:t>de convocar uma reunião conjunta de ambos os setores, em prazo a ser determinado.</w:t>
      </w:r>
    </w:p>
    <w:p w14:paraId="6E834528"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529" w14:textId="43C08172"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rPr>
      </w:pPr>
      <w:r w:rsidRPr="00D65A20">
        <w:rPr>
          <w:rFonts w:ascii="Times New Roman" w:hAnsi="Times New Roman"/>
          <w:color w:val="000000"/>
          <w:szCs w:val="22"/>
          <w:lang w:val="pt-BR"/>
        </w:rPr>
        <w:tab/>
      </w:r>
      <w:r w:rsidRPr="00D65A20">
        <w:rPr>
          <w:rFonts w:ascii="Times New Roman" w:hAnsi="Times New Roman"/>
          <w:bCs/>
          <w:color w:val="000000"/>
          <w:szCs w:val="22"/>
          <w:lang w:val="pt-BR"/>
        </w:rPr>
        <w:t>25.</w:t>
      </w:r>
      <w:r w:rsidRPr="00D65A20">
        <w:rPr>
          <w:rFonts w:ascii="Times New Roman" w:hAnsi="Times New Roman"/>
          <w:color w:val="000000"/>
          <w:szCs w:val="22"/>
          <w:lang w:val="pt-BR"/>
        </w:rPr>
        <w:tab/>
      </w:r>
      <w:r w:rsidRPr="00D65A20">
        <w:rPr>
          <w:rFonts w:ascii="Times New Roman" w:hAnsi="Times New Roman"/>
          <w:bCs/>
          <w:color w:val="000000"/>
          <w:szCs w:val="22"/>
          <w:lang w:val="pt-BR"/>
        </w:rPr>
        <w:t xml:space="preserve">Incentivar os Estados membros a que continuem fortalecendo as contribuições e os compromissos assumidos sob a liderança das autoridades dos </w:t>
      </w:r>
      <w:r w:rsidR="002F2F1E" w:rsidRPr="00D65A20">
        <w:rPr>
          <w:rFonts w:ascii="Times New Roman" w:hAnsi="Times New Roman"/>
          <w:bCs/>
          <w:color w:val="000000"/>
          <w:szCs w:val="22"/>
          <w:lang w:val="pt-BR"/>
        </w:rPr>
        <w:t xml:space="preserve">respectivos </w:t>
      </w:r>
      <w:r w:rsidR="00A61412" w:rsidRPr="00D65A20">
        <w:rPr>
          <w:rFonts w:ascii="Times New Roman" w:hAnsi="Times New Roman"/>
          <w:bCs/>
          <w:color w:val="000000"/>
          <w:szCs w:val="22"/>
          <w:lang w:val="pt-BR"/>
        </w:rPr>
        <w:t>grupos de trabalho</w:t>
      </w:r>
      <w:r w:rsidRPr="00D65A20">
        <w:rPr>
          <w:rFonts w:ascii="Times New Roman" w:hAnsi="Times New Roman"/>
          <w:bCs/>
          <w:color w:val="000000"/>
          <w:szCs w:val="22"/>
          <w:lang w:val="pt-BR"/>
        </w:rPr>
        <w:t xml:space="preserve">, </w:t>
      </w:r>
      <w:r w:rsidR="00EE782F" w:rsidRPr="00D65A20">
        <w:rPr>
          <w:rFonts w:ascii="Times New Roman" w:hAnsi="Times New Roman"/>
          <w:bCs/>
          <w:color w:val="000000"/>
          <w:szCs w:val="22"/>
          <w:lang w:val="pt-BR"/>
        </w:rPr>
        <w:t>a fim de assegurar</w:t>
      </w:r>
      <w:r w:rsidRPr="00D65A20">
        <w:rPr>
          <w:rFonts w:ascii="Times New Roman" w:hAnsi="Times New Roman"/>
          <w:bCs/>
          <w:color w:val="000000"/>
          <w:szCs w:val="22"/>
          <w:lang w:val="pt-BR"/>
        </w:rPr>
        <w:t xml:space="preserve"> essa abordagem sistêmica e integrada do processo de diálogo político, cujo impacto se vê refletido no fortalecimento das políticas públicas da região e em sua incorporação a programas e iniciativas locais e regionais. </w:t>
      </w:r>
    </w:p>
    <w:p w14:paraId="6E83452A"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52B" w14:textId="223BC986" w:rsidR="00A925FD" w:rsidRPr="00D65A20" w:rsidRDefault="00A925FD" w:rsidP="00AA4399">
      <w:pPr>
        <w:widowControl/>
        <w:tabs>
          <w:tab w:val="clear" w:pos="2880"/>
          <w:tab w:val="clear" w:pos="3600"/>
          <w:tab w:val="clear" w:pos="4320"/>
          <w:tab w:val="clear" w:pos="5760"/>
          <w:tab w:val="clear" w:pos="6480"/>
          <w:tab w:val="clear" w:pos="7200"/>
          <w:tab w:val="clear" w:pos="7920"/>
        </w:tabs>
        <w:ind w:firstLine="747"/>
        <w:rPr>
          <w:rFonts w:ascii="Times New Roman" w:hAnsi="Times New Roman"/>
          <w:bCs/>
          <w:color w:val="000000"/>
          <w:szCs w:val="22"/>
          <w:lang w:val="pt-BR"/>
        </w:rPr>
      </w:pPr>
      <w:r w:rsidRPr="00D65A20">
        <w:rPr>
          <w:rFonts w:ascii="Times New Roman" w:hAnsi="Times New Roman"/>
          <w:bCs/>
          <w:color w:val="000000"/>
          <w:szCs w:val="22"/>
          <w:lang w:val="pt-BR"/>
        </w:rPr>
        <w:t>26.</w:t>
      </w:r>
      <w:r w:rsidRPr="00D65A20">
        <w:rPr>
          <w:rFonts w:ascii="Times New Roman" w:hAnsi="Times New Roman"/>
          <w:bCs/>
          <w:color w:val="000000"/>
          <w:szCs w:val="22"/>
          <w:lang w:val="pt-BR"/>
        </w:rPr>
        <w:tab/>
        <w:t xml:space="preserve">Confiar à SEDI, como Secretaria Técnica da CIE, o início do planejamento da segunda fase da </w:t>
      </w:r>
      <w:r w:rsidR="00A61412" w:rsidRPr="00D65A20">
        <w:rPr>
          <w:rFonts w:ascii="Times New Roman" w:hAnsi="Times New Roman"/>
          <w:bCs/>
          <w:color w:val="000000"/>
          <w:szCs w:val="22"/>
          <w:lang w:val="pt-BR"/>
        </w:rPr>
        <w:t>AIE</w:t>
      </w:r>
      <w:r w:rsidRPr="00D65A20">
        <w:rPr>
          <w:rFonts w:ascii="Times New Roman" w:hAnsi="Times New Roman"/>
          <w:bCs/>
          <w:color w:val="000000"/>
          <w:szCs w:val="22"/>
          <w:lang w:val="pt-BR"/>
        </w:rPr>
        <w:t>, propondo as diretrizes para o próximo quinquênio 2022</w:t>
      </w:r>
      <w:r w:rsidR="00A61412" w:rsidRPr="00D65A20">
        <w:rPr>
          <w:rFonts w:ascii="Times New Roman" w:hAnsi="Times New Roman"/>
          <w:bCs/>
          <w:color w:val="000000"/>
          <w:szCs w:val="22"/>
          <w:lang w:val="pt-BR"/>
        </w:rPr>
        <w:t>–</w:t>
      </w:r>
      <w:r w:rsidRPr="00D65A20">
        <w:rPr>
          <w:rFonts w:ascii="Times New Roman" w:hAnsi="Times New Roman"/>
          <w:bCs/>
          <w:color w:val="000000"/>
          <w:szCs w:val="22"/>
          <w:lang w:val="pt-BR"/>
        </w:rPr>
        <w:t>2027.</w:t>
      </w:r>
    </w:p>
    <w:p w14:paraId="6E83452D" w14:textId="79426F38" w:rsidR="00A925FD" w:rsidRPr="00D65A20" w:rsidRDefault="00A925FD" w:rsidP="00AA4399">
      <w:pPr>
        <w:widowControl/>
        <w:tabs>
          <w:tab w:val="clear" w:pos="2880"/>
          <w:tab w:val="clear" w:pos="3600"/>
          <w:tab w:val="clear" w:pos="4320"/>
          <w:tab w:val="clear" w:pos="5760"/>
          <w:tab w:val="clear" w:pos="6480"/>
          <w:tab w:val="clear" w:pos="7200"/>
          <w:tab w:val="clear" w:pos="7920"/>
        </w:tabs>
        <w:ind w:firstLine="693"/>
        <w:rPr>
          <w:rFonts w:ascii="Times New Roman" w:hAnsi="Times New Roman"/>
          <w:color w:val="000000"/>
          <w:szCs w:val="22"/>
          <w:shd w:val="clear" w:color="auto" w:fill="00FFFF"/>
          <w:lang w:val="pt-BR"/>
        </w:rPr>
      </w:pPr>
      <w:r w:rsidRPr="00D65A20">
        <w:rPr>
          <w:rFonts w:ascii="Times New Roman" w:hAnsi="Times New Roman"/>
          <w:color w:val="000000"/>
          <w:szCs w:val="22"/>
          <w:lang w:val="pt-BR"/>
        </w:rPr>
        <w:lastRenderedPageBreak/>
        <w:t>27.</w:t>
      </w:r>
      <w:r w:rsidRPr="00D65A20">
        <w:rPr>
          <w:rFonts w:ascii="Times New Roman" w:hAnsi="Times New Roman"/>
          <w:color w:val="000000"/>
          <w:szCs w:val="22"/>
          <w:lang w:val="pt-BR"/>
        </w:rPr>
        <w:tab/>
        <w:t xml:space="preserve">Apoiar os Estados membros na consecução de suas metas de desenvolvimento e consolidação do capital humano, mediante o fortalecimento dos </w:t>
      </w:r>
      <w:r w:rsidR="00A61412" w:rsidRPr="00D65A20">
        <w:rPr>
          <w:rFonts w:ascii="Times New Roman" w:hAnsi="Times New Roman"/>
          <w:color w:val="000000"/>
          <w:szCs w:val="22"/>
          <w:lang w:val="pt-BR"/>
        </w:rPr>
        <w:t>programas de bolsas de estudo</w:t>
      </w:r>
      <w:r w:rsidR="00EE782F" w:rsidRPr="00D65A20">
        <w:rPr>
          <w:rFonts w:ascii="Times New Roman" w:hAnsi="Times New Roman"/>
          <w:color w:val="000000"/>
          <w:szCs w:val="22"/>
          <w:lang w:val="pt-BR"/>
        </w:rPr>
        <w:t xml:space="preserve"> e</w:t>
      </w:r>
      <w:r w:rsidRPr="00D65A20">
        <w:rPr>
          <w:rFonts w:ascii="Times New Roman" w:hAnsi="Times New Roman"/>
          <w:color w:val="000000"/>
          <w:szCs w:val="22"/>
          <w:lang w:val="pt-BR"/>
        </w:rPr>
        <w:t xml:space="preserve"> </w:t>
      </w:r>
      <w:r w:rsidR="00EE782F" w:rsidRPr="00D65A20">
        <w:rPr>
          <w:rFonts w:ascii="Times New Roman" w:hAnsi="Times New Roman"/>
          <w:color w:val="000000"/>
          <w:szCs w:val="22"/>
          <w:lang w:val="pt-BR"/>
        </w:rPr>
        <w:t>treinamento</w:t>
      </w:r>
      <w:r w:rsidRPr="00D65A20">
        <w:rPr>
          <w:rFonts w:ascii="Times New Roman" w:hAnsi="Times New Roman"/>
          <w:color w:val="000000"/>
          <w:szCs w:val="22"/>
          <w:lang w:val="pt-BR"/>
        </w:rPr>
        <w:t xml:space="preserve"> da OEA, que incluam parcerias estratégicas com instituições acadêmicas, o setor privado e organizações da sociedade civil, com a finalidade de apoiar os Estados membros na concretização de suas metas de desenvolvimento integral, inclusive por meio da contribuição para o desenvolvimento de competências relevantes para ter acesso ao emprego e nele permanecer, no contexto pós-</w:t>
      </w:r>
      <w:r w:rsidR="00A61412" w:rsidRPr="00D65A20">
        <w:rPr>
          <w:rFonts w:ascii="Times New Roman" w:hAnsi="Times New Roman"/>
          <w:color w:val="000000"/>
          <w:szCs w:val="22"/>
          <w:lang w:val="pt-BR"/>
        </w:rPr>
        <w:t>covid</w:t>
      </w:r>
      <w:r w:rsidR="007F5A52" w:rsidRPr="00D65A20">
        <w:rPr>
          <w:rFonts w:ascii="Times New Roman" w:hAnsi="Times New Roman"/>
          <w:color w:val="000000"/>
          <w:szCs w:val="22"/>
          <w:lang w:val="pt-BR"/>
        </w:rPr>
        <w:t>-19; e</w:t>
      </w:r>
      <w:r w:rsidRPr="00D65A20">
        <w:rPr>
          <w:rFonts w:ascii="Times New Roman" w:hAnsi="Times New Roman"/>
          <w:color w:val="000000"/>
          <w:szCs w:val="22"/>
          <w:lang w:val="pt-BR"/>
        </w:rPr>
        <w:t xml:space="preserve"> </w:t>
      </w:r>
      <w:r w:rsidR="007F5A52" w:rsidRPr="00D65A20">
        <w:rPr>
          <w:rFonts w:ascii="Times New Roman" w:hAnsi="Times New Roman"/>
          <w:color w:val="000000"/>
          <w:szCs w:val="22"/>
          <w:lang w:val="pt-BR"/>
        </w:rPr>
        <w:t>e</w:t>
      </w:r>
      <w:r w:rsidRPr="00D65A20">
        <w:rPr>
          <w:rFonts w:ascii="Times New Roman" w:hAnsi="Times New Roman"/>
          <w:color w:val="000000"/>
          <w:szCs w:val="22"/>
          <w:lang w:val="pt-BR"/>
        </w:rPr>
        <w:t xml:space="preserve">ncarregar a SEDI de promover e apoiar o Portal de Educação das Américas e a Rede Interamericana de Educação Docente (RIED) como ferramentas para a formação e o desenvolvimento humano, estimulando a continuidade dos esforços por assegurar a eficiência, o impacto e a sustentabilidade desses programas na região, com atenção à inovação tecnológica, à educação ou à formação virtual. </w:t>
      </w:r>
    </w:p>
    <w:p w14:paraId="6E83452E"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52F" w14:textId="2F00FD05" w:rsidR="00A925FD" w:rsidRPr="00D65A20" w:rsidRDefault="00A925FD" w:rsidP="00AA4399">
      <w:pPr>
        <w:widowControl/>
        <w:tabs>
          <w:tab w:val="clear" w:pos="2880"/>
          <w:tab w:val="clear" w:pos="3600"/>
          <w:tab w:val="clear" w:pos="4320"/>
          <w:tab w:val="clear" w:pos="5760"/>
          <w:tab w:val="clear" w:pos="6480"/>
          <w:tab w:val="clear" w:pos="7200"/>
          <w:tab w:val="clear" w:pos="7920"/>
        </w:tabs>
        <w:ind w:firstLine="727"/>
        <w:rPr>
          <w:rFonts w:ascii="Times New Roman" w:hAnsi="Times New Roman"/>
          <w:color w:val="000000"/>
          <w:szCs w:val="22"/>
          <w:shd w:val="clear" w:color="auto" w:fill="00FFFF"/>
          <w:lang w:val="pt-BR"/>
        </w:rPr>
      </w:pPr>
      <w:r w:rsidRPr="00D65A20">
        <w:rPr>
          <w:rFonts w:ascii="Times New Roman" w:hAnsi="Times New Roman"/>
          <w:color w:val="000000"/>
          <w:szCs w:val="22"/>
          <w:lang w:val="pt-BR"/>
        </w:rPr>
        <w:t xml:space="preserve">28. </w:t>
      </w:r>
      <w:r w:rsidRPr="00D65A20">
        <w:rPr>
          <w:rFonts w:ascii="Times New Roman" w:hAnsi="Times New Roman"/>
          <w:color w:val="000000"/>
          <w:szCs w:val="22"/>
          <w:lang w:val="pt-BR"/>
        </w:rPr>
        <w:tab/>
        <w:t xml:space="preserve">Reiterar a instrução </w:t>
      </w:r>
      <w:r w:rsidR="00702ABD" w:rsidRPr="00D65A20">
        <w:rPr>
          <w:rFonts w:ascii="Times New Roman" w:hAnsi="Times New Roman"/>
          <w:color w:val="000000"/>
          <w:szCs w:val="22"/>
          <w:lang w:val="pt-BR"/>
        </w:rPr>
        <w:t xml:space="preserve">à </w:t>
      </w:r>
      <w:r w:rsidRPr="00D65A20">
        <w:rPr>
          <w:rFonts w:ascii="Times New Roman" w:hAnsi="Times New Roman"/>
          <w:color w:val="000000"/>
          <w:szCs w:val="22"/>
          <w:lang w:val="pt-BR"/>
        </w:rPr>
        <w:t>SEDI no sentido de promover e ampliar o Consórcio de Universidades da OEA, com enfoque em universidades nacionais/</w:t>
      </w:r>
      <w:r w:rsidR="003F11C6" w:rsidRPr="00D65A20">
        <w:rPr>
          <w:rFonts w:ascii="Times New Roman" w:hAnsi="Times New Roman"/>
          <w:color w:val="000000"/>
          <w:szCs w:val="22"/>
          <w:lang w:val="pt-BR"/>
        </w:rPr>
        <w:t>estaduais</w:t>
      </w:r>
      <w:r w:rsidRPr="00D65A20">
        <w:rPr>
          <w:rFonts w:ascii="Times New Roman" w:hAnsi="Times New Roman"/>
          <w:color w:val="000000"/>
          <w:szCs w:val="22"/>
          <w:lang w:val="pt-BR"/>
        </w:rPr>
        <w:t>, instituições técnicas e vocacionais e instituições educacionais da América Latina e do Caribe.</w:t>
      </w:r>
    </w:p>
    <w:p w14:paraId="6E834530"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531" w14:textId="59CC53A8" w:rsidR="00A925FD" w:rsidRPr="00D65A20" w:rsidRDefault="00146733"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26"/>
        </w:tabs>
        <w:ind w:firstLine="720"/>
        <w:rPr>
          <w:rFonts w:ascii="Times New Roman" w:eastAsia="Calibri" w:hAnsi="Times New Roman"/>
          <w:szCs w:val="22"/>
          <w:lang w:val="pt-BR"/>
        </w:rPr>
      </w:pPr>
      <w:r w:rsidRPr="00D65A20">
        <w:rPr>
          <w:rFonts w:ascii="Times New Roman" w:eastAsia="Calibri" w:hAnsi="Times New Roman"/>
          <w:szCs w:val="22"/>
          <w:lang w:val="pt-BR"/>
        </w:rPr>
        <w:t>29.</w:t>
      </w:r>
      <w:r w:rsidR="00A925FD" w:rsidRPr="00D65A20">
        <w:rPr>
          <w:rFonts w:ascii="Times New Roman" w:eastAsia="Calibri" w:hAnsi="Times New Roman"/>
          <w:szCs w:val="22"/>
          <w:lang w:val="pt-BR"/>
        </w:rPr>
        <w:tab/>
      </w:r>
      <w:r w:rsidR="00A925FD" w:rsidRPr="00D65A20">
        <w:rPr>
          <w:rFonts w:ascii="Times New Roman" w:eastAsia="Calibri" w:hAnsi="Times New Roman"/>
          <w:color w:val="000000"/>
          <w:szCs w:val="22"/>
          <w:lang w:val="pt-BR"/>
        </w:rPr>
        <w:t>Incumbir a Secretaria da CIP de continuar trabalhando, em consonância com o Plano de Ação da Cidade do México 2018</w:t>
      </w:r>
      <w:r w:rsidR="00B31126" w:rsidRPr="00D65A20">
        <w:rPr>
          <w:rFonts w:ascii="Times New Roman" w:eastAsia="Calibri" w:hAnsi="Times New Roman"/>
          <w:color w:val="000000"/>
          <w:szCs w:val="22"/>
          <w:lang w:val="pt-BR"/>
        </w:rPr>
        <w:t>–</w:t>
      </w:r>
      <w:r w:rsidR="00A925FD" w:rsidRPr="00D65A20">
        <w:rPr>
          <w:rFonts w:ascii="Times New Roman" w:eastAsia="Calibri" w:hAnsi="Times New Roman"/>
          <w:color w:val="000000"/>
          <w:szCs w:val="22"/>
          <w:lang w:val="pt-BR"/>
        </w:rPr>
        <w:t xml:space="preserve">2020 da CIP e em colaboração com seus membros e parceiros estratégicos, para oferecer oportunidades de desenvolvimento profissional e capacitação, nos quatro idiomas oficiais da OEA, quando seja possível, para funcionários do setor portuário das Américas, contribuindo para o fortalecimento das parcerias existentes no setor. </w:t>
      </w:r>
    </w:p>
    <w:p w14:paraId="6E834532"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810"/>
        </w:tabs>
        <w:rPr>
          <w:rFonts w:ascii="Times New Roman" w:eastAsia="Calibri" w:hAnsi="Times New Roman"/>
          <w:szCs w:val="22"/>
          <w:lang w:val="pt-BR"/>
        </w:rPr>
      </w:pPr>
    </w:p>
    <w:p w14:paraId="6E834533"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810"/>
        </w:tabs>
        <w:ind w:left="720" w:hanging="720"/>
        <w:rPr>
          <w:rFonts w:ascii="Times New Roman" w:eastAsia="Calibri" w:hAnsi="Times New Roman"/>
          <w:szCs w:val="22"/>
          <w:lang w:val="pt-BR"/>
        </w:rPr>
      </w:pPr>
      <w:r w:rsidRPr="00D65A20">
        <w:rPr>
          <w:rFonts w:ascii="Times New Roman" w:eastAsia="Calibri" w:hAnsi="Times New Roman"/>
          <w:szCs w:val="22"/>
          <w:lang w:val="pt-BR"/>
        </w:rPr>
        <w:t>IV.</w:t>
      </w:r>
      <w:r w:rsidRPr="00D65A20">
        <w:rPr>
          <w:rFonts w:ascii="Times New Roman" w:eastAsia="Calibri" w:hAnsi="Times New Roman"/>
          <w:szCs w:val="22"/>
          <w:lang w:val="pt-BR"/>
        </w:rPr>
        <w:tab/>
        <w:t>COM RESPEITO À LINHA ESTRATÉGICA “PROMOVER O TRABALHO DECENTE, DIGNO E PRODUTIVO PARA TODOS”</w:t>
      </w:r>
    </w:p>
    <w:p w14:paraId="6E834534"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810"/>
        </w:tabs>
        <w:ind w:left="720" w:hanging="720"/>
        <w:rPr>
          <w:rFonts w:ascii="Times New Roman" w:eastAsia="Calibri" w:hAnsi="Times New Roman"/>
          <w:szCs w:val="22"/>
          <w:lang w:val="pt-BR"/>
        </w:rPr>
      </w:pPr>
    </w:p>
    <w:p w14:paraId="6E834535" w14:textId="0EB24C85" w:rsidR="00A925FD" w:rsidRPr="00D65A20" w:rsidRDefault="00146733"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pt-BR"/>
        </w:rPr>
      </w:pPr>
      <w:r w:rsidRPr="00D65A20">
        <w:rPr>
          <w:rFonts w:ascii="Times New Roman" w:eastAsia="Calibri" w:hAnsi="Times New Roman"/>
          <w:color w:val="000000"/>
          <w:szCs w:val="22"/>
          <w:lang w:val="pt-BR"/>
        </w:rPr>
        <w:t>30.</w:t>
      </w:r>
      <w:r w:rsidR="00A925FD" w:rsidRPr="00D65A20">
        <w:rPr>
          <w:rFonts w:ascii="Times New Roman" w:eastAsia="Calibri" w:hAnsi="Times New Roman"/>
          <w:color w:val="000000"/>
          <w:szCs w:val="22"/>
          <w:lang w:val="pt-BR"/>
        </w:rPr>
        <w:tab/>
        <w:t>Tomar nota das atualizações introduzidas no Plano de Trabalho 2018</w:t>
      </w:r>
      <w:r w:rsidR="00705D94" w:rsidRPr="00D65A20">
        <w:rPr>
          <w:rFonts w:ascii="Times New Roman" w:eastAsia="Calibri" w:hAnsi="Times New Roman"/>
          <w:color w:val="000000"/>
          <w:szCs w:val="22"/>
          <w:lang w:val="pt-BR"/>
        </w:rPr>
        <w:t>–</w:t>
      </w:r>
      <w:r w:rsidR="00A925FD" w:rsidRPr="00D65A20">
        <w:rPr>
          <w:rFonts w:ascii="Times New Roman" w:eastAsia="Calibri" w:hAnsi="Times New Roman"/>
          <w:color w:val="000000"/>
          <w:szCs w:val="22"/>
          <w:lang w:val="pt-BR"/>
        </w:rPr>
        <w:t>2020 da Conferência Interamericana de Ministros do Trabalho (CIMT) em fevereiro e maio de 2020 (</w:t>
      </w:r>
      <w:hyperlink r:id="rId45" w:history="1">
        <w:r w:rsidR="00A925FD" w:rsidRPr="00D65A20">
          <w:rPr>
            <w:rFonts w:ascii="Times New Roman" w:eastAsia="Calibri" w:hAnsi="Times New Roman"/>
            <w:color w:val="0563C1"/>
            <w:szCs w:val="22"/>
            <w:u w:val="single"/>
            <w:lang w:val="pt-BR"/>
          </w:rPr>
          <w:t>CIMT-20/GT1-GT2/doc.12/20</w:t>
        </w:r>
      </w:hyperlink>
      <w:r w:rsidR="00A925FD" w:rsidRPr="00D65A20">
        <w:rPr>
          <w:rFonts w:ascii="Times New Roman" w:eastAsia="Calibri" w:hAnsi="Times New Roman"/>
          <w:color w:val="000000"/>
          <w:szCs w:val="22"/>
          <w:lang w:val="pt-BR"/>
        </w:rPr>
        <w:t>), à luz da atual pandemia</w:t>
      </w:r>
      <w:r w:rsidR="00EE782F" w:rsidRPr="00D65A20">
        <w:rPr>
          <w:rFonts w:ascii="Times New Roman" w:eastAsia="Calibri" w:hAnsi="Times New Roman"/>
          <w:color w:val="000000"/>
          <w:szCs w:val="22"/>
          <w:lang w:val="pt-BR"/>
        </w:rPr>
        <w:t xml:space="preserve"> de covid-19</w:t>
      </w:r>
      <w:r w:rsidR="00A925FD" w:rsidRPr="00D65A20">
        <w:rPr>
          <w:rFonts w:ascii="Times New Roman" w:eastAsia="Calibri" w:hAnsi="Times New Roman"/>
          <w:color w:val="000000"/>
          <w:szCs w:val="22"/>
          <w:lang w:val="pt-BR"/>
        </w:rPr>
        <w:t xml:space="preserve">. </w:t>
      </w:r>
    </w:p>
    <w:p w14:paraId="6E834536"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537" w14:textId="5B377BE3" w:rsidR="00A925FD" w:rsidRPr="00D65A20" w:rsidRDefault="00A925FD" w:rsidP="00AA4399">
      <w:pPr>
        <w:widowControl/>
        <w:tabs>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rPr>
      </w:pPr>
      <w:r w:rsidRPr="00D65A20">
        <w:rPr>
          <w:rFonts w:ascii="Times New Roman" w:hAnsi="Times New Roman"/>
          <w:color w:val="000000"/>
          <w:szCs w:val="22"/>
          <w:lang w:val="pt-BR"/>
        </w:rPr>
        <w:t>31.</w:t>
      </w:r>
      <w:r w:rsidRPr="00D65A20">
        <w:rPr>
          <w:rFonts w:ascii="Times New Roman" w:hAnsi="Times New Roman"/>
          <w:szCs w:val="22"/>
          <w:lang w:val="pt-BR"/>
        </w:rPr>
        <w:tab/>
      </w:r>
      <w:r w:rsidRPr="00D65A20">
        <w:rPr>
          <w:rFonts w:ascii="Times New Roman" w:hAnsi="Times New Roman"/>
          <w:color w:val="000000"/>
          <w:szCs w:val="22"/>
          <w:lang w:val="pt-BR"/>
        </w:rPr>
        <w:t>Encarregar a SEDI de continuar apoiando o Plano de Trabalho 2018</w:t>
      </w:r>
      <w:r w:rsidR="00705D94" w:rsidRPr="00D65A20">
        <w:rPr>
          <w:rFonts w:ascii="Times New Roman" w:hAnsi="Times New Roman"/>
          <w:color w:val="000000"/>
          <w:szCs w:val="22"/>
          <w:lang w:val="pt-BR"/>
        </w:rPr>
        <w:t>–</w:t>
      </w:r>
      <w:r w:rsidRPr="00D65A20">
        <w:rPr>
          <w:rFonts w:ascii="Times New Roman" w:hAnsi="Times New Roman"/>
          <w:color w:val="000000"/>
          <w:szCs w:val="22"/>
          <w:lang w:val="pt-BR"/>
        </w:rPr>
        <w:t xml:space="preserve">2020 da CIMT e seu objetivo de conseguir emprego decente, digno e produtivo para todos, por meio de iniciativas regionais e bilaterais, inclusive o fortalecimento institucional dos ministérios do trabalho, e de continuar prestando assessoramento técnico nos temas prioritários definidos por seus </w:t>
      </w:r>
      <w:r w:rsidR="00705D94" w:rsidRPr="00D65A20">
        <w:rPr>
          <w:rFonts w:ascii="Times New Roman" w:hAnsi="Times New Roman"/>
          <w:color w:val="000000"/>
          <w:szCs w:val="22"/>
          <w:lang w:val="pt-BR"/>
        </w:rPr>
        <w:t xml:space="preserve">grupos de trabalho </w:t>
      </w:r>
      <w:r w:rsidR="00EE782F" w:rsidRPr="00D65A20">
        <w:rPr>
          <w:rFonts w:ascii="Times New Roman" w:hAnsi="Times New Roman"/>
          <w:color w:val="000000"/>
          <w:szCs w:val="22"/>
          <w:lang w:val="pt-BR"/>
        </w:rPr>
        <w:t>e nos</w:t>
      </w:r>
      <w:r w:rsidRPr="00D65A20">
        <w:rPr>
          <w:rFonts w:ascii="Times New Roman" w:hAnsi="Times New Roman"/>
          <w:color w:val="000000"/>
          <w:szCs w:val="22"/>
          <w:lang w:val="pt-BR"/>
        </w:rPr>
        <w:t xml:space="preserve"> impactos no mercado laboral provocados pela pandemia de </w:t>
      </w:r>
      <w:r w:rsidR="00146733" w:rsidRPr="00D65A20">
        <w:rPr>
          <w:rFonts w:ascii="Times New Roman" w:hAnsi="Times New Roman"/>
          <w:color w:val="000000"/>
          <w:szCs w:val="22"/>
          <w:lang w:val="pt-BR"/>
        </w:rPr>
        <w:t>covid</w:t>
      </w:r>
      <w:r w:rsidRPr="00D65A20">
        <w:rPr>
          <w:rFonts w:ascii="Times New Roman" w:hAnsi="Times New Roman"/>
          <w:color w:val="000000"/>
          <w:szCs w:val="22"/>
          <w:lang w:val="pt-BR"/>
        </w:rPr>
        <w:t>-19.</w:t>
      </w:r>
    </w:p>
    <w:p w14:paraId="6E834538"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539" w14:textId="49F31530"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color w:val="000000"/>
          <w:szCs w:val="22"/>
          <w:lang w:val="pt-BR"/>
        </w:rPr>
        <w:t>32.</w:t>
      </w:r>
      <w:r w:rsidRPr="00D65A20">
        <w:rPr>
          <w:rFonts w:ascii="Times New Roman" w:eastAsia="Calibri" w:hAnsi="Times New Roman"/>
          <w:szCs w:val="22"/>
          <w:lang w:val="pt-BR"/>
        </w:rPr>
        <w:tab/>
      </w:r>
      <w:r w:rsidR="007C25AE" w:rsidRPr="00D65A20">
        <w:rPr>
          <w:rFonts w:ascii="Times New Roman" w:eastAsia="Calibri" w:hAnsi="Times New Roman"/>
          <w:color w:val="000000"/>
          <w:szCs w:val="22"/>
          <w:lang w:val="pt-BR"/>
        </w:rPr>
        <w:t xml:space="preserve">Encarregar </w:t>
      </w:r>
      <w:r w:rsidRPr="00D65A20">
        <w:rPr>
          <w:rFonts w:ascii="Times New Roman" w:eastAsia="Calibri" w:hAnsi="Times New Roman"/>
          <w:color w:val="000000"/>
          <w:szCs w:val="22"/>
          <w:lang w:val="pt-BR"/>
        </w:rPr>
        <w:t xml:space="preserve">a SEDI de prestar apoio aos Estados membros, por intermédio da </w:t>
      </w:r>
      <w:r w:rsidR="00705D94" w:rsidRPr="00D65A20">
        <w:rPr>
          <w:rFonts w:ascii="Times New Roman" w:eastAsia="Calibri" w:hAnsi="Times New Roman"/>
          <w:color w:val="000000"/>
          <w:szCs w:val="22"/>
          <w:lang w:val="pt-BR"/>
        </w:rPr>
        <w:t>Rede Interamericana para a Administração Trabalhista</w:t>
      </w:r>
      <w:r w:rsidRPr="00D65A20">
        <w:rPr>
          <w:rFonts w:ascii="Times New Roman" w:eastAsia="Calibri" w:hAnsi="Times New Roman"/>
          <w:color w:val="000000"/>
          <w:szCs w:val="22"/>
          <w:lang w:val="pt-BR"/>
        </w:rPr>
        <w:t>,</w:t>
      </w:r>
      <w:r w:rsidR="00705D94" w:rsidRPr="00D65A20">
        <w:rPr>
          <w:rFonts w:ascii="Times New Roman" w:eastAsia="Calibri" w:hAnsi="Times New Roman"/>
          <w:color w:val="000000"/>
          <w:szCs w:val="22"/>
          <w:lang w:val="pt-BR"/>
        </w:rPr>
        <w:t xml:space="preserve"> a fim de </w:t>
      </w:r>
      <w:r w:rsidRPr="00D65A20">
        <w:rPr>
          <w:rFonts w:ascii="Times New Roman" w:eastAsia="Calibri" w:hAnsi="Times New Roman"/>
          <w:color w:val="000000"/>
          <w:szCs w:val="22"/>
          <w:lang w:val="pt-BR"/>
        </w:rPr>
        <w:t xml:space="preserve">compartilhar experiências sobre medidas para promover o trabalho decente e o emprego produtivo, incluindo temas como o emprego juvenil, o fortalecimento dos sistemas de proteção social, e a promoção do envelhecimento digno. </w:t>
      </w:r>
    </w:p>
    <w:p w14:paraId="6E83453A"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53B"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ind w:firstLine="696"/>
        <w:rPr>
          <w:rFonts w:ascii="Times New Roman" w:hAnsi="Times New Roman"/>
          <w:szCs w:val="22"/>
          <w:lang w:val="pt-BR"/>
        </w:rPr>
      </w:pPr>
      <w:r w:rsidRPr="00D65A20">
        <w:rPr>
          <w:rFonts w:ascii="Times New Roman" w:hAnsi="Times New Roman"/>
          <w:color w:val="000000"/>
          <w:szCs w:val="22"/>
          <w:lang w:val="pt-BR"/>
        </w:rPr>
        <w:t xml:space="preserve">33. </w:t>
      </w:r>
      <w:r w:rsidRPr="00D65A20">
        <w:rPr>
          <w:rFonts w:ascii="Times New Roman" w:hAnsi="Times New Roman"/>
          <w:color w:val="000000"/>
          <w:szCs w:val="22"/>
          <w:lang w:val="pt-BR"/>
        </w:rPr>
        <w:tab/>
        <w:t xml:space="preserve">Incentivar os Estados membros a que desenvolvam políticas e programas que possibilitem a recuperação econômica e a promoção do trabalho decente e o emprego produtivo, especialmente para os trabalhadores que perderam o trabalho em consequência da pandemia de </w:t>
      </w:r>
      <w:r w:rsidR="00146733" w:rsidRPr="00D65A20">
        <w:rPr>
          <w:rFonts w:ascii="Times New Roman" w:hAnsi="Times New Roman"/>
          <w:color w:val="000000"/>
          <w:szCs w:val="22"/>
          <w:lang w:val="pt-BR"/>
        </w:rPr>
        <w:t>covid</w:t>
      </w:r>
      <w:r w:rsidRPr="00D65A20">
        <w:rPr>
          <w:rFonts w:ascii="Times New Roman" w:hAnsi="Times New Roman"/>
          <w:color w:val="000000"/>
          <w:szCs w:val="22"/>
          <w:lang w:val="pt-BR"/>
        </w:rPr>
        <w:t xml:space="preserve">-19. </w:t>
      </w:r>
    </w:p>
    <w:p w14:paraId="6E83453C" w14:textId="3703E3E2" w:rsidR="00C2498D" w:rsidRDefault="00C2498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pt-BR"/>
        </w:rPr>
      </w:pPr>
      <w:bookmarkStart w:id="66" w:name="_Toc23776824"/>
      <w:bookmarkStart w:id="67" w:name="_Toc15401680"/>
      <w:bookmarkStart w:id="68" w:name="_Toc14803668"/>
      <w:r>
        <w:rPr>
          <w:rFonts w:ascii="Times New Roman" w:eastAsia="Calibri" w:hAnsi="Times New Roman"/>
          <w:szCs w:val="22"/>
          <w:lang w:val="pt-BR"/>
        </w:rPr>
        <w:br w:type="page"/>
      </w:r>
    </w:p>
    <w:p w14:paraId="6E83453D"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outlineLvl w:val="1"/>
        <w:rPr>
          <w:rFonts w:ascii="Times New Roman" w:eastAsia="Calibri" w:hAnsi="Times New Roman"/>
          <w:szCs w:val="22"/>
          <w:lang w:val="pt-BR"/>
        </w:rPr>
      </w:pPr>
      <w:bookmarkStart w:id="69" w:name="_Toc56522547"/>
      <w:bookmarkStart w:id="70" w:name="_Toc56526476"/>
      <w:bookmarkStart w:id="71" w:name="_Toc56526686"/>
      <w:r w:rsidRPr="00D65A20">
        <w:rPr>
          <w:rFonts w:ascii="Times New Roman" w:eastAsia="Calibri" w:hAnsi="Times New Roman"/>
          <w:szCs w:val="22"/>
          <w:lang w:val="pt-BR"/>
        </w:rPr>
        <w:lastRenderedPageBreak/>
        <w:t>V.</w:t>
      </w:r>
      <w:r w:rsidRPr="00D65A20">
        <w:rPr>
          <w:rFonts w:ascii="Times New Roman" w:eastAsia="Calibri" w:hAnsi="Times New Roman"/>
          <w:szCs w:val="22"/>
          <w:lang w:val="pt-BR"/>
        </w:rPr>
        <w:tab/>
        <w:t>COM RESPEITO À LINHA ESTRATÉGICA “ESTIMULAR A PROMOÇÃO E A PROTEÇÃO DOS DIREITOS HUMANOS DOS MIGRANTES, INCLUINDO DOS TRABALHADORES MIGRANTES E DE SUAS FAMÍLIAS, EM CONFORMIDADE COM O PROGRAMA INTERAMERICANO NA MATÉRIA, PARA AUMENTAR SUA CONTRIBUIÇÃO PARA O DESENVOLVIMENTO”</w:t>
      </w:r>
      <w:bookmarkEnd w:id="66"/>
      <w:bookmarkEnd w:id="67"/>
      <w:bookmarkEnd w:id="68"/>
      <w:bookmarkEnd w:id="69"/>
      <w:bookmarkEnd w:id="70"/>
      <w:bookmarkEnd w:id="71"/>
    </w:p>
    <w:p w14:paraId="6E83453E"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outlineLvl w:val="1"/>
        <w:rPr>
          <w:rFonts w:ascii="Times New Roman" w:eastAsia="Calibri" w:hAnsi="Times New Roman"/>
          <w:szCs w:val="22"/>
          <w:lang w:val="pt-BR"/>
        </w:rPr>
      </w:pPr>
    </w:p>
    <w:p w14:paraId="6E83453F" w14:textId="1D43E71F" w:rsidR="00A925FD" w:rsidRPr="00D65A20" w:rsidRDefault="00A925FD" w:rsidP="00AA4399">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pt-BR"/>
        </w:rPr>
      </w:pPr>
      <w:r w:rsidRPr="00D65A20">
        <w:rPr>
          <w:rFonts w:ascii="Times New Roman" w:eastAsia="Calibri" w:hAnsi="Times New Roman"/>
          <w:szCs w:val="22"/>
          <w:lang w:val="pt-BR"/>
        </w:rPr>
        <w:t xml:space="preserve"> Reconhecer a importância de </w:t>
      </w:r>
      <w:r w:rsidR="00D5108E" w:rsidRPr="00D65A20">
        <w:rPr>
          <w:rFonts w:ascii="Times New Roman" w:eastAsia="Calibri" w:hAnsi="Times New Roman"/>
          <w:szCs w:val="22"/>
          <w:lang w:val="pt-BR"/>
        </w:rPr>
        <w:t>uma</w:t>
      </w:r>
      <w:r w:rsidRPr="00D65A20">
        <w:rPr>
          <w:rFonts w:ascii="Times New Roman" w:eastAsia="Calibri" w:hAnsi="Times New Roman"/>
          <w:szCs w:val="22"/>
          <w:lang w:val="pt-BR"/>
        </w:rPr>
        <w:t xml:space="preserve"> migração segura, ordenada e regular e </w:t>
      </w:r>
      <w:r w:rsidR="00D5108E" w:rsidRPr="00D65A20">
        <w:rPr>
          <w:rFonts w:ascii="Times New Roman" w:eastAsia="Calibri" w:hAnsi="Times New Roman"/>
          <w:szCs w:val="22"/>
          <w:lang w:val="pt-BR"/>
        </w:rPr>
        <w:t xml:space="preserve">a necessidade </w:t>
      </w:r>
      <w:r w:rsidRPr="00D65A20">
        <w:rPr>
          <w:rFonts w:ascii="Times New Roman" w:eastAsia="Calibri" w:hAnsi="Times New Roman"/>
          <w:szCs w:val="22"/>
          <w:lang w:val="pt-BR"/>
        </w:rPr>
        <w:t>de que os Estados</w:t>
      </w:r>
      <w:r w:rsidR="00A033BC" w:rsidRPr="00D65A20">
        <w:rPr>
          <w:rFonts w:ascii="Times New Roman" w:eastAsia="Calibri" w:hAnsi="Times New Roman"/>
          <w:szCs w:val="22"/>
          <w:lang w:val="pt-BR"/>
        </w:rPr>
        <w:t xml:space="preserve"> membros</w:t>
      </w:r>
      <w:r w:rsidRPr="00D65A20">
        <w:rPr>
          <w:rFonts w:ascii="Times New Roman" w:eastAsia="Calibri" w:hAnsi="Times New Roman"/>
          <w:szCs w:val="22"/>
          <w:lang w:val="pt-BR"/>
        </w:rPr>
        <w:t xml:space="preserve"> promovam políticas públicas com base empírica, para atender as causas estruturais da migração e reduzir os riscos associados à migração irregular.</w:t>
      </w:r>
    </w:p>
    <w:p w14:paraId="6E834540"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541" w14:textId="5254D32E" w:rsidR="00A925FD" w:rsidRPr="00D65A20" w:rsidRDefault="00A925FD" w:rsidP="00AA4399">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pt-BR"/>
        </w:rPr>
      </w:pPr>
      <w:r w:rsidRPr="00D65A20">
        <w:rPr>
          <w:rFonts w:ascii="Times New Roman" w:eastAsia="Calibri" w:hAnsi="Times New Roman"/>
          <w:szCs w:val="22"/>
          <w:lang w:val="pt-BR"/>
        </w:rPr>
        <w:t xml:space="preserve">Incentivar os países da região a que estabeleçam ou implementem, segundo seja necessário, acordos </w:t>
      </w:r>
      <w:r w:rsidR="00D5108E" w:rsidRPr="00D65A20">
        <w:rPr>
          <w:rFonts w:ascii="Times New Roman" w:eastAsia="Calibri" w:hAnsi="Times New Roman"/>
          <w:szCs w:val="22"/>
          <w:lang w:val="pt-BR"/>
        </w:rPr>
        <w:t xml:space="preserve">e protocolos </w:t>
      </w:r>
      <w:r w:rsidRPr="00D65A20">
        <w:rPr>
          <w:rFonts w:ascii="Times New Roman" w:eastAsia="Calibri" w:hAnsi="Times New Roman"/>
          <w:szCs w:val="22"/>
          <w:lang w:val="pt-BR"/>
        </w:rPr>
        <w:t xml:space="preserve">de cooperação </w:t>
      </w:r>
      <w:r w:rsidR="00D5108E" w:rsidRPr="00D65A20">
        <w:rPr>
          <w:rFonts w:ascii="Times New Roman" w:eastAsia="Calibri" w:hAnsi="Times New Roman"/>
          <w:szCs w:val="22"/>
          <w:lang w:val="pt-BR"/>
        </w:rPr>
        <w:t xml:space="preserve">para </w:t>
      </w:r>
      <w:r w:rsidR="00CA5990" w:rsidRPr="00D65A20">
        <w:rPr>
          <w:rFonts w:ascii="Times New Roman" w:eastAsia="Calibri" w:hAnsi="Times New Roman"/>
          <w:szCs w:val="22"/>
          <w:lang w:val="pt-BR"/>
        </w:rPr>
        <w:t>dar</w:t>
      </w:r>
      <w:r w:rsidRPr="00D65A20">
        <w:rPr>
          <w:rFonts w:ascii="Times New Roman" w:eastAsia="Calibri" w:hAnsi="Times New Roman"/>
          <w:szCs w:val="22"/>
          <w:lang w:val="pt-BR"/>
        </w:rPr>
        <w:t xml:space="preserve"> assistência e proteção </w:t>
      </w:r>
      <w:r w:rsidR="00CA5990" w:rsidRPr="00D65A20">
        <w:rPr>
          <w:rFonts w:ascii="Times New Roman" w:eastAsia="Calibri" w:hAnsi="Times New Roman"/>
          <w:szCs w:val="22"/>
          <w:lang w:val="pt-BR"/>
        </w:rPr>
        <w:t xml:space="preserve">a </w:t>
      </w:r>
      <w:r w:rsidRPr="00D65A20">
        <w:rPr>
          <w:rFonts w:ascii="Times New Roman" w:eastAsia="Calibri" w:hAnsi="Times New Roman"/>
          <w:szCs w:val="22"/>
          <w:lang w:val="pt-BR"/>
        </w:rPr>
        <w:t xml:space="preserve">crianças e adolescentes, acompanhados e não acompanhados, promovendo o interesse superior da criança, respeitando e protegendo seus direitos, levando em conta as obrigações relevantes dos países, sob o </w:t>
      </w:r>
      <w:r w:rsidR="00CA5990" w:rsidRPr="00D65A20">
        <w:rPr>
          <w:rFonts w:ascii="Times New Roman" w:eastAsia="Calibri" w:hAnsi="Times New Roman"/>
          <w:szCs w:val="22"/>
          <w:lang w:val="pt-BR"/>
        </w:rPr>
        <w:t>D</w:t>
      </w:r>
      <w:r w:rsidRPr="00D65A20">
        <w:rPr>
          <w:rFonts w:ascii="Times New Roman" w:eastAsia="Calibri" w:hAnsi="Times New Roman"/>
          <w:szCs w:val="22"/>
          <w:lang w:val="pt-BR"/>
        </w:rPr>
        <w:t xml:space="preserve">ireito internacional dos direitos humanos. Além disso, instar os Estados </w:t>
      </w:r>
      <w:r w:rsidR="00DF4C5C" w:rsidRPr="00D65A20">
        <w:rPr>
          <w:rFonts w:ascii="Times New Roman" w:eastAsia="Calibri" w:hAnsi="Times New Roman"/>
          <w:szCs w:val="22"/>
          <w:lang w:val="pt-BR"/>
        </w:rPr>
        <w:t>m</w:t>
      </w:r>
      <w:r w:rsidRPr="00D65A20">
        <w:rPr>
          <w:rFonts w:ascii="Times New Roman" w:eastAsia="Calibri" w:hAnsi="Times New Roman"/>
          <w:szCs w:val="22"/>
          <w:lang w:val="pt-BR"/>
        </w:rPr>
        <w:t>embros a garantir que as crianças e adolescentes acompanhados e não acompanhados recebam assistência especializada e proteção em qualquer situação que os afete.</w:t>
      </w:r>
    </w:p>
    <w:p w14:paraId="6E834542"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543" w14:textId="1B367F54" w:rsidR="00A925FD" w:rsidRPr="00D65A20" w:rsidRDefault="00A925FD" w:rsidP="00AA4399">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pt-BR"/>
        </w:rPr>
      </w:pPr>
      <w:r w:rsidRPr="00D65A20">
        <w:rPr>
          <w:rFonts w:ascii="Times New Roman" w:eastAsia="Calibri" w:hAnsi="Times New Roman"/>
          <w:szCs w:val="22"/>
          <w:lang w:val="pt-BR"/>
        </w:rPr>
        <w:t xml:space="preserve">Instar todos os Estados </w:t>
      </w:r>
      <w:r w:rsidR="00C85B34" w:rsidRPr="00D65A20">
        <w:rPr>
          <w:rFonts w:ascii="Times New Roman" w:eastAsia="Calibri" w:hAnsi="Times New Roman"/>
          <w:szCs w:val="22"/>
          <w:lang w:val="pt-BR"/>
        </w:rPr>
        <w:t xml:space="preserve">membros </w:t>
      </w:r>
      <w:r w:rsidRPr="00D65A20">
        <w:rPr>
          <w:rFonts w:ascii="Times New Roman" w:eastAsia="Calibri" w:hAnsi="Times New Roman"/>
          <w:szCs w:val="22"/>
          <w:lang w:val="pt-BR"/>
        </w:rPr>
        <w:t xml:space="preserve">a que, em consonância com as obrigações pertinentes em virtude do </w:t>
      </w:r>
      <w:r w:rsidR="00CA5990" w:rsidRPr="00D65A20">
        <w:rPr>
          <w:rFonts w:ascii="Times New Roman" w:eastAsia="Calibri" w:hAnsi="Times New Roman"/>
          <w:szCs w:val="22"/>
          <w:lang w:val="pt-BR"/>
        </w:rPr>
        <w:t>D</w:t>
      </w:r>
      <w:r w:rsidRPr="00D65A20">
        <w:rPr>
          <w:rFonts w:ascii="Times New Roman" w:eastAsia="Calibri" w:hAnsi="Times New Roman"/>
          <w:szCs w:val="22"/>
          <w:lang w:val="pt-BR"/>
        </w:rPr>
        <w:t>ireito internacional dos direitos humanos, fortaleçam suas políticas públicas contra a discriminação, o racismo, a xenofobia, a intolerância e o discurso de superioridade racial, com o fim de facilitar a integração socioeconômica das pessoas migrantes.</w:t>
      </w:r>
    </w:p>
    <w:p w14:paraId="6E834544"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545" w14:textId="1054ABF9" w:rsidR="00A925FD" w:rsidRPr="00D65A20" w:rsidRDefault="00A925FD" w:rsidP="00AA4399">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pt-BR"/>
        </w:rPr>
      </w:pPr>
      <w:r w:rsidRPr="00D65A20">
        <w:rPr>
          <w:rFonts w:ascii="Times New Roman" w:eastAsia="Calibri" w:hAnsi="Times New Roman"/>
          <w:szCs w:val="22"/>
          <w:lang w:val="pt-BR"/>
        </w:rPr>
        <w:t xml:space="preserve">Além disso, instar os Estados </w:t>
      </w:r>
      <w:r w:rsidR="00A033BC" w:rsidRPr="00D65A20">
        <w:rPr>
          <w:rFonts w:ascii="Times New Roman" w:eastAsia="Calibri" w:hAnsi="Times New Roman"/>
          <w:szCs w:val="22"/>
          <w:lang w:val="pt-BR"/>
        </w:rPr>
        <w:t xml:space="preserve">membros </w:t>
      </w:r>
      <w:r w:rsidRPr="00D65A20">
        <w:rPr>
          <w:rFonts w:ascii="Times New Roman" w:eastAsia="Calibri" w:hAnsi="Times New Roman"/>
          <w:szCs w:val="22"/>
          <w:lang w:val="pt-BR"/>
        </w:rPr>
        <w:t>a que fortaleçam suas políticas públicas para combater o delito do tráfico de pessoas e o tráfico ilícito de migrantes.</w:t>
      </w:r>
    </w:p>
    <w:p w14:paraId="6E834546"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547" w14:textId="52DA58BF" w:rsidR="00A925FD" w:rsidRPr="00D65A20" w:rsidRDefault="00A925FD" w:rsidP="00AA4399">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pt-BR"/>
        </w:rPr>
      </w:pPr>
      <w:r w:rsidRPr="00D65A20">
        <w:rPr>
          <w:rFonts w:ascii="Times New Roman" w:eastAsia="Calibri" w:hAnsi="Times New Roman"/>
          <w:szCs w:val="22"/>
          <w:lang w:val="pt-BR"/>
        </w:rPr>
        <w:t>Reconhecer a necessidade de eliminar as barreiras que dificultam o acesso das pessoas migrantes, independentemente de sua situação migratória, às políticas de atenção à saúde e prevenção de doenças, em conformidade com as legislações nacionais e obrigações internacionais</w:t>
      </w:r>
      <w:r w:rsidR="00DF4C5C" w:rsidRPr="00D65A20">
        <w:rPr>
          <w:rFonts w:ascii="Times New Roman" w:eastAsia="Calibri" w:hAnsi="Times New Roman"/>
          <w:szCs w:val="22"/>
          <w:lang w:val="pt-BR"/>
        </w:rPr>
        <w:t xml:space="preserve">, </w:t>
      </w:r>
      <w:r w:rsidRPr="00D65A20">
        <w:rPr>
          <w:rFonts w:ascii="Times New Roman" w:eastAsia="Calibri" w:hAnsi="Times New Roman"/>
          <w:szCs w:val="22"/>
          <w:lang w:val="pt-BR"/>
        </w:rPr>
        <w:t xml:space="preserve">levando em conta os efeitos negativos da pandemia de </w:t>
      </w:r>
      <w:r w:rsidR="00146733" w:rsidRPr="00D65A20">
        <w:rPr>
          <w:rFonts w:ascii="Times New Roman" w:eastAsia="Calibri" w:hAnsi="Times New Roman"/>
          <w:szCs w:val="22"/>
          <w:lang w:val="pt-BR"/>
        </w:rPr>
        <w:t>covid</w:t>
      </w:r>
      <w:r w:rsidRPr="00D65A20">
        <w:rPr>
          <w:rFonts w:ascii="Times New Roman" w:eastAsia="Calibri" w:hAnsi="Times New Roman"/>
          <w:szCs w:val="22"/>
          <w:lang w:val="pt-BR"/>
        </w:rPr>
        <w:t>-19 em todo o continente, em especial para grupos em situação de vulnerabilidade.</w:t>
      </w:r>
    </w:p>
    <w:p w14:paraId="6E834548"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549" w14:textId="1D8B6C5C" w:rsidR="00A925FD" w:rsidRPr="00D65A20" w:rsidRDefault="00A925FD" w:rsidP="00AA4399">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pt-BR"/>
        </w:rPr>
      </w:pPr>
      <w:r w:rsidRPr="00D65A20">
        <w:rPr>
          <w:rFonts w:ascii="Times New Roman" w:eastAsia="Calibri" w:hAnsi="Times New Roman"/>
          <w:szCs w:val="22"/>
          <w:lang w:val="pt-BR"/>
        </w:rPr>
        <w:t xml:space="preserve">Incentivar os Estados </w:t>
      </w:r>
      <w:r w:rsidR="00A033BC" w:rsidRPr="00D65A20">
        <w:rPr>
          <w:rFonts w:ascii="Times New Roman" w:eastAsia="Calibri" w:hAnsi="Times New Roman"/>
          <w:szCs w:val="22"/>
          <w:lang w:val="pt-BR"/>
        </w:rPr>
        <w:t xml:space="preserve">membros </w:t>
      </w:r>
      <w:r w:rsidRPr="00D65A20">
        <w:rPr>
          <w:rFonts w:ascii="Times New Roman" w:eastAsia="Calibri" w:hAnsi="Times New Roman"/>
          <w:szCs w:val="22"/>
          <w:lang w:val="pt-BR"/>
        </w:rPr>
        <w:t xml:space="preserve">a que, com um enfoque integral de direitos humanos, levem em conta as pessoas migrantes e suas famílias no momento de formular e aplicar políticas de resposta à pandemia de </w:t>
      </w:r>
      <w:r w:rsidR="00146733" w:rsidRPr="00D65A20">
        <w:rPr>
          <w:rFonts w:ascii="Times New Roman" w:eastAsia="Calibri" w:hAnsi="Times New Roman"/>
          <w:szCs w:val="22"/>
          <w:lang w:val="pt-BR"/>
        </w:rPr>
        <w:t>covid</w:t>
      </w:r>
      <w:r w:rsidRPr="00D65A20">
        <w:rPr>
          <w:rFonts w:ascii="Times New Roman" w:eastAsia="Calibri" w:hAnsi="Times New Roman"/>
          <w:szCs w:val="22"/>
          <w:lang w:val="pt-BR"/>
        </w:rPr>
        <w:t xml:space="preserve">-19, levando em consideração os impactos particulares </w:t>
      </w:r>
      <w:r w:rsidR="00CA5990" w:rsidRPr="00D65A20">
        <w:rPr>
          <w:rFonts w:ascii="Times New Roman" w:eastAsia="Calibri" w:hAnsi="Times New Roman"/>
          <w:szCs w:val="22"/>
          <w:lang w:val="pt-BR"/>
        </w:rPr>
        <w:t xml:space="preserve">em </w:t>
      </w:r>
      <w:r w:rsidRPr="00D65A20">
        <w:rPr>
          <w:rFonts w:ascii="Times New Roman" w:eastAsia="Calibri" w:hAnsi="Times New Roman"/>
          <w:szCs w:val="22"/>
          <w:lang w:val="pt-BR"/>
        </w:rPr>
        <w:t>mulheres, crianças e adolescentes, com base nos princípios de igualdade e não discriminação, em conformidade com a legislação interna de cada Estado e suas obrigações internacionais.</w:t>
      </w:r>
    </w:p>
    <w:p w14:paraId="6E83454A"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54B" w14:textId="5F236610" w:rsidR="00A925FD" w:rsidRPr="00D65A20" w:rsidRDefault="00A925FD" w:rsidP="00AA4399">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pt-BR"/>
        </w:rPr>
      </w:pPr>
      <w:r w:rsidRPr="00D65A20">
        <w:rPr>
          <w:rFonts w:ascii="Times New Roman" w:eastAsia="Calibri" w:hAnsi="Times New Roman"/>
          <w:szCs w:val="22"/>
          <w:lang w:val="pt-BR"/>
        </w:rPr>
        <w:t xml:space="preserve">Reconhecer o trabalho dos mecanismos regionais existentes, tais como a Conferência Regional sobre Migração, a Conferência Sul-Americana sobre Migrações, as Consultas Migratórias do Caribe  e o Processo de Quito, conforme o caso, e continuar promovendo o diálogo e a cooperação entre os países de origem, trânsito e destino para abordar de maneira integral a migração internacional, bem como suas múltiplas causas, </w:t>
      </w:r>
      <w:r w:rsidR="00DF4C5C" w:rsidRPr="00D65A20">
        <w:rPr>
          <w:rFonts w:ascii="Times New Roman" w:eastAsia="Calibri" w:hAnsi="Times New Roman"/>
          <w:szCs w:val="22"/>
          <w:lang w:val="pt-BR"/>
        </w:rPr>
        <w:t xml:space="preserve">por meio </w:t>
      </w:r>
      <w:r w:rsidRPr="00D65A20">
        <w:rPr>
          <w:rFonts w:ascii="Times New Roman" w:eastAsia="Calibri" w:hAnsi="Times New Roman"/>
          <w:szCs w:val="22"/>
          <w:lang w:val="pt-BR"/>
        </w:rPr>
        <w:t xml:space="preserve">do intercâmbio de informações, experiências e boas práticas, inclusive </w:t>
      </w:r>
      <w:r w:rsidR="00CA5990" w:rsidRPr="00D65A20">
        <w:rPr>
          <w:rFonts w:ascii="Times New Roman" w:eastAsia="Calibri" w:hAnsi="Times New Roman"/>
          <w:szCs w:val="22"/>
          <w:lang w:val="pt-BR"/>
        </w:rPr>
        <w:t>aquelas relacionadas ao</w:t>
      </w:r>
      <w:r w:rsidRPr="00D65A20">
        <w:rPr>
          <w:rFonts w:ascii="Times New Roman" w:eastAsia="Calibri" w:hAnsi="Times New Roman"/>
          <w:szCs w:val="22"/>
          <w:lang w:val="pt-BR"/>
        </w:rPr>
        <w:t xml:space="preserve"> impacto da pandemia de </w:t>
      </w:r>
      <w:r w:rsidR="00146733" w:rsidRPr="00D65A20">
        <w:rPr>
          <w:rFonts w:ascii="Times New Roman" w:eastAsia="Calibri" w:hAnsi="Times New Roman"/>
          <w:szCs w:val="22"/>
          <w:lang w:val="pt-BR"/>
        </w:rPr>
        <w:t>covid</w:t>
      </w:r>
      <w:r w:rsidRPr="00D65A20">
        <w:rPr>
          <w:rFonts w:ascii="Times New Roman" w:eastAsia="Calibri" w:hAnsi="Times New Roman"/>
          <w:szCs w:val="22"/>
          <w:lang w:val="pt-BR"/>
        </w:rPr>
        <w:t xml:space="preserve">-19 nos migrantes e </w:t>
      </w:r>
      <w:r w:rsidR="00CA5990" w:rsidRPr="00D65A20">
        <w:rPr>
          <w:rFonts w:ascii="Times New Roman" w:eastAsia="Calibri" w:hAnsi="Times New Roman"/>
          <w:szCs w:val="22"/>
          <w:lang w:val="pt-BR"/>
        </w:rPr>
        <w:t>às</w:t>
      </w:r>
      <w:r w:rsidRPr="00D65A20">
        <w:rPr>
          <w:rFonts w:ascii="Times New Roman" w:eastAsia="Calibri" w:hAnsi="Times New Roman"/>
          <w:szCs w:val="22"/>
          <w:lang w:val="pt-BR"/>
        </w:rPr>
        <w:t xml:space="preserve"> políticas adotadas pelos países da região no atual contexto. </w:t>
      </w:r>
    </w:p>
    <w:p w14:paraId="6E83454C"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54D" w14:textId="6C0F62C7" w:rsidR="00A925FD" w:rsidRPr="00D65A20" w:rsidRDefault="00A925FD" w:rsidP="00AA4399">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pt-BR"/>
        </w:rPr>
      </w:pPr>
      <w:r w:rsidRPr="00D65A20">
        <w:rPr>
          <w:rFonts w:ascii="Times New Roman" w:eastAsia="Calibri" w:hAnsi="Times New Roman"/>
          <w:szCs w:val="22"/>
          <w:lang w:val="pt-BR"/>
        </w:rPr>
        <w:t xml:space="preserve">Impulsionar iniciativas de cooperação internacional para apoiar os países de origem, trânsito e destino das pessoas migrantes e refugiadas, especialmente </w:t>
      </w:r>
      <w:r w:rsidR="00CA5990" w:rsidRPr="00D65A20">
        <w:rPr>
          <w:rFonts w:ascii="Times New Roman" w:eastAsia="Calibri" w:hAnsi="Times New Roman"/>
          <w:szCs w:val="22"/>
          <w:lang w:val="pt-BR"/>
        </w:rPr>
        <w:t xml:space="preserve">as </w:t>
      </w:r>
      <w:r w:rsidRPr="00D65A20">
        <w:rPr>
          <w:rFonts w:ascii="Times New Roman" w:eastAsia="Calibri" w:hAnsi="Times New Roman"/>
          <w:szCs w:val="22"/>
          <w:lang w:val="pt-BR"/>
        </w:rPr>
        <w:t xml:space="preserve">provenientes da Venezuela, e </w:t>
      </w:r>
      <w:r w:rsidRPr="00D65A20">
        <w:rPr>
          <w:rFonts w:ascii="Times New Roman" w:eastAsia="Calibri" w:hAnsi="Times New Roman"/>
          <w:szCs w:val="22"/>
          <w:lang w:val="pt-BR"/>
        </w:rPr>
        <w:lastRenderedPageBreak/>
        <w:t xml:space="preserve">facilitar, conforme o caso, a provisão de assistência humanitária, que seja humana, neutra, imparcial e independente, bem como sua integração socioeconômica, </w:t>
      </w:r>
      <w:r w:rsidR="00CA5990" w:rsidRPr="00D65A20">
        <w:rPr>
          <w:rFonts w:ascii="Times New Roman" w:eastAsia="Calibri" w:hAnsi="Times New Roman"/>
          <w:szCs w:val="22"/>
          <w:lang w:val="pt-BR"/>
        </w:rPr>
        <w:t>em conformidade</w:t>
      </w:r>
      <w:r w:rsidRPr="00D65A20">
        <w:rPr>
          <w:rFonts w:ascii="Times New Roman" w:eastAsia="Calibri" w:hAnsi="Times New Roman"/>
          <w:szCs w:val="22"/>
          <w:lang w:val="pt-BR"/>
        </w:rPr>
        <w:t xml:space="preserve"> com a legislação nacional e internacional aplicável.</w:t>
      </w:r>
      <w:r w:rsidRPr="00D65A20">
        <w:rPr>
          <w:rFonts w:ascii="Times New Roman" w:eastAsia="Calibri" w:hAnsi="Times New Roman"/>
          <w:szCs w:val="22"/>
          <w:vertAlign w:val="superscript"/>
          <w:lang w:val="pt-BR"/>
        </w:rPr>
        <w:t xml:space="preserve"> </w:t>
      </w:r>
    </w:p>
    <w:p w14:paraId="6E83454E"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54F" w14:textId="5DD9910A" w:rsidR="00A925FD" w:rsidRPr="00D65A20" w:rsidRDefault="00A925FD" w:rsidP="00AA4399">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pt-BR"/>
        </w:rPr>
      </w:pPr>
      <w:r w:rsidRPr="00D65A20">
        <w:rPr>
          <w:rFonts w:ascii="Times New Roman" w:eastAsia="Calibri" w:hAnsi="Times New Roman"/>
          <w:szCs w:val="22"/>
          <w:lang w:val="pt-BR"/>
        </w:rPr>
        <w:t xml:space="preserve">Destacar a importância do Sistema Contínuo de </w:t>
      </w:r>
      <w:r w:rsidR="00DF4C5C" w:rsidRPr="00D65A20">
        <w:rPr>
          <w:rFonts w:ascii="Times New Roman" w:eastAsia="Calibri" w:hAnsi="Times New Roman"/>
          <w:szCs w:val="22"/>
          <w:lang w:val="pt-BR"/>
        </w:rPr>
        <w:t xml:space="preserve">Informação </w:t>
      </w:r>
      <w:r w:rsidRPr="00D65A20">
        <w:rPr>
          <w:rFonts w:ascii="Times New Roman" w:eastAsia="Calibri" w:hAnsi="Times New Roman"/>
          <w:szCs w:val="22"/>
          <w:lang w:val="pt-BR"/>
        </w:rPr>
        <w:t xml:space="preserve">sobre Migração Internacional para as Américas (SICREMI) como instrumento </w:t>
      </w:r>
      <w:r w:rsidR="00CA5990" w:rsidRPr="00D65A20">
        <w:rPr>
          <w:rFonts w:ascii="Times New Roman" w:eastAsia="Calibri" w:hAnsi="Times New Roman"/>
          <w:szCs w:val="22"/>
          <w:lang w:val="pt-BR"/>
        </w:rPr>
        <w:t>regional</w:t>
      </w:r>
      <w:r w:rsidRPr="00D65A20">
        <w:rPr>
          <w:rFonts w:ascii="Times New Roman" w:eastAsia="Calibri" w:hAnsi="Times New Roman"/>
          <w:szCs w:val="22"/>
          <w:lang w:val="pt-BR"/>
        </w:rPr>
        <w:t xml:space="preserve"> para gerar e analisar informações sobre fluxos migratórios, marcos normativos e políticas públicas sobre migração no Hemisfério. Instruir a Secretaria-Geral a que, em conformidade com a disponibilidade de recursos e articulando espaços de coordenação com outras </w:t>
      </w:r>
      <w:r w:rsidR="007D202A" w:rsidRPr="00D65A20">
        <w:rPr>
          <w:rFonts w:ascii="Times New Roman" w:eastAsia="Calibri" w:hAnsi="Times New Roman"/>
          <w:szCs w:val="22"/>
          <w:lang w:val="pt-BR"/>
        </w:rPr>
        <w:t xml:space="preserve">entidades </w:t>
      </w:r>
      <w:r w:rsidRPr="00D65A20">
        <w:rPr>
          <w:rFonts w:ascii="Times New Roman" w:eastAsia="Calibri" w:hAnsi="Times New Roman"/>
          <w:szCs w:val="22"/>
          <w:lang w:val="pt-BR"/>
        </w:rPr>
        <w:t>do Sistema Interamericano e outros atores estratégicos, disponha a elaboração da próxima edição do relatório SICREMI. Além disso, incentivar os Estados membros a que se incorporem ao SICREMI e estes e os Estados observadores a que considerem realizar contribuições voluntárias para sua sustentabilidade financeira.</w:t>
      </w:r>
    </w:p>
    <w:p w14:paraId="6E834550"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551" w14:textId="77777777" w:rsidR="00A925FD" w:rsidRPr="00D65A20" w:rsidRDefault="00A925FD" w:rsidP="00AA4399">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pt-BR"/>
        </w:rPr>
      </w:pPr>
      <w:r w:rsidRPr="00D65A20">
        <w:rPr>
          <w:rFonts w:ascii="Times New Roman" w:eastAsia="Calibri" w:hAnsi="Times New Roman"/>
          <w:szCs w:val="22"/>
          <w:lang w:val="pt-BR"/>
        </w:rPr>
        <w:t>Incentivar os Estados membros a promover envios de remessas mais rápidos, seguros e econômicos, com o fim de reduzir o custo médio das transações a menos de 3% da soma transferida em 2030, desenvolvendo os ambientes normativos e regulamentares que possibilitem a concorrência, a regulação e a inovação no mercado de remessas, oferecendo programas e instrumentos com perspectiva de gênero, visando a melhorar a inclusão financeira dos migrantes e suas famílias.</w:t>
      </w:r>
    </w:p>
    <w:p w14:paraId="6E834552"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553" w14:textId="2907F91D" w:rsidR="00A925FD" w:rsidRPr="00D65A20" w:rsidRDefault="00A925FD" w:rsidP="00AA4399">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pt-BR"/>
        </w:rPr>
      </w:pPr>
      <w:r w:rsidRPr="00D65A20">
        <w:rPr>
          <w:rFonts w:ascii="Times New Roman" w:eastAsia="Calibri" w:hAnsi="Times New Roman"/>
          <w:szCs w:val="22"/>
          <w:lang w:val="pt-BR"/>
        </w:rPr>
        <w:t>Reafirmar a importância de continuar fortalecendo e fomentando o diálogo construtivo e a cooperação regional e bilateral em temas migratórios, conforme o caso, ao enfrentar os desafios da migração no Hemisfério, em especial no Conselho Permanente e no CIDI e seus órgãos subsidiários, como a C</w:t>
      </w:r>
      <w:r w:rsidR="007D202A" w:rsidRPr="00D65A20">
        <w:rPr>
          <w:rFonts w:ascii="Times New Roman" w:eastAsia="Calibri" w:hAnsi="Times New Roman"/>
          <w:szCs w:val="22"/>
          <w:lang w:val="pt-BR"/>
        </w:rPr>
        <w:t>omissão de Assuntos Migratórios</w:t>
      </w:r>
      <w:r w:rsidRPr="00D65A20">
        <w:rPr>
          <w:rFonts w:ascii="Times New Roman" w:eastAsia="Calibri" w:hAnsi="Times New Roman"/>
          <w:szCs w:val="22"/>
          <w:lang w:val="pt-BR"/>
        </w:rPr>
        <w:t>, em concordância com o estabelecido na resolução AG/RES. 2910</w:t>
      </w:r>
      <w:r w:rsidR="00146733" w:rsidRPr="00D65A20">
        <w:rPr>
          <w:rFonts w:ascii="Times New Roman" w:eastAsia="Calibri" w:hAnsi="Times New Roman"/>
          <w:szCs w:val="22"/>
          <w:lang w:val="pt-BR"/>
        </w:rPr>
        <w:t xml:space="preserve"> </w:t>
      </w:r>
      <w:r w:rsidRPr="00D65A20">
        <w:rPr>
          <w:rFonts w:ascii="Times New Roman" w:eastAsia="Calibri" w:hAnsi="Times New Roman"/>
          <w:szCs w:val="22"/>
          <w:lang w:val="pt-BR"/>
        </w:rPr>
        <w:t>(XLVII-O/17), “Migração nas Américas”, e na declaração CP/DEC.</w:t>
      </w:r>
      <w:r w:rsidR="00146733" w:rsidRPr="00D65A20">
        <w:rPr>
          <w:rFonts w:ascii="Times New Roman" w:eastAsia="Calibri" w:hAnsi="Times New Roman"/>
          <w:szCs w:val="22"/>
          <w:lang w:val="pt-BR"/>
        </w:rPr>
        <w:t xml:space="preserve"> </w:t>
      </w:r>
      <w:r w:rsidRPr="00D65A20">
        <w:rPr>
          <w:rFonts w:ascii="Times New Roman" w:eastAsia="Calibri" w:hAnsi="Times New Roman"/>
          <w:szCs w:val="22"/>
          <w:lang w:val="pt-BR"/>
        </w:rPr>
        <w:t xml:space="preserve">68 (2099/16), “Cooperação interamericana </w:t>
      </w:r>
      <w:r w:rsidR="00DF4C5C" w:rsidRPr="00D65A20">
        <w:rPr>
          <w:rFonts w:ascii="Times New Roman" w:eastAsia="Calibri" w:hAnsi="Times New Roman"/>
          <w:szCs w:val="22"/>
          <w:lang w:val="pt-BR"/>
        </w:rPr>
        <w:t>na atenção a ser dispensada</w:t>
      </w:r>
      <w:r w:rsidRPr="00D65A20">
        <w:rPr>
          <w:rFonts w:ascii="Times New Roman" w:eastAsia="Calibri" w:hAnsi="Times New Roman"/>
          <w:szCs w:val="22"/>
          <w:lang w:val="pt-BR"/>
        </w:rPr>
        <w:t xml:space="preserve"> </w:t>
      </w:r>
      <w:r w:rsidR="00DF4C5C" w:rsidRPr="00D65A20">
        <w:rPr>
          <w:rFonts w:ascii="Times New Roman" w:eastAsia="Calibri" w:hAnsi="Times New Roman"/>
          <w:szCs w:val="22"/>
          <w:lang w:val="pt-BR"/>
        </w:rPr>
        <w:t>a</w:t>
      </w:r>
      <w:r w:rsidRPr="00D65A20">
        <w:rPr>
          <w:rFonts w:ascii="Times New Roman" w:eastAsia="Calibri" w:hAnsi="Times New Roman"/>
          <w:szCs w:val="22"/>
          <w:lang w:val="pt-BR"/>
        </w:rPr>
        <w:t xml:space="preserve">os desafios e </w:t>
      </w:r>
      <w:r w:rsidR="00DF4C5C" w:rsidRPr="00D65A20">
        <w:rPr>
          <w:rFonts w:ascii="Times New Roman" w:eastAsia="Calibri" w:hAnsi="Times New Roman"/>
          <w:szCs w:val="22"/>
          <w:lang w:val="pt-BR"/>
        </w:rPr>
        <w:t xml:space="preserve">às </w:t>
      </w:r>
      <w:r w:rsidRPr="00D65A20">
        <w:rPr>
          <w:rFonts w:ascii="Times New Roman" w:eastAsia="Calibri" w:hAnsi="Times New Roman"/>
          <w:szCs w:val="22"/>
          <w:lang w:val="pt-BR"/>
        </w:rPr>
        <w:t xml:space="preserve">oportunidades da migração”, aprovada pelo Conselho Permanente em 15 de dezembro de 2016. </w:t>
      </w:r>
    </w:p>
    <w:p w14:paraId="6E834554"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555" w14:textId="5B93A570" w:rsidR="00A925FD" w:rsidRPr="00D65A20" w:rsidRDefault="00A925FD" w:rsidP="00AA4399">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pt-BR"/>
        </w:rPr>
      </w:pPr>
      <w:r w:rsidRPr="00D65A20">
        <w:rPr>
          <w:rFonts w:ascii="Times New Roman" w:eastAsia="Calibri" w:hAnsi="Times New Roman"/>
          <w:szCs w:val="22"/>
          <w:lang w:val="pt-BR"/>
        </w:rPr>
        <w:t xml:space="preserve">Destacar as iniciativas geradas em nível multilateral para o diálogo e a cooperação em matéria migratória e proteção internacional e tomar nota das iniciativas </w:t>
      </w:r>
      <w:r w:rsidR="00DF4C5C" w:rsidRPr="00D65A20">
        <w:rPr>
          <w:rFonts w:ascii="Times New Roman" w:eastAsia="Calibri" w:hAnsi="Times New Roman"/>
          <w:szCs w:val="22"/>
          <w:lang w:val="pt-BR"/>
        </w:rPr>
        <w:t>das quais</w:t>
      </w:r>
      <w:r w:rsidRPr="00D65A20">
        <w:rPr>
          <w:rFonts w:ascii="Times New Roman" w:eastAsia="Calibri" w:hAnsi="Times New Roman"/>
          <w:szCs w:val="22"/>
          <w:lang w:val="pt-BR"/>
        </w:rPr>
        <w:t xml:space="preserve"> participam os Estados membros, como o Fórum Global sobre Migração e Desenvolvimento, o Pacto </w:t>
      </w:r>
      <w:r w:rsidR="00805F9C" w:rsidRPr="00D65A20">
        <w:rPr>
          <w:rFonts w:ascii="Times New Roman" w:eastAsia="Calibri" w:hAnsi="Times New Roman"/>
          <w:szCs w:val="22"/>
          <w:lang w:val="pt-BR"/>
        </w:rPr>
        <w:t xml:space="preserve">Global </w:t>
      </w:r>
      <w:r w:rsidRPr="00D65A20">
        <w:rPr>
          <w:rFonts w:ascii="Times New Roman" w:eastAsia="Calibri" w:hAnsi="Times New Roman"/>
          <w:szCs w:val="22"/>
          <w:lang w:val="pt-BR"/>
        </w:rPr>
        <w:t>para uma Migração Segura, Ordenada e Regular e o Pacto Mundial sobre Refugiados.</w:t>
      </w:r>
      <w:r w:rsidRPr="00D65A20">
        <w:rPr>
          <w:rFonts w:ascii="Times New Roman" w:eastAsia="Calibri" w:hAnsi="Times New Roman"/>
          <w:szCs w:val="22"/>
          <w:u w:val="single"/>
          <w:vertAlign w:val="superscript"/>
          <w:lang w:val="pt-BR"/>
        </w:rPr>
        <w:footnoteReference w:id="45"/>
      </w:r>
      <w:r w:rsidRPr="00D65A20">
        <w:rPr>
          <w:rFonts w:ascii="Times New Roman" w:eastAsia="Calibri" w:hAnsi="Times New Roman"/>
          <w:szCs w:val="22"/>
          <w:vertAlign w:val="superscript"/>
          <w:lang w:val="pt-BR"/>
        </w:rPr>
        <w:t>/</w:t>
      </w:r>
    </w:p>
    <w:p w14:paraId="6E834556"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outlineLvl w:val="1"/>
        <w:rPr>
          <w:rFonts w:ascii="Times New Roman" w:eastAsia="Calibri" w:hAnsi="Times New Roman"/>
          <w:szCs w:val="22"/>
          <w:lang w:val="pt-BR"/>
        </w:rPr>
      </w:pPr>
    </w:p>
    <w:p w14:paraId="6E834557"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Calibri" w:hAnsi="Times New Roman"/>
          <w:szCs w:val="22"/>
          <w:lang w:val="pt-BR"/>
        </w:rPr>
      </w:pPr>
      <w:r w:rsidRPr="00D65A20">
        <w:rPr>
          <w:rFonts w:ascii="Times New Roman" w:eastAsia="Calibri" w:hAnsi="Times New Roman"/>
          <w:szCs w:val="22"/>
          <w:lang w:val="pt-BR"/>
        </w:rPr>
        <w:t>VI.</w:t>
      </w:r>
      <w:r w:rsidRPr="00D65A20">
        <w:rPr>
          <w:rFonts w:ascii="Times New Roman" w:eastAsia="Calibri" w:hAnsi="Times New Roman"/>
          <w:szCs w:val="22"/>
          <w:lang w:val="pt-BR"/>
        </w:rPr>
        <w:tab/>
        <w:t>COM RESPEITO À LINHA ESTRATÉGICA “FOMENTAR A COOPERAÇÃO PARA O DESENVOLVIMENTO E A CRIAÇÃO DE PARCERIAS”</w:t>
      </w:r>
    </w:p>
    <w:p w14:paraId="6E834558"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i/>
          <w:iCs/>
          <w:szCs w:val="22"/>
          <w:lang w:val="pt-BR"/>
        </w:rPr>
      </w:pPr>
    </w:p>
    <w:p w14:paraId="6E834559" w14:textId="4A3EA549" w:rsidR="00A925FD" w:rsidRPr="00D65A20" w:rsidRDefault="00A925FD" w:rsidP="00AA4399">
      <w:pPr>
        <w:widowControl/>
        <w:tabs>
          <w:tab w:val="clear" w:pos="2880"/>
          <w:tab w:val="clear" w:pos="3600"/>
          <w:tab w:val="clear" w:pos="4320"/>
          <w:tab w:val="clear" w:pos="5760"/>
          <w:tab w:val="clear" w:pos="6480"/>
          <w:tab w:val="clear" w:pos="7200"/>
          <w:tab w:val="clear" w:pos="7920"/>
        </w:tabs>
        <w:ind w:firstLine="720"/>
        <w:rPr>
          <w:rFonts w:ascii="Times New Roman" w:hAnsi="Times New Roman"/>
          <w:bCs/>
          <w:color w:val="000000"/>
          <w:szCs w:val="22"/>
          <w:lang w:val="pt-BR"/>
        </w:rPr>
      </w:pPr>
      <w:r w:rsidRPr="00D65A20">
        <w:rPr>
          <w:rFonts w:ascii="Times New Roman" w:hAnsi="Times New Roman"/>
          <w:color w:val="000000"/>
          <w:szCs w:val="22"/>
          <w:lang w:val="pt-BR"/>
        </w:rPr>
        <w:t xml:space="preserve">46. </w:t>
      </w:r>
      <w:r w:rsidRPr="00D65A20">
        <w:rPr>
          <w:rFonts w:ascii="Times New Roman" w:hAnsi="Times New Roman"/>
          <w:color w:val="000000"/>
          <w:szCs w:val="22"/>
          <w:lang w:val="pt-BR"/>
        </w:rPr>
        <w:tab/>
      </w:r>
      <w:r w:rsidRPr="00D65A20">
        <w:rPr>
          <w:rFonts w:ascii="Times New Roman" w:hAnsi="Times New Roman"/>
          <w:bCs/>
          <w:color w:val="000000"/>
          <w:szCs w:val="22"/>
          <w:lang w:val="pt-BR"/>
        </w:rPr>
        <w:t xml:space="preserve">Encarregar a SEDI de continuar trabalhando e apoiando a Junta Diretora </w:t>
      </w:r>
      <w:r w:rsidRPr="00D65A20">
        <w:rPr>
          <w:rFonts w:ascii="Times New Roman" w:hAnsi="Times New Roman"/>
          <w:color w:val="000000"/>
          <w:szCs w:val="22"/>
          <w:lang w:val="pt-BR"/>
        </w:rPr>
        <w:t xml:space="preserve">da </w:t>
      </w:r>
      <w:r w:rsidRPr="00D65A20">
        <w:rPr>
          <w:rFonts w:ascii="Times New Roman" w:hAnsi="Times New Roman"/>
          <w:bCs/>
          <w:color w:val="000000"/>
          <w:szCs w:val="22"/>
          <w:lang w:val="pt-BR"/>
        </w:rPr>
        <w:t>Agência Interamericana de Cooperação e Desenvolvimento (AICD) na implementação das prioridades constantes do Plano de Trabalho da AICD 2020</w:t>
      </w:r>
      <w:r w:rsidR="00C348CF" w:rsidRPr="00D65A20">
        <w:rPr>
          <w:rFonts w:ascii="Times New Roman" w:hAnsi="Times New Roman"/>
          <w:bCs/>
          <w:color w:val="000000"/>
          <w:szCs w:val="22"/>
          <w:lang w:val="pt-BR"/>
        </w:rPr>
        <w:t>–</w:t>
      </w:r>
      <w:r w:rsidRPr="00D65A20">
        <w:rPr>
          <w:rFonts w:ascii="Times New Roman" w:hAnsi="Times New Roman"/>
          <w:bCs/>
          <w:color w:val="000000"/>
          <w:szCs w:val="22"/>
          <w:lang w:val="pt-BR"/>
        </w:rPr>
        <w:t>2021.</w:t>
      </w:r>
    </w:p>
    <w:p w14:paraId="6E83455A"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55B" w14:textId="01049125"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shd w:val="clear" w:color="auto" w:fill="FFFFFF"/>
          <w:lang w:val="pt-BR"/>
        </w:rPr>
      </w:pPr>
      <w:r w:rsidRPr="00D65A20">
        <w:rPr>
          <w:rFonts w:ascii="Times New Roman" w:eastAsia="Calibri" w:hAnsi="Times New Roman"/>
          <w:color w:val="000000"/>
          <w:szCs w:val="22"/>
          <w:lang w:val="pt-BR"/>
        </w:rPr>
        <w:t xml:space="preserve">47. </w:t>
      </w:r>
      <w:r w:rsidRPr="00D65A20">
        <w:rPr>
          <w:rFonts w:ascii="Times New Roman" w:eastAsia="Calibri" w:hAnsi="Times New Roman"/>
          <w:color w:val="000000"/>
          <w:szCs w:val="22"/>
          <w:lang w:val="pt-BR"/>
        </w:rPr>
        <w:tab/>
        <w:t xml:space="preserve">Incentivar os Estados membros a que </w:t>
      </w:r>
      <w:r w:rsidRPr="00D65A20">
        <w:rPr>
          <w:rFonts w:ascii="Times New Roman" w:eastAsia="Calibri" w:hAnsi="Times New Roman"/>
          <w:color w:val="000000"/>
          <w:szCs w:val="22"/>
          <w:shd w:val="clear" w:color="auto" w:fill="FFFFFF"/>
          <w:lang w:val="pt-BR"/>
        </w:rPr>
        <w:t xml:space="preserve">dialoguem, </w:t>
      </w:r>
      <w:r w:rsidR="00C85B34" w:rsidRPr="00D65A20">
        <w:rPr>
          <w:rFonts w:ascii="Times New Roman" w:eastAsia="Calibri" w:hAnsi="Times New Roman"/>
          <w:color w:val="000000"/>
          <w:szCs w:val="22"/>
          <w:shd w:val="clear" w:color="auto" w:fill="FFFFFF"/>
          <w:lang w:val="pt-BR"/>
        </w:rPr>
        <w:t>no âmbito</w:t>
      </w:r>
      <w:r w:rsidRPr="00D65A20">
        <w:rPr>
          <w:rFonts w:ascii="Times New Roman" w:eastAsia="Calibri" w:hAnsi="Times New Roman"/>
          <w:color w:val="000000"/>
          <w:szCs w:val="22"/>
          <w:shd w:val="clear" w:color="auto" w:fill="FFFFFF"/>
          <w:lang w:val="pt-BR"/>
        </w:rPr>
        <w:t xml:space="preserve"> do CIDI, sobre o acesso ao financiamento internacional</w:t>
      </w:r>
      <w:r w:rsidRPr="00D65A20">
        <w:rPr>
          <w:rFonts w:ascii="Times New Roman" w:eastAsia="Calibri" w:hAnsi="Times New Roman"/>
          <w:szCs w:val="22"/>
          <w:u w:val="single"/>
          <w:shd w:val="clear" w:color="auto" w:fill="FFFFFF"/>
          <w:vertAlign w:val="superscript"/>
          <w:lang w:val="pt-BR"/>
        </w:rPr>
        <w:footnoteReference w:id="46"/>
      </w:r>
      <w:r w:rsidRPr="00D65A20">
        <w:rPr>
          <w:rFonts w:ascii="Times New Roman" w:eastAsia="Calibri" w:hAnsi="Times New Roman"/>
          <w:color w:val="000000"/>
          <w:szCs w:val="22"/>
          <w:shd w:val="clear" w:color="auto" w:fill="FFFFFF"/>
          <w:vertAlign w:val="superscript"/>
          <w:lang w:val="pt-BR"/>
        </w:rPr>
        <w:t>/</w:t>
      </w:r>
      <w:r w:rsidRPr="00D65A20">
        <w:rPr>
          <w:rFonts w:ascii="Times New Roman" w:eastAsia="Calibri" w:hAnsi="Times New Roman"/>
          <w:color w:val="000000"/>
          <w:szCs w:val="22"/>
          <w:shd w:val="clear" w:color="auto" w:fill="FFFFFF"/>
          <w:lang w:val="pt-BR"/>
        </w:rPr>
        <w:t xml:space="preserve"> e sobre o fortalecimento dos mecanismos de cooperação internacional, para avançar na agenda de desenvolvimento sustentável, com especial atenção aos desafios específicos que enfrentam os </w:t>
      </w:r>
      <w:r w:rsidR="00DF490A" w:rsidRPr="00D65A20">
        <w:rPr>
          <w:rFonts w:ascii="Times New Roman" w:eastAsia="Calibri" w:hAnsi="Times New Roman"/>
          <w:color w:val="000000"/>
          <w:szCs w:val="22"/>
          <w:shd w:val="clear" w:color="auto" w:fill="FFFFFF"/>
          <w:lang w:val="pt-BR"/>
        </w:rPr>
        <w:t>pequenos Estados insulares e de zonas litorâneas baixas em desenvolvimento</w:t>
      </w:r>
      <w:r w:rsidRPr="00D65A20">
        <w:rPr>
          <w:rFonts w:ascii="Times New Roman" w:eastAsia="Calibri" w:hAnsi="Times New Roman"/>
          <w:color w:val="000000"/>
          <w:szCs w:val="22"/>
          <w:shd w:val="clear" w:color="auto" w:fill="FFFFFF"/>
          <w:lang w:val="pt-BR"/>
        </w:rPr>
        <w:t xml:space="preserve"> e os países de renda baixa e média na região, considerando critérios adicionais, </w:t>
      </w:r>
      <w:r w:rsidRPr="00D65A20">
        <w:rPr>
          <w:rFonts w:ascii="Times New Roman" w:eastAsia="Calibri" w:hAnsi="Times New Roman"/>
          <w:color w:val="000000"/>
          <w:szCs w:val="22"/>
          <w:shd w:val="clear" w:color="auto" w:fill="FFFFFF"/>
          <w:lang w:val="pt-BR"/>
        </w:rPr>
        <w:lastRenderedPageBreak/>
        <w:t>quando seja pertinente, para avaliar a pobreza e o desenvolvimento dos países</w:t>
      </w:r>
      <w:r w:rsidR="00DF490A" w:rsidRPr="00D65A20">
        <w:rPr>
          <w:rFonts w:ascii="Times New Roman" w:eastAsia="Calibri" w:hAnsi="Times New Roman"/>
          <w:color w:val="000000"/>
          <w:szCs w:val="22"/>
          <w:shd w:val="clear" w:color="auto" w:fill="FFFFFF"/>
          <w:lang w:val="pt-BR"/>
        </w:rPr>
        <w:t>,</w:t>
      </w:r>
      <w:r w:rsidRPr="00D65A20">
        <w:rPr>
          <w:rFonts w:ascii="Times New Roman" w:eastAsia="Calibri" w:hAnsi="Times New Roman"/>
          <w:color w:val="000000"/>
          <w:szCs w:val="22"/>
          <w:shd w:val="clear" w:color="auto" w:fill="FFFFFF"/>
          <w:lang w:val="pt-BR"/>
        </w:rPr>
        <w:t xml:space="preserve"> incluindo a vulnerabilidade, além dos indicadores de situação de renda, com vistas a manter e implementar os programas e políticas de proteção social necessários ao bem-estar dos cidadãos, especialmente das populações mais vulneráveis, bem como à reconstrução e ao desenvolvimento socioeconômicos, resilientes ao clima e de baixas emissões de carbono</w:t>
      </w:r>
      <w:r w:rsidRPr="00D65A20">
        <w:rPr>
          <w:rFonts w:ascii="Times New Roman" w:eastAsia="Calibri" w:hAnsi="Times New Roman"/>
          <w:szCs w:val="22"/>
          <w:u w:val="single"/>
          <w:shd w:val="clear" w:color="auto" w:fill="FFFFFF"/>
          <w:vertAlign w:val="superscript"/>
          <w:lang w:val="pt-BR"/>
        </w:rPr>
        <w:footnoteReference w:id="47"/>
      </w:r>
      <w:r w:rsidRPr="00D65A20">
        <w:rPr>
          <w:rFonts w:ascii="Times New Roman" w:eastAsia="Calibri" w:hAnsi="Times New Roman"/>
          <w:color w:val="000000"/>
          <w:szCs w:val="22"/>
          <w:shd w:val="clear" w:color="auto" w:fill="FFFFFF"/>
          <w:vertAlign w:val="superscript"/>
          <w:lang w:val="pt-BR"/>
        </w:rPr>
        <w:t>/</w:t>
      </w:r>
      <w:r w:rsidRPr="00D65A20">
        <w:rPr>
          <w:rFonts w:ascii="Times New Roman" w:eastAsia="Calibri" w:hAnsi="Times New Roman"/>
          <w:color w:val="000000"/>
          <w:szCs w:val="22"/>
          <w:shd w:val="clear" w:color="auto" w:fill="FFFFFF"/>
          <w:lang w:val="pt-BR"/>
        </w:rPr>
        <w:t xml:space="preserve"> mais sustentáveis.</w:t>
      </w:r>
    </w:p>
    <w:p w14:paraId="6E83455C"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55D" w14:textId="1FCA14F6" w:rsidR="00A925FD" w:rsidRPr="00D65A20" w:rsidRDefault="00A925FD" w:rsidP="00AA4399">
      <w:pPr>
        <w:widowControl/>
        <w:tabs>
          <w:tab w:val="clear" w:pos="2880"/>
          <w:tab w:val="clear" w:pos="3600"/>
          <w:tab w:val="clear" w:pos="4320"/>
          <w:tab w:val="clear" w:pos="5760"/>
          <w:tab w:val="clear" w:pos="6480"/>
          <w:tab w:val="clear" w:pos="7200"/>
          <w:tab w:val="clear" w:pos="7920"/>
        </w:tabs>
        <w:ind w:firstLine="630"/>
        <w:rPr>
          <w:rFonts w:ascii="Times New Roman" w:hAnsi="Times New Roman"/>
          <w:color w:val="000000"/>
          <w:szCs w:val="22"/>
          <w:lang w:val="pt-BR"/>
        </w:rPr>
      </w:pPr>
      <w:r w:rsidRPr="00D65A20">
        <w:rPr>
          <w:rFonts w:ascii="Times New Roman" w:hAnsi="Times New Roman"/>
          <w:color w:val="000000"/>
          <w:szCs w:val="22"/>
          <w:lang w:val="pt-BR"/>
        </w:rPr>
        <w:t xml:space="preserve">48. </w:t>
      </w:r>
      <w:r w:rsidRPr="00D65A20">
        <w:rPr>
          <w:rFonts w:ascii="Times New Roman" w:hAnsi="Times New Roman"/>
          <w:color w:val="000000"/>
          <w:szCs w:val="22"/>
          <w:lang w:val="pt-BR"/>
        </w:rPr>
        <w:tab/>
        <w:t xml:space="preserve">Aprovar, com efeito retroativo à data de sua aprovação na </w:t>
      </w:r>
      <w:r w:rsidR="00DF490A" w:rsidRPr="00D65A20">
        <w:rPr>
          <w:rFonts w:ascii="Times New Roman" w:hAnsi="Times New Roman"/>
          <w:color w:val="000000"/>
          <w:szCs w:val="22"/>
          <w:lang w:val="pt-BR"/>
        </w:rPr>
        <w:t xml:space="preserve">reunião ordinária </w:t>
      </w:r>
      <w:r w:rsidRPr="00D65A20">
        <w:rPr>
          <w:rFonts w:ascii="Times New Roman" w:hAnsi="Times New Roman"/>
          <w:color w:val="000000"/>
          <w:szCs w:val="22"/>
          <w:lang w:val="pt-BR"/>
        </w:rPr>
        <w:t>do CIDI de 30 de junho de 2020, mediante a resolução CIDI/RES.342 (CII-O/20), as modificações ao Estatuto da AICD.</w:t>
      </w:r>
    </w:p>
    <w:p w14:paraId="6E83455E"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55F" w14:textId="77777777" w:rsidR="00A925FD" w:rsidRPr="00D65A20" w:rsidRDefault="00146733" w:rsidP="00AA4399">
      <w:pPr>
        <w:widowControl/>
        <w:tabs>
          <w:tab w:val="clear" w:pos="2880"/>
          <w:tab w:val="clear" w:pos="3600"/>
          <w:tab w:val="clear" w:pos="4320"/>
          <w:tab w:val="clear" w:pos="5760"/>
          <w:tab w:val="clear" w:pos="6480"/>
          <w:tab w:val="clear" w:pos="7200"/>
          <w:tab w:val="clear" w:pos="7920"/>
        </w:tabs>
        <w:ind w:firstLine="697"/>
        <w:rPr>
          <w:rFonts w:ascii="Times New Roman" w:hAnsi="Times New Roman"/>
          <w:color w:val="000000"/>
          <w:szCs w:val="22"/>
          <w:lang w:val="pt-BR"/>
        </w:rPr>
      </w:pPr>
      <w:r w:rsidRPr="00D65A20">
        <w:rPr>
          <w:rFonts w:ascii="Times New Roman" w:hAnsi="Times New Roman"/>
          <w:color w:val="000000"/>
          <w:szCs w:val="22"/>
          <w:lang w:val="pt-BR"/>
        </w:rPr>
        <w:t>49.</w:t>
      </w:r>
      <w:r w:rsidR="00A925FD" w:rsidRPr="00D65A20">
        <w:rPr>
          <w:rFonts w:ascii="Times New Roman" w:hAnsi="Times New Roman"/>
          <w:color w:val="000000"/>
          <w:szCs w:val="22"/>
          <w:lang w:val="pt-BR"/>
        </w:rPr>
        <w:tab/>
        <w:t xml:space="preserve">Tomar nota das modificações ao Estatuto da Comissão do Fundo de Capital para os Programas de Bolsas de Estudo e Treinamento da OEA, aprovadas na </w:t>
      </w:r>
      <w:r w:rsidR="00DF490A" w:rsidRPr="00D65A20">
        <w:rPr>
          <w:rFonts w:ascii="Times New Roman" w:hAnsi="Times New Roman"/>
          <w:color w:val="000000"/>
          <w:szCs w:val="22"/>
          <w:lang w:val="pt-BR"/>
        </w:rPr>
        <w:t xml:space="preserve">reunião ordinária </w:t>
      </w:r>
      <w:r w:rsidR="00A925FD" w:rsidRPr="00D65A20">
        <w:rPr>
          <w:rFonts w:ascii="Times New Roman" w:hAnsi="Times New Roman"/>
          <w:color w:val="000000"/>
          <w:szCs w:val="22"/>
          <w:lang w:val="pt-BR"/>
        </w:rPr>
        <w:t>do CIDI de 30 de junho de 2020, mediante a resolução CIDI/RES.</w:t>
      </w:r>
      <w:r w:rsidR="007D202A" w:rsidRPr="00D65A20">
        <w:rPr>
          <w:rFonts w:ascii="Times New Roman" w:hAnsi="Times New Roman"/>
          <w:color w:val="000000"/>
          <w:szCs w:val="22"/>
          <w:lang w:val="pt-BR"/>
        </w:rPr>
        <w:t xml:space="preserve"> </w:t>
      </w:r>
      <w:r w:rsidR="00A925FD" w:rsidRPr="00D65A20">
        <w:rPr>
          <w:rFonts w:ascii="Times New Roman" w:hAnsi="Times New Roman"/>
          <w:color w:val="000000"/>
          <w:szCs w:val="22"/>
          <w:lang w:val="pt-BR"/>
        </w:rPr>
        <w:t xml:space="preserve">342 (CII-O/20). </w:t>
      </w:r>
    </w:p>
    <w:p w14:paraId="6E834560"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6E834561"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Calibri" w:hAnsi="Times New Roman"/>
          <w:szCs w:val="22"/>
          <w:lang w:val="pt-BR"/>
        </w:rPr>
      </w:pPr>
      <w:r w:rsidRPr="00D65A20">
        <w:rPr>
          <w:rFonts w:ascii="Times New Roman" w:eastAsia="Calibri" w:hAnsi="Times New Roman"/>
          <w:szCs w:val="22"/>
          <w:lang w:val="pt-BR"/>
        </w:rPr>
        <w:t>VII.</w:t>
      </w:r>
      <w:r w:rsidRPr="00D65A20">
        <w:rPr>
          <w:rFonts w:ascii="Times New Roman" w:eastAsia="Calibri" w:hAnsi="Times New Roman"/>
          <w:szCs w:val="22"/>
          <w:lang w:val="pt-BR"/>
        </w:rPr>
        <w:tab/>
        <w:t>COM RESPEITO À LINHA ESTRATÉGICA “PROMOVER A INCLUSÃO SOCIAL COM EQUIDADE, A FIM DE CONTRIBUIR PARA O DESENVOLVIMENTO SUSTENTÁVEL NAS AMÉRICAS”</w:t>
      </w:r>
    </w:p>
    <w:p w14:paraId="6E834562"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6E834563"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pt-BR"/>
        </w:rPr>
      </w:pPr>
      <w:r w:rsidRPr="00D65A20">
        <w:rPr>
          <w:rFonts w:ascii="Times New Roman" w:eastAsia="Calibri" w:hAnsi="Times New Roman"/>
          <w:color w:val="000000"/>
          <w:szCs w:val="22"/>
          <w:lang w:val="pt-BR"/>
        </w:rPr>
        <w:t>50.</w:t>
      </w:r>
      <w:r w:rsidRPr="00D65A20">
        <w:rPr>
          <w:rFonts w:ascii="Times New Roman" w:eastAsia="Calibri" w:hAnsi="Times New Roman"/>
          <w:color w:val="000000"/>
          <w:szCs w:val="22"/>
          <w:lang w:val="pt-BR"/>
        </w:rPr>
        <w:tab/>
        <w:t xml:space="preserve">Reafirmar a importância de que se tenha aprovado, pela primeira vez em esfera interamericana, no âmbito do desenvolvimento social, o Plano de Ação da Guatemala 2019, “Superando a pobreza multidimensional e preenchendo as lacunas da equidade social: </w:t>
      </w:r>
      <w:r w:rsidR="00310322" w:rsidRPr="00D65A20">
        <w:rPr>
          <w:rFonts w:ascii="Times New Roman" w:eastAsia="Calibri" w:hAnsi="Times New Roman"/>
          <w:color w:val="000000"/>
          <w:szCs w:val="22"/>
          <w:lang w:val="pt-BR"/>
        </w:rPr>
        <w:t>P</w:t>
      </w:r>
      <w:r w:rsidRPr="00D65A20">
        <w:rPr>
          <w:rFonts w:ascii="Times New Roman" w:eastAsia="Calibri" w:hAnsi="Times New Roman"/>
          <w:color w:val="000000"/>
          <w:szCs w:val="22"/>
          <w:lang w:val="pt-BR"/>
        </w:rPr>
        <w:t>ara uma agenda interamericana de desenvolvimento social” (CIDI/REMDES/doc.6/19</w:t>
      </w:r>
      <w:r w:rsidRPr="00D65A20">
        <w:rPr>
          <w:rFonts w:ascii="Times New Roman" w:eastAsia="Calibri" w:hAnsi="Times New Roman"/>
          <w:color w:val="1F497D"/>
          <w:szCs w:val="22"/>
          <w:lang w:val="pt-BR"/>
        </w:rPr>
        <w:t xml:space="preserve"> </w:t>
      </w:r>
      <w:r w:rsidRPr="00D65A20">
        <w:rPr>
          <w:rFonts w:ascii="Times New Roman" w:eastAsia="Calibri" w:hAnsi="Times New Roman"/>
          <w:color w:val="000000"/>
          <w:szCs w:val="22"/>
          <w:lang w:val="pt-BR"/>
        </w:rPr>
        <w:t>rev.3)</w:t>
      </w:r>
      <w:r w:rsidR="00310322" w:rsidRPr="00D65A20">
        <w:rPr>
          <w:rFonts w:ascii="Times New Roman" w:eastAsia="Calibri" w:hAnsi="Times New Roman"/>
          <w:color w:val="000000"/>
          <w:szCs w:val="22"/>
          <w:lang w:val="pt-BR"/>
        </w:rPr>
        <w:t>,</w:t>
      </w:r>
      <w:r w:rsidRPr="00D65A20">
        <w:rPr>
          <w:rFonts w:ascii="Times New Roman" w:eastAsia="Calibri" w:hAnsi="Times New Roman"/>
          <w:color w:val="000000"/>
          <w:szCs w:val="22"/>
          <w:lang w:val="pt-BR"/>
        </w:rPr>
        <w:t xml:space="preserve"> como roteiro que define ações concretas para avançar na promoção do desenvolvimento social na região, e instar os Estados membros a que participem ativamente dos </w:t>
      </w:r>
      <w:r w:rsidR="00DF490A" w:rsidRPr="00D65A20">
        <w:rPr>
          <w:rFonts w:ascii="Times New Roman" w:eastAsia="Calibri" w:hAnsi="Times New Roman"/>
          <w:color w:val="000000"/>
          <w:szCs w:val="22"/>
          <w:lang w:val="pt-BR"/>
        </w:rPr>
        <w:t>grupos de trabal</w:t>
      </w:r>
      <w:r w:rsidRPr="00D65A20">
        <w:rPr>
          <w:rFonts w:ascii="Times New Roman" w:eastAsia="Calibri" w:hAnsi="Times New Roman"/>
          <w:color w:val="000000"/>
          <w:szCs w:val="22"/>
          <w:lang w:val="pt-BR"/>
        </w:rPr>
        <w:t>ho e das discussões de um plano de trabalho, bem como das atividades organizadas pela Secretaria de Acesso a Direitos e Equidade para a implementação do Plano de Ação.</w:t>
      </w:r>
    </w:p>
    <w:p w14:paraId="6E834564"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565"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ind w:firstLine="742"/>
        <w:rPr>
          <w:rFonts w:ascii="Times New Roman" w:hAnsi="Times New Roman"/>
          <w:szCs w:val="22"/>
          <w:lang w:val="pt-BR"/>
        </w:rPr>
      </w:pPr>
      <w:r w:rsidRPr="00D65A20">
        <w:rPr>
          <w:rFonts w:ascii="Times New Roman" w:hAnsi="Times New Roman"/>
          <w:color w:val="000000"/>
          <w:szCs w:val="22"/>
          <w:lang w:val="pt-BR"/>
        </w:rPr>
        <w:t>51.</w:t>
      </w:r>
      <w:r w:rsidRPr="00D65A20">
        <w:rPr>
          <w:rFonts w:ascii="Times New Roman" w:hAnsi="Times New Roman"/>
          <w:color w:val="000000"/>
          <w:szCs w:val="22"/>
          <w:lang w:val="pt-BR"/>
        </w:rPr>
        <w:tab/>
        <w:t xml:space="preserve">Incentivar os Estados membros, </w:t>
      </w:r>
      <w:r w:rsidR="008D568B" w:rsidRPr="00D65A20">
        <w:rPr>
          <w:rFonts w:ascii="Times New Roman" w:hAnsi="Times New Roman"/>
          <w:color w:val="000000"/>
          <w:szCs w:val="22"/>
          <w:lang w:val="pt-BR"/>
        </w:rPr>
        <w:t xml:space="preserve">os </w:t>
      </w:r>
      <w:r w:rsidRPr="00D65A20">
        <w:rPr>
          <w:rFonts w:ascii="Times New Roman" w:hAnsi="Times New Roman"/>
          <w:color w:val="000000"/>
          <w:szCs w:val="22"/>
          <w:lang w:val="pt-BR"/>
        </w:rPr>
        <w:t xml:space="preserve">Observadores Permanentes e outros doadores a que contribuam para o “Fundo para a implementação do Plano de Ação da Guatemala 2019”, na medida de suas possibilidades, para assegurar o financiamento das atividades do mencionado </w:t>
      </w:r>
      <w:r w:rsidR="00310322" w:rsidRPr="00D65A20">
        <w:rPr>
          <w:rFonts w:ascii="Times New Roman" w:hAnsi="Times New Roman"/>
          <w:color w:val="000000"/>
          <w:szCs w:val="22"/>
          <w:lang w:val="pt-BR"/>
        </w:rPr>
        <w:t>p</w:t>
      </w:r>
      <w:r w:rsidRPr="00D65A20">
        <w:rPr>
          <w:rFonts w:ascii="Times New Roman" w:hAnsi="Times New Roman"/>
          <w:color w:val="000000"/>
          <w:szCs w:val="22"/>
          <w:lang w:val="pt-BR"/>
        </w:rPr>
        <w:t>lano.</w:t>
      </w:r>
    </w:p>
    <w:p w14:paraId="6E834566"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567" w14:textId="10C62E51" w:rsidR="00A925FD" w:rsidRPr="00D65A20" w:rsidRDefault="00A925FD" w:rsidP="00AA4399">
      <w:pPr>
        <w:widowControl/>
        <w:tabs>
          <w:tab w:val="clear" w:pos="2880"/>
          <w:tab w:val="clear" w:pos="3600"/>
          <w:tab w:val="clear" w:pos="4320"/>
          <w:tab w:val="clear" w:pos="5760"/>
          <w:tab w:val="clear" w:pos="6480"/>
          <w:tab w:val="clear" w:pos="7200"/>
          <w:tab w:val="clear" w:pos="7920"/>
        </w:tabs>
        <w:ind w:firstLine="741"/>
        <w:rPr>
          <w:rFonts w:ascii="Times New Roman" w:hAnsi="Times New Roman"/>
          <w:color w:val="000000"/>
          <w:szCs w:val="22"/>
          <w:shd w:val="clear" w:color="auto" w:fill="00FFFF"/>
          <w:lang w:val="pt-BR"/>
        </w:rPr>
      </w:pPr>
      <w:r w:rsidRPr="00D65A20">
        <w:rPr>
          <w:rFonts w:ascii="Times New Roman" w:hAnsi="Times New Roman"/>
          <w:color w:val="000000"/>
          <w:szCs w:val="22"/>
          <w:lang w:val="pt-BR"/>
        </w:rPr>
        <w:t xml:space="preserve">52. </w:t>
      </w:r>
      <w:r w:rsidRPr="00D65A20">
        <w:rPr>
          <w:rFonts w:ascii="Times New Roman" w:hAnsi="Times New Roman"/>
          <w:color w:val="000000"/>
          <w:szCs w:val="22"/>
          <w:lang w:val="pt-BR"/>
        </w:rPr>
        <w:tab/>
        <w:t xml:space="preserve">Incentivar os Estados membros a que fortaleçam seus sistemas de proteção social e a que levem em consideração as necessidades das populações </w:t>
      </w:r>
      <w:r w:rsidR="007D202A" w:rsidRPr="00D65A20">
        <w:rPr>
          <w:rFonts w:ascii="Times New Roman" w:hAnsi="Times New Roman"/>
          <w:color w:val="000000"/>
          <w:szCs w:val="22"/>
          <w:lang w:val="pt-BR"/>
        </w:rPr>
        <w:t xml:space="preserve">pobres e </w:t>
      </w:r>
      <w:r w:rsidRPr="00D65A20">
        <w:rPr>
          <w:rFonts w:ascii="Times New Roman" w:hAnsi="Times New Roman"/>
          <w:color w:val="000000"/>
          <w:szCs w:val="22"/>
          <w:lang w:val="pt-BR"/>
        </w:rPr>
        <w:t>vulneráveis que tenham sido afetad</w:t>
      </w:r>
      <w:r w:rsidR="008A7D30" w:rsidRPr="00D65A20">
        <w:rPr>
          <w:rFonts w:ascii="Times New Roman" w:hAnsi="Times New Roman"/>
          <w:color w:val="000000"/>
          <w:szCs w:val="22"/>
          <w:lang w:val="pt-BR"/>
        </w:rPr>
        <w:t>a</w:t>
      </w:r>
      <w:r w:rsidRPr="00D65A20">
        <w:rPr>
          <w:rFonts w:ascii="Times New Roman" w:hAnsi="Times New Roman"/>
          <w:color w:val="000000"/>
          <w:szCs w:val="22"/>
          <w:lang w:val="pt-BR"/>
        </w:rPr>
        <w:t xml:space="preserve">s pela pandemia de </w:t>
      </w:r>
      <w:r w:rsidR="00310322" w:rsidRPr="00D65A20">
        <w:rPr>
          <w:rFonts w:ascii="Times New Roman" w:hAnsi="Times New Roman"/>
          <w:color w:val="000000"/>
          <w:szCs w:val="22"/>
          <w:lang w:val="pt-BR"/>
        </w:rPr>
        <w:t>covid</w:t>
      </w:r>
      <w:r w:rsidRPr="00D65A20">
        <w:rPr>
          <w:rFonts w:ascii="Times New Roman" w:hAnsi="Times New Roman"/>
          <w:color w:val="000000"/>
          <w:szCs w:val="22"/>
          <w:lang w:val="pt-BR"/>
        </w:rPr>
        <w:t>-19</w:t>
      </w:r>
      <w:r w:rsidR="00507847" w:rsidRPr="00D65A20">
        <w:rPr>
          <w:rFonts w:ascii="Times New Roman" w:hAnsi="Times New Roman"/>
          <w:color w:val="000000"/>
          <w:szCs w:val="22"/>
          <w:lang w:val="pt-BR"/>
        </w:rPr>
        <w:t>, bem como</w:t>
      </w:r>
      <w:r w:rsidRPr="00D65A20">
        <w:rPr>
          <w:rFonts w:ascii="Times New Roman" w:hAnsi="Times New Roman"/>
          <w:color w:val="000000"/>
          <w:szCs w:val="22"/>
          <w:lang w:val="pt-BR"/>
        </w:rPr>
        <w:t xml:space="preserve"> a que </w:t>
      </w:r>
      <w:r w:rsidR="00917BC3">
        <w:rPr>
          <w:rFonts w:ascii="Times New Roman" w:hAnsi="Times New Roman"/>
          <w:color w:val="000000"/>
          <w:szCs w:val="22"/>
          <w:lang w:val="pt-BR"/>
        </w:rPr>
        <w:t>otimizem</w:t>
      </w:r>
      <w:r w:rsidRPr="00D65A20">
        <w:rPr>
          <w:rFonts w:ascii="Times New Roman" w:hAnsi="Times New Roman"/>
          <w:color w:val="000000"/>
          <w:szCs w:val="22"/>
          <w:lang w:val="pt-BR"/>
        </w:rPr>
        <w:t xml:space="preserve"> e atualizem seus bancos de dados de proteção social, conforme seja pertinente, para que se consiga uma inclusão social coerente com a nova realidade.</w:t>
      </w:r>
    </w:p>
    <w:p w14:paraId="6E834568" w14:textId="77777777" w:rsidR="00A925FD" w:rsidRPr="00D65A20" w:rsidRDefault="00A925FD" w:rsidP="00AA4399">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569" w14:textId="210F9DD0" w:rsidR="00A925FD" w:rsidRPr="00D65A20" w:rsidRDefault="00A925FD" w:rsidP="00AA4399">
      <w:pPr>
        <w:widowControl/>
        <w:numPr>
          <w:ilvl w:val="0"/>
          <w:numId w:val="2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textAlignment w:val="baseline"/>
        <w:rPr>
          <w:rFonts w:ascii="Times New Roman" w:eastAsia="Calibri" w:hAnsi="Times New Roman"/>
          <w:color w:val="000000"/>
          <w:szCs w:val="22"/>
          <w:lang w:val="pt-BR"/>
        </w:rPr>
      </w:pPr>
      <w:r w:rsidRPr="00D65A20">
        <w:rPr>
          <w:rFonts w:ascii="Times New Roman" w:eastAsia="Calibri" w:hAnsi="Times New Roman"/>
          <w:color w:val="000000"/>
          <w:szCs w:val="22"/>
          <w:lang w:val="pt-BR"/>
        </w:rPr>
        <w:t xml:space="preserve">Reconhecer a importância estratégica da cooperação solidária como ferramenta para apoiar os esforços dos Estados membros por superar a pobreza e a desigualdade e fazer frente às consequências da pandemia de </w:t>
      </w:r>
      <w:r w:rsidR="00146733" w:rsidRPr="00D65A20">
        <w:rPr>
          <w:rFonts w:ascii="Times New Roman" w:eastAsia="Calibri" w:hAnsi="Times New Roman"/>
          <w:color w:val="000000"/>
          <w:szCs w:val="22"/>
          <w:lang w:val="pt-BR"/>
        </w:rPr>
        <w:t>covid</w:t>
      </w:r>
      <w:r w:rsidRPr="00D65A20">
        <w:rPr>
          <w:rFonts w:ascii="Times New Roman" w:eastAsia="Calibri" w:hAnsi="Times New Roman"/>
          <w:color w:val="000000"/>
          <w:szCs w:val="22"/>
          <w:lang w:val="pt-BR"/>
        </w:rPr>
        <w:t xml:space="preserve">-19 no contexto da promoção do desenvolvimento sustentável. Nesse sentido, instar os Estados membros a que apoiem e reforcem o trabalho da Rede Interamericana de Proteção Social como mecanismo hemisférico de cooperação em matéria de desenvolvimento social para fortalecer as instituições e organismos encarregados das políticas sociais nos Estados membros, mediante o intercâmbio de conhecimentos, lições aprendidas e experiências, assistência técnica, aprendizagem mútua e cooperação técnica entre países. </w:t>
      </w:r>
    </w:p>
    <w:p w14:paraId="6E83456A"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eastAsia="Calibri" w:hAnsi="Times New Roman"/>
          <w:color w:val="000000"/>
          <w:szCs w:val="22"/>
          <w:lang w:val="pt-BR"/>
        </w:rPr>
      </w:pPr>
    </w:p>
    <w:p w14:paraId="6E83456B"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630"/>
        <w:rPr>
          <w:rFonts w:ascii="Times New Roman" w:eastAsia="Calibri" w:hAnsi="Times New Roman"/>
          <w:color w:val="000000"/>
          <w:szCs w:val="22"/>
          <w:lang w:val="pt-BR"/>
        </w:rPr>
      </w:pPr>
      <w:r w:rsidRPr="00D65A20">
        <w:rPr>
          <w:rFonts w:ascii="Times New Roman" w:eastAsia="Calibri" w:hAnsi="Times New Roman"/>
          <w:bCs/>
          <w:color w:val="000000"/>
          <w:szCs w:val="22"/>
          <w:lang w:val="pt-BR"/>
        </w:rPr>
        <w:lastRenderedPageBreak/>
        <w:t>54.</w:t>
      </w:r>
      <w:r w:rsidRPr="00D65A20">
        <w:rPr>
          <w:rFonts w:ascii="Times New Roman" w:eastAsia="Calibri" w:hAnsi="Times New Roman"/>
          <w:bCs/>
          <w:color w:val="000000"/>
          <w:szCs w:val="22"/>
          <w:lang w:val="pt-BR"/>
        </w:rPr>
        <w:tab/>
      </w:r>
      <w:r w:rsidRPr="00D65A20">
        <w:rPr>
          <w:rFonts w:ascii="Times New Roman" w:eastAsia="Calibri" w:hAnsi="Times New Roman"/>
          <w:color w:val="000000"/>
          <w:szCs w:val="22"/>
          <w:lang w:val="pt-BR"/>
        </w:rPr>
        <w:t xml:space="preserve">Continuar prestando assistência técnica aos Estados membros que </w:t>
      </w:r>
      <w:r w:rsidR="00C2297C" w:rsidRPr="00D65A20">
        <w:rPr>
          <w:rFonts w:ascii="Times New Roman" w:eastAsia="Calibri" w:hAnsi="Times New Roman"/>
          <w:color w:val="000000"/>
          <w:szCs w:val="22"/>
          <w:lang w:val="pt-BR"/>
        </w:rPr>
        <w:t xml:space="preserve">assim </w:t>
      </w:r>
      <w:r w:rsidRPr="00D65A20">
        <w:rPr>
          <w:rFonts w:ascii="Times New Roman" w:eastAsia="Calibri" w:hAnsi="Times New Roman"/>
          <w:color w:val="000000"/>
          <w:szCs w:val="22"/>
          <w:lang w:val="pt-BR"/>
        </w:rPr>
        <w:t>o solicitem na formulação e implementação de políticas que garantam a todas as crianças e adolescentes o desenvolvimento integral pleno, no âmbito da transversalidade atribuída ao tema no Plano Estratégico Integral da Organização em vigor; e incentivar os Estados membros a que considerem continuar investindo nessa área, de acordo com sua legislação, prioridades nacionais e recursos disponíveis.</w:t>
      </w:r>
      <w:r w:rsidRPr="00D65A20">
        <w:rPr>
          <w:rFonts w:ascii="Times New Roman" w:eastAsia="Calibri" w:hAnsi="Times New Roman"/>
          <w:bCs/>
          <w:color w:val="000000"/>
          <w:szCs w:val="22"/>
          <w:lang w:val="pt-BR"/>
        </w:rPr>
        <w:t xml:space="preserve"> </w:t>
      </w:r>
    </w:p>
    <w:p w14:paraId="6E83456C"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Calibri" w:hAnsi="Times New Roman"/>
          <w:szCs w:val="22"/>
          <w:lang w:val="pt-BR"/>
        </w:rPr>
      </w:pPr>
    </w:p>
    <w:p w14:paraId="6E83456D"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Calibri" w:hAnsi="Times New Roman"/>
          <w:szCs w:val="22"/>
          <w:lang w:val="pt-BR"/>
        </w:rPr>
      </w:pPr>
      <w:r w:rsidRPr="00D65A20">
        <w:rPr>
          <w:rFonts w:ascii="Times New Roman" w:eastAsia="Calibri" w:hAnsi="Times New Roman"/>
          <w:szCs w:val="22"/>
          <w:lang w:val="pt-BR"/>
        </w:rPr>
        <w:t>VIII.</w:t>
      </w:r>
      <w:r w:rsidRPr="00D65A20">
        <w:rPr>
          <w:rFonts w:ascii="Times New Roman" w:eastAsia="Calibri" w:hAnsi="Times New Roman"/>
          <w:szCs w:val="22"/>
          <w:lang w:val="pt-BR"/>
        </w:rPr>
        <w:tab/>
        <w:t>COM RESPEITO À CONTINUAÇÃO DOS PROCESSOS SETORIAIS NO ÂMBITO DO CIDI</w:t>
      </w:r>
    </w:p>
    <w:p w14:paraId="6E83456E"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Calibri" w:hAnsi="Times New Roman"/>
          <w:szCs w:val="22"/>
          <w:lang w:val="pt-BR"/>
        </w:rPr>
      </w:pPr>
    </w:p>
    <w:p w14:paraId="6E834570" w14:textId="082CDC88" w:rsidR="00A925FD" w:rsidRPr="00C2498D" w:rsidRDefault="00A925FD" w:rsidP="00C2498D">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color w:val="000000"/>
          <w:szCs w:val="22"/>
          <w:lang w:val="pt-BR"/>
        </w:rPr>
      </w:pPr>
      <w:r w:rsidRPr="00D65A20">
        <w:rPr>
          <w:rFonts w:ascii="Times New Roman" w:eastAsia="Calibri" w:hAnsi="Times New Roman"/>
          <w:bCs/>
          <w:color w:val="000000"/>
          <w:szCs w:val="22"/>
          <w:lang w:val="pt-BR"/>
        </w:rPr>
        <w:t xml:space="preserve">Aprovar o </w:t>
      </w:r>
      <w:r w:rsidRPr="00D65A20">
        <w:rPr>
          <w:rFonts w:ascii="Times New Roman" w:eastAsia="Calibri" w:hAnsi="Times New Roman"/>
          <w:color w:val="000000"/>
          <w:szCs w:val="22"/>
          <w:lang w:val="pt-BR"/>
        </w:rPr>
        <w:t>seguinte calendário para as reuniões de ministros e altas autoridades no âmbito do CIDI</w:t>
      </w:r>
      <w:r w:rsidRPr="00D65A20">
        <w:rPr>
          <w:rFonts w:ascii="Times New Roman" w:eastAsia="Calibri" w:hAnsi="Times New Roman"/>
          <w:bCs/>
          <w:color w:val="000000"/>
          <w:szCs w:val="22"/>
          <w:lang w:val="pt-BR"/>
        </w:rPr>
        <w:t xml:space="preserve">, levando em conta as dificuldades provenientes do contexto da pandemia de </w:t>
      </w:r>
      <w:r w:rsidR="00146733" w:rsidRPr="00D65A20">
        <w:rPr>
          <w:rFonts w:ascii="Times New Roman" w:eastAsia="Calibri" w:hAnsi="Times New Roman"/>
          <w:bCs/>
          <w:color w:val="000000"/>
          <w:szCs w:val="22"/>
          <w:lang w:val="pt-BR"/>
        </w:rPr>
        <w:t>covid</w:t>
      </w:r>
      <w:r w:rsidRPr="00D65A20">
        <w:rPr>
          <w:rFonts w:ascii="Times New Roman" w:eastAsia="Calibri" w:hAnsi="Times New Roman"/>
          <w:bCs/>
          <w:color w:val="000000"/>
          <w:szCs w:val="22"/>
          <w:lang w:val="pt-BR"/>
        </w:rPr>
        <w:t>-19, bem como o número máximo de reuniões que possam ser realizadas em função dos recursos alocados do Fundo Ordinário da Organização,</w:t>
      </w:r>
      <w:r w:rsidRPr="00D65A20">
        <w:rPr>
          <w:rFonts w:ascii="Times New Roman" w:eastAsia="Calibri" w:hAnsi="Times New Roman"/>
          <w:color w:val="000000"/>
          <w:szCs w:val="22"/>
          <w:lang w:val="pt-BR"/>
        </w:rPr>
        <w:t xml:space="preserve"> e encarregar a Secretaria-Geral de continuar implementando as diretrizes acordadas no ciclo ministerial trienal, em coordenação com as autoridades competentes de cada setor:</w:t>
      </w:r>
    </w:p>
    <w:p w14:paraId="6E834571"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607"/>
        <w:rPr>
          <w:rFonts w:ascii="Times New Roman" w:eastAsia="Calibri" w:hAnsi="Times New Roman"/>
          <w:sz w:val="16"/>
          <w:szCs w:val="16"/>
          <w:lang w:val="pt-BR"/>
        </w:rPr>
      </w:pPr>
    </w:p>
    <w:tbl>
      <w:tblPr>
        <w:tblW w:w="10268" w:type="dxa"/>
        <w:jc w:val="center"/>
        <w:tblLook w:val="04A0" w:firstRow="1" w:lastRow="0" w:firstColumn="1" w:lastColumn="0" w:noHBand="0" w:noVBand="1"/>
      </w:tblPr>
      <w:tblGrid>
        <w:gridCol w:w="1346"/>
        <w:gridCol w:w="1144"/>
        <w:gridCol w:w="1712"/>
        <w:gridCol w:w="1548"/>
        <w:gridCol w:w="1620"/>
        <w:gridCol w:w="1350"/>
        <w:gridCol w:w="1548"/>
      </w:tblGrid>
      <w:tr w:rsidR="00A925FD" w:rsidRPr="00D65A20" w14:paraId="6E834579" w14:textId="77777777" w:rsidTr="00A925FD">
        <w:trPr>
          <w:trHeight w:val="88"/>
          <w:jc w:val="center"/>
        </w:trPr>
        <w:tc>
          <w:tcPr>
            <w:tcW w:w="1346" w:type="dxa"/>
            <w:tcBorders>
              <w:top w:val="single" w:sz="8" w:space="0" w:color="FFFFFF"/>
              <w:left w:val="single" w:sz="8" w:space="0" w:color="FFFFFF"/>
              <w:bottom w:val="single" w:sz="24" w:space="0" w:color="FFFFFF"/>
              <w:right w:val="single" w:sz="8" w:space="0" w:color="FFFFFF"/>
            </w:tcBorders>
            <w:shd w:val="clear" w:color="auto" w:fill="D9D9D9"/>
            <w:vAlign w:val="center"/>
            <w:hideMark/>
          </w:tcPr>
          <w:p w14:paraId="6E834572"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Processo setorial</w:t>
            </w:r>
          </w:p>
        </w:tc>
        <w:tc>
          <w:tcPr>
            <w:tcW w:w="1144" w:type="dxa"/>
            <w:tcBorders>
              <w:top w:val="single" w:sz="8" w:space="0" w:color="FFFFFF"/>
              <w:left w:val="single" w:sz="8" w:space="0" w:color="FFFFFF"/>
              <w:bottom w:val="single" w:sz="24" w:space="0" w:color="FFFFFF"/>
              <w:right w:val="single" w:sz="8" w:space="0" w:color="FFFFFF"/>
            </w:tcBorders>
            <w:shd w:val="clear" w:color="auto" w:fill="D9D9D9"/>
            <w:vAlign w:val="center"/>
            <w:hideMark/>
          </w:tcPr>
          <w:p w14:paraId="6E834573"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2020</w:t>
            </w:r>
          </w:p>
        </w:tc>
        <w:tc>
          <w:tcPr>
            <w:tcW w:w="1712" w:type="dxa"/>
            <w:tcBorders>
              <w:top w:val="single" w:sz="8" w:space="0" w:color="FFFFFF"/>
              <w:left w:val="single" w:sz="8" w:space="0" w:color="FFFFFF"/>
              <w:bottom w:val="single" w:sz="24" w:space="0" w:color="FFFFFF"/>
              <w:right w:val="single" w:sz="8" w:space="0" w:color="FFFFFF"/>
            </w:tcBorders>
            <w:shd w:val="clear" w:color="auto" w:fill="D9D9D9"/>
            <w:vAlign w:val="center"/>
            <w:hideMark/>
          </w:tcPr>
          <w:p w14:paraId="6E834574"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2021</w:t>
            </w:r>
          </w:p>
        </w:tc>
        <w:tc>
          <w:tcPr>
            <w:tcW w:w="1548" w:type="dxa"/>
            <w:tcBorders>
              <w:top w:val="single" w:sz="8" w:space="0" w:color="FFFFFF"/>
              <w:left w:val="single" w:sz="8" w:space="0" w:color="FFFFFF"/>
              <w:bottom w:val="single" w:sz="24" w:space="0" w:color="FFFFFF"/>
              <w:right w:val="single" w:sz="8" w:space="0" w:color="FFFFFF"/>
            </w:tcBorders>
            <w:shd w:val="clear" w:color="auto" w:fill="D9D9D9"/>
            <w:vAlign w:val="center"/>
            <w:hideMark/>
          </w:tcPr>
          <w:p w14:paraId="6E834575"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2022</w:t>
            </w:r>
          </w:p>
        </w:tc>
        <w:tc>
          <w:tcPr>
            <w:tcW w:w="1620" w:type="dxa"/>
            <w:tcBorders>
              <w:top w:val="single" w:sz="8" w:space="0" w:color="FFFFFF"/>
              <w:left w:val="single" w:sz="8" w:space="0" w:color="FFFFFF"/>
              <w:bottom w:val="single" w:sz="24" w:space="0" w:color="FFFFFF"/>
              <w:right w:val="single" w:sz="8" w:space="0" w:color="FFFFFF"/>
            </w:tcBorders>
            <w:shd w:val="clear" w:color="auto" w:fill="D9D9D9"/>
            <w:vAlign w:val="center"/>
            <w:hideMark/>
          </w:tcPr>
          <w:p w14:paraId="6E834576"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2023</w:t>
            </w:r>
          </w:p>
        </w:tc>
        <w:tc>
          <w:tcPr>
            <w:tcW w:w="1350" w:type="dxa"/>
            <w:tcBorders>
              <w:top w:val="single" w:sz="8" w:space="0" w:color="FFFFFF"/>
              <w:left w:val="single" w:sz="8" w:space="0" w:color="FFFFFF"/>
              <w:bottom w:val="single" w:sz="24" w:space="0" w:color="FFFFFF"/>
              <w:right w:val="single" w:sz="8" w:space="0" w:color="FFFFFF"/>
            </w:tcBorders>
            <w:shd w:val="clear" w:color="auto" w:fill="D9D9D9"/>
            <w:tcMar>
              <w:top w:w="15" w:type="dxa"/>
              <w:left w:w="15" w:type="dxa"/>
              <w:bottom w:w="15" w:type="dxa"/>
              <w:right w:w="15" w:type="dxa"/>
            </w:tcMar>
            <w:vAlign w:val="center"/>
            <w:hideMark/>
          </w:tcPr>
          <w:p w14:paraId="6E834577"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2024</w:t>
            </w:r>
          </w:p>
        </w:tc>
        <w:tc>
          <w:tcPr>
            <w:tcW w:w="1548" w:type="dxa"/>
            <w:tcBorders>
              <w:top w:val="single" w:sz="8" w:space="0" w:color="FFFFFF"/>
              <w:left w:val="single" w:sz="8" w:space="0" w:color="FFFFFF"/>
              <w:bottom w:val="single" w:sz="24" w:space="0" w:color="FFFFFF"/>
              <w:right w:val="single" w:sz="8" w:space="0" w:color="FFFFFF"/>
            </w:tcBorders>
            <w:shd w:val="clear" w:color="auto" w:fill="D9D9D9"/>
            <w:tcMar>
              <w:top w:w="15" w:type="dxa"/>
              <w:left w:w="15" w:type="dxa"/>
              <w:bottom w:w="15" w:type="dxa"/>
              <w:right w:w="15" w:type="dxa"/>
            </w:tcMar>
            <w:hideMark/>
          </w:tcPr>
          <w:p w14:paraId="6E834578"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 w:val="16"/>
                <w:szCs w:val="16"/>
                <w:lang w:val="pt-BR"/>
              </w:rPr>
            </w:pPr>
            <w:r w:rsidRPr="00D65A20">
              <w:rPr>
                <w:rFonts w:ascii="Times New Roman" w:eastAsia="Calibri" w:hAnsi="Times New Roman"/>
                <w:color w:val="000000"/>
                <w:sz w:val="16"/>
                <w:szCs w:val="16"/>
                <w:lang w:val="pt-BR"/>
              </w:rPr>
              <w:t xml:space="preserve"> 2025</w:t>
            </w:r>
          </w:p>
        </w:tc>
      </w:tr>
      <w:tr w:rsidR="00A925FD" w:rsidRPr="00D65A20" w14:paraId="6E834584" w14:textId="77777777" w:rsidTr="00A925FD">
        <w:trPr>
          <w:trHeight w:val="534"/>
          <w:jc w:val="center"/>
        </w:trPr>
        <w:tc>
          <w:tcPr>
            <w:tcW w:w="1346" w:type="dxa"/>
            <w:tcBorders>
              <w:top w:val="single" w:sz="24" w:space="0" w:color="FFFFFF"/>
              <w:left w:val="single" w:sz="8" w:space="0" w:color="FFFFFF"/>
              <w:bottom w:val="single" w:sz="8" w:space="0" w:color="FFFFFF"/>
              <w:right w:val="single" w:sz="24" w:space="0" w:color="FFFFFF"/>
            </w:tcBorders>
            <w:shd w:val="clear" w:color="auto" w:fill="D9D9D9"/>
            <w:vAlign w:val="center"/>
            <w:hideMark/>
          </w:tcPr>
          <w:p w14:paraId="6E83457A"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1. Turismo</w:t>
            </w:r>
          </w:p>
        </w:tc>
        <w:tc>
          <w:tcPr>
            <w:tcW w:w="1144" w:type="dxa"/>
            <w:tcBorders>
              <w:top w:val="single" w:sz="24" w:space="0" w:color="FFFFFF"/>
              <w:left w:val="single" w:sz="24" w:space="0" w:color="FFFFFF"/>
              <w:bottom w:val="single" w:sz="8" w:space="0" w:color="FFFFFF"/>
              <w:right w:val="single" w:sz="8" w:space="0" w:color="FFFFFF"/>
            </w:tcBorders>
            <w:shd w:val="clear" w:color="auto" w:fill="C6D9F1"/>
            <w:vAlign w:val="center"/>
            <w:hideMark/>
          </w:tcPr>
          <w:p w14:paraId="6E83457B"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 w:val="16"/>
                <w:szCs w:val="16"/>
                <w:lang w:val="pt-BR"/>
              </w:rPr>
            </w:pPr>
            <w:r w:rsidRPr="00D65A20">
              <w:rPr>
                <w:rFonts w:ascii="Times New Roman" w:eastAsia="Calibri" w:hAnsi="Times New Roman"/>
                <w:color w:val="000000"/>
                <w:sz w:val="16"/>
                <w:szCs w:val="16"/>
                <w:lang w:val="pt-BR"/>
              </w:rPr>
              <w:t>Segunda Reunião Ordinária da CITUR </w:t>
            </w:r>
          </w:p>
          <w:p w14:paraId="6E83457C"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i/>
                <w:sz w:val="16"/>
                <w:szCs w:val="16"/>
                <w:lang w:val="pt-BR"/>
              </w:rPr>
            </w:pPr>
            <w:r w:rsidRPr="00D65A20">
              <w:rPr>
                <w:rFonts w:ascii="Times New Roman" w:eastAsia="Calibri" w:hAnsi="Times New Roman"/>
                <w:i/>
                <w:color w:val="000000"/>
                <w:sz w:val="16"/>
                <w:szCs w:val="16"/>
                <w:lang w:val="pt-BR"/>
              </w:rPr>
              <w:t>(virtual, 19 e 20 de novembro)</w:t>
            </w:r>
          </w:p>
        </w:tc>
        <w:tc>
          <w:tcPr>
            <w:tcW w:w="1712" w:type="dxa"/>
            <w:tcBorders>
              <w:top w:val="single" w:sz="24" w:space="0" w:color="FFFFFF"/>
              <w:left w:val="single" w:sz="8" w:space="0" w:color="FFFFFF"/>
              <w:bottom w:val="single" w:sz="8" w:space="0" w:color="FFFFFF"/>
              <w:right w:val="single" w:sz="8" w:space="0" w:color="FFFFFF"/>
            </w:tcBorders>
            <w:shd w:val="clear" w:color="auto" w:fill="C6D9F1"/>
            <w:vAlign w:val="center"/>
            <w:hideMark/>
          </w:tcPr>
          <w:p w14:paraId="6E83457D"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sz w:val="16"/>
                <w:szCs w:val="16"/>
                <w:lang w:val="pt-BR"/>
              </w:rPr>
            </w:pPr>
            <w:r w:rsidRPr="00D65A20">
              <w:rPr>
                <w:rFonts w:ascii="Times New Roman" w:hAnsi="Times New Roman"/>
                <w:color w:val="000000"/>
                <w:sz w:val="16"/>
                <w:szCs w:val="16"/>
                <w:lang w:val="pt-BR"/>
              </w:rPr>
              <w:t xml:space="preserve">Vigésima Quinta Reunião Ministerial de Turismo </w:t>
            </w:r>
          </w:p>
          <w:p w14:paraId="6E83457E"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i/>
                <w:iCs/>
                <w:color w:val="000000"/>
                <w:sz w:val="16"/>
                <w:szCs w:val="16"/>
                <w:lang w:val="pt-BR"/>
              </w:rPr>
              <w:t>(Paraguai)</w:t>
            </w:r>
          </w:p>
        </w:tc>
        <w:tc>
          <w:tcPr>
            <w:tcW w:w="1548" w:type="dxa"/>
            <w:tcBorders>
              <w:top w:val="single" w:sz="24" w:space="0" w:color="FFFFFF"/>
              <w:left w:val="single" w:sz="8" w:space="0" w:color="FFFFFF"/>
              <w:bottom w:val="single" w:sz="8" w:space="0" w:color="FFFFFF"/>
              <w:right w:val="single" w:sz="8" w:space="0" w:color="FFFFFF"/>
            </w:tcBorders>
            <w:shd w:val="clear" w:color="auto" w:fill="C6D9F1"/>
            <w:vAlign w:val="center"/>
            <w:hideMark/>
          </w:tcPr>
          <w:p w14:paraId="6E83457F"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20"/>
                <w:lang w:val="pt-BR"/>
              </w:rPr>
            </w:pPr>
          </w:p>
        </w:tc>
        <w:tc>
          <w:tcPr>
            <w:tcW w:w="1620" w:type="dxa"/>
            <w:tcBorders>
              <w:top w:val="single" w:sz="24" w:space="0" w:color="FFFFFF"/>
              <w:left w:val="single" w:sz="8" w:space="0" w:color="FFFFFF"/>
              <w:bottom w:val="single" w:sz="8" w:space="0" w:color="FFFFFF"/>
              <w:right w:val="single" w:sz="8" w:space="0" w:color="FFFFFF"/>
            </w:tcBorders>
            <w:shd w:val="clear" w:color="auto" w:fill="C6D9F1"/>
            <w:vAlign w:val="center"/>
            <w:hideMark/>
          </w:tcPr>
          <w:p w14:paraId="6E834580"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Terceira Reunião da CITUR</w:t>
            </w:r>
          </w:p>
        </w:tc>
        <w:tc>
          <w:tcPr>
            <w:tcW w:w="1350" w:type="dxa"/>
            <w:tcBorders>
              <w:top w:val="single" w:sz="24" w:space="0" w:color="FFFFFF"/>
              <w:left w:val="single" w:sz="8" w:space="0" w:color="FFFFFF"/>
              <w:bottom w:val="single" w:sz="8" w:space="0" w:color="FFFFFF"/>
              <w:right w:val="single" w:sz="8" w:space="0" w:color="FFFFFF"/>
            </w:tcBorders>
            <w:shd w:val="clear" w:color="auto" w:fill="C6D9F1"/>
            <w:tcMar>
              <w:top w:w="15" w:type="dxa"/>
              <w:left w:w="15" w:type="dxa"/>
              <w:bottom w:w="15" w:type="dxa"/>
              <w:right w:w="15" w:type="dxa"/>
            </w:tcMar>
            <w:vAlign w:val="center"/>
            <w:hideMark/>
          </w:tcPr>
          <w:p w14:paraId="6E834581"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 w:val="16"/>
                <w:szCs w:val="16"/>
                <w:lang w:val="pt-BR"/>
              </w:rPr>
            </w:pPr>
            <w:r w:rsidRPr="00D65A20">
              <w:rPr>
                <w:rFonts w:ascii="Times New Roman" w:hAnsi="Times New Roman"/>
                <w:color w:val="000000"/>
                <w:sz w:val="16"/>
                <w:szCs w:val="16"/>
                <w:lang w:val="pt-BR"/>
              </w:rPr>
              <w:t>Vigésima Sexta Reunião Ministerial de Turismo</w:t>
            </w:r>
          </w:p>
          <w:p w14:paraId="6E834582" w14:textId="209C0742" w:rsidR="00A925FD" w:rsidRPr="00D65A20" w:rsidRDefault="00A925FD" w:rsidP="0031032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16"/>
                <w:szCs w:val="16"/>
                <w:lang w:val="pt-BR"/>
              </w:rPr>
            </w:pPr>
            <w:r w:rsidRPr="00D65A20">
              <w:rPr>
                <w:rFonts w:ascii="Times New Roman" w:eastAsia="Calibri" w:hAnsi="Times New Roman"/>
                <w:i/>
                <w:iCs/>
                <w:color w:val="000000"/>
                <w:sz w:val="16"/>
                <w:szCs w:val="16"/>
                <w:lang w:val="pt-BR"/>
              </w:rPr>
              <w:t>(</w:t>
            </w:r>
            <w:r w:rsidR="00310322" w:rsidRPr="00D65A20">
              <w:rPr>
                <w:rFonts w:ascii="Times New Roman" w:eastAsia="Calibri" w:hAnsi="Times New Roman"/>
                <w:i/>
                <w:iCs/>
                <w:color w:val="000000"/>
                <w:sz w:val="16"/>
                <w:szCs w:val="16"/>
                <w:lang w:val="pt-BR"/>
              </w:rPr>
              <w:t xml:space="preserve">sede </w:t>
            </w:r>
            <w:r w:rsidRPr="00D65A20">
              <w:rPr>
                <w:rFonts w:ascii="Times New Roman" w:eastAsia="Calibri" w:hAnsi="Times New Roman"/>
                <w:i/>
                <w:iCs/>
                <w:color w:val="000000"/>
                <w:sz w:val="16"/>
                <w:szCs w:val="16"/>
                <w:lang w:val="pt-BR"/>
              </w:rPr>
              <w:t>a ser definid</w:t>
            </w:r>
            <w:r w:rsidR="00310322" w:rsidRPr="00D65A20">
              <w:rPr>
                <w:rFonts w:ascii="Times New Roman" w:eastAsia="Calibri" w:hAnsi="Times New Roman"/>
                <w:i/>
                <w:iCs/>
                <w:color w:val="000000"/>
                <w:sz w:val="16"/>
                <w:szCs w:val="16"/>
                <w:lang w:val="pt-BR"/>
              </w:rPr>
              <w:t>a</w:t>
            </w:r>
            <w:r w:rsidRPr="00D65A20">
              <w:rPr>
                <w:rFonts w:ascii="Times New Roman" w:eastAsia="Calibri" w:hAnsi="Times New Roman"/>
                <w:i/>
                <w:iCs/>
                <w:color w:val="000000"/>
                <w:sz w:val="16"/>
                <w:szCs w:val="16"/>
                <w:lang w:val="pt-BR"/>
              </w:rPr>
              <w:t>)</w:t>
            </w:r>
          </w:p>
        </w:tc>
        <w:tc>
          <w:tcPr>
            <w:tcW w:w="1548" w:type="dxa"/>
            <w:tcBorders>
              <w:top w:val="single" w:sz="24" w:space="0" w:color="FFFFFF"/>
              <w:left w:val="single" w:sz="8" w:space="0" w:color="FFFFFF"/>
              <w:bottom w:val="single" w:sz="8" w:space="0" w:color="FFFFFF"/>
              <w:right w:val="single" w:sz="8" w:space="0" w:color="FFFFFF"/>
            </w:tcBorders>
            <w:shd w:val="clear" w:color="auto" w:fill="C6D9F1"/>
            <w:tcMar>
              <w:top w:w="15" w:type="dxa"/>
              <w:left w:w="15" w:type="dxa"/>
              <w:bottom w:w="15" w:type="dxa"/>
              <w:right w:w="15" w:type="dxa"/>
            </w:tcMar>
          </w:tcPr>
          <w:p w14:paraId="6E834583"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 w:val="16"/>
                <w:szCs w:val="16"/>
                <w:lang w:val="pt-BR"/>
              </w:rPr>
            </w:pPr>
          </w:p>
        </w:tc>
      </w:tr>
      <w:tr w:rsidR="00A925FD" w:rsidRPr="00CA769E" w14:paraId="6E83458F" w14:textId="77777777" w:rsidTr="00A925FD">
        <w:trPr>
          <w:trHeight w:val="583"/>
          <w:jc w:val="center"/>
        </w:trPr>
        <w:tc>
          <w:tcPr>
            <w:tcW w:w="1346" w:type="dxa"/>
            <w:tcBorders>
              <w:top w:val="single" w:sz="8" w:space="0" w:color="FFFFFF"/>
              <w:left w:val="single" w:sz="8" w:space="0" w:color="FFFFFF"/>
              <w:bottom w:val="nil"/>
              <w:right w:val="single" w:sz="24" w:space="0" w:color="FFFFFF"/>
            </w:tcBorders>
            <w:shd w:val="clear" w:color="auto" w:fill="D9D9D9"/>
            <w:vAlign w:val="center"/>
            <w:hideMark/>
          </w:tcPr>
          <w:p w14:paraId="6E834585"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2. Portos</w:t>
            </w:r>
          </w:p>
        </w:tc>
        <w:tc>
          <w:tcPr>
            <w:tcW w:w="1144" w:type="dxa"/>
            <w:tcBorders>
              <w:top w:val="single" w:sz="8" w:space="0" w:color="FFFFFF"/>
              <w:left w:val="single" w:sz="24" w:space="0" w:color="FFFFFF"/>
              <w:bottom w:val="single" w:sz="8" w:space="0" w:color="FFFFFF"/>
              <w:right w:val="single" w:sz="8" w:space="0" w:color="FFFFFF"/>
            </w:tcBorders>
            <w:shd w:val="clear" w:color="auto" w:fill="DBE5F1"/>
            <w:vAlign w:val="center"/>
            <w:hideMark/>
          </w:tcPr>
          <w:p w14:paraId="6E834586"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20"/>
                <w:lang w:val="pt-BR"/>
              </w:rPr>
            </w:pPr>
          </w:p>
        </w:tc>
        <w:tc>
          <w:tcPr>
            <w:tcW w:w="1712"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14:paraId="6E834587"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Décima Segunda Reunião da CIP</w:t>
            </w:r>
          </w:p>
          <w:p w14:paraId="6E834588"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i/>
                <w:color w:val="000000"/>
                <w:sz w:val="16"/>
                <w:szCs w:val="16"/>
                <w:lang w:val="pt-BR"/>
              </w:rPr>
              <w:t>(Argentina</w:t>
            </w:r>
            <w:r w:rsidRPr="00D65A20">
              <w:rPr>
                <w:rFonts w:ascii="Times New Roman" w:eastAsia="Calibri" w:hAnsi="Times New Roman"/>
                <w:i/>
                <w:iCs/>
                <w:color w:val="000000"/>
                <w:sz w:val="16"/>
                <w:szCs w:val="16"/>
                <w:lang w:val="pt-BR"/>
              </w:rPr>
              <w:t>, 19 a 21 de maio</w:t>
            </w:r>
            <w:r w:rsidRPr="00D65A20">
              <w:rPr>
                <w:rFonts w:ascii="Times New Roman" w:eastAsia="Calibri" w:hAnsi="Times New Roman"/>
                <w:i/>
                <w:color w:val="000000"/>
                <w:sz w:val="16"/>
                <w:szCs w:val="16"/>
                <w:lang w:val="pt-BR"/>
              </w:rPr>
              <w:t>)</w:t>
            </w:r>
          </w:p>
        </w:tc>
        <w:tc>
          <w:tcPr>
            <w:tcW w:w="1548"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14:paraId="6E834589"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20"/>
                <w:lang w:val="pt-BR"/>
              </w:rPr>
            </w:pPr>
          </w:p>
        </w:tc>
        <w:tc>
          <w:tcPr>
            <w:tcW w:w="1620"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14:paraId="6E83458A"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Décima Terceira Reunião da CIP</w:t>
            </w:r>
          </w:p>
          <w:p w14:paraId="6E83458B" w14:textId="53D0B223" w:rsidR="00A925FD" w:rsidRPr="00D65A20" w:rsidRDefault="00A925FD" w:rsidP="0031032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i/>
                <w:color w:val="000000"/>
                <w:sz w:val="16"/>
                <w:szCs w:val="16"/>
                <w:lang w:val="pt-BR"/>
              </w:rPr>
              <w:t>(</w:t>
            </w:r>
            <w:r w:rsidR="00310322" w:rsidRPr="00D65A20">
              <w:rPr>
                <w:rFonts w:ascii="Times New Roman" w:eastAsia="Calibri" w:hAnsi="Times New Roman"/>
                <w:i/>
                <w:color w:val="000000"/>
                <w:sz w:val="16"/>
                <w:szCs w:val="16"/>
                <w:lang w:val="pt-BR"/>
              </w:rPr>
              <w:t xml:space="preserve">sede </w:t>
            </w:r>
            <w:r w:rsidRPr="00D65A20">
              <w:rPr>
                <w:rFonts w:ascii="Times New Roman" w:eastAsia="Calibri" w:hAnsi="Times New Roman"/>
                <w:i/>
                <w:color w:val="000000"/>
                <w:sz w:val="16"/>
                <w:szCs w:val="16"/>
                <w:lang w:val="pt-BR"/>
              </w:rPr>
              <w:t xml:space="preserve">a ser </w:t>
            </w:r>
            <w:r w:rsidR="00310322" w:rsidRPr="00D65A20">
              <w:rPr>
                <w:rFonts w:ascii="Times New Roman" w:eastAsia="Calibri" w:hAnsi="Times New Roman"/>
                <w:i/>
                <w:color w:val="000000"/>
                <w:sz w:val="16"/>
                <w:szCs w:val="16"/>
                <w:lang w:val="pt-BR"/>
              </w:rPr>
              <w:t>definida</w:t>
            </w:r>
            <w:r w:rsidRPr="00D65A20">
              <w:rPr>
                <w:rFonts w:ascii="Times New Roman" w:eastAsia="Calibri" w:hAnsi="Times New Roman"/>
                <w:i/>
                <w:color w:val="000000"/>
                <w:sz w:val="16"/>
                <w:szCs w:val="16"/>
                <w:lang w:val="pt-BR"/>
              </w:rPr>
              <w:t>)</w:t>
            </w:r>
          </w:p>
        </w:tc>
        <w:tc>
          <w:tcPr>
            <w:tcW w:w="1350" w:type="dxa"/>
            <w:tcBorders>
              <w:top w:val="single" w:sz="8" w:space="0" w:color="FFFFFF"/>
              <w:left w:val="single" w:sz="8" w:space="0" w:color="FFFFFF"/>
              <w:bottom w:val="single" w:sz="8" w:space="0" w:color="FFFFFF"/>
              <w:right w:val="single" w:sz="8" w:space="0" w:color="FFFFFF"/>
            </w:tcBorders>
            <w:shd w:val="clear" w:color="auto" w:fill="DBE5F1"/>
            <w:tcMar>
              <w:top w:w="15" w:type="dxa"/>
              <w:left w:w="15" w:type="dxa"/>
              <w:bottom w:w="15" w:type="dxa"/>
              <w:right w:w="15" w:type="dxa"/>
            </w:tcMar>
            <w:vAlign w:val="center"/>
            <w:hideMark/>
          </w:tcPr>
          <w:p w14:paraId="6E83458C"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20"/>
                <w:lang w:val="pt-BR"/>
              </w:rPr>
            </w:pPr>
          </w:p>
        </w:tc>
        <w:tc>
          <w:tcPr>
            <w:tcW w:w="1548" w:type="dxa"/>
            <w:tcBorders>
              <w:top w:val="single" w:sz="8" w:space="0" w:color="FFFFFF"/>
              <w:left w:val="single" w:sz="8" w:space="0" w:color="FFFFFF"/>
              <w:bottom w:val="single" w:sz="8" w:space="0" w:color="FFFFFF"/>
              <w:right w:val="single" w:sz="8" w:space="0" w:color="FFFFFF"/>
            </w:tcBorders>
            <w:shd w:val="clear" w:color="auto" w:fill="DBE5F1"/>
            <w:tcMar>
              <w:top w:w="15" w:type="dxa"/>
              <w:left w:w="15" w:type="dxa"/>
              <w:bottom w:w="15" w:type="dxa"/>
              <w:right w:w="15" w:type="dxa"/>
            </w:tcMar>
            <w:hideMark/>
          </w:tcPr>
          <w:p w14:paraId="6E83458D"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 w:val="16"/>
                <w:szCs w:val="16"/>
                <w:lang w:val="pt-BR"/>
              </w:rPr>
            </w:pPr>
            <w:r w:rsidRPr="00D65A20">
              <w:rPr>
                <w:rFonts w:ascii="Times New Roman" w:hAnsi="Times New Roman"/>
                <w:color w:val="000000"/>
                <w:sz w:val="16"/>
                <w:szCs w:val="16"/>
                <w:lang w:val="pt-BR"/>
              </w:rPr>
              <w:t>Décima Quarta Reunião da CIP</w:t>
            </w:r>
          </w:p>
          <w:p w14:paraId="6E83458E" w14:textId="508A9342" w:rsidR="00A925FD" w:rsidRPr="00D65A20" w:rsidRDefault="00A925FD" w:rsidP="0031032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olor w:val="000000"/>
                <w:sz w:val="16"/>
                <w:szCs w:val="16"/>
                <w:lang w:val="pt-BR"/>
              </w:rPr>
            </w:pPr>
            <w:r w:rsidRPr="00D65A20">
              <w:rPr>
                <w:rFonts w:ascii="Times New Roman" w:eastAsia="Calibri" w:hAnsi="Times New Roman"/>
                <w:i/>
                <w:color w:val="000000"/>
                <w:sz w:val="16"/>
                <w:szCs w:val="16"/>
                <w:lang w:val="pt-BR"/>
              </w:rPr>
              <w:t>(</w:t>
            </w:r>
            <w:r w:rsidR="00310322" w:rsidRPr="00D65A20">
              <w:rPr>
                <w:rFonts w:ascii="Times New Roman" w:eastAsia="Calibri" w:hAnsi="Times New Roman"/>
                <w:i/>
                <w:color w:val="000000"/>
                <w:sz w:val="16"/>
                <w:szCs w:val="16"/>
                <w:lang w:val="pt-BR"/>
              </w:rPr>
              <w:t xml:space="preserve">sede </w:t>
            </w:r>
            <w:r w:rsidRPr="00D65A20">
              <w:rPr>
                <w:rFonts w:ascii="Times New Roman" w:eastAsia="Calibri" w:hAnsi="Times New Roman"/>
                <w:i/>
                <w:color w:val="000000"/>
                <w:sz w:val="16"/>
                <w:szCs w:val="16"/>
                <w:lang w:val="pt-BR"/>
              </w:rPr>
              <w:t>a ser definid</w:t>
            </w:r>
            <w:r w:rsidR="00310322" w:rsidRPr="00D65A20">
              <w:rPr>
                <w:rFonts w:ascii="Times New Roman" w:eastAsia="Calibri" w:hAnsi="Times New Roman"/>
                <w:i/>
                <w:color w:val="000000"/>
                <w:sz w:val="16"/>
                <w:szCs w:val="16"/>
                <w:lang w:val="pt-BR"/>
              </w:rPr>
              <w:t>a</w:t>
            </w:r>
            <w:r w:rsidRPr="00D65A20">
              <w:rPr>
                <w:rFonts w:ascii="Times New Roman" w:eastAsia="Calibri" w:hAnsi="Times New Roman"/>
                <w:i/>
                <w:color w:val="000000"/>
                <w:sz w:val="16"/>
                <w:szCs w:val="16"/>
                <w:lang w:val="pt-BR"/>
              </w:rPr>
              <w:t>)</w:t>
            </w:r>
          </w:p>
        </w:tc>
      </w:tr>
      <w:tr w:rsidR="00A925FD" w:rsidRPr="00D65A20" w14:paraId="6E834599" w14:textId="77777777" w:rsidTr="00A925FD">
        <w:trPr>
          <w:trHeight w:val="516"/>
          <w:jc w:val="center"/>
        </w:trPr>
        <w:tc>
          <w:tcPr>
            <w:tcW w:w="1346" w:type="dxa"/>
            <w:tcBorders>
              <w:top w:val="nil"/>
              <w:left w:val="single" w:sz="8" w:space="0" w:color="FFFFFF"/>
              <w:bottom w:val="single" w:sz="8" w:space="0" w:color="FFFFFF"/>
              <w:right w:val="single" w:sz="24" w:space="0" w:color="FFFFFF"/>
            </w:tcBorders>
            <w:shd w:val="clear" w:color="auto" w:fill="D9D9D9"/>
            <w:vAlign w:val="center"/>
            <w:hideMark/>
          </w:tcPr>
          <w:p w14:paraId="6E834590"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3. Educação</w:t>
            </w:r>
          </w:p>
        </w:tc>
        <w:tc>
          <w:tcPr>
            <w:tcW w:w="1144" w:type="dxa"/>
            <w:tcBorders>
              <w:top w:val="single" w:sz="8" w:space="0" w:color="FFFFFF"/>
              <w:left w:val="single" w:sz="24" w:space="0" w:color="FFFFFF"/>
              <w:bottom w:val="single" w:sz="8" w:space="0" w:color="FFFFFF"/>
              <w:right w:val="single" w:sz="8" w:space="0" w:color="FFFFFF"/>
            </w:tcBorders>
            <w:shd w:val="clear" w:color="auto" w:fill="C6D9F1"/>
            <w:vAlign w:val="center"/>
            <w:hideMark/>
          </w:tcPr>
          <w:p w14:paraId="6E834591"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i/>
                <w:iCs/>
                <w:color w:val="000000"/>
                <w:sz w:val="16"/>
                <w:szCs w:val="16"/>
                <w:lang w:val="pt-BR"/>
              </w:rPr>
              <w:t xml:space="preserve"> </w:t>
            </w:r>
          </w:p>
        </w:tc>
        <w:tc>
          <w:tcPr>
            <w:tcW w:w="1712" w:type="dxa"/>
            <w:tcBorders>
              <w:top w:val="single" w:sz="8" w:space="0" w:color="FFFFFF"/>
              <w:left w:val="single" w:sz="8" w:space="0" w:color="FFFFFF"/>
              <w:bottom w:val="single" w:sz="8" w:space="0" w:color="FFFFFF"/>
              <w:right w:val="single" w:sz="8" w:space="0" w:color="FFFFFF"/>
            </w:tcBorders>
            <w:shd w:val="clear" w:color="auto" w:fill="C6D9F1"/>
            <w:vAlign w:val="center"/>
            <w:hideMark/>
          </w:tcPr>
          <w:p w14:paraId="6E834592"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16"/>
                <w:szCs w:val="16"/>
                <w:lang w:val="pt-BR"/>
              </w:rPr>
            </w:pPr>
            <w:r w:rsidRPr="00D65A20">
              <w:rPr>
                <w:rFonts w:ascii="Times New Roman" w:hAnsi="Times New Roman"/>
                <w:color w:val="000000"/>
                <w:sz w:val="16"/>
                <w:szCs w:val="16"/>
                <w:lang w:val="pt-BR"/>
              </w:rPr>
              <w:t>Nona Reunião da CIE</w:t>
            </w:r>
          </w:p>
        </w:tc>
        <w:tc>
          <w:tcPr>
            <w:tcW w:w="1548" w:type="dxa"/>
            <w:tcBorders>
              <w:top w:val="single" w:sz="8" w:space="0" w:color="FFFFFF"/>
              <w:left w:val="single" w:sz="8" w:space="0" w:color="FFFFFF"/>
              <w:bottom w:val="single" w:sz="8" w:space="0" w:color="FFFFFF"/>
              <w:right w:val="single" w:sz="8" w:space="0" w:color="FFFFFF"/>
            </w:tcBorders>
            <w:shd w:val="clear" w:color="auto" w:fill="C6D9F1"/>
            <w:vAlign w:val="center"/>
            <w:hideMark/>
          </w:tcPr>
          <w:p w14:paraId="6E834593"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Décima Primeira Reunião Ministerial de Educação</w:t>
            </w:r>
          </w:p>
          <w:p w14:paraId="6E834594" w14:textId="0ABFF861" w:rsidR="00A925FD" w:rsidRPr="00D65A20" w:rsidRDefault="00A925FD" w:rsidP="0031032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i/>
                <w:color w:val="000000"/>
                <w:sz w:val="16"/>
                <w:szCs w:val="16"/>
                <w:lang w:val="pt-BR"/>
              </w:rPr>
              <w:t>(</w:t>
            </w:r>
            <w:r w:rsidR="00310322" w:rsidRPr="00D65A20">
              <w:rPr>
                <w:rFonts w:ascii="Times New Roman" w:eastAsia="Calibri" w:hAnsi="Times New Roman"/>
                <w:i/>
                <w:color w:val="000000"/>
                <w:sz w:val="16"/>
                <w:szCs w:val="16"/>
                <w:lang w:val="pt-BR"/>
              </w:rPr>
              <w:t xml:space="preserve">sede </w:t>
            </w:r>
            <w:r w:rsidRPr="00D65A20">
              <w:rPr>
                <w:rFonts w:ascii="Times New Roman" w:eastAsia="Calibri" w:hAnsi="Times New Roman"/>
                <w:i/>
                <w:color w:val="000000"/>
                <w:sz w:val="16"/>
                <w:szCs w:val="16"/>
                <w:lang w:val="pt-BR"/>
              </w:rPr>
              <w:t>a ser definid</w:t>
            </w:r>
            <w:r w:rsidR="00310322" w:rsidRPr="00D65A20">
              <w:rPr>
                <w:rFonts w:ascii="Times New Roman" w:eastAsia="Calibri" w:hAnsi="Times New Roman"/>
                <w:i/>
                <w:color w:val="000000"/>
                <w:sz w:val="16"/>
                <w:szCs w:val="16"/>
                <w:lang w:val="pt-BR"/>
              </w:rPr>
              <w:t>a</w:t>
            </w:r>
            <w:r w:rsidRPr="00D65A20">
              <w:rPr>
                <w:rFonts w:ascii="Times New Roman" w:eastAsia="Calibri" w:hAnsi="Times New Roman"/>
                <w:i/>
                <w:color w:val="000000"/>
                <w:sz w:val="16"/>
                <w:szCs w:val="16"/>
                <w:lang w:val="pt-BR"/>
              </w:rPr>
              <w:t>)</w:t>
            </w:r>
          </w:p>
        </w:tc>
        <w:tc>
          <w:tcPr>
            <w:tcW w:w="1620" w:type="dxa"/>
            <w:tcBorders>
              <w:top w:val="single" w:sz="8" w:space="0" w:color="FFFFFF"/>
              <w:left w:val="single" w:sz="8" w:space="0" w:color="FFFFFF"/>
              <w:bottom w:val="single" w:sz="8" w:space="0" w:color="FFFFFF"/>
              <w:right w:val="single" w:sz="8" w:space="0" w:color="FFFFFF"/>
            </w:tcBorders>
            <w:shd w:val="clear" w:color="auto" w:fill="C6D9F1"/>
            <w:vAlign w:val="center"/>
            <w:hideMark/>
          </w:tcPr>
          <w:p w14:paraId="6E834595"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20"/>
                <w:lang w:val="pt-BR"/>
              </w:rPr>
            </w:pPr>
          </w:p>
        </w:tc>
        <w:tc>
          <w:tcPr>
            <w:tcW w:w="1350" w:type="dxa"/>
            <w:tcBorders>
              <w:top w:val="single" w:sz="8" w:space="0" w:color="FFFFFF"/>
              <w:left w:val="single" w:sz="8" w:space="0" w:color="FFFFFF"/>
              <w:bottom w:val="single" w:sz="8" w:space="0" w:color="FFFFFF"/>
              <w:right w:val="single" w:sz="8" w:space="0" w:color="FFFFFF"/>
            </w:tcBorders>
            <w:shd w:val="clear" w:color="auto" w:fill="C6D9F1"/>
            <w:tcMar>
              <w:top w:w="15" w:type="dxa"/>
              <w:left w:w="15" w:type="dxa"/>
              <w:bottom w:w="15" w:type="dxa"/>
              <w:right w:w="15" w:type="dxa"/>
            </w:tcMar>
            <w:vAlign w:val="center"/>
            <w:hideMark/>
          </w:tcPr>
          <w:p w14:paraId="6E834596"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Décima Reunião da CIE</w:t>
            </w:r>
          </w:p>
        </w:tc>
        <w:tc>
          <w:tcPr>
            <w:tcW w:w="1548" w:type="dxa"/>
            <w:tcBorders>
              <w:top w:val="single" w:sz="8" w:space="0" w:color="FFFFFF"/>
              <w:left w:val="single" w:sz="8" w:space="0" w:color="FFFFFF"/>
              <w:bottom w:val="single" w:sz="8" w:space="0" w:color="FFFFFF"/>
              <w:right w:val="single" w:sz="8" w:space="0" w:color="FFFFFF"/>
            </w:tcBorders>
            <w:shd w:val="clear" w:color="auto" w:fill="C6D9F1"/>
            <w:tcMar>
              <w:top w:w="15" w:type="dxa"/>
              <w:left w:w="15" w:type="dxa"/>
              <w:bottom w:w="15" w:type="dxa"/>
              <w:right w:w="15" w:type="dxa"/>
            </w:tcMar>
            <w:hideMark/>
          </w:tcPr>
          <w:p w14:paraId="6E834597"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Décima Segunda Reunião Ministerial de Educação</w:t>
            </w:r>
          </w:p>
          <w:p w14:paraId="6E834598" w14:textId="2FAA5A78" w:rsidR="00A925FD" w:rsidRPr="00D65A20" w:rsidRDefault="00A925FD" w:rsidP="0031032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olor w:val="000000"/>
                <w:sz w:val="16"/>
                <w:szCs w:val="16"/>
                <w:lang w:val="pt-BR"/>
              </w:rPr>
            </w:pPr>
            <w:r w:rsidRPr="00D65A20">
              <w:rPr>
                <w:rFonts w:ascii="Times New Roman" w:eastAsia="Calibri" w:hAnsi="Times New Roman"/>
                <w:i/>
                <w:color w:val="000000"/>
                <w:sz w:val="16"/>
                <w:szCs w:val="16"/>
                <w:lang w:val="pt-BR"/>
              </w:rPr>
              <w:t>(</w:t>
            </w:r>
            <w:r w:rsidR="00310322" w:rsidRPr="00D65A20">
              <w:rPr>
                <w:rFonts w:ascii="Times New Roman" w:eastAsia="Calibri" w:hAnsi="Times New Roman"/>
                <w:i/>
                <w:color w:val="000000"/>
                <w:sz w:val="16"/>
                <w:szCs w:val="16"/>
                <w:lang w:val="pt-BR"/>
              </w:rPr>
              <w:t xml:space="preserve">sede </w:t>
            </w:r>
            <w:r w:rsidRPr="00D65A20">
              <w:rPr>
                <w:rFonts w:ascii="Times New Roman" w:eastAsia="Calibri" w:hAnsi="Times New Roman"/>
                <w:i/>
                <w:color w:val="000000"/>
                <w:sz w:val="16"/>
                <w:szCs w:val="16"/>
                <w:lang w:val="pt-BR"/>
              </w:rPr>
              <w:t>a ser definid</w:t>
            </w:r>
            <w:r w:rsidR="00310322" w:rsidRPr="00D65A20">
              <w:rPr>
                <w:rFonts w:ascii="Times New Roman" w:eastAsia="Calibri" w:hAnsi="Times New Roman"/>
                <w:i/>
                <w:color w:val="000000"/>
                <w:sz w:val="16"/>
                <w:szCs w:val="16"/>
                <w:lang w:val="pt-BR"/>
              </w:rPr>
              <w:t>a</w:t>
            </w:r>
            <w:r w:rsidRPr="00D65A20">
              <w:rPr>
                <w:rFonts w:ascii="Times New Roman" w:eastAsia="Calibri" w:hAnsi="Times New Roman"/>
                <w:i/>
                <w:color w:val="000000"/>
                <w:sz w:val="16"/>
                <w:szCs w:val="16"/>
                <w:lang w:val="pt-BR"/>
              </w:rPr>
              <w:t>)</w:t>
            </w:r>
          </w:p>
        </w:tc>
      </w:tr>
      <w:tr w:rsidR="00A925FD" w:rsidRPr="00CA769E" w14:paraId="6E8345A3" w14:textId="77777777" w:rsidTr="00A925FD">
        <w:trPr>
          <w:trHeight w:val="669"/>
          <w:jc w:val="center"/>
        </w:trPr>
        <w:tc>
          <w:tcPr>
            <w:tcW w:w="1346" w:type="dxa"/>
            <w:tcBorders>
              <w:top w:val="single" w:sz="8" w:space="0" w:color="FFFFFF"/>
              <w:left w:val="single" w:sz="8" w:space="0" w:color="FFFFFF"/>
              <w:bottom w:val="single" w:sz="8" w:space="0" w:color="FFFFFF"/>
              <w:right w:val="single" w:sz="24" w:space="0" w:color="FFFFFF"/>
            </w:tcBorders>
            <w:shd w:val="clear" w:color="auto" w:fill="D9D9D9"/>
            <w:vAlign w:val="center"/>
            <w:hideMark/>
          </w:tcPr>
          <w:p w14:paraId="6E83459A"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4. Cooperação</w:t>
            </w:r>
          </w:p>
        </w:tc>
        <w:tc>
          <w:tcPr>
            <w:tcW w:w="1144" w:type="dxa"/>
            <w:tcBorders>
              <w:top w:val="single" w:sz="8" w:space="0" w:color="FFFFFF"/>
              <w:left w:val="single" w:sz="24" w:space="0" w:color="FFFFFF"/>
              <w:bottom w:val="single" w:sz="8" w:space="0" w:color="FFFFFF"/>
              <w:right w:val="single" w:sz="8" w:space="0" w:color="FFFFFF"/>
            </w:tcBorders>
            <w:shd w:val="clear" w:color="auto" w:fill="DBE5F1"/>
            <w:vAlign w:val="center"/>
            <w:hideMark/>
          </w:tcPr>
          <w:p w14:paraId="6E83459B"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20"/>
                <w:lang w:val="pt-BR"/>
              </w:rPr>
            </w:pPr>
          </w:p>
        </w:tc>
        <w:tc>
          <w:tcPr>
            <w:tcW w:w="1712"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14:paraId="6E83459C"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Terceira Reunião Ministerial de Cooperação</w:t>
            </w:r>
          </w:p>
          <w:p w14:paraId="6E83459D" w14:textId="5B70008E" w:rsidR="00A925FD" w:rsidRPr="00D65A20" w:rsidRDefault="00A925FD" w:rsidP="0031032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i/>
                <w:color w:val="000000"/>
                <w:sz w:val="16"/>
                <w:szCs w:val="16"/>
                <w:lang w:val="pt-BR"/>
              </w:rPr>
              <w:t>(</w:t>
            </w:r>
            <w:r w:rsidR="00310322" w:rsidRPr="00D65A20">
              <w:rPr>
                <w:rFonts w:ascii="Times New Roman" w:eastAsia="Calibri" w:hAnsi="Times New Roman"/>
                <w:i/>
                <w:color w:val="000000"/>
                <w:sz w:val="16"/>
                <w:szCs w:val="16"/>
                <w:lang w:val="pt-BR"/>
              </w:rPr>
              <w:t xml:space="preserve">sede </w:t>
            </w:r>
            <w:r w:rsidRPr="00D65A20">
              <w:rPr>
                <w:rFonts w:ascii="Times New Roman" w:eastAsia="Calibri" w:hAnsi="Times New Roman"/>
                <w:i/>
                <w:color w:val="000000"/>
                <w:sz w:val="16"/>
                <w:szCs w:val="16"/>
                <w:lang w:val="pt-BR"/>
              </w:rPr>
              <w:t>a ser definid</w:t>
            </w:r>
            <w:r w:rsidR="00310322" w:rsidRPr="00D65A20">
              <w:rPr>
                <w:rFonts w:ascii="Times New Roman" w:eastAsia="Calibri" w:hAnsi="Times New Roman"/>
                <w:i/>
                <w:color w:val="000000"/>
                <w:sz w:val="16"/>
                <w:szCs w:val="16"/>
                <w:lang w:val="pt-BR"/>
              </w:rPr>
              <w:t>a</w:t>
            </w:r>
            <w:r w:rsidRPr="00D65A20">
              <w:rPr>
                <w:rFonts w:ascii="Times New Roman" w:eastAsia="Calibri" w:hAnsi="Times New Roman"/>
                <w:i/>
                <w:color w:val="000000"/>
                <w:sz w:val="16"/>
                <w:szCs w:val="16"/>
                <w:lang w:val="pt-BR"/>
              </w:rPr>
              <w:t>)</w:t>
            </w:r>
          </w:p>
        </w:tc>
        <w:tc>
          <w:tcPr>
            <w:tcW w:w="1548"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14:paraId="6E83459E"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20"/>
                <w:lang w:val="pt-BR"/>
              </w:rPr>
            </w:pPr>
          </w:p>
        </w:tc>
        <w:tc>
          <w:tcPr>
            <w:tcW w:w="1620"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14:paraId="6E83459F"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20"/>
                <w:lang w:val="pt-BR"/>
              </w:rPr>
            </w:pPr>
          </w:p>
        </w:tc>
        <w:tc>
          <w:tcPr>
            <w:tcW w:w="1350" w:type="dxa"/>
            <w:tcBorders>
              <w:top w:val="single" w:sz="8" w:space="0" w:color="FFFFFF"/>
              <w:left w:val="single" w:sz="8" w:space="0" w:color="FFFFFF"/>
              <w:bottom w:val="single" w:sz="8" w:space="0" w:color="FFFFFF"/>
              <w:right w:val="single" w:sz="8" w:space="0" w:color="FFFFFF"/>
            </w:tcBorders>
            <w:shd w:val="clear" w:color="auto" w:fill="DBE5F1"/>
            <w:tcMar>
              <w:top w:w="15" w:type="dxa"/>
              <w:left w:w="15" w:type="dxa"/>
              <w:bottom w:w="15" w:type="dxa"/>
              <w:right w:w="15" w:type="dxa"/>
            </w:tcMar>
            <w:vAlign w:val="center"/>
            <w:hideMark/>
          </w:tcPr>
          <w:p w14:paraId="6E8345A0"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Quarta Reunião Ministerial de Cooperação</w:t>
            </w:r>
          </w:p>
          <w:p w14:paraId="6E8345A1" w14:textId="03EA2245" w:rsidR="00A925FD" w:rsidRPr="00D65A20" w:rsidRDefault="00A925FD" w:rsidP="0031032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16"/>
                <w:szCs w:val="16"/>
                <w:lang w:val="pt-BR"/>
              </w:rPr>
            </w:pPr>
            <w:r w:rsidRPr="00D65A20">
              <w:rPr>
                <w:rFonts w:ascii="Times New Roman" w:eastAsia="Calibri" w:hAnsi="Times New Roman"/>
                <w:i/>
                <w:color w:val="000000"/>
                <w:sz w:val="16"/>
                <w:szCs w:val="16"/>
                <w:lang w:val="pt-BR"/>
              </w:rPr>
              <w:t>(</w:t>
            </w:r>
            <w:r w:rsidR="00310322" w:rsidRPr="00D65A20">
              <w:rPr>
                <w:rFonts w:ascii="Times New Roman" w:eastAsia="Calibri" w:hAnsi="Times New Roman"/>
                <w:i/>
                <w:color w:val="000000"/>
                <w:sz w:val="16"/>
                <w:szCs w:val="16"/>
                <w:lang w:val="pt-BR"/>
              </w:rPr>
              <w:t xml:space="preserve">sede </w:t>
            </w:r>
            <w:r w:rsidRPr="00D65A20">
              <w:rPr>
                <w:rFonts w:ascii="Times New Roman" w:eastAsia="Calibri" w:hAnsi="Times New Roman"/>
                <w:i/>
                <w:color w:val="000000"/>
                <w:sz w:val="16"/>
                <w:szCs w:val="16"/>
                <w:lang w:val="pt-BR"/>
              </w:rPr>
              <w:t>a ser definid</w:t>
            </w:r>
            <w:r w:rsidR="00310322" w:rsidRPr="00D65A20">
              <w:rPr>
                <w:rFonts w:ascii="Times New Roman" w:eastAsia="Calibri" w:hAnsi="Times New Roman"/>
                <w:i/>
                <w:color w:val="000000"/>
                <w:sz w:val="16"/>
                <w:szCs w:val="16"/>
                <w:lang w:val="pt-BR"/>
              </w:rPr>
              <w:t>a</w:t>
            </w:r>
            <w:r w:rsidRPr="00D65A20">
              <w:rPr>
                <w:rFonts w:ascii="Times New Roman" w:eastAsia="Calibri" w:hAnsi="Times New Roman"/>
                <w:i/>
                <w:color w:val="000000"/>
                <w:sz w:val="16"/>
                <w:szCs w:val="16"/>
                <w:lang w:val="pt-BR"/>
              </w:rPr>
              <w:t>)</w:t>
            </w:r>
          </w:p>
        </w:tc>
        <w:tc>
          <w:tcPr>
            <w:tcW w:w="1548" w:type="dxa"/>
            <w:tcBorders>
              <w:top w:val="single" w:sz="8" w:space="0" w:color="FFFFFF"/>
              <w:left w:val="single" w:sz="8" w:space="0" w:color="FFFFFF"/>
              <w:bottom w:val="single" w:sz="8" w:space="0" w:color="FFFFFF"/>
              <w:right w:val="single" w:sz="8" w:space="0" w:color="FFFFFF"/>
            </w:tcBorders>
            <w:shd w:val="clear" w:color="auto" w:fill="DBE5F1"/>
            <w:tcMar>
              <w:top w:w="15" w:type="dxa"/>
              <w:left w:w="15" w:type="dxa"/>
              <w:bottom w:w="15" w:type="dxa"/>
              <w:right w:w="15" w:type="dxa"/>
            </w:tcMar>
          </w:tcPr>
          <w:p w14:paraId="6E8345A2"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olor w:val="000000"/>
                <w:sz w:val="16"/>
                <w:szCs w:val="16"/>
                <w:lang w:val="pt-BR"/>
              </w:rPr>
            </w:pPr>
          </w:p>
        </w:tc>
      </w:tr>
      <w:tr w:rsidR="00A925FD" w:rsidRPr="00D65A20" w14:paraId="6E8345AD" w14:textId="77777777" w:rsidTr="00A925FD">
        <w:trPr>
          <w:trHeight w:val="658"/>
          <w:jc w:val="center"/>
        </w:trPr>
        <w:tc>
          <w:tcPr>
            <w:tcW w:w="1346" w:type="dxa"/>
            <w:tcBorders>
              <w:top w:val="single" w:sz="8" w:space="0" w:color="FFFFFF"/>
              <w:left w:val="single" w:sz="8" w:space="0" w:color="FFFFFF"/>
              <w:bottom w:val="single" w:sz="8" w:space="0" w:color="FFFFFF"/>
              <w:right w:val="single" w:sz="24" w:space="0" w:color="FFFFFF"/>
            </w:tcBorders>
            <w:shd w:val="clear" w:color="auto" w:fill="D9D9D9"/>
            <w:vAlign w:val="center"/>
            <w:hideMark/>
          </w:tcPr>
          <w:p w14:paraId="6E8345A4"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5. Desenvolvimento social</w:t>
            </w:r>
          </w:p>
        </w:tc>
        <w:tc>
          <w:tcPr>
            <w:tcW w:w="1144" w:type="dxa"/>
            <w:tcBorders>
              <w:top w:val="single" w:sz="8" w:space="0" w:color="FFFFFF"/>
              <w:left w:val="single" w:sz="24" w:space="0" w:color="FFFFFF"/>
              <w:bottom w:val="single" w:sz="8" w:space="0" w:color="FFFFFF"/>
              <w:right w:val="single" w:sz="8" w:space="0" w:color="FFFFFF"/>
            </w:tcBorders>
            <w:shd w:val="clear" w:color="auto" w:fill="C6D9F1"/>
            <w:vAlign w:val="center"/>
            <w:hideMark/>
          </w:tcPr>
          <w:p w14:paraId="6E8345A5"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Quinta Reunião da CIDES</w:t>
            </w:r>
          </w:p>
        </w:tc>
        <w:tc>
          <w:tcPr>
            <w:tcW w:w="1712" w:type="dxa"/>
            <w:tcBorders>
              <w:top w:val="single" w:sz="8" w:space="0" w:color="FFFFFF"/>
              <w:left w:val="single" w:sz="8" w:space="0" w:color="FFFFFF"/>
              <w:bottom w:val="single" w:sz="8" w:space="0" w:color="FFFFFF"/>
              <w:right w:val="single" w:sz="8" w:space="0" w:color="FFFFFF"/>
            </w:tcBorders>
            <w:shd w:val="clear" w:color="auto" w:fill="C6D9F1"/>
            <w:vAlign w:val="center"/>
            <w:hideMark/>
          </w:tcPr>
          <w:p w14:paraId="6E8345A6"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20"/>
                <w:lang w:val="pt-BR"/>
              </w:rPr>
            </w:pPr>
          </w:p>
        </w:tc>
        <w:tc>
          <w:tcPr>
            <w:tcW w:w="1548" w:type="dxa"/>
            <w:tcBorders>
              <w:top w:val="single" w:sz="8" w:space="0" w:color="FFFFFF"/>
              <w:left w:val="single" w:sz="8" w:space="0" w:color="FFFFFF"/>
              <w:bottom w:val="single" w:sz="8" w:space="0" w:color="FFFFFF"/>
              <w:right w:val="single" w:sz="8" w:space="0" w:color="FFFFFF"/>
            </w:tcBorders>
            <w:shd w:val="clear" w:color="auto" w:fill="C6D9F1"/>
            <w:vAlign w:val="center"/>
            <w:hideMark/>
          </w:tcPr>
          <w:p w14:paraId="6E8345A7"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Quinta Reunião Ministerial de Desenvolvimento Social</w:t>
            </w:r>
          </w:p>
          <w:p w14:paraId="6E8345A8"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i/>
                <w:color w:val="000000"/>
                <w:sz w:val="16"/>
                <w:szCs w:val="16"/>
                <w:lang w:val="pt-BR"/>
              </w:rPr>
              <w:t>(</w:t>
            </w:r>
            <w:r w:rsidRPr="00D65A20">
              <w:rPr>
                <w:rFonts w:ascii="Times New Roman" w:eastAsia="Calibri" w:hAnsi="Times New Roman"/>
                <w:i/>
                <w:iCs/>
                <w:color w:val="000000"/>
                <w:sz w:val="16"/>
                <w:szCs w:val="16"/>
                <w:lang w:val="pt-BR"/>
              </w:rPr>
              <w:t>República</w:t>
            </w:r>
            <w:r w:rsidRPr="00D65A20">
              <w:rPr>
                <w:rFonts w:ascii="Times New Roman" w:eastAsia="Calibri" w:hAnsi="Times New Roman"/>
                <w:i/>
                <w:color w:val="000000"/>
                <w:sz w:val="16"/>
                <w:szCs w:val="16"/>
                <w:lang w:val="pt-BR"/>
              </w:rPr>
              <w:t xml:space="preserve"> Dominicana)</w:t>
            </w:r>
          </w:p>
        </w:tc>
        <w:tc>
          <w:tcPr>
            <w:tcW w:w="1620" w:type="dxa"/>
            <w:tcBorders>
              <w:top w:val="single" w:sz="8" w:space="0" w:color="FFFFFF"/>
              <w:left w:val="single" w:sz="8" w:space="0" w:color="FFFFFF"/>
              <w:bottom w:val="single" w:sz="8" w:space="0" w:color="FFFFFF"/>
              <w:right w:val="single" w:sz="8" w:space="0" w:color="FFFFFF"/>
            </w:tcBorders>
            <w:shd w:val="clear" w:color="auto" w:fill="C6D9F1"/>
            <w:vAlign w:val="center"/>
            <w:hideMark/>
          </w:tcPr>
          <w:p w14:paraId="6E8345A9"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20"/>
                <w:lang w:val="pt-BR"/>
              </w:rPr>
            </w:pPr>
          </w:p>
        </w:tc>
        <w:tc>
          <w:tcPr>
            <w:tcW w:w="1350" w:type="dxa"/>
            <w:tcBorders>
              <w:top w:val="single" w:sz="8" w:space="0" w:color="FFFFFF"/>
              <w:left w:val="single" w:sz="8" w:space="0" w:color="FFFFFF"/>
              <w:bottom w:val="single" w:sz="8" w:space="0" w:color="FFFFFF"/>
              <w:right w:val="single" w:sz="8" w:space="0" w:color="FFFFFF"/>
            </w:tcBorders>
            <w:shd w:val="clear" w:color="auto" w:fill="C6D9F1"/>
            <w:tcMar>
              <w:top w:w="15" w:type="dxa"/>
              <w:left w:w="15" w:type="dxa"/>
              <w:bottom w:w="15" w:type="dxa"/>
              <w:right w:w="15" w:type="dxa"/>
            </w:tcMar>
            <w:vAlign w:val="center"/>
            <w:hideMark/>
          </w:tcPr>
          <w:p w14:paraId="6E8345AA"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Sexta Reunião da CIDES</w:t>
            </w:r>
          </w:p>
        </w:tc>
        <w:tc>
          <w:tcPr>
            <w:tcW w:w="1548" w:type="dxa"/>
            <w:tcBorders>
              <w:top w:val="single" w:sz="8" w:space="0" w:color="FFFFFF"/>
              <w:left w:val="single" w:sz="8" w:space="0" w:color="FFFFFF"/>
              <w:bottom w:val="single" w:sz="8" w:space="0" w:color="FFFFFF"/>
              <w:right w:val="single" w:sz="8" w:space="0" w:color="FFFFFF"/>
            </w:tcBorders>
            <w:shd w:val="clear" w:color="auto" w:fill="C6D9F1"/>
            <w:tcMar>
              <w:top w:w="15" w:type="dxa"/>
              <w:left w:w="15" w:type="dxa"/>
              <w:bottom w:w="15" w:type="dxa"/>
              <w:right w:w="15" w:type="dxa"/>
            </w:tcMar>
            <w:hideMark/>
          </w:tcPr>
          <w:p w14:paraId="6E8345AB"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 w:val="16"/>
                <w:szCs w:val="16"/>
                <w:lang w:val="pt-BR"/>
              </w:rPr>
            </w:pPr>
            <w:r w:rsidRPr="00D65A20">
              <w:rPr>
                <w:rFonts w:ascii="Times New Roman" w:hAnsi="Times New Roman"/>
                <w:color w:val="000000"/>
                <w:sz w:val="16"/>
                <w:szCs w:val="16"/>
                <w:lang w:val="pt-BR"/>
              </w:rPr>
              <w:t>Sexta Reunião Ministerial de Desenvolvimento Social</w:t>
            </w:r>
          </w:p>
          <w:p w14:paraId="6E8345AC" w14:textId="2A74F3F6" w:rsidR="00A925FD" w:rsidRPr="00D65A20" w:rsidRDefault="00A925FD" w:rsidP="0031032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olor w:val="000000"/>
                <w:sz w:val="16"/>
                <w:szCs w:val="16"/>
                <w:lang w:val="pt-BR"/>
              </w:rPr>
            </w:pPr>
            <w:r w:rsidRPr="00D65A20">
              <w:rPr>
                <w:rFonts w:ascii="Times New Roman" w:eastAsia="Calibri" w:hAnsi="Times New Roman"/>
                <w:i/>
                <w:color w:val="000000"/>
                <w:sz w:val="16"/>
                <w:szCs w:val="16"/>
                <w:lang w:val="pt-BR"/>
              </w:rPr>
              <w:t>(</w:t>
            </w:r>
            <w:r w:rsidR="00310322" w:rsidRPr="00D65A20">
              <w:rPr>
                <w:rFonts w:ascii="Times New Roman" w:eastAsia="Calibri" w:hAnsi="Times New Roman"/>
                <w:i/>
                <w:color w:val="000000"/>
                <w:sz w:val="16"/>
                <w:szCs w:val="16"/>
                <w:lang w:val="pt-BR"/>
              </w:rPr>
              <w:t xml:space="preserve">sede </w:t>
            </w:r>
            <w:r w:rsidRPr="00D65A20">
              <w:rPr>
                <w:rFonts w:ascii="Times New Roman" w:eastAsia="Calibri" w:hAnsi="Times New Roman"/>
                <w:i/>
                <w:color w:val="000000"/>
                <w:sz w:val="16"/>
                <w:szCs w:val="16"/>
                <w:lang w:val="pt-BR"/>
              </w:rPr>
              <w:t>a ser definid</w:t>
            </w:r>
            <w:r w:rsidR="00310322" w:rsidRPr="00D65A20">
              <w:rPr>
                <w:rFonts w:ascii="Times New Roman" w:eastAsia="Calibri" w:hAnsi="Times New Roman"/>
                <w:i/>
                <w:color w:val="000000"/>
                <w:sz w:val="16"/>
                <w:szCs w:val="16"/>
                <w:lang w:val="pt-BR"/>
              </w:rPr>
              <w:t>a)</w:t>
            </w:r>
          </w:p>
        </w:tc>
      </w:tr>
      <w:tr w:rsidR="00A925FD" w:rsidRPr="00CA769E" w14:paraId="6E8345B6" w14:textId="77777777" w:rsidTr="00A925FD">
        <w:trPr>
          <w:trHeight w:val="669"/>
          <w:jc w:val="center"/>
        </w:trPr>
        <w:tc>
          <w:tcPr>
            <w:tcW w:w="1346" w:type="dxa"/>
            <w:tcBorders>
              <w:top w:val="single" w:sz="8" w:space="0" w:color="FFFFFF"/>
              <w:left w:val="single" w:sz="8" w:space="0" w:color="FFFFFF"/>
              <w:bottom w:val="single" w:sz="8" w:space="0" w:color="FFFFFF"/>
              <w:right w:val="single" w:sz="24" w:space="0" w:color="FFFFFF"/>
            </w:tcBorders>
            <w:shd w:val="clear" w:color="auto" w:fill="D9D9D9"/>
            <w:vAlign w:val="center"/>
            <w:hideMark/>
          </w:tcPr>
          <w:p w14:paraId="6E8345AE"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6. Cultura</w:t>
            </w:r>
          </w:p>
        </w:tc>
        <w:tc>
          <w:tcPr>
            <w:tcW w:w="1144" w:type="dxa"/>
            <w:tcBorders>
              <w:top w:val="single" w:sz="8" w:space="0" w:color="FFFFFF"/>
              <w:left w:val="single" w:sz="24" w:space="0" w:color="FFFFFF"/>
              <w:bottom w:val="single" w:sz="8" w:space="0" w:color="FFFFFF"/>
              <w:right w:val="single" w:sz="8" w:space="0" w:color="FFFFFF"/>
            </w:tcBorders>
            <w:shd w:val="clear" w:color="auto" w:fill="DBE5F1"/>
            <w:vAlign w:val="center"/>
            <w:hideMark/>
          </w:tcPr>
          <w:p w14:paraId="6E8345AF"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20"/>
                <w:lang w:val="pt-BR"/>
              </w:rPr>
            </w:pPr>
          </w:p>
        </w:tc>
        <w:tc>
          <w:tcPr>
            <w:tcW w:w="1712"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14:paraId="6E8345B0"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Sexta Reunião da CIC</w:t>
            </w:r>
          </w:p>
        </w:tc>
        <w:tc>
          <w:tcPr>
            <w:tcW w:w="1548"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14:paraId="6E8345B1"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 xml:space="preserve">Nona Reunião Ministerial de Cultura </w:t>
            </w:r>
            <w:r w:rsidRPr="00D65A20">
              <w:rPr>
                <w:rFonts w:ascii="Times New Roman" w:eastAsia="Calibri" w:hAnsi="Times New Roman"/>
                <w:i/>
                <w:iCs/>
                <w:color w:val="000000"/>
                <w:sz w:val="16"/>
                <w:szCs w:val="16"/>
                <w:lang w:val="pt-BR"/>
              </w:rPr>
              <w:t>(Guatemala)</w:t>
            </w:r>
          </w:p>
        </w:tc>
        <w:tc>
          <w:tcPr>
            <w:tcW w:w="1620"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14:paraId="6E8345B2"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20"/>
                <w:lang w:val="pt-BR"/>
              </w:rPr>
            </w:pPr>
          </w:p>
        </w:tc>
        <w:tc>
          <w:tcPr>
            <w:tcW w:w="1350" w:type="dxa"/>
            <w:tcBorders>
              <w:top w:val="single" w:sz="8" w:space="0" w:color="FFFFFF"/>
              <w:left w:val="single" w:sz="8" w:space="0" w:color="FFFFFF"/>
              <w:bottom w:val="single" w:sz="8" w:space="0" w:color="FFFFFF"/>
              <w:right w:val="single" w:sz="8" w:space="0" w:color="FFFFFF"/>
            </w:tcBorders>
            <w:shd w:val="clear" w:color="auto" w:fill="DBE5F1"/>
            <w:tcMar>
              <w:top w:w="15" w:type="dxa"/>
              <w:left w:w="15" w:type="dxa"/>
              <w:bottom w:w="15" w:type="dxa"/>
              <w:right w:w="15" w:type="dxa"/>
            </w:tcMar>
            <w:vAlign w:val="center"/>
            <w:hideMark/>
          </w:tcPr>
          <w:p w14:paraId="6E8345B3"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Sétima Reunião da CIC</w:t>
            </w:r>
          </w:p>
        </w:tc>
        <w:tc>
          <w:tcPr>
            <w:tcW w:w="1548" w:type="dxa"/>
            <w:tcBorders>
              <w:top w:val="single" w:sz="8" w:space="0" w:color="FFFFFF"/>
              <w:left w:val="single" w:sz="8" w:space="0" w:color="FFFFFF"/>
              <w:bottom w:val="single" w:sz="8" w:space="0" w:color="FFFFFF"/>
              <w:right w:val="single" w:sz="8" w:space="0" w:color="FFFFFF"/>
            </w:tcBorders>
            <w:shd w:val="clear" w:color="auto" w:fill="DBE5F1"/>
            <w:tcMar>
              <w:top w:w="15" w:type="dxa"/>
              <w:left w:w="15" w:type="dxa"/>
              <w:bottom w:w="15" w:type="dxa"/>
              <w:right w:w="15" w:type="dxa"/>
            </w:tcMar>
            <w:hideMark/>
          </w:tcPr>
          <w:p w14:paraId="6E8345B4"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olor w:val="000000"/>
                <w:sz w:val="16"/>
                <w:szCs w:val="16"/>
                <w:lang w:val="pt-BR"/>
              </w:rPr>
            </w:pPr>
            <w:r w:rsidRPr="00D65A20">
              <w:rPr>
                <w:rFonts w:ascii="Times New Roman" w:eastAsia="Calibri" w:hAnsi="Times New Roman"/>
                <w:color w:val="000000"/>
                <w:sz w:val="16"/>
                <w:szCs w:val="16"/>
                <w:lang w:val="pt-BR"/>
              </w:rPr>
              <w:t>Décima Reunião Ministerial de Cultura</w:t>
            </w:r>
          </w:p>
          <w:p w14:paraId="6E8345B5" w14:textId="5690D40C" w:rsidR="00A925FD" w:rsidRPr="00D65A20" w:rsidRDefault="00A925FD" w:rsidP="00092020">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olor w:val="000000"/>
                <w:sz w:val="16"/>
                <w:szCs w:val="16"/>
                <w:lang w:val="pt-BR"/>
              </w:rPr>
            </w:pPr>
            <w:r w:rsidRPr="00D65A20">
              <w:rPr>
                <w:rFonts w:ascii="Times New Roman" w:eastAsia="Calibri" w:hAnsi="Times New Roman"/>
                <w:i/>
                <w:color w:val="000000"/>
                <w:sz w:val="16"/>
                <w:szCs w:val="16"/>
                <w:lang w:val="pt-BR"/>
              </w:rPr>
              <w:t>(</w:t>
            </w:r>
            <w:r w:rsidR="00697F8A" w:rsidRPr="00D65A20">
              <w:rPr>
                <w:rFonts w:ascii="Times New Roman" w:eastAsia="Calibri" w:hAnsi="Times New Roman"/>
                <w:i/>
                <w:color w:val="000000"/>
                <w:sz w:val="16"/>
                <w:szCs w:val="16"/>
                <w:lang w:val="pt-BR"/>
              </w:rPr>
              <w:t xml:space="preserve">sede </w:t>
            </w:r>
            <w:r w:rsidRPr="00D65A20">
              <w:rPr>
                <w:rFonts w:ascii="Times New Roman" w:eastAsia="Calibri" w:hAnsi="Times New Roman"/>
                <w:i/>
                <w:color w:val="000000"/>
                <w:sz w:val="16"/>
                <w:szCs w:val="16"/>
                <w:lang w:val="pt-BR"/>
              </w:rPr>
              <w:t>a ser definid</w:t>
            </w:r>
            <w:r w:rsidR="00697F8A" w:rsidRPr="00D65A20">
              <w:rPr>
                <w:rFonts w:ascii="Times New Roman" w:eastAsia="Calibri" w:hAnsi="Times New Roman"/>
                <w:i/>
                <w:color w:val="000000"/>
                <w:sz w:val="16"/>
                <w:szCs w:val="16"/>
                <w:lang w:val="pt-BR"/>
              </w:rPr>
              <w:t>a</w:t>
            </w:r>
            <w:r w:rsidRPr="00D65A20">
              <w:rPr>
                <w:rFonts w:ascii="Times New Roman" w:eastAsia="Calibri" w:hAnsi="Times New Roman"/>
                <w:i/>
                <w:color w:val="000000"/>
                <w:sz w:val="16"/>
                <w:szCs w:val="16"/>
                <w:lang w:val="pt-BR"/>
              </w:rPr>
              <w:t>)</w:t>
            </w:r>
          </w:p>
        </w:tc>
      </w:tr>
      <w:tr w:rsidR="00A925FD" w:rsidRPr="00D65A20" w14:paraId="6E8345C0" w14:textId="77777777" w:rsidTr="00A925FD">
        <w:trPr>
          <w:trHeight w:val="828"/>
          <w:jc w:val="center"/>
        </w:trPr>
        <w:tc>
          <w:tcPr>
            <w:tcW w:w="1346" w:type="dxa"/>
            <w:tcBorders>
              <w:top w:val="single" w:sz="8" w:space="0" w:color="FFFFFF"/>
              <w:left w:val="single" w:sz="8" w:space="0" w:color="FFFFFF"/>
              <w:bottom w:val="single" w:sz="8" w:space="0" w:color="FFFFFF"/>
              <w:right w:val="single" w:sz="24" w:space="0" w:color="FFFFFF"/>
            </w:tcBorders>
            <w:shd w:val="clear" w:color="auto" w:fill="D9D9D9"/>
            <w:vAlign w:val="center"/>
            <w:hideMark/>
          </w:tcPr>
          <w:p w14:paraId="6E8345B7"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 xml:space="preserve">7. Desenvolvimento sustentável </w:t>
            </w:r>
          </w:p>
        </w:tc>
        <w:tc>
          <w:tcPr>
            <w:tcW w:w="1144" w:type="dxa"/>
            <w:tcBorders>
              <w:top w:val="single" w:sz="8" w:space="0" w:color="FFFFFF"/>
              <w:left w:val="single" w:sz="24" w:space="0" w:color="FFFFFF"/>
              <w:bottom w:val="single" w:sz="8" w:space="0" w:color="FFFFFF"/>
              <w:right w:val="single" w:sz="8" w:space="0" w:color="FFFFFF"/>
            </w:tcBorders>
            <w:shd w:val="clear" w:color="auto" w:fill="C6D9F1"/>
            <w:vAlign w:val="center"/>
            <w:hideMark/>
          </w:tcPr>
          <w:p w14:paraId="6E8345B8"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20"/>
                <w:lang w:val="pt-BR"/>
              </w:rPr>
            </w:pPr>
          </w:p>
        </w:tc>
        <w:tc>
          <w:tcPr>
            <w:tcW w:w="1712" w:type="dxa"/>
            <w:tcBorders>
              <w:top w:val="single" w:sz="8" w:space="0" w:color="FFFFFF"/>
              <w:left w:val="single" w:sz="8" w:space="0" w:color="FFFFFF"/>
              <w:bottom w:val="single" w:sz="8" w:space="0" w:color="FFFFFF"/>
              <w:right w:val="single" w:sz="8" w:space="0" w:color="FFFFFF"/>
            </w:tcBorders>
            <w:shd w:val="clear" w:color="auto" w:fill="C6D9F1"/>
            <w:vAlign w:val="center"/>
            <w:hideMark/>
          </w:tcPr>
          <w:p w14:paraId="6E8345B9"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 xml:space="preserve">Quarta Reunião Ministerial de Desenvolvimento Sustentável </w:t>
            </w:r>
          </w:p>
          <w:p w14:paraId="6E8345BA" w14:textId="0D23B2E5" w:rsidR="00A925FD" w:rsidRPr="00D65A20" w:rsidRDefault="00A925FD" w:rsidP="000616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i/>
                <w:iCs/>
                <w:color w:val="000000"/>
                <w:sz w:val="16"/>
                <w:szCs w:val="16"/>
                <w:lang w:val="pt-BR"/>
              </w:rPr>
              <w:t>(Costa Rica, segundo semestre)</w:t>
            </w:r>
          </w:p>
        </w:tc>
        <w:tc>
          <w:tcPr>
            <w:tcW w:w="1548" w:type="dxa"/>
            <w:tcBorders>
              <w:top w:val="single" w:sz="8" w:space="0" w:color="FFFFFF"/>
              <w:left w:val="single" w:sz="8" w:space="0" w:color="FFFFFF"/>
              <w:bottom w:val="single" w:sz="8" w:space="0" w:color="FFFFFF"/>
              <w:right w:val="single" w:sz="8" w:space="0" w:color="FFFFFF"/>
            </w:tcBorders>
            <w:shd w:val="clear" w:color="auto" w:fill="C6D9F1"/>
            <w:vAlign w:val="center"/>
          </w:tcPr>
          <w:p w14:paraId="6E8345BB"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vAlign w:val="center"/>
            <w:hideMark/>
          </w:tcPr>
          <w:p w14:paraId="6E8345BC"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Sexta Reunião da CIDS</w:t>
            </w:r>
          </w:p>
        </w:tc>
        <w:tc>
          <w:tcPr>
            <w:tcW w:w="1350" w:type="dxa"/>
            <w:tcBorders>
              <w:top w:val="single" w:sz="8" w:space="0" w:color="FFFFFF"/>
              <w:left w:val="single" w:sz="8" w:space="0" w:color="FFFFFF"/>
              <w:bottom w:val="single" w:sz="8" w:space="0" w:color="FFFFFF"/>
              <w:right w:val="single" w:sz="8" w:space="0" w:color="FFFFFF"/>
            </w:tcBorders>
            <w:shd w:val="clear" w:color="auto" w:fill="C6D9F1"/>
            <w:tcMar>
              <w:top w:w="15" w:type="dxa"/>
              <w:left w:w="15" w:type="dxa"/>
              <w:bottom w:w="15" w:type="dxa"/>
              <w:right w:w="15" w:type="dxa"/>
            </w:tcMar>
            <w:vAlign w:val="center"/>
            <w:hideMark/>
          </w:tcPr>
          <w:p w14:paraId="6E8345BD"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 xml:space="preserve">Quinta Reunião Ministerial de Desenvolvimento Sustentável </w:t>
            </w:r>
          </w:p>
          <w:p w14:paraId="6E8345BE" w14:textId="2D92A933"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16"/>
                <w:szCs w:val="16"/>
                <w:lang w:val="pt-BR"/>
              </w:rPr>
            </w:pPr>
            <w:r w:rsidRPr="00D65A20">
              <w:rPr>
                <w:rFonts w:ascii="Times New Roman" w:eastAsia="Calibri" w:hAnsi="Times New Roman"/>
                <w:i/>
                <w:color w:val="000000"/>
                <w:sz w:val="16"/>
                <w:szCs w:val="16"/>
                <w:lang w:val="pt-BR"/>
              </w:rPr>
              <w:t>(</w:t>
            </w:r>
            <w:r w:rsidR="00697F8A" w:rsidRPr="00D65A20">
              <w:rPr>
                <w:rFonts w:ascii="Times New Roman" w:eastAsia="Calibri" w:hAnsi="Times New Roman"/>
                <w:i/>
                <w:color w:val="000000"/>
                <w:sz w:val="16"/>
                <w:szCs w:val="16"/>
                <w:lang w:val="pt-BR"/>
              </w:rPr>
              <w:t>sede a ser definida</w:t>
            </w:r>
            <w:r w:rsidRPr="00D65A20">
              <w:rPr>
                <w:rFonts w:ascii="Times New Roman" w:eastAsia="Calibri" w:hAnsi="Times New Roman"/>
                <w:i/>
                <w:color w:val="000000"/>
                <w:sz w:val="16"/>
                <w:szCs w:val="16"/>
                <w:lang w:val="pt-BR"/>
              </w:rPr>
              <w:t>)</w:t>
            </w:r>
          </w:p>
        </w:tc>
        <w:tc>
          <w:tcPr>
            <w:tcW w:w="1548" w:type="dxa"/>
            <w:tcBorders>
              <w:top w:val="single" w:sz="8" w:space="0" w:color="FFFFFF"/>
              <w:left w:val="single" w:sz="8" w:space="0" w:color="FFFFFF"/>
              <w:bottom w:val="single" w:sz="8" w:space="0" w:color="FFFFFF"/>
              <w:right w:val="single" w:sz="8" w:space="0" w:color="FFFFFF"/>
            </w:tcBorders>
            <w:shd w:val="clear" w:color="auto" w:fill="C6D9F1"/>
            <w:tcMar>
              <w:top w:w="15" w:type="dxa"/>
              <w:left w:w="15" w:type="dxa"/>
              <w:bottom w:w="15" w:type="dxa"/>
              <w:right w:w="15" w:type="dxa"/>
            </w:tcMar>
          </w:tcPr>
          <w:p w14:paraId="6E8345BF"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p>
        </w:tc>
      </w:tr>
      <w:tr w:rsidR="00A925FD" w:rsidRPr="00D65A20" w14:paraId="6E8345CA" w14:textId="77777777" w:rsidTr="00A925FD">
        <w:trPr>
          <w:trHeight w:val="447"/>
          <w:jc w:val="center"/>
        </w:trPr>
        <w:tc>
          <w:tcPr>
            <w:tcW w:w="1346" w:type="dxa"/>
            <w:tcBorders>
              <w:top w:val="single" w:sz="8" w:space="0" w:color="FFFFFF"/>
              <w:left w:val="single" w:sz="8" w:space="0" w:color="FFFFFF"/>
              <w:bottom w:val="single" w:sz="8" w:space="0" w:color="FFFFFF"/>
              <w:right w:val="single" w:sz="24" w:space="0" w:color="FFFFFF"/>
            </w:tcBorders>
            <w:shd w:val="clear" w:color="auto" w:fill="D9D9D9"/>
            <w:vAlign w:val="center"/>
            <w:hideMark/>
          </w:tcPr>
          <w:p w14:paraId="6E8345C1"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8. Ciência e tecnologia</w:t>
            </w:r>
          </w:p>
        </w:tc>
        <w:tc>
          <w:tcPr>
            <w:tcW w:w="1144" w:type="dxa"/>
            <w:tcBorders>
              <w:top w:val="single" w:sz="8" w:space="0" w:color="FFFFFF"/>
              <w:left w:val="single" w:sz="24" w:space="0" w:color="FFFFFF"/>
              <w:bottom w:val="single" w:sz="8" w:space="0" w:color="FFFFFF"/>
              <w:right w:val="single" w:sz="8" w:space="0" w:color="FFFFFF"/>
            </w:tcBorders>
            <w:shd w:val="clear" w:color="auto" w:fill="DBE5F1"/>
            <w:vAlign w:val="center"/>
            <w:hideMark/>
          </w:tcPr>
          <w:p w14:paraId="6E8345C2"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20"/>
                <w:lang w:val="pt-BR"/>
              </w:rPr>
            </w:pPr>
          </w:p>
        </w:tc>
        <w:tc>
          <w:tcPr>
            <w:tcW w:w="1712"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14:paraId="6E8345C3"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Sexta Reunião Ministerial de Ciência e Tecnologia</w:t>
            </w:r>
          </w:p>
          <w:p w14:paraId="6E8345C4"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i/>
                <w:color w:val="000000"/>
                <w:sz w:val="16"/>
                <w:szCs w:val="16"/>
                <w:lang w:val="pt-BR"/>
              </w:rPr>
              <w:t>(Jamaica)</w:t>
            </w:r>
          </w:p>
        </w:tc>
        <w:tc>
          <w:tcPr>
            <w:tcW w:w="1548"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14:paraId="6E8345C5"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20"/>
                <w:lang w:val="pt-BR"/>
              </w:rPr>
            </w:pPr>
          </w:p>
        </w:tc>
        <w:tc>
          <w:tcPr>
            <w:tcW w:w="1620"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14:paraId="6E8345C6"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Décima Reunião da COMCyT</w:t>
            </w:r>
          </w:p>
        </w:tc>
        <w:tc>
          <w:tcPr>
            <w:tcW w:w="1350" w:type="dxa"/>
            <w:tcBorders>
              <w:top w:val="single" w:sz="8" w:space="0" w:color="FFFFFF"/>
              <w:left w:val="single" w:sz="8" w:space="0" w:color="FFFFFF"/>
              <w:bottom w:val="single" w:sz="8" w:space="0" w:color="FFFFFF"/>
              <w:right w:val="single" w:sz="8" w:space="0" w:color="FFFFFF"/>
            </w:tcBorders>
            <w:shd w:val="clear" w:color="auto" w:fill="DBE5F1"/>
            <w:tcMar>
              <w:top w:w="15" w:type="dxa"/>
              <w:left w:w="15" w:type="dxa"/>
              <w:bottom w:w="15" w:type="dxa"/>
              <w:right w:w="15" w:type="dxa"/>
            </w:tcMar>
            <w:vAlign w:val="center"/>
            <w:hideMark/>
          </w:tcPr>
          <w:p w14:paraId="6E8345C7"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Sétima Reunião Ministerial de Ciência e Tecnologia</w:t>
            </w:r>
          </w:p>
          <w:p w14:paraId="6E8345C8" w14:textId="6E71D13B"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i/>
                <w:color w:val="000000"/>
                <w:sz w:val="16"/>
                <w:szCs w:val="16"/>
                <w:lang w:val="pt-BR"/>
              </w:rPr>
              <w:t>(</w:t>
            </w:r>
            <w:r w:rsidR="00697F8A" w:rsidRPr="00D65A20">
              <w:rPr>
                <w:rFonts w:ascii="Times New Roman" w:eastAsia="Calibri" w:hAnsi="Times New Roman"/>
                <w:i/>
                <w:color w:val="000000"/>
                <w:sz w:val="16"/>
                <w:szCs w:val="16"/>
                <w:lang w:val="pt-BR"/>
              </w:rPr>
              <w:t>sede a ser definida</w:t>
            </w:r>
            <w:r w:rsidRPr="00D65A20">
              <w:rPr>
                <w:rFonts w:ascii="Times New Roman" w:eastAsia="Calibri" w:hAnsi="Times New Roman"/>
                <w:i/>
                <w:color w:val="000000"/>
                <w:sz w:val="16"/>
                <w:szCs w:val="16"/>
                <w:lang w:val="pt-BR"/>
              </w:rPr>
              <w:t>)</w:t>
            </w:r>
          </w:p>
        </w:tc>
        <w:tc>
          <w:tcPr>
            <w:tcW w:w="1548" w:type="dxa"/>
            <w:tcBorders>
              <w:top w:val="single" w:sz="8" w:space="0" w:color="FFFFFF"/>
              <w:left w:val="single" w:sz="8" w:space="0" w:color="FFFFFF"/>
              <w:bottom w:val="single" w:sz="8" w:space="0" w:color="FFFFFF"/>
              <w:right w:val="single" w:sz="8" w:space="0" w:color="FFFFFF"/>
            </w:tcBorders>
            <w:shd w:val="clear" w:color="auto" w:fill="DBE5F1"/>
            <w:tcMar>
              <w:top w:w="15" w:type="dxa"/>
              <w:left w:w="15" w:type="dxa"/>
              <w:bottom w:w="15" w:type="dxa"/>
              <w:right w:w="15" w:type="dxa"/>
            </w:tcMar>
          </w:tcPr>
          <w:p w14:paraId="6E8345C9"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p>
        </w:tc>
      </w:tr>
      <w:tr w:rsidR="00A925FD" w:rsidRPr="00D65A20" w14:paraId="6E8345D4" w14:textId="77777777" w:rsidTr="00A925FD">
        <w:trPr>
          <w:trHeight w:val="669"/>
          <w:jc w:val="center"/>
        </w:trPr>
        <w:tc>
          <w:tcPr>
            <w:tcW w:w="1346" w:type="dxa"/>
            <w:tcBorders>
              <w:top w:val="single" w:sz="8" w:space="0" w:color="FFFFFF"/>
              <w:left w:val="single" w:sz="8" w:space="0" w:color="FFFFFF"/>
              <w:bottom w:val="single" w:sz="8" w:space="0" w:color="FFFFFF"/>
              <w:right w:val="single" w:sz="24" w:space="0" w:color="FFFFFF"/>
            </w:tcBorders>
            <w:shd w:val="clear" w:color="auto" w:fill="D9D9D9"/>
            <w:vAlign w:val="center"/>
            <w:hideMark/>
          </w:tcPr>
          <w:p w14:paraId="6E8345CB"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lastRenderedPageBreak/>
              <w:t xml:space="preserve">9. Trabalho </w:t>
            </w:r>
          </w:p>
        </w:tc>
        <w:tc>
          <w:tcPr>
            <w:tcW w:w="1144" w:type="dxa"/>
            <w:tcBorders>
              <w:top w:val="single" w:sz="8" w:space="0" w:color="FFFFFF"/>
              <w:left w:val="single" w:sz="24" w:space="0" w:color="FFFFFF"/>
              <w:bottom w:val="single" w:sz="8" w:space="0" w:color="FFFFFF"/>
              <w:right w:val="single" w:sz="8" w:space="0" w:color="FFFFFF"/>
            </w:tcBorders>
            <w:shd w:val="clear" w:color="auto" w:fill="C6D9F1"/>
            <w:vAlign w:val="center"/>
            <w:hideMark/>
          </w:tcPr>
          <w:p w14:paraId="6E8345CC"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20"/>
                <w:lang w:val="pt-BR"/>
              </w:rPr>
            </w:pPr>
          </w:p>
        </w:tc>
        <w:tc>
          <w:tcPr>
            <w:tcW w:w="1712" w:type="dxa"/>
            <w:tcBorders>
              <w:top w:val="single" w:sz="8" w:space="0" w:color="FFFFFF"/>
              <w:left w:val="single" w:sz="8" w:space="0" w:color="FFFFFF"/>
              <w:bottom w:val="single" w:sz="8" w:space="0" w:color="FFFFFF"/>
              <w:right w:val="single" w:sz="8" w:space="0" w:color="FFFFFF"/>
            </w:tcBorders>
            <w:shd w:val="clear" w:color="auto" w:fill="C6D9F1"/>
            <w:vAlign w:val="center"/>
            <w:hideMark/>
          </w:tcPr>
          <w:p w14:paraId="6E8345CD"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 xml:space="preserve">Vigésima Primeira Reunião Ministerial de Trabalho </w:t>
            </w:r>
          </w:p>
          <w:p w14:paraId="6E8345CE"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w:t>
            </w:r>
            <w:r w:rsidRPr="00D65A20">
              <w:rPr>
                <w:rFonts w:ascii="Times New Roman" w:eastAsia="Calibri" w:hAnsi="Times New Roman"/>
                <w:i/>
                <w:iCs/>
                <w:color w:val="000000"/>
                <w:sz w:val="16"/>
                <w:szCs w:val="16"/>
                <w:lang w:val="pt-BR"/>
              </w:rPr>
              <w:t>Argentina, 22 a 24 de setembro</w:t>
            </w:r>
            <w:r w:rsidRPr="00D65A20">
              <w:rPr>
                <w:rFonts w:ascii="Times New Roman" w:eastAsia="Calibri" w:hAnsi="Times New Roman"/>
                <w:color w:val="000000"/>
                <w:sz w:val="16"/>
                <w:szCs w:val="16"/>
                <w:lang w:val="pt-BR"/>
              </w:rPr>
              <w:t>)</w:t>
            </w:r>
          </w:p>
        </w:tc>
        <w:tc>
          <w:tcPr>
            <w:tcW w:w="1548" w:type="dxa"/>
            <w:tcBorders>
              <w:top w:val="single" w:sz="8" w:space="0" w:color="FFFFFF"/>
              <w:left w:val="single" w:sz="8" w:space="0" w:color="FFFFFF"/>
              <w:bottom w:val="single" w:sz="8" w:space="0" w:color="FFFFFF"/>
              <w:right w:val="single" w:sz="8" w:space="0" w:color="FFFFFF"/>
            </w:tcBorders>
            <w:shd w:val="clear" w:color="auto" w:fill="C6D9F1"/>
            <w:vAlign w:val="center"/>
            <w:hideMark/>
          </w:tcPr>
          <w:p w14:paraId="6E8345CF"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20"/>
                <w:lang w:val="pt-BR"/>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vAlign w:val="center"/>
            <w:hideMark/>
          </w:tcPr>
          <w:p w14:paraId="6E8345D0" w14:textId="1F74BE1F" w:rsidR="00A925FD" w:rsidRPr="00D65A20" w:rsidRDefault="00A925FD" w:rsidP="00697F8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 xml:space="preserve">Reunião do GT </w:t>
            </w:r>
            <w:r w:rsidR="00697F8A" w:rsidRPr="00D65A20">
              <w:rPr>
                <w:rFonts w:ascii="Times New Roman" w:eastAsia="Calibri" w:hAnsi="Times New Roman"/>
                <w:color w:val="000000"/>
                <w:sz w:val="16"/>
                <w:szCs w:val="16"/>
                <w:lang w:val="pt-BR"/>
              </w:rPr>
              <w:t xml:space="preserve">sobre </w:t>
            </w:r>
            <w:r w:rsidRPr="00D65A20">
              <w:rPr>
                <w:rFonts w:ascii="Times New Roman" w:eastAsia="Calibri" w:hAnsi="Times New Roman"/>
                <w:color w:val="000000"/>
                <w:sz w:val="16"/>
                <w:szCs w:val="16"/>
                <w:lang w:val="pt-BR"/>
              </w:rPr>
              <w:t xml:space="preserve">Trabalho </w:t>
            </w:r>
          </w:p>
        </w:tc>
        <w:tc>
          <w:tcPr>
            <w:tcW w:w="1350" w:type="dxa"/>
            <w:tcBorders>
              <w:top w:val="single" w:sz="8" w:space="0" w:color="FFFFFF"/>
              <w:left w:val="single" w:sz="8" w:space="0" w:color="FFFFFF"/>
              <w:bottom w:val="single" w:sz="8" w:space="0" w:color="FFFFFF"/>
              <w:right w:val="single" w:sz="8" w:space="0" w:color="FFFFFF"/>
            </w:tcBorders>
            <w:shd w:val="clear" w:color="auto" w:fill="C6D9F1"/>
            <w:tcMar>
              <w:top w:w="15" w:type="dxa"/>
              <w:left w:w="15" w:type="dxa"/>
              <w:bottom w:w="15" w:type="dxa"/>
              <w:right w:w="15" w:type="dxa"/>
            </w:tcMar>
            <w:vAlign w:val="center"/>
            <w:hideMark/>
          </w:tcPr>
          <w:p w14:paraId="6E8345D1"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 xml:space="preserve">Vigésima Segunda Reunião Ministerial de Trabalho </w:t>
            </w:r>
          </w:p>
          <w:p w14:paraId="6E8345D2" w14:textId="285E4B5E" w:rsidR="00A925FD" w:rsidRPr="00D65A20" w:rsidRDefault="00A925FD" w:rsidP="0009202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i/>
                <w:iCs/>
                <w:color w:val="000000"/>
                <w:sz w:val="16"/>
                <w:szCs w:val="16"/>
                <w:lang w:val="pt-BR"/>
              </w:rPr>
              <w:t>(</w:t>
            </w:r>
            <w:r w:rsidR="00697F8A" w:rsidRPr="00D65A20">
              <w:rPr>
                <w:rFonts w:ascii="Times New Roman" w:eastAsia="Calibri" w:hAnsi="Times New Roman"/>
                <w:i/>
                <w:iCs/>
                <w:color w:val="000000"/>
                <w:sz w:val="16"/>
                <w:szCs w:val="16"/>
                <w:lang w:val="pt-BR"/>
              </w:rPr>
              <w:t xml:space="preserve">sede </w:t>
            </w:r>
            <w:r w:rsidRPr="00D65A20">
              <w:rPr>
                <w:rFonts w:ascii="Times New Roman" w:eastAsia="Calibri" w:hAnsi="Times New Roman"/>
                <w:i/>
                <w:iCs/>
                <w:color w:val="000000"/>
                <w:sz w:val="16"/>
                <w:szCs w:val="16"/>
                <w:lang w:val="pt-BR"/>
              </w:rPr>
              <w:t>a ser definid</w:t>
            </w:r>
            <w:r w:rsidR="00697F8A" w:rsidRPr="00D65A20">
              <w:rPr>
                <w:rFonts w:ascii="Times New Roman" w:eastAsia="Calibri" w:hAnsi="Times New Roman"/>
                <w:i/>
                <w:iCs/>
                <w:color w:val="000000"/>
                <w:sz w:val="16"/>
                <w:szCs w:val="16"/>
                <w:lang w:val="pt-BR"/>
              </w:rPr>
              <w:t>a</w:t>
            </w:r>
            <w:r w:rsidRPr="00D65A20">
              <w:rPr>
                <w:rFonts w:ascii="Times New Roman" w:eastAsia="Calibri" w:hAnsi="Times New Roman"/>
                <w:i/>
                <w:iCs/>
                <w:color w:val="000000"/>
                <w:sz w:val="16"/>
                <w:szCs w:val="16"/>
                <w:lang w:val="pt-BR"/>
              </w:rPr>
              <w:t>)</w:t>
            </w:r>
          </w:p>
        </w:tc>
        <w:tc>
          <w:tcPr>
            <w:tcW w:w="1548" w:type="dxa"/>
            <w:tcBorders>
              <w:top w:val="single" w:sz="8" w:space="0" w:color="FFFFFF"/>
              <w:left w:val="single" w:sz="8" w:space="0" w:color="FFFFFF"/>
              <w:bottom w:val="single" w:sz="8" w:space="0" w:color="FFFFFF"/>
              <w:right w:val="single" w:sz="8" w:space="0" w:color="FFFFFF"/>
            </w:tcBorders>
            <w:shd w:val="clear" w:color="auto" w:fill="C6D9F1"/>
            <w:tcMar>
              <w:top w:w="15" w:type="dxa"/>
              <w:left w:w="15" w:type="dxa"/>
              <w:bottom w:w="15" w:type="dxa"/>
              <w:right w:w="15" w:type="dxa"/>
            </w:tcMar>
          </w:tcPr>
          <w:p w14:paraId="6E8345D3"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p>
        </w:tc>
      </w:tr>
      <w:tr w:rsidR="00A925FD" w:rsidRPr="00D65A20" w14:paraId="6E8345FF" w14:textId="77777777" w:rsidTr="00A925FD">
        <w:trPr>
          <w:trHeight w:val="1497"/>
          <w:jc w:val="center"/>
        </w:trPr>
        <w:tc>
          <w:tcPr>
            <w:tcW w:w="1346" w:type="dxa"/>
            <w:tcBorders>
              <w:top w:val="single" w:sz="8" w:space="0" w:color="FFFFFF"/>
              <w:left w:val="single" w:sz="8" w:space="0" w:color="FFFFFF"/>
              <w:bottom w:val="single" w:sz="8" w:space="0" w:color="FFFFFF"/>
              <w:right w:val="single" w:sz="24" w:space="0" w:color="FFFFFF"/>
            </w:tcBorders>
            <w:shd w:val="clear" w:color="auto" w:fill="EAF1DD"/>
            <w:vAlign w:val="center"/>
            <w:hideMark/>
          </w:tcPr>
          <w:p w14:paraId="6E8345D5"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color w:val="000000"/>
                <w:sz w:val="16"/>
                <w:szCs w:val="16"/>
                <w:lang w:val="pt-BR"/>
              </w:rPr>
              <w:t>Outras reuniões*</w:t>
            </w:r>
          </w:p>
          <w:p w14:paraId="6E8345D6"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r w:rsidRPr="00D65A20">
              <w:rPr>
                <w:rFonts w:ascii="Times New Roman" w:eastAsia="Calibri" w:hAnsi="Times New Roman"/>
                <w:i/>
                <w:color w:val="000000"/>
                <w:sz w:val="16"/>
                <w:szCs w:val="16"/>
                <w:lang w:val="pt-BR"/>
              </w:rPr>
              <w:t>(somente como referência)</w:t>
            </w:r>
          </w:p>
        </w:tc>
        <w:tc>
          <w:tcPr>
            <w:tcW w:w="1144" w:type="dxa"/>
            <w:tcBorders>
              <w:top w:val="single" w:sz="8" w:space="0" w:color="FFFFFF"/>
              <w:left w:val="single" w:sz="24" w:space="0" w:color="FFFFFF"/>
              <w:bottom w:val="single" w:sz="8" w:space="0" w:color="FFFFFF"/>
              <w:right w:val="single" w:sz="8" w:space="0" w:color="FFFFFF"/>
            </w:tcBorders>
            <w:shd w:val="clear" w:color="auto" w:fill="EAF1DD"/>
          </w:tcPr>
          <w:p w14:paraId="6E8345D7"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16"/>
                <w:szCs w:val="16"/>
                <w:lang w:val="pt-BR"/>
              </w:rPr>
            </w:pPr>
            <w:r w:rsidRPr="00D65A20">
              <w:rPr>
                <w:rFonts w:ascii="Times New Roman" w:hAnsi="Times New Roman"/>
                <w:color w:val="000000"/>
                <w:sz w:val="16"/>
                <w:szCs w:val="16"/>
                <w:lang w:val="pt-BR"/>
              </w:rPr>
              <w:t>Prospecta Américas,</w:t>
            </w:r>
          </w:p>
          <w:p w14:paraId="6E8345D8"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16"/>
                <w:szCs w:val="16"/>
                <w:lang w:val="pt-BR"/>
              </w:rPr>
            </w:pPr>
            <w:r w:rsidRPr="00D65A20">
              <w:rPr>
                <w:rFonts w:ascii="Times New Roman" w:hAnsi="Times New Roman"/>
                <w:i/>
                <w:iCs/>
                <w:color w:val="000000"/>
                <w:sz w:val="16"/>
                <w:szCs w:val="16"/>
                <w:lang w:val="pt-BR"/>
              </w:rPr>
              <w:t>(México, novembro)</w:t>
            </w:r>
          </w:p>
          <w:p w14:paraId="6E8345D9"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p>
        </w:tc>
        <w:tc>
          <w:tcPr>
            <w:tcW w:w="1712" w:type="dxa"/>
            <w:tcBorders>
              <w:top w:val="single" w:sz="8" w:space="0" w:color="FFFFFF"/>
              <w:left w:val="single" w:sz="8" w:space="0" w:color="FFFFFF"/>
              <w:bottom w:val="single" w:sz="8" w:space="0" w:color="FFFFFF"/>
              <w:right w:val="single" w:sz="8" w:space="0" w:color="FFFFFF"/>
            </w:tcBorders>
            <w:shd w:val="clear" w:color="auto" w:fill="EAF1DD"/>
            <w:vAlign w:val="center"/>
          </w:tcPr>
          <w:p w14:paraId="6E8345DA" w14:textId="447E2925"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16"/>
                <w:szCs w:val="16"/>
                <w:lang w:val="pt-BR"/>
              </w:rPr>
            </w:pPr>
            <w:r w:rsidRPr="00D65A20">
              <w:rPr>
                <w:rFonts w:ascii="Times New Roman" w:hAnsi="Times New Roman"/>
                <w:color w:val="000000"/>
                <w:sz w:val="16"/>
                <w:szCs w:val="16"/>
                <w:lang w:val="pt-BR"/>
              </w:rPr>
              <w:t xml:space="preserve">Décimo Primeiro Fórum </w:t>
            </w:r>
            <w:r w:rsidR="000616ED" w:rsidRPr="00D65A20">
              <w:rPr>
                <w:rFonts w:ascii="Times New Roman" w:hAnsi="Times New Roman"/>
                <w:color w:val="000000"/>
                <w:sz w:val="16"/>
                <w:szCs w:val="16"/>
                <w:lang w:val="pt-BR"/>
              </w:rPr>
              <w:t xml:space="preserve">para a </w:t>
            </w:r>
            <w:r w:rsidRPr="00D65A20">
              <w:rPr>
                <w:rFonts w:ascii="Times New Roman" w:hAnsi="Times New Roman"/>
                <w:color w:val="000000"/>
                <w:sz w:val="16"/>
                <w:szCs w:val="16"/>
                <w:lang w:val="pt-BR"/>
              </w:rPr>
              <w:t>Competitividade das Américas</w:t>
            </w:r>
          </w:p>
          <w:p w14:paraId="6E8345DB"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16"/>
                <w:szCs w:val="16"/>
                <w:lang w:val="pt-BR"/>
              </w:rPr>
            </w:pPr>
            <w:r w:rsidRPr="00D65A20">
              <w:rPr>
                <w:rFonts w:ascii="Times New Roman" w:hAnsi="Times New Roman"/>
                <w:color w:val="000000"/>
                <w:sz w:val="16"/>
                <w:szCs w:val="16"/>
                <w:lang w:val="pt-BR"/>
              </w:rPr>
              <w:t>(Equador, março) </w:t>
            </w:r>
          </w:p>
          <w:p w14:paraId="6E8345DC"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p>
          <w:p w14:paraId="6E8345DD" w14:textId="36FD3BAC"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iCs/>
                <w:color w:val="000000"/>
                <w:sz w:val="16"/>
                <w:szCs w:val="16"/>
                <w:lang w:val="pt-BR"/>
              </w:rPr>
            </w:pPr>
            <w:r w:rsidRPr="00D65A20">
              <w:rPr>
                <w:rFonts w:ascii="Times New Roman" w:hAnsi="Times New Roman"/>
                <w:color w:val="000000"/>
                <w:sz w:val="16"/>
                <w:szCs w:val="16"/>
                <w:lang w:val="pt-BR"/>
              </w:rPr>
              <w:t xml:space="preserve">Sétimo Diálogo de </w:t>
            </w:r>
            <w:r w:rsidR="000616ED" w:rsidRPr="00D65A20">
              <w:rPr>
                <w:rFonts w:ascii="Times New Roman" w:hAnsi="Times New Roman"/>
                <w:color w:val="000000"/>
                <w:sz w:val="16"/>
                <w:szCs w:val="16"/>
                <w:lang w:val="pt-BR"/>
              </w:rPr>
              <w:t>Altas Autoridades</w:t>
            </w:r>
            <w:r w:rsidRPr="00D65A20">
              <w:rPr>
                <w:rFonts w:ascii="Times New Roman" w:hAnsi="Times New Roman"/>
                <w:color w:val="000000"/>
                <w:sz w:val="16"/>
                <w:szCs w:val="16"/>
                <w:lang w:val="pt-BR"/>
              </w:rPr>
              <w:t xml:space="preserve"> das MPMEs </w:t>
            </w:r>
            <w:r w:rsidRPr="00D65A20">
              <w:rPr>
                <w:rFonts w:ascii="Times New Roman" w:hAnsi="Times New Roman"/>
                <w:i/>
                <w:iCs/>
                <w:color w:val="000000"/>
                <w:sz w:val="16"/>
                <w:szCs w:val="16"/>
                <w:lang w:val="pt-BR"/>
              </w:rPr>
              <w:t>(Chile)</w:t>
            </w:r>
          </w:p>
          <w:p w14:paraId="6E8345DE"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iCs/>
                <w:color w:val="000000"/>
                <w:sz w:val="16"/>
                <w:szCs w:val="16"/>
                <w:lang w:val="pt-BR"/>
              </w:rPr>
            </w:pPr>
          </w:p>
          <w:p w14:paraId="6E8345DF"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16"/>
                <w:szCs w:val="16"/>
                <w:lang w:val="pt-BR"/>
              </w:rPr>
            </w:pPr>
            <w:r w:rsidRPr="00D65A20">
              <w:rPr>
                <w:rFonts w:ascii="Times New Roman" w:hAnsi="Times New Roman"/>
                <w:color w:val="000000"/>
                <w:sz w:val="16"/>
                <w:szCs w:val="16"/>
                <w:lang w:val="pt-BR"/>
              </w:rPr>
              <w:t>Prospecta Américas,</w:t>
            </w:r>
          </w:p>
          <w:p w14:paraId="6E8345E0" w14:textId="2BE6F70C"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16"/>
                <w:szCs w:val="16"/>
                <w:lang w:val="pt-BR"/>
              </w:rPr>
            </w:pPr>
            <w:r w:rsidRPr="00D65A20">
              <w:rPr>
                <w:rFonts w:ascii="Times New Roman" w:hAnsi="Times New Roman"/>
                <w:i/>
                <w:iCs/>
                <w:color w:val="000000"/>
                <w:sz w:val="16"/>
                <w:szCs w:val="16"/>
                <w:lang w:val="pt-BR"/>
              </w:rPr>
              <w:t xml:space="preserve">(México, primeiro </w:t>
            </w:r>
            <w:r w:rsidR="00697F8A" w:rsidRPr="00D65A20">
              <w:rPr>
                <w:rFonts w:ascii="Times New Roman" w:hAnsi="Times New Roman"/>
                <w:i/>
                <w:iCs/>
                <w:color w:val="000000"/>
                <w:sz w:val="16"/>
                <w:szCs w:val="16"/>
                <w:lang w:val="pt-BR"/>
              </w:rPr>
              <w:t>trimestre</w:t>
            </w:r>
            <w:r w:rsidRPr="00D65A20">
              <w:rPr>
                <w:rFonts w:ascii="Times New Roman" w:hAnsi="Times New Roman"/>
                <w:color w:val="000000"/>
                <w:sz w:val="16"/>
                <w:szCs w:val="16"/>
                <w:lang w:val="pt-BR"/>
              </w:rPr>
              <w:t>)</w:t>
            </w:r>
          </w:p>
          <w:p w14:paraId="6E8345E1"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p>
          <w:p w14:paraId="6E8345E2" w14:textId="615ED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16"/>
                <w:szCs w:val="16"/>
                <w:lang w:val="pt-BR"/>
              </w:rPr>
            </w:pPr>
            <w:r w:rsidRPr="00D65A20">
              <w:rPr>
                <w:rFonts w:ascii="Times New Roman" w:hAnsi="Times New Roman"/>
                <w:color w:val="000000"/>
                <w:sz w:val="16"/>
                <w:szCs w:val="16"/>
                <w:lang w:val="pt-BR"/>
              </w:rPr>
              <w:t xml:space="preserve">Décimo Terceiro Intercâmbio </w:t>
            </w:r>
            <w:r w:rsidR="000616ED" w:rsidRPr="00D65A20">
              <w:rPr>
                <w:rFonts w:ascii="Times New Roman" w:hAnsi="Times New Roman"/>
                <w:color w:val="000000"/>
                <w:sz w:val="16"/>
                <w:szCs w:val="16"/>
                <w:lang w:val="pt-BR"/>
              </w:rPr>
              <w:t xml:space="preserve">para a </w:t>
            </w:r>
            <w:r w:rsidRPr="00D65A20">
              <w:rPr>
                <w:rFonts w:ascii="Times New Roman" w:hAnsi="Times New Roman"/>
                <w:color w:val="000000"/>
                <w:sz w:val="16"/>
                <w:szCs w:val="16"/>
                <w:lang w:val="pt-BR"/>
              </w:rPr>
              <w:t xml:space="preserve">Competitividade das Américas </w:t>
            </w:r>
            <w:r w:rsidRPr="00D65A20">
              <w:rPr>
                <w:rFonts w:ascii="Times New Roman" w:hAnsi="Times New Roman"/>
                <w:i/>
                <w:iCs/>
                <w:color w:val="000000"/>
                <w:sz w:val="16"/>
                <w:szCs w:val="16"/>
                <w:lang w:val="pt-BR"/>
              </w:rPr>
              <w:t>(Estados Unidos, agosto)</w:t>
            </w:r>
          </w:p>
          <w:p w14:paraId="6E8345E3"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p>
          <w:p w14:paraId="6E8345E4" w14:textId="6771A2E7" w:rsidR="00A925FD" w:rsidRPr="00D65A20" w:rsidRDefault="00A925FD" w:rsidP="000616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16"/>
                <w:szCs w:val="16"/>
                <w:lang w:val="pt-BR"/>
              </w:rPr>
            </w:pPr>
            <w:r w:rsidRPr="00D65A20">
              <w:rPr>
                <w:rFonts w:ascii="Times New Roman" w:hAnsi="Times New Roman"/>
                <w:color w:val="000000"/>
                <w:sz w:val="16"/>
                <w:szCs w:val="16"/>
                <w:lang w:val="pt-BR"/>
              </w:rPr>
              <w:t xml:space="preserve">Décimo Quarto Intercâmbio </w:t>
            </w:r>
            <w:r w:rsidR="000616ED" w:rsidRPr="00D65A20">
              <w:rPr>
                <w:rFonts w:ascii="Times New Roman" w:hAnsi="Times New Roman"/>
                <w:color w:val="000000"/>
                <w:sz w:val="16"/>
                <w:szCs w:val="16"/>
                <w:lang w:val="pt-BR"/>
              </w:rPr>
              <w:t xml:space="preserve">para a </w:t>
            </w:r>
            <w:r w:rsidRPr="00D65A20">
              <w:rPr>
                <w:rFonts w:ascii="Times New Roman" w:hAnsi="Times New Roman"/>
                <w:color w:val="000000"/>
                <w:sz w:val="16"/>
                <w:szCs w:val="16"/>
                <w:lang w:val="pt-BR"/>
              </w:rPr>
              <w:t xml:space="preserve">Competitividade das Américas </w:t>
            </w:r>
            <w:r w:rsidRPr="00D65A20">
              <w:rPr>
                <w:rFonts w:ascii="Times New Roman" w:hAnsi="Times New Roman"/>
                <w:i/>
                <w:iCs/>
                <w:color w:val="000000"/>
                <w:sz w:val="16"/>
                <w:szCs w:val="16"/>
                <w:lang w:val="pt-BR"/>
              </w:rPr>
              <w:t>(Estados Unidos, novembro)</w:t>
            </w:r>
          </w:p>
        </w:tc>
        <w:tc>
          <w:tcPr>
            <w:tcW w:w="1548" w:type="dxa"/>
            <w:tcBorders>
              <w:top w:val="single" w:sz="8" w:space="0" w:color="FFFFFF"/>
              <w:left w:val="single" w:sz="8" w:space="0" w:color="FFFFFF"/>
              <w:bottom w:val="single" w:sz="8" w:space="0" w:color="FFFFFF"/>
              <w:right w:val="single" w:sz="8" w:space="0" w:color="FFFFFF"/>
            </w:tcBorders>
            <w:shd w:val="clear" w:color="auto" w:fill="EAF1DD"/>
          </w:tcPr>
          <w:p w14:paraId="6E8345E5" w14:textId="0D836B29"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 w:val="16"/>
                <w:szCs w:val="16"/>
                <w:lang w:val="pt-BR"/>
              </w:rPr>
            </w:pPr>
            <w:r w:rsidRPr="00D65A20">
              <w:rPr>
                <w:rFonts w:ascii="Times New Roman" w:eastAsia="Calibri" w:hAnsi="Times New Roman"/>
                <w:color w:val="000000"/>
                <w:sz w:val="16"/>
                <w:szCs w:val="16"/>
                <w:lang w:val="pt-BR"/>
              </w:rPr>
              <w:t>Prospecta Am</w:t>
            </w:r>
            <w:r w:rsidR="000616ED" w:rsidRPr="00D65A20">
              <w:rPr>
                <w:rFonts w:ascii="Times New Roman" w:eastAsia="Calibri" w:hAnsi="Times New Roman"/>
                <w:color w:val="000000"/>
                <w:sz w:val="16"/>
                <w:szCs w:val="16"/>
                <w:lang w:val="pt-BR"/>
              </w:rPr>
              <w:t>é</w:t>
            </w:r>
            <w:r w:rsidRPr="00D65A20">
              <w:rPr>
                <w:rFonts w:ascii="Times New Roman" w:eastAsia="Calibri" w:hAnsi="Times New Roman"/>
                <w:color w:val="000000"/>
                <w:sz w:val="16"/>
                <w:szCs w:val="16"/>
                <w:lang w:val="pt-BR"/>
              </w:rPr>
              <w:t>ricas (Col</w:t>
            </w:r>
            <w:r w:rsidR="00697F8A" w:rsidRPr="00D65A20">
              <w:rPr>
                <w:rFonts w:ascii="Times New Roman" w:eastAsia="Calibri" w:hAnsi="Times New Roman"/>
                <w:color w:val="000000"/>
                <w:sz w:val="16"/>
                <w:szCs w:val="16"/>
                <w:lang w:val="pt-BR"/>
              </w:rPr>
              <w:t>ô</w:t>
            </w:r>
            <w:r w:rsidRPr="00D65A20">
              <w:rPr>
                <w:rFonts w:ascii="Times New Roman" w:eastAsia="Calibri" w:hAnsi="Times New Roman"/>
                <w:color w:val="000000"/>
                <w:sz w:val="16"/>
                <w:szCs w:val="16"/>
                <w:lang w:val="pt-BR"/>
              </w:rPr>
              <w:t>mbia)</w:t>
            </w:r>
          </w:p>
          <w:p w14:paraId="6E8345E6"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 w:val="16"/>
                <w:szCs w:val="16"/>
                <w:lang w:val="pt-BR"/>
              </w:rPr>
            </w:pPr>
          </w:p>
          <w:p w14:paraId="6E8345E7" w14:textId="05B2C550" w:rsidR="00A925FD" w:rsidRPr="00D65A20" w:rsidRDefault="00697F8A"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 w:val="16"/>
                <w:szCs w:val="16"/>
                <w:lang w:val="pt-BR"/>
              </w:rPr>
            </w:pPr>
            <w:r w:rsidRPr="00D65A20">
              <w:rPr>
                <w:rFonts w:ascii="Times New Roman" w:eastAsia="Calibri" w:hAnsi="Times New Roman"/>
                <w:color w:val="000000"/>
                <w:sz w:val="16"/>
                <w:szCs w:val="16"/>
                <w:lang w:val="pt-BR"/>
              </w:rPr>
              <w:t>Décimo Quinto e Décimo Sexto</w:t>
            </w:r>
          </w:p>
          <w:p w14:paraId="6E8345E8" w14:textId="71A8BEA8"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 w:val="16"/>
                <w:szCs w:val="16"/>
                <w:lang w:val="pt-BR"/>
              </w:rPr>
            </w:pPr>
            <w:r w:rsidRPr="00D65A20">
              <w:rPr>
                <w:rFonts w:ascii="Times New Roman" w:eastAsia="Calibri" w:hAnsi="Times New Roman"/>
                <w:color w:val="000000"/>
                <w:sz w:val="16"/>
                <w:szCs w:val="16"/>
                <w:lang w:val="pt-BR"/>
              </w:rPr>
              <w:t>Intercâmbio</w:t>
            </w:r>
            <w:r w:rsidR="00917BC3">
              <w:rPr>
                <w:rFonts w:ascii="Times New Roman" w:eastAsia="Calibri" w:hAnsi="Times New Roman"/>
                <w:color w:val="000000"/>
                <w:sz w:val="16"/>
                <w:szCs w:val="16"/>
                <w:lang w:val="pt-BR"/>
              </w:rPr>
              <w:t>s</w:t>
            </w:r>
            <w:r w:rsidRPr="00D65A20">
              <w:rPr>
                <w:rFonts w:ascii="Times New Roman" w:eastAsia="Calibri" w:hAnsi="Times New Roman"/>
                <w:color w:val="000000"/>
                <w:sz w:val="16"/>
                <w:szCs w:val="16"/>
                <w:lang w:val="pt-BR"/>
              </w:rPr>
              <w:t xml:space="preserve"> </w:t>
            </w:r>
            <w:r w:rsidR="000616ED" w:rsidRPr="00D65A20">
              <w:rPr>
                <w:rFonts w:ascii="Times New Roman" w:eastAsia="Calibri" w:hAnsi="Times New Roman"/>
                <w:color w:val="000000"/>
                <w:sz w:val="16"/>
                <w:szCs w:val="16"/>
                <w:lang w:val="pt-BR"/>
              </w:rPr>
              <w:t xml:space="preserve">para a </w:t>
            </w:r>
            <w:r w:rsidRPr="00D65A20">
              <w:rPr>
                <w:rFonts w:ascii="Times New Roman" w:eastAsia="Calibri" w:hAnsi="Times New Roman"/>
                <w:color w:val="000000"/>
                <w:sz w:val="16"/>
                <w:szCs w:val="16"/>
                <w:lang w:val="pt-BR"/>
              </w:rPr>
              <w:t>Competitividade das Américas</w:t>
            </w:r>
          </w:p>
          <w:p w14:paraId="6E8345E9" w14:textId="2E247744" w:rsidR="00A925FD" w:rsidRPr="00D65A20" w:rsidRDefault="00A925FD" w:rsidP="00697F8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 w:val="16"/>
                <w:szCs w:val="16"/>
                <w:lang w:val="pt-BR"/>
              </w:rPr>
            </w:pPr>
            <w:r w:rsidRPr="00D65A20">
              <w:rPr>
                <w:rFonts w:ascii="Times New Roman" w:eastAsia="Calibri" w:hAnsi="Times New Roman"/>
                <w:i/>
                <w:iCs/>
                <w:color w:val="000000"/>
                <w:sz w:val="16"/>
                <w:szCs w:val="16"/>
                <w:lang w:val="pt-BR"/>
              </w:rPr>
              <w:t>(</w:t>
            </w:r>
            <w:r w:rsidR="00697F8A" w:rsidRPr="00D65A20">
              <w:rPr>
                <w:rFonts w:ascii="Times New Roman" w:eastAsia="Calibri" w:hAnsi="Times New Roman"/>
                <w:i/>
                <w:iCs/>
                <w:color w:val="000000"/>
                <w:sz w:val="16"/>
                <w:szCs w:val="16"/>
                <w:lang w:val="pt-BR"/>
              </w:rPr>
              <w:t>sede</w:t>
            </w:r>
            <w:r w:rsidR="00917BC3">
              <w:rPr>
                <w:rFonts w:ascii="Times New Roman" w:eastAsia="Calibri" w:hAnsi="Times New Roman"/>
                <w:i/>
                <w:iCs/>
                <w:color w:val="000000"/>
                <w:sz w:val="16"/>
                <w:szCs w:val="16"/>
                <w:lang w:val="pt-BR"/>
              </w:rPr>
              <w:t>s</w:t>
            </w:r>
            <w:r w:rsidR="00697F8A" w:rsidRPr="00D65A20">
              <w:rPr>
                <w:rFonts w:ascii="Times New Roman" w:eastAsia="Calibri" w:hAnsi="Times New Roman"/>
                <w:i/>
                <w:iCs/>
                <w:color w:val="000000"/>
                <w:sz w:val="16"/>
                <w:szCs w:val="16"/>
                <w:lang w:val="pt-BR"/>
              </w:rPr>
              <w:t xml:space="preserve"> </w:t>
            </w:r>
            <w:r w:rsidRPr="00D65A20">
              <w:rPr>
                <w:rFonts w:ascii="Times New Roman" w:eastAsia="Calibri" w:hAnsi="Times New Roman"/>
                <w:i/>
                <w:iCs/>
                <w:color w:val="000000"/>
                <w:sz w:val="16"/>
                <w:szCs w:val="16"/>
                <w:lang w:val="pt-BR"/>
              </w:rPr>
              <w:t>a ser</w:t>
            </w:r>
            <w:r w:rsidR="00917BC3">
              <w:rPr>
                <w:rFonts w:ascii="Times New Roman" w:eastAsia="Calibri" w:hAnsi="Times New Roman"/>
                <w:i/>
                <w:iCs/>
                <w:color w:val="000000"/>
                <w:sz w:val="16"/>
                <w:szCs w:val="16"/>
                <w:lang w:val="pt-BR"/>
              </w:rPr>
              <w:t>em</w:t>
            </w:r>
            <w:r w:rsidRPr="00D65A20">
              <w:rPr>
                <w:rFonts w:ascii="Times New Roman" w:eastAsia="Calibri" w:hAnsi="Times New Roman"/>
                <w:i/>
                <w:iCs/>
                <w:color w:val="000000"/>
                <w:sz w:val="16"/>
                <w:szCs w:val="16"/>
                <w:lang w:val="pt-BR"/>
              </w:rPr>
              <w:t xml:space="preserve"> definid</w:t>
            </w:r>
            <w:r w:rsidR="00697F8A" w:rsidRPr="00D65A20">
              <w:rPr>
                <w:rFonts w:ascii="Times New Roman" w:eastAsia="Calibri" w:hAnsi="Times New Roman"/>
                <w:i/>
                <w:iCs/>
                <w:color w:val="000000"/>
                <w:sz w:val="16"/>
                <w:szCs w:val="16"/>
                <w:lang w:val="pt-BR"/>
              </w:rPr>
              <w:t>a</w:t>
            </w:r>
            <w:r w:rsidR="00917BC3">
              <w:rPr>
                <w:rFonts w:ascii="Times New Roman" w:eastAsia="Calibri" w:hAnsi="Times New Roman"/>
                <w:i/>
                <w:iCs/>
                <w:color w:val="000000"/>
                <w:sz w:val="16"/>
                <w:szCs w:val="16"/>
                <w:lang w:val="pt-BR"/>
              </w:rPr>
              <w:t>s</w:t>
            </w:r>
            <w:r w:rsidRPr="00D65A20">
              <w:rPr>
                <w:rFonts w:ascii="Times New Roman" w:eastAsia="Calibri" w:hAnsi="Times New Roman"/>
                <w:color w:val="000000"/>
                <w:sz w:val="16"/>
                <w:szCs w:val="16"/>
                <w:lang w:val="pt-BR"/>
              </w:rPr>
              <w:t>)</w:t>
            </w:r>
          </w:p>
        </w:tc>
        <w:tc>
          <w:tcPr>
            <w:tcW w:w="1620" w:type="dxa"/>
            <w:tcBorders>
              <w:top w:val="single" w:sz="8" w:space="0" w:color="FFFFFF"/>
              <w:left w:val="single" w:sz="8" w:space="0" w:color="FFFFFF"/>
              <w:bottom w:val="single" w:sz="8" w:space="0" w:color="FFFFFF"/>
              <w:right w:val="single" w:sz="8" w:space="0" w:color="FFFFFF"/>
            </w:tcBorders>
            <w:shd w:val="clear" w:color="auto" w:fill="EAF1DD"/>
          </w:tcPr>
          <w:p w14:paraId="6E8345EA" w14:textId="3E58188D" w:rsidR="00A925FD" w:rsidRPr="00D65A20" w:rsidRDefault="00697F8A"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 w:val="16"/>
                <w:szCs w:val="16"/>
                <w:lang w:val="pt-BR"/>
              </w:rPr>
            </w:pPr>
            <w:r w:rsidRPr="00D65A20">
              <w:rPr>
                <w:rFonts w:ascii="Times New Roman" w:eastAsia="Calibri" w:hAnsi="Times New Roman"/>
                <w:color w:val="000000"/>
                <w:sz w:val="16"/>
                <w:szCs w:val="16"/>
                <w:lang w:val="pt-BR"/>
              </w:rPr>
              <w:t xml:space="preserve">Décimo Segundo </w:t>
            </w:r>
            <w:r w:rsidR="00A925FD" w:rsidRPr="00D65A20">
              <w:rPr>
                <w:rFonts w:ascii="Times New Roman" w:eastAsia="Calibri" w:hAnsi="Times New Roman"/>
                <w:color w:val="000000"/>
                <w:sz w:val="16"/>
                <w:szCs w:val="16"/>
                <w:lang w:val="pt-BR"/>
              </w:rPr>
              <w:t xml:space="preserve">Fórum </w:t>
            </w:r>
            <w:r w:rsidR="000616ED" w:rsidRPr="00D65A20">
              <w:rPr>
                <w:rFonts w:ascii="Times New Roman" w:eastAsia="Calibri" w:hAnsi="Times New Roman"/>
                <w:color w:val="000000"/>
                <w:sz w:val="16"/>
                <w:szCs w:val="16"/>
                <w:lang w:val="pt-BR"/>
              </w:rPr>
              <w:t xml:space="preserve">para a </w:t>
            </w:r>
            <w:r w:rsidR="00A925FD" w:rsidRPr="00D65A20">
              <w:rPr>
                <w:rFonts w:ascii="Times New Roman" w:eastAsia="Calibri" w:hAnsi="Times New Roman"/>
                <w:color w:val="000000"/>
                <w:sz w:val="16"/>
                <w:szCs w:val="16"/>
                <w:lang w:val="pt-BR"/>
              </w:rPr>
              <w:t xml:space="preserve">Competitividade das Américas </w:t>
            </w:r>
          </w:p>
          <w:p w14:paraId="6E8345EB" w14:textId="681343E6"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 w:val="16"/>
                <w:szCs w:val="16"/>
                <w:lang w:val="pt-BR"/>
              </w:rPr>
            </w:pPr>
            <w:r w:rsidRPr="00D65A20">
              <w:rPr>
                <w:rFonts w:ascii="Times New Roman" w:eastAsia="Calibri" w:hAnsi="Times New Roman"/>
                <w:i/>
                <w:iCs/>
                <w:color w:val="000000"/>
                <w:sz w:val="16"/>
                <w:szCs w:val="16"/>
                <w:lang w:val="pt-BR"/>
              </w:rPr>
              <w:t>(</w:t>
            </w:r>
            <w:r w:rsidR="00697F8A" w:rsidRPr="00D65A20">
              <w:rPr>
                <w:rFonts w:ascii="Times New Roman" w:eastAsia="Calibri" w:hAnsi="Times New Roman"/>
                <w:i/>
                <w:iCs/>
                <w:color w:val="000000"/>
                <w:sz w:val="16"/>
                <w:szCs w:val="16"/>
                <w:lang w:val="pt-BR"/>
              </w:rPr>
              <w:t xml:space="preserve">sede </w:t>
            </w:r>
            <w:r w:rsidRPr="00D65A20">
              <w:rPr>
                <w:rFonts w:ascii="Times New Roman" w:eastAsia="Calibri" w:hAnsi="Times New Roman"/>
                <w:i/>
                <w:iCs/>
                <w:color w:val="000000"/>
                <w:sz w:val="16"/>
                <w:szCs w:val="16"/>
                <w:lang w:val="pt-BR"/>
              </w:rPr>
              <w:t>a ser definid</w:t>
            </w:r>
            <w:r w:rsidR="00697F8A" w:rsidRPr="00D65A20">
              <w:rPr>
                <w:rFonts w:ascii="Times New Roman" w:eastAsia="Calibri" w:hAnsi="Times New Roman"/>
                <w:i/>
                <w:iCs/>
                <w:color w:val="000000"/>
                <w:sz w:val="16"/>
                <w:szCs w:val="16"/>
                <w:lang w:val="pt-BR"/>
              </w:rPr>
              <w:t>a</w:t>
            </w:r>
            <w:r w:rsidRPr="00D65A20">
              <w:rPr>
                <w:rFonts w:ascii="Times New Roman" w:eastAsia="Calibri" w:hAnsi="Times New Roman"/>
                <w:color w:val="000000"/>
                <w:sz w:val="16"/>
                <w:szCs w:val="16"/>
                <w:lang w:val="pt-BR"/>
              </w:rPr>
              <w:t>)</w:t>
            </w:r>
          </w:p>
          <w:p w14:paraId="6E8345EC"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 w:val="16"/>
                <w:szCs w:val="16"/>
                <w:lang w:val="pt-BR"/>
              </w:rPr>
            </w:pPr>
          </w:p>
          <w:p w14:paraId="6E8345ED" w14:textId="6EBAD2EC" w:rsidR="00A925FD" w:rsidRPr="00D65A20" w:rsidRDefault="00697F8A"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 w:val="16"/>
                <w:szCs w:val="16"/>
                <w:lang w:val="pt-BR"/>
              </w:rPr>
            </w:pPr>
            <w:r w:rsidRPr="00D65A20">
              <w:rPr>
                <w:rFonts w:ascii="Times New Roman" w:eastAsia="Calibri" w:hAnsi="Times New Roman"/>
                <w:color w:val="000000"/>
                <w:sz w:val="16"/>
                <w:szCs w:val="16"/>
                <w:lang w:val="pt-BR"/>
              </w:rPr>
              <w:t xml:space="preserve">Oitavo </w:t>
            </w:r>
            <w:r w:rsidR="00A925FD" w:rsidRPr="00D65A20">
              <w:rPr>
                <w:rFonts w:ascii="Times New Roman" w:eastAsia="Calibri" w:hAnsi="Times New Roman"/>
                <w:color w:val="000000"/>
                <w:sz w:val="16"/>
                <w:szCs w:val="16"/>
                <w:lang w:val="pt-BR"/>
              </w:rPr>
              <w:t xml:space="preserve">Diálogo de </w:t>
            </w:r>
            <w:r w:rsidR="000616ED" w:rsidRPr="00D65A20">
              <w:rPr>
                <w:rFonts w:ascii="Times New Roman" w:eastAsia="Calibri" w:hAnsi="Times New Roman"/>
                <w:color w:val="000000"/>
                <w:sz w:val="16"/>
                <w:szCs w:val="16"/>
                <w:lang w:val="pt-BR"/>
              </w:rPr>
              <w:t>Altas Autoridades</w:t>
            </w:r>
            <w:r w:rsidR="00A925FD" w:rsidRPr="00D65A20">
              <w:rPr>
                <w:rFonts w:ascii="Times New Roman" w:eastAsia="Calibri" w:hAnsi="Times New Roman"/>
                <w:color w:val="000000"/>
                <w:sz w:val="16"/>
                <w:szCs w:val="16"/>
                <w:lang w:val="pt-BR"/>
              </w:rPr>
              <w:t xml:space="preserve"> das MPMEs </w:t>
            </w:r>
          </w:p>
          <w:p w14:paraId="6E8345EE" w14:textId="30614C8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 w:val="16"/>
                <w:szCs w:val="16"/>
                <w:lang w:val="pt-BR"/>
              </w:rPr>
            </w:pPr>
            <w:r w:rsidRPr="00D65A20">
              <w:rPr>
                <w:rFonts w:ascii="Times New Roman" w:eastAsia="Calibri" w:hAnsi="Times New Roman"/>
                <w:i/>
                <w:iCs/>
                <w:color w:val="000000"/>
                <w:sz w:val="16"/>
                <w:szCs w:val="16"/>
                <w:lang w:val="pt-BR"/>
              </w:rPr>
              <w:t>(</w:t>
            </w:r>
            <w:r w:rsidR="00697F8A" w:rsidRPr="00D65A20">
              <w:rPr>
                <w:rFonts w:ascii="Times New Roman" w:eastAsia="Calibri" w:hAnsi="Times New Roman"/>
                <w:i/>
                <w:iCs/>
                <w:color w:val="000000"/>
                <w:sz w:val="16"/>
                <w:szCs w:val="16"/>
                <w:lang w:val="pt-BR"/>
              </w:rPr>
              <w:t xml:space="preserve">sede </w:t>
            </w:r>
            <w:r w:rsidRPr="00D65A20">
              <w:rPr>
                <w:rFonts w:ascii="Times New Roman" w:eastAsia="Calibri" w:hAnsi="Times New Roman"/>
                <w:i/>
                <w:iCs/>
                <w:color w:val="000000"/>
                <w:sz w:val="16"/>
                <w:szCs w:val="16"/>
                <w:lang w:val="pt-BR"/>
              </w:rPr>
              <w:t>a ser definid</w:t>
            </w:r>
            <w:r w:rsidR="00697F8A" w:rsidRPr="00D65A20">
              <w:rPr>
                <w:rFonts w:ascii="Times New Roman" w:eastAsia="Calibri" w:hAnsi="Times New Roman"/>
                <w:i/>
                <w:iCs/>
                <w:color w:val="000000"/>
                <w:sz w:val="16"/>
                <w:szCs w:val="16"/>
                <w:lang w:val="pt-BR"/>
              </w:rPr>
              <w:t>a</w:t>
            </w:r>
            <w:r w:rsidRPr="00D65A20">
              <w:rPr>
                <w:rFonts w:ascii="Times New Roman" w:eastAsia="Calibri" w:hAnsi="Times New Roman"/>
                <w:color w:val="000000"/>
                <w:sz w:val="16"/>
                <w:szCs w:val="16"/>
                <w:lang w:val="pt-BR"/>
              </w:rPr>
              <w:t>)</w:t>
            </w:r>
          </w:p>
          <w:p w14:paraId="6E8345EF"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i/>
                <w:iCs/>
                <w:color w:val="000000"/>
                <w:sz w:val="16"/>
                <w:szCs w:val="16"/>
                <w:lang w:val="pt-BR"/>
              </w:rPr>
            </w:pPr>
          </w:p>
          <w:p w14:paraId="6E8345F0" w14:textId="48004458" w:rsidR="00A925FD" w:rsidRPr="00D65A20" w:rsidRDefault="00697F8A"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 w:val="16"/>
                <w:szCs w:val="16"/>
                <w:lang w:val="pt-BR"/>
              </w:rPr>
            </w:pPr>
            <w:r w:rsidRPr="00D65A20">
              <w:rPr>
                <w:rFonts w:ascii="Times New Roman" w:eastAsia="Calibri" w:hAnsi="Times New Roman"/>
                <w:color w:val="000000"/>
                <w:sz w:val="16"/>
                <w:szCs w:val="16"/>
                <w:lang w:val="pt-BR"/>
              </w:rPr>
              <w:t>Décimo Sétimo e Décimo Oitavo</w:t>
            </w:r>
            <w:r w:rsidR="00A925FD" w:rsidRPr="00D65A20">
              <w:rPr>
                <w:rFonts w:ascii="Times New Roman" w:eastAsia="Calibri" w:hAnsi="Times New Roman"/>
                <w:color w:val="000000"/>
                <w:sz w:val="16"/>
                <w:szCs w:val="16"/>
                <w:lang w:val="pt-BR"/>
              </w:rPr>
              <w:t xml:space="preserve"> Intercâmbio</w:t>
            </w:r>
            <w:r w:rsidR="00917BC3">
              <w:rPr>
                <w:rFonts w:ascii="Times New Roman" w:eastAsia="Calibri" w:hAnsi="Times New Roman"/>
                <w:color w:val="000000"/>
                <w:sz w:val="16"/>
                <w:szCs w:val="16"/>
                <w:lang w:val="pt-BR"/>
              </w:rPr>
              <w:t>s</w:t>
            </w:r>
            <w:r w:rsidR="00A925FD" w:rsidRPr="00D65A20">
              <w:rPr>
                <w:rFonts w:ascii="Times New Roman" w:eastAsia="Calibri" w:hAnsi="Times New Roman"/>
                <w:color w:val="000000"/>
                <w:sz w:val="16"/>
                <w:szCs w:val="16"/>
                <w:lang w:val="pt-BR"/>
              </w:rPr>
              <w:t xml:space="preserve"> </w:t>
            </w:r>
            <w:r w:rsidR="000616ED" w:rsidRPr="00D65A20">
              <w:rPr>
                <w:rFonts w:ascii="Times New Roman" w:eastAsia="Calibri" w:hAnsi="Times New Roman"/>
                <w:color w:val="000000"/>
                <w:sz w:val="16"/>
                <w:szCs w:val="16"/>
                <w:lang w:val="pt-BR"/>
              </w:rPr>
              <w:t xml:space="preserve">para a </w:t>
            </w:r>
            <w:r w:rsidR="00A925FD" w:rsidRPr="00D65A20">
              <w:rPr>
                <w:rFonts w:ascii="Times New Roman" w:eastAsia="Calibri" w:hAnsi="Times New Roman"/>
                <w:color w:val="000000"/>
                <w:sz w:val="16"/>
                <w:szCs w:val="16"/>
                <w:lang w:val="pt-BR"/>
              </w:rPr>
              <w:t>Competitividade das Américas</w:t>
            </w:r>
          </w:p>
          <w:p w14:paraId="6E8345F1" w14:textId="195A8C47" w:rsidR="00A925FD" w:rsidRPr="00D65A20" w:rsidRDefault="00A925FD" w:rsidP="00697F8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 w:val="16"/>
                <w:szCs w:val="16"/>
                <w:lang w:val="pt-BR"/>
              </w:rPr>
            </w:pPr>
            <w:r w:rsidRPr="00D65A20">
              <w:rPr>
                <w:rFonts w:ascii="Times New Roman" w:eastAsia="Calibri" w:hAnsi="Times New Roman"/>
                <w:i/>
                <w:iCs/>
                <w:color w:val="000000"/>
                <w:sz w:val="16"/>
                <w:szCs w:val="16"/>
                <w:lang w:val="pt-BR"/>
              </w:rPr>
              <w:t>(</w:t>
            </w:r>
            <w:r w:rsidR="00697F8A" w:rsidRPr="00D65A20">
              <w:rPr>
                <w:rFonts w:ascii="Times New Roman" w:eastAsia="Calibri" w:hAnsi="Times New Roman"/>
                <w:i/>
                <w:iCs/>
                <w:color w:val="000000"/>
                <w:sz w:val="16"/>
                <w:szCs w:val="16"/>
                <w:lang w:val="pt-BR"/>
              </w:rPr>
              <w:t>sede</w:t>
            </w:r>
            <w:r w:rsidR="00917BC3">
              <w:rPr>
                <w:rFonts w:ascii="Times New Roman" w:eastAsia="Calibri" w:hAnsi="Times New Roman"/>
                <w:i/>
                <w:iCs/>
                <w:color w:val="000000"/>
                <w:sz w:val="16"/>
                <w:szCs w:val="16"/>
                <w:lang w:val="pt-BR"/>
              </w:rPr>
              <w:t>s</w:t>
            </w:r>
            <w:r w:rsidR="00697F8A" w:rsidRPr="00D65A20">
              <w:rPr>
                <w:rFonts w:ascii="Times New Roman" w:eastAsia="Calibri" w:hAnsi="Times New Roman"/>
                <w:i/>
                <w:iCs/>
                <w:color w:val="000000"/>
                <w:sz w:val="16"/>
                <w:szCs w:val="16"/>
                <w:lang w:val="pt-BR"/>
              </w:rPr>
              <w:t xml:space="preserve"> </w:t>
            </w:r>
            <w:r w:rsidRPr="00D65A20">
              <w:rPr>
                <w:rFonts w:ascii="Times New Roman" w:eastAsia="Calibri" w:hAnsi="Times New Roman"/>
                <w:i/>
                <w:iCs/>
                <w:color w:val="000000"/>
                <w:sz w:val="16"/>
                <w:szCs w:val="16"/>
                <w:lang w:val="pt-BR"/>
              </w:rPr>
              <w:t>a ser</w:t>
            </w:r>
            <w:r w:rsidR="00917BC3">
              <w:rPr>
                <w:rFonts w:ascii="Times New Roman" w:eastAsia="Calibri" w:hAnsi="Times New Roman"/>
                <w:i/>
                <w:iCs/>
                <w:color w:val="000000"/>
                <w:sz w:val="16"/>
                <w:szCs w:val="16"/>
                <w:lang w:val="pt-BR"/>
              </w:rPr>
              <w:t>em</w:t>
            </w:r>
            <w:r w:rsidRPr="00D65A20">
              <w:rPr>
                <w:rFonts w:ascii="Times New Roman" w:eastAsia="Calibri" w:hAnsi="Times New Roman"/>
                <w:i/>
                <w:iCs/>
                <w:color w:val="000000"/>
                <w:sz w:val="16"/>
                <w:szCs w:val="16"/>
                <w:lang w:val="pt-BR"/>
              </w:rPr>
              <w:t xml:space="preserve"> definid</w:t>
            </w:r>
            <w:r w:rsidR="00697F8A" w:rsidRPr="00D65A20">
              <w:rPr>
                <w:rFonts w:ascii="Times New Roman" w:eastAsia="Calibri" w:hAnsi="Times New Roman"/>
                <w:i/>
                <w:iCs/>
                <w:color w:val="000000"/>
                <w:sz w:val="16"/>
                <w:szCs w:val="16"/>
                <w:lang w:val="pt-BR"/>
              </w:rPr>
              <w:t>a</w:t>
            </w:r>
            <w:r w:rsidR="00917BC3">
              <w:rPr>
                <w:rFonts w:ascii="Times New Roman" w:eastAsia="Calibri" w:hAnsi="Times New Roman"/>
                <w:i/>
                <w:iCs/>
                <w:color w:val="000000"/>
                <w:sz w:val="16"/>
                <w:szCs w:val="16"/>
                <w:lang w:val="pt-BR"/>
              </w:rPr>
              <w:t>s</w:t>
            </w:r>
            <w:r w:rsidRPr="00D65A20">
              <w:rPr>
                <w:rFonts w:ascii="Times New Roman" w:eastAsia="Calibri" w:hAnsi="Times New Roman"/>
                <w:color w:val="000000"/>
                <w:sz w:val="16"/>
                <w:szCs w:val="16"/>
                <w:lang w:val="pt-BR"/>
              </w:rPr>
              <w:t>)</w:t>
            </w:r>
          </w:p>
        </w:tc>
        <w:tc>
          <w:tcPr>
            <w:tcW w:w="1350" w:type="dxa"/>
            <w:tcBorders>
              <w:top w:val="single" w:sz="8" w:space="0" w:color="FFFFFF"/>
              <w:left w:val="single" w:sz="8" w:space="0" w:color="FFFFFF"/>
              <w:bottom w:val="single" w:sz="8" w:space="0" w:color="FFFFFF"/>
              <w:right w:val="single" w:sz="8" w:space="0" w:color="FFFFFF"/>
            </w:tcBorders>
            <w:shd w:val="clear" w:color="auto" w:fill="EAF1DD"/>
            <w:tcMar>
              <w:top w:w="15" w:type="dxa"/>
              <w:left w:w="15" w:type="dxa"/>
              <w:bottom w:w="15" w:type="dxa"/>
              <w:right w:w="15" w:type="dxa"/>
            </w:tcMar>
          </w:tcPr>
          <w:p w14:paraId="6E8345F2" w14:textId="2EF0F80A" w:rsidR="00A925FD" w:rsidRPr="00D65A20" w:rsidRDefault="00697F8A"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 w:val="16"/>
                <w:szCs w:val="16"/>
                <w:lang w:val="pt-BR"/>
              </w:rPr>
            </w:pPr>
            <w:r w:rsidRPr="00D65A20">
              <w:rPr>
                <w:rFonts w:ascii="Times New Roman" w:eastAsia="Calibri" w:hAnsi="Times New Roman"/>
                <w:color w:val="000000"/>
                <w:sz w:val="16"/>
                <w:szCs w:val="16"/>
                <w:lang w:val="pt-BR"/>
              </w:rPr>
              <w:t>Décimo Nono e Vigésimo Fóru</w:t>
            </w:r>
            <w:r w:rsidR="00917BC3">
              <w:rPr>
                <w:rFonts w:ascii="Times New Roman" w:eastAsia="Calibri" w:hAnsi="Times New Roman"/>
                <w:color w:val="000000"/>
                <w:sz w:val="16"/>
                <w:szCs w:val="16"/>
                <w:lang w:val="pt-BR"/>
              </w:rPr>
              <w:t>ns</w:t>
            </w:r>
            <w:r w:rsidRPr="00D65A20">
              <w:rPr>
                <w:rFonts w:ascii="Times New Roman" w:eastAsia="Calibri" w:hAnsi="Times New Roman"/>
                <w:color w:val="000000"/>
                <w:sz w:val="16"/>
                <w:szCs w:val="16"/>
                <w:lang w:val="pt-BR"/>
              </w:rPr>
              <w:t xml:space="preserve"> </w:t>
            </w:r>
            <w:r w:rsidR="000616ED" w:rsidRPr="00D65A20">
              <w:rPr>
                <w:rFonts w:ascii="Times New Roman" w:eastAsia="Calibri" w:hAnsi="Times New Roman"/>
                <w:color w:val="000000"/>
                <w:sz w:val="16"/>
                <w:szCs w:val="16"/>
                <w:lang w:val="pt-BR"/>
              </w:rPr>
              <w:t>para a</w:t>
            </w:r>
            <w:r w:rsidR="00A925FD" w:rsidRPr="00D65A20">
              <w:rPr>
                <w:rFonts w:ascii="Times New Roman" w:eastAsia="Calibri" w:hAnsi="Times New Roman"/>
                <w:color w:val="000000"/>
                <w:sz w:val="16"/>
                <w:szCs w:val="16"/>
                <w:lang w:val="pt-BR"/>
              </w:rPr>
              <w:t xml:space="preserve"> Competitividade das Américas</w:t>
            </w:r>
          </w:p>
          <w:p w14:paraId="6E8345F3" w14:textId="07C10D01"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 w:val="16"/>
                <w:szCs w:val="16"/>
                <w:lang w:val="pt-BR"/>
              </w:rPr>
            </w:pPr>
            <w:r w:rsidRPr="00D65A20">
              <w:rPr>
                <w:rFonts w:ascii="Times New Roman" w:eastAsia="Calibri" w:hAnsi="Times New Roman"/>
                <w:i/>
                <w:iCs/>
                <w:color w:val="000000"/>
                <w:sz w:val="16"/>
                <w:szCs w:val="16"/>
                <w:lang w:val="pt-BR"/>
              </w:rPr>
              <w:t>(</w:t>
            </w:r>
            <w:r w:rsidR="00697F8A" w:rsidRPr="00D65A20">
              <w:rPr>
                <w:rFonts w:ascii="Times New Roman" w:eastAsia="Calibri" w:hAnsi="Times New Roman"/>
                <w:i/>
                <w:iCs/>
                <w:color w:val="000000"/>
                <w:sz w:val="16"/>
                <w:szCs w:val="16"/>
                <w:lang w:val="pt-BR"/>
              </w:rPr>
              <w:t>sede</w:t>
            </w:r>
            <w:r w:rsidR="000616ED" w:rsidRPr="00D65A20">
              <w:rPr>
                <w:rFonts w:ascii="Times New Roman" w:eastAsia="Calibri" w:hAnsi="Times New Roman"/>
                <w:i/>
                <w:iCs/>
                <w:color w:val="000000"/>
                <w:sz w:val="16"/>
                <w:szCs w:val="16"/>
                <w:lang w:val="pt-BR"/>
              </w:rPr>
              <w:t>s</w:t>
            </w:r>
            <w:r w:rsidR="00697F8A" w:rsidRPr="00D65A20">
              <w:rPr>
                <w:rFonts w:ascii="Times New Roman" w:eastAsia="Calibri" w:hAnsi="Times New Roman"/>
                <w:i/>
                <w:iCs/>
                <w:color w:val="000000"/>
                <w:sz w:val="16"/>
                <w:szCs w:val="16"/>
                <w:lang w:val="pt-BR"/>
              </w:rPr>
              <w:t xml:space="preserve"> </w:t>
            </w:r>
            <w:r w:rsidRPr="00D65A20">
              <w:rPr>
                <w:rFonts w:ascii="Times New Roman" w:eastAsia="Calibri" w:hAnsi="Times New Roman"/>
                <w:i/>
                <w:iCs/>
                <w:color w:val="000000"/>
                <w:sz w:val="16"/>
                <w:szCs w:val="16"/>
                <w:lang w:val="pt-BR"/>
              </w:rPr>
              <w:t>a se</w:t>
            </w:r>
            <w:r w:rsidR="000616ED" w:rsidRPr="00D65A20">
              <w:rPr>
                <w:rFonts w:ascii="Times New Roman" w:eastAsia="Calibri" w:hAnsi="Times New Roman"/>
                <w:i/>
                <w:iCs/>
                <w:color w:val="000000"/>
                <w:sz w:val="16"/>
                <w:szCs w:val="16"/>
                <w:lang w:val="pt-BR"/>
              </w:rPr>
              <w:t>rem</w:t>
            </w:r>
            <w:r w:rsidRPr="00D65A20">
              <w:rPr>
                <w:rFonts w:ascii="Times New Roman" w:eastAsia="Calibri" w:hAnsi="Times New Roman"/>
                <w:i/>
                <w:iCs/>
                <w:color w:val="000000"/>
                <w:sz w:val="16"/>
                <w:szCs w:val="16"/>
                <w:lang w:val="pt-BR"/>
              </w:rPr>
              <w:t xml:space="preserve"> definid</w:t>
            </w:r>
            <w:r w:rsidR="00697F8A" w:rsidRPr="00D65A20">
              <w:rPr>
                <w:rFonts w:ascii="Times New Roman" w:eastAsia="Calibri" w:hAnsi="Times New Roman"/>
                <w:i/>
                <w:iCs/>
                <w:color w:val="000000"/>
                <w:sz w:val="16"/>
                <w:szCs w:val="16"/>
                <w:lang w:val="pt-BR"/>
              </w:rPr>
              <w:t>a</w:t>
            </w:r>
            <w:r w:rsidR="000616ED" w:rsidRPr="00D65A20">
              <w:rPr>
                <w:rFonts w:ascii="Times New Roman" w:eastAsia="Calibri" w:hAnsi="Times New Roman"/>
                <w:i/>
                <w:iCs/>
                <w:color w:val="000000"/>
                <w:sz w:val="16"/>
                <w:szCs w:val="16"/>
                <w:lang w:val="pt-BR"/>
              </w:rPr>
              <w:t>s</w:t>
            </w:r>
            <w:r w:rsidRPr="00D65A20">
              <w:rPr>
                <w:rFonts w:ascii="Times New Roman" w:eastAsia="Calibri" w:hAnsi="Times New Roman"/>
                <w:color w:val="000000"/>
                <w:sz w:val="16"/>
                <w:szCs w:val="16"/>
                <w:lang w:val="pt-BR"/>
              </w:rPr>
              <w:t>)</w:t>
            </w:r>
          </w:p>
          <w:p w14:paraId="6E8345F4"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 w:val="16"/>
                <w:szCs w:val="16"/>
                <w:lang w:val="pt-BR"/>
              </w:rPr>
            </w:pPr>
          </w:p>
          <w:p w14:paraId="6E8345F5"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i/>
                <w:iCs/>
                <w:color w:val="000000"/>
                <w:sz w:val="16"/>
                <w:szCs w:val="16"/>
                <w:lang w:val="pt-BR"/>
              </w:rPr>
            </w:pPr>
          </w:p>
        </w:tc>
        <w:tc>
          <w:tcPr>
            <w:tcW w:w="1548" w:type="dxa"/>
            <w:tcBorders>
              <w:top w:val="single" w:sz="8" w:space="0" w:color="FFFFFF"/>
              <w:left w:val="single" w:sz="8" w:space="0" w:color="FFFFFF"/>
              <w:bottom w:val="single" w:sz="8" w:space="0" w:color="FFFFFF"/>
              <w:right w:val="single" w:sz="8" w:space="0" w:color="FFFFFF"/>
            </w:tcBorders>
            <w:shd w:val="clear" w:color="auto" w:fill="EAF1DD"/>
            <w:tcMar>
              <w:top w:w="15" w:type="dxa"/>
              <w:left w:w="15" w:type="dxa"/>
              <w:bottom w:w="15" w:type="dxa"/>
              <w:right w:w="15" w:type="dxa"/>
            </w:tcMar>
          </w:tcPr>
          <w:p w14:paraId="6E8345F6" w14:textId="1DEB9466" w:rsidR="00A925FD" w:rsidRPr="00D65A20" w:rsidRDefault="00092020"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 w:val="16"/>
                <w:szCs w:val="16"/>
                <w:lang w:val="pt-BR"/>
              </w:rPr>
            </w:pPr>
            <w:r w:rsidRPr="00D65A20">
              <w:rPr>
                <w:rFonts w:ascii="Times New Roman" w:eastAsia="Calibri" w:hAnsi="Times New Roman"/>
                <w:color w:val="000000"/>
                <w:sz w:val="16"/>
                <w:szCs w:val="16"/>
                <w:lang w:val="pt-BR"/>
              </w:rPr>
              <w:t xml:space="preserve">Nono </w:t>
            </w:r>
            <w:r w:rsidR="00A925FD" w:rsidRPr="00D65A20">
              <w:rPr>
                <w:rFonts w:ascii="Times New Roman" w:eastAsia="Calibri" w:hAnsi="Times New Roman"/>
                <w:color w:val="000000"/>
                <w:sz w:val="16"/>
                <w:szCs w:val="16"/>
                <w:lang w:val="pt-BR"/>
              </w:rPr>
              <w:t xml:space="preserve">Diálogo de </w:t>
            </w:r>
            <w:r w:rsidR="000616ED" w:rsidRPr="00D65A20">
              <w:rPr>
                <w:rFonts w:ascii="Times New Roman" w:eastAsia="Calibri" w:hAnsi="Times New Roman"/>
                <w:color w:val="000000"/>
                <w:sz w:val="16"/>
                <w:szCs w:val="16"/>
                <w:lang w:val="pt-BR"/>
              </w:rPr>
              <w:t>Altas Autoridades</w:t>
            </w:r>
            <w:r w:rsidR="00917BC3">
              <w:rPr>
                <w:rFonts w:ascii="Times New Roman" w:eastAsia="Calibri" w:hAnsi="Times New Roman"/>
                <w:color w:val="000000"/>
                <w:sz w:val="16"/>
                <w:szCs w:val="16"/>
                <w:lang w:val="pt-BR"/>
              </w:rPr>
              <w:t xml:space="preserve"> </w:t>
            </w:r>
            <w:r w:rsidR="00A925FD" w:rsidRPr="00D65A20">
              <w:rPr>
                <w:rFonts w:ascii="Times New Roman" w:eastAsia="Calibri" w:hAnsi="Times New Roman"/>
                <w:color w:val="000000"/>
                <w:sz w:val="16"/>
                <w:szCs w:val="16"/>
                <w:lang w:val="pt-BR"/>
              </w:rPr>
              <w:t xml:space="preserve"> das MPMEs </w:t>
            </w:r>
          </w:p>
          <w:p w14:paraId="6E8345F7" w14:textId="42E05AC2"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 w:val="16"/>
                <w:szCs w:val="16"/>
                <w:lang w:val="pt-BR"/>
              </w:rPr>
            </w:pPr>
            <w:r w:rsidRPr="00D65A20">
              <w:rPr>
                <w:rFonts w:ascii="Times New Roman" w:eastAsia="Calibri" w:hAnsi="Times New Roman"/>
                <w:i/>
                <w:iCs/>
                <w:color w:val="000000"/>
                <w:sz w:val="16"/>
                <w:szCs w:val="16"/>
                <w:lang w:val="pt-BR"/>
              </w:rPr>
              <w:t>(</w:t>
            </w:r>
            <w:r w:rsidR="00697F8A" w:rsidRPr="00D65A20">
              <w:rPr>
                <w:rFonts w:ascii="Times New Roman" w:eastAsia="Calibri" w:hAnsi="Times New Roman"/>
                <w:i/>
                <w:iCs/>
                <w:color w:val="000000"/>
                <w:sz w:val="16"/>
                <w:szCs w:val="16"/>
                <w:lang w:val="pt-BR"/>
              </w:rPr>
              <w:t xml:space="preserve">sede </w:t>
            </w:r>
            <w:r w:rsidRPr="00D65A20">
              <w:rPr>
                <w:rFonts w:ascii="Times New Roman" w:eastAsia="Calibri" w:hAnsi="Times New Roman"/>
                <w:i/>
                <w:iCs/>
                <w:color w:val="000000"/>
                <w:sz w:val="16"/>
                <w:szCs w:val="16"/>
                <w:lang w:val="pt-BR"/>
              </w:rPr>
              <w:t>a ser definid</w:t>
            </w:r>
            <w:r w:rsidR="00697F8A" w:rsidRPr="00D65A20">
              <w:rPr>
                <w:rFonts w:ascii="Times New Roman" w:eastAsia="Calibri" w:hAnsi="Times New Roman"/>
                <w:i/>
                <w:iCs/>
                <w:color w:val="000000"/>
                <w:sz w:val="16"/>
                <w:szCs w:val="16"/>
                <w:lang w:val="pt-BR"/>
              </w:rPr>
              <w:t>a</w:t>
            </w:r>
            <w:r w:rsidRPr="00D65A20">
              <w:rPr>
                <w:rFonts w:ascii="Times New Roman" w:eastAsia="Calibri" w:hAnsi="Times New Roman"/>
                <w:color w:val="000000"/>
                <w:sz w:val="16"/>
                <w:szCs w:val="16"/>
                <w:lang w:val="pt-BR"/>
              </w:rPr>
              <w:t>)</w:t>
            </w:r>
          </w:p>
          <w:p w14:paraId="6E8345F8"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4"/>
              <w:rPr>
                <w:rFonts w:ascii="Times New Roman" w:eastAsia="Calibri" w:hAnsi="Times New Roman"/>
                <w:color w:val="000000"/>
                <w:sz w:val="16"/>
                <w:szCs w:val="16"/>
                <w:lang w:val="pt-BR"/>
              </w:rPr>
            </w:pPr>
          </w:p>
          <w:p w14:paraId="6E8345F9"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4"/>
              <w:rPr>
                <w:rFonts w:ascii="Times New Roman" w:eastAsia="Calibri" w:hAnsi="Times New Roman"/>
                <w:color w:val="000000"/>
                <w:sz w:val="16"/>
                <w:szCs w:val="16"/>
                <w:lang w:val="pt-BR"/>
              </w:rPr>
            </w:pPr>
          </w:p>
          <w:p w14:paraId="6E8345FA" w14:textId="7D7E54E3" w:rsidR="00A925FD" w:rsidRPr="00D65A20" w:rsidRDefault="00092020"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1"/>
              <w:rPr>
                <w:rFonts w:ascii="Times New Roman" w:eastAsia="Calibri" w:hAnsi="Times New Roman"/>
                <w:i/>
                <w:iCs/>
                <w:color w:val="000000"/>
                <w:sz w:val="16"/>
                <w:szCs w:val="16"/>
                <w:lang w:val="pt-BR"/>
              </w:rPr>
            </w:pPr>
            <w:r w:rsidRPr="00D65A20">
              <w:rPr>
                <w:rFonts w:ascii="Times New Roman" w:eastAsia="Calibri" w:hAnsi="Times New Roman"/>
                <w:color w:val="000000"/>
                <w:sz w:val="16"/>
                <w:szCs w:val="16"/>
                <w:lang w:val="pt-BR"/>
              </w:rPr>
              <w:t>Vigésimo Primeiro e Vigésimo Segundo</w:t>
            </w:r>
          </w:p>
          <w:p w14:paraId="6E8345FB" w14:textId="6D686C13"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 w:val="16"/>
                <w:szCs w:val="16"/>
                <w:lang w:val="pt-BR"/>
              </w:rPr>
            </w:pPr>
            <w:r w:rsidRPr="00D65A20">
              <w:rPr>
                <w:rFonts w:ascii="Times New Roman" w:eastAsia="Calibri" w:hAnsi="Times New Roman"/>
                <w:color w:val="000000"/>
                <w:sz w:val="16"/>
                <w:szCs w:val="16"/>
                <w:lang w:val="pt-BR"/>
              </w:rPr>
              <w:t>Intercâmbio</w:t>
            </w:r>
            <w:r w:rsidR="00917BC3">
              <w:rPr>
                <w:rFonts w:ascii="Times New Roman" w:eastAsia="Calibri" w:hAnsi="Times New Roman"/>
                <w:color w:val="000000"/>
                <w:sz w:val="16"/>
                <w:szCs w:val="16"/>
                <w:lang w:val="pt-BR"/>
              </w:rPr>
              <w:t>s</w:t>
            </w:r>
            <w:r w:rsidRPr="00D65A20">
              <w:rPr>
                <w:rFonts w:ascii="Times New Roman" w:eastAsia="Calibri" w:hAnsi="Times New Roman"/>
                <w:color w:val="000000"/>
                <w:sz w:val="16"/>
                <w:szCs w:val="16"/>
                <w:lang w:val="pt-BR"/>
              </w:rPr>
              <w:t xml:space="preserve"> </w:t>
            </w:r>
            <w:r w:rsidR="000616ED" w:rsidRPr="00D65A20">
              <w:rPr>
                <w:rFonts w:ascii="Times New Roman" w:eastAsia="Calibri" w:hAnsi="Times New Roman"/>
                <w:color w:val="000000"/>
                <w:sz w:val="16"/>
                <w:szCs w:val="16"/>
                <w:lang w:val="pt-BR"/>
              </w:rPr>
              <w:t xml:space="preserve">para a </w:t>
            </w:r>
            <w:r w:rsidRPr="00D65A20">
              <w:rPr>
                <w:rFonts w:ascii="Times New Roman" w:eastAsia="Calibri" w:hAnsi="Times New Roman"/>
                <w:color w:val="000000"/>
                <w:sz w:val="16"/>
                <w:szCs w:val="16"/>
                <w:lang w:val="pt-BR"/>
              </w:rPr>
              <w:t>Competitividade das Américas</w:t>
            </w:r>
          </w:p>
          <w:p w14:paraId="6E8345FC" w14:textId="57282C1B"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 w:val="16"/>
                <w:szCs w:val="16"/>
                <w:lang w:val="pt-BR"/>
              </w:rPr>
            </w:pPr>
            <w:r w:rsidRPr="00D65A20">
              <w:rPr>
                <w:rFonts w:ascii="Times New Roman" w:eastAsia="Calibri" w:hAnsi="Times New Roman"/>
                <w:i/>
                <w:iCs/>
                <w:color w:val="000000"/>
                <w:sz w:val="16"/>
                <w:szCs w:val="16"/>
                <w:lang w:val="pt-BR"/>
              </w:rPr>
              <w:t>(</w:t>
            </w:r>
            <w:r w:rsidR="00697F8A" w:rsidRPr="00D65A20">
              <w:rPr>
                <w:rFonts w:ascii="Times New Roman" w:eastAsia="Calibri" w:hAnsi="Times New Roman"/>
                <w:i/>
                <w:iCs/>
                <w:color w:val="000000"/>
                <w:sz w:val="16"/>
                <w:szCs w:val="16"/>
                <w:lang w:val="pt-BR"/>
              </w:rPr>
              <w:t>sede</w:t>
            </w:r>
            <w:r w:rsidR="00917BC3">
              <w:rPr>
                <w:rFonts w:ascii="Times New Roman" w:eastAsia="Calibri" w:hAnsi="Times New Roman"/>
                <w:i/>
                <w:iCs/>
                <w:color w:val="000000"/>
                <w:sz w:val="16"/>
                <w:szCs w:val="16"/>
                <w:lang w:val="pt-BR"/>
              </w:rPr>
              <w:t>s</w:t>
            </w:r>
            <w:r w:rsidR="00697F8A" w:rsidRPr="00D65A20">
              <w:rPr>
                <w:rFonts w:ascii="Times New Roman" w:eastAsia="Calibri" w:hAnsi="Times New Roman"/>
                <w:i/>
                <w:iCs/>
                <w:color w:val="000000"/>
                <w:sz w:val="16"/>
                <w:szCs w:val="16"/>
                <w:lang w:val="pt-BR"/>
              </w:rPr>
              <w:t xml:space="preserve"> </w:t>
            </w:r>
            <w:r w:rsidRPr="00D65A20">
              <w:rPr>
                <w:rFonts w:ascii="Times New Roman" w:eastAsia="Calibri" w:hAnsi="Times New Roman"/>
                <w:i/>
                <w:iCs/>
                <w:color w:val="000000"/>
                <w:sz w:val="16"/>
                <w:szCs w:val="16"/>
                <w:lang w:val="pt-BR"/>
              </w:rPr>
              <w:t>a ser</w:t>
            </w:r>
            <w:r w:rsidR="00917BC3">
              <w:rPr>
                <w:rFonts w:ascii="Times New Roman" w:eastAsia="Calibri" w:hAnsi="Times New Roman"/>
                <w:i/>
                <w:iCs/>
                <w:color w:val="000000"/>
                <w:sz w:val="16"/>
                <w:szCs w:val="16"/>
                <w:lang w:val="pt-BR"/>
              </w:rPr>
              <w:t>em</w:t>
            </w:r>
            <w:r w:rsidRPr="00D65A20">
              <w:rPr>
                <w:rFonts w:ascii="Times New Roman" w:eastAsia="Calibri" w:hAnsi="Times New Roman"/>
                <w:i/>
                <w:iCs/>
                <w:color w:val="000000"/>
                <w:sz w:val="16"/>
                <w:szCs w:val="16"/>
                <w:lang w:val="pt-BR"/>
              </w:rPr>
              <w:t xml:space="preserve"> definid</w:t>
            </w:r>
            <w:r w:rsidR="00697F8A" w:rsidRPr="00D65A20">
              <w:rPr>
                <w:rFonts w:ascii="Times New Roman" w:eastAsia="Calibri" w:hAnsi="Times New Roman"/>
                <w:i/>
                <w:iCs/>
                <w:color w:val="000000"/>
                <w:sz w:val="16"/>
                <w:szCs w:val="16"/>
                <w:lang w:val="pt-BR"/>
              </w:rPr>
              <w:t>a</w:t>
            </w:r>
            <w:r w:rsidRPr="00D65A20">
              <w:rPr>
                <w:rFonts w:ascii="Times New Roman" w:eastAsia="Calibri" w:hAnsi="Times New Roman"/>
                <w:color w:val="000000"/>
                <w:sz w:val="16"/>
                <w:szCs w:val="16"/>
                <w:lang w:val="pt-BR"/>
              </w:rPr>
              <w:t>)</w:t>
            </w:r>
          </w:p>
          <w:p w14:paraId="6E8345FD"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 w:val="16"/>
                <w:szCs w:val="16"/>
                <w:lang w:val="pt-BR"/>
              </w:rPr>
            </w:pPr>
          </w:p>
          <w:p w14:paraId="6E8345FE"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p>
        </w:tc>
      </w:tr>
      <w:tr w:rsidR="00A925FD" w:rsidRPr="00CA769E" w14:paraId="6E834611" w14:textId="77777777" w:rsidTr="00A925FD">
        <w:trPr>
          <w:trHeight w:val="145"/>
          <w:jc w:val="center"/>
        </w:trPr>
        <w:tc>
          <w:tcPr>
            <w:tcW w:w="8720" w:type="dxa"/>
            <w:gridSpan w:val="6"/>
            <w:tcBorders>
              <w:top w:val="single" w:sz="8" w:space="0" w:color="FFFFFF"/>
              <w:left w:val="single" w:sz="8" w:space="0" w:color="FFFFFF"/>
              <w:bottom w:val="single" w:sz="8" w:space="0" w:color="FFFFFF"/>
              <w:right w:val="single" w:sz="8" w:space="0" w:color="FFFFFF"/>
            </w:tcBorders>
            <w:shd w:val="clear" w:color="auto" w:fill="EAF1DD"/>
            <w:vAlign w:val="center"/>
          </w:tcPr>
          <w:p w14:paraId="6E834600"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p>
          <w:tbl>
            <w:tblPr>
              <w:tblW w:w="8024" w:type="dxa"/>
              <w:tblLook w:val="04A0" w:firstRow="1" w:lastRow="0" w:firstColumn="1" w:lastColumn="0" w:noHBand="0" w:noVBand="1"/>
            </w:tblPr>
            <w:tblGrid>
              <w:gridCol w:w="8024"/>
            </w:tblGrid>
            <w:tr w:rsidR="00A925FD" w:rsidRPr="00CA769E" w14:paraId="6E83460E" w14:textId="77777777">
              <w:trPr>
                <w:trHeight w:val="1566"/>
              </w:trPr>
              <w:tc>
                <w:tcPr>
                  <w:tcW w:w="0" w:type="auto"/>
                  <w:tcBorders>
                    <w:top w:val="single" w:sz="8" w:space="0" w:color="FFFFFF"/>
                    <w:left w:val="single" w:sz="8" w:space="0" w:color="FFFFFF"/>
                    <w:bottom w:val="single" w:sz="8" w:space="0" w:color="FFFFFF"/>
                    <w:right w:val="single" w:sz="8" w:space="0" w:color="FFFFFF"/>
                  </w:tcBorders>
                  <w:shd w:val="clear" w:color="auto" w:fill="EAF1DD"/>
                </w:tcPr>
                <w:p w14:paraId="6E834601"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 w:val="16"/>
                      <w:szCs w:val="16"/>
                      <w:lang w:val="pt-BR"/>
                    </w:rPr>
                  </w:pPr>
                  <w:r w:rsidRPr="00D65A20">
                    <w:rPr>
                      <w:rFonts w:ascii="Times New Roman" w:hAnsi="Times New Roman"/>
                      <w:color w:val="000000"/>
                      <w:sz w:val="16"/>
                      <w:szCs w:val="16"/>
                      <w:lang w:val="pt-BR"/>
                    </w:rPr>
                    <w:t>*Outras reuniões de processos setoriais que apoiam as prioridades do CIDI, mas que, no momento da aprovação desta resolução, não são consideradas processos ministeriais oficiais sujeitos ao ciclo ministerial trienal, e não recebem financiamento do Fundo Ordinário da OEA.</w:t>
                  </w:r>
                </w:p>
                <w:p w14:paraId="6E834602"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16"/>
                      <w:szCs w:val="16"/>
                      <w:lang w:val="pt-BR"/>
                    </w:rPr>
                  </w:pPr>
                  <w:r w:rsidRPr="00D65A20">
                    <w:rPr>
                      <w:rFonts w:ascii="Times New Roman" w:hAnsi="Times New Roman"/>
                      <w:color w:val="000000"/>
                      <w:sz w:val="16"/>
                      <w:szCs w:val="16"/>
                      <w:lang w:val="pt-BR"/>
                    </w:rPr>
                    <w:t>Siglas e acrônimos:</w:t>
                  </w:r>
                </w:p>
                <w:p w14:paraId="6E834603"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p>
                <w:p w14:paraId="6E834604"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16"/>
                      <w:szCs w:val="16"/>
                      <w:lang w:val="pt-BR"/>
                    </w:rPr>
                  </w:pPr>
                  <w:r w:rsidRPr="00D65A20">
                    <w:rPr>
                      <w:rFonts w:ascii="Times New Roman" w:hAnsi="Times New Roman"/>
                      <w:color w:val="000000"/>
                      <w:sz w:val="16"/>
                      <w:szCs w:val="16"/>
                      <w:lang w:val="pt-BR"/>
                    </w:rPr>
                    <w:t>CIC: Comissão Interamericana de Cultura</w:t>
                  </w:r>
                </w:p>
                <w:p w14:paraId="6E834605"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16"/>
                      <w:szCs w:val="16"/>
                      <w:lang w:val="pt-BR"/>
                    </w:rPr>
                  </w:pPr>
                  <w:r w:rsidRPr="00D65A20">
                    <w:rPr>
                      <w:rFonts w:ascii="Times New Roman" w:hAnsi="Times New Roman"/>
                      <w:color w:val="000000"/>
                      <w:sz w:val="16"/>
                      <w:szCs w:val="16"/>
                      <w:lang w:val="pt-BR"/>
                    </w:rPr>
                    <w:t>CIDES: Comissão Interamericana de Desenvolvimento Social</w:t>
                  </w:r>
                </w:p>
                <w:p w14:paraId="6E834606"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16"/>
                      <w:szCs w:val="16"/>
                      <w:lang w:val="pt-BR"/>
                    </w:rPr>
                  </w:pPr>
                  <w:r w:rsidRPr="00D65A20">
                    <w:rPr>
                      <w:rFonts w:ascii="Times New Roman" w:hAnsi="Times New Roman"/>
                      <w:color w:val="000000"/>
                      <w:sz w:val="16"/>
                      <w:szCs w:val="16"/>
                      <w:lang w:val="pt-BR"/>
                    </w:rPr>
                    <w:t xml:space="preserve">CIDS: Comissão Interamericana de Desenvolvimento Sustentável </w:t>
                  </w:r>
                </w:p>
                <w:p w14:paraId="6E834607"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16"/>
                      <w:szCs w:val="16"/>
                      <w:lang w:val="pt-BR"/>
                    </w:rPr>
                  </w:pPr>
                  <w:r w:rsidRPr="00D65A20">
                    <w:rPr>
                      <w:rFonts w:ascii="Times New Roman" w:hAnsi="Times New Roman"/>
                      <w:color w:val="000000"/>
                      <w:sz w:val="16"/>
                      <w:szCs w:val="16"/>
                      <w:lang w:val="pt-BR"/>
                    </w:rPr>
                    <w:t>CIE: Comissão Interamericana de Educação</w:t>
                  </w:r>
                </w:p>
                <w:p w14:paraId="6E834608"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16"/>
                      <w:szCs w:val="16"/>
                      <w:lang w:val="pt-BR"/>
                    </w:rPr>
                  </w:pPr>
                  <w:r w:rsidRPr="00D65A20">
                    <w:rPr>
                      <w:rFonts w:ascii="Times New Roman" w:hAnsi="Times New Roman"/>
                      <w:color w:val="000000"/>
                      <w:sz w:val="16"/>
                      <w:szCs w:val="16"/>
                      <w:lang w:val="pt-BR"/>
                    </w:rPr>
                    <w:t>CIP: Comissão Interamericana de Portos</w:t>
                  </w:r>
                </w:p>
                <w:p w14:paraId="6E834609"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16"/>
                      <w:szCs w:val="16"/>
                      <w:lang w:val="pt-BR"/>
                    </w:rPr>
                  </w:pPr>
                  <w:r w:rsidRPr="00D65A20">
                    <w:rPr>
                      <w:rFonts w:ascii="Times New Roman" w:hAnsi="Times New Roman"/>
                      <w:color w:val="000000"/>
                      <w:sz w:val="16"/>
                      <w:szCs w:val="16"/>
                      <w:lang w:val="pt-BR"/>
                    </w:rPr>
                    <w:t>CITUR: Comissão Interamericana de Turismo</w:t>
                  </w:r>
                </w:p>
                <w:p w14:paraId="6E83460A"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16"/>
                      <w:szCs w:val="16"/>
                      <w:lang w:val="pt-BR"/>
                    </w:rPr>
                  </w:pPr>
                  <w:r w:rsidRPr="00D65A20">
                    <w:rPr>
                      <w:rFonts w:ascii="Times New Roman" w:hAnsi="Times New Roman"/>
                      <w:color w:val="000000"/>
                      <w:sz w:val="16"/>
                      <w:szCs w:val="16"/>
                      <w:lang w:val="pt-BR"/>
                    </w:rPr>
                    <w:t>COMCyT: Comissão Interamericana de Ciência e Tecnologia</w:t>
                  </w:r>
                </w:p>
                <w:p w14:paraId="6E83460B"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16"/>
                      <w:szCs w:val="16"/>
                      <w:lang w:val="pt-BR"/>
                    </w:rPr>
                  </w:pPr>
                  <w:r w:rsidRPr="00D65A20">
                    <w:rPr>
                      <w:rFonts w:ascii="Times New Roman" w:hAnsi="Times New Roman"/>
                      <w:color w:val="000000"/>
                      <w:sz w:val="16"/>
                      <w:szCs w:val="16"/>
                      <w:lang w:val="pt-BR"/>
                    </w:rPr>
                    <w:t>ECPA: Parceria em Energia e Clima para as Américas</w:t>
                  </w:r>
                </w:p>
                <w:p w14:paraId="6E83460C"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 w:val="16"/>
                      <w:szCs w:val="16"/>
                      <w:lang w:val="pt-BR"/>
                    </w:rPr>
                  </w:pPr>
                  <w:r w:rsidRPr="00D65A20">
                    <w:rPr>
                      <w:rFonts w:ascii="Times New Roman" w:hAnsi="Times New Roman"/>
                      <w:color w:val="000000"/>
                      <w:sz w:val="16"/>
                      <w:szCs w:val="16"/>
                      <w:lang w:val="pt-BR"/>
                    </w:rPr>
                    <w:t>RIAC: Rede Interamericana de Competitividade</w:t>
                  </w:r>
                </w:p>
                <w:p w14:paraId="6E83460D"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 w:val="16"/>
                      <w:szCs w:val="16"/>
                      <w:lang w:val="pt-BR"/>
                    </w:rPr>
                  </w:pPr>
                  <w:r w:rsidRPr="00D65A20">
                    <w:rPr>
                      <w:rFonts w:ascii="Times New Roman" w:hAnsi="Times New Roman"/>
                      <w:color w:val="000000"/>
                      <w:sz w:val="16"/>
                      <w:szCs w:val="16"/>
                      <w:lang w:val="pt-BR"/>
                    </w:rPr>
                    <w:t>MPMEs: micro, pequenas e médias empresas</w:t>
                  </w:r>
                </w:p>
              </w:tc>
            </w:tr>
          </w:tbl>
          <w:p w14:paraId="6E83460F"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20"/>
                <w:lang w:val="pt-BR"/>
              </w:rPr>
            </w:pPr>
          </w:p>
        </w:tc>
        <w:tc>
          <w:tcPr>
            <w:tcW w:w="1548" w:type="dxa"/>
            <w:tcBorders>
              <w:top w:val="single" w:sz="8" w:space="0" w:color="FFFFFF"/>
              <w:left w:val="single" w:sz="8" w:space="0" w:color="FFFFFF"/>
              <w:bottom w:val="single" w:sz="8" w:space="0" w:color="FFFFFF"/>
              <w:right w:val="single" w:sz="8" w:space="0" w:color="FFFFFF"/>
            </w:tcBorders>
            <w:shd w:val="clear" w:color="auto" w:fill="EAF1DD"/>
            <w:tcMar>
              <w:top w:w="15" w:type="dxa"/>
              <w:left w:w="15" w:type="dxa"/>
              <w:bottom w:w="15" w:type="dxa"/>
              <w:right w:w="15" w:type="dxa"/>
            </w:tcMar>
          </w:tcPr>
          <w:p w14:paraId="6E834610"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p>
        </w:tc>
      </w:tr>
    </w:tbl>
    <w:p w14:paraId="6E834612"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p>
    <w:p w14:paraId="6E834613"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6"/>
          <w:szCs w:val="16"/>
          <w:lang w:val="pt-BR"/>
        </w:rPr>
      </w:pPr>
    </w:p>
    <w:p w14:paraId="6E834614"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Calibri" w:hAnsi="Times New Roman"/>
          <w:szCs w:val="22"/>
          <w:lang w:val="pt-BR"/>
        </w:rPr>
      </w:pPr>
      <w:r w:rsidRPr="00D65A20">
        <w:rPr>
          <w:rFonts w:ascii="Times New Roman" w:eastAsia="Calibri" w:hAnsi="Times New Roman"/>
          <w:szCs w:val="22"/>
          <w:lang w:val="pt-BR"/>
        </w:rPr>
        <w:t>IX.</w:t>
      </w:r>
      <w:r w:rsidRPr="00D65A20">
        <w:rPr>
          <w:rFonts w:ascii="Times New Roman" w:eastAsia="Calibri" w:hAnsi="Times New Roman"/>
          <w:szCs w:val="22"/>
          <w:lang w:val="pt-BR"/>
        </w:rPr>
        <w:tab/>
        <w:t>COM RESPEITO AO ACOMPANHAMENTO DE AVANÇOS, CONTRIBUIÇÕES E RECURSOS</w:t>
      </w:r>
    </w:p>
    <w:p w14:paraId="6E834615"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16" w14:textId="78B02E36" w:rsidR="00A925FD" w:rsidRPr="00D65A20" w:rsidRDefault="00A925FD" w:rsidP="00AA4399">
      <w:pPr>
        <w:widowControl/>
        <w:numPr>
          <w:ilvl w:val="0"/>
          <w:numId w:val="3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rFonts w:ascii="Times New Roman" w:eastAsia="Calibri" w:hAnsi="Times New Roman"/>
          <w:color w:val="000000"/>
          <w:szCs w:val="22"/>
          <w:lang w:val="pt-BR"/>
        </w:rPr>
      </w:pPr>
      <w:r w:rsidRPr="00D65A20">
        <w:rPr>
          <w:rFonts w:ascii="Times New Roman" w:eastAsia="Calibri" w:hAnsi="Times New Roman"/>
          <w:color w:val="000000"/>
          <w:szCs w:val="22"/>
          <w:lang w:val="pt-BR"/>
        </w:rPr>
        <w:t xml:space="preserve">Solicitar ao CIDI que informe a Assembleia Geral, no Quinquagésimo </w:t>
      </w:r>
      <w:r w:rsidRPr="00D65A20">
        <w:rPr>
          <w:rFonts w:ascii="Times New Roman" w:eastAsia="Calibri" w:hAnsi="Times New Roman"/>
          <w:bCs/>
          <w:color w:val="000000"/>
          <w:szCs w:val="22"/>
          <w:lang w:val="pt-BR"/>
        </w:rPr>
        <w:t>Primeiro P</w:t>
      </w:r>
      <w:r w:rsidRPr="00D65A20">
        <w:rPr>
          <w:rFonts w:ascii="Times New Roman" w:eastAsia="Calibri" w:hAnsi="Times New Roman"/>
          <w:color w:val="000000"/>
          <w:szCs w:val="22"/>
          <w:lang w:val="pt-BR"/>
        </w:rPr>
        <w:t xml:space="preserve">eríodo Ordinário de Sessões, sobre a implementação desta resolução. </w:t>
      </w:r>
    </w:p>
    <w:p w14:paraId="6E834617" w14:textId="77777777" w:rsidR="00A925FD" w:rsidRPr="00D65A20" w:rsidRDefault="00A925FD" w:rsidP="00C2498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18" w14:textId="392AE761"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shd w:val="clear" w:color="auto" w:fill="00FFFF"/>
          <w:lang w:val="pt-BR"/>
        </w:rPr>
      </w:pPr>
      <w:r w:rsidRPr="00D65A20">
        <w:rPr>
          <w:rFonts w:ascii="Times New Roman" w:eastAsia="Calibri" w:hAnsi="Times New Roman"/>
          <w:color w:val="000000"/>
          <w:szCs w:val="22"/>
          <w:lang w:val="pt-BR"/>
        </w:rPr>
        <w:t xml:space="preserve">57. </w:t>
      </w:r>
      <w:r w:rsidRPr="00D65A20">
        <w:rPr>
          <w:rFonts w:ascii="Times New Roman" w:eastAsia="Calibri" w:hAnsi="Times New Roman"/>
          <w:color w:val="000000"/>
          <w:szCs w:val="22"/>
          <w:lang w:val="pt-BR"/>
        </w:rPr>
        <w:tab/>
        <w:t xml:space="preserve">Agradecer aos Estados membros e aos Observadores Permanentes que contribuíram com recursos financeiros, logísticos e humanos para apoiar os programas e atividades da </w:t>
      </w:r>
      <w:r w:rsidR="0056531F" w:rsidRPr="00D65A20">
        <w:rPr>
          <w:rFonts w:ascii="Times New Roman" w:eastAsia="Calibri" w:hAnsi="Times New Roman"/>
          <w:color w:val="000000"/>
          <w:szCs w:val="22"/>
          <w:lang w:val="pt-BR"/>
        </w:rPr>
        <w:t>SEDI</w:t>
      </w:r>
      <w:r w:rsidRPr="00D65A20">
        <w:rPr>
          <w:rFonts w:ascii="Times New Roman" w:eastAsia="Calibri" w:hAnsi="Times New Roman"/>
          <w:color w:val="000000"/>
          <w:szCs w:val="22"/>
          <w:lang w:val="pt-BR"/>
        </w:rPr>
        <w:t xml:space="preserve">, e solicitar à Secretaria-Geral que continue fortalecendo as parcerias em vigor e desenvolvendo novas parcerias com atores pertinentes, inclusive o setor privado e as organizações da sociedade civil. </w:t>
      </w:r>
    </w:p>
    <w:p w14:paraId="6E834619"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1A" w14:textId="43BEDEC2" w:rsidR="00A925FD" w:rsidRPr="00B65BC5" w:rsidRDefault="00A925FD" w:rsidP="00AA4399">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rFonts w:ascii="Times New Roman" w:eastAsia="Calibri" w:hAnsi="Times New Roman"/>
          <w:szCs w:val="22"/>
          <w:lang w:val="pt-BR"/>
        </w:rPr>
      </w:pPr>
      <w:bookmarkStart w:id="72" w:name="_Toc398735516"/>
      <w:bookmarkStart w:id="73" w:name="_Toc390159143"/>
      <w:bookmarkStart w:id="74" w:name="_Toc389473797"/>
      <w:bookmarkStart w:id="75" w:name="_Toc389328178"/>
      <w:bookmarkStart w:id="76" w:name="_Toc389253823"/>
      <w:bookmarkStart w:id="77" w:name="_Toc389251673"/>
      <w:r w:rsidRPr="00D65A20">
        <w:rPr>
          <w:rFonts w:ascii="Times New Roman" w:eastAsia="Calibri" w:hAnsi="Times New Roman"/>
          <w:color w:val="000000"/>
          <w:szCs w:val="22"/>
          <w:lang w:val="pt-BR"/>
        </w:rPr>
        <w:t>Reiterar que a execução das iniciativas previstas nesta resolução estará sujeita à disponibilidade de recursos financeiros no orçamento-programa da Organização e de outros recursos.</w:t>
      </w:r>
      <w:bookmarkEnd w:id="72"/>
      <w:bookmarkEnd w:id="73"/>
      <w:bookmarkEnd w:id="74"/>
      <w:bookmarkEnd w:id="75"/>
      <w:bookmarkEnd w:id="76"/>
      <w:bookmarkEnd w:id="77"/>
    </w:p>
    <w:p w14:paraId="6E83461C" w14:textId="36EC2DC9" w:rsidR="00A925FD" w:rsidRPr="00D65A20" w:rsidRDefault="00B65BC5"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Calibri" w:hAnsi="Times New Roman"/>
          <w:szCs w:val="22"/>
          <w:lang w:val="pt-BR"/>
        </w:rPr>
      </w:pPr>
      <w:r>
        <w:rPr>
          <w:rFonts w:ascii="Times New Roman" w:eastAsia="Calibri" w:hAnsi="Times New Roman"/>
          <w:szCs w:val="22"/>
          <w:lang w:val="pt-BR"/>
        </w:rPr>
        <w:lastRenderedPageBreak/>
        <w:t>A</w:t>
      </w:r>
      <w:r w:rsidR="00A925FD" w:rsidRPr="00D65A20">
        <w:rPr>
          <w:rFonts w:ascii="Times New Roman" w:eastAsia="Calibri" w:hAnsi="Times New Roman"/>
          <w:szCs w:val="22"/>
          <w:lang w:val="pt-BR"/>
        </w:rPr>
        <w:t>NEXO</w:t>
      </w:r>
    </w:p>
    <w:p w14:paraId="6E83461D"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lang w:val="pt-BR"/>
        </w:rPr>
      </w:pPr>
    </w:p>
    <w:p w14:paraId="6E83461E"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lang w:val="pt-BR"/>
        </w:rPr>
      </w:pPr>
    </w:p>
    <w:p w14:paraId="6E83461F"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130"/>
        <w:jc w:val="center"/>
        <w:rPr>
          <w:rFonts w:ascii="Times New Roman" w:eastAsia="Calibri" w:hAnsi="Times New Roman"/>
          <w:szCs w:val="22"/>
          <w:lang w:val="pt-BR"/>
        </w:rPr>
      </w:pPr>
      <w:r w:rsidRPr="00D65A20">
        <w:rPr>
          <w:rFonts w:ascii="Times New Roman" w:eastAsia="Calibri" w:hAnsi="Times New Roman"/>
          <w:szCs w:val="22"/>
          <w:lang w:val="pt-BR"/>
        </w:rPr>
        <w:t>ESTATUTO DA COMISSÃO INTERAMERICANA DE</w:t>
      </w:r>
    </w:p>
    <w:p w14:paraId="6E834620"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131"/>
        <w:jc w:val="center"/>
        <w:rPr>
          <w:rFonts w:ascii="Times New Roman" w:eastAsia="Calibri" w:hAnsi="Times New Roman"/>
          <w:szCs w:val="22"/>
          <w:lang w:val="pt-BR"/>
        </w:rPr>
      </w:pPr>
      <w:r w:rsidRPr="00D65A20">
        <w:rPr>
          <w:rFonts w:ascii="Times New Roman" w:eastAsia="Calibri" w:hAnsi="Times New Roman"/>
          <w:szCs w:val="22"/>
          <w:lang w:val="pt-BR"/>
        </w:rPr>
        <w:t>REDUÇÃO DE DESASTRES NATURAIS (CIRDN)</w:t>
      </w:r>
    </w:p>
    <w:p w14:paraId="6E834621"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Calibri" w:hAnsi="Times New Roman"/>
          <w:szCs w:val="22"/>
          <w:lang w:val="pt-BR"/>
        </w:rPr>
      </w:pPr>
    </w:p>
    <w:p w14:paraId="6E834622"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Calibri" w:hAnsi="Times New Roman"/>
          <w:szCs w:val="22"/>
          <w:lang w:val="pt-BR"/>
        </w:rPr>
      </w:pPr>
    </w:p>
    <w:p w14:paraId="6E834623"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Calibri" w:hAnsi="Times New Roman"/>
          <w:szCs w:val="22"/>
          <w:lang w:val="pt-BR"/>
        </w:rPr>
      </w:pPr>
      <w:r w:rsidRPr="00D65A20">
        <w:rPr>
          <w:rFonts w:ascii="Times New Roman" w:eastAsia="Calibri" w:hAnsi="Times New Roman"/>
          <w:szCs w:val="22"/>
          <w:lang w:val="pt-BR"/>
        </w:rPr>
        <w:t>CAPÍTULO I</w:t>
      </w:r>
    </w:p>
    <w:p w14:paraId="6E834624"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Calibri" w:hAnsi="Times New Roman"/>
          <w:szCs w:val="22"/>
          <w:lang w:val="pt-BR"/>
        </w:rPr>
      </w:pPr>
    </w:p>
    <w:p w14:paraId="6E834625"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130"/>
        <w:jc w:val="center"/>
        <w:rPr>
          <w:rFonts w:ascii="Times New Roman" w:eastAsia="Calibri" w:hAnsi="Times New Roman"/>
          <w:szCs w:val="22"/>
          <w:lang w:val="pt-BR"/>
        </w:rPr>
      </w:pPr>
      <w:r w:rsidRPr="00D65A20">
        <w:rPr>
          <w:rFonts w:ascii="Times New Roman" w:eastAsia="Calibri" w:hAnsi="Times New Roman"/>
          <w:szCs w:val="22"/>
          <w:lang w:val="pt-BR"/>
        </w:rPr>
        <w:t>NATUREZA E PROPÓSITO</w:t>
      </w:r>
    </w:p>
    <w:p w14:paraId="6E834626"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130"/>
        <w:jc w:val="center"/>
        <w:rPr>
          <w:rFonts w:ascii="Times New Roman" w:eastAsia="Calibri" w:hAnsi="Times New Roman"/>
          <w:szCs w:val="22"/>
          <w:lang w:val="pt-BR"/>
        </w:rPr>
      </w:pPr>
    </w:p>
    <w:p w14:paraId="6E834627"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130"/>
        <w:jc w:val="left"/>
        <w:rPr>
          <w:rFonts w:ascii="Times New Roman" w:eastAsia="Calibri" w:hAnsi="Times New Roman"/>
          <w:szCs w:val="22"/>
          <w:lang w:val="pt-BR"/>
        </w:rPr>
      </w:pPr>
      <w:r w:rsidRPr="00D65A20">
        <w:rPr>
          <w:rFonts w:ascii="Times New Roman" w:eastAsia="Calibri" w:hAnsi="Times New Roman"/>
          <w:szCs w:val="22"/>
          <w:lang w:val="pt-BR"/>
        </w:rPr>
        <w:t>Artigo 1</w:t>
      </w:r>
      <w:r w:rsidR="00AB7F16" w:rsidRPr="00D65A20">
        <w:rPr>
          <w:rFonts w:ascii="Times New Roman" w:eastAsia="Calibri" w:hAnsi="Times New Roman"/>
          <w:szCs w:val="22"/>
          <w:vertAlign w:val="superscript"/>
          <w:lang w:val="pt-BR"/>
        </w:rPr>
        <w:t>o</w:t>
      </w:r>
    </w:p>
    <w:p w14:paraId="6E834628"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629"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61" w:firstLine="720"/>
        <w:rPr>
          <w:rFonts w:ascii="Times New Roman" w:eastAsia="Calibri" w:hAnsi="Times New Roman"/>
          <w:szCs w:val="22"/>
          <w:lang w:val="pt-BR"/>
        </w:rPr>
      </w:pPr>
      <w:r w:rsidRPr="00D65A20">
        <w:rPr>
          <w:rFonts w:ascii="Times New Roman" w:eastAsia="Calibri" w:hAnsi="Times New Roman"/>
          <w:szCs w:val="22"/>
          <w:lang w:val="pt-BR"/>
        </w:rPr>
        <w:t>A Comissão Interamericana de Redução de Desastres Naturais (doravante denominada “CIRDN”) é uma entidade da Organização dos Estados Americanos (doravante denominada “OEA” ou “Organização”), criada pela Assembleia Geral mediante a resolução AG/RES. 1682 (XXIX</w:t>
      </w:r>
      <w:r w:rsidR="00AB7F16" w:rsidRPr="00D65A20">
        <w:rPr>
          <w:rFonts w:ascii="Times New Roman" w:eastAsia="Calibri" w:hAnsi="Times New Roman"/>
          <w:szCs w:val="22"/>
          <w:lang w:val="pt-BR"/>
        </w:rPr>
        <w:t>-</w:t>
      </w:r>
      <w:r w:rsidRPr="00D65A20">
        <w:rPr>
          <w:rFonts w:ascii="Times New Roman" w:eastAsia="Calibri" w:hAnsi="Times New Roman"/>
          <w:szCs w:val="22"/>
          <w:lang w:val="pt-BR"/>
        </w:rPr>
        <w:t xml:space="preserve">O/99). </w:t>
      </w:r>
    </w:p>
    <w:p w14:paraId="6E83462A"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61"/>
        <w:rPr>
          <w:rFonts w:ascii="Times New Roman" w:eastAsia="Calibri" w:hAnsi="Times New Roman"/>
          <w:szCs w:val="22"/>
          <w:lang w:val="pt-BR"/>
        </w:rPr>
      </w:pPr>
      <w:r w:rsidRPr="00D65A20">
        <w:rPr>
          <w:rFonts w:ascii="Times New Roman" w:eastAsia="Calibri" w:hAnsi="Times New Roman"/>
          <w:szCs w:val="22"/>
          <w:lang w:val="pt-BR"/>
        </w:rPr>
        <w:t xml:space="preserve"> </w:t>
      </w:r>
    </w:p>
    <w:p w14:paraId="6E83462B"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61"/>
        <w:outlineLvl w:val="0"/>
        <w:rPr>
          <w:rFonts w:ascii="Times New Roman" w:eastAsia="Calibri" w:hAnsi="Times New Roman"/>
          <w:bCs/>
          <w:szCs w:val="22"/>
          <w:lang w:val="pt-BR" w:eastAsia="es-ES"/>
        </w:rPr>
      </w:pPr>
      <w:bookmarkStart w:id="78" w:name="_Toc56522548"/>
      <w:bookmarkStart w:id="79" w:name="_Toc56526477"/>
      <w:bookmarkStart w:id="80" w:name="_Toc56526687"/>
      <w:r w:rsidRPr="00D65A20">
        <w:rPr>
          <w:rFonts w:ascii="Times New Roman" w:eastAsia="Calibri" w:hAnsi="Times New Roman"/>
          <w:bCs/>
          <w:szCs w:val="22"/>
          <w:lang w:val="pt-BR" w:eastAsia="es-ES"/>
        </w:rPr>
        <w:t>Artigo 2</w:t>
      </w:r>
      <w:bookmarkEnd w:id="78"/>
      <w:bookmarkEnd w:id="79"/>
      <w:bookmarkEnd w:id="80"/>
      <w:r w:rsidR="00AB7F16" w:rsidRPr="00D65A20">
        <w:rPr>
          <w:rFonts w:ascii="Times New Roman" w:eastAsia="Calibri" w:hAnsi="Times New Roman"/>
          <w:szCs w:val="22"/>
          <w:vertAlign w:val="superscript"/>
          <w:lang w:val="pt-BR"/>
        </w:rPr>
        <w:t>o</w:t>
      </w:r>
      <w:r w:rsidRPr="00D65A20">
        <w:rPr>
          <w:rFonts w:ascii="Times New Roman" w:eastAsia="Calibri" w:hAnsi="Times New Roman"/>
          <w:bCs/>
          <w:szCs w:val="22"/>
          <w:lang w:val="pt-BR" w:eastAsia="es-ES"/>
        </w:rPr>
        <w:t xml:space="preserve"> </w:t>
      </w:r>
    </w:p>
    <w:p w14:paraId="6E83462C"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61"/>
        <w:rPr>
          <w:rFonts w:ascii="Times New Roman" w:eastAsia="Calibri" w:hAnsi="Times New Roman"/>
          <w:szCs w:val="22"/>
          <w:lang w:val="pt-BR"/>
        </w:rPr>
      </w:pPr>
    </w:p>
    <w:p w14:paraId="6E83462D"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61" w:firstLine="720"/>
        <w:rPr>
          <w:rFonts w:ascii="Times New Roman" w:eastAsia="Calibri" w:hAnsi="Times New Roman"/>
          <w:szCs w:val="22"/>
          <w:lang w:val="pt-BR"/>
        </w:rPr>
      </w:pPr>
      <w:r w:rsidRPr="00D65A20">
        <w:rPr>
          <w:rFonts w:ascii="Times New Roman" w:eastAsia="Calibri" w:hAnsi="Times New Roman"/>
          <w:szCs w:val="22"/>
          <w:lang w:val="pt-BR"/>
        </w:rPr>
        <w:t xml:space="preserve">O propósito da CIRDN é atuar como principal foro do Sistema Interamericano para a análise de temas vinculados a desastres naturais e outros desastres, inclusive a prevenção e a redução de seus efeitos, em coordenação com os governos dos Estados membros, as organizações nacionais, regionais e </w:t>
      </w:r>
      <w:r w:rsidR="00AB7F16" w:rsidRPr="00D65A20">
        <w:rPr>
          <w:rFonts w:ascii="Times New Roman" w:eastAsia="Calibri" w:hAnsi="Times New Roman"/>
          <w:szCs w:val="22"/>
          <w:lang w:val="pt-BR"/>
        </w:rPr>
        <w:t>inter</w:t>
      </w:r>
      <w:r w:rsidRPr="00D65A20">
        <w:rPr>
          <w:rFonts w:ascii="Times New Roman" w:eastAsia="Calibri" w:hAnsi="Times New Roman"/>
          <w:szCs w:val="22"/>
          <w:lang w:val="pt-BR"/>
        </w:rPr>
        <w:t xml:space="preserve">nacionais competentes, bem como com as organizações não governamentais. </w:t>
      </w:r>
    </w:p>
    <w:p w14:paraId="6E83462E"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61"/>
        <w:rPr>
          <w:rFonts w:ascii="Times New Roman" w:eastAsia="Calibri" w:hAnsi="Times New Roman"/>
          <w:szCs w:val="22"/>
          <w:lang w:val="pt-BR"/>
        </w:rPr>
      </w:pPr>
    </w:p>
    <w:p w14:paraId="6E83462F" w14:textId="07827B12"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61" w:firstLine="720"/>
        <w:rPr>
          <w:rFonts w:ascii="Times New Roman" w:eastAsia="Calibri" w:hAnsi="Times New Roman"/>
          <w:b/>
          <w:bCs/>
          <w:szCs w:val="22"/>
          <w:lang w:val="pt-BR"/>
        </w:rPr>
      </w:pPr>
      <w:r w:rsidRPr="00D65A20">
        <w:rPr>
          <w:rFonts w:ascii="Times New Roman" w:eastAsia="Calibri" w:hAnsi="Times New Roman"/>
          <w:szCs w:val="22"/>
          <w:lang w:val="pt-BR"/>
        </w:rPr>
        <w:t>A CIRDN também procura harmonizar os esforços e facilitar o intercâmbio de informações sobre as ações realizadas e em andamento, bem como sobre os planos de resposta das instituições do Sistema Interamericano, parceiros sub-regionais e internacionais, Estados membros da OEA e Observadores Permanentes em resposta a desastres naturais e outros desastres.</w:t>
      </w:r>
    </w:p>
    <w:p w14:paraId="6E834630"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61"/>
        <w:rPr>
          <w:rFonts w:ascii="Times New Roman" w:eastAsia="Calibri" w:hAnsi="Times New Roman"/>
          <w:szCs w:val="22"/>
          <w:lang w:val="pt-BR"/>
        </w:rPr>
      </w:pPr>
    </w:p>
    <w:p w14:paraId="6E834631"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61" w:firstLine="720"/>
        <w:rPr>
          <w:rFonts w:ascii="Times New Roman" w:eastAsia="Calibri" w:hAnsi="Times New Roman"/>
          <w:szCs w:val="22"/>
          <w:lang w:val="pt-BR"/>
        </w:rPr>
      </w:pPr>
      <w:r w:rsidRPr="00D65A20">
        <w:rPr>
          <w:rFonts w:ascii="Times New Roman" w:eastAsia="Calibri" w:hAnsi="Times New Roman"/>
          <w:szCs w:val="22"/>
          <w:lang w:val="pt-BR"/>
        </w:rPr>
        <w:t xml:space="preserve">A CIRDN tem por objetivo o fortalecimento das ações hemisféricas com vistas à obtenção da máxima cooperação internacional em apoio aos esforços nacionais e/ou regionais para a prevenção oportuna, a preparação, o alerta antecipado, a resposta, a redução da vulnerabilidade, o atendimento de emergência, a redução dos efeitos, a reabilitação e a reconstrução relacionados com desastres. </w:t>
      </w:r>
    </w:p>
    <w:p w14:paraId="6E834632"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61"/>
        <w:rPr>
          <w:rFonts w:ascii="Times New Roman" w:eastAsia="Calibri" w:hAnsi="Times New Roman"/>
          <w:szCs w:val="22"/>
          <w:lang w:val="pt-BR"/>
        </w:rPr>
      </w:pPr>
    </w:p>
    <w:p w14:paraId="6E834633"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61" w:firstLine="720"/>
        <w:rPr>
          <w:rFonts w:ascii="Times New Roman" w:eastAsia="Calibri" w:hAnsi="Times New Roman"/>
          <w:szCs w:val="22"/>
          <w:lang w:val="pt-BR"/>
        </w:rPr>
      </w:pPr>
      <w:r w:rsidRPr="00D65A20">
        <w:rPr>
          <w:rFonts w:ascii="Times New Roman" w:eastAsia="Calibri" w:hAnsi="Times New Roman"/>
          <w:szCs w:val="22"/>
          <w:lang w:val="pt-BR"/>
        </w:rPr>
        <w:t xml:space="preserve">A CIRDN prestará ao Fundo Interamericano de Assistência para Situações de Emergência (FONDEM) serviços de assessoramento em tudo que diga respeito a ajuda de emergência e assistência social, humanitária, material, técnica e financeira aos Estados membros, de acordo com o Estatuto do Fundo. </w:t>
      </w:r>
    </w:p>
    <w:p w14:paraId="6E834634"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61"/>
        <w:rPr>
          <w:rFonts w:ascii="Times New Roman" w:eastAsia="Calibri" w:hAnsi="Times New Roman"/>
          <w:szCs w:val="22"/>
          <w:lang w:val="pt-BR"/>
        </w:rPr>
      </w:pPr>
    </w:p>
    <w:p w14:paraId="6E834635" w14:textId="67AE4372"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61" w:firstLine="720"/>
        <w:rPr>
          <w:rFonts w:ascii="Times New Roman" w:eastAsia="Calibri" w:hAnsi="Times New Roman"/>
          <w:szCs w:val="22"/>
          <w:lang w:val="pt-BR"/>
        </w:rPr>
      </w:pPr>
      <w:r w:rsidRPr="00D65A20">
        <w:rPr>
          <w:rFonts w:ascii="Times New Roman" w:eastAsia="Calibri" w:hAnsi="Times New Roman"/>
          <w:szCs w:val="22"/>
          <w:lang w:val="pt-BR"/>
        </w:rPr>
        <w:t xml:space="preserve">A CIRDN prestará serviços de assessoramento e coordenação em conformidade com a Convenção Interamericana para Facilitar a Assistência em Caso de Desastres. </w:t>
      </w:r>
    </w:p>
    <w:p w14:paraId="6E834636"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637"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bCs/>
          <w:szCs w:val="22"/>
          <w:lang w:val="pt-BR" w:eastAsia="es-ES"/>
        </w:rPr>
      </w:pPr>
      <w:r w:rsidRPr="00D65A20">
        <w:rPr>
          <w:rFonts w:ascii="Times New Roman" w:eastAsia="Calibri" w:hAnsi="Times New Roman"/>
          <w:szCs w:val="22"/>
          <w:lang w:val="pt-BR"/>
        </w:rPr>
        <w:br w:type="page"/>
      </w:r>
    </w:p>
    <w:p w14:paraId="6E834638"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outlineLvl w:val="0"/>
        <w:rPr>
          <w:rFonts w:ascii="Times New Roman" w:eastAsia="Calibri" w:hAnsi="Times New Roman"/>
          <w:bCs/>
          <w:szCs w:val="22"/>
          <w:lang w:val="pt-BR" w:eastAsia="es-ES"/>
        </w:rPr>
      </w:pPr>
      <w:bookmarkStart w:id="81" w:name="_Toc56522549"/>
      <w:bookmarkStart w:id="82" w:name="_Toc56526478"/>
      <w:bookmarkStart w:id="83" w:name="_Toc56526688"/>
      <w:r w:rsidRPr="00D65A20">
        <w:rPr>
          <w:rFonts w:ascii="Times New Roman" w:eastAsia="Calibri" w:hAnsi="Times New Roman"/>
          <w:bCs/>
          <w:szCs w:val="22"/>
          <w:lang w:val="pt-BR" w:eastAsia="es-ES"/>
        </w:rPr>
        <w:lastRenderedPageBreak/>
        <w:t>Artigo 3</w:t>
      </w:r>
      <w:bookmarkEnd w:id="81"/>
      <w:bookmarkEnd w:id="82"/>
      <w:bookmarkEnd w:id="83"/>
      <w:r w:rsidR="00E36A73" w:rsidRPr="00D65A20">
        <w:rPr>
          <w:rFonts w:ascii="Times New Roman" w:eastAsia="Calibri" w:hAnsi="Times New Roman"/>
          <w:szCs w:val="22"/>
          <w:vertAlign w:val="superscript"/>
          <w:lang w:val="pt-BR"/>
        </w:rPr>
        <w:t>o</w:t>
      </w:r>
    </w:p>
    <w:p w14:paraId="6E834639"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63A"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firstLine="720"/>
        <w:rPr>
          <w:rFonts w:ascii="Times New Roman" w:eastAsia="Calibri" w:hAnsi="Times New Roman"/>
          <w:szCs w:val="22"/>
          <w:lang w:val="pt-BR"/>
        </w:rPr>
      </w:pPr>
      <w:r w:rsidRPr="00D65A20">
        <w:rPr>
          <w:rFonts w:ascii="Times New Roman" w:eastAsia="Calibri" w:hAnsi="Times New Roman"/>
          <w:szCs w:val="22"/>
          <w:lang w:val="pt-BR"/>
        </w:rPr>
        <w:t xml:space="preserve">A CIRDN é regida por este Estatuto. Suas atividades serão executadas em conformidade com a Carta da OEA e os mandatos a ela conferidos pela Assembleia Geral e o Conselho Permanente da OEA. </w:t>
      </w:r>
    </w:p>
    <w:p w14:paraId="6E83463B"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rPr>
          <w:rFonts w:ascii="Times New Roman" w:eastAsia="Calibri" w:hAnsi="Times New Roman"/>
          <w:szCs w:val="22"/>
          <w:lang w:val="pt-BR"/>
        </w:rPr>
      </w:pPr>
    </w:p>
    <w:p w14:paraId="6E83463C"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jc w:val="center"/>
        <w:rPr>
          <w:rFonts w:ascii="Times New Roman" w:eastAsia="Calibri" w:hAnsi="Times New Roman"/>
          <w:szCs w:val="22"/>
          <w:lang w:val="pt-BR"/>
        </w:rPr>
      </w:pPr>
      <w:r w:rsidRPr="00D65A20">
        <w:rPr>
          <w:rFonts w:ascii="Times New Roman" w:eastAsia="Calibri" w:hAnsi="Times New Roman"/>
          <w:szCs w:val="22"/>
          <w:lang w:val="pt-BR"/>
        </w:rPr>
        <w:t>CAPÍTULO II</w:t>
      </w:r>
    </w:p>
    <w:p w14:paraId="6E83463D"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jc w:val="center"/>
        <w:rPr>
          <w:rFonts w:ascii="Times New Roman" w:eastAsia="Calibri" w:hAnsi="Times New Roman"/>
          <w:szCs w:val="22"/>
          <w:lang w:val="pt-BR"/>
        </w:rPr>
      </w:pPr>
      <w:r w:rsidRPr="00D65A20">
        <w:rPr>
          <w:rFonts w:ascii="Times New Roman" w:eastAsia="Calibri" w:hAnsi="Times New Roman"/>
          <w:szCs w:val="22"/>
          <w:lang w:val="pt-BR"/>
        </w:rPr>
        <w:t>ESTRUTURA</w:t>
      </w:r>
    </w:p>
    <w:p w14:paraId="6E83463E"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rPr>
          <w:rFonts w:ascii="Times New Roman" w:eastAsia="Calibri" w:hAnsi="Times New Roman"/>
          <w:szCs w:val="22"/>
          <w:lang w:val="pt-BR"/>
        </w:rPr>
      </w:pPr>
    </w:p>
    <w:p w14:paraId="6E83463F"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outlineLvl w:val="0"/>
        <w:rPr>
          <w:rFonts w:ascii="Times New Roman" w:eastAsia="Calibri" w:hAnsi="Times New Roman"/>
          <w:bCs/>
          <w:szCs w:val="22"/>
          <w:lang w:val="pt-BR" w:eastAsia="es-ES"/>
        </w:rPr>
      </w:pPr>
      <w:bookmarkStart w:id="84" w:name="_Toc56522550"/>
      <w:bookmarkStart w:id="85" w:name="_Toc56526479"/>
      <w:bookmarkStart w:id="86" w:name="_Toc56526689"/>
      <w:r w:rsidRPr="00D65A20">
        <w:rPr>
          <w:rFonts w:ascii="Times New Roman" w:eastAsia="Calibri" w:hAnsi="Times New Roman"/>
          <w:bCs/>
          <w:szCs w:val="22"/>
          <w:lang w:val="pt-BR" w:eastAsia="es-ES"/>
        </w:rPr>
        <w:t>Artigo 4</w:t>
      </w:r>
      <w:r w:rsidR="00E36A73" w:rsidRPr="00D65A20">
        <w:rPr>
          <w:rFonts w:ascii="Times New Roman" w:eastAsia="Calibri" w:hAnsi="Times New Roman"/>
          <w:szCs w:val="22"/>
          <w:vertAlign w:val="superscript"/>
          <w:lang w:val="pt-BR"/>
        </w:rPr>
        <w:t>o</w:t>
      </w:r>
      <w:r w:rsidRPr="00D65A20">
        <w:rPr>
          <w:rFonts w:ascii="Times New Roman" w:eastAsia="Calibri" w:hAnsi="Times New Roman"/>
          <w:bCs/>
          <w:szCs w:val="22"/>
          <w:lang w:val="pt-BR" w:eastAsia="es-ES"/>
        </w:rPr>
        <w:tab/>
        <w:t>Constituição</w:t>
      </w:r>
      <w:bookmarkEnd w:id="84"/>
      <w:bookmarkEnd w:id="85"/>
      <w:bookmarkEnd w:id="86"/>
    </w:p>
    <w:p w14:paraId="6E834640"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rPr>
          <w:rFonts w:ascii="Times New Roman" w:eastAsia="Calibri" w:hAnsi="Times New Roman"/>
          <w:szCs w:val="22"/>
          <w:lang w:val="pt-BR"/>
        </w:rPr>
      </w:pPr>
    </w:p>
    <w:p w14:paraId="6E834641"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firstLine="720"/>
        <w:rPr>
          <w:rFonts w:ascii="Times New Roman" w:eastAsia="Calibri" w:hAnsi="Times New Roman"/>
          <w:szCs w:val="22"/>
          <w:lang w:val="pt-BR"/>
        </w:rPr>
      </w:pPr>
      <w:r w:rsidRPr="00D65A20">
        <w:rPr>
          <w:rFonts w:ascii="Times New Roman" w:eastAsia="Calibri" w:hAnsi="Times New Roman"/>
          <w:szCs w:val="22"/>
          <w:lang w:val="pt-BR"/>
        </w:rPr>
        <w:t xml:space="preserve">A CIRDN será constituída pelo Presidente do Conselho Permanente da OEA, pelo Secretário-Geral da OEA, pelo Secretário-Geral Adjunto da OEA, pelo Presidente do Banco Interamericano de Desenvolvimento (BID), pelo Diretor-Geral da Organização Pan-Americana da Saúde (OPAS), pelo Secretário-Geral do Instituto Pan-Americano de Geografia e História (IPGH), pelo Presidente da Fundação Pan-Americana de Desenvolvimento (FUPAD), pelo Diretor-Geral do Instituto Interamericano de Cooperação para a Agricultura (IICA), pelo Diretor-Geral da Agência Interamericana de Cooperação e Desenvolvimento (AICD), pelo Presidente da Junta Interamericana de Defesa (JID) e pela Secretária Executiva da Comissão Interamericana de Mulheres (CIM). </w:t>
      </w:r>
    </w:p>
    <w:p w14:paraId="6E834642"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rPr>
          <w:rFonts w:ascii="Times New Roman" w:eastAsia="Calibri" w:hAnsi="Times New Roman"/>
          <w:szCs w:val="22"/>
          <w:lang w:val="pt-BR"/>
        </w:rPr>
      </w:pPr>
    </w:p>
    <w:p w14:paraId="6E834643"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outlineLvl w:val="0"/>
        <w:rPr>
          <w:rFonts w:ascii="Times New Roman" w:eastAsia="Calibri" w:hAnsi="Times New Roman"/>
          <w:bCs/>
          <w:szCs w:val="22"/>
          <w:lang w:val="pt-BR" w:eastAsia="es-ES"/>
        </w:rPr>
      </w:pPr>
      <w:bookmarkStart w:id="87" w:name="_Toc56522551"/>
      <w:bookmarkStart w:id="88" w:name="_Toc56526480"/>
      <w:bookmarkStart w:id="89" w:name="_Toc56526690"/>
      <w:r w:rsidRPr="00D65A20">
        <w:rPr>
          <w:rFonts w:ascii="Times New Roman" w:eastAsia="Calibri" w:hAnsi="Times New Roman"/>
          <w:bCs/>
          <w:szCs w:val="22"/>
          <w:lang w:val="pt-BR" w:eastAsia="es-ES"/>
        </w:rPr>
        <w:t>Artigo 5</w:t>
      </w:r>
      <w:r w:rsidR="00E36A73" w:rsidRPr="00D65A20">
        <w:rPr>
          <w:rFonts w:ascii="Times New Roman" w:eastAsia="Calibri" w:hAnsi="Times New Roman"/>
          <w:szCs w:val="22"/>
          <w:vertAlign w:val="superscript"/>
          <w:lang w:val="pt-BR"/>
        </w:rPr>
        <w:t>o</w:t>
      </w:r>
      <w:r w:rsidRPr="00D65A20">
        <w:rPr>
          <w:rFonts w:ascii="Times New Roman" w:eastAsia="Calibri" w:hAnsi="Times New Roman"/>
          <w:bCs/>
          <w:szCs w:val="22"/>
          <w:lang w:val="pt-BR" w:eastAsia="es-ES"/>
        </w:rPr>
        <w:tab/>
        <w:t>A Presidência e suas funções</w:t>
      </w:r>
      <w:bookmarkEnd w:id="87"/>
      <w:bookmarkEnd w:id="88"/>
      <w:bookmarkEnd w:id="89"/>
    </w:p>
    <w:p w14:paraId="6E834644"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rPr>
          <w:rFonts w:ascii="Times New Roman" w:eastAsia="Calibri" w:hAnsi="Times New Roman"/>
          <w:szCs w:val="22"/>
          <w:lang w:val="pt-BR"/>
        </w:rPr>
      </w:pPr>
    </w:p>
    <w:p w14:paraId="6E834645"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firstLine="720"/>
        <w:rPr>
          <w:rFonts w:ascii="Times New Roman" w:eastAsia="Calibri" w:hAnsi="Times New Roman"/>
          <w:szCs w:val="22"/>
          <w:lang w:val="pt-BR"/>
        </w:rPr>
      </w:pPr>
      <w:r w:rsidRPr="00D65A20">
        <w:rPr>
          <w:rFonts w:ascii="Times New Roman" w:eastAsia="Calibri" w:hAnsi="Times New Roman"/>
          <w:szCs w:val="22"/>
          <w:lang w:val="pt-BR"/>
        </w:rPr>
        <w:t>O Secretário-Geral da OEA ou, em sua ausência, seu respectivo representante, é o Presidente da CIRDN e, nes</w:t>
      </w:r>
      <w:r w:rsidR="00E36A73" w:rsidRPr="00D65A20">
        <w:rPr>
          <w:rFonts w:ascii="Times New Roman" w:eastAsia="Calibri" w:hAnsi="Times New Roman"/>
          <w:szCs w:val="22"/>
          <w:lang w:val="pt-BR"/>
        </w:rPr>
        <w:t>s</w:t>
      </w:r>
      <w:r w:rsidRPr="00D65A20">
        <w:rPr>
          <w:rFonts w:ascii="Times New Roman" w:eastAsia="Calibri" w:hAnsi="Times New Roman"/>
          <w:szCs w:val="22"/>
          <w:lang w:val="pt-BR"/>
        </w:rPr>
        <w:t xml:space="preserve">a qualidade, desempenha as seguintes funções: </w:t>
      </w:r>
    </w:p>
    <w:p w14:paraId="6E834646"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rPr>
          <w:rFonts w:ascii="Times New Roman" w:eastAsia="Calibri" w:hAnsi="Times New Roman"/>
          <w:szCs w:val="22"/>
          <w:lang w:val="pt-BR"/>
        </w:rPr>
      </w:pPr>
    </w:p>
    <w:p w14:paraId="6E834647" w14:textId="77777777" w:rsidR="00A925FD" w:rsidRPr="00D65A20" w:rsidRDefault="00A925FD" w:rsidP="00AA4399">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right="58" w:hanging="720"/>
        <w:jc w:val="left"/>
        <w:rPr>
          <w:rFonts w:ascii="Times New Roman" w:eastAsia="Calibri" w:hAnsi="Times New Roman"/>
          <w:szCs w:val="22"/>
          <w:lang w:val="pt-BR"/>
        </w:rPr>
      </w:pPr>
      <w:r w:rsidRPr="00D65A20">
        <w:rPr>
          <w:rFonts w:ascii="Times New Roman" w:eastAsia="Calibri" w:hAnsi="Times New Roman"/>
          <w:szCs w:val="22"/>
          <w:lang w:val="pt-BR"/>
        </w:rPr>
        <w:t xml:space="preserve">convocar a CIRDN; </w:t>
      </w:r>
    </w:p>
    <w:p w14:paraId="6E834648"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rPr>
          <w:rFonts w:ascii="Times New Roman" w:eastAsia="Calibri" w:hAnsi="Times New Roman"/>
          <w:szCs w:val="22"/>
          <w:lang w:val="pt-BR"/>
        </w:rPr>
      </w:pPr>
    </w:p>
    <w:p w14:paraId="6E834649" w14:textId="77777777" w:rsidR="00A925FD" w:rsidRPr="00D65A20" w:rsidRDefault="00A925FD" w:rsidP="00AA4399">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right="58" w:hanging="720"/>
        <w:jc w:val="left"/>
        <w:rPr>
          <w:rFonts w:ascii="Times New Roman" w:eastAsia="Calibri" w:hAnsi="Times New Roman"/>
          <w:szCs w:val="22"/>
          <w:lang w:val="pt-BR"/>
        </w:rPr>
      </w:pPr>
      <w:r w:rsidRPr="00D65A20">
        <w:rPr>
          <w:rFonts w:ascii="Times New Roman" w:eastAsia="Calibri" w:hAnsi="Times New Roman"/>
          <w:szCs w:val="22"/>
          <w:lang w:val="pt-BR"/>
        </w:rPr>
        <w:t xml:space="preserve">representar a CIRDN junto aos demais órgãos e organismos da OEA; </w:t>
      </w:r>
    </w:p>
    <w:p w14:paraId="6E83464A"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rPr>
          <w:rFonts w:ascii="Times New Roman" w:eastAsia="Calibri" w:hAnsi="Times New Roman"/>
          <w:szCs w:val="22"/>
          <w:lang w:val="pt-BR"/>
        </w:rPr>
      </w:pPr>
    </w:p>
    <w:p w14:paraId="6E83464B" w14:textId="77777777" w:rsidR="00A925FD" w:rsidRPr="00D65A20" w:rsidRDefault="00A925FD" w:rsidP="00AA4399">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right="58" w:hanging="720"/>
        <w:rPr>
          <w:rFonts w:ascii="Times New Roman" w:eastAsia="Calibri" w:hAnsi="Times New Roman"/>
          <w:szCs w:val="22"/>
          <w:lang w:val="pt-BR"/>
        </w:rPr>
      </w:pPr>
      <w:r w:rsidRPr="00D65A20">
        <w:rPr>
          <w:rFonts w:ascii="Times New Roman" w:eastAsia="Calibri" w:hAnsi="Times New Roman"/>
          <w:szCs w:val="22"/>
          <w:lang w:val="pt-BR"/>
        </w:rPr>
        <w:t xml:space="preserve">dirigir e coordenar as reuniões organizadas pela CIRDN com outras entidades responsáveis por assuntos relativos à prevenção e redução dos efeitos dos desastres naturais ou com eles relacionadas; </w:t>
      </w:r>
    </w:p>
    <w:p w14:paraId="6E83464C"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rPr>
          <w:rFonts w:ascii="Times New Roman" w:eastAsia="Calibri" w:hAnsi="Times New Roman"/>
          <w:szCs w:val="22"/>
          <w:lang w:val="pt-BR"/>
        </w:rPr>
      </w:pPr>
    </w:p>
    <w:p w14:paraId="6E83464D" w14:textId="77777777" w:rsidR="00A925FD" w:rsidRPr="00D65A20" w:rsidRDefault="00A925FD" w:rsidP="00AA4399">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right="58" w:hanging="720"/>
        <w:rPr>
          <w:rFonts w:ascii="Times New Roman" w:eastAsia="Calibri" w:hAnsi="Times New Roman"/>
          <w:szCs w:val="22"/>
          <w:lang w:val="pt-BR"/>
        </w:rPr>
      </w:pPr>
      <w:r w:rsidRPr="00D65A20">
        <w:rPr>
          <w:rFonts w:ascii="Times New Roman" w:eastAsia="Calibri" w:hAnsi="Times New Roman"/>
          <w:szCs w:val="22"/>
          <w:lang w:val="pt-BR"/>
        </w:rPr>
        <w:t xml:space="preserve">coordenar o cumprimento das funções da CIRDN; </w:t>
      </w:r>
    </w:p>
    <w:p w14:paraId="6E83464E" w14:textId="3C14F9D7" w:rsidR="00A925FD" w:rsidRPr="00D65A20" w:rsidRDefault="00A925FD" w:rsidP="00C2498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rPr>
          <w:rFonts w:ascii="Times New Roman" w:eastAsia="Calibri" w:hAnsi="Times New Roman"/>
          <w:szCs w:val="22"/>
          <w:lang w:val="pt-BR"/>
        </w:rPr>
      </w:pPr>
    </w:p>
    <w:p w14:paraId="6E83464F" w14:textId="77777777" w:rsidR="00A925FD" w:rsidRPr="00D65A20" w:rsidRDefault="00A925FD" w:rsidP="00AA4399">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right="58" w:hanging="720"/>
        <w:rPr>
          <w:rFonts w:ascii="Times New Roman" w:eastAsia="Calibri" w:hAnsi="Times New Roman"/>
          <w:b/>
          <w:szCs w:val="22"/>
          <w:shd w:val="clear" w:color="auto" w:fill="FFFFFF"/>
          <w:lang w:val="pt-BR"/>
        </w:rPr>
      </w:pPr>
      <w:r w:rsidRPr="00D65A20">
        <w:rPr>
          <w:rFonts w:ascii="Times New Roman" w:eastAsia="Calibri" w:hAnsi="Times New Roman"/>
          <w:szCs w:val="22"/>
          <w:shd w:val="clear" w:color="auto" w:fill="FFFFFF"/>
          <w:lang w:val="pt-BR"/>
        </w:rPr>
        <w:t>convidar os Estados membros com direito a palavra</w:t>
      </w:r>
      <w:r w:rsidR="00E36A73" w:rsidRPr="00D65A20">
        <w:rPr>
          <w:rFonts w:ascii="Times New Roman" w:eastAsia="Calibri" w:hAnsi="Times New Roman"/>
          <w:szCs w:val="22"/>
          <w:shd w:val="clear" w:color="auto" w:fill="FFFFFF"/>
          <w:lang w:val="pt-BR"/>
        </w:rPr>
        <w:t>,</w:t>
      </w:r>
      <w:r w:rsidRPr="00D65A20">
        <w:rPr>
          <w:rFonts w:ascii="Times New Roman" w:eastAsia="Calibri" w:hAnsi="Times New Roman"/>
          <w:szCs w:val="22"/>
          <w:shd w:val="clear" w:color="auto" w:fill="FFFFFF"/>
          <w:lang w:val="pt-BR"/>
        </w:rPr>
        <w:t xml:space="preserve"> mas sem voto</w:t>
      </w:r>
      <w:r w:rsidR="00E36A73" w:rsidRPr="00D65A20">
        <w:rPr>
          <w:rFonts w:ascii="Times New Roman" w:eastAsia="Calibri" w:hAnsi="Times New Roman"/>
          <w:szCs w:val="22"/>
          <w:shd w:val="clear" w:color="auto" w:fill="FFFFFF"/>
          <w:lang w:val="pt-BR"/>
        </w:rPr>
        <w:t>,</w:t>
      </w:r>
      <w:r w:rsidRPr="00D65A20">
        <w:rPr>
          <w:rFonts w:ascii="Times New Roman" w:eastAsia="Calibri" w:hAnsi="Times New Roman"/>
          <w:szCs w:val="22"/>
          <w:shd w:val="clear" w:color="auto" w:fill="FFFFFF"/>
          <w:lang w:val="pt-BR"/>
        </w:rPr>
        <w:t xml:space="preserve"> e, quando necessário, Observadores Permanentes e representantes de organizações e mecanismos nacionais, sub-regionais, regionais e internacionais para participar de reuniões da CIRDN com direito a palavra, mas sem voto;</w:t>
      </w:r>
      <w:r w:rsidRPr="00D65A20">
        <w:rPr>
          <w:rFonts w:ascii="Times New Roman" w:eastAsia="Calibri" w:hAnsi="Times New Roman"/>
          <w:szCs w:val="22"/>
          <w:u w:val="single"/>
          <w:shd w:val="clear" w:color="auto" w:fill="FFFFFF"/>
          <w:vertAlign w:val="superscript"/>
          <w:lang w:val="pt-BR"/>
        </w:rPr>
        <w:footnoteReference w:id="48"/>
      </w:r>
      <w:r w:rsidRPr="00D65A20">
        <w:rPr>
          <w:rFonts w:ascii="Times New Roman" w:eastAsia="Calibri" w:hAnsi="Times New Roman"/>
          <w:szCs w:val="22"/>
          <w:shd w:val="clear" w:color="auto" w:fill="FFFFFF"/>
          <w:vertAlign w:val="superscript"/>
          <w:lang w:val="pt-BR"/>
        </w:rPr>
        <w:t>/</w:t>
      </w:r>
    </w:p>
    <w:p w14:paraId="6E834650"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651" w14:textId="77777777" w:rsidR="00A925FD" w:rsidRPr="00D65A20" w:rsidRDefault="00A925FD" w:rsidP="00AA4399">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right="222" w:hanging="720"/>
        <w:rPr>
          <w:rFonts w:ascii="Times New Roman" w:eastAsia="Calibri" w:hAnsi="Times New Roman"/>
          <w:szCs w:val="22"/>
          <w:lang w:val="pt-BR"/>
        </w:rPr>
      </w:pPr>
      <w:r w:rsidRPr="00D65A20">
        <w:rPr>
          <w:rFonts w:ascii="Times New Roman" w:eastAsia="Calibri" w:hAnsi="Times New Roman"/>
          <w:szCs w:val="22"/>
          <w:lang w:val="pt-BR"/>
        </w:rPr>
        <w:t>apresentar um relatório anual sobre suas atividades ao Conselho Permanente;</w:t>
      </w:r>
    </w:p>
    <w:p w14:paraId="6E834652" w14:textId="77777777" w:rsidR="00A925FD" w:rsidRPr="00D65A20" w:rsidRDefault="00A925FD" w:rsidP="00C2498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222"/>
        <w:rPr>
          <w:rFonts w:ascii="Times New Roman" w:eastAsia="Calibri" w:hAnsi="Times New Roman"/>
          <w:szCs w:val="22"/>
          <w:lang w:val="pt-BR"/>
        </w:rPr>
      </w:pPr>
    </w:p>
    <w:p w14:paraId="6E834653" w14:textId="33B8165D" w:rsidR="00A925FD" w:rsidRPr="00D65A20" w:rsidRDefault="00A925FD" w:rsidP="00AA4399">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right="222" w:hanging="720"/>
        <w:rPr>
          <w:rFonts w:ascii="Times New Roman" w:eastAsia="Calibri" w:hAnsi="Times New Roman"/>
          <w:szCs w:val="22"/>
          <w:lang w:val="pt-BR"/>
        </w:rPr>
      </w:pPr>
      <w:r w:rsidRPr="00D65A20">
        <w:rPr>
          <w:rFonts w:ascii="Times New Roman" w:eastAsia="Calibri" w:hAnsi="Times New Roman"/>
          <w:szCs w:val="22"/>
          <w:lang w:val="pt-BR"/>
        </w:rPr>
        <w:t xml:space="preserve">assistir na coordenação da cooperação entre os Estados membros da OEA, quando convidados pelas partes interessadas, e assistir os Estados afetados por um desastre natural na notificação do Escritório das Nações Unidas para a Coordenação de Assuntos Humanitários (OCHA); </w:t>
      </w:r>
    </w:p>
    <w:p w14:paraId="6E834654"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655" w14:textId="77777777" w:rsidR="00A925FD" w:rsidRPr="00D65A20" w:rsidRDefault="00A925FD" w:rsidP="00AA4399">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right="222" w:hanging="720"/>
        <w:rPr>
          <w:rFonts w:ascii="Times New Roman" w:eastAsia="Calibri" w:hAnsi="Times New Roman"/>
          <w:b/>
          <w:bCs/>
          <w:szCs w:val="22"/>
          <w:lang w:val="pt-BR"/>
        </w:rPr>
      </w:pPr>
      <w:r w:rsidRPr="00D65A20">
        <w:rPr>
          <w:rFonts w:ascii="Times New Roman" w:eastAsia="Calibri" w:hAnsi="Times New Roman"/>
          <w:szCs w:val="22"/>
          <w:lang w:val="pt-BR"/>
        </w:rPr>
        <w:t>desempenhar as funções dispostas no artigo VII do Estatuto do Fundo Interamericano de Assistência para Situações de Emergência (FONDEM);</w:t>
      </w:r>
    </w:p>
    <w:p w14:paraId="6E834656"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hanging="720"/>
        <w:rPr>
          <w:rFonts w:ascii="Times New Roman" w:eastAsia="Calibri" w:hAnsi="Times New Roman"/>
          <w:szCs w:val="22"/>
          <w:lang w:val="pt-BR"/>
        </w:rPr>
      </w:pPr>
    </w:p>
    <w:p w14:paraId="6E834657" w14:textId="77777777" w:rsidR="00A925FD" w:rsidRPr="00D65A20" w:rsidRDefault="00A925FD" w:rsidP="00AA4399">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right="222" w:hanging="720"/>
        <w:rPr>
          <w:rFonts w:ascii="Times New Roman" w:eastAsia="Calibri" w:hAnsi="Times New Roman"/>
          <w:b/>
          <w:bCs/>
          <w:szCs w:val="22"/>
          <w:lang w:val="pt-BR"/>
        </w:rPr>
      </w:pPr>
      <w:r w:rsidRPr="00D65A20">
        <w:rPr>
          <w:rFonts w:ascii="Times New Roman" w:eastAsia="Calibri" w:hAnsi="Times New Roman"/>
          <w:szCs w:val="22"/>
          <w:lang w:val="pt-BR"/>
        </w:rPr>
        <w:t xml:space="preserve">solicitar contribuições voluntárias para os propósitos estabelecidos neste Estatuto e de acordo com o artigo 13. </w:t>
      </w:r>
    </w:p>
    <w:p w14:paraId="6E834658"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65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65A"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130"/>
        <w:jc w:val="center"/>
        <w:rPr>
          <w:rFonts w:ascii="Times New Roman" w:eastAsia="Calibri" w:hAnsi="Times New Roman"/>
          <w:szCs w:val="22"/>
          <w:lang w:val="pt-BR"/>
        </w:rPr>
      </w:pPr>
      <w:r w:rsidRPr="00D65A20">
        <w:rPr>
          <w:rFonts w:ascii="Times New Roman" w:eastAsia="Calibri" w:hAnsi="Times New Roman"/>
          <w:szCs w:val="22"/>
          <w:lang w:val="pt-BR"/>
        </w:rPr>
        <w:t>CAPÍTULO III</w:t>
      </w:r>
    </w:p>
    <w:p w14:paraId="6E83465B"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130"/>
        <w:jc w:val="center"/>
        <w:rPr>
          <w:rFonts w:ascii="Times New Roman" w:eastAsia="Calibri" w:hAnsi="Times New Roman"/>
          <w:szCs w:val="22"/>
          <w:lang w:val="pt-BR"/>
        </w:rPr>
      </w:pPr>
      <w:r w:rsidRPr="00D65A20">
        <w:rPr>
          <w:rFonts w:ascii="Times New Roman" w:eastAsia="Calibri" w:hAnsi="Times New Roman"/>
          <w:szCs w:val="22"/>
          <w:lang w:val="pt-BR"/>
        </w:rPr>
        <w:t>REUNIÕES</w:t>
      </w:r>
    </w:p>
    <w:p w14:paraId="6E83465C"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130"/>
        <w:rPr>
          <w:rFonts w:ascii="Times New Roman" w:eastAsia="Calibri" w:hAnsi="Times New Roman"/>
          <w:szCs w:val="22"/>
          <w:lang w:val="pt-BR"/>
        </w:rPr>
      </w:pPr>
    </w:p>
    <w:p w14:paraId="6E83465D"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outlineLvl w:val="0"/>
        <w:rPr>
          <w:rFonts w:ascii="Times New Roman" w:eastAsia="Calibri" w:hAnsi="Times New Roman"/>
          <w:bCs/>
          <w:szCs w:val="22"/>
          <w:lang w:val="pt-BR" w:eastAsia="es-ES"/>
        </w:rPr>
      </w:pPr>
      <w:bookmarkStart w:id="90" w:name="_Toc56522552"/>
      <w:bookmarkStart w:id="91" w:name="_Toc56526481"/>
      <w:bookmarkStart w:id="92" w:name="_Toc56526691"/>
      <w:r w:rsidRPr="00D65A20">
        <w:rPr>
          <w:rFonts w:ascii="Times New Roman" w:eastAsia="Calibri" w:hAnsi="Times New Roman"/>
          <w:bCs/>
          <w:szCs w:val="22"/>
          <w:lang w:val="pt-BR" w:eastAsia="es-ES"/>
        </w:rPr>
        <w:t>Artigo 6</w:t>
      </w:r>
      <w:bookmarkEnd w:id="90"/>
      <w:bookmarkEnd w:id="91"/>
      <w:bookmarkEnd w:id="92"/>
      <w:r w:rsidR="003B14C3" w:rsidRPr="00D65A20">
        <w:rPr>
          <w:rFonts w:ascii="Times New Roman" w:eastAsia="Calibri" w:hAnsi="Times New Roman"/>
          <w:szCs w:val="22"/>
          <w:vertAlign w:val="superscript"/>
          <w:lang w:val="pt-BR"/>
        </w:rPr>
        <w:t>o</w:t>
      </w:r>
      <w:r w:rsidRPr="00D65A20">
        <w:rPr>
          <w:rFonts w:ascii="Times New Roman" w:eastAsia="Calibri" w:hAnsi="Times New Roman"/>
          <w:bCs/>
          <w:szCs w:val="22"/>
          <w:lang w:val="pt-BR" w:eastAsia="es-ES"/>
        </w:rPr>
        <w:t xml:space="preserve"> </w:t>
      </w:r>
    </w:p>
    <w:p w14:paraId="6E83465E"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65F"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222" w:firstLine="720"/>
        <w:rPr>
          <w:rFonts w:ascii="Times New Roman" w:eastAsia="Calibri" w:hAnsi="Times New Roman"/>
          <w:szCs w:val="22"/>
          <w:lang w:val="pt-BR"/>
        </w:rPr>
      </w:pPr>
      <w:r w:rsidRPr="00D65A20">
        <w:rPr>
          <w:rFonts w:ascii="Times New Roman" w:eastAsia="Calibri" w:hAnsi="Times New Roman"/>
          <w:szCs w:val="22"/>
          <w:lang w:val="pt-BR"/>
        </w:rPr>
        <w:t xml:space="preserve">A CIRDN reunir-se-á pelo menos duas vezes por ano. A critério de seu Presidente, poderão ser convocadas reuniões com maior frequência. </w:t>
      </w:r>
    </w:p>
    <w:p w14:paraId="6E834660"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661"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outlineLvl w:val="0"/>
        <w:rPr>
          <w:rFonts w:ascii="Times New Roman" w:eastAsia="Calibri" w:hAnsi="Times New Roman"/>
          <w:bCs/>
          <w:szCs w:val="22"/>
          <w:vertAlign w:val="superscript"/>
          <w:lang w:val="pt-BR" w:eastAsia="es-ES"/>
        </w:rPr>
      </w:pPr>
      <w:bookmarkStart w:id="93" w:name="_Toc56522553"/>
      <w:bookmarkStart w:id="94" w:name="_Toc56526482"/>
      <w:bookmarkStart w:id="95" w:name="_Toc56526692"/>
      <w:r w:rsidRPr="00D65A20">
        <w:rPr>
          <w:rFonts w:ascii="Times New Roman" w:eastAsia="Calibri" w:hAnsi="Times New Roman"/>
          <w:bCs/>
          <w:szCs w:val="22"/>
          <w:lang w:val="pt-BR" w:eastAsia="es-ES"/>
        </w:rPr>
        <w:t>Artigo 7</w:t>
      </w:r>
      <w:bookmarkEnd w:id="93"/>
      <w:bookmarkEnd w:id="94"/>
      <w:bookmarkEnd w:id="95"/>
      <w:r w:rsidR="003B14C3" w:rsidRPr="00D65A20">
        <w:rPr>
          <w:rFonts w:ascii="Times New Roman" w:eastAsia="Calibri" w:hAnsi="Times New Roman"/>
          <w:szCs w:val="22"/>
          <w:vertAlign w:val="superscript"/>
          <w:lang w:val="pt-BR"/>
        </w:rPr>
        <w:t>o</w:t>
      </w:r>
    </w:p>
    <w:p w14:paraId="6E834662"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663"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222" w:firstLine="720"/>
        <w:rPr>
          <w:rFonts w:ascii="Times New Roman" w:eastAsia="Calibri" w:hAnsi="Times New Roman"/>
          <w:szCs w:val="22"/>
          <w:lang w:val="pt-BR"/>
        </w:rPr>
      </w:pPr>
      <w:r w:rsidRPr="00D65A20">
        <w:rPr>
          <w:rFonts w:ascii="Times New Roman" w:eastAsia="Calibri" w:hAnsi="Times New Roman"/>
          <w:szCs w:val="22"/>
          <w:lang w:val="pt-BR"/>
        </w:rPr>
        <w:t xml:space="preserve">O quórum necessário para a realização das reuniões da CIRDN será constituído pela maioria absoluta de seus membros. </w:t>
      </w:r>
    </w:p>
    <w:p w14:paraId="6E834664"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665"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outlineLvl w:val="0"/>
        <w:rPr>
          <w:rFonts w:ascii="Times New Roman" w:eastAsia="Calibri" w:hAnsi="Times New Roman"/>
          <w:bCs/>
          <w:szCs w:val="22"/>
          <w:lang w:val="pt-BR" w:eastAsia="es-ES"/>
        </w:rPr>
      </w:pPr>
      <w:bookmarkStart w:id="96" w:name="_Toc56522554"/>
      <w:bookmarkStart w:id="97" w:name="_Toc56526483"/>
      <w:bookmarkStart w:id="98" w:name="_Toc56526693"/>
      <w:r w:rsidRPr="00D65A20">
        <w:rPr>
          <w:rFonts w:ascii="Times New Roman" w:eastAsia="Calibri" w:hAnsi="Times New Roman"/>
          <w:bCs/>
          <w:szCs w:val="22"/>
          <w:lang w:val="pt-BR" w:eastAsia="es-ES"/>
        </w:rPr>
        <w:t>Artigo 8</w:t>
      </w:r>
      <w:bookmarkEnd w:id="96"/>
      <w:bookmarkEnd w:id="97"/>
      <w:bookmarkEnd w:id="98"/>
      <w:r w:rsidR="003B14C3" w:rsidRPr="00D65A20">
        <w:rPr>
          <w:rFonts w:ascii="Times New Roman" w:eastAsia="Calibri" w:hAnsi="Times New Roman"/>
          <w:szCs w:val="22"/>
          <w:vertAlign w:val="superscript"/>
          <w:lang w:val="pt-BR"/>
        </w:rPr>
        <w:t>o</w:t>
      </w:r>
    </w:p>
    <w:p w14:paraId="6E834666"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667"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222" w:firstLine="720"/>
        <w:rPr>
          <w:rFonts w:ascii="Times New Roman" w:eastAsia="Calibri" w:hAnsi="Times New Roman"/>
          <w:szCs w:val="22"/>
          <w:lang w:val="pt-BR"/>
        </w:rPr>
      </w:pPr>
      <w:r w:rsidRPr="00D65A20">
        <w:rPr>
          <w:rFonts w:ascii="Times New Roman" w:eastAsia="Calibri" w:hAnsi="Times New Roman"/>
          <w:szCs w:val="22"/>
          <w:lang w:val="pt-BR"/>
        </w:rPr>
        <w:t xml:space="preserve">Em caso de ausência do Secretário-Geral da OEA em parte ou durante toda uma reunião da CIRDN, os demais membros presentes decidirão pelo voto da maioria quem o substituirá nessa ausência na condução das deliberações. </w:t>
      </w:r>
    </w:p>
    <w:p w14:paraId="6E834668"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669"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outlineLvl w:val="0"/>
        <w:rPr>
          <w:rFonts w:ascii="Times New Roman" w:eastAsia="Calibri" w:hAnsi="Times New Roman"/>
          <w:bCs/>
          <w:szCs w:val="22"/>
          <w:vertAlign w:val="superscript"/>
          <w:lang w:val="pt-BR" w:eastAsia="es-ES"/>
        </w:rPr>
      </w:pPr>
      <w:bookmarkStart w:id="99" w:name="_Toc56522555"/>
      <w:bookmarkStart w:id="100" w:name="_Toc56526484"/>
      <w:bookmarkStart w:id="101" w:name="_Toc56526694"/>
      <w:r w:rsidRPr="00D65A20">
        <w:rPr>
          <w:rFonts w:ascii="Times New Roman" w:eastAsia="Calibri" w:hAnsi="Times New Roman"/>
          <w:bCs/>
          <w:szCs w:val="22"/>
          <w:lang w:val="pt-BR" w:eastAsia="es-ES"/>
        </w:rPr>
        <w:t>Artigo 9</w:t>
      </w:r>
      <w:bookmarkEnd w:id="99"/>
      <w:bookmarkEnd w:id="100"/>
      <w:bookmarkEnd w:id="101"/>
      <w:r w:rsidR="003B14C3" w:rsidRPr="00D65A20">
        <w:rPr>
          <w:rFonts w:ascii="Times New Roman" w:eastAsia="Calibri" w:hAnsi="Times New Roman"/>
          <w:szCs w:val="22"/>
          <w:vertAlign w:val="superscript"/>
          <w:lang w:val="pt-BR"/>
        </w:rPr>
        <w:t>o</w:t>
      </w:r>
    </w:p>
    <w:p w14:paraId="6E83466A"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eastAsia="es-ES"/>
        </w:rPr>
      </w:pPr>
    </w:p>
    <w:p w14:paraId="6E83466B"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222" w:firstLine="720"/>
        <w:rPr>
          <w:rFonts w:ascii="Times New Roman" w:eastAsia="Calibri" w:hAnsi="Times New Roman"/>
          <w:szCs w:val="22"/>
          <w:lang w:val="pt-BR"/>
        </w:rPr>
      </w:pPr>
      <w:r w:rsidRPr="00D65A20">
        <w:rPr>
          <w:rFonts w:ascii="Times New Roman" w:eastAsia="Calibri" w:hAnsi="Times New Roman"/>
          <w:szCs w:val="22"/>
          <w:lang w:val="pt-BR"/>
        </w:rPr>
        <w:t xml:space="preserve">Qualquer membro da CIRDN poderá, em circunstâncias especiais, designar outro funcionário de alto nível da entidade a que pertença para representá-lo nas reuniões de que não possa participar. </w:t>
      </w:r>
    </w:p>
    <w:p w14:paraId="6E83466C"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eastAsia="es-ES"/>
        </w:rPr>
      </w:pPr>
    </w:p>
    <w:p w14:paraId="6E83466D"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outlineLvl w:val="0"/>
        <w:rPr>
          <w:rFonts w:ascii="Times New Roman" w:eastAsia="Calibri" w:hAnsi="Times New Roman"/>
          <w:bCs/>
          <w:szCs w:val="22"/>
          <w:lang w:val="pt-BR" w:eastAsia="es-ES"/>
        </w:rPr>
      </w:pPr>
      <w:bookmarkStart w:id="102" w:name="_Toc56522556"/>
      <w:bookmarkStart w:id="103" w:name="_Toc56526485"/>
      <w:bookmarkStart w:id="104" w:name="_Toc56526695"/>
      <w:r w:rsidRPr="00D65A20">
        <w:rPr>
          <w:rFonts w:ascii="Times New Roman" w:eastAsia="Calibri" w:hAnsi="Times New Roman"/>
          <w:bCs/>
          <w:szCs w:val="22"/>
          <w:lang w:val="pt-BR" w:eastAsia="es-ES"/>
        </w:rPr>
        <w:t>Artigo 10</w:t>
      </w:r>
      <w:bookmarkEnd w:id="102"/>
      <w:bookmarkEnd w:id="103"/>
      <w:bookmarkEnd w:id="104"/>
    </w:p>
    <w:p w14:paraId="6E83466E"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66F"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222" w:firstLine="720"/>
        <w:rPr>
          <w:rFonts w:ascii="Times New Roman" w:eastAsia="Calibri" w:hAnsi="Times New Roman"/>
          <w:szCs w:val="22"/>
          <w:lang w:val="pt-BR"/>
        </w:rPr>
      </w:pPr>
      <w:r w:rsidRPr="00D65A20">
        <w:rPr>
          <w:rFonts w:ascii="Times New Roman" w:eastAsia="Calibri" w:hAnsi="Times New Roman"/>
          <w:szCs w:val="22"/>
          <w:lang w:val="pt-BR"/>
        </w:rPr>
        <w:t xml:space="preserve">Cada membro da CIRDN terá direito a um voto. A Comissão fará todo o possível para que as decisões e recomendações sejam aprovadas por consenso. Se não for possível aprovar as decisões e recomendações por consenso, a Comissão as aprovará pelo voto da maioria dos membros. </w:t>
      </w:r>
    </w:p>
    <w:p w14:paraId="6E834670"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671"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outlineLvl w:val="0"/>
        <w:rPr>
          <w:rFonts w:ascii="Times New Roman" w:eastAsia="Calibri" w:hAnsi="Times New Roman"/>
          <w:bCs/>
          <w:szCs w:val="22"/>
          <w:lang w:val="pt-BR" w:eastAsia="es-ES"/>
        </w:rPr>
      </w:pPr>
      <w:bookmarkStart w:id="105" w:name="_Toc56522557"/>
      <w:bookmarkStart w:id="106" w:name="_Toc56526486"/>
      <w:bookmarkStart w:id="107" w:name="_Toc56526696"/>
      <w:r w:rsidRPr="00D65A20">
        <w:rPr>
          <w:rFonts w:ascii="Times New Roman" w:eastAsia="Calibri" w:hAnsi="Times New Roman"/>
          <w:bCs/>
          <w:szCs w:val="22"/>
          <w:lang w:val="pt-BR" w:eastAsia="es-ES"/>
        </w:rPr>
        <w:t>Artigo 11</w:t>
      </w:r>
      <w:bookmarkEnd w:id="105"/>
      <w:bookmarkEnd w:id="106"/>
      <w:bookmarkEnd w:id="107"/>
    </w:p>
    <w:p w14:paraId="6E834672"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673"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222" w:firstLine="720"/>
        <w:rPr>
          <w:rFonts w:ascii="Times New Roman" w:eastAsia="Calibri" w:hAnsi="Times New Roman"/>
          <w:b/>
          <w:szCs w:val="22"/>
          <w:lang w:val="pt-BR"/>
        </w:rPr>
      </w:pPr>
      <w:r w:rsidRPr="00D65A20">
        <w:rPr>
          <w:rFonts w:ascii="Times New Roman" w:eastAsia="Calibri" w:hAnsi="Times New Roman"/>
          <w:szCs w:val="22"/>
          <w:lang w:val="pt-BR"/>
        </w:rPr>
        <w:t>A CIRDN reunir-se-á na sede da Secretaria-Geral da OEA, exceto quando se decida por uma sede ou formato alternativo para suas reuniões, que podem ser virtuais.</w:t>
      </w:r>
    </w:p>
    <w:p w14:paraId="6E834674"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bCs/>
          <w:szCs w:val="22"/>
          <w:lang w:val="pt-BR"/>
        </w:rPr>
      </w:pPr>
    </w:p>
    <w:p w14:paraId="6E834675"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676"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pt-BR"/>
        </w:rPr>
      </w:pPr>
      <w:r w:rsidRPr="00D65A20">
        <w:rPr>
          <w:rFonts w:ascii="Times New Roman" w:eastAsia="Calibri" w:hAnsi="Times New Roman"/>
          <w:szCs w:val="22"/>
          <w:lang w:val="pt-BR"/>
        </w:rPr>
        <w:br w:type="page"/>
      </w:r>
    </w:p>
    <w:p w14:paraId="6E834677"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130"/>
        <w:jc w:val="center"/>
        <w:rPr>
          <w:rFonts w:ascii="Times New Roman" w:eastAsia="Calibri" w:hAnsi="Times New Roman"/>
          <w:szCs w:val="22"/>
          <w:lang w:val="pt-BR"/>
        </w:rPr>
      </w:pPr>
      <w:r w:rsidRPr="00D65A20">
        <w:rPr>
          <w:rFonts w:ascii="Times New Roman" w:eastAsia="Calibri" w:hAnsi="Times New Roman"/>
          <w:szCs w:val="22"/>
          <w:lang w:val="pt-BR"/>
        </w:rPr>
        <w:lastRenderedPageBreak/>
        <w:t>CAPÍTULO IV</w:t>
      </w:r>
    </w:p>
    <w:p w14:paraId="6E834678"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130"/>
        <w:jc w:val="center"/>
        <w:rPr>
          <w:rFonts w:ascii="Times New Roman" w:eastAsia="Calibri" w:hAnsi="Times New Roman"/>
          <w:szCs w:val="22"/>
          <w:lang w:val="pt-BR"/>
        </w:rPr>
      </w:pPr>
      <w:r w:rsidRPr="00D65A20">
        <w:rPr>
          <w:rFonts w:ascii="Times New Roman" w:eastAsia="Calibri" w:hAnsi="Times New Roman"/>
          <w:szCs w:val="22"/>
          <w:lang w:val="pt-BR"/>
        </w:rPr>
        <w:t>SERVIÇOS DE SECRETARIA</w:t>
      </w:r>
    </w:p>
    <w:p w14:paraId="6E834679"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67A"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outlineLvl w:val="0"/>
        <w:rPr>
          <w:rFonts w:ascii="Times New Roman" w:eastAsia="Calibri" w:hAnsi="Times New Roman"/>
          <w:bCs/>
          <w:szCs w:val="22"/>
          <w:lang w:val="pt-BR" w:eastAsia="es-ES"/>
        </w:rPr>
      </w:pPr>
      <w:bookmarkStart w:id="108" w:name="_Toc56522558"/>
      <w:bookmarkStart w:id="109" w:name="_Toc56526487"/>
      <w:bookmarkStart w:id="110" w:name="_Toc56526697"/>
      <w:r w:rsidRPr="00D65A20">
        <w:rPr>
          <w:rFonts w:ascii="Times New Roman" w:eastAsia="Calibri" w:hAnsi="Times New Roman"/>
          <w:bCs/>
          <w:szCs w:val="22"/>
          <w:lang w:val="pt-BR" w:eastAsia="es-ES"/>
        </w:rPr>
        <w:t>Artigo 12</w:t>
      </w:r>
      <w:bookmarkEnd w:id="108"/>
      <w:bookmarkEnd w:id="109"/>
      <w:bookmarkEnd w:id="110"/>
      <w:r w:rsidRPr="00D65A20">
        <w:rPr>
          <w:rFonts w:ascii="Times New Roman" w:eastAsia="Calibri" w:hAnsi="Times New Roman"/>
          <w:bCs/>
          <w:szCs w:val="22"/>
          <w:lang w:val="pt-BR" w:eastAsia="es-ES"/>
        </w:rPr>
        <w:t xml:space="preserve"> </w:t>
      </w:r>
    </w:p>
    <w:p w14:paraId="6E83467B"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67C"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222" w:firstLine="720"/>
        <w:rPr>
          <w:rFonts w:ascii="Times New Roman" w:eastAsia="Calibri" w:hAnsi="Times New Roman"/>
          <w:szCs w:val="22"/>
          <w:lang w:val="pt-BR"/>
        </w:rPr>
      </w:pPr>
      <w:r w:rsidRPr="00D65A20">
        <w:rPr>
          <w:rFonts w:ascii="Times New Roman" w:eastAsia="Calibri" w:hAnsi="Times New Roman"/>
          <w:szCs w:val="22"/>
          <w:lang w:val="pt-BR"/>
        </w:rPr>
        <w:t xml:space="preserve">A Secretaria-Geral da OEA prestará serviços de secretaria à CIRDN, de acordo com os recursos alocados no orçamento-programa do Fundo Ordinário da Organização e outros recursos. </w:t>
      </w:r>
    </w:p>
    <w:p w14:paraId="6E83467D"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67E"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pt-BR"/>
        </w:rPr>
      </w:pPr>
    </w:p>
    <w:p w14:paraId="6E83467F"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130"/>
        <w:jc w:val="center"/>
        <w:rPr>
          <w:rFonts w:ascii="Times New Roman" w:eastAsia="Calibri" w:hAnsi="Times New Roman"/>
          <w:szCs w:val="22"/>
          <w:lang w:val="pt-BR"/>
        </w:rPr>
      </w:pPr>
      <w:r w:rsidRPr="00D65A20">
        <w:rPr>
          <w:rFonts w:ascii="Times New Roman" w:eastAsia="Calibri" w:hAnsi="Times New Roman"/>
          <w:szCs w:val="22"/>
          <w:lang w:val="pt-BR"/>
        </w:rPr>
        <w:t>CAPÍTULO V</w:t>
      </w:r>
    </w:p>
    <w:p w14:paraId="6E834680"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130"/>
        <w:jc w:val="center"/>
        <w:rPr>
          <w:rFonts w:ascii="Times New Roman" w:eastAsia="Calibri" w:hAnsi="Times New Roman"/>
          <w:szCs w:val="22"/>
          <w:lang w:val="pt-BR"/>
        </w:rPr>
      </w:pPr>
      <w:r w:rsidRPr="00D65A20">
        <w:rPr>
          <w:rFonts w:ascii="Times New Roman" w:eastAsia="Calibri" w:hAnsi="Times New Roman"/>
          <w:szCs w:val="22"/>
          <w:lang w:val="pt-BR"/>
        </w:rPr>
        <w:t>APOIO FINANCEIRO</w:t>
      </w:r>
    </w:p>
    <w:p w14:paraId="6E834681"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682"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outlineLvl w:val="0"/>
        <w:rPr>
          <w:rFonts w:ascii="Times New Roman" w:eastAsia="Calibri" w:hAnsi="Times New Roman"/>
          <w:bCs/>
          <w:szCs w:val="22"/>
          <w:lang w:val="pt-BR" w:eastAsia="es-ES"/>
        </w:rPr>
      </w:pPr>
      <w:bookmarkStart w:id="111" w:name="_Toc56522559"/>
      <w:bookmarkStart w:id="112" w:name="_Toc56526488"/>
      <w:bookmarkStart w:id="113" w:name="_Toc56526698"/>
      <w:r w:rsidRPr="00D65A20">
        <w:rPr>
          <w:rFonts w:ascii="Times New Roman" w:eastAsia="Calibri" w:hAnsi="Times New Roman"/>
          <w:bCs/>
          <w:szCs w:val="22"/>
          <w:lang w:val="pt-BR" w:eastAsia="es-ES"/>
        </w:rPr>
        <w:t>Artigo 13</w:t>
      </w:r>
      <w:bookmarkEnd w:id="111"/>
      <w:bookmarkEnd w:id="112"/>
      <w:bookmarkEnd w:id="113"/>
      <w:r w:rsidRPr="00D65A20">
        <w:rPr>
          <w:rFonts w:ascii="Times New Roman" w:eastAsia="Calibri" w:hAnsi="Times New Roman"/>
          <w:bCs/>
          <w:szCs w:val="22"/>
          <w:lang w:val="pt-BR" w:eastAsia="es-ES"/>
        </w:rPr>
        <w:t xml:space="preserve"> </w:t>
      </w:r>
    </w:p>
    <w:p w14:paraId="6E834683"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684" w14:textId="6DC7C204"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222" w:firstLine="720"/>
        <w:rPr>
          <w:rFonts w:ascii="Times New Roman" w:eastAsia="Calibri" w:hAnsi="Times New Roman"/>
          <w:szCs w:val="22"/>
          <w:lang w:val="pt-BR"/>
        </w:rPr>
      </w:pPr>
      <w:r w:rsidRPr="00D65A20">
        <w:rPr>
          <w:rFonts w:ascii="Times New Roman" w:eastAsia="Calibri" w:hAnsi="Times New Roman"/>
          <w:szCs w:val="22"/>
          <w:lang w:val="pt-BR"/>
        </w:rPr>
        <w:t>A CIRDN, por intermédio do Secretário-Geral, e sem prejuízo da competência individual de seus membros, solicitará contribuições voluntárias dos Estados membros e dos Observadores Permanentes da Organização e de outros Estados membros das Nações Unidas, bem como de indivíduos, ou de instituições públicas ou privadas, sejam nacionais ou internacionais, e/ou procurará estabelecer os fundos específicos e fiduciários necessários, de acordo com as Normas Gerais para o Funcionamento da Secretaria-Geral da Organização para assistir os Estados membros</w:t>
      </w:r>
      <w:r w:rsidR="00791299" w:rsidRPr="00D65A20">
        <w:rPr>
          <w:rFonts w:ascii="Times New Roman" w:eastAsia="Calibri" w:hAnsi="Times New Roman"/>
          <w:szCs w:val="22"/>
          <w:lang w:val="pt-BR"/>
        </w:rPr>
        <w:t xml:space="preserve"> </w:t>
      </w:r>
      <w:r w:rsidRPr="00D65A20">
        <w:rPr>
          <w:rFonts w:ascii="Times New Roman" w:eastAsia="Calibri" w:hAnsi="Times New Roman"/>
          <w:szCs w:val="22"/>
          <w:lang w:val="pt-BR"/>
        </w:rPr>
        <w:t>da OEA, em conformidade com o artigo 2</w:t>
      </w:r>
      <w:r w:rsidRPr="00D65A20">
        <w:rPr>
          <w:rFonts w:ascii="Times New Roman" w:eastAsia="Calibri" w:hAnsi="Times New Roman"/>
          <w:szCs w:val="22"/>
          <w:vertAlign w:val="superscript"/>
          <w:lang w:val="pt-BR"/>
        </w:rPr>
        <w:t>o</w:t>
      </w:r>
      <w:r w:rsidRPr="00D65A20">
        <w:rPr>
          <w:rFonts w:ascii="Times New Roman" w:eastAsia="Calibri" w:hAnsi="Times New Roman"/>
          <w:szCs w:val="22"/>
          <w:lang w:val="pt-BR"/>
        </w:rPr>
        <w:t>.</w:t>
      </w:r>
    </w:p>
    <w:p w14:paraId="6E834685" w14:textId="77777777" w:rsidR="00A925FD" w:rsidRPr="00D65A20" w:rsidRDefault="00A925FD" w:rsidP="00B65BC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222"/>
        <w:rPr>
          <w:rFonts w:ascii="Times New Roman" w:eastAsia="Calibri" w:hAnsi="Times New Roman"/>
          <w:szCs w:val="22"/>
          <w:lang w:val="pt-BR"/>
        </w:rPr>
      </w:pPr>
    </w:p>
    <w:p w14:paraId="6E834686"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b/>
          <w:szCs w:val="22"/>
          <w:lang w:val="pt-BR"/>
        </w:rPr>
      </w:pPr>
      <w:r w:rsidRPr="00D65A20">
        <w:rPr>
          <w:rFonts w:ascii="Times New Roman" w:eastAsia="Calibri" w:hAnsi="Times New Roman"/>
          <w:szCs w:val="22"/>
          <w:lang w:val="pt-BR"/>
        </w:rPr>
        <w:t xml:space="preserve">À parte as contribuições financeiras que se obtenham em conformidade com o parágrafo anterior, para efeitos da assistência para emergências prevista no artigo V do Estatuto do FONDEM, serão disponibilizados recursos financeiros no âmbito do artigo IV, </w:t>
      </w:r>
      <w:r w:rsidRPr="00D65A20">
        <w:rPr>
          <w:rFonts w:ascii="Times New Roman" w:eastAsia="Calibri" w:hAnsi="Times New Roman"/>
          <w:szCs w:val="22"/>
          <w:u w:val="single"/>
          <w:lang w:val="pt-BR"/>
        </w:rPr>
        <w:t>b</w:t>
      </w:r>
      <w:r w:rsidRPr="00D65A20">
        <w:rPr>
          <w:rFonts w:ascii="Times New Roman" w:eastAsia="Calibri" w:hAnsi="Times New Roman"/>
          <w:szCs w:val="22"/>
          <w:lang w:val="pt-BR"/>
        </w:rPr>
        <w:t xml:space="preserve">, do Estatuto do FONDEM para esses efeitos. </w:t>
      </w:r>
    </w:p>
    <w:p w14:paraId="6E834687"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222"/>
        <w:rPr>
          <w:rFonts w:ascii="Times New Roman" w:eastAsia="Calibri" w:hAnsi="Times New Roman"/>
          <w:szCs w:val="22"/>
          <w:lang w:val="pt-BR"/>
        </w:rPr>
      </w:pPr>
    </w:p>
    <w:p w14:paraId="6E834688"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689"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131"/>
        <w:jc w:val="center"/>
        <w:rPr>
          <w:rFonts w:ascii="Times New Roman" w:eastAsia="Calibri" w:hAnsi="Times New Roman"/>
          <w:szCs w:val="22"/>
          <w:lang w:val="pt-BR"/>
        </w:rPr>
      </w:pPr>
      <w:r w:rsidRPr="00D65A20">
        <w:rPr>
          <w:rFonts w:ascii="Times New Roman" w:eastAsia="Calibri" w:hAnsi="Times New Roman"/>
          <w:szCs w:val="22"/>
          <w:lang w:val="pt-BR"/>
        </w:rPr>
        <w:t>CAPÍTULO V</w:t>
      </w:r>
    </w:p>
    <w:p w14:paraId="6E83468A"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131"/>
        <w:jc w:val="center"/>
        <w:rPr>
          <w:rFonts w:ascii="Times New Roman" w:eastAsia="Calibri" w:hAnsi="Times New Roman"/>
          <w:szCs w:val="22"/>
          <w:lang w:val="pt-BR"/>
        </w:rPr>
      </w:pPr>
      <w:r w:rsidRPr="00D65A20">
        <w:rPr>
          <w:rFonts w:ascii="Times New Roman" w:eastAsia="Calibri" w:hAnsi="Times New Roman"/>
          <w:szCs w:val="22"/>
          <w:lang w:val="pt-BR"/>
        </w:rPr>
        <w:t>EMENDAS E ENTRADA EM VIGOR</w:t>
      </w:r>
    </w:p>
    <w:p w14:paraId="6E83468B"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68C"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outlineLvl w:val="0"/>
        <w:rPr>
          <w:rFonts w:ascii="Times New Roman" w:eastAsia="Calibri" w:hAnsi="Times New Roman"/>
          <w:bCs/>
          <w:szCs w:val="22"/>
          <w:lang w:val="pt-BR" w:eastAsia="es-ES"/>
        </w:rPr>
      </w:pPr>
      <w:bookmarkStart w:id="114" w:name="_Toc56522560"/>
      <w:bookmarkStart w:id="115" w:name="_Toc56526489"/>
      <w:bookmarkStart w:id="116" w:name="_Toc56526699"/>
      <w:r w:rsidRPr="00D65A20">
        <w:rPr>
          <w:rFonts w:ascii="Times New Roman" w:eastAsia="Calibri" w:hAnsi="Times New Roman"/>
          <w:bCs/>
          <w:szCs w:val="22"/>
          <w:lang w:val="pt-BR" w:eastAsia="es-ES"/>
        </w:rPr>
        <w:t>Artigo 14</w:t>
      </w:r>
      <w:bookmarkEnd w:id="114"/>
      <w:bookmarkEnd w:id="115"/>
      <w:bookmarkEnd w:id="116"/>
      <w:r w:rsidRPr="00D65A20">
        <w:rPr>
          <w:rFonts w:ascii="Times New Roman" w:eastAsia="Calibri" w:hAnsi="Times New Roman"/>
          <w:bCs/>
          <w:szCs w:val="22"/>
          <w:lang w:val="pt-BR" w:eastAsia="es-ES"/>
        </w:rPr>
        <w:t xml:space="preserve"> </w:t>
      </w:r>
    </w:p>
    <w:p w14:paraId="6E83468D"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68E"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222" w:firstLine="720"/>
        <w:rPr>
          <w:rFonts w:ascii="Times New Roman" w:eastAsia="Calibri" w:hAnsi="Times New Roman"/>
          <w:szCs w:val="22"/>
          <w:lang w:val="pt-BR"/>
        </w:rPr>
      </w:pPr>
      <w:r w:rsidRPr="00D65A20">
        <w:rPr>
          <w:rFonts w:ascii="Times New Roman" w:eastAsia="Calibri" w:hAnsi="Times New Roman"/>
          <w:szCs w:val="22"/>
          <w:lang w:val="pt-BR"/>
        </w:rPr>
        <w:t>Este Estatuto poderá ser modificado pela Assembleia Geral por sua própria iniciativa ou a pedido da CIRDN.</w:t>
      </w:r>
    </w:p>
    <w:p w14:paraId="6E83468F"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690"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outlineLvl w:val="0"/>
        <w:rPr>
          <w:rFonts w:ascii="Times New Roman" w:eastAsia="Calibri" w:hAnsi="Times New Roman"/>
          <w:bCs/>
          <w:szCs w:val="22"/>
          <w:lang w:val="pt-BR" w:eastAsia="es-ES"/>
        </w:rPr>
      </w:pPr>
      <w:bookmarkStart w:id="117" w:name="_Toc56522561"/>
      <w:bookmarkStart w:id="118" w:name="_Toc56526490"/>
      <w:bookmarkStart w:id="119" w:name="_Toc56526700"/>
      <w:r w:rsidRPr="00D65A20">
        <w:rPr>
          <w:rFonts w:ascii="Times New Roman" w:eastAsia="Calibri" w:hAnsi="Times New Roman"/>
          <w:bCs/>
          <w:szCs w:val="22"/>
          <w:lang w:val="pt-BR" w:eastAsia="es-ES"/>
        </w:rPr>
        <w:t>Artigo 15</w:t>
      </w:r>
      <w:bookmarkEnd w:id="117"/>
      <w:bookmarkEnd w:id="118"/>
      <w:bookmarkEnd w:id="119"/>
    </w:p>
    <w:p w14:paraId="6E834691"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692"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222" w:firstLine="720"/>
        <w:rPr>
          <w:rFonts w:ascii="Times New Roman" w:eastAsia="Calibri" w:hAnsi="Times New Roman"/>
          <w:szCs w:val="22"/>
          <w:lang w:val="pt-BR"/>
        </w:rPr>
      </w:pPr>
      <w:r w:rsidRPr="00D65A20">
        <w:rPr>
          <w:rFonts w:ascii="Times New Roman" w:eastAsia="Calibri" w:hAnsi="Times New Roman"/>
          <w:szCs w:val="22"/>
          <w:lang w:val="pt-BR"/>
        </w:rPr>
        <w:t>Este Estatuto entrará em vigor na data da sua aprovação pela Assembleia Geral da OEA.</w:t>
      </w:r>
      <w:r w:rsidRPr="00D65A20">
        <w:rPr>
          <w:rFonts w:ascii="Times New Roman" w:eastAsia="Calibri" w:hAnsi="Times New Roman"/>
          <w:b/>
          <w:szCs w:val="22"/>
          <w:lang w:val="pt-BR"/>
        </w:rPr>
        <w:t xml:space="preserve"> </w:t>
      </w:r>
    </w:p>
    <w:p w14:paraId="6E834693"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94"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r w:rsidRPr="00D65A20">
        <w:rPr>
          <w:rFonts w:ascii="Times New Roman" w:eastAsia="Calibri" w:hAnsi="Times New Roman"/>
          <w:szCs w:val="22"/>
          <w:lang w:val="pt-BR"/>
        </w:rPr>
        <w:br w:type="page"/>
      </w:r>
    </w:p>
    <w:p w14:paraId="6E834695"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lang w:val="pt-BR"/>
        </w:rPr>
      </w:pPr>
      <w:r w:rsidRPr="00D65A20">
        <w:rPr>
          <w:rFonts w:ascii="Times New Roman" w:eastAsia="Calibri" w:hAnsi="Times New Roman"/>
          <w:szCs w:val="22"/>
          <w:lang w:val="pt-BR"/>
        </w:rPr>
        <w:lastRenderedPageBreak/>
        <w:t>NOTAS DE RODAPÉ</w:t>
      </w:r>
    </w:p>
    <w:p w14:paraId="6E834696"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97"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20"/>
          <w:lang w:val="pt-BR"/>
        </w:rPr>
      </w:pPr>
    </w:p>
    <w:p w14:paraId="6E834698" w14:textId="77777777" w:rsidR="00BC54FC" w:rsidRPr="00D65A20" w:rsidRDefault="00A925FD" w:rsidP="00BC54FC">
      <w:pPr>
        <w:widowControl/>
        <w:ind w:firstLine="720"/>
        <w:rPr>
          <w:rFonts w:ascii="Times New Roman" w:hAnsi="Times New Roman"/>
          <w:sz w:val="20"/>
          <w:lang w:val="pt-BR"/>
        </w:rPr>
      </w:pPr>
      <w:r w:rsidRPr="00D65A20">
        <w:rPr>
          <w:rFonts w:ascii="Times New Roman" w:hAnsi="Times New Roman"/>
          <w:sz w:val="20"/>
          <w:lang w:val="pt-BR"/>
        </w:rPr>
        <w:t>1.</w:t>
      </w:r>
      <w:r w:rsidRPr="00D65A20">
        <w:rPr>
          <w:rFonts w:ascii="Times New Roman" w:hAnsi="Times New Roman"/>
          <w:sz w:val="20"/>
          <w:lang w:val="pt-BR"/>
        </w:rPr>
        <w:tab/>
        <w:t>(...)</w:t>
      </w:r>
      <w:r w:rsidR="00BC54FC" w:rsidRPr="00D65A20">
        <w:rPr>
          <w:rFonts w:ascii="Times New Roman" w:hAnsi="Times New Roman"/>
          <w:sz w:val="20"/>
          <w:lang w:val="pt-BR"/>
        </w:rPr>
        <w:t xml:space="preserve">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6E834699" w14:textId="77777777" w:rsidR="00BC54FC" w:rsidRPr="00D65A20" w:rsidRDefault="00BC54FC" w:rsidP="00BC54FC">
      <w:pPr>
        <w:widowControl/>
        <w:rPr>
          <w:rFonts w:ascii="Times New Roman" w:hAnsi="Times New Roman"/>
          <w:sz w:val="20"/>
          <w:lang w:val="pt-BR"/>
        </w:rPr>
      </w:pPr>
    </w:p>
    <w:p w14:paraId="6E83469A" w14:textId="77777777" w:rsidR="00BC54FC" w:rsidRPr="00D65A20" w:rsidRDefault="00BC54FC" w:rsidP="00BC54FC">
      <w:pPr>
        <w:widowControl/>
        <w:ind w:firstLine="720"/>
        <w:rPr>
          <w:rFonts w:ascii="Times New Roman" w:hAnsi="Times New Roman"/>
          <w:sz w:val="20"/>
          <w:lang w:val="pt-BR"/>
        </w:rPr>
      </w:pPr>
      <w:r w:rsidRPr="00D65A20">
        <w:rPr>
          <w:rFonts w:ascii="Times New Roman" w:hAnsi="Times New Roman"/>
          <w:sz w:val="20"/>
          <w:lang w:val="pt-BR"/>
        </w:rPr>
        <w:t xml:space="preserve">Antígua e Barbuda não apoiou a resolução CP/RES. 1124 (2217/19), de 9 de abril de 2019, cuja intenção era nomear o Senhor Gustavo Tarre como Representante da Assembleia Nacional junto à OEA, e não aceitou as credenciais das autoridades que pretendiam representar a República Bolivariana da Venezuela no Quadragésimo Nono e no Quinquagésimo Períodos Ordinários de Sessões da Assembleia Geral. </w:t>
      </w:r>
    </w:p>
    <w:p w14:paraId="6E83469B" w14:textId="77777777" w:rsidR="00BC54FC" w:rsidRPr="00D65A20" w:rsidRDefault="00BC54FC" w:rsidP="00BC54FC">
      <w:pPr>
        <w:widowControl/>
        <w:rPr>
          <w:rFonts w:ascii="Times New Roman" w:hAnsi="Times New Roman"/>
          <w:sz w:val="20"/>
          <w:lang w:val="pt-BR"/>
        </w:rPr>
      </w:pPr>
    </w:p>
    <w:p w14:paraId="6E8346A0" w14:textId="63B1C99B" w:rsidR="00A925FD" w:rsidRPr="00D65A20" w:rsidRDefault="00BC54FC" w:rsidP="00BC54FC">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pt-BR"/>
        </w:rPr>
      </w:pPr>
      <w:r w:rsidRPr="00D65A20">
        <w:rPr>
          <w:rFonts w:ascii="Times New Roman" w:hAnsi="Times New Roman"/>
          <w:sz w:val="20"/>
          <w:lang w:val="pt-BR"/>
        </w:rPr>
        <w:t>Desse modo, Antígua e Barbuda informa a todos os Estados membros e à Secretaria-Geral da Organização dos Estados Americanos que, até novo aviso, assim como fez no Quadragésimo Nono Período Ordinário de Sessões da Assembleia Geral, não se considerará vinculado a nenhuma declaração ou resolução emanada do Quinquagésimo Período Ordinário de Sessões da Assembleia Geral, nem a quaisquer futuras declarações ou resoluções de qualquer Conselho ou órgão da Organização que incluam a participação de qualquer pessoa ou entidade pretensamente falando pela República Bolivariana da Venezuela ou agindo em seu nome, e nas quais se alcancem 18 votos com a participação de um pretenso representante da República Bolivariana da Venezuela</w:t>
      </w:r>
      <w:r w:rsidR="00A925FD" w:rsidRPr="00D65A20">
        <w:rPr>
          <w:rFonts w:ascii="Times New Roman" w:hAnsi="Times New Roman"/>
          <w:sz w:val="20"/>
          <w:lang w:val="pt-BR"/>
        </w:rPr>
        <w:t>.</w:t>
      </w:r>
    </w:p>
    <w:p w14:paraId="6E8346A1"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20"/>
          <w:lang w:val="pt-BR"/>
        </w:rPr>
      </w:pPr>
    </w:p>
    <w:p w14:paraId="6E8346A2" w14:textId="1DA55874" w:rsidR="00440A50" w:rsidRPr="00D65A20" w:rsidRDefault="00440A50" w:rsidP="00440A50">
      <w:pPr>
        <w:rPr>
          <w:rStyle w:val="FootnoteReference"/>
          <w:rFonts w:ascii="Times New Roman" w:hAnsi="Times New Roman"/>
          <w:sz w:val="20"/>
          <w:lang w:val="pt-BR"/>
        </w:rPr>
      </w:pPr>
      <w:r w:rsidRPr="00D65A20">
        <w:rPr>
          <w:rFonts w:ascii="Times New Roman" w:hAnsi="Times New Roman"/>
          <w:sz w:val="20"/>
          <w:lang w:val="pt-BR"/>
        </w:rPr>
        <w:tab/>
        <w:t xml:space="preserve">2. </w:t>
      </w:r>
      <w:r w:rsidR="00B65BC5">
        <w:rPr>
          <w:rFonts w:ascii="Times New Roman" w:hAnsi="Times New Roman"/>
          <w:sz w:val="20"/>
          <w:lang w:val="pt-BR"/>
        </w:rPr>
        <w:tab/>
      </w:r>
      <w:r w:rsidRPr="00D65A20">
        <w:rPr>
          <w:rFonts w:ascii="Times New Roman" w:hAnsi="Times New Roman"/>
          <w:sz w:val="20"/>
          <w:lang w:val="pt-BR"/>
        </w:rPr>
        <w:t>(...) Quinquagésimo Período Ordinário de Sessões da Assembleia Geral.</w:t>
      </w:r>
    </w:p>
    <w:p w14:paraId="6E8346A3" w14:textId="77777777" w:rsidR="00440A50" w:rsidRPr="00D65A20" w:rsidRDefault="00440A50"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20"/>
          <w:lang w:val="pt-BR"/>
        </w:rPr>
      </w:pPr>
    </w:p>
    <w:p w14:paraId="6E8346A4" w14:textId="5388BCCD" w:rsidR="00A925FD" w:rsidRPr="00D65A20" w:rsidRDefault="00440A50"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lang w:val="pt-BR"/>
        </w:rPr>
      </w:pPr>
      <w:r w:rsidRPr="00D65A20">
        <w:rPr>
          <w:rFonts w:ascii="Times New Roman" w:eastAsia="Calibri" w:hAnsi="Times New Roman"/>
          <w:sz w:val="20"/>
          <w:lang w:val="pt-BR"/>
        </w:rPr>
        <w:t>3</w:t>
      </w:r>
      <w:r w:rsidR="00A925FD" w:rsidRPr="00D65A20">
        <w:rPr>
          <w:rFonts w:ascii="Times New Roman" w:eastAsia="Calibri" w:hAnsi="Times New Roman"/>
          <w:sz w:val="20"/>
          <w:lang w:val="pt-BR"/>
        </w:rPr>
        <w:t>.</w:t>
      </w:r>
      <w:r w:rsidR="00A925FD" w:rsidRPr="00D65A20">
        <w:rPr>
          <w:rFonts w:ascii="Times New Roman" w:eastAsia="Calibri" w:hAnsi="Times New Roman"/>
          <w:sz w:val="20"/>
          <w:lang w:val="pt-BR"/>
        </w:rPr>
        <w:tab/>
        <w:t>(...) apresentaram</w:t>
      </w:r>
      <w:r w:rsidR="00A925FD" w:rsidRPr="00D65A20">
        <w:rPr>
          <w:rFonts w:ascii="Times New Roman" w:eastAsia="Calibri" w:hAnsi="Times New Roman"/>
          <w:b/>
          <w:sz w:val="20"/>
          <w:lang w:val="pt-BR"/>
        </w:rPr>
        <w:t xml:space="preserve"> </w:t>
      </w:r>
      <w:r w:rsidR="00A925FD" w:rsidRPr="00D65A20">
        <w:rPr>
          <w:rFonts w:ascii="Times New Roman" w:eastAsia="Calibri" w:hAnsi="Times New Roman"/>
          <w:bCs/>
          <w:sz w:val="20"/>
          <w:shd w:val="clear" w:color="auto" w:fill="FFFFFF"/>
          <w:lang w:val="pt-BR"/>
        </w:rPr>
        <w:t>às</w:t>
      </w:r>
      <w:r w:rsidR="00A925FD" w:rsidRPr="00D65A20">
        <w:rPr>
          <w:rFonts w:ascii="Times New Roman" w:eastAsia="Calibri" w:hAnsi="Times New Roman"/>
          <w:b/>
          <w:bCs/>
          <w:sz w:val="20"/>
          <w:shd w:val="clear" w:color="auto" w:fill="FFFFFF"/>
          <w:lang w:val="pt-BR"/>
        </w:rPr>
        <w:t xml:space="preserve"> </w:t>
      </w:r>
      <w:r w:rsidR="00A925FD" w:rsidRPr="00D65A20">
        <w:rPr>
          <w:rFonts w:ascii="Times New Roman" w:eastAsia="Calibri" w:hAnsi="Times New Roman"/>
          <w:bCs/>
          <w:sz w:val="20"/>
          <w:shd w:val="clear" w:color="auto" w:fill="FFFFFF"/>
          <w:lang w:val="pt-BR"/>
        </w:rPr>
        <w:t>Nações Unidas a notificação oficial de sua retirada do Acordo de Paris. A retirada sur</w:t>
      </w:r>
      <w:r w:rsidR="00BC54FC" w:rsidRPr="00D65A20">
        <w:rPr>
          <w:rFonts w:ascii="Times New Roman" w:eastAsia="Calibri" w:hAnsi="Times New Roman"/>
          <w:bCs/>
          <w:sz w:val="20"/>
          <w:shd w:val="clear" w:color="auto" w:fill="FFFFFF"/>
          <w:lang w:val="pt-BR"/>
        </w:rPr>
        <w:t>t</w:t>
      </w:r>
      <w:r w:rsidR="00A925FD" w:rsidRPr="00D65A20">
        <w:rPr>
          <w:rFonts w:ascii="Times New Roman" w:eastAsia="Calibri" w:hAnsi="Times New Roman"/>
          <w:bCs/>
          <w:sz w:val="20"/>
          <w:shd w:val="clear" w:color="auto" w:fill="FFFFFF"/>
          <w:lang w:val="pt-BR"/>
        </w:rPr>
        <w:t>irá efeito um ano após a entrega da referida notificação.</w:t>
      </w:r>
    </w:p>
    <w:p w14:paraId="6E8346A5"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20"/>
          <w:lang w:val="pt-BR"/>
        </w:rPr>
      </w:pPr>
    </w:p>
    <w:p w14:paraId="6E8346A8" w14:textId="77777777" w:rsidR="00A925FD" w:rsidRPr="00D65A20" w:rsidRDefault="00A925FD" w:rsidP="00883231">
      <w:pPr>
        <w:widowControl/>
        <w:numPr>
          <w:ilvl w:val="0"/>
          <w:numId w:val="6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 w:val="20"/>
          <w:lang w:val="pt-BR"/>
        </w:rPr>
      </w:pPr>
      <w:r w:rsidRPr="00D65A20">
        <w:rPr>
          <w:rFonts w:ascii="Times New Roman" w:eastAsia="Calibri" w:hAnsi="Times New Roman"/>
          <w:color w:val="202124"/>
          <w:sz w:val="20"/>
          <w:lang w:val="pt-BR"/>
        </w:rPr>
        <w:t>(...) os Estados Unidos se opõem ao GCM e aos processos relacionados. Infelizmente, o Fórum Global sobre Migração e Desenvolvimento (GFMD) tem servido nos últimos anos como um veículo para promover os objetivos do GCM. Como resultado, os Estados Unidos em 2018 suspenderam sua participação e contribuições para o GFMD.</w:t>
      </w:r>
    </w:p>
    <w:p w14:paraId="6E8346A9"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sz w:val="20"/>
          <w:lang w:val="pt-BR"/>
        </w:rPr>
      </w:pPr>
    </w:p>
    <w:p w14:paraId="6E8346AA" w14:textId="5ADE391B" w:rsidR="00A925FD" w:rsidRPr="00D65A20" w:rsidRDefault="00440A50"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shd w:val="clear" w:color="auto" w:fill="FFFFFF"/>
          <w:lang w:val="pt-BR"/>
        </w:rPr>
      </w:pPr>
      <w:r w:rsidRPr="00D65A20">
        <w:rPr>
          <w:rFonts w:ascii="Times New Roman" w:eastAsia="Calibri" w:hAnsi="Times New Roman"/>
          <w:sz w:val="20"/>
          <w:shd w:val="clear" w:color="auto" w:fill="FFFFFF"/>
          <w:lang w:val="pt-BR"/>
        </w:rPr>
        <w:t>8</w:t>
      </w:r>
      <w:r w:rsidR="00A925FD" w:rsidRPr="00D65A20">
        <w:rPr>
          <w:rFonts w:ascii="Times New Roman" w:eastAsia="Calibri" w:hAnsi="Times New Roman"/>
          <w:sz w:val="20"/>
          <w:shd w:val="clear" w:color="auto" w:fill="FFFFFF"/>
          <w:lang w:val="pt-BR"/>
        </w:rPr>
        <w:t>.</w:t>
      </w:r>
      <w:r w:rsidR="00A925FD" w:rsidRPr="00D65A20">
        <w:rPr>
          <w:rFonts w:ascii="Times New Roman" w:eastAsia="Calibri" w:hAnsi="Times New Roman"/>
          <w:sz w:val="20"/>
          <w:shd w:val="clear" w:color="auto" w:fill="FFFFFF"/>
          <w:lang w:val="pt-BR"/>
        </w:rPr>
        <w:tab/>
        <w:t>(...) a Comissão Econômica para a América Latina e o Caribe (</w:t>
      </w:r>
      <w:bookmarkStart w:id="120" w:name="_Hlk74139590"/>
      <w:r w:rsidR="00ED0D8E">
        <w:fldChar w:fldCharType="begin"/>
      </w:r>
      <w:r w:rsidR="00ED0D8E" w:rsidRPr="008E5190">
        <w:rPr>
          <w:lang w:val="pt-BR"/>
        </w:rPr>
        <w:instrText xml:space="preserve"> HYPERLINK "https://gcc01.safelinks.protection.outlook.com/?url=http://www.eclac.org/default.asp?idioma=IN&amp;data=02|01|AynesJM@state.gov|740d4aa7f583474226b808d80b4efad8|66cf50745afe48d1a691a12b2121f44b|0|0|637271781131465578&amp;sdata=1Y22da1GPmvtOkRct91Wt853P3U4nVfGm64mRfElvOs=&amp;reserved=0" \t "_blank" </w:instrText>
      </w:r>
      <w:r w:rsidR="00ED0D8E">
        <w:fldChar w:fldCharType="separate"/>
      </w:r>
      <w:r w:rsidR="00A925FD" w:rsidRPr="00D65A20">
        <w:rPr>
          <w:rFonts w:ascii="Times New Roman" w:eastAsia="Calibri" w:hAnsi="Times New Roman"/>
          <w:color w:val="0000FF"/>
          <w:sz w:val="20"/>
          <w:u w:val="single"/>
          <w:shd w:val="clear" w:color="auto" w:fill="FFFFFF"/>
          <w:lang w:val="pt-BR"/>
        </w:rPr>
        <w:t>CEPAL</w:t>
      </w:r>
      <w:r w:rsidR="00ED0D8E">
        <w:rPr>
          <w:rFonts w:ascii="Times New Roman" w:eastAsia="Calibri" w:hAnsi="Times New Roman"/>
          <w:color w:val="0000FF"/>
          <w:sz w:val="20"/>
          <w:u w:val="single"/>
          <w:shd w:val="clear" w:color="auto" w:fill="FFFFFF"/>
          <w:lang w:val="pt-BR"/>
        </w:rPr>
        <w:fldChar w:fldCharType="end"/>
      </w:r>
      <w:bookmarkEnd w:id="120"/>
      <w:r w:rsidR="00A925FD" w:rsidRPr="00D65A20">
        <w:rPr>
          <w:rFonts w:ascii="Times New Roman" w:eastAsia="Calibri" w:hAnsi="Times New Roman"/>
          <w:sz w:val="20"/>
          <w:shd w:val="clear" w:color="auto" w:fill="FFFFFF"/>
          <w:lang w:val="pt-BR"/>
        </w:rPr>
        <w:t>), o Banco Interamericano de Desenvolvimento (</w:t>
      </w:r>
      <w:bookmarkStart w:id="121" w:name="_Hlk74139602"/>
      <w:r w:rsidR="00ED0D8E">
        <w:fldChar w:fldCharType="begin"/>
      </w:r>
      <w:r w:rsidR="00ED0D8E" w:rsidRPr="008E5190">
        <w:rPr>
          <w:lang w:val="pt-BR"/>
        </w:rPr>
        <w:instrText xml:space="preserve"> HYPERLINK "https://gcc01.safelinks.protection.outlook.com/?url=http://www.iadb.org/&amp;data=02|01|AynesJM@state.gov|740d4aa7f583474226b808d80b4efad8|66cf50745afe48d1a691a12b2121f44b|0|0|637271781131465578&amp;sdata=A+fUH5W3sFRG4LSXF9S6kDFpUWKPD2bvWrEyyqcehts=&amp;reserved=0" \t "_blank" </w:instrText>
      </w:r>
      <w:r w:rsidR="00ED0D8E">
        <w:fldChar w:fldCharType="separate"/>
      </w:r>
      <w:r w:rsidR="00A925FD" w:rsidRPr="00D65A20">
        <w:rPr>
          <w:rFonts w:ascii="Times New Roman" w:eastAsia="Calibri" w:hAnsi="Times New Roman"/>
          <w:color w:val="0000FF"/>
          <w:sz w:val="20"/>
          <w:u w:val="single"/>
          <w:shd w:val="clear" w:color="auto" w:fill="FFFFFF"/>
          <w:lang w:val="pt-BR"/>
        </w:rPr>
        <w:t>BID</w:t>
      </w:r>
      <w:r w:rsidR="00ED0D8E">
        <w:rPr>
          <w:rFonts w:ascii="Times New Roman" w:eastAsia="Calibri" w:hAnsi="Times New Roman"/>
          <w:color w:val="0000FF"/>
          <w:sz w:val="20"/>
          <w:u w:val="single"/>
          <w:shd w:val="clear" w:color="auto" w:fill="FFFFFF"/>
          <w:lang w:val="pt-BR"/>
        </w:rPr>
        <w:fldChar w:fldCharType="end"/>
      </w:r>
      <w:bookmarkEnd w:id="121"/>
      <w:r w:rsidR="00A925FD" w:rsidRPr="00D65A20">
        <w:rPr>
          <w:rFonts w:ascii="Times New Roman" w:eastAsia="Calibri" w:hAnsi="Times New Roman"/>
          <w:sz w:val="20"/>
          <w:shd w:val="clear" w:color="auto" w:fill="FFFFFF"/>
          <w:lang w:val="pt-BR"/>
        </w:rPr>
        <w:t>), a Corporação Andina de Fomento (</w:t>
      </w:r>
      <w:bookmarkStart w:id="122" w:name="_Hlk74139614"/>
      <w:r w:rsidR="00ED0D8E">
        <w:fldChar w:fldCharType="begin"/>
      </w:r>
      <w:r w:rsidR="00ED0D8E" w:rsidRPr="008E5190">
        <w:rPr>
          <w:lang w:val="pt-BR"/>
        </w:rPr>
        <w:instrText xml:space="preserve"> HYPERLINK "https://gcc01.safelinks.protection.outlook.com/?url=http://www.caf.com/view/index.asp?ms=17&amp;data=02|01|AynesJM@state.gov|740d4aa7f583474226b808d80b4efad8|66cf50745afe48d1a691a12b2121f44b|0|0|637271781131475534&amp;sdata=QWH6HCJwjoMYyCxRNYyErqyOKKAggXrPO3uUz4DlUrU=&amp;reserved=0" \t "_blank" </w:instrText>
      </w:r>
      <w:r w:rsidR="00ED0D8E">
        <w:fldChar w:fldCharType="separate"/>
      </w:r>
      <w:r w:rsidR="00A925FD" w:rsidRPr="00D65A20">
        <w:rPr>
          <w:rFonts w:ascii="Times New Roman" w:eastAsia="Calibri" w:hAnsi="Times New Roman"/>
          <w:color w:val="0000FF"/>
          <w:sz w:val="20"/>
          <w:u w:val="single"/>
          <w:shd w:val="clear" w:color="auto" w:fill="FFFFFF"/>
          <w:lang w:val="pt-BR"/>
        </w:rPr>
        <w:t>CAF</w:t>
      </w:r>
      <w:r w:rsidR="00ED0D8E">
        <w:rPr>
          <w:rFonts w:ascii="Times New Roman" w:eastAsia="Calibri" w:hAnsi="Times New Roman"/>
          <w:color w:val="0000FF"/>
          <w:sz w:val="20"/>
          <w:u w:val="single"/>
          <w:shd w:val="clear" w:color="auto" w:fill="FFFFFF"/>
          <w:lang w:val="pt-BR"/>
        </w:rPr>
        <w:fldChar w:fldCharType="end"/>
      </w:r>
      <w:bookmarkEnd w:id="122"/>
      <w:r w:rsidR="00A925FD" w:rsidRPr="00D65A20">
        <w:rPr>
          <w:rFonts w:ascii="Times New Roman" w:eastAsia="Calibri" w:hAnsi="Times New Roman"/>
          <w:sz w:val="20"/>
          <w:shd w:val="clear" w:color="auto" w:fill="FFFFFF"/>
          <w:lang w:val="pt-BR"/>
        </w:rPr>
        <w:t>), o Banco de Desenvolvimento do Caribe (</w:t>
      </w:r>
      <w:bookmarkStart w:id="123" w:name="_Hlk74139627"/>
      <w:r w:rsidR="00BC54FC" w:rsidRPr="00D65A20">
        <w:rPr>
          <w:rFonts w:ascii="Times New Roman" w:eastAsia="Calibri" w:hAnsi="Times New Roman"/>
          <w:color w:val="0000FF"/>
          <w:sz w:val="20"/>
          <w:u w:val="single"/>
          <w:shd w:val="clear" w:color="auto" w:fill="FFFFFF"/>
          <w:lang w:val="pt-BR"/>
        </w:rPr>
        <w:t>BDC</w:t>
      </w:r>
      <w:bookmarkEnd w:id="123"/>
      <w:r w:rsidR="00A925FD" w:rsidRPr="00D65A20">
        <w:rPr>
          <w:rFonts w:ascii="Times New Roman" w:eastAsia="Calibri" w:hAnsi="Times New Roman"/>
          <w:sz w:val="20"/>
          <w:shd w:val="clear" w:color="auto" w:fill="FFFFFF"/>
          <w:lang w:val="pt-BR"/>
        </w:rPr>
        <w:t>), o Banco Centro-Americano de Integração Econômica (</w:t>
      </w:r>
      <w:bookmarkStart w:id="124" w:name="_Hlk74139644"/>
      <w:r w:rsidR="00ED0D8E">
        <w:fldChar w:fldCharType="begin"/>
      </w:r>
      <w:r w:rsidR="00ED0D8E" w:rsidRPr="008E5190">
        <w:rPr>
          <w:lang w:val="pt-BR"/>
        </w:rPr>
        <w:instrText xml:space="preserve"> HYPERLINK "https://gcc01.safelinks.protection.outlook.com/?url=http://www.cabei.org/english/index.php&amp;data=02|01|AynesJM@state.gov|740d4aa7f583474226b808d80b4efad8|66cf50745afe48d1a691a12b2121f44b|0|0|637271781131485479&amp;sdata=4REgGBrp8A5+OPuNy10AOeV88V3MiUjZ9oM6CjUIiic=&amp;reserved=0" \t "_blank" </w:instrText>
      </w:r>
      <w:r w:rsidR="00ED0D8E">
        <w:fldChar w:fldCharType="separate"/>
      </w:r>
      <w:r w:rsidR="00BC54FC" w:rsidRPr="00D65A20">
        <w:rPr>
          <w:rFonts w:ascii="Times New Roman" w:eastAsia="Calibri" w:hAnsi="Times New Roman"/>
          <w:color w:val="0000FF"/>
          <w:sz w:val="20"/>
          <w:u w:val="single"/>
          <w:shd w:val="clear" w:color="auto" w:fill="FFFFFF"/>
          <w:lang w:val="pt-BR"/>
        </w:rPr>
        <w:t>BCIE</w:t>
      </w:r>
      <w:r w:rsidR="00ED0D8E">
        <w:rPr>
          <w:rFonts w:ascii="Times New Roman" w:eastAsia="Calibri" w:hAnsi="Times New Roman"/>
          <w:color w:val="0000FF"/>
          <w:sz w:val="20"/>
          <w:u w:val="single"/>
          <w:shd w:val="clear" w:color="auto" w:fill="FFFFFF"/>
          <w:lang w:val="pt-BR"/>
        </w:rPr>
        <w:fldChar w:fldCharType="end"/>
      </w:r>
      <w:bookmarkEnd w:id="124"/>
      <w:r w:rsidR="00A925FD" w:rsidRPr="00D65A20">
        <w:rPr>
          <w:rFonts w:ascii="Times New Roman" w:eastAsia="Calibri" w:hAnsi="Times New Roman"/>
          <w:sz w:val="20"/>
          <w:shd w:val="clear" w:color="auto" w:fill="FFFFFF"/>
          <w:lang w:val="pt-BR"/>
        </w:rPr>
        <w:t>), a Organização Internacional para as Migrações (</w:t>
      </w:r>
      <w:bookmarkStart w:id="125" w:name="_Hlk74139655"/>
      <w:r w:rsidR="00ED0D8E">
        <w:fldChar w:fldCharType="begin"/>
      </w:r>
      <w:r w:rsidR="00ED0D8E" w:rsidRPr="008E5190">
        <w:rPr>
          <w:lang w:val="pt-BR"/>
        </w:rPr>
        <w:instrText xml:space="preserve"> HYPERLINK "https://gcc01.safelinks.protection.outlook.com/?url=http://www.iom.int/jahia/jsp/index.jsp&amp;data=02|01|AynesJM@state.gov|740d4aa7f583474226b808d80b4efad8|66cf50745afe48d1a691a12b2121f44b|0|0|637271781131485479&amp;sdata=OkXyt4YEBCa+IDRMV7LDWmV2Jxx3nAB7B+a9ai26yMo=&amp;reserved=0" \t "_blank" </w:instrText>
      </w:r>
      <w:r w:rsidR="00ED0D8E">
        <w:fldChar w:fldCharType="separate"/>
      </w:r>
      <w:r w:rsidR="00A925FD" w:rsidRPr="00D65A20">
        <w:rPr>
          <w:rFonts w:ascii="Times New Roman" w:eastAsia="Calibri" w:hAnsi="Times New Roman"/>
          <w:color w:val="0000FF"/>
          <w:sz w:val="20"/>
          <w:u w:val="single"/>
          <w:shd w:val="clear" w:color="auto" w:fill="FFFFFF"/>
          <w:lang w:val="pt-BR"/>
        </w:rPr>
        <w:t>OIM</w:t>
      </w:r>
      <w:r w:rsidR="00ED0D8E">
        <w:rPr>
          <w:rFonts w:ascii="Times New Roman" w:eastAsia="Calibri" w:hAnsi="Times New Roman"/>
          <w:color w:val="0000FF"/>
          <w:sz w:val="20"/>
          <w:u w:val="single"/>
          <w:shd w:val="clear" w:color="auto" w:fill="FFFFFF"/>
          <w:lang w:val="pt-BR"/>
        </w:rPr>
        <w:fldChar w:fldCharType="end"/>
      </w:r>
      <w:bookmarkEnd w:id="125"/>
      <w:r w:rsidR="00A925FD" w:rsidRPr="00D65A20">
        <w:rPr>
          <w:rFonts w:ascii="Times New Roman" w:eastAsia="Calibri" w:hAnsi="Times New Roman"/>
          <w:sz w:val="20"/>
          <w:shd w:val="clear" w:color="auto" w:fill="FFFFFF"/>
          <w:lang w:val="pt-BR"/>
        </w:rPr>
        <w:t>), a Organização Internacional do Trabalho (</w:t>
      </w:r>
      <w:bookmarkStart w:id="126" w:name="_Hlk74139666"/>
      <w:r w:rsidR="00ED0D8E">
        <w:fldChar w:fldCharType="begin"/>
      </w:r>
      <w:r w:rsidR="00ED0D8E" w:rsidRPr="008E5190">
        <w:rPr>
          <w:lang w:val="pt-BR"/>
        </w:rPr>
        <w:instrText xml:space="preserve"> HYPERLINK "https://gcc01.safelinks.protection.outlook.com/?url=http://www.ilo.org/global/lang--en/index.htm&amp;data=02|01|AynesJM@state.gov|740d4aa7f583474226b808d80b4efad8|66cf50745afe48d1a691a12b2121f44b|0|0|637271781131485479&amp;sdata=lvXKTaxGUO5JphPniOyMhYVuIf+PwXp++w6fsFc5rQI=&amp;reserved=0" \t "_blank" </w:instrText>
      </w:r>
      <w:r w:rsidR="00ED0D8E">
        <w:fldChar w:fldCharType="separate"/>
      </w:r>
      <w:r w:rsidR="00A925FD" w:rsidRPr="00D65A20">
        <w:rPr>
          <w:rFonts w:ascii="Times New Roman" w:eastAsia="Calibri" w:hAnsi="Times New Roman"/>
          <w:color w:val="0000FF"/>
          <w:sz w:val="20"/>
          <w:u w:val="single"/>
          <w:shd w:val="clear" w:color="auto" w:fill="FFFFFF"/>
          <w:lang w:val="pt-BR"/>
        </w:rPr>
        <w:t>OIT</w:t>
      </w:r>
      <w:r w:rsidR="00ED0D8E">
        <w:rPr>
          <w:rFonts w:ascii="Times New Roman" w:eastAsia="Calibri" w:hAnsi="Times New Roman"/>
          <w:color w:val="0000FF"/>
          <w:sz w:val="20"/>
          <w:u w:val="single"/>
          <w:shd w:val="clear" w:color="auto" w:fill="FFFFFF"/>
          <w:lang w:val="pt-BR"/>
        </w:rPr>
        <w:fldChar w:fldCharType="end"/>
      </w:r>
      <w:bookmarkEnd w:id="126"/>
      <w:r w:rsidR="00A925FD" w:rsidRPr="00D65A20">
        <w:rPr>
          <w:rFonts w:ascii="Times New Roman" w:eastAsia="Calibri" w:hAnsi="Times New Roman"/>
          <w:sz w:val="20"/>
          <w:shd w:val="clear" w:color="auto" w:fill="FFFFFF"/>
          <w:lang w:val="pt-BR"/>
        </w:rPr>
        <w:t>), o Programa das Nações Unidas para o Desenvolvimento (</w:t>
      </w:r>
      <w:bookmarkStart w:id="127" w:name="_Hlk74139677"/>
      <w:r w:rsidR="00ED0D8E">
        <w:fldChar w:fldCharType="begin"/>
      </w:r>
      <w:r w:rsidR="00ED0D8E" w:rsidRPr="008E5190">
        <w:rPr>
          <w:lang w:val="pt-BR"/>
        </w:rPr>
        <w:instrText xml:space="preserve"> HYPERLINK "https://gcc01.safelinks.protection.outlook.com/?url=http://www.undp.org/&amp;data=02|01|AynesJM@state.gov|740d4aa7f583474226b808d80b4efad8|66cf50745afe48d1a691a12b2121f44b|0|0|637271781131495443&amp;sdata=dN5n66DRsH58QlGUGzB3wVOIEeOsGUawgcKcrKtE3QE=&amp;reserved=0" \t "_blank" </w:instrText>
      </w:r>
      <w:r w:rsidR="00ED0D8E">
        <w:fldChar w:fldCharType="separate"/>
      </w:r>
      <w:r w:rsidR="00A925FD" w:rsidRPr="00D65A20">
        <w:rPr>
          <w:rFonts w:ascii="Times New Roman" w:eastAsia="Calibri" w:hAnsi="Times New Roman"/>
          <w:color w:val="0000FF"/>
          <w:sz w:val="20"/>
          <w:u w:val="single"/>
          <w:shd w:val="clear" w:color="auto" w:fill="FFFFFF"/>
          <w:lang w:val="pt-BR"/>
        </w:rPr>
        <w:t>PNUD</w:t>
      </w:r>
      <w:r w:rsidR="00ED0D8E">
        <w:rPr>
          <w:rFonts w:ascii="Times New Roman" w:eastAsia="Calibri" w:hAnsi="Times New Roman"/>
          <w:color w:val="0000FF"/>
          <w:sz w:val="20"/>
          <w:u w:val="single"/>
          <w:shd w:val="clear" w:color="auto" w:fill="FFFFFF"/>
          <w:lang w:val="pt-BR"/>
        </w:rPr>
        <w:fldChar w:fldCharType="end"/>
      </w:r>
      <w:bookmarkEnd w:id="127"/>
      <w:r w:rsidR="00A925FD" w:rsidRPr="00D65A20">
        <w:rPr>
          <w:rFonts w:ascii="Times New Roman" w:eastAsia="Calibri" w:hAnsi="Times New Roman"/>
          <w:sz w:val="20"/>
          <w:shd w:val="clear" w:color="auto" w:fill="FFFFFF"/>
          <w:lang w:val="pt-BR"/>
        </w:rPr>
        <w:t xml:space="preserve">), a Iniciativa Capacetes Brancos, a Agência Caribenha de Gestão de Emergência em Casos de Desastre (CDEMA), o Centro de Coordenação para a Prevenção dos Desastres Naturais na América Central (CEPREDENAC), a Comissão Andina para a Prevenção e Assistência de Desastres (CAPRADE) e a Reunião de Ministros e Altas Autoridades de Gestão Integral de Riscos de Desastres do </w:t>
      </w:r>
      <w:r w:rsidR="00BC54FC" w:rsidRPr="00D65A20">
        <w:rPr>
          <w:rFonts w:ascii="Times New Roman" w:eastAsia="Calibri" w:hAnsi="Times New Roman"/>
          <w:sz w:val="20"/>
          <w:shd w:val="clear" w:color="auto" w:fill="FFFFFF"/>
          <w:lang w:val="pt-BR"/>
        </w:rPr>
        <w:t xml:space="preserve">Mercosul </w:t>
      </w:r>
      <w:r w:rsidR="00A925FD" w:rsidRPr="00D65A20">
        <w:rPr>
          <w:rFonts w:ascii="Times New Roman" w:eastAsia="Calibri" w:hAnsi="Times New Roman"/>
          <w:sz w:val="20"/>
          <w:shd w:val="clear" w:color="auto" w:fill="FFFFFF"/>
          <w:lang w:val="pt-BR"/>
        </w:rPr>
        <w:t>(RMAGIR).</w:t>
      </w:r>
    </w:p>
    <w:p w14:paraId="6E8346AB" w14:textId="77777777" w:rsidR="00A925FD" w:rsidRPr="00D65A20" w:rsidRDefault="00A925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MS Mincho" w:hAnsi="Times New Roman"/>
          <w:szCs w:val="22"/>
          <w:lang w:val="pt-BR"/>
        </w:rPr>
      </w:pPr>
    </w:p>
    <w:p w14:paraId="6E8346AC" w14:textId="77777777" w:rsidR="00BB2BAA" w:rsidRPr="00D65A20" w:rsidRDefault="00BB2BAA" w:rsidP="00AA4399">
      <w:pPr>
        <w:widowControl/>
        <w:jc w:val="center"/>
        <w:outlineLvl w:val="0"/>
        <w:rPr>
          <w:rFonts w:ascii="Times New Roman" w:hAnsi="Times New Roman"/>
          <w:noProof/>
          <w:sz w:val="20"/>
          <w:lang w:val="pt-BR" w:eastAsia="zh-TW"/>
        </w:rPr>
      </w:pPr>
    </w:p>
    <w:p w14:paraId="6E8346AD" w14:textId="77777777" w:rsidR="00E302D9" w:rsidRPr="00D65A20" w:rsidRDefault="00E302D9" w:rsidP="00AA4399">
      <w:pPr>
        <w:widowControl/>
        <w:rPr>
          <w:rFonts w:ascii="Times New Roman" w:hAnsi="Times New Roman"/>
          <w:sz w:val="20"/>
          <w:lang w:val="pt-BR"/>
        </w:rPr>
        <w:sectPr w:rsidR="00E302D9" w:rsidRPr="00D65A20" w:rsidSect="000A2A31">
          <w:footerReference w:type="default" r:id="rId46"/>
          <w:headerReference w:type="first" r:id="rId47"/>
          <w:footnotePr>
            <w:numRestart w:val="eachSect"/>
          </w:footnotePr>
          <w:endnotePr>
            <w:numFmt w:val="decimal"/>
          </w:endnotePr>
          <w:type w:val="oddPage"/>
          <w:pgSz w:w="12240" w:h="15840" w:code="1"/>
          <w:pgMar w:top="2160" w:right="1570" w:bottom="1296" w:left="1699" w:header="720" w:footer="720" w:gutter="0"/>
          <w:pgNumType w:fmt="numberInDash"/>
          <w:cols w:space="720"/>
          <w:noEndnote/>
          <w:titlePg/>
        </w:sectPr>
      </w:pPr>
    </w:p>
    <w:p w14:paraId="6E8346AE" w14:textId="77777777" w:rsidR="00A544BF" w:rsidRPr="00D65A20" w:rsidRDefault="00E302D9" w:rsidP="00AA4399">
      <w:pPr>
        <w:widowControl/>
        <w:jc w:val="center"/>
        <w:rPr>
          <w:rStyle w:val="Heading1Char"/>
          <w:rFonts w:ascii="Times New Roman" w:hAnsi="Times New Roman"/>
          <w:lang w:val="pt-BR"/>
        </w:rPr>
      </w:pPr>
      <w:bookmarkStart w:id="128" w:name="_Toc56526491"/>
      <w:bookmarkStart w:id="129" w:name="_Toc56526701"/>
      <w:r w:rsidRPr="00D65A20">
        <w:rPr>
          <w:rStyle w:val="Heading1Char"/>
          <w:rFonts w:ascii="Times New Roman" w:hAnsi="Times New Roman"/>
          <w:lang w:val="pt-BR"/>
        </w:rPr>
        <w:lastRenderedPageBreak/>
        <w:t>AG/RES. 2956 (L-O/20)</w:t>
      </w:r>
      <w:bookmarkEnd w:id="128"/>
      <w:bookmarkEnd w:id="129"/>
    </w:p>
    <w:p w14:paraId="6E8346AF" w14:textId="77777777" w:rsidR="00A544BF" w:rsidRPr="00D65A20" w:rsidRDefault="00A544BF" w:rsidP="00AA4399">
      <w:pPr>
        <w:widowControl/>
        <w:jc w:val="center"/>
        <w:rPr>
          <w:rStyle w:val="Heading1Char"/>
          <w:rFonts w:ascii="Times New Roman" w:hAnsi="Times New Roman"/>
          <w:lang w:val="pt-BR"/>
        </w:rPr>
      </w:pPr>
    </w:p>
    <w:p w14:paraId="6E8346B0" w14:textId="5FD5C9BA" w:rsidR="00D230D1" w:rsidRPr="00D65A20" w:rsidRDefault="00D230D1" w:rsidP="00A544BF">
      <w:pPr>
        <w:pStyle w:val="Heading1"/>
        <w:rPr>
          <w:lang w:val="pt-BR"/>
        </w:rPr>
      </w:pPr>
      <w:bookmarkStart w:id="130" w:name="_Toc56526492"/>
      <w:bookmarkStart w:id="131" w:name="_Toc56526702"/>
      <w:r w:rsidRPr="00D65A20">
        <w:rPr>
          <w:lang w:val="pt-BR"/>
        </w:rPr>
        <w:t xml:space="preserve">OS DESAFIOS PARA A SEGURANÇA ALIMENTAR E NUTRICIONAL </w:t>
      </w:r>
      <w:r w:rsidRPr="00D65A20">
        <w:rPr>
          <w:lang w:val="pt-BR"/>
        </w:rPr>
        <w:br/>
      </w:r>
      <w:r w:rsidR="003B14C3" w:rsidRPr="00D65A20">
        <w:rPr>
          <w:lang w:val="pt-BR"/>
        </w:rPr>
        <w:t>N</w:t>
      </w:r>
      <w:r w:rsidRPr="00D65A20">
        <w:rPr>
          <w:lang w:val="pt-BR"/>
        </w:rPr>
        <w:t>AS AMÉRICAS FRENTE À PANDEMIA DE COVID-19 NO ÂMBITO DO PLANO DE AÇÃO DA GUATEMALA 2019</w:t>
      </w:r>
      <w:r w:rsidRPr="00B65BC5">
        <w:rPr>
          <w:u w:val="single"/>
          <w:vertAlign w:val="superscript"/>
          <w:lang w:val="pt-BR"/>
        </w:rPr>
        <w:footnoteReference w:id="49"/>
      </w:r>
      <w:r w:rsidRPr="00D65A20">
        <w:rPr>
          <w:vertAlign w:val="superscript"/>
          <w:lang w:val="pt-BR"/>
        </w:rPr>
        <w:t>/</w:t>
      </w:r>
      <w:bookmarkEnd w:id="130"/>
      <w:bookmarkEnd w:id="131"/>
      <w:r w:rsidR="00714959" w:rsidRPr="00D65A20">
        <w:rPr>
          <w:rStyle w:val="FootnoteReference"/>
          <w:u w:val="single"/>
          <w:vertAlign w:val="superscript"/>
          <w:lang w:val="pt-BR"/>
        </w:rPr>
        <w:footnoteReference w:id="50"/>
      </w:r>
      <w:r w:rsidR="00714959" w:rsidRPr="00D65A20">
        <w:rPr>
          <w:vertAlign w:val="superscript"/>
          <w:lang w:val="pt-BR"/>
        </w:rPr>
        <w:t>/</w:t>
      </w:r>
    </w:p>
    <w:p w14:paraId="6E8346B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B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jc w:val="center"/>
        <w:outlineLvl w:val="0"/>
        <w:rPr>
          <w:rFonts w:ascii="Times New Roman" w:eastAsia="Calibri" w:hAnsi="Times New Roman"/>
          <w:bCs/>
          <w:szCs w:val="28"/>
          <w:lang w:val="pt-BR" w:eastAsia="es-ES"/>
        </w:rPr>
      </w:pPr>
      <w:bookmarkStart w:id="132" w:name="_Toc56522564"/>
      <w:bookmarkStart w:id="133" w:name="_Toc56526493"/>
      <w:bookmarkStart w:id="134" w:name="_Toc56526703"/>
      <w:r w:rsidRPr="00D65A20">
        <w:rPr>
          <w:rFonts w:ascii="Times New Roman" w:eastAsia="Calibri" w:hAnsi="Times New Roman"/>
          <w:bCs/>
          <w:szCs w:val="28"/>
          <w:lang w:val="pt-BR" w:eastAsia="es-ES"/>
        </w:rPr>
        <w:t>(</w:t>
      </w:r>
      <w:r w:rsidRPr="00D65A20">
        <w:rPr>
          <w:rFonts w:ascii="Times New Roman" w:eastAsia="Calibri" w:hAnsi="Times New Roman"/>
          <w:bCs/>
          <w:szCs w:val="22"/>
          <w:lang w:val="pt-BR" w:eastAsia="es-ES"/>
        </w:rPr>
        <w:t>Aprovada na primeira sessão plenária, realizada em 20 de outubro de 2020</w:t>
      </w:r>
      <w:r w:rsidRPr="00D65A20">
        <w:rPr>
          <w:rFonts w:ascii="Times New Roman" w:eastAsia="Calibri" w:hAnsi="Times New Roman"/>
          <w:bCs/>
          <w:szCs w:val="28"/>
          <w:lang w:val="pt-BR" w:eastAsia="es-ES"/>
        </w:rPr>
        <w:t>)</w:t>
      </w:r>
      <w:bookmarkEnd w:id="132"/>
      <w:bookmarkEnd w:id="133"/>
      <w:bookmarkEnd w:id="134"/>
    </w:p>
    <w:p w14:paraId="6E8346B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p>
    <w:p w14:paraId="6E8346B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p>
    <w:p w14:paraId="6E8346B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olor w:val="000000"/>
          <w:szCs w:val="22"/>
          <w:lang w:val="pt-BR"/>
        </w:rPr>
      </w:pPr>
      <w:r w:rsidRPr="00D65A20">
        <w:rPr>
          <w:rFonts w:ascii="Times New Roman" w:eastAsia="Calibri" w:hAnsi="Times New Roman"/>
          <w:szCs w:val="22"/>
          <w:lang w:val="pt-BR"/>
        </w:rPr>
        <w:tab/>
        <w:t>A ASSEMBLEIA GERAL,</w:t>
      </w:r>
    </w:p>
    <w:p w14:paraId="6E8346B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olor w:val="000000"/>
          <w:szCs w:val="22"/>
          <w:lang w:val="pt-BR"/>
        </w:rPr>
      </w:pPr>
    </w:p>
    <w:p w14:paraId="6E8346B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EXPRESSANDO sua solidariedade e suas condolências às pessoas das Américas que sofrem as consequências adversas da pandemia de covid-19, especialmente aquelas que contraíram a doença, aquelas cuja subsistência foi afetada pela crise, bem como aquelas que sofreram a perda de membros da família;</w:t>
      </w:r>
    </w:p>
    <w:p w14:paraId="6E8346B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B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EXPRESSANDO também seu sincero agradecimento e apoio pela dedicação, esforços e sacrifícios, para além do dever, dos profissionais e dos trabalhadores da saúde e de outros trabalhadores de linha da frente pertinentes, em sua resposta à pandemia de covid-19;</w:t>
      </w:r>
    </w:p>
    <w:p w14:paraId="6E8346BA"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BB" w14:textId="2061D538"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mallCaps/>
          <w:szCs w:val="22"/>
          <w:lang w:val="pt-BR"/>
        </w:rPr>
        <w:t xml:space="preserve">PROFUNDAMENTE </w:t>
      </w:r>
      <w:r w:rsidR="0058643C" w:rsidRPr="00D65A20">
        <w:rPr>
          <w:rFonts w:ascii="Times New Roman" w:eastAsia="Calibri" w:hAnsi="Times New Roman"/>
          <w:smallCaps/>
          <w:szCs w:val="22"/>
          <w:lang w:val="pt-BR"/>
        </w:rPr>
        <w:t xml:space="preserve">PREOCUPADA </w:t>
      </w:r>
      <w:r w:rsidRPr="00D65A20">
        <w:rPr>
          <w:rFonts w:ascii="Times New Roman" w:eastAsia="Calibri" w:hAnsi="Times New Roman"/>
          <w:szCs w:val="22"/>
          <w:lang w:val="pt-BR"/>
        </w:rPr>
        <w:t xml:space="preserve">com o impacto socioeconômico </w:t>
      </w:r>
      <w:r w:rsidRPr="00D65A20">
        <w:rPr>
          <w:rFonts w:ascii="Times New Roman" w:eastAsia="Calibri" w:hAnsi="Times New Roman"/>
          <w:szCs w:val="22"/>
          <w:highlight w:val="white"/>
          <w:lang w:val="pt-BR"/>
        </w:rPr>
        <w:t xml:space="preserve">da pandemia de covid-19, que ameaça </w:t>
      </w:r>
      <w:r w:rsidRPr="00D65A20">
        <w:rPr>
          <w:rFonts w:ascii="Times New Roman" w:eastAsia="Calibri" w:hAnsi="Times New Roman"/>
          <w:szCs w:val="22"/>
          <w:lang w:val="pt-BR"/>
        </w:rPr>
        <w:t xml:space="preserve">a segurança alimentar e nutricional dos </w:t>
      </w:r>
      <w:r w:rsidRPr="00D65A20">
        <w:rPr>
          <w:rFonts w:ascii="Times New Roman" w:eastAsia="Calibri" w:hAnsi="Times New Roman"/>
          <w:szCs w:val="22"/>
          <w:highlight w:val="white"/>
          <w:lang w:val="pt-BR"/>
        </w:rPr>
        <w:t xml:space="preserve">países das Américas, incluindo seu impacto desproporcional sobre as mulheres e as meninas e seu acesso à atenção à saúde, à educação, aos serviços públicos básicos e aos serviços sociais e financeiros, o que está aprofundando as desigualdades já existentes, bem como </w:t>
      </w:r>
      <w:r w:rsidRPr="00D65A20">
        <w:rPr>
          <w:rFonts w:ascii="Times New Roman" w:eastAsia="Calibri" w:hAnsi="Times New Roman"/>
          <w:szCs w:val="22"/>
          <w:lang w:val="pt-BR"/>
        </w:rPr>
        <w:t>a pobreza, a pobreza extrema, a má nutrição e a fome, particularmente entre os mais vulneráveis;</w:t>
      </w:r>
    </w:p>
    <w:p w14:paraId="6E8346B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BD" w14:textId="4598A7BB"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CONSIDERANDO que a Comissão Econômica para a América Latina e o Caribe estima que na região um número ainda maior de pessoas cairá na pobreza, que o número de pessoas afetadas pela covid-19 aumentará e que o número de pessoas vivendo em extrema pobreza poderia aumentar, provocando um retrocesso dos avanços alcançados na última década em matéria de crescimento econômico e</w:t>
      </w:r>
      <w:r w:rsidRPr="00D65A20">
        <w:rPr>
          <w:rFonts w:ascii="Times New Roman" w:eastAsia="Calibri" w:hAnsi="Times New Roman"/>
          <w:szCs w:val="22"/>
          <w:highlight w:val="white"/>
          <w:lang w:val="pt-BR"/>
        </w:rPr>
        <w:t xml:space="preserve"> desenvolvimento sustentável</w:t>
      </w:r>
      <w:r w:rsidRPr="00D65A20">
        <w:rPr>
          <w:rFonts w:ascii="Times New Roman" w:eastAsia="Calibri" w:hAnsi="Times New Roman"/>
          <w:szCs w:val="22"/>
          <w:lang w:val="pt-BR"/>
        </w:rPr>
        <w:t>, no combate contra a insegurança alimentar e a desigualdade, em acesso à educação e à saúde, entre outros âmbitos</w:t>
      </w:r>
      <w:r w:rsidR="00127E4F" w:rsidRPr="00D65A20">
        <w:rPr>
          <w:rFonts w:ascii="Times New Roman" w:eastAsia="Calibri" w:hAnsi="Times New Roman"/>
          <w:szCs w:val="22"/>
          <w:lang w:val="pt-BR"/>
        </w:rPr>
        <w:t>.</w:t>
      </w:r>
      <w:r w:rsidRPr="00D65A20">
        <w:rPr>
          <w:rFonts w:ascii="Times New Roman" w:eastAsia="Calibri" w:hAnsi="Times New Roman"/>
          <w:szCs w:val="22"/>
          <w:lang w:val="pt-BR"/>
        </w:rPr>
        <w:t xml:space="preserve"> Além disso, consciente de que o</w:t>
      </w:r>
      <w:r w:rsidRPr="00D65A20">
        <w:rPr>
          <w:rFonts w:ascii="Times New Roman" w:eastAsia="Calibri" w:hAnsi="Times New Roman"/>
          <w:szCs w:val="22"/>
          <w:highlight w:val="white"/>
          <w:lang w:val="pt-BR"/>
        </w:rPr>
        <w:t xml:space="preserve"> Relatório Mundial sobre as Crises Alimentares 2020 estima que a insegurança alimentar aguda e a crise alimentar afetam mais de 18,5 milhões de pessoas nas Américas, e também consciente de que o Programa Mundial de Alimentos alertou que, devido aos efeitos da pandemia de covid-19</w:t>
      </w:r>
      <w:r w:rsidRPr="00D65A20">
        <w:rPr>
          <w:rFonts w:ascii="Times New Roman" w:eastAsia="Calibri" w:hAnsi="Times New Roman"/>
          <w:szCs w:val="22"/>
          <w:lang w:val="pt-BR"/>
        </w:rPr>
        <w:t xml:space="preserve"> e das medidas de contenção, o número de pessoas </w:t>
      </w:r>
      <w:r w:rsidR="0058643C" w:rsidRPr="00D65A20">
        <w:rPr>
          <w:rFonts w:ascii="Times New Roman" w:eastAsia="Calibri" w:hAnsi="Times New Roman"/>
          <w:szCs w:val="22"/>
          <w:lang w:val="pt-BR"/>
        </w:rPr>
        <w:t xml:space="preserve">que sofrem de </w:t>
      </w:r>
      <w:r w:rsidRPr="00D65A20">
        <w:rPr>
          <w:rFonts w:ascii="Times New Roman" w:eastAsia="Calibri" w:hAnsi="Times New Roman"/>
          <w:szCs w:val="22"/>
          <w:lang w:val="pt-BR"/>
        </w:rPr>
        <w:t>insegurança alimentar em todo o mundo poderia duplicar, se não forem tomadas providências;</w:t>
      </w:r>
    </w:p>
    <w:p w14:paraId="6E8346B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B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 xml:space="preserve">RECONHECENDO que a região tem sido caracterizada como a mais desigual do mundo, onde a incidência da pobreza e da pobreza extrema é maior entre mulheres, idosos, jovens e crianças, bem como entre todas as pessoas que vivem em situação de vulnerabilidade e em comunidades marginalizadas, tanto rurais como urbanas, cuja vulnerabilidade é exacerbada pela pandemia de covid-19 e pelos seus efeitos multidimensionais sem precedentes, como a grave disrupção das </w:t>
      </w:r>
      <w:r w:rsidRPr="00D65A20">
        <w:rPr>
          <w:rFonts w:ascii="Times New Roman" w:eastAsia="Calibri" w:hAnsi="Times New Roman"/>
          <w:szCs w:val="22"/>
          <w:lang w:val="pt-BR"/>
        </w:rPr>
        <w:lastRenderedPageBreak/>
        <w:t>sociedades, das economias, do mercado de trabalho, do comércio mundial, da educação, e por seu impacto devastador na subsistência e no bem-estar das pessoas;</w:t>
      </w:r>
    </w:p>
    <w:p w14:paraId="6E8346C0" w14:textId="77777777" w:rsidR="00127E4F" w:rsidRPr="00D65A20" w:rsidRDefault="00127E4F" w:rsidP="00B65BC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C1" w14:textId="221487E3"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highlight w:val="white"/>
          <w:lang w:val="pt-BR"/>
        </w:rPr>
        <w:t xml:space="preserve">PROFUNDAMENTE </w:t>
      </w:r>
      <w:r w:rsidR="0058643C" w:rsidRPr="00D65A20">
        <w:rPr>
          <w:rFonts w:ascii="Times New Roman" w:eastAsia="Calibri" w:hAnsi="Times New Roman"/>
          <w:szCs w:val="22"/>
          <w:highlight w:val="white"/>
          <w:lang w:val="pt-BR"/>
        </w:rPr>
        <w:t xml:space="preserve">PREOCUPADA </w:t>
      </w:r>
      <w:r w:rsidRPr="00D65A20">
        <w:rPr>
          <w:rFonts w:ascii="Times New Roman" w:eastAsia="Calibri" w:hAnsi="Times New Roman"/>
          <w:szCs w:val="22"/>
          <w:highlight w:val="white"/>
          <w:lang w:val="pt-BR"/>
        </w:rPr>
        <w:t>com o fato de que, embora representem uma elevada porcentagem na agricultura e na produção de alimentos na região e desempenhem um papel importante na garantia da segurança alimentar e nutricional, as mulheres rurais continuam vivendo em condições de desigualdade social e econômica, com desafios no acesso a títulos de propriedade da terra, ao crédito e à assistência técnica;</w:t>
      </w:r>
    </w:p>
    <w:p w14:paraId="6E8346C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C3" w14:textId="5F3571F6"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3091">
        <w:rPr>
          <w:rFonts w:ascii="Times New Roman" w:eastAsia="Calibri" w:hAnsi="Times New Roman"/>
          <w:szCs w:val="22"/>
          <w:lang w:val="pt-BR"/>
        </w:rPr>
        <w:t xml:space="preserve">TENDO EM CONTA os respectivos compromissos assumidos pelos Estados membros </w:t>
      </w:r>
      <w:r w:rsidR="0058643C" w:rsidRPr="00D63091">
        <w:rPr>
          <w:rFonts w:ascii="Times New Roman" w:eastAsia="Calibri" w:hAnsi="Times New Roman"/>
          <w:szCs w:val="22"/>
          <w:lang w:val="pt-BR"/>
        </w:rPr>
        <w:t xml:space="preserve">nos </w:t>
      </w:r>
      <w:r w:rsidRPr="00D63091">
        <w:rPr>
          <w:rFonts w:ascii="Times New Roman" w:eastAsia="Calibri" w:hAnsi="Times New Roman"/>
          <w:szCs w:val="22"/>
          <w:lang w:val="pt-BR"/>
        </w:rPr>
        <w:t>instrumentos internacionais e interamericanos relevantes de que são parte, como o Protocolo Adicional à Convenção Americana sobre Direitos Humanos em Matéria de Direitos Econômicos, Sociais e Culturais (Protocolo de São Salvador)</w:t>
      </w:r>
      <w:r w:rsidR="005F56D7" w:rsidRPr="00D63091">
        <w:rPr>
          <w:rFonts w:ascii="Times New Roman" w:eastAsia="Calibri" w:hAnsi="Times New Roman"/>
          <w:szCs w:val="22"/>
          <w:lang w:val="pt-BR"/>
        </w:rPr>
        <w:t xml:space="preserve"> e </w:t>
      </w:r>
      <w:r w:rsidRPr="00D63091">
        <w:rPr>
          <w:rFonts w:ascii="Times New Roman" w:eastAsia="Calibri" w:hAnsi="Times New Roman"/>
          <w:szCs w:val="22"/>
          <w:lang w:val="pt-BR"/>
        </w:rPr>
        <w:t>a Carta Social das Américas e seu Plano de Ação</w:t>
      </w:r>
      <w:r w:rsidR="005F56D7" w:rsidRPr="00D63091">
        <w:rPr>
          <w:rFonts w:ascii="Times New Roman" w:eastAsia="Calibri" w:hAnsi="Times New Roman"/>
          <w:szCs w:val="22"/>
          <w:lang w:val="pt-BR"/>
        </w:rPr>
        <w:t xml:space="preserve">, bem como </w:t>
      </w:r>
      <w:r w:rsidRPr="00D63091">
        <w:rPr>
          <w:rFonts w:ascii="Times New Roman" w:eastAsia="Calibri" w:hAnsi="Times New Roman"/>
          <w:szCs w:val="22"/>
          <w:lang w:val="pt-BR"/>
        </w:rPr>
        <w:t xml:space="preserve">o Pacto Internacional sobre Direitos Econômicos, Sociais e Culturais das Nações Unidas, </w:t>
      </w:r>
      <w:r w:rsidR="005F56D7" w:rsidRPr="00D63091">
        <w:rPr>
          <w:rFonts w:ascii="Times New Roman" w:eastAsia="Calibri" w:hAnsi="Times New Roman"/>
          <w:szCs w:val="22"/>
          <w:lang w:val="pt-BR"/>
        </w:rPr>
        <w:t>além d</w:t>
      </w:r>
      <w:r w:rsidRPr="00D63091">
        <w:rPr>
          <w:rFonts w:ascii="Times New Roman" w:eastAsia="Calibri" w:hAnsi="Times New Roman"/>
          <w:szCs w:val="22"/>
          <w:lang w:val="pt-BR"/>
        </w:rPr>
        <w:t xml:space="preserve">os mecanismos e outras instâncias existentes no Sistema Interamericano, como o Grupo de Trabalho Encarregado de Analisar os Relatórios Periódicos dos Estados Partes no Protocolo de São Salvador e a Relatoria </w:t>
      </w:r>
      <w:r w:rsidR="0058643C" w:rsidRPr="00D63091">
        <w:rPr>
          <w:rFonts w:ascii="Times New Roman" w:eastAsia="Calibri" w:hAnsi="Times New Roman"/>
          <w:szCs w:val="22"/>
          <w:lang w:val="pt-BR"/>
        </w:rPr>
        <w:t xml:space="preserve">Especial </w:t>
      </w:r>
      <w:r w:rsidRPr="00D63091">
        <w:rPr>
          <w:rFonts w:ascii="Times New Roman" w:eastAsia="Calibri" w:hAnsi="Times New Roman"/>
          <w:szCs w:val="22"/>
          <w:lang w:val="pt-BR"/>
        </w:rPr>
        <w:t xml:space="preserve">sobre Direitos Econômicos, Sociais, Culturais e Ambientais da Comissão Interamericana de Direitos Humanos, que, mediante a elaboração de indicadores de progresso, relatórios e outras atividades, fornecem ferramentas aos Estados </w:t>
      </w:r>
      <w:r w:rsidR="00D25D8B" w:rsidRPr="00D63091">
        <w:rPr>
          <w:rFonts w:ascii="Times New Roman" w:eastAsia="Calibri" w:hAnsi="Times New Roman"/>
          <w:szCs w:val="22"/>
          <w:lang w:val="pt-BR"/>
        </w:rPr>
        <w:t xml:space="preserve">membros </w:t>
      </w:r>
      <w:r w:rsidRPr="00D63091">
        <w:rPr>
          <w:rFonts w:ascii="Times New Roman" w:eastAsia="Calibri" w:hAnsi="Times New Roman"/>
          <w:szCs w:val="22"/>
          <w:lang w:val="pt-BR"/>
        </w:rPr>
        <w:t>para a segurança alimentar e nutricional;</w:t>
      </w:r>
    </w:p>
    <w:p w14:paraId="6E8346C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mallCaps/>
          <w:szCs w:val="22"/>
          <w:lang w:val="pt-BR"/>
        </w:rPr>
      </w:pPr>
    </w:p>
    <w:p w14:paraId="6E8346C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mallCaps/>
          <w:szCs w:val="22"/>
          <w:lang w:val="pt-BR"/>
        </w:rPr>
        <w:t>RECORDANDO</w:t>
      </w:r>
      <w:r w:rsidRPr="00D65A20">
        <w:rPr>
          <w:rFonts w:ascii="Times New Roman" w:eastAsia="Calibri" w:hAnsi="Times New Roman"/>
          <w:szCs w:val="22"/>
          <w:lang w:val="pt-BR"/>
        </w:rPr>
        <w:t xml:space="preserve"> os compromissos emanados dos mandatos das Cúpulas das Américas, com vistas a fortalecer o setor agroalimentar de forma sustentável, integral, inclusiva e competitiva, que contribua para alcançar a segurança alimentar e nutricional, combater a má nutrição, em particular a desnutrição crônica, e promover políticas nutricionais baseadas na ciência e culturalmente adequadas para nossos povos;</w:t>
      </w:r>
    </w:p>
    <w:p w14:paraId="6E8346C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C7" w14:textId="7D629B03"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REAFIRMANDO o apoio à cooperação técnica internacional em matéria de agricultura por intermédio do Instituto Interamericano de Cooperação para a Agricultura, bem como a determinação de complementar nossos esforços de capacitação, inovação, inclusão e sustentabilidade nos setores agrícola e alimentar em todo o Hemisfério;</w:t>
      </w:r>
    </w:p>
    <w:p w14:paraId="6E8346C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C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 xml:space="preserve">REITERANDO a importância da agricultura familiar nos países em desenvolvimento, especialmente das mulheres e da juventude rural, para alcançar a segurança alimentar e nutricional, reduzir a pobreza e mitigar os efeitos ocasionados pela pandemia </w:t>
      </w:r>
      <w:r w:rsidR="0058643C" w:rsidRPr="00D65A20">
        <w:rPr>
          <w:rFonts w:ascii="Times New Roman" w:eastAsia="Calibri" w:hAnsi="Times New Roman"/>
          <w:szCs w:val="22"/>
          <w:lang w:val="pt-BR"/>
        </w:rPr>
        <w:t xml:space="preserve">de covid-19 </w:t>
      </w:r>
      <w:r w:rsidRPr="00D65A20">
        <w:rPr>
          <w:rFonts w:ascii="Times New Roman" w:eastAsia="Calibri" w:hAnsi="Times New Roman"/>
          <w:szCs w:val="22"/>
          <w:lang w:val="pt-BR"/>
        </w:rPr>
        <w:t>na alimentação e na agricultura;</w:t>
      </w:r>
    </w:p>
    <w:p w14:paraId="6E8346CA"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CB" w14:textId="0A64F9F5"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 xml:space="preserve">RECONHECENDO que a localização geográfica e as condições climáticas </w:t>
      </w:r>
      <w:r w:rsidR="00A063EC">
        <w:rPr>
          <w:rFonts w:ascii="Times New Roman" w:eastAsia="Calibri" w:hAnsi="Times New Roman"/>
          <w:szCs w:val="22"/>
          <w:lang w:val="pt-BR"/>
        </w:rPr>
        <w:t>de</w:t>
      </w:r>
      <w:r w:rsidRPr="00D65A20">
        <w:rPr>
          <w:rFonts w:ascii="Times New Roman" w:eastAsia="Calibri" w:hAnsi="Times New Roman"/>
          <w:szCs w:val="22"/>
          <w:lang w:val="pt-BR"/>
        </w:rPr>
        <w:t xml:space="preserve"> alguns países, incluindo a susceptibilidade a desastres naturais, as áreas limitadas de terras aráveis e o abastecimento deficiente de água, entre outros, afetam negativamente qualquer aumento significativo na produção agrícola e o alcance da segurança alimentar e nutricional, particularmente nos pequenos Estados insulares e </w:t>
      </w:r>
      <w:r w:rsidR="00B03076" w:rsidRPr="00D65A20">
        <w:rPr>
          <w:rFonts w:ascii="Times New Roman" w:hAnsi="Times New Roman"/>
          <w:bCs/>
          <w:szCs w:val="22"/>
          <w:lang w:val="pt-BR"/>
        </w:rPr>
        <w:t xml:space="preserve">de zonas litorâneas baixas </w:t>
      </w:r>
      <w:r w:rsidRPr="00D65A20">
        <w:rPr>
          <w:rFonts w:ascii="Times New Roman" w:eastAsia="Calibri" w:hAnsi="Times New Roman"/>
          <w:szCs w:val="22"/>
          <w:lang w:val="pt-BR"/>
        </w:rPr>
        <w:t>em desenvolvimento. Essa situação pode ser melhorada com medidas que introduzam tecnologias agrícolas novas e emergentes, como a agricultura inteligente em termos climáticos com apoio ao desenvolvimento de capacidades para as reformas e políticas internas que requeiram apoio técnico e financeiro das instituições financeiras e de desenvolvimento internacionais, quando apropriado;</w:t>
      </w:r>
    </w:p>
    <w:p w14:paraId="6E8346C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CD" w14:textId="58FD02D5" w:rsidR="00D230D1" w:rsidRPr="00D65A20" w:rsidRDefault="00F40882"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lastRenderedPageBreak/>
        <w:t xml:space="preserve">LEVANDO </w:t>
      </w:r>
      <w:r w:rsidR="00D230D1" w:rsidRPr="00D65A20">
        <w:rPr>
          <w:rFonts w:ascii="Times New Roman" w:eastAsia="Calibri" w:hAnsi="Times New Roman"/>
          <w:szCs w:val="22"/>
          <w:lang w:val="pt-BR"/>
        </w:rPr>
        <w:t xml:space="preserve">EM CONTA a necessidade urgente de acelerar a ação em todos os níveis e de todas as partes interessadas com o objetivo final de alcançar a visão e os objetivos da Agenda 2030, em particular o Objetivo de Desenvolvimento Sustentável </w:t>
      </w:r>
      <w:r w:rsidR="009F4D92" w:rsidRPr="00D65A20">
        <w:rPr>
          <w:rFonts w:ascii="Times New Roman" w:eastAsia="Calibri" w:hAnsi="Times New Roman"/>
          <w:szCs w:val="22"/>
          <w:lang w:val="pt-BR"/>
        </w:rPr>
        <w:t>n</w:t>
      </w:r>
      <w:r w:rsidR="009F4D92" w:rsidRPr="00D65A20">
        <w:rPr>
          <w:rFonts w:ascii="Times New Roman" w:eastAsia="Calibri" w:hAnsi="Times New Roman"/>
          <w:szCs w:val="22"/>
          <w:vertAlign w:val="superscript"/>
          <w:lang w:val="pt-BR"/>
        </w:rPr>
        <w:t>o</w:t>
      </w:r>
      <w:r w:rsidR="009F4D92" w:rsidRPr="00D65A20">
        <w:rPr>
          <w:rFonts w:ascii="Times New Roman" w:eastAsia="Calibri" w:hAnsi="Times New Roman"/>
          <w:szCs w:val="22"/>
          <w:lang w:val="pt-BR"/>
        </w:rPr>
        <w:t xml:space="preserve"> </w:t>
      </w:r>
      <w:r w:rsidR="00D230D1" w:rsidRPr="00D65A20">
        <w:rPr>
          <w:rFonts w:ascii="Times New Roman" w:eastAsia="Calibri" w:hAnsi="Times New Roman"/>
          <w:szCs w:val="22"/>
          <w:lang w:val="pt-BR"/>
        </w:rPr>
        <w:t>2</w:t>
      </w:r>
      <w:r w:rsidR="009F4D92" w:rsidRPr="00D65A20">
        <w:rPr>
          <w:rFonts w:ascii="Times New Roman" w:eastAsia="Calibri" w:hAnsi="Times New Roman"/>
          <w:szCs w:val="22"/>
          <w:lang w:val="pt-BR"/>
        </w:rPr>
        <w:t xml:space="preserve"> </w:t>
      </w:r>
      <w:r w:rsidR="00D230D1" w:rsidRPr="00D65A20">
        <w:rPr>
          <w:rFonts w:ascii="Times New Roman" w:eastAsia="Calibri" w:hAnsi="Times New Roman"/>
          <w:szCs w:val="22"/>
          <w:lang w:val="pt-BR"/>
        </w:rPr>
        <w:t>— “</w:t>
      </w:r>
      <w:r w:rsidR="009F4D92" w:rsidRPr="00D65A20">
        <w:rPr>
          <w:rFonts w:ascii="Times New Roman" w:eastAsia="Calibri" w:hAnsi="Times New Roman"/>
          <w:szCs w:val="22"/>
          <w:lang w:val="pt-BR"/>
        </w:rPr>
        <w:t>[</w:t>
      </w:r>
      <w:r w:rsidR="00D230D1" w:rsidRPr="00D65A20">
        <w:rPr>
          <w:rFonts w:ascii="Times New Roman" w:eastAsia="Calibri" w:hAnsi="Times New Roman"/>
          <w:szCs w:val="22"/>
          <w:lang w:val="pt-BR"/>
        </w:rPr>
        <w:t>a</w:t>
      </w:r>
      <w:r w:rsidR="009F4D92" w:rsidRPr="00D65A20">
        <w:rPr>
          <w:rFonts w:ascii="Times New Roman" w:eastAsia="Calibri" w:hAnsi="Times New Roman"/>
          <w:szCs w:val="22"/>
          <w:lang w:val="pt-BR"/>
        </w:rPr>
        <w:t>]</w:t>
      </w:r>
      <w:r w:rsidR="00D230D1" w:rsidRPr="00D65A20">
        <w:rPr>
          <w:rFonts w:ascii="Times New Roman" w:eastAsia="Calibri" w:hAnsi="Times New Roman"/>
          <w:szCs w:val="22"/>
          <w:lang w:val="pt-BR"/>
        </w:rPr>
        <w:t>cabar com a fome, alcançar a segurança alimentar e a melhoria da nutrição, e promover a agricultura sustentável” —,</w:t>
      </w:r>
      <w:r w:rsidR="00D230D1" w:rsidRPr="00D65A20">
        <w:rPr>
          <w:rFonts w:ascii="Times New Roman" w:eastAsia="Calibri" w:hAnsi="Times New Roman"/>
          <w:szCs w:val="22"/>
          <w:highlight w:val="white"/>
          <w:lang w:val="pt-BR"/>
        </w:rPr>
        <w:t xml:space="preserve"> que considera que a fome e a má nutrição representam grandes obstáculos ao desenvolvimento sustentável e que os governos podem conceber políticas públicas para consolidar medidas, estratégias e políticas a fim de eliminar a fome e todas as formas de má nutrição e alcançar a segurança alimentar e nutricional como prioridade, cumprindo o compromisso de não deixar ninguém para trás e chegar primeiro aos mais necessitados;</w:t>
      </w:r>
    </w:p>
    <w:p w14:paraId="6E8346C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C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 xml:space="preserve">LEVANDO EM CONTA TAMBÉM que, embora o mundo esteja na segunda metade da Década de Ação das Nações </w:t>
      </w:r>
      <w:r w:rsidR="00B03076" w:rsidRPr="00D65A20">
        <w:rPr>
          <w:rFonts w:ascii="Times New Roman" w:eastAsia="Calibri" w:hAnsi="Times New Roman"/>
          <w:szCs w:val="22"/>
          <w:lang w:val="pt-BR"/>
        </w:rPr>
        <w:t xml:space="preserve">Unidas </w:t>
      </w:r>
      <w:r w:rsidRPr="00D65A20">
        <w:rPr>
          <w:rFonts w:ascii="Times New Roman" w:eastAsia="Calibri" w:hAnsi="Times New Roman"/>
          <w:szCs w:val="22"/>
          <w:lang w:val="pt-BR"/>
        </w:rPr>
        <w:t>sobre Nutrição (2016–2025), os países ainda enfrentam grandes desafios para alcançar a segurança alimentar e nutricional, especialmente no contexto dos efeitos da pandemia</w:t>
      </w:r>
      <w:r w:rsidR="009F4D92" w:rsidRPr="00D65A20">
        <w:rPr>
          <w:rFonts w:ascii="Times New Roman" w:eastAsia="Calibri" w:hAnsi="Times New Roman"/>
          <w:szCs w:val="22"/>
          <w:lang w:val="pt-BR"/>
        </w:rPr>
        <w:t xml:space="preserve"> de covid-19</w:t>
      </w:r>
      <w:r w:rsidRPr="00D65A20">
        <w:rPr>
          <w:rFonts w:ascii="Times New Roman" w:eastAsia="Calibri" w:hAnsi="Times New Roman"/>
          <w:szCs w:val="22"/>
          <w:lang w:val="pt-BR"/>
        </w:rPr>
        <w:t>;</w:t>
      </w:r>
    </w:p>
    <w:p w14:paraId="6E8346D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D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RECONHECENDO que, no contexto da pandemia de covid-19, a adoção de medidas de proteção social é essencial para enfrentar o duplo desafio de mitigar o impacto econômico imediato da pandemia e reconstruir a subsistência das populações, especialmente dos mais vulneráveis, e que, por meio de parcerias público-privadas e do setor privado,</w:t>
      </w:r>
      <w:r w:rsidR="009F4D92" w:rsidRPr="00D65A20">
        <w:rPr>
          <w:rFonts w:ascii="Times New Roman" w:eastAsia="Calibri" w:hAnsi="Times New Roman"/>
          <w:szCs w:val="22"/>
          <w:lang w:val="pt-BR"/>
        </w:rPr>
        <w:t xml:space="preserve"> entre outros,</w:t>
      </w:r>
      <w:r w:rsidRPr="00D65A20">
        <w:rPr>
          <w:rFonts w:ascii="Times New Roman" w:eastAsia="Calibri" w:hAnsi="Times New Roman"/>
          <w:szCs w:val="22"/>
          <w:lang w:val="pt-BR"/>
        </w:rPr>
        <w:t xml:space="preserve"> seria possível levar alívio a um grande número de pessoas cuja segurança alimentar e nutricional está em risco;</w:t>
      </w:r>
    </w:p>
    <w:p w14:paraId="6E8346D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D3" w14:textId="3189E12B"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RECORDANDO que, na Declaração Interamericana de Prioridades em Matéria de Desenvolvimento Social, “</w:t>
      </w:r>
      <w:r w:rsidR="00737931" w:rsidRPr="00D65A20">
        <w:rPr>
          <w:rFonts w:ascii="Times New Roman" w:eastAsia="Calibri" w:hAnsi="Times New Roman"/>
          <w:szCs w:val="22"/>
          <w:lang w:val="pt-BR"/>
        </w:rPr>
        <w:t xml:space="preserve">Equidade e Inclusão Social: </w:t>
      </w:r>
      <w:r w:rsidRPr="00D65A20">
        <w:rPr>
          <w:rFonts w:ascii="Times New Roman" w:eastAsia="Calibri" w:hAnsi="Times New Roman"/>
          <w:szCs w:val="22"/>
          <w:lang w:val="pt-BR"/>
        </w:rPr>
        <w:t xml:space="preserve">Superando a </w:t>
      </w:r>
      <w:r w:rsidR="00963F41" w:rsidRPr="00D65A20">
        <w:rPr>
          <w:rFonts w:ascii="Times New Roman" w:eastAsia="Calibri" w:hAnsi="Times New Roman"/>
          <w:szCs w:val="22"/>
          <w:lang w:val="pt-BR"/>
        </w:rPr>
        <w:t>pobreza multidimensional e fechando as brechas da equidade social</w:t>
      </w:r>
      <w:r w:rsidRPr="00D65A20">
        <w:rPr>
          <w:rFonts w:ascii="Times New Roman" w:eastAsia="Calibri" w:hAnsi="Times New Roman"/>
          <w:szCs w:val="22"/>
          <w:lang w:val="pt-BR"/>
        </w:rPr>
        <w:t>: Para uma Agenda Interamericana de Desenvolvimento Social”, e no roteiro que constitui o Plano de Ação da Guatemala 2019, “</w:t>
      </w:r>
      <w:r w:rsidR="00B03076" w:rsidRPr="00D65A20">
        <w:rPr>
          <w:rFonts w:ascii="Times New Roman" w:eastAsia="Calibri" w:hAnsi="Times New Roman"/>
          <w:color w:val="000000"/>
          <w:szCs w:val="22"/>
          <w:lang w:val="pt-BR"/>
        </w:rPr>
        <w:t>Superando a pobreza multidimensional e preenchendo as lacunas da equidade social: Para uma agenda interamericana de desenvolvimento social</w:t>
      </w:r>
      <w:r w:rsidRPr="00D65A20">
        <w:rPr>
          <w:rFonts w:ascii="Times New Roman" w:eastAsia="Calibri" w:hAnsi="Times New Roman"/>
          <w:szCs w:val="22"/>
          <w:lang w:val="pt-BR"/>
        </w:rPr>
        <w:t>”, os Ministros e as Altas Autoridades de Desenvolvimento Social das Américas reconheceram o valor dos programas de proteção social na erradicação da fome e da desnutrição infantil nas Américas e o compromisso de continuar apoiando esses esforços mediante a cooperação interamericana e o fortalecimento institucional dos órgãos governamentais, organizações da sociedade civil e outros atores sociais, responsáveis pela implementação desses programas;</w:t>
      </w:r>
    </w:p>
    <w:p w14:paraId="6E8346D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D5" w14:textId="7B9EE5BD"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CONSIDERANDO as iniciativas regionais e sub-regionais recentes, que abordam os problemas da segurança alimentar e nutricional, do desenvolvimento inclusivo e os relacionados com a atenção à pandemia de covid-19, para o fortalecimento da resiliência da segurança alimentar e nutricional por meio de mecanismos de proteção social; o funcionamento ininterrupto da cadeia de valor</w:t>
      </w:r>
      <w:r w:rsidR="00757271" w:rsidRPr="00D65A20">
        <w:rPr>
          <w:rFonts w:ascii="Times New Roman" w:eastAsia="Calibri" w:hAnsi="Times New Roman"/>
          <w:szCs w:val="22"/>
          <w:lang w:val="pt-BR"/>
        </w:rPr>
        <w:t xml:space="preserve">, </w:t>
      </w:r>
      <w:r w:rsidRPr="00D65A20">
        <w:rPr>
          <w:rFonts w:ascii="Times New Roman" w:eastAsia="Calibri" w:hAnsi="Times New Roman"/>
          <w:szCs w:val="22"/>
          <w:lang w:val="pt-BR"/>
        </w:rPr>
        <w:t>a produção e o acesso da população aos alimentos por meio do comércio internacional transparente, de acordo com as regras da Organização Mundial do Comércio; e a promoção de sistemas agroalimentares sustentáveis na região, que atendam às necessidades da população, protejam o meio ambiente e respeitem os hábitos e as culturas alimentares do Hemisfério;</w:t>
      </w:r>
    </w:p>
    <w:p w14:paraId="6E8346D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D7" w14:textId="554C45BD"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RECONHECENDO os trabalhos sobre segurança alimentar dos Estados membros baseados em provas científicas, com vistas a proteger e preservar a saúde de todas as pessoas ao longo da cadeia de abastecimento e consumo de produtos agrícolas</w:t>
      </w:r>
      <w:r w:rsidR="00F40882" w:rsidRPr="00D65A20">
        <w:rPr>
          <w:rFonts w:ascii="Times New Roman" w:eastAsia="Calibri" w:hAnsi="Times New Roman"/>
          <w:szCs w:val="22"/>
          <w:lang w:val="pt-BR"/>
        </w:rPr>
        <w:t>, e reconhecendo também</w:t>
      </w:r>
      <w:r w:rsidRPr="00D65A20">
        <w:rPr>
          <w:rFonts w:ascii="Times New Roman" w:eastAsia="Calibri" w:hAnsi="Times New Roman"/>
          <w:szCs w:val="22"/>
          <w:lang w:val="pt-BR"/>
        </w:rPr>
        <w:t xml:space="preserve"> o serviço essencial dos trabalhadores da agricultura e das cadeias de abastecimento alimentar, e apoiá-los para que continuem seu trabalho essencial de maneira segura; </w:t>
      </w:r>
    </w:p>
    <w:p w14:paraId="6E8346D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D9" w14:textId="1A41AC8F"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lastRenderedPageBreak/>
        <w:t>RECORDANDO que, no Conselho Interamericano de Desenvolvimento Integral, em sua reunião de 26 de novembro de 2019 sobre “Desnutrição infantil nas Américas”, foram apresentadas políticas públicas, programas e iniciativas para reduzir a má nutrição, particularmente a desnutrição crônica em diferentes contextos da região, discutindo-se os principais desafios enfrentados pelos países e instituições e identificando-se as linhas de cooperação regional e entre países para facilitar a transmissão de conhecimentos, lições aprendidas e melhores práticas, assim como políticas bem-sucedidas;</w:t>
      </w:r>
    </w:p>
    <w:p w14:paraId="6E8346DA" w14:textId="77777777" w:rsidR="00757271" w:rsidRPr="00D65A20" w:rsidRDefault="00757271" w:rsidP="00B65BC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DB" w14:textId="11225D7E"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RECONHECENDO os esforços envidados até a data pelos Estados membros para fazer face à emergência gerada pela covid-19 e para satisfazer as necessidades mais prementes de alimentação e de segurança alimentar e nutricional das populações em situação de vulnerabilidade; e convencid</w:t>
      </w:r>
      <w:r w:rsidR="00A063EC">
        <w:rPr>
          <w:rFonts w:ascii="Times New Roman" w:eastAsia="Calibri" w:hAnsi="Times New Roman"/>
          <w:szCs w:val="22"/>
          <w:lang w:val="pt-BR"/>
        </w:rPr>
        <w:t>a</w:t>
      </w:r>
      <w:r w:rsidRPr="00D65A20">
        <w:rPr>
          <w:rFonts w:ascii="Times New Roman" w:eastAsia="Calibri" w:hAnsi="Times New Roman"/>
          <w:szCs w:val="22"/>
          <w:lang w:val="pt-BR"/>
        </w:rPr>
        <w:t xml:space="preserve"> de que a pandemia de covid-19 oferece aos Estados membros, à sociedade civil, ao setor privado, ao meio acadêmico e a outros atores sociais a oportunidade de colaborarem em políticas, planos e programas de assistência e proteção social, na erradicação da fome e da desnutrição crônica, a fim de preparar melhor as nossas sociedades para enfrentarem futuras crises, e para alcançarem os objetivos estabelecidos nesta resolução;</w:t>
      </w:r>
    </w:p>
    <w:p w14:paraId="6E8346D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DD" w14:textId="183B5584"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 xml:space="preserve">TOMANDO NOTA </w:t>
      </w:r>
      <w:r w:rsidR="00757271" w:rsidRPr="00D65A20">
        <w:rPr>
          <w:rFonts w:ascii="Times New Roman" w:eastAsia="Calibri" w:hAnsi="Times New Roman"/>
          <w:szCs w:val="22"/>
          <w:lang w:val="pt-BR"/>
        </w:rPr>
        <w:t xml:space="preserve">de </w:t>
      </w:r>
      <w:r w:rsidRPr="00D65A20">
        <w:rPr>
          <w:rFonts w:ascii="Times New Roman" w:eastAsia="Calibri" w:hAnsi="Times New Roman"/>
          <w:szCs w:val="22"/>
          <w:lang w:val="pt-BR"/>
        </w:rPr>
        <w:t xml:space="preserve">que a Organização Mundial da Saúde e a Organização das Nações Unidas para a Alimentação e a Agricultura declararam conjuntamente que, até a data, não existe comprovação científica de que o vírus </w:t>
      </w:r>
      <w:r w:rsidR="00737931" w:rsidRPr="00D65A20">
        <w:rPr>
          <w:rFonts w:ascii="Times New Roman" w:eastAsia="Calibri" w:hAnsi="Times New Roman"/>
          <w:szCs w:val="22"/>
          <w:lang w:val="pt-BR"/>
        </w:rPr>
        <w:t xml:space="preserve">SARS-CoV-2 </w:t>
      </w:r>
      <w:r w:rsidRPr="00D65A20">
        <w:rPr>
          <w:rFonts w:ascii="Times New Roman" w:eastAsia="Calibri" w:hAnsi="Times New Roman"/>
          <w:szCs w:val="22"/>
          <w:lang w:val="pt-BR"/>
        </w:rPr>
        <w:t>possa ser transmitido pelos alimentos ou suas embalagens e que é muito pouco provável que as pessoas possam contrair a covid-19 pelos alimentos ou suas embalagens;</w:t>
      </w:r>
    </w:p>
    <w:p w14:paraId="6E8346D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DF" w14:textId="374C66EB"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TENDO EM CONTA</w:t>
      </w:r>
      <w:r w:rsidRPr="00D65A20">
        <w:rPr>
          <w:rFonts w:ascii="Times New Roman" w:eastAsia="Calibri" w:hAnsi="Times New Roman"/>
          <w:color w:val="FF0000"/>
          <w:szCs w:val="22"/>
          <w:lang w:val="pt-BR"/>
        </w:rPr>
        <w:t xml:space="preserve"> </w:t>
      </w:r>
      <w:r w:rsidRPr="00D65A20">
        <w:rPr>
          <w:rFonts w:ascii="Times New Roman" w:eastAsia="Calibri" w:hAnsi="Times New Roman"/>
          <w:szCs w:val="22"/>
          <w:lang w:val="pt-BR"/>
        </w:rPr>
        <w:t>que, em muitos Estados membros, particularmente na América Central e no Caribe, mesmo antes da pandemia de covid-19, a produção agrícola já estava afetada negativamente pelos desastres naturais e pela mudança do clima</w:t>
      </w:r>
      <w:r w:rsidRPr="00D65A20">
        <w:rPr>
          <w:rFonts w:ascii="Times New Roman" w:eastAsia="Calibri" w:hAnsi="Times New Roman"/>
          <w:szCs w:val="22"/>
          <w:u w:val="single"/>
          <w:vertAlign w:val="superscript"/>
          <w:lang w:val="pt-BR"/>
        </w:rPr>
        <w:footnoteReference w:id="51"/>
      </w:r>
      <w:r w:rsidRPr="00D65A20">
        <w:rPr>
          <w:rFonts w:ascii="Times New Roman" w:eastAsia="Calibri" w:hAnsi="Times New Roman"/>
          <w:szCs w:val="22"/>
          <w:vertAlign w:val="superscript"/>
          <w:lang w:val="pt-BR"/>
        </w:rPr>
        <w:t>/</w:t>
      </w:r>
      <w:r w:rsidRPr="00D65A20">
        <w:rPr>
          <w:rFonts w:ascii="Times New Roman" w:eastAsia="Calibri" w:hAnsi="Times New Roman"/>
          <w:szCs w:val="22"/>
          <w:lang w:val="pt-BR"/>
        </w:rPr>
        <w:t xml:space="preserve">, reduzindo a segurança alimentar e nutricional, aumentando o desemprego e a pobreza, bem como o deslocamento de pessoas; e que a covid-19 piorou suas condições; e </w:t>
      </w:r>
    </w:p>
    <w:p w14:paraId="6E8346E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E1" w14:textId="09152788"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bCs/>
          <w:color w:val="538135"/>
          <w:szCs w:val="22"/>
          <w:lang w:val="pt-BR"/>
        </w:rPr>
      </w:pPr>
      <w:r w:rsidRPr="00D65A20">
        <w:rPr>
          <w:rFonts w:ascii="Times New Roman" w:eastAsia="Calibri" w:hAnsi="Times New Roman"/>
          <w:szCs w:val="22"/>
          <w:highlight w:val="white"/>
          <w:lang w:val="pt-BR"/>
        </w:rPr>
        <w:t>LEVANDO EM CONTA a importância das micro, pequenas e médias empresas, especialmente as pequenas e médias empresas de agricultura familiar, para a segurança alimentar e nutricional e o desenvolvimento econômico,</w:t>
      </w:r>
    </w:p>
    <w:p w14:paraId="6E8346E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E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r w:rsidRPr="00D65A20">
        <w:rPr>
          <w:rFonts w:ascii="Times New Roman" w:eastAsia="Calibri" w:hAnsi="Times New Roman"/>
          <w:szCs w:val="22"/>
          <w:lang w:val="pt-BR"/>
        </w:rPr>
        <w:t>RESOLVE:</w:t>
      </w:r>
    </w:p>
    <w:p w14:paraId="6E8346E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E5" w14:textId="0B9A3DF0"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1.</w:t>
      </w:r>
      <w:r w:rsidRPr="00D65A20">
        <w:rPr>
          <w:rFonts w:ascii="Times New Roman" w:eastAsia="Calibri" w:hAnsi="Times New Roman"/>
          <w:szCs w:val="22"/>
          <w:lang w:val="pt-BR"/>
        </w:rPr>
        <w:tab/>
        <w:t>Solicitar à Secretaria de Acesso a Direitos e Equidade (SADE) que, em colaboração com a Secretaria Executiva de Desenvolvimento Integral (SEDI), fazendo uso da Rede Interamericana de Proteção Social, promova a cooperação em prol do fortalecimento das instituições nacionais de desenvolvimento social, em colaboração com organizações internacionais, especialistas em crescimento, desenvolvimento e prosperidade, organizações da sociedade civil, o setor privado e o meio acadêmico, responsáveis pelo combate à pobreza, pela redução das desigualdades com enfoque integral, pela expansão da proteção social e dos programas sociais para a erradicação da fome e da má nutrição, na luta contra a insegurança alimentar nutricional, por meio de ações voltadas para o diálogo, o desenvolvimento de capacidades e a troca de conhecimentos e lições aprendidas, bem como a assistência técnica, e o acompanhamento dos indicadores relacionados com esses temas.</w:t>
      </w:r>
    </w:p>
    <w:p w14:paraId="6E8346E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E7" w14:textId="2BAF09DA"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lastRenderedPageBreak/>
        <w:t>2.</w:t>
      </w:r>
      <w:r w:rsidRPr="00D65A20">
        <w:rPr>
          <w:rFonts w:ascii="Times New Roman" w:eastAsia="Calibri" w:hAnsi="Times New Roman"/>
          <w:szCs w:val="22"/>
          <w:lang w:val="pt-BR"/>
        </w:rPr>
        <w:tab/>
        <w:t xml:space="preserve">Incentivar a participação ativa dos Estados membros nos três grupos de trabalho incluídos no Plano de Ação da Guatemala 2019 e nas atividades organizadas pela </w:t>
      </w:r>
      <w:r w:rsidR="00850F8B" w:rsidRPr="00D65A20">
        <w:rPr>
          <w:rFonts w:ascii="Times New Roman" w:eastAsia="Calibri" w:hAnsi="Times New Roman"/>
          <w:szCs w:val="22"/>
          <w:lang w:val="pt-BR"/>
        </w:rPr>
        <w:t>SADE</w:t>
      </w:r>
      <w:r w:rsidRPr="00D65A20">
        <w:rPr>
          <w:rFonts w:ascii="Times New Roman" w:eastAsia="Calibri" w:hAnsi="Times New Roman"/>
          <w:szCs w:val="22"/>
          <w:lang w:val="pt-BR"/>
        </w:rPr>
        <w:t xml:space="preserve"> para a implementação do </w:t>
      </w:r>
      <w:r w:rsidR="0017511E" w:rsidRPr="00D65A20">
        <w:rPr>
          <w:rFonts w:ascii="Times New Roman" w:eastAsia="Calibri" w:hAnsi="Times New Roman"/>
          <w:szCs w:val="22"/>
          <w:lang w:val="pt-BR"/>
        </w:rPr>
        <w:t>referido plano</w:t>
      </w:r>
      <w:r w:rsidRPr="00D65A20">
        <w:rPr>
          <w:rFonts w:ascii="Times New Roman" w:eastAsia="Calibri" w:hAnsi="Times New Roman"/>
          <w:szCs w:val="22"/>
          <w:lang w:val="pt-BR"/>
        </w:rPr>
        <w:t>, priorizando nas agendas dos grupos de trabalho os temas de segurança alimentar e nutricional, redução da pobreza e da desigualdade, entre outros.</w:t>
      </w:r>
    </w:p>
    <w:p w14:paraId="6E8346E8" w14:textId="77777777" w:rsidR="00D230D1" w:rsidRPr="00D65A20" w:rsidRDefault="00D230D1" w:rsidP="00B65BC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E9" w14:textId="28651184"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3.</w:t>
      </w:r>
      <w:r w:rsidRPr="00D65A20">
        <w:rPr>
          <w:rFonts w:ascii="Times New Roman" w:eastAsia="Calibri" w:hAnsi="Times New Roman"/>
          <w:szCs w:val="22"/>
          <w:lang w:val="pt-BR"/>
        </w:rPr>
        <w:tab/>
        <w:t xml:space="preserve">Incentivar os Estados membros a que mantenham as cadeias de valor abertas e conectadas, a fim de que os mercados internacionais possam permanecer em funcionamento, apoiando o movimento de produtos e insumos agrícolas, que desempenham um papel fundamental para evitar a escassez de alimentos, e assim alcançar a segurança alimentar e nutricional em nível mundial; e a que as medidas de emergência relacionadas com a agricultura e os produtos agroalimentares concebidas para enfrentar a </w:t>
      </w:r>
      <w:r w:rsidR="00F40882" w:rsidRPr="00D65A20">
        <w:rPr>
          <w:rFonts w:ascii="Times New Roman" w:eastAsia="Calibri" w:hAnsi="Times New Roman"/>
          <w:szCs w:val="22"/>
          <w:lang w:val="pt-BR"/>
        </w:rPr>
        <w:t xml:space="preserve">pandemia de </w:t>
      </w:r>
      <w:r w:rsidRPr="00D65A20">
        <w:rPr>
          <w:rFonts w:ascii="Times New Roman" w:eastAsia="Calibri" w:hAnsi="Times New Roman"/>
          <w:szCs w:val="22"/>
          <w:lang w:val="pt-BR"/>
        </w:rPr>
        <w:t>covid-19 sejam específicas, proporcionais, transparentes e temporárias e não criem barreiras desnecessárias ao comércio nem interrompam as cadeias de abastecimento de produtos para a agricultura e os produtos agroalimentares. Resolvemos limitar toda medida restritiva injustificada sobre os produtos agrícolas ou o abastecimento de alimentos.</w:t>
      </w:r>
    </w:p>
    <w:p w14:paraId="6E8346EA"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E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4.</w:t>
      </w:r>
      <w:r w:rsidRPr="00D65A20">
        <w:rPr>
          <w:rFonts w:ascii="Times New Roman" w:eastAsia="Calibri" w:hAnsi="Times New Roman"/>
          <w:szCs w:val="22"/>
          <w:lang w:val="pt-BR"/>
        </w:rPr>
        <w:tab/>
        <w:t>Convidar os Estados membros, os Observadores Permanentes e outros doadores a que contribuam para o “Fundo para a Implementação do Plano de Ação da Guatemala 2019”, na medida de suas capacidades, com vistas a assegurar recursos a curtíssimo prazo para o financiamento de atividades de cooperação e assistência técnica em apoio aos esforços dos Estados membros para responder às sérias consequências da fome e da má nutrição nas Américas, agora agravadas pela pandemia de covid-19.</w:t>
      </w:r>
    </w:p>
    <w:p w14:paraId="6E8346E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ED" w14:textId="640B2924"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5.</w:t>
      </w:r>
      <w:r w:rsidRPr="00D65A20">
        <w:rPr>
          <w:rFonts w:ascii="Times New Roman" w:eastAsia="Calibri" w:hAnsi="Times New Roman"/>
          <w:szCs w:val="22"/>
          <w:lang w:val="pt-BR"/>
        </w:rPr>
        <w:tab/>
        <w:t xml:space="preserve">Incentivar a Secretaria-Geral a que apoie os esforços dos pequenos Estados insulares e de zonas litorâneas baixas em desenvolvimento, entre outros, para solicitar assistência técnica e, quando apropriado, assistência financeira das instituições financeiras internacionais e das agências de desenvolvimento, combinado com reformas e políticas internas, para tecnologias agrícolas novas e emergentes, incluindo a agricultura </w:t>
      </w:r>
      <w:r w:rsidR="00515844" w:rsidRPr="00D65A20">
        <w:rPr>
          <w:rFonts w:ascii="Times New Roman" w:eastAsia="Calibri" w:hAnsi="Times New Roman"/>
          <w:szCs w:val="22"/>
          <w:lang w:val="pt-BR"/>
        </w:rPr>
        <w:t xml:space="preserve">climaticamente </w:t>
      </w:r>
      <w:r w:rsidRPr="00D65A20">
        <w:rPr>
          <w:rFonts w:ascii="Times New Roman" w:eastAsia="Calibri" w:hAnsi="Times New Roman"/>
          <w:szCs w:val="22"/>
          <w:lang w:val="pt-BR"/>
        </w:rPr>
        <w:t xml:space="preserve">inteligente e o apoio ao desenvolvimento de capacidades. Isso leva em conta suas áreas limitadas de terra arável, o abastecimento deficiente de água em alguns países e </w:t>
      </w:r>
      <w:r w:rsidR="00850F8B" w:rsidRPr="00D65A20">
        <w:rPr>
          <w:rFonts w:ascii="Times New Roman" w:eastAsia="Calibri" w:hAnsi="Times New Roman"/>
          <w:szCs w:val="22"/>
          <w:lang w:val="pt-BR"/>
        </w:rPr>
        <w:t xml:space="preserve">a </w:t>
      </w:r>
      <w:r w:rsidRPr="00D65A20">
        <w:rPr>
          <w:rFonts w:ascii="Times New Roman" w:eastAsia="Calibri" w:hAnsi="Times New Roman"/>
          <w:szCs w:val="22"/>
          <w:lang w:val="pt-BR"/>
        </w:rPr>
        <w:t>importância de melhorar a segurança alimentar e nutricional das pequenas e médias empresas agrícolas familiares, a agricultura escolar, a agricultura de subsistência e a agricultura praticada por mulheres e jovens nas áreas rurais.</w:t>
      </w:r>
    </w:p>
    <w:p w14:paraId="6E8346E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EF" w14:textId="430521B8"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6.</w:t>
      </w:r>
      <w:r w:rsidRPr="00D65A20">
        <w:rPr>
          <w:rFonts w:ascii="Times New Roman" w:eastAsia="Calibri" w:hAnsi="Times New Roman"/>
          <w:szCs w:val="22"/>
          <w:lang w:val="pt-BR"/>
        </w:rPr>
        <w:tab/>
        <w:t>Solicitar à SADE</w:t>
      </w:r>
      <w:r w:rsidR="0017511E" w:rsidRPr="00D65A20">
        <w:rPr>
          <w:rFonts w:ascii="Times New Roman" w:eastAsia="Calibri" w:hAnsi="Times New Roman"/>
          <w:szCs w:val="22"/>
          <w:lang w:val="pt-BR"/>
        </w:rPr>
        <w:t xml:space="preserve"> que</w:t>
      </w:r>
      <w:r w:rsidRPr="00D65A20">
        <w:rPr>
          <w:rFonts w:ascii="Times New Roman" w:eastAsia="Calibri" w:hAnsi="Times New Roman"/>
          <w:szCs w:val="22"/>
          <w:lang w:val="pt-BR"/>
        </w:rPr>
        <w:t>, em coordenação com a Comissão Interamericana de Desenvolvimento Social (CIDES) e em colaboração com a SEDI e outras secretarias relevantes, implemente esta resolução com o propósito de facilitar e fortalecer o diálogo, a cooperação, a troca de experiências, o desenvolvimento de capacidades e a assistência técnica em prol dos Estados membros no contexto sem precedentes da pandemia de covid-19.</w:t>
      </w:r>
    </w:p>
    <w:p w14:paraId="6E8346F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6F1" w14:textId="18FCEB70"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7.</w:t>
      </w:r>
      <w:r w:rsidRPr="00D65A20">
        <w:rPr>
          <w:rFonts w:ascii="Times New Roman" w:eastAsia="Calibri" w:hAnsi="Times New Roman"/>
          <w:szCs w:val="22"/>
          <w:lang w:val="pt-BR"/>
        </w:rPr>
        <w:tab/>
        <w:t xml:space="preserve">Incentivar a Secretaria-Geral a que, por intermédio da SADE e em colaboração com a SEDI e outras secretarias relevantes, e em coordenação com o Grupo de Trabalho Conjunto de Cúpulas bem como o Instituto de Pesquisa e Desenvolvimento Agrícola do Caribe, o Programa Mundial de Alimentos das Nações Unidas e a Organização das Nações Unidas para a Alimentação e a Agricultura, entre outros, desenvolva e fortaleça projetos de cooperação hemisférica para enfrentar os efeitos da pandemia de covid-19 sobre os temas </w:t>
      </w:r>
      <w:r w:rsidR="009F69E3" w:rsidRPr="00D65A20">
        <w:rPr>
          <w:rFonts w:ascii="Times New Roman" w:eastAsia="Calibri" w:hAnsi="Times New Roman"/>
          <w:szCs w:val="22"/>
          <w:lang w:val="pt-BR"/>
        </w:rPr>
        <w:t>mencionados na</w:t>
      </w:r>
      <w:r w:rsidRPr="00D65A20">
        <w:rPr>
          <w:rFonts w:ascii="Times New Roman" w:eastAsia="Calibri" w:hAnsi="Times New Roman"/>
          <w:szCs w:val="22"/>
          <w:lang w:val="pt-BR"/>
        </w:rPr>
        <w:t xml:space="preserve"> presente resolução.</w:t>
      </w:r>
    </w:p>
    <w:p w14:paraId="6E8346F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pt-BR"/>
        </w:rPr>
      </w:pPr>
    </w:p>
    <w:p w14:paraId="6E8346F3" w14:textId="5443C98C"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8.</w:t>
      </w:r>
      <w:r w:rsidRPr="00D65A20">
        <w:rPr>
          <w:rFonts w:ascii="Times New Roman" w:eastAsia="Calibri" w:hAnsi="Times New Roman"/>
          <w:szCs w:val="22"/>
          <w:lang w:val="pt-BR"/>
        </w:rPr>
        <w:tab/>
        <w:t xml:space="preserve">Solicitar à Secretaria-Geral que, por intermédio da SADE e em colaboração com a SEDI e outras secretarias relevantes, elabore e apresente a uma reunião conjunta do Conselho </w:t>
      </w:r>
      <w:r w:rsidRPr="00D65A20">
        <w:rPr>
          <w:rFonts w:ascii="Times New Roman" w:eastAsia="Calibri" w:hAnsi="Times New Roman"/>
          <w:szCs w:val="22"/>
          <w:lang w:val="pt-BR"/>
        </w:rPr>
        <w:lastRenderedPageBreak/>
        <w:t>Interamericano de Desenvolvimento Integral e do Conselho Permanente um relatório de acompanhamento de boas práticas e lições aprendidas pelos Estados membros, bem como recomende linhas de ação no âmbito da presente resolução.</w:t>
      </w:r>
    </w:p>
    <w:p w14:paraId="6E8346F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jc w:val="left"/>
        <w:rPr>
          <w:rFonts w:ascii="Times New Roman" w:eastAsia="Calibri" w:hAnsi="Times New Roman"/>
          <w:szCs w:val="22"/>
          <w:lang w:val="pt-BR"/>
        </w:rPr>
      </w:pPr>
    </w:p>
    <w:p w14:paraId="6E8346F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lang w:val="pt-BR"/>
        </w:rPr>
      </w:pPr>
      <w:r w:rsidRPr="00D65A20">
        <w:rPr>
          <w:rFonts w:ascii="Times New Roman" w:eastAsia="Calibri" w:hAnsi="Times New Roman"/>
          <w:szCs w:val="22"/>
          <w:lang w:val="pt-BR"/>
        </w:rPr>
        <w:br w:type="page"/>
      </w:r>
      <w:r w:rsidRPr="00D65A20">
        <w:rPr>
          <w:rFonts w:ascii="Times New Roman" w:eastAsia="Calibri" w:hAnsi="Times New Roman"/>
          <w:sz w:val="20"/>
          <w:lang w:val="pt-BR"/>
        </w:rPr>
        <w:lastRenderedPageBreak/>
        <w:t>NOTA</w:t>
      </w:r>
      <w:r w:rsidR="00523713" w:rsidRPr="00D65A20">
        <w:rPr>
          <w:rFonts w:ascii="Times New Roman" w:eastAsia="Calibri" w:hAnsi="Times New Roman"/>
          <w:sz w:val="20"/>
          <w:lang w:val="pt-BR"/>
        </w:rPr>
        <w:t>S</w:t>
      </w:r>
      <w:r w:rsidRPr="00D65A20">
        <w:rPr>
          <w:rFonts w:ascii="Times New Roman" w:eastAsia="Calibri" w:hAnsi="Times New Roman"/>
          <w:sz w:val="20"/>
          <w:lang w:val="pt-BR"/>
        </w:rPr>
        <w:t xml:space="preserve"> DE RODAPÉ</w:t>
      </w:r>
    </w:p>
    <w:p w14:paraId="6E8346F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20"/>
          <w:lang w:val="pt-BR"/>
        </w:rPr>
      </w:pPr>
    </w:p>
    <w:p w14:paraId="6E8346F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20"/>
          <w:lang w:val="pt-BR"/>
        </w:rPr>
      </w:pPr>
    </w:p>
    <w:p w14:paraId="6E8346F8" w14:textId="77777777" w:rsidR="00AF5933" w:rsidRPr="00D65A20" w:rsidRDefault="00D230D1" w:rsidP="00AF5933">
      <w:pPr>
        <w:widowControl/>
        <w:ind w:firstLine="720"/>
        <w:rPr>
          <w:rFonts w:ascii="Times New Roman" w:hAnsi="Times New Roman"/>
          <w:sz w:val="20"/>
          <w:lang w:val="pt-BR"/>
        </w:rPr>
      </w:pPr>
      <w:r w:rsidRPr="00D65A20">
        <w:rPr>
          <w:rFonts w:ascii="Times New Roman" w:hAnsi="Times New Roman"/>
          <w:sz w:val="20"/>
          <w:lang w:val="pt-BR"/>
        </w:rPr>
        <w:t>1.</w:t>
      </w:r>
      <w:r w:rsidRPr="00D65A20">
        <w:rPr>
          <w:rFonts w:ascii="Times New Roman" w:hAnsi="Times New Roman"/>
          <w:sz w:val="20"/>
          <w:lang w:val="pt-BR"/>
        </w:rPr>
        <w:tab/>
      </w:r>
      <w:r w:rsidR="00AF5933" w:rsidRPr="00D65A20">
        <w:rPr>
          <w:rFonts w:ascii="Times New Roman" w:hAnsi="Times New Roman"/>
          <w:sz w:val="20"/>
          <w:lang w:val="pt-BR"/>
        </w:rPr>
        <w:t>(...)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6E8346F9" w14:textId="77777777" w:rsidR="00AF5933" w:rsidRPr="00D65A20" w:rsidRDefault="00AF5933" w:rsidP="00AF5933">
      <w:pPr>
        <w:widowControl/>
        <w:rPr>
          <w:rFonts w:ascii="Times New Roman" w:hAnsi="Times New Roman"/>
          <w:sz w:val="20"/>
          <w:lang w:val="pt-BR"/>
        </w:rPr>
      </w:pPr>
    </w:p>
    <w:p w14:paraId="6E8346FA" w14:textId="77777777" w:rsidR="00AF5933" w:rsidRPr="00D65A20" w:rsidRDefault="00AF5933" w:rsidP="00AF5933">
      <w:pPr>
        <w:widowControl/>
        <w:ind w:firstLine="720"/>
        <w:rPr>
          <w:rFonts w:ascii="Times New Roman" w:hAnsi="Times New Roman"/>
          <w:sz w:val="20"/>
          <w:lang w:val="pt-BR"/>
        </w:rPr>
      </w:pPr>
      <w:r w:rsidRPr="00D65A20">
        <w:rPr>
          <w:rFonts w:ascii="Times New Roman" w:hAnsi="Times New Roman"/>
          <w:sz w:val="20"/>
          <w:lang w:val="pt-BR"/>
        </w:rPr>
        <w:t xml:space="preserve">Antígua e Barbuda não apoiou a resolução CP/RES. 1124 (2217/19), de 9 de abril de 2019, cuja intenção era nomear o Senhor Gustavo Tarre como Representante da Assembleia Nacional junto à OEA, e não aceitou as credenciais das autoridades que pretendiam representar a República Bolivariana da Venezuela no Quadragésimo Nono e no Quinquagésimo Períodos Ordinários de Sessões da Assembleia Geral. </w:t>
      </w:r>
    </w:p>
    <w:p w14:paraId="6E8346FB" w14:textId="77777777" w:rsidR="00AF5933" w:rsidRPr="00D65A20" w:rsidRDefault="00AF5933" w:rsidP="00AF5933">
      <w:pPr>
        <w:widowControl/>
        <w:rPr>
          <w:rFonts w:ascii="Times New Roman" w:hAnsi="Times New Roman"/>
          <w:sz w:val="20"/>
          <w:lang w:val="pt-BR"/>
        </w:rPr>
      </w:pPr>
    </w:p>
    <w:p w14:paraId="6E834700" w14:textId="558CD401" w:rsidR="00D230D1" w:rsidRPr="00D65A20" w:rsidRDefault="00AF5933" w:rsidP="00AF593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pt-BR"/>
        </w:rPr>
      </w:pPr>
      <w:r w:rsidRPr="00D65A20">
        <w:rPr>
          <w:rFonts w:ascii="Times New Roman" w:hAnsi="Times New Roman"/>
          <w:sz w:val="20"/>
          <w:lang w:val="pt-BR"/>
        </w:rPr>
        <w:t>Desse modo, Antígua e Barbuda informa a todos os Estados membros e à Secretaria-Geral da Organização dos Estados Americanos que, até novo aviso, assim como fez no Quadragésimo Nono Período Ordinário de Sessões da Assembleia Geral, não se considerará vinculado a nenhuma declaração ou resolução emanada do Quinquagésimo Período Ordinário de Sessões da Assembleia Geral, nem a quaisquer futuras declarações ou resoluções de qualquer Conselho ou órgão da Organização que incluam a participação de qualquer pessoa ou entidade pretensamente falando pela República Bolivariana da Venezuela ou agindo em seu nome, e nas quais se alcancem 18 votos com a participação de um pretenso representante da República Bolivariana da Venezuela</w:t>
      </w:r>
      <w:r w:rsidR="00D230D1" w:rsidRPr="00D65A20">
        <w:rPr>
          <w:rFonts w:ascii="Times New Roman" w:hAnsi="Times New Roman"/>
          <w:sz w:val="20"/>
          <w:lang w:val="pt-BR"/>
        </w:rPr>
        <w:t>.</w:t>
      </w:r>
    </w:p>
    <w:p w14:paraId="6E834701" w14:textId="77777777" w:rsidR="00D230D1" w:rsidRPr="00D65A20" w:rsidRDefault="00D230D1" w:rsidP="00AA4399">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pt-BR"/>
        </w:rPr>
      </w:pPr>
    </w:p>
    <w:p w14:paraId="6E834702" w14:textId="4C818A3A" w:rsidR="00440A50" w:rsidRPr="00D65A20" w:rsidRDefault="00440A50" w:rsidP="00440A50">
      <w:pPr>
        <w:rPr>
          <w:rStyle w:val="FootnoteReference"/>
          <w:rFonts w:ascii="Times New Roman" w:hAnsi="Times New Roman"/>
          <w:sz w:val="20"/>
          <w:lang w:val="pt-BR"/>
        </w:rPr>
      </w:pPr>
      <w:r w:rsidRPr="00D65A20">
        <w:rPr>
          <w:rFonts w:ascii="Times New Roman" w:hAnsi="Times New Roman"/>
          <w:sz w:val="20"/>
          <w:lang w:val="pt-BR"/>
        </w:rPr>
        <w:tab/>
        <w:t xml:space="preserve">2. </w:t>
      </w:r>
      <w:r w:rsidR="00B65BC5">
        <w:rPr>
          <w:rFonts w:ascii="Times New Roman" w:hAnsi="Times New Roman"/>
          <w:sz w:val="20"/>
          <w:lang w:val="pt-BR"/>
        </w:rPr>
        <w:tab/>
      </w:r>
      <w:r w:rsidRPr="00D65A20">
        <w:rPr>
          <w:rFonts w:ascii="Times New Roman" w:hAnsi="Times New Roman"/>
          <w:sz w:val="20"/>
          <w:lang w:val="pt-BR"/>
        </w:rPr>
        <w:t>(...) Quinquagésimo Período Ordinário de Sessões da Assembleia Geral.</w:t>
      </w:r>
    </w:p>
    <w:p w14:paraId="6E834703" w14:textId="77777777" w:rsidR="00440A50" w:rsidRPr="00D65A20" w:rsidRDefault="00440A50" w:rsidP="00AA4399">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pt-BR"/>
        </w:rPr>
      </w:pPr>
    </w:p>
    <w:p w14:paraId="6E834704" w14:textId="16ADFB70" w:rsidR="00D230D1" w:rsidRPr="00D65A20" w:rsidRDefault="00D230D1" w:rsidP="00AA4399">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pt-BR"/>
        </w:rPr>
      </w:pPr>
      <w:r w:rsidRPr="00D65A20">
        <w:rPr>
          <w:rFonts w:ascii="Times New Roman" w:hAnsi="Times New Roman"/>
          <w:sz w:val="20"/>
          <w:lang w:val="pt-BR"/>
        </w:rPr>
        <w:tab/>
      </w:r>
      <w:r w:rsidR="00440A50" w:rsidRPr="00D65A20">
        <w:rPr>
          <w:rFonts w:ascii="Times New Roman" w:hAnsi="Times New Roman"/>
          <w:sz w:val="20"/>
          <w:lang w:val="pt-BR"/>
        </w:rPr>
        <w:t>3</w:t>
      </w:r>
      <w:r w:rsidRPr="00D65A20">
        <w:rPr>
          <w:rFonts w:ascii="Times New Roman" w:hAnsi="Times New Roman"/>
          <w:sz w:val="20"/>
          <w:lang w:val="pt-BR"/>
        </w:rPr>
        <w:t>.</w:t>
      </w:r>
      <w:r w:rsidRPr="00D65A20">
        <w:rPr>
          <w:rFonts w:ascii="Times New Roman" w:hAnsi="Times New Roman"/>
          <w:sz w:val="20"/>
          <w:lang w:val="pt-BR"/>
        </w:rPr>
        <w:tab/>
        <w:t>(...) que apresentaram uma notificação formal da sua retirada do Acordo de Paris às Nações Unidas em 4 de novembro de 2019. A retirada terá efeito um ano após a entrega da notificação.</w:t>
      </w:r>
    </w:p>
    <w:p w14:paraId="6E834705" w14:textId="77777777" w:rsidR="00605B3C" w:rsidRPr="00D65A20" w:rsidRDefault="00605B3C" w:rsidP="00AA4399">
      <w:pPr>
        <w:widowControl/>
        <w:jc w:val="center"/>
        <w:outlineLvl w:val="0"/>
        <w:rPr>
          <w:rFonts w:ascii="Times New Roman" w:hAnsi="Times New Roman"/>
          <w:sz w:val="20"/>
          <w:lang w:val="pt-BR"/>
        </w:rPr>
      </w:pPr>
    </w:p>
    <w:p w14:paraId="6E834706" w14:textId="77777777" w:rsidR="003A53E9" w:rsidRPr="00D65A20" w:rsidRDefault="003A53E9" w:rsidP="00AA4399">
      <w:pPr>
        <w:widowControl/>
        <w:jc w:val="center"/>
        <w:outlineLvl w:val="0"/>
        <w:rPr>
          <w:rFonts w:ascii="Times New Roman" w:hAnsi="Times New Roman"/>
          <w:sz w:val="20"/>
          <w:lang w:val="pt-BR"/>
        </w:rPr>
      </w:pPr>
    </w:p>
    <w:p w14:paraId="6E834707" w14:textId="77777777" w:rsidR="003A53E9" w:rsidRPr="00D65A20" w:rsidRDefault="003A53E9" w:rsidP="00AA4399">
      <w:pPr>
        <w:widowControl/>
        <w:jc w:val="center"/>
        <w:outlineLvl w:val="0"/>
        <w:rPr>
          <w:rFonts w:ascii="Times New Roman" w:hAnsi="Times New Roman"/>
          <w:sz w:val="20"/>
          <w:lang w:val="pt-BR"/>
        </w:rPr>
      </w:pPr>
    </w:p>
    <w:p w14:paraId="6E834708" w14:textId="77777777" w:rsidR="00EE6CD9" w:rsidRPr="00D65A20" w:rsidRDefault="00EE6CD9" w:rsidP="00AA4399">
      <w:pPr>
        <w:widowControl/>
        <w:rPr>
          <w:rFonts w:ascii="Times New Roman" w:hAnsi="Times New Roman"/>
          <w:sz w:val="20"/>
          <w:lang w:val="pt-BR"/>
        </w:rPr>
        <w:sectPr w:rsidR="00EE6CD9" w:rsidRPr="00D65A20" w:rsidSect="000A2A31">
          <w:headerReference w:type="even" r:id="rId48"/>
          <w:footerReference w:type="even" r:id="rId49"/>
          <w:footerReference w:type="default" r:id="rId50"/>
          <w:headerReference w:type="first" r:id="rId51"/>
          <w:footnotePr>
            <w:numRestart w:val="eachSect"/>
          </w:footnotePr>
          <w:endnotePr>
            <w:numFmt w:val="decimal"/>
          </w:endnotePr>
          <w:type w:val="oddPage"/>
          <w:pgSz w:w="12240" w:h="15840" w:code="1"/>
          <w:pgMar w:top="2160" w:right="1570" w:bottom="1296" w:left="1699" w:header="720" w:footer="720" w:gutter="0"/>
          <w:pgNumType w:fmt="numberInDash"/>
          <w:cols w:space="720"/>
          <w:noEndnote/>
          <w:titlePg/>
        </w:sectPr>
      </w:pPr>
    </w:p>
    <w:p w14:paraId="6E834709" w14:textId="77777777" w:rsidR="00A544BF" w:rsidRPr="00D65A20" w:rsidRDefault="00EE6CD9" w:rsidP="00AA4399">
      <w:pPr>
        <w:widowControl/>
        <w:jc w:val="center"/>
        <w:rPr>
          <w:rStyle w:val="Heading1Char"/>
          <w:rFonts w:ascii="Times New Roman" w:hAnsi="Times New Roman"/>
          <w:lang w:val="pt-BR"/>
        </w:rPr>
      </w:pPr>
      <w:bookmarkStart w:id="135" w:name="_Toc56526494"/>
      <w:bookmarkStart w:id="136" w:name="_Toc56526704"/>
      <w:bookmarkStart w:id="137" w:name="_Toc14803673"/>
      <w:r w:rsidRPr="00D65A20">
        <w:rPr>
          <w:rStyle w:val="Heading1Char"/>
          <w:rFonts w:ascii="Times New Roman" w:hAnsi="Times New Roman"/>
          <w:lang w:val="pt-BR"/>
        </w:rPr>
        <w:lastRenderedPageBreak/>
        <w:t>AG/RES. 2957 (L-O/20)</w:t>
      </w:r>
      <w:bookmarkEnd w:id="135"/>
      <w:bookmarkEnd w:id="136"/>
    </w:p>
    <w:bookmarkEnd w:id="137"/>
    <w:p w14:paraId="6E83470A" w14:textId="77777777" w:rsidR="00A544BF" w:rsidRPr="00D65A20" w:rsidRDefault="00A544BF" w:rsidP="00AA4399">
      <w:pPr>
        <w:widowControl/>
        <w:jc w:val="center"/>
        <w:rPr>
          <w:rStyle w:val="Heading1Char"/>
          <w:rFonts w:ascii="Times New Roman" w:hAnsi="Times New Roman"/>
          <w:lang w:val="pt-BR"/>
        </w:rPr>
      </w:pPr>
    </w:p>
    <w:p w14:paraId="6E83470B" w14:textId="77777777" w:rsidR="00D230D1" w:rsidRPr="00D65A20" w:rsidRDefault="00D230D1" w:rsidP="00A544BF">
      <w:pPr>
        <w:pStyle w:val="Heading1"/>
        <w:rPr>
          <w:lang w:val="pt-BR"/>
        </w:rPr>
      </w:pPr>
      <w:bookmarkStart w:id="138" w:name="_Toc56526495"/>
      <w:bookmarkStart w:id="139" w:name="_Toc56526705"/>
      <w:r w:rsidRPr="00D65A20">
        <w:rPr>
          <w:lang w:val="pt-BR"/>
        </w:rPr>
        <w:t>ORÇAMENTO-PROGRAMA DA ORGANIZAÇÃO PARA 2021</w:t>
      </w:r>
      <w:r w:rsidRPr="00B65BC5">
        <w:rPr>
          <w:u w:val="single"/>
          <w:vertAlign w:val="superscript"/>
          <w:lang w:val="pt-BR"/>
        </w:rPr>
        <w:footnoteReference w:id="52"/>
      </w:r>
      <w:r w:rsidRPr="00D65A20">
        <w:rPr>
          <w:vertAlign w:val="superscript"/>
          <w:lang w:val="pt-BR"/>
        </w:rPr>
        <w:t>/</w:t>
      </w:r>
      <w:bookmarkEnd w:id="138"/>
      <w:bookmarkEnd w:id="139"/>
      <w:r w:rsidR="00714959" w:rsidRPr="00D65A20">
        <w:rPr>
          <w:rStyle w:val="FootnoteReference"/>
          <w:u w:val="single"/>
          <w:vertAlign w:val="superscript"/>
          <w:lang w:val="pt-BR"/>
        </w:rPr>
        <w:footnoteReference w:id="53"/>
      </w:r>
      <w:r w:rsidR="00714959" w:rsidRPr="00D65A20">
        <w:rPr>
          <w:vertAlign w:val="superscript"/>
          <w:lang w:val="pt-BR"/>
        </w:rPr>
        <w:t>/</w:t>
      </w:r>
    </w:p>
    <w:p w14:paraId="6E83470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1"/>
        <w:rPr>
          <w:rFonts w:ascii="Times New Roman" w:eastAsia="Calibri" w:hAnsi="Times New Roman"/>
          <w:b/>
          <w:bCs/>
          <w:color w:val="000000"/>
          <w:szCs w:val="22"/>
          <w:lang w:val="pt-BR" w:eastAsia="es-ES"/>
        </w:rPr>
      </w:pPr>
    </w:p>
    <w:p w14:paraId="6E83470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pt-BR" w:eastAsia="es-ES"/>
        </w:rPr>
      </w:pPr>
      <w:r w:rsidRPr="00D65A20">
        <w:rPr>
          <w:rFonts w:ascii="Times New Roman" w:hAnsi="Times New Roman"/>
          <w:color w:val="000000"/>
          <w:szCs w:val="22"/>
          <w:lang w:val="pt-BR" w:eastAsia="es-ES"/>
        </w:rPr>
        <w:t xml:space="preserve"> (</w:t>
      </w:r>
      <w:r w:rsidRPr="00D65A20">
        <w:rPr>
          <w:rFonts w:ascii="Times New Roman" w:hAnsi="Times New Roman"/>
          <w:szCs w:val="22"/>
          <w:lang w:val="pt-BR"/>
        </w:rPr>
        <w:t xml:space="preserve">Aprovada na primeira sessão plenária, realizada em 20 de </w:t>
      </w:r>
      <w:r w:rsidRPr="00D65A20">
        <w:rPr>
          <w:rFonts w:ascii="Times New Roman" w:hAnsi="Times New Roman"/>
          <w:color w:val="000000"/>
          <w:szCs w:val="22"/>
          <w:lang w:val="pt-BR" w:eastAsia="es-ES"/>
        </w:rPr>
        <w:t>outubro</w:t>
      </w:r>
      <w:r w:rsidRPr="00D65A20">
        <w:rPr>
          <w:rFonts w:ascii="Times New Roman" w:hAnsi="Times New Roman"/>
          <w:szCs w:val="22"/>
          <w:lang w:val="pt-BR"/>
        </w:rPr>
        <w:t xml:space="preserve"> de 2020)</w:t>
      </w:r>
    </w:p>
    <w:p w14:paraId="6E83470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70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71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r w:rsidRPr="00D65A20">
        <w:rPr>
          <w:rFonts w:ascii="Times New Roman" w:hAnsi="Times New Roman"/>
          <w:color w:val="000000"/>
          <w:szCs w:val="22"/>
          <w:lang w:val="pt-BR" w:eastAsia="es-ES"/>
        </w:rPr>
        <w:tab/>
      </w:r>
      <w:r w:rsidRPr="00D65A20">
        <w:rPr>
          <w:rFonts w:ascii="Times New Roman" w:eastAsia="Calibri" w:hAnsi="Times New Roman"/>
          <w:szCs w:val="22"/>
          <w:lang w:val="pt-BR"/>
        </w:rPr>
        <w:t>A ASSEMBLEIA GERAL,</w:t>
      </w:r>
    </w:p>
    <w:p w14:paraId="6E83471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pacing w:val="-2"/>
          <w:szCs w:val="22"/>
          <w:lang w:val="pt-BR"/>
        </w:rPr>
      </w:pPr>
    </w:p>
    <w:p w14:paraId="6E83471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r w:rsidRPr="00D65A20">
        <w:rPr>
          <w:rFonts w:ascii="Times New Roman" w:eastAsia="Calibri" w:hAnsi="Times New Roman"/>
          <w:spacing w:val="-2"/>
          <w:szCs w:val="22"/>
          <w:lang w:val="pt-BR"/>
        </w:rPr>
        <w:t>LEVANDO EM CONTA:</w:t>
      </w:r>
    </w:p>
    <w:p w14:paraId="6E83471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pt-BR" w:eastAsia="es-ES"/>
        </w:rPr>
      </w:pPr>
    </w:p>
    <w:p w14:paraId="6E83471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hAnsi="Times New Roman"/>
          <w:color w:val="000000"/>
          <w:szCs w:val="22"/>
          <w:lang w:val="pt-BR" w:eastAsia="es-ES"/>
        </w:rPr>
      </w:pPr>
      <w:r w:rsidRPr="00D65A20">
        <w:rPr>
          <w:rFonts w:ascii="Times New Roman" w:eastAsia="Calibri" w:hAnsi="Times New Roman"/>
          <w:szCs w:val="22"/>
          <w:lang w:val="pt-BR"/>
        </w:rPr>
        <w:t xml:space="preserve">Que, em conformidade com os </w:t>
      </w:r>
      <w:r w:rsidR="006B10BC" w:rsidRPr="00D65A20">
        <w:rPr>
          <w:rFonts w:ascii="Times New Roman" w:eastAsia="Calibri" w:hAnsi="Times New Roman"/>
          <w:szCs w:val="22"/>
          <w:lang w:val="pt-BR"/>
        </w:rPr>
        <w:t>a</w:t>
      </w:r>
      <w:r w:rsidRPr="00D65A20">
        <w:rPr>
          <w:rFonts w:ascii="Times New Roman" w:eastAsia="Calibri" w:hAnsi="Times New Roman"/>
          <w:szCs w:val="22"/>
          <w:lang w:val="pt-BR"/>
        </w:rPr>
        <w:t xml:space="preserve">rtigos 54, </w:t>
      </w:r>
      <w:r w:rsidRPr="00D65A20">
        <w:rPr>
          <w:rFonts w:ascii="Times New Roman" w:eastAsia="Calibri" w:hAnsi="Times New Roman"/>
          <w:szCs w:val="22"/>
          <w:u w:val="single"/>
          <w:lang w:val="pt-BR"/>
        </w:rPr>
        <w:t>e</w:t>
      </w:r>
      <w:r w:rsidRPr="00D65A20">
        <w:rPr>
          <w:rFonts w:ascii="Times New Roman" w:eastAsia="Calibri" w:hAnsi="Times New Roman"/>
          <w:szCs w:val="22"/>
          <w:lang w:val="pt-BR"/>
        </w:rPr>
        <w:t xml:space="preserve">, e 55 da Carta da Organização dos Estados Americanos, a Assembleia Geral aprova o orçamento-programa da Organização e estabelece a base para fixar a cota a ser paga pelos </w:t>
      </w:r>
      <w:r w:rsidR="006B10BC" w:rsidRPr="00D65A20">
        <w:rPr>
          <w:rFonts w:ascii="Times New Roman" w:eastAsia="Calibri" w:hAnsi="Times New Roman"/>
          <w:szCs w:val="22"/>
          <w:lang w:val="pt-BR"/>
        </w:rPr>
        <w:t>g</w:t>
      </w:r>
      <w:r w:rsidRPr="00D65A20">
        <w:rPr>
          <w:rFonts w:ascii="Times New Roman" w:eastAsia="Calibri" w:hAnsi="Times New Roman"/>
          <w:szCs w:val="22"/>
          <w:lang w:val="pt-BR"/>
        </w:rPr>
        <w:t>overnos para a manutenção da Organização, levando em conta a capacidade de pagamento dos respectivos países e sua determinação de contribuir de forma equitativa</w:t>
      </w:r>
      <w:r w:rsidRPr="00D65A20">
        <w:rPr>
          <w:rFonts w:ascii="Times New Roman" w:hAnsi="Times New Roman"/>
          <w:color w:val="000000"/>
          <w:szCs w:val="22"/>
          <w:lang w:val="pt-BR" w:eastAsia="es-ES"/>
        </w:rPr>
        <w:t>;</w:t>
      </w:r>
    </w:p>
    <w:p w14:paraId="6E83471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pt-BR" w:eastAsia="es-ES"/>
        </w:rPr>
      </w:pPr>
    </w:p>
    <w:p w14:paraId="6E83471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contextualSpacing/>
        <w:rPr>
          <w:rFonts w:ascii="Times New Roman" w:hAnsi="Times New Roman"/>
          <w:color w:val="000000"/>
          <w:szCs w:val="22"/>
          <w:lang w:val="pt-BR" w:eastAsia="es-ES"/>
        </w:rPr>
      </w:pPr>
      <w:r w:rsidRPr="00D65A20">
        <w:rPr>
          <w:rFonts w:ascii="Times New Roman" w:eastAsia="Arial Unicode MS" w:hAnsi="Times New Roman"/>
          <w:szCs w:val="22"/>
          <w:lang w:val="pt-BR"/>
        </w:rPr>
        <w:t>Que a Assembleia Geral, em seu Trigésimo Período Ordinário de Sessões, mediante a resolução AG/RES. 1757 (XXX-O/00), aprovou medidas destinadas a incentivar o pagamento oportuno das cotas e que, desde então, modificou essas medidas, conforme as resoluções AG/RES. 2157 (XXXV-O/05) e AG/RES. 1 (XLII-E/11) rev. 1</w:t>
      </w:r>
      <w:r w:rsidRPr="00D65A20">
        <w:rPr>
          <w:rFonts w:ascii="Times New Roman" w:hAnsi="Times New Roman"/>
          <w:color w:val="000000"/>
          <w:szCs w:val="22"/>
          <w:lang w:val="pt-BR" w:eastAsia="es-ES"/>
        </w:rPr>
        <w:t>;</w:t>
      </w:r>
    </w:p>
    <w:p w14:paraId="6E83471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71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contextualSpacing/>
        <w:rPr>
          <w:rFonts w:ascii="Times New Roman" w:hAnsi="Times New Roman"/>
          <w:color w:val="000000"/>
          <w:szCs w:val="22"/>
          <w:lang w:val="pt-BR" w:eastAsia="es-ES"/>
        </w:rPr>
      </w:pPr>
      <w:r w:rsidRPr="00D65A20">
        <w:rPr>
          <w:rFonts w:ascii="Times New Roman" w:eastAsia="Arial Unicode MS" w:hAnsi="Times New Roman"/>
          <w:szCs w:val="22"/>
          <w:lang w:val="pt-BR"/>
        </w:rPr>
        <w:t xml:space="preserve">Que a Assembleia Geral, em seu Trigésimo Quarto Período Extraordinário de Sessões, mediante a resolução </w:t>
      </w:r>
      <w:hyperlink r:id="rId52" w:history="1">
        <w:r w:rsidRPr="00D65A20">
          <w:rPr>
            <w:rFonts w:ascii="Times New Roman" w:eastAsia="Arial Unicode MS" w:hAnsi="Times New Roman"/>
            <w:color w:val="0000FF"/>
            <w:szCs w:val="22"/>
            <w:u w:val="single"/>
            <w:lang w:val="pt-BR"/>
          </w:rPr>
          <w:t>AG/RES. 1 (XXXIV-E/07)</w:t>
        </w:r>
      </w:hyperlink>
      <w:r w:rsidRPr="00D65A20">
        <w:rPr>
          <w:rFonts w:ascii="Times New Roman" w:eastAsia="Arial Unicode MS" w:hAnsi="Times New Roman"/>
          <w:szCs w:val="22"/>
          <w:lang w:val="pt-BR"/>
        </w:rPr>
        <w:t xml:space="preserve"> rev. 1, aprovou a Metodologia para o Cálculo da Escala de Cotas para o Financiamento do Fundo Ordinário da Organização</w:t>
      </w:r>
      <w:r w:rsidRPr="00D65A20">
        <w:rPr>
          <w:rFonts w:ascii="Times New Roman" w:hAnsi="Times New Roman"/>
          <w:color w:val="000000"/>
          <w:szCs w:val="22"/>
          <w:lang w:val="pt-BR" w:eastAsia="es-ES"/>
        </w:rPr>
        <w:t>;</w:t>
      </w:r>
    </w:p>
    <w:p w14:paraId="6E83471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71A"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contextualSpacing/>
        <w:rPr>
          <w:rFonts w:ascii="Times New Roman" w:hAnsi="Times New Roman"/>
          <w:color w:val="000000"/>
          <w:szCs w:val="22"/>
          <w:lang w:val="pt-BR" w:eastAsia="es-ES"/>
        </w:rPr>
      </w:pPr>
      <w:r w:rsidRPr="00D65A20">
        <w:rPr>
          <w:rFonts w:ascii="Times New Roman" w:eastAsia="Arial Unicode MS" w:hAnsi="Times New Roman"/>
          <w:szCs w:val="22"/>
          <w:lang w:val="pt-BR"/>
        </w:rPr>
        <w:t xml:space="preserve">Que, mediante a resolução AG/RES. 1 (LIII-E/18), “Orçamento-programa da Organização para 2019”, a Assembleia Geral aprovou a resolução </w:t>
      </w:r>
      <w:hyperlink r:id="rId53" w:history="1">
        <w:r w:rsidRPr="00D65A20">
          <w:rPr>
            <w:rFonts w:ascii="Times New Roman" w:eastAsia="Arial Unicode MS" w:hAnsi="Times New Roman"/>
            <w:color w:val="0000FF"/>
            <w:szCs w:val="22"/>
            <w:u w:val="single"/>
            <w:lang w:val="pt-BR"/>
          </w:rPr>
          <w:t>CP/RES. 1103 (2168/18)</w:t>
        </w:r>
      </w:hyperlink>
      <w:r w:rsidRPr="00D65A20">
        <w:rPr>
          <w:rFonts w:ascii="Times New Roman" w:eastAsia="Arial Unicode MS" w:hAnsi="Times New Roman"/>
          <w:szCs w:val="22"/>
          <w:lang w:val="pt-BR"/>
        </w:rPr>
        <w:t xml:space="preserve"> rev. 1, “Modificações na Metodologia para o Cálculo da Escala de Cotas para o Financiamento do Fundo Ordinário da Organização 2019–2023”, e a resolução </w:t>
      </w:r>
      <w:hyperlink r:id="rId54" w:history="1">
        <w:r w:rsidRPr="00D65A20">
          <w:rPr>
            <w:rFonts w:ascii="Times New Roman" w:eastAsia="Arial Unicode MS" w:hAnsi="Times New Roman"/>
            <w:color w:val="0000FF"/>
            <w:szCs w:val="22"/>
            <w:u w:val="single"/>
            <w:lang w:val="pt-BR"/>
          </w:rPr>
          <w:t>CP/RES. 1104 (2168/18) rev. 1</w:t>
        </w:r>
      </w:hyperlink>
      <w:r w:rsidRPr="00D65A20">
        <w:rPr>
          <w:rFonts w:ascii="Times New Roman" w:eastAsia="Arial Unicode MS" w:hAnsi="Times New Roman"/>
          <w:szCs w:val="22"/>
          <w:lang w:val="pt-BR"/>
        </w:rPr>
        <w:t>, “Realização de um estudo técnico para a análise da Metodologia para o Cálculo da Escala de Cotas para o Financiamento do Fundo Ordinário da Organização”</w:t>
      </w:r>
      <w:r w:rsidRPr="00D65A20">
        <w:rPr>
          <w:rFonts w:ascii="Times New Roman" w:hAnsi="Times New Roman"/>
          <w:color w:val="000000"/>
          <w:szCs w:val="22"/>
          <w:lang w:val="pt-BR" w:eastAsia="es-ES"/>
        </w:rPr>
        <w:t>;</w:t>
      </w:r>
    </w:p>
    <w:p w14:paraId="6E83471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71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hAnsi="Times New Roman"/>
          <w:color w:val="000000"/>
          <w:szCs w:val="22"/>
          <w:lang w:val="pt-BR" w:eastAsia="es-ES"/>
        </w:rPr>
      </w:pPr>
      <w:r w:rsidRPr="00D65A20">
        <w:rPr>
          <w:rFonts w:ascii="Times New Roman" w:eastAsia="Calibri" w:hAnsi="Times New Roman"/>
          <w:szCs w:val="22"/>
          <w:lang w:val="pt-BR"/>
        </w:rPr>
        <w:t xml:space="preserve">Que, conforme a metodologia acordada mediante a resolução </w:t>
      </w:r>
      <w:hyperlink r:id="rId55" w:history="1">
        <w:r w:rsidRPr="00D65A20">
          <w:rPr>
            <w:rFonts w:ascii="Times New Roman" w:eastAsia="Calibri" w:hAnsi="Times New Roman"/>
            <w:color w:val="0000FF"/>
            <w:szCs w:val="22"/>
            <w:u w:val="single"/>
            <w:lang w:val="pt-BR"/>
          </w:rPr>
          <w:t>CP/RES. 1103 (2168/18)</w:t>
        </w:r>
        <w:r w:rsidRPr="00D65A20">
          <w:rPr>
            <w:rFonts w:ascii="Times New Roman" w:hAnsi="Times New Roman"/>
            <w:color w:val="0000FF"/>
            <w:szCs w:val="22"/>
            <w:u w:val="single"/>
            <w:lang w:val="pt-BR"/>
          </w:rPr>
          <w:t xml:space="preserve"> rev. 1</w:t>
        </w:r>
      </w:hyperlink>
      <w:r w:rsidRPr="00D65A20">
        <w:rPr>
          <w:rFonts w:ascii="Times New Roman" w:eastAsia="Calibri" w:hAnsi="Times New Roman"/>
          <w:szCs w:val="22"/>
          <w:lang w:val="pt-BR"/>
        </w:rPr>
        <w:t>, foram fixadas as cotas percentuais dos Estados membros referentes aos anos 2019–2023</w:t>
      </w:r>
      <w:r w:rsidRPr="00D65A20">
        <w:rPr>
          <w:rFonts w:ascii="Times New Roman" w:hAnsi="Times New Roman"/>
          <w:color w:val="000000"/>
          <w:szCs w:val="22"/>
          <w:lang w:val="pt-BR" w:eastAsia="es-ES"/>
        </w:rPr>
        <w:t>;</w:t>
      </w:r>
    </w:p>
    <w:p w14:paraId="6E83471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71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hAnsi="Times New Roman"/>
          <w:color w:val="000000"/>
          <w:szCs w:val="22"/>
          <w:lang w:val="pt-BR" w:eastAsia="es-ES"/>
        </w:rPr>
      </w:pPr>
      <w:r w:rsidRPr="00D65A20">
        <w:rPr>
          <w:rFonts w:ascii="Times New Roman" w:hAnsi="Times New Roman"/>
          <w:color w:val="000000"/>
          <w:szCs w:val="22"/>
          <w:lang w:val="pt-BR" w:eastAsia="es-ES"/>
        </w:rPr>
        <w:t>Que, mediante a resolução AG/RES. 2940 (XLIX-O/19), “Orçamento-programa da Organização para 2020”, a Assembleia Geral aprovou os níveis de dotação do Fundo Ordinário, por capítulo, e encarregou a Secretaria-Geral de apresentar ao Conselho Permanente uma proposta de distribuição de recursos por subprograma, com base nos referidos totais por capítulo;</w:t>
      </w:r>
    </w:p>
    <w:p w14:paraId="6E83471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pt-BR" w:eastAsia="es-ES"/>
        </w:rPr>
      </w:pPr>
    </w:p>
    <w:p w14:paraId="6E834720" w14:textId="2B93BFB2"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hAnsi="Times New Roman"/>
          <w:color w:val="000000"/>
          <w:szCs w:val="22"/>
          <w:lang w:val="pt-BR" w:eastAsia="es-ES"/>
        </w:rPr>
      </w:pPr>
      <w:r w:rsidRPr="00D65A20">
        <w:rPr>
          <w:rFonts w:ascii="Times New Roman" w:hAnsi="Times New Roman"/>
          <w:color w:val="000000"/>
          <w:szCs w:val="22"/>
          <w:lang w:val="pt-BR" w:eastAsia="es-ES"/>
        </w:rPr>
        <w:lastRenderedPageBreak/>
        <w:t xml:space="preserve">Que o Conselho Permanente aprovou a resolução </w:t>
      </w:r>
      <w:r w:rsidRPr="00D65A20">
        <w:rPr>
          <w:rFonts w:ascii="Times New Roman" w:eastAsia="Calibri" w:hAnsi="Times New Roman"/>
          <w:szCs w:val="22"/>
          <w:lang w:val="pt-BR"/>
        </w:rPr>
        <w:t>CP/RES. 1138 (2247/19), “</w:t>
      </w:r>
      <w:r w:rsidRPr="00D65A20">
        <w:rPr>
          <w:rFonts w:ascii="Times New Roman" w:hAnsi="Times New Roman"/>
          <w:color w:val="000000"/>
          <w:szCs w:val="22"/>
          <w:lang w:val="pt-BR" w:eastAsia="es-ES"/>
        </w:rPr>
        <w:t>Aprovação da distribuição de recursos por subprograma para 2020”, em conformidade com a resolução AG/RES. 2940 (XLIX-O/19), “Orçamento-programa da Organização para 2020”;</w:t>
      </w:r>
    </w:p>
    <w:p w14:paraId="6E834721" w14:textId="77777777" w:rsidR="006B10BC" w:rsidRPr="00D65A20" w:rsidRDefault="006B10BC" w:rsidP="00DB52AC">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pt-BR" w:eastAsia="es-ES"/>
        </w:rPr>
      </w:pPr>
    </w:p>
    <w:p w14:paraId="6E83472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hAnsi="Times New Roman"/>
          <w:color w:val="000000"/>
          <w:szCs w:val="22"/>
          <w:lang w:val="pt-BR" w:eastAsia="es-ES"/>
        </w:rPr>
      </w:pPr>
      <w:r w:rsidRPr="00D65A20">
        <w:rPr>
          <w:rFonts w:ascii="Times New Roman" w:eastAsia="Calibri" w:hAnsi="Times New Roman"/>
          <w:szCs w:val="22"/>
          <w:lang w:val="pt-BR"/>
        </w:rPr>
        <w:t xml:space="preserve">Que, em conformidade com a resolução </w:t>
      </w:r>
      <w:r w:rsidRPr="00D65A20">
        <w:rPr>
          <w:rFonts w:ascii="Times New Roman" w:hAnsi="Times New Roman"/>
          <w:color w:val="000000"/>
          <w:szCs w:val="22"/>
          <w:lang w:val="pt-BR" w:eastAsia="es-ES"/>
        </w:rPr>
        <w:t>2940 (XLIX-O/19</w:t>
      </w:r>
      <w:r w:rsidRPr="00D65A20">
        <w:rPr>
          <w:rFonts w:ascii="Times New Roman" w:eastAsia="Calibri" w:hAnsi="Times New Roman"/>
          <w:color w:val="000000"/>
          <w:szCs w:val="22"/>
          <w:lang w:val="pt-BR"/>
        </w:rPr>
        <w:t>),</w:t>
      </w:r>
      <w:r w:rsidRPr="00D65A20">
        <w:rPr>
          <w:rFonts w:ascii="Times New Roman" w:hAnsi="Times New Roman"/>
          <w:color w:val="000000"/>
          <w:szCs w:val="22"/>
          <w:lang w:val="pt-BR" w:eastAsia="es-ES"/>
        </w:rPr>
        <w:t xml:space="preserve"> </w:t>
      </w:r>
      <w:r w:rsidRPr="00D65A20">
        <w:rPr>
          <w:rFonts w:ascii="Times New Roman" w:eastAsia="Calibri" w:hAnsi="Times New Roman"/>
          <w:szCs w:val="22"/>
          <w:lang w:val="pt-BR"/>
        </w:rPr>
        <w:t>a Assembleia Geral incumbiu a Secretaria-Geral de apresentar à Comissão Preparatória um projeto de nível orçamentário global para 2021, bem como o nível orçamentário global provisório para 2022, em conformidade com as regras vigentes, inclusive o ajuste relativo a custo de vida e inflação, quando seja pertinente</w:t>
      </w:r>
      <w:r w:rsidRPr="00D65A20">
        <w:rPr>
          <w:rFonts w:ascii="Times New Roman" w:hAnsi="Times New Roman"/>
          <w:color w:val="000000"/>
          <w:szCs w:val="22"/>
          <w:lang w:val="pt-BR" w:eastAsia="es-ES"/>
        </w:rPr>
        <w:t>;</w:t>
      </w:r>
    </w:p>
    <w:p w14:paraId="6E83472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pt-BR" w:eastAsia="es-ES"/>
        </w:rPr>
      </w:pPr>
    </w:p>
    <w:p w14:paraId="6E834724" w14:textId="20277518"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MS Mincho" w:hAnsi="Times New Roman"/>
          <w:color w:val="000000"/>
          <w:szCs w:val="22"/>
          <w:lang w:val="pt-BR" w:eastAsia="es-ES"/>
        </w:rPr>
      </w:pPr>
      <w:r w:rsidRPr="00D65A20">
        <w:rPr>
          <w:rFonts w:ascii="Times New Roman" w:hAnsi="Times New Roman"/>
          <w:color w:val="000000"/>
          <w:szCs w:val="22"/>
          <w:lang w:val="pt-BR" w:eastAsia="es-ES"/>
        </w:rPr>
        <w:t xml:space="preserve">Que, mediante a resolução </w:t>
      </w:r>
      <w:r w:rsidRPr="00D65A20">
        <w:rPr>
          <w:rFonts w:ascii="Times New Roman" w:eastAsia="MS Mincho" w:hAnsi="Times New Roman"/>
          <w:color w:val="000000"/>
          <w:szCs w:val="22"/>
          <w:lang w:val="pt-BR" w:eastAsia="es-ES"/>
        </w:rPr>
        <w:t>AG/RES. 2942 (XLIX-O/19), “Fortalecimento da ética, supervisão e transparência na Organização dos Estados Americanos”, a Assembleia Geral adotou medidas em relação à ética, auditorias externas e transparência, bem como modificações nas Normas Gerais</w:t>
      </w:r>
      <w:r w:rsidR="00F77183" w:rsidRPr="00D65A20">
        <w:rPr>
          <w:rFonts w:ascii="Times New Roman" w:eastAsia="MS Mincho" w:hAnsi="Times New Roman"/>
          <w:color w:val="000000"/>
          <w:szCs w:val="22"/>
          <w:lang w:val="pt-BR" w:eastAsia="es-ES"/>
        </w:rPr>
        <w:t xml:space="preserve"> para o Funcionamento da Secretaria-Geral da Organização dos Estados Unidos (Normas Gerais)</w:t>
      </w:r>
      <w:r w:rsidRPr="00D65A20">
        <w:rPr>
          <w:rFonts w:ascii="Times New Roman" w:eastAsia="MS Mincho" w:hAnsi="Times New Roman"/>
          <w:color w:val="000000"/>
          <w:szCs w:val="22"/>
          <w:lang w:val="pt-BR" w:eastAsia="es-ES"/>
        </w:rPr>
        <w:t xml:space="preserve">, e resolveu comprometer-se a </w:t>
      </w:r>
      <w:r w:rsidR="00F77183" w:rsidRPr="00D65A20">
        <w:rPr>
          <w:rFonts w:ascii="Times New Roman" w:eastAsia="MS Mincho" w:hAnsi="Times New Roman"/>
          <w:color w:val="000000"/>
          <w:szCs w:val="22"/>
          <w:lang w:val="pt-BR" w:eastAsia="es-ES"/>
        </w:rPr>
        <w:t>continuar implementando as</w:t>
      </w:r>
      <w:r w:rsidRPr="00D65A20">
        <w:rPr>
          <w:rFonts w:ascii="Times New Roman" w:eastAsia="MS Mincho" w:hAnsi="Times New Roman"/>
          <w:color w:val="000000"/>
          <w:szCs w:val="22"/>
          <w:lang w:val="pt-BR" w:eastAsia="es-ES"/>
        </w:rPr>
        <w:t xml:space="preserve"> medidas de reforma adotadas </w:t>
      </w:r>
      <w:r w:rsidR="00F77183" w:rsidRPr="00D65A20">
        <w:rPr>
          <w:rFonts w:ascii="Times New Roman" w:eastAsia="MS Mincho" w:hAnsi="Times New Roman"/>
          <w:color w:val="000000"/>
          <w:szCs w:val="22"/>
          <w:lang w:val="pt-BR" w:eastAsia="es-ES"/>
        </w:rPr>
        <w:t xml:space="preserve">até o presente com o propósito de </w:t>
      </w:r>
      <w:r w:rsidRPr="00D65A20">
        <w:rPr>
          <w:rFonts w:ascii="Times New Roman" w:eastAsia="MS Mincho" w:hAnsi="Times New Roman"/>
          <w:color w:val="000000"/>
          <w:szCs w:val="22"/>
          <w:lang w:val="pt-BR" w:eastAsia="es-ES"/>
        </w:rPr>
        <w:t xml:space="preserve">fortalecer e melhorar a transparência, </w:t>
      </w:r>
      <w:r w:rsidR="00F77183" w:rsidRPr="00D65A20">
        <w:rPr>
          <w:rFonts w:ascii="Times New Roman" w:eastAsia="MS Mincho" w:hAnsi="Times New Roman"/>
          <w:color w:val="000000"/>
          <w:szCs w:val="22"/>
          <w:lang w:val="pt-BR" w:eastAsia="es-ES"/>
        </w:rPr>
        <w:t xml:space="preserve">a </w:t>
      </w:r>
      <w:r w:rsidRPr="00D65A20">
        <w:rPr>
          <w:rFonts w:ascii="Times New Roman" w:eastAsia="MS Mincho" w:hAnsi="Times New Roman"/>
          <w:color w:val="000000"/>
          <w:szCs w:val="22"/>
          <w:lang w:val="pt-BR" w:eastAsia="es-ES"/>
        </w:rPr>
        <w:t xml:space="preserve">eficiência e </w:t>
      </w:r>
      <w:r w:rsidR="00F77183" w:rsidRPr="00D65A20">
        <w:rPr>
          <w:rFonts w:ascii="Times New Roman" w:eastAsia="MS Mincho" w:hAnsi="Times New Roman"/>
          <w:color w:val="000000"/>
          <w:szCs w:val="22"/>
          <w:lang w:val="pt-BR" w:eastAsia="es-ES"/>
        </w:rPr>
        <w:t xml:space="preserve">a </w:t>
      </w:r>
      <w:r w:rsidRPr="00D65A20">
        <w:rPr>
          <w:rFonts w:ascii="Times New Roman" w:eastAsia="MS Mincho" w:hAnsi="Times New Roman"/>
          <w:color w:val="000000"/>
          <w:szCs w:val="22"/>
          <w:lang w:val="pt-BR" w:eastAsia="es-ES"/>
        </w:rPr>
        <w:t xml:space="preserve">eficácia da </w:t>
      </w:r>
      <w:r w:rsidR="00F77183" w:rsidRPr="00D65A20">
        <w:rPr>
          <w:rFonts w:ascii="Times New Roman" w:eastAsia="MS Mincho" w:hAnsi="Times New Roman"/>
          <w:color w:val="000000"/>
          <w:szCs w:val="22"/>
          <w:lang w:val="pt-BR" w:eastAsia="es-ES"/>
        </w:rPr>
        <w:t xml:space="preserve">Organização dos Estados Americanos </w:t>
      </w:r>
      <w:r w:rsidRPr="00D65A20">
        <w:rPr>
          <w:rFonts w:ascii="Times New Roman" w:eastAsia="Calibri" w:hAnsi="Times New Roman"/>
          <w:color w:val="0D0D0E"/>
          <w:szCs w:val="22"/>
          <w:lang w:val="pt-BR"/>
        </w:rPr>
        <w:t>e continuar envidando estes e outros esforços conexos no futuro</w:t>
      </w:r>
      <w:r w:rsidRPr="00D65A20">
        <w:rPr>
          <w:rFonts w:ascii="Times New Roman" w:eastAsia="MS Mincho" w:hAnsi="Times New Roman"/>
          <w:color w:val="000000"/>
          <w:szCs w:val="22"/>
          <w:lang w:val="pt-BR" w:eastAsia="es-ES"/>
        </w:rPr>
        <w:t>;</w:t>
      </w:r>
    </w:p>
    <w:p w14:paraId="6E83472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color w:val="000000"/>
          <w:szCs w:val="22"/>
          <w:lang w:val="pt-BR" w:eastAsia="es-ES"/>
        </w:rPr>
      </w:pPr>
    </w:p>
    <w:p w14:paraId="6E834726" w14:textId="095889AC"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MS Mincho" w:hAnsi="Times New Roman"/>
          <w:color w:val="000000"/>
          <w:szCs w:val="22"/>
          <w:lang w:val="pt-BR" w:eastAsia="es-ES"/>
        </w:rPr>
      </w:pPr>
      <w:r w:rsidRPr="00D65A20">
        <w:rPr>
          <w:rFonts w:ascii="Times New Roman" w:eastAsia="Calibri" w:hAnsi="Times New Roman"/>
          <w:szCs w:val="22"/>
          <w:lang w:val="pt-BR"/>
        </w:rPr>
        <w:t xml:space="preserve">Que, em conformidade com o </w:t>
      </w:r>
      <w:r w:rsidR="00110313" w:rsidRPr="00D65A20">
        <w:rPr>
          <w:rFonts w:ascii="Times New Roman" w:eastAsia="Calibri" w:hAnsi="Times New Roman"/>
          <w:szCs w:val="22"/>
          <w:lang w:val="pt-BR"/>
        </w:rPr>
        <w:t>a</w:t>
      </w:r>
      <w:r w:rsidRPr="00D65A20">
        <w:rPr>
          <w:rFonts w:ascii="Times New Roman" w:eastAsia="Calibri" w:hAnsi="Times New Roman"/>
          <w:szCs w:val="22"/>
          <w:lang w:val="pt-BR"/>
        </w:rPr>
        <w:t>rtigo 86 das Normas Gerais, a Secretaria-Geral apresentará ao Conselho Permanente uma proposta de orçamento para a utilização da recuperação de custos indiretos (RCI), que se baseará na receita projetada equivalente a 90% da média da RCI obtida nos três anos anteriores àquele em que se aprove o orçamento-programa, e que esse orçamento de RCI será aprovado pela Assembleia Geral</w:t>
      </w:r>
      <w:r w:rsidRPr="00D65A20">
        <w:rPr>
          <w:rFonts w:ascii="Times New Roman" w:eastAsia="MS Mincho" w:hAnsi="Times New Roman"/>
          <w:color w:val="000000"/>
          <w:szCs w:val="22"/>
          <w:lang w:val="pt-BR" w:eastAsia="es-ES"/>
        </w:rPr>
        <w:t>;</w:t>
      </w:r>
    </w:p>
    <w:p w14:paraId="6E83472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color w:val="000000"/>
          <w:szCs w:val="22"/>
          <w:lang w:val="pt-BR" w:eastAsia="es-ES"/>
        </w:rPr>
      </w:pPr>
    </w:p>
    <w:p w14:paraId="6E834728" w14:textId="24A642C9"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eastAsia="Calibri" w:hAnsi="Times New Roman"/>
          <w:strike/>
          <w:szCs w:val="22"/>
          <w:lang w:val="pt-BR"/>
        </w:rPr>
      </w:pPr>
      <w:r w:rsidRPr="00D65A20">
        <w:rPr>
          <w:rFonts w:ascii="Times New Roman" w:eastAsia="Calibri" w:hAnsi="Times New Roman"/>
          <w:szCs w:val="22"/>
          <w:lang w:val="pt-BR"/>
        </w:rPr>
        <w:t xml:space="preserve">Que o financiamento do orçamento-programa inclui as receitas a título de cotas, juros e reembolsos, e outras receitas, em conformidade com o </w:t>
      </w:r>
      <w:r w:rsidR="00110313" w:rsidRPr="00D65A20">
        <w:rPr>
          <w:rFonts w:ascii="Times New Roman" w:eastAsia="Calibri" w:hAnsi="Times New Roman"/>
          <w:szCs w:val="22"/>
          <w:lang w:val="pt-BR"/>
        </w:rPr>
        <w:t>c</w:t>
      </w:r>
      <w:r w:rsidRPr="00D65A20">
        <w:rPr>
          <w:rFonts w:ascii="Times New Roman" w:eastAsia="Calibri" w:hAnsi="Times New Roman"/>
          <w:szCs w:val="22"/>
          <w:lang w:val="pt-BR"/>
        </w:rPr>
        <w:t>apítulo IV das Normas Gerais;</w:t>
      </w:r>
    </w:p>
    <w:p w14:paraId="6E83472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72A" w14:textId="195CCE72"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hAnsi="Times New Roman"/>
          <w:color w:val="000000"/>
          <w:szCs w:val="22"/>
          <w:lang w:val="pt-BR" w:eastAsia="es-ES"/>
        </w:rPr>
      </w:pPr>
      <w:r w:rsidRPr="00D65A20">
        <w:rPr>
          <w:rFonts w:ascii="Times New Roman" w:hAnsi="Times New Roman"/>
          <w:color w:val="000000"/>
          <w:szCs w:val="22"/>
          <w:lang w:val="pt-BR" w:eastAsia="es-ES"/>
        </w:rPr>
        <w:t xml:space="preserve">Que, no que se refere à Junta de Auditores Externos, o artigo 141 das Normas Gerais, dispõe que “[a] Junta submeterá seu relatório ao Conselho Permanente dentro dos quatro primeiros meses do ano” e que “[o] Conselho Permanente formulará as observações e recomendações que considerar </w:t>
      </w:r>
      <w:r w:rsidR="00110313" w:rsidRPr="00D65A20">
        <w:rPr>
          <w:rFonts w:ascii="Times New Roman" w:hAnsi="Times New Roman"/>
          <w:color w:val="000000"/>
          <w:szCs w:val="22"/>
          <w:lang w:val="pt-BR" w:eastAsia="es-ES"/>
        </w:rPr>
        <w:t>necessárias</w:t>
      </w:r>
      <w:r w:rsidRPr="00D65A20">
        <w:rPr>
          <w:rFonts w:ascii="Times New Roman" w:hAnsi="Times New Roman"/>
          <w:color w:val="000000"/>
          <w:szCs w:val="22"/>
          <w:lang w:val="pt-BR" w:eastAsia="es-ES"/>
        </w:rPr>
        <w:t>”;</w:t>
      </w:r>
      <w:r w:rsidR="00885454" w:rsidRPr="00D65A20">
        <w:rPr>
          <w:rFonts w:ascii="Times New Roman" w:hAnsi="Times New Roman"/>
          <w:color w:val="000000"/>
          <w:szCs w:val="22"/>
          <w:lang w:val="pt-BR" w:eastAsia="es-ES"/>
        </w:rPr>
        <w:t xml:space="preserve"> e</w:t>
      </w:r>
    </w:p>
    <w:p w14:paraId="6E83472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72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hAnsi="Times New Roman"/>
          <w:i/>
          <w:color w:val="000000"/>
          <w:szCs w:val="22"/>
          <w:lang w:val="pt-BR" w:eastAsia="es-ES"/>
        </w:rPr>
      </w:pPr>
      <w:r w:rsidRPr="00D65A20">
        <w:rPr>
          <w:rFonts w:ascii="Times New Roman" w:hAnsi="Times New Roman"/>
          <w:color w:val="000000"/>
          <w:szCs w:val="22"/>
          <w:lang w:val="pt-BR" w:eastAsia="es-ES"/>
        </w:rPr>
        <w:t xml:space="preserve">Que a Assembleia Geral, mediante a resolução </w:t>
      </w:r>
      <w:r w:rsidRPr="00D65A20">
        <w:rPr>
          <w:rFonts w:ascii="Times New Roman" w:hAnsi="Times New Roman"/>
          <w:bCs/>
          <w:szCs w:val="22"/>
          <w:lang w:val="pt-BR" w:eastAsia="es-ES"/>
        </w:rPr>
        <w:t>AG/RES. 2942 (XLIX-O/19), s</w:t>
      </w:r>
      <w:r w:rsidRPr="00D65A20">
        <w:rPr>
          <w:rFonts w:ascii="Times New Roman" w:eastAsia="Calibri" w:hAnsi="Times New Roman"/>
          <w:szCs w:val="22"/>
          <w:lang w:val="pt-BR"/>
        </w:rPr>
        <w:t xml:space="preserve">olicita que a </w:t>
      </w:r>
      <w:r w:rsidR="00C20F04" w:rsidRPr="00D65A20">
        <w:rPr>
          <w:rFonts w:ascii="Times New Roman" w:eastAsia="Calibri" w:hAnsi="Times New Roman"/>
          <w:szCs w:val="22"/>
          <w:lang w:val="pt-BR"/>
        </w:rPr>
        <w:t>Comissão de Assuntos Administrativos e Orçamentários (</w:t>
      </w:r>
      <w:r w:rsidRPr="00D65A20">
        <w:rPr>
          <w:rFonts w:ascii="Times New Roman" w:eastAsia="Calibri" w:hAnsi="Times New Roman"/>
          <w:szCs w:val="22"/>
          <w:lang w:val="pt-BR"/>
        </w:rPr>
        <w:t>CAAP</w:t>
      </w:r>
      <w:r w:rsidR="00C20F04" w:rsidRPr="00D65A20">
        <w:rPr>
          <w:rFonts w:ascii="Times New Roman" w:eastAsia="Calibri" w:hAnsi="Times New Roman"/>
          <w:szCs w:val="22"/>
          <w:lang w:val="pt-BR"/>
        </w:rPr>
        <w:t>)</w:t>
      </w:r>
      <w:r w:rsidRPr="00D65A20">
        <w:rPr>
          <w:rFonts w:ascii="Times New Roman" w:eastAsia="Calibri" w:hAnsi="Times New Roman"/>
          <w:szCs w:val="22"/>
          <w:lang w:val="pt-BR"/>
        </w:rPr>
        <w:t>, em colaboração com a Secretaria-Geral, prepare um relatório sobre o progresso na implementação das recomendações da Junta de Auditores Externos, que deve ser enviado ao Conselho Permanente até 1º de novembro, incluindo informações sobre a situação atual, as medidas tomadas e as próximas ações, além de identificar os principais responsáveis;</w:t>
      </w:r>
      <w:r w:rsidR="00C20F04" w:rsidRPr="00D65A20">
        <w:rPr>
          <w:rFonts w:ascii="Times New Roman" w:eastAsia="Calibri" w:hAnsi="Times New Roman"/>
          <w:szCs w:val="22"/>
          <w:lang w:val="pt-BR"/>
        </w:rPr>
        <w:t xml:space="preserve"> </w:t>
      </w:r>
    </w:p>
    <w:p w14:paraId="6E83472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pacing w:val="-2"/>
          <w:szCs w:val="22"/>
          <w:lang w:val="pt-BR"/>
        </w:rPr>
      </w:pPr>
    </w:p>
    <w:p w14:paraId="6E83472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hAnsi="Times New Roman"/>
          <w:color w:val="000000"/>
          <w:szCs w:val="22"/>
          <w:lang w:val="pt-BR" w:eastAsia="es-ES"/>
        </w:rPr>
      </w:pPr>
      <w:r w:rsidRPr="00D65A20">
        <w:rPr>
          <w:rFonts w:ascii="Times New Roman" w:eastAsia="Calibri" w:hAnsi="Times New Roman"/>
          <w:spacing w:val="-2"/>
          <w:szCs w:val="22"/>
          <w:lang w:val="pt-BR"/>
        </w:rPr>
        <w:t xml:space="preserve">TENDO VISTO </w:t>
      </w:r>
      <w:r w:rsidRPr="00D65A20">
        <w:rPr>
          <w:rFonts w:ascii="Times New Roman" w:eastAsia="Calibri" w:hAnsi="Times New Roman"/>
          <w:szCs w:val="22"/>
          <w:lang w:val="pt-BR"/>
        </w:rPr>
        <w:t>a proposta de orçamento-programa 2021 para a Organização</w:t>
      </w:r>
      <w:r w:rsidRPr="00D65A20">
        <w:rPr>
          <w:rFonts w:ascii="Times New Roman" w:hAnsi="Times New Roman"/>
          <w:color w:val="000000"/>
          <w:szCs w:val="22"/>
          <w:lang w:val="pt-BR" w:eastAsia="es-ES"/>
        </w:rPr>
        <w:t xml:space="preserve"> (</w:t>
      </w:r>
      <w:hyperlink r:id="rId56" w:history="1">
        <w:r w:rsidRPr="00D65A20">
          <w:rPr>
            <w:rFonts w:ascii="Times New Roman" w:eastAsia="Calibri" w:hAnsi="Times New Roman"/>
            <w:bCs/>
            <w:color w:val="0000FF"/>
            <w:szCs w:val="22"/>
            <w:u w:val="single"/>
            <w:lang w:val="pt-BR"/>
          </w:rPr>
          <w:t>CP/doc.5633/20</w:t>
        </w:r>
      </w:hyperlink>
      <w:r w:rsidRPr="00D65A20">
        <w:rPr>
          <w:rFonts w:ascii="Times New Roman" w:eastAsia="Calibri" w:hAnsi="Times New Roman"/>
          <w:color w:val="000000"/>
          <w:szCs w:val="22"/>
          <w:lang w:val="pt-BR"/>
        </w:rPr>
        <w:t>),</w:t>
      </w:r>
      <w:r w:rsidRPr="00D65A20">
        <w:rPr>
          <w:rFonts w:ascii="Times New Roman" w:hAnsi="Times New Roman"/>
          <w:color w:val="000000"/>
          <w:szCs w:val="22"/>
          <w:lang w:val="pt-BR" w:eastAsia="es-ES"/>
        </w:rPr>
        <w:t xml:space="preserve"> </w:t>
      </w:r>
      <w:r w:rsidRPr="00D65A20">
        <w:rPr>
          <w:rFonts w:ascii="Times New Roman" w:eastAsia="Calibri" w:hAnsi="Times New Roman"/>
          <w:szCs w:val="22"/>
          <w:lang w:val="pt-BR"/>
        </w:rPr>
        <w:t>apresentada pela Secretaria-Geral em 28 de setembro</w:t>
      </w:r>
      <w:r w:rsidR="00885454" w:rsidRPr="00D65A20">
        <w:rPr>
          <w:rFonts w:ascii="Times New Roman" w:eastAsia="Calibri" w:hAnsi="Times New Roman"/>
          <w:szCs w:val="22"/>
          <w:lang w:val="pt-BR"/>
        </w:rPr>
        <w:t xml:space="preserve"> de 2020</w:t>
      </w:r>
      <w:r w:rsidRPr="00D65A20">
        <w:rPr>
          <w:rFonts w:ascii="Times New Roman" w:eastAsia="Calibri" w:hAnsi="Times New Roman"/>
          <w:szCs w:val="22"/>
          <w:lang w:val="pt-BR"/>
        </w:rPr>
        <w:t xml:space="preserve">, e o </w:t>
      </w:r>
      <w:r w:rsidRPr="00D65A20">
        <w:rPr>
          <w:rFonts w:ascii="Times New Roman" w:eastAsia="Calibri" w:hAnsi="Times New Roman"/>
          <w:spacing w:val="-2"/>
          <w:szCs w:val="22"/>
          <w:lang w:val="pt-BR"/>
        </w:rPr>
        <w:t>Relatório Anual da Junta de Auditores Externos (</w:t>
      </w:r>
      <w:hyperlink r:id="rId57" w:history="1">
        <w:r w:rsidRPr="00D65A20">
          <w:rPr>
            <w:rFonts w:ascii="Times New Roman" w:eastAsia="Calibri" w:hAnsi="Times New Roman"/>
            <w:bCs/>
            <w:color w:val="0000FF"/>
            <w:szCs w:val="22"/>
            <w:u w:val="single"/>
            <w:lang w:val="pt-BR"/>
          </w:rPr>
          <w:t>CP/doc.5642/20</w:t>
        </w:r>
      </w:hyperlink>
      <w:r w:rsidRPr="00D65A20">
        <w:rPr>
          <w:rFonts w:ascii="Times New Roman" w:eastAsia="Calibri" w:hAnsi="Times New Roman"/>
          <w:spacing w:val="-2"/>
          <w:szCs w:val="22"/>
          <w:lang w:val="pt-BR"/>
        </w:rPr>
        <w:t>)</w:t>
      </w:r>
      <w:r w:rsidRPr="00D65A20">
        <w:rPr>
          <w:rFonts w:ascii="Times New Roman" w:eastAsia="Calibri" w:hAnsi="Times New Roman"/>
          <w:szCs w:val="22"/>
          <w:lang w:val="pt-BR"/>
        </w:rPr>
        <w:t xml:space="preserve">, apresentado </w:t>
      </w:r>
      <w:r w:rsidRPr="00D65A20">
        <w:rPr>
          <w:rFonts w:ascii="Times New Roman" w:eastAsia="Calibri" w:hAnsi="Times New Roman"/>
          <w:spacing w:val="-2"/>
          <w:szCs w:val="22"/>
          <w:lang w:val="pt-BR"/>
        </w:rPr>
        <w:t xml:space="preserve">ao Conselho Permanente </w:t>
      </w:r>
      <w:r w:rsidRPr="00D65A20">
        <w:rPr>
          <w:rFonts w:ascii="Times New Roman" w:hAnsi="Times New Roman"/>
          <w:color w:val="000000"/>
          <w:szCs w:val="22"/>
          <w:lang w:val="pt-BR" w:eastAsia="es-ES"/>
        </w:rPr>
        <w:t>em 16 de outubro de 2020;</w:t>
      </w:r>
    </w:p>
    <w:p w14:paraId="6E83472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pt-BR" w:eastAsia="es-ES"/>
        </w:rPr>
      </w:pPr>
    </w:p>
    <w:p w14:paraId="6E83473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pt-BR" w:eastAsia="es-ES"/>
        </w:rPr>
      </w:pPr>
      <w:r w:rsidRPr="00D65A20">
        <w:rPr>
          <w:rFonts w:ascii="Times New Roman" w:hAnsi="Times New Roman"/>
          <w:color w:val="000000"/>
          <w:szCs w:val="22"/>
          <w:lang w:val="pt-BR" w:eastAsia="es-ES"/>
        </w:rPr>
        <w:t>TENDO PRESENTE:</w:t>
      </w:r>
    </w:p>
    <w:p w14:paraId="6E83473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pt-BR" w:eastAsia="es-ES"/>
        </w:rPr>
      </w:pPr>
    </w:p>
    <w:p w14:paraId="6E83473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hAnsi="Times New Roman"/>
          <w:color w:val="000000"/>
          <w:szCs w:val="22"/>
          <w:lang w:val="pt-BR" w:eastAsia="es-ES"/>
        </w:rPr>
      </w:pPr>
      <w:r w:rsidRPr="00D65A20">
        <w:rPr>
          <w:rFonts w:ascii="Times New Roman" w:hAnsi="Times New Roman"/>
          <w:color w:val="000000"/>
          <w:szCs w:val="22"/>
          <w:lang w:val="pt-BR" w:eastAsia="es-ES"/>
        </w:rPr>
        <w:t xml:space="preserve">Que, sem prejuízo do Fundo Ordinário, os fundos específicos constituem uma importante fonte complementar de financiamento para as atividades da Organização e, portanto, devem respeitar </w:t>
      </w:r>
      <w:r w:rsidRPr="00D65A20">
        <w:rPr>
          <w:rFonts w:ascii="Times New Roman" w:hAnsi="Times New Roman"/>
          <w:color w:val="000000"/>
          <w:szCs w:val="22"/>
          <w:lang w:val="pt-BR" w:eastAsia="es-ES"/>
        </w:rPr>
        <w:lastRenderedPageBreak/>
        <w:t>a natureza, os propósitos e os princípios da Organização, como previstos na Carta da Organização dos Estados Americanos;</w:t>
      </w:r>
    </w:p>
    <w:p w14:paraId="6E83473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pt-BR" w:eastAsia="es-ES"/>
        </w:rPr>
      </w:pPr>
    </w:p>
    <w:p w14:paraId="6E834734" w14:textId="0392A0C0"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hAnsi="Times New Roman"/>
          <w:color w:val="000000"/>
          <w:szCs w:val="22"/>
          <w:lang w:val="pt-BR" w:eastAsia="es-ES"/>
        </w:rPr>
      </w:pPr>
      <w:r w:rsidRPr="00D65A20">
        <w:rPr>
          <w:rFonts w:ascii="Times New Roman" w:hAnsi="Times New Roman"/>
          <w:color w:val="000000"/>
          <w:szCs w:val="22"/>
          <w:lang w:val="pt-BR" w:eastAsia="es-ES"/>
        </w:rPr>
        <w:t xml:space="preserve">O “Relatório </w:t>
      </w:r>
      <w:r w:rsidR="00DC0F32" w:rsidRPr="00D65A20">
        <w:rPr>
          <w:rFonts w:ascii="Times New Roman" w:hAnsi="Times New Roman"/>
          <w:color w:val="000000"/>
          <w:szCs w:val="22"/>
          <w:lang w:val="pt-BR" w:eastAsia="es-ES"/>
        </w:rPr>
        <w:t>do Presidente</w:t>
      </w:r>
      <w:r w:rsidRPr="00D65A20">
        <w:rPr>
          <w:rFonts w:ascii="Times New Roman" w:hAnsi="Times New Roman"/>
          <w:color w:val="000000"/>
          <w:szCs w:val="22"/>
          <w:lang w:val="pt-BR" w:eastAsia="es-ES"/>
        </w:rPr>
        <w:t xml:space="preserve"> da Comissão de Assuntos Administrativos e Orçamentários sobre o Projeto de Orçamento-Programa da Organização para 2021” (CP/CAAP-</w:t>
      </w:r>
      <w:r w:rsidR="00DC0F32" w:rsidRPr="00D65A20">
        <w:rPr>
          <w:rFonts w:ascii="Times New Roman" w:hAnsi="Times New Roman"/>
          <w:color w:val="000000"/>
          <w:szCs w:val="22"/>
          <w:lang w:val="pt-BR" w:eastAsia="es-ES"/>
        </w:rPr>
        <w:t>3702</w:t>
      </w:r>
      <w:r w:rsidRPr="00D65A20">
        <w:rPr>
          <w:rFonts w:ascii="Times New Roman" w:hAnsi="Times New Roman"/>
          <w:color w:val="000000"/>
          <w:szCs w:val="22"/>
          <w:lang w:val="pt-BR" w:eastAsia="es-ES"/>
        </w:rPr>
        <w:t xml:space="preserve">/20), apresentado em conformidade com o </w:t>
      </w:r>
      <w:r w:rsidR="00110313" w:rsidRPr="00D65A20">
        <w:rPr>
          <w:rFonts w:ascii="Times New Roman" w:hAnsi="Times New Roman"/>
          <w:color w:val="000000"/>
          <w:szCs w:val="22"/>
          <w:lang w:val="pt-BR" w:eastAsia="es-ES"/>
        </w:rPr>
        <w:t>a</w:t>
      </w:r>
      <w:r w:rsidRPr="00D65A20">
        <w:rPr>
          <w:rFonts w:ascii="Times New Roman" w:hAnsi="Times New Roman"/>
          <w:color w:val="000000"/>
          <w:szCs w:val="22"/>
          <w:lang w:val="pt-BR" w:eastAsia="es-ES"/>
        </w:rPr>
        <w:t xml:space="preserve">rtigo 60, </w:t>
      </w:r>
      <w:r w:rsidRPr="00D65A20">
        <w:rPr>
          <w:rFonts w:ascii="Times New Roman" w:hAnsi="Times New Roman"/>
          <w:color w:val="000000"/>
          <w:szCs w:val="22"/>
          <w:u w:val="single"/>
          <w:lang w:val="pt-BR" w:eastAsia="es-ES"/>
        </w:rPr>
        <w:t>b</w:t>
      </w:r>
      <w:r w:rsidRPr="00D65A20">
        <w:rPr>
          <w:rFonts w:ascii="Times New Roman" w:hAnsi="Times New Roman"/>
          <w:color w:val="000000"/>
          <w:szCs w:val="22"/>
          <w:lang w:val="pt-BR" w:eastAsia="es-ES"/>
        </w:rPr>
        <w:t>, da Carta da OEA;</w:t>
      </w:r>
    </w:p>
    <w:p w14:paraId="6E834735" w14:textId="77777777" w:rsidR="00110313" w:rsidRPr="00D65A20" w:rsidRDefault="00110313" w:rsidP="00E404F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pt-BR" w:eastAsia="es-ES"/>
        </w:rPr>
      </w:pPr>
    </w:p>
    <w:p w14:paraId="6E834736" w14:textId="77777777" w:rsidR="00D230D1" w:rsidRPr="00D65A20" w:rsidRDefault="00D230D1" w:rsidP="00AA4399">
      <w:pPr>
        <w:widowControl/>
        <w:tabs>
          <w:tab w:val="clear" w:pos="1440"/>
          <w:tab w:val="clear" w:pos="2160"/>
          <w:tab w:val="clear" w:pos="2880"/>
          <w:tab w:val="clear" w:pos="3600"/>
          <w:tab w:val="clear" w:pos="4320"/>
          <w:tab w:val="clear" w:pos="5760"/>
          <w:tab w:val="clear" w:pos="6480"/>
          <w:tab w:val="clear" w:pos="7200"/>
          <w:tab w:val="clear" w:pos="7920"/>
          <w:tab w:val="left" w:pos="5715"/>
        </w:tabs>
        <w:suppressAutoHyphens/>
        <w:rPr>
          <w:rFonts w:ascii="Times New Roman" w:hAnsi="Times New Roman"/>
          <w:color w:val="000000"/>
          <w:szCs w:val="22"/>
          <w:lang w:val="pt-BR" w:eastAsia="es-ES"/>
        </w:rPr>
      </w:pPr>
      <w:r w:rsidRPr="00D65A20">
        <w:rPr>
          <w:rFonts w:ascii="Times New Roman" w:hAnsi="Times New Roman"/>
          <w:color w:val="000000"/>
          <w:szCs w:val="22"/>
          <w:lang w:val="pt-BR" w:eastAsia="es-ES"/>
        </w:rPr>
        <w:tab/>
        <w:t xml:space="preserve">Que a Assembleia Geral, mediante a resolução </w:t>
      </w:r>
      <w:hyperlink r:id="rId58" w:history="1">
        <w:r w:rsidRPr="00D65A20">
          <w:rPr>
            <w:rFonts w:ascii="Times New Roman" w:eastAsia="Calibri" w:hAnsi="Times New Roman"/>
            <w:color w:val="0000FF"/>
            <w:szCs w:val="22"/>
            <w:u w:val="single"/>
            <w:lang w:val="pt-BR"/>
          </w:rPr>
          <w:t>AG/RES. 1 (LI-E/16)</w:t>
        </w:r>
        <w:r w:rsidRPr="00D65A20">
          <w:rPr>
            <w:rFonts w:ascii="Times New Roman" w:hAnsi="Times New Roman"/>
            <w:color w:val="0000FF"/>
            <w:szCs w:val="22"/>
            <w:u w:val="single"/>
            <w:lang w:val="pt-BR"/>
          </w:rPr>
          <w:t xml:space="preserve"> rev. 1</w:t>
        </w:r>
      </w:hyperlink>
      <w:r w:rsidRPr="00D65A20">
        <w:rPr>
          <w:rFonts w:ascii="Times New Roman" w:hAnsi="Times New Roman"/>
          <w:color w:val="000000"/>
          <w:szCs w:val="22"/>
          <w:lang w:val="pt-BR" w:eastAsia="es-ES"/>
        </w:rPr>
        <w:t xml:space="preserve">, “Plano Estratégico Integral da Organização”, aprovou as linhas estratégicas e os objetivos do Plano Estratégico Integral para cada um dos pilares da Organização, bem como para as áreas de fortalecimento institucional e gestão administrativa descritas no </w:t>
      </w:r>
      <w:r w:rsidR="00DC0F32" w:rsidRPr="00D65A20">
        <w:rPr>
          <w:rFonts w:ascii="Times New Roman" w:hAnsi="Times New Roman"/>
          <w:color w:val="000000"/>
          <w:szCs w:val="22"/>
          <w:lang w:val="pt-BR" w:eastAsia="es-ES"/>
        </w:rPr>
        <w:t>a</w:t>
      </w:r>
      <w:r w:rsidRPr="00D65A20">
        <w:rPr>
          <w:rFonts w:ascii="Times New Roman" w:hAnsi="Times New Roman"/>
          <w:color w:val="000000"/>
          <w:szCs w:val="22"/>
          <w:lang w:val="pt-BR" w:eastAsia="es-ES"/>
        </w:rPr>
        <w:t>nexo I da mencionada resolução, dispondo que todas as contribuições voluntárias deverão estar de acordo com as linhas estratégicas do referido Plano;</w:t>
      </w:r>
    </w:p>
    <w:p w14:paraId="6E83473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pt-BR" w:eastAsia="es-ES"/>
        </w:rPr>
      </w:pPr>
    </w:p>
    <w:p w14:paraId="6E83473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hAnsi="Times New Roman"/>
          <w:color w:val="000000"/>
          <w:szCs w:val="22"/>
          <w:lang w:val="pt-BR" w:eastAsia="es-ES"/>
        </w:rPr>
      </w:pPr>
      <w:r w:rsidRPr="00D65A20">
        <w:rPr>
          <w:rFonts w:ascii="Times New Roman" w:hAnsi="Times New Roman"/>
          <w:color w:val="000000"/>
          <w:szCs w:val="22"/>
          <w:lang w:val="pt-BR" w:eastAsia="es-ES"/>
        </w:rPr>
        <w:t xml:space="preserve">Que o Conselho Permanente aprovou a resolução </w:t>
      </w:r>
      <w:hyperlink r:id="rId59" w:history="1">
        <w:r w:rsidRPr="00D65A20">
          <w:rPr>
            <w:rFonts w:ascii="Times New Roman" w:eastAsia="Calibri" w:hAnsi="Times New Roman"/>
            <w:bCs/>
            <w:iCs/>
            <w:color w:val="0000FF"/>
            <w:szCs w:val="22"/>
            <w:u w:val="single"/>
            <w:lang w:val="pt-BR"/>
          </w:rPr>
          <w:t>CP/RES. 1121 (2209/19)</w:t>
        </w:r>
      </w:hyperlink>
      <w:r w:rsidRPr="00D65A20">
        <w:rPr>
          <w:rFonts w:ascii="Times New Roman" w:hAnsi="Times New Roman"/>
          <w:color w:val="000000"/>
          <w:szCs w:val="22"/>
          <w:lang w:val="pt-BR" w:eastAsia="es-ES"/>
        </w:rPr>
        <w:t>, “Planejamento Estratégico da Organização”, a qual, entre outras coisas, estabelece a incorporação das informações complementares (</w:t>
      </w:r>
      <w:hyperlink r:id="rId60" w:history="1">
        <w:r w:rsidRPr="00D65A20">
          <w:rPr>
            <w:rFonts w:ascii="Times New Roman" w:eastAsia="Calibri" w:hAnsi="Times New Roman"/>
            <w:iCs/>
            <w:color w:val="0000FF"/>
            <w:szCs w:val="22"/>
            <w:u w:val="single"/>
            <w:lang w:val="pt-BR"/>
          </w:rPr>
          <w:t>CP/doc.5469/19</w:t>
        </w:r>
      </w:hyperlink>
      <w:r w:rsidRPr="00D65A20">
        <w:rPr>
          <w:rFonts w:ascii="Times New Roman" w:hAnsi="Times New Roman"/>
          <w:color w:val="000000"/>
          <w:szCs w:val="22"/>
          <w:lang w:val="pt-BR" w:eastAsia="es-ES"/>
        </w:rPr>
        <w:t xml:space="preserve">) no Plano Estratégico Integral da Organização. A referida resolução encarrega a Secretaria-Geral de apresentar ao Conselho Permanente e ao </w:t>
      </w:r>
      <w:r w:rsidR="00AD1B7D" w:rsidRPr="00D65A20">
        <w:rPr>
          <w:rFonts w:ascii="Times New Roman" w:hAnsi="Times New Roman"/>
          <w:color w:val="000000"/>
          <w:szCs w:val="22"/>
          <w:lang w:val="pt-BR" w:eastAsia="es-ES"/>
        </w:rPr>
        <w:t>Conselho Interamericano de Desenvolvimento Integral (</w:t>
      </w:r>
      <w:r w:rsidRPr="00D65A20">
        <w:rPr>
          <w:rFonts w:ascii="Times New Roman" w:hAnsi="Times New Roman"/>
          <w:color w:val="000000"/>
          <w:szCs w:val="22"/>
          <w:lang w:val="pt-BR" w:eastAsia="es-ES"/>
        </w:rPr>
        <w:t>CIDI</w:t>
      </w:r>
      <w:r w:rsidR="00AD1B7D" w:rsidRPr="00D65A20">
        <w:rPr>
          <w:rFonts w:ascii="Times New Roman" w:hAnsi="Times New Roman"/>
          <w:color w:val="000000"/>
          <w:szCs w:val="22"/>
          <w:lang w:val="pt-BR" w:eastAsia="es-ES"/>
        </w:rPr>
        <w:t>)</w:t>
      </w:r>
      <w:r w:rsidRPr="00D65A20">
        <w:rPr>
          <w:rFonts w:ascii="Times New Roman" w:hAnsi="Times New Roman"/>
          <w:color w:val="000000"/>
          <w:szCs w:val="22"/>
          <w:lang w:val="pt-BR" w:eastAsia="es-ES"/>
        </w:rPr>
        <w:t xml:space="preserve"> um relatório de desempenho até 30 de setembro de 2019.</w:t>
      </w:r>
    </w:p>
    <w:p w14:paraId="6E83473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pt-BR" w:eastAsia="es-ES"/>
        </w:rPr>
      </w:pPr>
    </w:p>
    <w:p w14:paraId="6E83473A" w14:textId="0F143AFB"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hAnsi="Times New Roman"/>
          <w:color w:val="000000"/>
          <w:szCs w:val="22"/>
          <w:lang w:val="pt-BR" w:eastAsia="es-ES"/>
        </w:rPr>
      </w:pPr>
      <w:r w:rsidRPr="00D65A20">
        <w:rPr>
          <w:rFonts w:ascii="Times New Roman" w:hAnsi="Times New Roman"/>
          <w:color w:val="000000"/>
          <w:szCs w:val="22"/>
          <w:lang w:val="pt-BR" w:eastAsia="es-ES"/>
        </w:rPr>
        <w:t xml:space="preserve">Que, ademais, em função do estipulado oportunamente no sentido de que, antes de 30 de setembro de 2020, a Secretaria-Geral </w:t>
      </w:r>
      <w:r w:rsidR="00885454" w:rsidRPr="00D65A20">
        <w:rPr>
          <w:rFonts w:ascii="Times New Roman" w:hAnsi="Times New Roman"/>
          <w:color w:val="000000"/>
          <w:szCs w:val="22"/>
          <w:lang w:val="pt-BR" w:eastAsia="es-ES"/>
        </w:rPr>
        <w:t xml:space="preserve">deveria apresentar </w:t>
      </w:r>
      <w:r w:rsidRPr="00D65A20">
        <w:rPr>
          <w:rFonts w:ascii="Times New Roman" w:hAnsi="Times New Roman"/>
          <w:color w:val="000000"/>
          <w:szCs w:val="22"/>
          <w:lang w:val="pt-BR" w:eastAsia="es-ES"/>
        </w:rPr>
        <w:t>ao Conselho Permanente e ao CIDI um relatório detalhado sobre o funcionamento e o cumprimento do Plano Estratégico Integral para 2019–2020, o referido relatório deverá ser submetido à consideração dos Estados membros e posteriormente encaminhado à Assembleia Geral, a fim de servir de base para a elaboração do Plano Estratégico Integral da Organização para o período 2021–2024;</w:t>
      </w:r>
    </w:p>
    <w:p w14:paraId="6E83473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73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eastAsia="Calibri" w:hAnsi="Times New Roman"/>
          <w:szCs w:val="22"/>
          <w:lang w:val="pt-BR"/>
        </w:rPr>
      </w:pPr>
      <w:r w:rsidRPr="00D65A20">
        <w:rPr>
          <w:rFonts w:ascii="Times New Roman" w:eastAsia="Calibri" w:hAnsi="Times New Roman"/>
          <w:bCs/>
          <w:szCs w:val="22"/>
          <w:lang w:val="pt-BR"/>
        </w:rPr>
        <w:t xml:space="preserve">A resolução </w:t>
      </w:r>
      <w:r w:rsidRPr="00D65A20">
        <w:rPr>
          <w:rFonts w:ascii="Times New Roman" w:eastAsia="Calibri" w:hAnsi="Times New Roman"/>
          <w:szCs w:val="22"/>
          <w:lang w:val="pt-BR"/>
        </w:rPr>
        <w:t xml:space="preserve">AG/RES. 2923 (XLVIII-O/18), </w:t>
      </w:r>
      <w:r w:rsidRPr="00D65A20">
        <w:rPr>
          <w:rFonts w:ascii="Times New Roman" w:eastAsia="Calibri" w:hAnsi="Times New Roman"/>
          <w:bCs/>
          <w:szCs w:val="22"/>
          <w:lang w:val="pt-BR"/>
        </w:rPr>
        <w:t>“Progresso na prestação de contas, eficiência e eficácia, e nos resultados da Secretaria-Geral da OEA”;</w:t>
      </w:r>
    </w:p>
    <w:p w14:paraId="6E83473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73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eastAsia="Calibri" w:hAnsi="Times New Roman"/>
          <w:i/>
          <w:szCs w:val="22"/>
          <w:lang w:val="pt-BR"/>
        </w:rPr>
      </w:pPr>
      <w:r w:rsidRPr="00D65A20">
        <w:rPr>
          <w:rFonts w:ascii="Times New Roman" w:eastAsia="Calibri" w:hAnsi="Times New Roman"/>
          <w:bCs/>
          <w:szCs w:val="22"/>
          <w:lang w:val="pt-BR"/>
        </w:rPr>
        <w:t xml:space="preserve">Que, mediante a resolução </w:t>
      </w:r>
      <w:hyperlink r:id="rId61" w:history="1">
        <w:r w:rsidRPr="00D65A20">
          <w:rPr>
            <w:rFonts w:ascii="Times New Roman" w:eastAsia="Calibri" w:hAnsi="Times New Roman"/>
            <w:color w:val="0000FF"/>
            <w:szCs w:val="22"/>
            <w:u w:val="single"/>
            <w:lang w:val="pt-BR"/>
          </w:rPr>
          <w:t>AG/RES. 2892 (XLVI-O/16)</w:t>
        </w:r>
      </w:hyperlink>
      <w:r w:rsidRPr="00D65A20">
        <w:rPr>
          <w:rFonts w:ascii="Times New Roman" w:eastAsia="Calibri" w:hAnsi="Times New Roman"/>
          <w:szCs w:val="22"/>
          <w:lang w:val="pt-BR"/>
        </w:rPr>
        <w:t>,</w:t>
      </w:r>
      <w:r w:rsidRPr="00D65A20">
        <w:rPr>
          <w:rFonts w:ascii="Times New Roman" w:eastAsia="Calibri" w:hAnsi="Times New Roman"/>
          <w:bCs/>
          <w:szCs w:val="22"/>
          <w:lang w:val="pt-BR"/>
        </w:rPr>
        <w:t xml:space="preserve"> “Modernização da gestão”, a Assembleia Geral resolveu continuar apoiando a implementação da Visão Estratégica e a iniciativa de modernização da gestão, como um quadro integral;</w:t>
      </w:r>
    </w:p>
    <w:p w14:paraId="6E83473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i/>
          <w:szCs w:val="22"/>
          <w:lang w:val="pt-BR"/>
        </w:rPr>
      </w:pPr>
    </w:p>
    <w:p w14:paraId="6E83474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eastAsia="Calibri" w:hAnsi="Times New Roman"/>
          <w:bCs/>
          <w:szCs w:val="22"/>
          <w:lang w:val="pt-BR"/>
        </w:rPr>
      </w:pPr>
      <w:r w:rsidRPr="00D65A20">
        <w:rPr>
          <w:rFonts w:ascii="Times New Roman" w:eastAsia="Calibri" w:hAnsi="Times New Roman"/>
          <w:bCs/>
          <w:szCs w:val="22"/>
          <w:lang w:val="pt-BR"/>
        </w:rPr>
        <w:t xml:space="preserve">Que, em conformidade com a política da paridade de salários com as Nações Unidas, estabelecida na resolução </w:t>
      </w:r>
      <w:hyperlink r:id="rId62" w:history="1">
        <w:r w:rsidRPr="00D65A20">
          <w:rPr>
            <w:rFonts w:ascii="Times New Roman" w:eastAsia="Calibri" w:hAnsi="Times New Roman"/>
            <w:color w:val="0000FF"/>
            <w:szCs w:val="22"/>
            <w:u w:val="single"/>
            <w:lang w:val="pt-BR"/>
          </w:rPr>
          <w:t>AG/RES. 1319 (XXV-O/95)</w:t>
        </w:r>
      </w:hyperlink>
      <w:r w:rsidRPr="00D65A20">
        <w:rPr>
          <w:rFonts w:ascii="Times New Roman" w:hAnsi="Times New Roman"/>
          <w:color w:val="000000"/>
          <w:szCs w:val="22"/>
          <w:lang w:val="pt-BR" w:eastAsia="es-ES"/>
        </w:rPr>
        <w:t xml:space="preserve"> </w:t>
      </w:r>
      <w:r w:rsidRPr="00D65A20">
        <w:rPr>
          <w:rFonts w:ascii="Times New Roman" w:eastAsia="Calibri" w:hAnsi="Times New Roman"/>
          <w:bCs/>
          <w:szCs w:val="22"/>
          <w:lang w:val="pt-BR"/>
        </w:rPr>
        <w:t xml:space="preserve">e no </w:t>
      </w:r>
      <w:r w:rsidR="00DC0F32" w:rsidRPr="00D65A20">
        <w:rPr>
          <w:rFonts w:ascii="Times New Roman" w:eastAsia="Calibri" w:hAnsi="Times New Roman"/>
          <w:bCs/>
          <w:szCs w:val="22"/>
          <w:lang w:val="pt-BR"/>
        </w:rPr>
        <w:t>a</w:t>
      </w:r>
      <w:r w:rsidRPr="00D65A20">
        <w:rPr>
          <w:rFonts w:ascii="Times New Roman" w:eastAsia="Calibri" w:hAnsi="Times New Roman"/>
          <w:bCs/>
          <w:szCs w:val="22"/>
          <w:lang w:val="pt-BR"/>
        </w:rPr>
        <w:t xml:space="preserve">rtigo 40 das Normas Gerais, o Secretário-Geral realizou, em </w:t>
      </w:r>
      <w:r w:rsidRPr="00D65A20">
        <w:rPr>
          <w:rFonts w:ascii="Times New Roman" w:hAnsi="Times New Roman"/>
          <w:color w:val="000000"/>
          <w:szCs w:val="22"/>
          <w:lang w:val="pt-BR" w:eastAsia="es-ES"/>
        </w:rPr>
        <w:t>2020</w:t>
      </w:r>
      <w:r w:rsidRPr="00D65A20">
        <w:rPr>
          <w:rFonts w:ascii="Times New Roman" w:eastAsia="Calibri" w:hAnsi="Times New Roman"/>
          <w:bCs/>
          <w:szCs w:val="22"/>
          <w:lang w:val="pt-BR"/>
        </w:rPr>
        <w:t>, ajustes nas escalas de salários básicos da Secretaria-Geral e implementou os ajustes por lugar de exercício promulgados pela Comissão de Administração Pública Internacional;</w:t>
      </w:r>
    </w:p>
    <w:p w14:paraId="6E83474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74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eastAsia="Calibri" w:hAnsi="Times New Roman"/>
          <w:b/>
          <w:bCs/>
          <w:szCs w:val="22"/>
          <w:lang w:val="pt-BR"/>
        </w:rPr>
      </w:pPr>
      <w:r w:rsidRPr="00D65A20">
        <w:rPr>
          <w:rFonts w:ascii="Times New Roman" w:eastAsia="Calibri" w:hAnsi="Times New Roman"/>
          <w:bCs/>
          <w:szCs w:val="22"/>
          <w:lang w:val="pt-BR"/>
        </w:rPr>
        <w:t xml:space="preserve">Que, de acordo com o artigo </w:t>
      </w:r>
      <w:r w:rsidRPr="00D65A20">
        <w:rPr>
          <w:rFonts w:ascii="Times New Roman" w:hAnsi="Times New Roman"/>
          <w:color w:val="000000"/>
          <w:szCs w:val="22"/>
          <w:lang w:val="pt-BR" w:eastAsia="es-ES"/>
        </w:rPr>
        <w:t xml:space="preserve">78, </w:t>
      </w:r>
      <w:r w:rsidRPr="00D65A20">
        <w:rPr>
          <w:rFonts w:ascii="Times New Roman" w:eastAsia="Calibri" w:hAnsi="Times New Roman"/>
          <w:bCs/>
          <w:szCs w:val="22"/>
          <w:u w:val="single"/>
          <w:lang w:val="pt-BR"/>
        </w:rPr>
        <w:t>b</w:t>
      </w:r>
      <w:r w:rsidRPr="00D65A20">
        <w:rPr>
          <w:rFonts w:ascii="Times New Roman" w:eastAsia="Calibri" w:hAnsi="Times New Roman"/>
          <w:bCs/>
          <w:szCs w:val="22"/>
          <w:lang w:val="pt-BR"/>
        </w:rPr>
        <w:t>, das Normas Gerais, com o propósito de assegurar o normal e contínuo funcionamento financeiro da Secretaria-Geral, o Subfundo de Reserva do Fundo Ordinário deve corresponder a 30% do total das cotas anuais dos Estados membros</w:t>
      </w:r>
      <w:r w:rsidRPr="00D65A20">
        <w:rPr>
          <w:rFonts w:ascii="Times New Roman" w:eastAsia="Calibri" w:hAnsi="Times New Roman"/>
          <w:b/>
          <w:bCs/>
          <w:szCs w:val="22"/>
          <w:lang w:val="pt-BR"/>
        </w:rPr>
        <w:t>;</w:t>
      </w:r>
    </w:p>
    <w:p w14:paraId="6E83474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bCs/>
          <w:szCs w:val="22"/>
          <w:lang w:val="pt-BR"/>
        </w:rPr>
      </w:pPr>
    </w:p>
    <w:p w14:paraId="6E834744" w14:textId="47BFB4D3"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eastAsia="Calibri" w:hAnsi="Times New Roman"/>
          <w:bCs/>
          <w:szCs w:val="22"/>
          <w:lang w:val="pt-BR"/>
        </w:rPr>
      </w:pPr>
      <w:r w:rsidRPr="00D65A20">
        <w:rPr>
          <w:rFonts w:ascii="Times New Roman" w:eastAsia="Calibri" w:hAnsi="Times New Roman"/>
          <w:bCs/>
          <w:szCs w:val="22"/>
          <w:lang w:val="pt-BR"/>
        </w:rPr>
        <w:t>Que o referido fundo não conta com recursos suficientes para cumprir seu propósito, e que</w:t>
      </w:r>
      <w:r w:rsidR="00885454" w:rsidRPr="00D65A20">
        <w:rPr>
          <w:rFonts w:ascii="Times New Roman" w:eastAsia="Calibri" w:hAnsi="Times New Roman"/>
          <w:bCs/>
          <w:szCs w:val="22"/>
          <w:lang w:val="pt-BR"/>
        </w:rPr>
        <w:t>, portanto,</w:t>
      </w:r>
      <w:r w:rsidRPr="00D65A20">
        <w:rPr>
          <w:rFonts w:ascii="Times New Roman" w:eastAsia="Calibri" w:hAnsi="Times New Roman"/>
          <w:bCs/>
          <w:szCs w:val="22"/>
          <w:lang w:val="pt-BR"/>
        </w:rPr>
        <w:t xml:space="preserve"> é recomendável que se realiz</w:t>
      </w:r>
      <w:r w:rsidR="00885454" w:rsidRPr="00D65A20">
        <w:rPr>
          <w:rFonts w:ascii="Times New Roman" w:eastAsia="Calibri" w:hAnsi="Times New Roman"/>
          <w:bCs/>
          <w:szCs w:val="22"/>
          <w:lang w:val="pt-BR"/>
        </w:rPr>
        <w:t>em</w:t>
      </w:r>
      <w:r w:rsidRPr="00D65A20">
        <w:rPr>
          <w:rFonts w:ascii="Times New Roman" w:eastAsia="Calibri" w:hAnsi="Times New Roman"/>
          <w:bCs/>
          <w:szCs w:val="22"/>
          <w:lang w:val="pt-BR"/>
        </w:rPr>
        <w:t xml:space="preserve"> esforços para aumentar as referidas reservas, como, por </w:t>
      </w:r>
      <w:r w:rsidRPr="00D65A20">
        <w:rPr>
          <w:rFonts w:ascii="Times New Roman" w:eastAsia="Calibri" w:hAnsi="Times New Roman"/>
          <w:bCs/>
          <w:szCs w:val="22"/>
          <w:lang w:val="pt-BR"/>
        </w:rPr>
        <w:lastRenderedPageBreak/>
        <w:t xml:space="preserve">exemplo, estabelecer, </w:t>
      </w:r>
      <w:r w:rsidRPr="00D65A20">
        <w:rPr>
          <w:rFonts w:ascii="Times New Roman" w:eastAsia="Calibri" w:hAnsi="Times New Roman"/>
          <w:bCs/>
          <w:i/>
          <w:szCs w:val="22"/>
          <w:lang w:val="pt-BR"/>
        </w:rPr>
        <w:t>a priori</w:t>
      </w:r>
      <w:r w:rsidRPr="00D65A20">
        <w:rPr>
          <w:rFonts w:ascii="Times New Roman" w:eastAsia="Calibri" w:hAnsi="Times New Roman"/>
          <w:bCs/>
          <w:szCs w:val="22"/>
          <w:lang w:val="pt-BR"/>
        </w:rPr>
        <w:t>, o limite de gastos do Fundo Ordinário em um nível inferior ao total bruto das cotas;</w:t>
      </w:r>
    </w:p>
    <w:p w14:paraId="6E83474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bCs/>
          <w:szCs w:val="22"/>
          <w:lang w:val="pt-BR"/>
        </w:rPr>
      </w:pPr>
    </w:p>
    <w:p w14:paraId="6E83474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eastAsia="Calibri" w:hAnsi="Times New Roman"/>
          <w:szCs w:val="22"/>
          <w:lang w:val="pt-BR"/>
        </w:rPr>
      </w:pPr>
      <w:r w:rsidRPr="00D65A20">
        <w:rPr>
          <w:rFonts w:ascii="Times New Roman" w:eastAsia="Calibri" w:hAnsi="Times New Roman"/>
          <w:szCs w:val="22"/>
          <w:lang w:val="pt-BR"/>
        </w:rPr>
        <w:t>RECONHECENDO as restrições financeiras enfrentadas pela Organização e recordando os artigos 36 e 37 do Regulamento do Conselho Permanente;</w:t>
      </w:r>
    </w:p>
    <w:p w14:paraId="6E834747" w14:textId="77777777" w:rsidR="00AD1B7D" w:rsidRPr="00D65A20" w:rsidRDefault="00AD1B7D" w:rsidP="00DC0F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748" w14:textId="77777777" w:rsidR="00D230D1" w:rsidRPr="00D65A20" w:rsidRDefault="00D230D1" w:rsidP="00DC0F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pt-BR"/>
        </w:rPr>
      </w:pPr>
      <w:r w:rsidRPr="00D65A20">
        <w:rPr>
          <w:rFonts w:ascii="Times New Roman" w:eastAsia="Calibri" w:hAnsi="Times New Roman"/>
          <w:szCs w:val="22"/>
          <w:lang w:val="pt-BR"/>
        </w:rPr>
        <w:t>TENDO PRESENTE:</w:t>
      </w:r>
    </w:p>
    <w:p w14:paraId="6E83474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Arial Unicode MS" w:hAnsi="Times New Roman"/>
          <w:bCs/>
          <w:szCs w:val="22"/>
          <w:lang w:val="pt-BR"/>
        </w:rPr>
      </w:pPr>
    </w:p>
    <w:p w14:paraId="6E83474A"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eastAsia="Calibri" w:hAnsi="Times New Roman"/>
          <w:bCs/>
          <w:szCs w:val="22"/>
          <w:lang w:val="pt-BR"/>
        </w:rPr>
      </w:pPr>
      <w:r w:rsidRPr="00D65A20">
        <w:rPr>
          <w:rFonts w:ascii="Times New Roman" w:eastAsia="Calibri" w:hAnsi="Times New Roman"/>
          <w:szCs w:val="22"/>
          <w:lang w:val="pt-BR"/>
        </w:rPr>
        <w:t>Que o</w:t>
      </w:r>
      <w:r w:rsidRPr="00D65A20">
        <w:rPr>
          <w:rFonts w:ascii="Times New Roman" w:eastAsia="Calibri" w:hAnsi="Times New Roman"/>
          <w:color w:val="000000"/>
          <w:szCs w:val="22"/>
          <w:lang w:val="pt-BR"/>
        </w:rPr>
        <w:t xml:space="preserve"> Conselho Permanente pode continuar estudando, por meio da CAAP, medidas para fomentar o pagamento oportuno das cotas e aumentar a liquidez;</w:t>
      </w:r>
    </w:p>
    <w:p w14:paraId="6E83474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bCs/>
          <w:szCs w:val="22"/>
          <w:lang w:val="pt-BR"/>
        </w:rPr>
      </w:pPr>
    </w:p>
    <w:p w14:paraId="6E83474C" w14:textId="3DE71ACA"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eastAsia="Calibri" w:hAnsi="Times New Roman"/>
          <w:bCs/>
          <w:szCs w:val="22"/>
          <w:lang w:val="pt-BR"/>
        </w:rPr>
      </w:pPr>
      <w:r w:rsidRPr="00D65A20">
        <w:rPr>
          <w:rFonts w:ascii="Times New Roman" w:eastAsia="Calibri" w:hAnsi="Times New Roman"/>
          <w:bCs/>
          <w:szCs w:val="22"/>
          <w:lang w:val="pt-BR"/>
        </w:rPr>
        <w:t xml:space="preserve">Que, de acordo com o disposto nos artigos </w:t>
      </w:r>
      <w:r w:rsidRPr="00D65A20">
        <w:rPr>
          <w:rFonts w:ascii="Times New Roman" w:eastAsia="Calibri" w:hAnsi="Times New Roman"/>
          <w:bCs/>
          <w:color w:val="000000"/>
          <w:szCs w:val="22"/>
          <w:lang w:val="pt-BR" w:eastAsia="es-ES"/>
        </w:rPr>
        <w:t>120, 123, 128</w:t>
      </w:r>
      <w:r w:rsidRPr="00D65A20">
        <w:rPr>
          <w:rFonts w:ascii="Times New Roman" w:eastAsia="Calibri" w:hAnsi="Times New Roman"/>
          <w:bCs/>
          <w:szCs w:val="22"/>
          <w:lang w:val="pt-BR"/>
        </w:rPr>
        <w:t xml:space="preserve"> e </w:t>
      </w:r>
      <w:r w:rsidRPr="00D65A20">
        <w:rPr>
          <w:rFonts w:ascii="Times New Roman" w:eastAsia="Calibri" w:hAnsi="Times New Roman"/>
          <w:bCs/>
          <w:color w:val="000000"/>
          <w:szCs w:val="22"/>
          <w:lang w:val="pt-BR" w:eastAsia="es-ES"/>
        </w:rPr>
        <w:t xml:space="preserve">130 </w:t>
      </w:r>
      <w:r w:rsidRPr="00D65A20">
        <w:rPr>
          <w:rFonts w:ascii="Times New Roman" w:eastAsia="Calibri" w:hAnsi="Times New Roman"/>
          <w:bCs/>
          <w:szCs w:val="22"/>
          <w:lang w:val="pt-BR"/>
        </w:rPr>
        <w:t>das Normas Gerais, relativas à atribuição de tarefas ao Inspetor-Geral, cabe recordar que, entre outras tarefas, lhe compete observar o cumprimento das Normas Gerais e, em particular, estabelecer procedimentos adequados de auditoria interna que reflitam as melhores práticas internacionais, bem como apresentar relatórios trimestrais e anuais e, na medida do necessário, reunir-se com a CAAP e com o CIDI;</w:t>
      </w:r>
    </w:p>
    <w:p w14:paraId="6E83474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bCs/>
          <w:szCs w:val="22"/>
          <w:lang w:val="pt-BR"/>
        </w:rPr>
      </w:pPr>
    </w:p>
    <w:p w14:paraId="6E83474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eastAsia="Calibri" w:hAnsi="Times New Roman"/>
          <w:bCs/>
          <w:strike/>
          <w:szCs w:val="22"/>
          <w:lang w:val="pt-BR"/>
        </w:rPr>
      </w:pPr>
      <w:r w:rsidRPr="00D65A20">
        <w:rPr>
          <w:rFonts w:ascii="Times New Roman" w:eastAsia="Calibri" w:hAnsi="Times New Roman"/>
          <w:bCs/>
          <w:szCs w:val="22"/>
          <w:lang w:val="pt-BR"/>
        </w:rPr>
        <w:t xml:space="preserve">Que, em conformidade com o artigo 123 das Normas Gerais, </w:t>
      </w:r>
      <w:r w:rsidR="00885454" w:rsidRPr="00D65A20">
        <w:rPr>
          <w:rFonts w:ascii="Times New Roman" w:eastAsia="Calibri" w:hAnsi="Times New Roman"/>
          <w:bCs/>
          <w:szCs w:val="22"/>
          <w:lang w:val="pt-BR"/>
        </w:rPr>
        <w:t>“[</w:t>
      </w:r>
      <w:r w:rsidRPr="00D65A20">
        <w:rPr>
          <w:rFonts w:ascii="Times New Roman" w:eastAsia="Calibri" w:hAnsi="Times New Roman"/>
          <w:bCs/>
          <w:szCs w:val="22"/>
          <w:lang w:val="pt-BR"/>
        </w:rPr>
        <w:t>o</w:t>
      </w:r>
      <w:r w:rsidR="00885454" w:rsidRPr="00D65A20">
        <w:rPr>
          <w:rFonts w:ascii="Times New Roman" w:eastAsia="Calibri" w:hAnsi="Times New Roman"/>
          <w:bCs/>
          <w:szCs w:val="22"/>
          <w:lang w:val="pt-BR"/>
        </w:rPr>
        <w:t>]</w:t>
      </w:r>
      <w:r w:rsidRPr="00D65A20">
        <w:rPr>
          <w:rFonts w:ascii="Times New Roman" w:eastAsia="Calibri" w:hAnsi="Times New Roman"/>
          <w:bCs/>
          <w:szCs w:val="22"/>
          <w:lang w:val="pt-BR"/>
        </w:rPr>
        <w:t xml:space="preserve"> Escritório do Inspetor-Geral é a dependência responsável por exercer as funções de </w:t>
      </w:r>
      <w:r w:rsidRPr="00D65A20">
        <w:rPr>
          <w:rFonts w:ascii="Times New Roman" w:eastAsia="Calibri" w:hAnsi="Times New Roman"/>
          <w:color w:val="000000"/>
          <w:szCs w:val="22"/>
          <w:lang w:val="pt-BR"/>
        </w:rPr>
        <w:t>auditoria financeira, administrativa e operacional, com a finalidade de determinar o grau de cumprimento, pela Secretaria-Geral, dos objetivos dos diversos programas e da eficiência, economia e transparência com que se utilizam os recursos, bem como por formular recomendações para o melhoramento da gestão da Secretaria-Geral</w:t>
      </w:r>
      <w:r w:rsidR="00885454" w:rsidRPr="00D65A20">
        <w:rPr>
          <w:rFonts w:ascii="Times New Roman" w:eastAsia="Calibri" w:hAnsi="Times New Roman"/>
          <w:color w:val="000000"/>
          <w:szCs w:val="22"/>
          <w:lang w:val="pt-BR"/>
        </w:rPr>
        <w:t>”</w:t>
      </w:r>
      <w:r w:rsidRPr="00D65A20">
        <w:rPr>
          <w:rFonts w:ascii="Times New Roman" w:eastAsia="Calibri" w:hAnsi="Times New Roman"/>
          <w:color w:val="000000"/>
          <w:szCs w:val="22"/>
          <w:lang w:val="pt-BR"/>
        </w:rPr>
        <w:t>;</w:t>
      </w:r>
      <w:r w:rsidR="00885454" w:rsidRPr="00D65A20">
        <w:rPr>
          <w:rFonts w:ascii="Times New Roman" w:eastAsia="Calibri" w:hAnsi="Times New Roman"/>
          <w:color w:val="000000"/>
          <w:szCs w:val="22"/>
          <w:lang w:val="pt-BR"/>
        </w:rPr>
        <w:t xml:space="preserve"> e</w:t>
      </w:r>
    </w:p>
    <w:p w14:paraId="6E83474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trike/>
          <w:szCs w:val="22"/>
          <w:lang w:val="pt-BR"/>
        </w:rPr>
      </w:pPr>
    </w:p>
    <w:p w14:paraId="6E834750" w14:textId="7FB1415B"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eastAsia="Calibri" w:hAnsi="Times New Roman"/>
          <w:b/>
          <w:bCs/>
          <w:szCs w:val="22"/>
          <w:lang w:val="pt-BR"/>
        </w:rPr>
      </w:pPr>
      <w:r w:rsidRPr="00D65A20">
        <w:rPr>
          <w:rFonts w:ascii="Times New Roman" w:eastAsia="Calibri" w:hAnsi="Times New Roman"/>
          <w:bCs/>
          <w:szCs w:val="22"/>
          <w:lang w:val="pt-BR"/>
        </w:rPr>
        <w:t xml:space="preserve">Que a resolução AG/RES. 2942 (XLIX-O/19), em seu parágrafo resolutivo 1, </w:t>
      </w:r>
      <w:r w:rsidRPr="00D65A20">
        <w:rPr>
          <w:rFonts w:ascii="Times New Roman" w:eastAsia="Calibri" w:hAnsi="Times New Roman"/>
          <w:bCs/>
          <w:szCs w:val="22"/>
          <w:u w:val="single"/>
          <w:lang w:val="pt-BR"/>
        </w:rPr>
        <w:t>b</w:t>
      </w:r>
      <w:r w:rsidRPr="00D65A20">
        <w:rPr>
          <w:rFonts w:ascii="Times New Roman" w:eastAsia="Calibri" w:hAnsi="Times New Roman"/>
          <w:bCs/>
          <w:szCs w:val="22"/>
          <w:lang w:val="pt-BR"/>
        </w:rPr>
        <w:t xml:space="preserve">, </w:t>
      </w:r>
      <w:r w:rsidRPr="00D65A20">
        <w:rPr>
          <w:rFonts w:ascii="Times New Roman" w:eastAsia="Calibri" w:hAnsi="Times New Roman"/>
          <w:szCs w:val="22"/>
          <w:lang w:val="pt-BR"/>
        </w:rPr>
        <w:t xml:space="preserve">instrui o Escritório do Inspetor-Geral e </w:t>
      </w:r>
      <w:r w:rsidR="00CD1EB1" w:rsidRPr="00D65A20">
        <w:rPr>
          <w:rFonts w:ascii="Times New Roman" w:eastAsia="Calibri" w:hAnsi="Times New Roman"/>
          <w:szCs w:val="22"/>
          <w:lang w:val="pt-BR"/>
        </w:rPr>
        <w:t>a Ouvidoria</w:t>
      </w:r>
      <w:r w:rsidRPr="00D65A20">
        <w:rPr>
          <w:rFonts w:ascii="Times New Roman" w:eastAsia="Calibri" w:hAnsi="Times New Roman"/>
          <w:szCs w:val="22"/>
          <w:lang w:val="pt-BR"/>
        </w:rPr>
        <w:t xml:space="preserve"> a </w:t>
      </w:r>
      <w:r w:rsidR="00885454" w:rsidRPr="00D65A20">
        <w:rPr>
          <w:rFonts w:ascii="Times New Roman" w:eastAsia="Calibri" w:hAnsi="Times New Roman"/>
          <w:szCs w:val="22"/>
          <w:lang w:val="pt-BR"/>
        </w:rPr>
        <w:t>“</w:t>
      </w:r>
      <w:r w:rsidRPr="00D65A20">
        <w:rPr>
          <w:rFonts w:ascii="Times New Roman" w:eastAsia="Calibri" w:hAnsi="Times New Roman"/>
          <w:szCs w:val="22"/>
          <w:lang w:val="pt-BR"/>
        </w:rPr>
        <w:t>fornecerem aos Estados membros um relatório sobre o número de casos de assédio tratados anualmente, o tempo de investigação de cada caso, e as medidas tomadas para responsabilizar os assediadores, bem como identificarem qualquer brecha observada na política sobre assédio</w:t>
      </w:r>
      <w:r w:rsidR="00885454" w:rsidRPr="00D65A20">
        <w:rPr>
          <w:rFonts w:ascii="Times New Roman" w:eastAsia="Calibri" w:hAnsi="Times New Roman"/>
          <w:szCs w:val="22"/>
          <w:lang w:val="pt-BR"/>
        </w:rPr>
        <w:t>”</w:t>
      </w:r>
      <w:r w:rsidRPr="00D65A20">
        <w:rPr>
          <w:rFonts w:ascii="Times New Roman" w:eastAsia="Calibri" w:hAnsi="Times New Roman"/>
          <w:szCs w:val="22"/>
          <w:lang w:val="pt-BR"/>
        </w:rPr>
        <w:t>;</w:t>
      </w:r>
    </w:p>
    <w:p w14:paraId="6E83475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75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r w:rsidRPr="00D65A20">
        <w:rPr>
          <w:rFonts w:ascii="Times New Roman" w:hAnsi="Times New Roman"/>
          <w:color w:val="000000"/>
          <w:szCs w:val="22"/>
          <w:lang w:val="pt-BR" w:eastAsia="es-ES"/>
        </w:rPr>
        <w:t>LEVANDO EM CONTA:</w:t>
      </w:r>
    </w:p>
    <w:p w14:paraId="6E83475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b/>
          <w:bCs/>
          <w:szCs w:val="22"/>
          <w:lang w:val="pt-BR"/>
        </w:rPr>
      </w:pPr>
    </w:p>
    <w:p w14:paraId="6E83475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eastAsia="Calibri" w:hAnsi="Times New Roman"/>
          <w:bCs/>
          <w:szCs w:val="22"/>
          <w:lang w:val="pt-BR"/>
        </w:rPr>
      </w:pPr>
      <w:r w:rsidRPr="00D65A20">
        <w:rPr>
          <w:rFonts w:ascii="Times New Roman" w:eastAsia="Calibri" w:hAnsi="Times New Roman"/>
          <w:bCs/>
          <w:szCs w:val="22"/>
          <w:lang w:val="pt-BR"/>
        </w:rPr>
        <w:t xml:space="preserve">A decisão adotada pelo Conselho Permanente, constante do documento </w:t>
      </w:r>
      <w:r w:rsidRPr="00D65A20">
        <w:rPr>
          <w:rFonts w:ascii="Times New Roman" w:eastAsia="Calibri" w:hAnsi="Times New Roman"/>
          <w:bCs/>
          <w:szCs w:val="22"/>
          <w:lang w:val="pt-BR" w:eastAsia="es-ES"/>
        </w:rPr>
        <w:t xml:space="preserve">CP/CAAP-3658/20 rev. 1, no qual informa que os Estados membros decidiram, por consenso, suspender o projeto de bens imóveis que havia sido encomendado mediante a resolução AG/RES. 2911 (XLVII-O/17), </w:t>
      </w:r>
      <w:r w:rsidRPr="00D65A20">
        <w:rPr>
          <w:rFonts w:ascii="Times New Roman" w:eastAsia="Calibri" w:hAnsi="Times New Roman"/>
          <w:szCs w:val="22"/>
          <w:lang w:val="pt-BR"/>
        </w:rPr>
        <w:t xml:space="preserve">“Progresso na prestação de contas, eficiência e eficácia, e nos resultados da Secretaria-Geral da OEA”, e a resolução </w:t>
      </w:r>
      <w:r w:rsidRPr="00D65A20">
        <w:rPr>
          <w:rFonts w:ascii="Times New Roman" w:eastAsia="Calibri" w:hAnsi="Times New Roman"/>
          <w:bCs/>
          <w:szCs w:val="22"/>
          <w:lang w:val="pt-BR" w:eastAsia="es-ES"/>
        </w:rPr>
        <w:t>CP/RES. 1100 (2160/18), “Dotação extraordinária para o Fundo de Tecnologia”;</w:t>
      </w:r>
    </w:p>
    <w:p w14:paraId="6E83475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756" w14:textId="7374BD26" w:rsidR="00D230D1" w:rsidRPr="00D65A20" w:rsidRDefault="00F81DE3"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hAnsi="Times New Roman"/>
          <w:color w:val="000000"/>
          <w:szCs w:val="22"/>
          <w:lang w:val="pt-BR" w:eastAsia="es-ES"/>
        </w:rPr>
      </w:pPr>
      <w:r w:rsidRPr="00D65A20">
        <w:rPr>
          <w:rFonts w:ascii="Times New Roman" w:eastAsia="Calibri" w:hAnsi="Times New Roman"/>
          <w:szCs w:val="22"/>
          <w:lang w:val="pt-BR"/>
        </w:rPr>
        <w:t>Que a</w:t>
      </w:r>
      <w:r w:rsidR="00D230D1" w:rsidRPr="00D65A20">
        <w:rPr>
          <w:rFonts w:ascii="Times New Roman" w:eastAsia="Calibri" w:hAnsi="Times New Roman"/>
          <w:szCs w:val="22"/>
          <w:lang w:val="pt-BR"/>
        </w:rPr>
        <w:t xml:space="preserve"> resolução </w:t>
      </w:r>
      <w:r w:rsidR="00D230D1" w:rsidRPr="00D65A20">
        <w:rPr>
          <w:rFonts w:ascii="Times New Roman" w:hAnsi="Times New Roman"/>
          <w:bCs/>
          <w:color w:val="000000"/>
          <w:szCs w:val="22"/>
          <w:lang w:val="pt-BR" w:eastAsia="es-ES"/>
        </w:rPr>
        <w:t>2940 (XLIX-O/19)</w:t>
      </w:r>
      <w:r w:rsidR="00D230D1" w:rsidRPr="00D65A20">
        <w:rPr>
          <w:rFonts w:ascii="Times New Roman" w:eastAsia="Calibri" w:hAnsi="Times New Roman"/>
          <w:szCs w:val="22"/>
          <w:lang w:val="pt-BR"/>
        </w:rPr>
        <w:t xml:space="preserve"> estabelece, em relação aos Escritórios da Secretaria-Geral nos Estados membros: </w:t>
      </w:r>
      <w:r w:rsidR="00885454" w:rsidRPr="00D65A20">
        <w:rPr>
          <w:rFonts w:ascii="Times New Roman" w:eastAsia="Calibri" w:hAnsi="Times New Roman"/>
          <w:szCs w:val="22"/>
          <w:lang w:val="pt-BR"/>
        </w:rPr>
        <w:t>“</w:t>
      </w:r>
      <w:r w:rsidR="00D230D1" w:rsidRPr="00D65A20">
        <w:rPr>
          <w:rFonts w:ascii="Times New Roman" w:eastAsia="Calibri" w:hAnsi="Times New Roman"/>
          <w:szCs w:val="22"/>
          <w:lang w:val="pt-BR"/>
        </w:rPr>
        <w:t>a) Recordar a apresentação feita pela Secretaria-Geral em 16 de outubro de 2018 sobre a estratégia para os Escritórios da Secretaria-Geral nos Estados membros, que será a base para a adoção, pelos Estados membros, de um plano estratégico integral sustentável sobre o tema, que deverá ser aprovado pelo Conselho Permanente, por intermédio da CAAP, no máximo até setembro de 2019</w:t>
      </w:r>
      <w:r w:rsidR="00D80B13">
        <w:rPr>
          <w:rFonts w:ascii="Times New Roman" w:eastAsia="Calibri" w:hAnsi="Times New Roman"/>
          <w:szCs w:val="22"/>
          <w:lang w:val="pt-BR"/>
        </w:rPr>
        <w:t>”</w:t>
      </w:r>
      <w:r w:rsidR="00D230D1" w:rsidRPr="00D65A20">
        <w:rPr>
          <w:rFonts w:ascii="Times New Roman" w:eastAsia="Calibri" w:hAnsi="Times New Roman"/>
          <w:szCs w:val="22"/>
          <w:lang w:val="pt-BR"/>
        </w:rPr>
        <w:t xml:space="preserve">, e </w:t>
      </w:r>
      <w:r w:rsidR="00D80B13">
        <w:rPr>
          <w:rFonts w:ascii="Times New Roman" w:eastAsia="Calibri" w:hAnsi="Times New Roman"/>
          <w:szCs w:val="22"/>
          <w:lang w:val="pt-BR"/>
        </w:rPr>
        <w:t>“</w:t>
      </w:r>
      <w:r w:rsidR="00D230D1" w:rsidRPr="00D65A20">
        <w:rPr>
          <w:rFonts w:ascii="Times New Roman" w:eastAsia="Calibri" w:hAnsi="Times New Roman"/>
          <w:szCs w:val="22"/>
          <w:lang w:val="pt-BR"/>
        </w:rPr>
        <w:t xml:space="preserve">b) Solicitar ao </w:t>
      </w:r>
      <w:r w:rsidR="00D230D1" w:rsidRPr="00D65A20">
        <w:rPr>
          <w:rFonts w:ascii="Times New Roman" w:eastAsia="Calibri" w:hAnsi="Times New Roman"/>
          <w:szCs w:val="22"/>
          <w:lang w:val="pt-BR" w:eastAsia="pt-BR"/>
        </w:rPr>
        <w:t>Secretário-Geral que instrua o Escritório de Coordenação dos Escritórios e Unidades da Secretaria-Geral nos Estados membros a continuar otimizando e implementando sua estratégia atual até que se alcance um acordo sobre a análise integral e o plano estratégico para sua execução</w:t>
      </w:r>
      <w:r w:rsidR="00885454" w:rsidRPr="00D65A20">
        <w:rPr>
          <w:rFonts w:ascii="Times New Roman" w:eastAsia="Calibri" w:hAnsi="Times New Roman"/>
          <w:szCs w:val="22"/>
          <w:lang w:val="pt-BR" w:eastAsia="pt-BR"/>
        </w:rPr>
        <w:t>”</w:t>
      </w:r>
      <w:r w:rsidR="00D230D1" w:rsidRPr="00D65A20">
        <w:rPr>
          <w:rFonts w:ascii="Times New Roman" w:hAnsi="Times New Roman"/>
          <w:color w:val="000000"/>
          <w:szCs w:val="22"/>
          <w:lang w:val="pt-BR" w:eastAsia="es-ES"/>
        </w:rPr>
        <w:t>;</w:t>
      </w:r>
    </w:p>
    <w:p w14:paraId="6E83475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eastAsia="Calibri" w:hAnsi="Times New Roman"/>
          <w:spacing w:val="-2"/>
          <w:szCs w:val="22"/>
          <w:lang w:val="pt-BR"/>
        </w:rPr>
      </w:pPr>
      <w:r w:rsidRPr="00D65A20">
        <w:rPr>
          <w:rFonts w:ascii="Times New Roman" w:eastAsia="Calibri" w:hAnsi="Times New Roman"/>
          <w:spacing w:val="-2"/>
          <w:szCs w:val="22"/>
          <w:lang w:val="pt-BR"/>
        </w:rPr>
        <w:lastRenderedPageBreak/>
        <w:t xml:space="preserve">Que, na execução do orçamento-programa, o Secretário-Geral assegurará que as obrigações no decorrer do ano não ultrapassem o nível das receitas estimadas a título de cotas e outras receitas, e que as despesas não ultrapassem o nível das receitas e outros recursos disponíveis, em conformidade com o estabelecido no artigo </w:t>
      </w:r>
      <w:r w:rsidRPr="00D65A20">
        <w:rPr>
          <w:rFonts w:ascii="Times New Roman" w:eastAsia="Calibri" w:hAnsi="Times New Roman"/>
          <w:bCs/>
          <w:spacing w:val="-2"/>
          <w:szCs w:val="22"/>
          <w:lang w:val="pt-BR"/>
        </w:rPr>
        <w:t>105</w:t>
      </w:r>
      <w:r w:rsidRPr="00D65A20">
        <w:rPr>
          <w:rFonts w:ascii="Times New Roman" w:eastAsia="Calibri" w:hAnsi="Times New Roman"/>
          <w:spacing w:val="-2"/>
          <w:szCs w:val="22"/>
          <w:lang w:val="pt-BR"/>
        </w:rPr>
        <w:t xml:space="preserve"> das Normas Gerais;</w:t>
      </w:r>
    </w:p>
    <w:p w14:paraId="6E834759" w14:textId="77777777" w:rsidR="00F81DE3" w:rsidRPr="00D65A20" w:rsidRDefault="00F81DE3" w:rsidP="00E404F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pacing w:val="-2"/>
          <w:szCs w:val="22"/>
          <w:lang w:val="pt-BR"/>
        </w:rPr>
      </w:pPr>
    </w:p>
    <w:p w14:paraId="6E83475A" w14:textId="0802065D"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eastAsia="Calibri" w:hAnsi="Times New Roman"/>
          <w:spacing w:val="-2"/>
          <w:szCs w:val="22"/>
          <w:lang w:val="pt-BR"/>
        </w:rPr>
      </w:pPr>
      <w:r w:rsidRPr="00D65A20">
        <w:rPr>
          <w:rFonts w:ascii="Times New Roman" w:eastAsia="Calibri" w:hAnsi="Times New Roman"/>
          <w:szCs w:val="22"/>
          <w:lang w:val="pt-BR"/>
        </w:rPr>
        <w:t>O artigo 110 das Normas Gerais, que rege as transferências de recursos do Fundo Ordinário de um capítulo do orçamento-programa para outro</w:t>
      </w:r>
      <w:r w:rsidR="00885454" w:rsidRPr="00D65A20">
        <w:rPr>
          <w:rFonts w:ascii="Times New Roman" w:eastAsia="Calibri" w:hAnsi="Times New Roman"/>
          <w:szCs w:val="22"/>
          <w:lang w:val="pt-BR"/>
        </w:rPr>
        <w:t>; e</w:t>
      </w:r>
    </w:p>
    <w:p w14:paraId="6E83475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pacing w:val="-2"/>
          <w:szCs w:val="22"/>
          <w:lang w:val="pt-BR"/>
        </w:rPr>
      </w:pPr>
    </w:p>
    <w:p w14:paraId="6E83475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eastAsia="Calibri" w:hAnsi="Times New Roman"/>
          <w:spacing w:val="-2"/>
          <w:szCs w:val="22"/>
          <w:lang w:val="pt-BR"/>
        </w:rPr>
      </w:pPr>
      <w:r w:rsidRPr="00D65A20">
        <w:rPr>
          <w:rFonts w:ascii="Times New Roman" w:eastAsia="Calibri" w:hAnsi="Times New Roman"/>
          <w:spacing w:val="-2"/>
          <w:szCs w:val="22"/>
          <w:lang w:val="pt-BR"/>
        </w:rPr>
        <w:t>Que é importante manter uma cultura e prática de austeridade, eficácia, prestação de contas, eficiência, transparência e prudência no uso, execução e gestão dos recursos da Organização, e assegurar a alocação financeira adequada e sustentável para a realização de seus trabalhos; e</w:t>
      </w:r>
    </w:p>
    <w:p w14:paraId="6E83475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pacing w:val="-2"/>
          <w:szCs w:val="22"/>
          <w:lang w:val="pt-BR"/>
        </w:rPr>
      </w:pPr>
    </w:p>
    <w:p w14:paraId="6E83475E" w14:textId="2AAFE0DE"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hAnsi="Times New Roman"/>
          <w:color w:val="000000"/>
          <w:szCs w:val="22"/>
          <w:lang w:val="pt-BR" w:eastAsia="es-ES"/>
        </w:rPr>
      </w:pPr>
      <w:r w:rsidRPr="00D65A20">
        <w:rPr>
          <w:rFonts w:ascii="Times New Roman" w:eastAsia="Calibri" w:hAnsi="Times New Roman"/>
          <w:spacing w:val="-2"/>
          <w:szCs w:val="22"/>
          <w:lang w:val="pt-BR"/>
        </w:rPr>
        <w:t>RECONHECENDO a importância dos quatro pilares da Organização</w:t>
      </w:r>
      <w:r w:rsidR="00F81DE3" w:rsidRPr="00D65A20">
        <w:rPr>
          <w:rFonts w:ascii="Times New Roman" w:eastAsia="Calibri" w:hAnsi="Times New Roman"/>
          <w:spacing w:val="-2"/>
          <w:szCs w:val="22"/>
          <w:lang w:val="pt-BR"/>
        </w:rPr>
        <w:t xml:space="preserve"> —</w:t>
      </w:r>
      <w:r w:rsidRPr="00D65A20">
        <w:rPr>
          <w:rFonts w:ascii="Times New Roman" w:eastAsia="Calibri" w:hAnsi="Times New Roman"/>
          <w:spacing w:val="-2"/>
          <w:szCs w:val="22"/>
          <w:lang w:val="pt-BR"/>
        </w:rPr>
        <w:t xml:space="preserve"> democracia, direitos humanos, segurança e desenvolvimento integral</w:t>
      </w:r>
      <w:r w:rsidR="00F81DE3" w:rsidRPr="00D65A20">
        <w:rPr>
          <w:rFonts w:ascii="Times New Roman" w:eastAsia="Calibri" w:hAnsi="Times New Roman"/>
          <w:spacing w:val="-2"/>
          <w:szCs w:val="22"/>
          <w:lang w:val="pt-BR"/>
        </w:rPr>
        <w:t xml:space="preserve"> —</w:t>
      </w:r>
      <w:r w:rsidRPr="00E60BBC">
        <w:rPr>
          <w:rFonts w:ascii="Times New Roman" w:eastAsia="Calibri" w:hAnsi="Times New Roman"/>
          <w:spacing w:val="-2"/>
          <w:szCs w:val="22"/>
          <w:lang w:val="pt-BR"/>
        </w:rPr>
        <w:t>,</w:t>
      </w:r>
      <w:r w:rsidRPr="00D65A20">
        <w:rPr>
          <w:rFonts w:ascii="Times New Roman" w:eastAsia="Calibri" w:hAnsi="Times New Roman"/>
          <w:spacing w:val="-2"/>
          <w:szCs w:val="22"/>
          <w:lang w:val="pt-BR"/>
        </w:rPr>
        <w:t xml:space="preserve"> afirma a necessidade de que a todos eles se destine financiamento adequado para seu correto desempenho, assegurando-lhes uma dotação equitativa, que vise ao estrito cumprimento dos mandatos acordados pelos órgãos políticos da Organização</w:t>
      </w:r>
      <w:r w:rsidRPr="00D65A20">
        <w:rPr>
          <w:rFonts w:ascii="Times New Roman" w:hAnsi="Times New Roman"/>
          <w:color w:val="000000"/>
          <w:szCs w:val="22"/>
          <w:lang w:val="pt-BR" w:eastAsia="es-ES"/>
        </w:rPr>
        <w:t>,</w:t>
      </w:r>
    </w:p>
    <w:p w14:paraId="6E83475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76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eastAsia="es-ES"/>
        </w:rPr>
      </w:pPr>
      <w:r w:rsidRPr="00D65A20">
        <w:rPr>
          <w:rFonts w:ascii="Times New Roman" w:eastAsia="Calibri" w:hAnsi="Times New Roman"/>
          <w:szCs w:val="22"/>
          <w:lang w:val="pt-BR" w:eastAsia="es-ES"/>
        </w:rPr>
        <w:t>RESOLVE:</w:t>
      </w:r>
    </w:p>
    <w:p w14:paraId="6E83476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eastAsia="es-ES"/>
        </w:rPr>
      </w:pPr>
    </w:p>
    <w:p w14:paraId="6E834762" w14:textId="77777777" w:rsidR="00D230D1" w:rsidRPr="00D65A20" w:rsidRDefault="00D230D1" w:rsidP="00AA4399">
      <w:pPr>
        <w:widowControl/>
        <w:numPr>
          <w:ilvl w:val="0"/>
          <w:numId w:val="34"/>
        </w:numPr>
        <w:tabs>
          <w:tab w:val="clear" w:pos="540"/>
          <w:tab w:val="clear" w:pos="1440"/>
          <w:tab w:val="clear" w:pos="2160"/>
          <w:tab w:val="clear" w:pos="2880"/>
          <w:tab w:val="clear" w:pos="3600"/>
          <w:tab w:val="clear" w:pos="4320"/>
          <w:tab w:val="clear" w:pos="5760"/>
          <w:tab w:val="clear" w:pos="6480"/>
          <w:tab w:val="clear" w:pos="7200"/>
          <w:tab w:val="clear" w:pos="7920"/>
          <w:tab w:val="num" w:pos="720"/>
        </w:tabs>
        <w:suppressAutoHyphens/>
        <w:ind w:left="0" w:firstLine="0"/>
        <w:rPr>
          <w:rFonts w:ascii="Times New Roman" w:eastAsia="Calibri" w:hAnsi="Times New Roman"/>
          <w:szCs w:val="22"/>
          <w:lang w:val="pt-BR"/>
        </w:rPr>
      </w:pPr>
      <w:r w:rsidRPr="00D65A20">
        <w:rPr>
          <w:rFonts w:ascii="Times New Roman" w:eastAsia="Calibri" w:hAnsi="Times New Roman"/>
          <w:color w:val="000000"/>
          <w:spacing w:val="-2"/>
          <w:szCs w:val="22"/>
          <w:u w:val="single"/>
          <w:lang w:val="pt-BR"/>
        </w:rPr>
        <w:t>FINANCIAMENTO DAS DOTAÇÕES ORÇAMENTÁRIAS</w:t>
      </w:r>
      <w:r w:rsidRPr="00D65A20">
        <w:rPr>
          <w:rFonts w:ascii="Times New Roman" w:eastAsia="Calibri" w:hAnsi="Times New Roman"/>
          <w:color w:val="000000"/>
          <w:spacing w:val="-2"/>
          <w:szCs w:val="22"/>
          <w:lang w:val="pt-BR"/>
        </w:rPr>
        <w:t xml:space="preserve"> </w:t>
      </w:r>
    </w:p>
    <w:p w14:paraId="6E83476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764" w14:textId="66801BA4" w:rsidR="00D230D1" w:rsidRPr="00D65A20" w:rsidRDefault="00D230D1" w:rsidP="00AA4399">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pt-BR"/>
        </w:rPr>
      </w:pPr>
      <w:r w:rsidRPr="00D65A20">
        <w:rPr>
          <w:rFonts w:ascii="Times New Roman" w:eastAsia="Calibri" w:hAnsi="Times New Roman"/>
          <w:szCs w:val="22"/>
          <w:lang w:val="pt-BR"/>
        </w:rPr>
        <w:t xml:space="preserve">Fixar as cotas com que os Estados membros financiarão o Fundo Ordinário da OEA para 2021 e a contribuição para o reembolso de imposto de renda, em conformidade com a metodologia </w:t>
      </w:r>
      <w:r w:rsidR="00C9752E" w:rsidRPr="00D65A20">
        <w:rPr>
          <w:rFonts w:ascii="Times New Roman" w:eastAsia="Calibri" w:hAnsi="Times New Roman"/>
          <w:szCs w:val="22"/>
          <w:lang w:val="pt-BR"/>
        </w:rPr>
        <w:t xml:space="preserve">adotada </w:t>
      </w:r>
      <w:r w:rsidRPr="00D65A20">
        <w:rPr>
          <w:rFonts w:ascii="Times New Roman" w:eastAsia="Calibri" w:hAnsi="Times New Roman"/>
          <w:szCs w:val="22"/>
          <w:lang w:val="pt-BR"/>
        </w:rPr>
        <w:t xml:space="preserve">mediante as resoluções AG/RES. 1 (XXXIV-E/07) rev. 1, AG/RES. 41 (I-O/71) e </w:t>
      </w:r>
      <w:r w:rsidRPr="00D65A20">
        <w:rPr>
          <w:rFonts w:ascii="Times New Roman" w:eastAsia="MS Mincho" w:hAnsi="Times New Roman"/>
          <w:szCs w:val="22"/>
          <w:lang w:val="pt-BR"/>
        </w:rPr>
        <w:t xml:space="preserve">CP/RES. </w:t>
      </w:r>
      <w:r w:rsidRPr="00D65A20">
        <w:rPr>
          <w:rFonts w:ascii="Times New Roman" w:eastAsia="Calibri" w:hAnsi="Times New Roman"/>
          <w:szCs w:val="22"/>
          <w:lang w:val="pt-BR"/>
        </w:rPr>
        <w:t>1103 (2168/18)</w:t>
      </w:r>
      <w:r w:rsidRPr="00D65A20">
        <w:rPr>
          <w:rFonts w:ascii="Times New Roman" w:eastAsia="MS Mincho" w:hAnsi="Times New Roman"/>
          <w:szCs w:val="22"/>
          <w:lang w:val="pt-BR"/>
        </w:rPr>
        <w:t>,</w:t>
      </w:r>
      <w:r w:rsidRPr="00D65A20">
        <w:rPr>
          <w:rFonts w:ascii="Times New Roman" w:eastAsia="Calibri" w:hAnsi="Times New Roman"/>
          <w:szCs w:val="22"/>
          <w:lang w:val="pt-BR"/>
        </w:rPr>
        <w:t xml:space="preserve"> </w:t>
      </w:r>
      <w:r w:rsidR="00C9752E" w:rsidRPr="00D65A20">
        <w:rPr>
          <w:rFonts w:ascii="Times New Roman" w:eastAsia="Calibri" w:hAnsi="Times New Roman"/>
          <w:szCs w:val="22"/>
          <w:lang w:val="pt-BR"/>
        </w:rPr>
        <w:t xml:space="preserve">aprovada </w:t>
      </w:r>
      <w:r w:rsidRPr="00D65A20">
        <w:rPr>
          <w:rFonts w:ascii="Times New Roman" w:eastAsia="Calibri" w:hAnsi="Times New Roman"/>
          <w:szCs w:val="22"/>
          <w:lang w:val="pt-BR"/>
        </w:rPr>
        <w:t xml:space="preserve">pelo Conselho Permanente e </w:t>
      </w:r>
      <w:r w:rsidRPr="00D65A20">
        <w:rPr>
          <w:rFonts w:ascii="Times New Roman" w:eastAsia="MS Mincho" w:hAnsi="Times New Roman"/>
          <w:bCs/>
          <w:kern w:val="32"/>
          <w:szCs w:val="22"/>
          <w:lang w:val="pt-BR"/>
        </w:rPr>
        <w:t xml:space="preserve">pela </w:t>
      </w:r>
      <w:r w:rsidRPr="00D65A20">
        <w:rPr>
          <w:rFonts w:ascii="Times New Roman" w:eastAsia="MS Mincho" w:hAnsi="Times New Roman"/>
          <w:kern w:val="32"/>
          <w:szCs w:val="22"/>
          <w:lang w:val="pt-BR"/>
        </w:rPr>
        <w:t>Assembleia Geral</w:t>
      </w:r>
      <w:r w:rsidRPr="00D65A20">
        <w:rPr>
          <w:rFonts w:ascii="Times New Roman" w:eastAsia="MS Mincho" w:hAnsi="Times New Roman"/>
          <w:bCs/>
          <w:kern w:val="32"/>
          <w:szCs w:val="22"/>
          <w:lang w:val="pt-BR"/>
        </w:rPr>
        <w:t xml:space="preserve"> mediante a resolução </w:t>
      </w:r>
      <w:r w:rsidRPr="00D65A20">
        <w:rPr>
          <w:rFonts w:ascii="Times New Roman" w:eastAsia="Calibri" w:hAnsi="Times New Roman"/>
          <w:szCs w:val="22"/>
          <w:lang w:val="pt-BR"/>
        </w:rPr>
        <w:t>AG/RES. 1 (LIII-E/18)</w:t>
      </w:r>
      <w:r w:rsidRPr="00D65A20">
        <w:rPr>
          <w:rFonts w:ascii="Times New Roman" w:eastAsia="MS Mincho" w:hAnsi="Times New Roman"/>
          <w:szCs w:val="22"/>
          <w:lang w:val="pt-BR"/>
        </w:rPr>
        <w:t>,</w:t>
      </w:r>
      <w:r w:rsidRPr="00D65A20">
        <w:rPr>
          <w:rFonts w:ascii="Times New Roman" w:eastAsia="Calibri" w:hAnsi="Times New Roman"/>
          <w:szCs w:val="22"/>
          <w:lang w:val="pt-BR"/>
        </w:rPr>
        <w:t xml:space="preserve"> utilizando a escala e os números que figuram no anexo I, “Fixação de cotas do Fundo Ordinário para 2021”.</w:t>
      </w:r>
    </w:p>
    <w:p w14:paraId="6E83476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color w:val="000000"/>
          <w:szCs w:val="22"/>
          <w:lang w:val="pt-BR" w:eastAsia="es-ES_tradnl"/>
        </w:rPr>
      </w:pPr>
    </w:p>
    <w:p w14:paraId="6E834766" w14:textId="77777777" w:rsidR="00D230D1" w:rsidRPr="00D65A20" w:rsidRDefault="00D230D1" w:rsidP="00AA4399">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pt-BR"/>
        </w:rPr>
      </w:pPr>
      <w:r w:rsidRPr="00D65A20">
        <w:rPr>
          <w:rFonts w:ascii="Times New Roman" w:eastAsia="Calibri" w:hAnsi="Times New Roman"/>
          <w:szCs w:val="22"/>
          <w:lang w:val="pt-BR"/>
        </w:rPr>
        <w:t>Estabelecer o nível global do orçamento-programa do Fundo Ordinário para 2021, incluindo o ajuste por custo de vida e inflação, em US$ </w:t>
      </w:r>
      <w:r w:rsidRPr="00D65A20">
        <w:rPr>
          <w:rFonts w:ascii="Times New Roman" w:eastAsia="MS Mincho" w:hAnsi="Times New Roman"/>
          <w:color w:val="000000"/>
          <w:szCs w:val="22"/>
          <w:lang w:val="pt-BR"/>
        </w:rPr>
        <w:t>84.968.407</w:t>
      </w:r>
      <w:r w:rsidRPr="00D65A20">
        <w:rPr>
          <w:rFonts w:ascii="Times New Roman" w:eastAsia="Calibri" w:hAnsi="Times New Roman"/>
          <w:szCs w:val="22"/>
          <w:lang w:val="pt-BR"/>
        </w:rPr>
        <w:t>, e financiá-lo da seguinte maneira.</w:t>
      </w:r>
    </w:p>
    <w:p w14:paraId="6E83476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color w:val="000000"/>
          <w:szCs w:val="22"/>
          <w:lang w:val="pt-BR" w:eastAsia="es-ES_tradnl"/>
        </w:rPr>
      </w:pPr>
    </w:p>
    <w:p w14:paraId="6E834768" w14:textId="77777777" w:rsidR="00D230D1" w:rsidRPr="00D65A20" w:rsidRDefault="00D230D1" w:rsidP="00AA4399">
      <w:pPr>
        <w:widowControl/>
        <w:numPr>
          <w:ilvl w:val="0"/>
          <w:numId w:val="3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Calibri" w:hAnsi="Times New Roman"/>
          <w:szCs w:val="22"/>
          <w:lang w:val="pt-BR"/>
        </w:rPr>
      </w:pPr>
      <w:r w:rsidRPr="00D65A20">
        <w:rPr>
          <w:rFonts w:ascii="Times New Roman" w:eastAsia="Calibri" w:hAnsi="Times New Roman"/>
          <w:szCs w:val="22"/>
          <w:lang w:val="pt-BR"/>
        </w:rPr>
        <w:t>Contribuições líquidas dos Estados membros no valor de US$ 84.</w:t>
      </w:r>
      <w:r w:rsidRPr="00D65A20">
        <w:rPr>
          <w:rFonts w:ascii="Times New Roman" w:eastAsia="MS Mincho" w:hAnsi="Times New Roman"/>
          <w:bCs/>
          <w:color w:val="000000"/>
          <w:szCs w:val="22"/>
          <w:lang w:val="pt-BR" w:eastAsia="es-ES_tradnl"/>
        </w:rPr>
        <w:t>470.107</w:t>
      </w:r>
      <w:r w:rsidRPr="00D65A20">
        <w:rPr>
          <w:rFonts w:ascii="Times New Roman" w:eastAsia="MS Mincho" w:hAnsi="Times New Roman"/>
          <w:szCs w:val="22"/>
          <w:lang w:val="pt-BR" w:eastAsia="es-ES_tradnl"/>
        </w:rPr>
        <w:t xml:space="preserve">, </w:t>
      </w:r>
      <w:r w:rsidRPr="00D65A20">
        <w:rPr>
          <w:rFonts w:ascii="Times New Roman" w:eastAsia="Calibri" w:hAnsi="Times New Roman"/>
          <w:szCs w:val="22"/>
          <w:lang w:val="pt-BR"/>
        </w:rPr>
        <w:t>a título de pagamento de cotas do Fundo Ordinário, fixadas da seguinte maneira:</w:t>
      </w:r>
    </w:p>
    <w:p w14:paraId="6E83476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76A" w14:textId="77777777" w:rsidR="00D230D1" w:rsidRPr="00D65A20" w:rsidRDefault="00D230D1" w:rsidP="00AA4399">
      <w:pPr>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rPr>
          <w:rFonts w:ascii="Times New Roman" w:eastAsia="Calibri" w:hAnsi="Times New Roman"/>
          <w:szCs w:val="22"/>
          <w:lang w:val="pt-BR"/>
        </w:rPr>
      </w:pPr>
      <w:r w:rsidRPr="00D65A20">
        <w:rPr>
          <w:rFonts w:ascii="Times New Roman" w:eastAsia="Calibri" w:hAnsi="Times New Roman"/>
          <w:szCs w:val="22"/>
          <w:lang w:val="pt-BR"/>
        </w:rPr>
        <w:t>um total bruto de cotas de US</w:t>
      </w:r>
      <w:r w:rsidRPr="00D65A20">
        <w:rPr>
          <w:rFonts w:ascii="Times New Roman" w:eastAsia="MS Mincho" w:hAnsi="Times New Roman"/>
          <w:szCs w:val="22"/>
          <w:lang w:val="pt-BR" w:eastAsia="es-ES_tradnl"/>
        </w:rPr>
        <w:t>$ 84.</w:t>
      </w:r>
      <w:r w:rsidRPr="00D65A20">
        <w:rPr>
          <w:rFonts w:ascii="Times New Roman" w:eastAsia="MS Mincho" w:hAnsi="Times New Roman"/>
          <w:bCs/>
          <w:color w:val="000000"/>
          <w:szCs w:val="22"/>
          <w:lang w:val="pt-BR" w:eastAsia="es-ES_tradnl"/>
        </w:rPr>
        <w:t>929.800</w:t>
      </w:r>
      <w:r w:rsidRPr="00D65A20">
        <w:rPr>
          <w:rFonts w:ascii="Times New Roman" w:eastAsia="MS Mincho" w:hAnsi="Times New Roman"/>
          <w:szCs w:val="22"/>
          <w:lang w:val="pt-BR" w:eastAsia="es-ES_tradnl"/>
        </w:rPr>
        <w:t>,</w:t>
      </w:r>
      <w:r w:rsidRPr="00D65A20">
        <w:rPr>
          <w:rFonts w:ascii="Times New Roman" w:eastAsia="Calibri" w:hAnsi="Times New Roman"/>
          <w:szCs w:val="22"/>
          <w:lang w:val="pt-BR"/>
        </w:rPr>
        <w:t xml:space="preserve"> fixadas em conformidade com a metodologia de cálculo da escala de cotas vigente;</w:t>
      </w:r>
    </w:p>
    <w:p w14:paraId="6E83476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76C" w14:textId="77777777" w:rsidR="00D230D1" w:rsidRPr="00D65A20" w:rsidRDefault="00D230D1" w:rsidP="00AA4399">
      <w:pPr>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rPr>
          <w:rFonts w:ascii="Times New Roman" w:eastAsia="Calibri" w:hAnsi="Times New Roman"/>
          <w:szCs w:val="22"/>
          <w:lang w:val="pt-BR"/>
        </w:rPr>
      </w:pPr>
      <w:r w:rsidRPr="00D65A20">
        <w:rPr>
          <w:rFonts w:ascii="Times New Roman" w:eastAsia="Calibri" w:hAnsi="Times New Roman"/>
          <w:szCs w:val="22"/>
          <w:lang w:val="pt-BR"/>
        </w:rPr>
        <w:t>uma redução de US$ </w:t>
      </w:r>
      <w:r w:rsidRPr="00D65A20">
        <w:rPr>
          <w:rFonts w:ascii="Times New Roman" w:eastAsia="MS Mincho" w:hAnsi="Times New Roman"/>
          <w:bCs/>
          <w:color w:val="000000"/>
          <w:szCs w:val="22"/>
          <w:lang w:val="pt-BR" w:eastAsia="es-ES_tradnl"/>
        </w:rPr>
        <w:t>459.693</w:t>
      </w:r>
      <w:r w:rsidRPr="00D65A20">
        <w:rPr>
          <w:rFonts w:ascii="Times New Roman" w:eastAsia="Calibri" w:hAnsi="Times New Roman"/>
          <w:szCs w:val="22"/>
          <w:lang w:val="pt-BR"/>
        </w:rPr>
        <w:t>, relativa a descontos por pagamento oportuno, conforme as medidas destinadas a incentivar o pagamento oportuno das cotas, dispostas na resolução AG/RES. 1757 (XXX-O/00) e modificadas nas resoluções AG/RES. 2157 (XXXV-O/05) e AG/RES. 1 (XLII-E/11) rev. 1.</w:t>
      </w:r>
      <w:r w:rsidRPr="00D65A20">
        <w:rPr>
          <w:rFonts w:ascii="Times New Roman" w:eastAsia="Calibri" w:hAnsi="Times New Roman"/>
          <w:i/>
          <w:szCs w:val="22"/>
          <w:lang w:val="pt-BR"/>
        </w:rPr>
        <w:t xml:space="preserve"> </w:t>
      </w:r>
    </w:p>
    <w:p w14:paraId="6E83476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76E" w14:textId="5BB15B23" w:rsidR="00D230D1" w:rsidRPr="00D65A20" w:rsidRDefault="00D230D1" w:rsidP="00AA4399">
      <w:pPr>
        <w:widowControl/>
        <w:numPr>
          <w:ilvl w:val="0"/>
          <w:numId w:val="3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Calibri" w:hAnsi="Times New Roman"/>
          <w:szCs w:val="22"/>
          <w:lang w:val="pt-BR"/>
        </w:rPr>
      </w:pPr>
      <w:r w:rsidRPr="00D65A20">
        <w:rPr>
          <w:rFonts w:ascii="Times New Roman" w:eastAsia="Calibri" w:hAnsi="Times New Roman"/>
          <w:szCs w:val="22"/>
          <w:lang w:val="pt-BR"/>
        </w:rPr>
        <w:t xml:space="preserve">Contribuição de US$ 0 do Fundo de Cooperação para o Desenvolvimento da Organização dos Estados Americanos (OEA) para o Fundo Ordinário, a título de direção técnica e apoio administrativo, em conformidade com o artigo 86 das </w:t>
      </w:r>
      <w:r w:rsidRPr="00D65A20">
        <w:rPr>
          <w:rFonts w:ascii="Times New Roman" w:eastAsia="Calibri" w:hAnsi="Times New Roman"/>
          <w:szCs w:val="22"/>
          <w:lang w:val="pt-BR"/>
        </w:rPr>
        <w:lastRenderedPageBreak/>
        <w:t>Normas Gerais para o Funcionamento da Secretaria-Geral da Organização dos Estados Americanos (Normas Gerais).</w:t>
      </w:r>
    </w:p>
    <w:p w14:paraId="6E83476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szCs w:val="22"/>
          <w:lang w:val="pt-BR"/>
        </w:rPr>
      </w:pPr>
    </w:p>
    <w:p w14:paraId="6E834770" w14:textId="77777777" w:rsidR="00D230D1" w:rsidRPr="00D65A20" w:rsidRDefault="00D230D1" w:rsidP="00AA4399">
      <w:pPr>
        <w:widowControl/>
        <w:numPr>
          <w:ilvl w:val="0"/>
          <w:numId w:val="3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MS Mincho" w:hAnsi="Times New Roman"/>
          <w:color w:val="000000"/>
          <w:szCs w:val="22"/>
          <w:lang w:val="pt-BR" w:eastAsia="es-ES_tradnl"/>
        </w:rPr>
      </w:pPr>
      <w:r w:rsidRPr="00D65A20">
        <w:rPr>
          <w:rFonts w:ascii="Times New Roman" w:eastAsia="Calibri" w:hAnsi="Times New Roman"/>
          <w:szCs w:val="22"/>
          <w:lang w:val="pt-BR"/>
        </w:rPr>
        <w:t>Receita de US$ 498.300, correspondente a juros e reembolsos e outras receitas, em conformidade com o artigo 78 das Normas Gerais.</w:t>
      </w:r>
    </w:p>
    <w:p w14:paraId="6E834771" w14:textId="77777777" w:rsidR="007C39FD" w:rsidRPr="00D65A20" w:rsidRDefault="007C39FD" w:rsidP="0088323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color w:val="000000"/>
          <w:szCs w:val="22"/>
          <w:lang w:val="pt-BR" w:eastAsia="es-ES_tradnl"/>
        </w:rPr>
      </w:pPr>
    </w:p>
    <w:p w14:paraId="6E834772" w14:textId="77777777" w:rsidR="00D230D1" w:rsidRPr="00D65A20" w:rsidRDefault="00D230D1" w:rsidP="00AA4399">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pt-BR"/>
        </w:rPr>
      </w:pPr>
      <w:r w:rsidRPr="00D65A20">
        <w:rPr>
          <w:rFonts w:ascii="Times New Roman" w:eastAsia="Calibri" w:hAnsi="Times New Roman"/>
          <w:szCs w:val="22"/>
          <w:lang w:val="pt-BR"/>
        </w:rPr>
        <w:t>Estabelecer o nível de despesa para 2021 em US$ 79.000.000.</w:t>
      </w:r>
    </w:p>
    <w:p w14:paraId="6E83477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774" w14:textId="77777777" w:rsidR="00D230D1" w:rsidRPr="00D65A20" w:rsidRDefault="00D230D1" w:rsidP="00AA4399">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pt-BR"/>
        </w:rPr>
      </w:pPr>
      <w:r w:rsidRPr="00D65A20">
        <w:rPr>
          <w:rFonts w:ascii="Times New Roman" w:eastAsia="Calibri" w:hAnsi="Times New Roman"/>
          <w:szCs w:val="22"/>
          <w:lang w:val="pt-BR"/>
        </w:rPr>
        <w:t>Solicitar à Corte Interamericana de Direitos Humanos e à Comissão Interamericana de Direitos Humanos (CIDH) que apresentem um relatório semestral sobre a execução orçamentária ao Conselho Permanente e, oportunamente, um plano detalhado de despesas correspondente</w:t>
      </w:r>
      <w:r w:rsidR="00C9752E" w:rsidRPr="00D65A20">
        <w:rPr>
          <w:rFonts w:ascii="Times New Roman" w:eastAsia="Calibri" w:hAnsi="Times New Roman"/>
          <w:szCs w:val="22"/>
          <w:lang w:val="pt-BR"/>
        </w:rPr>
        <w:t>s</w:t>
      </w:r>
      <w:r w:rsidRPr="00D65A20">
        <w:rPr>
          <w:rFonts w:ascii="Times New Roman" w:eastAsia="Calibri" w:hAnsi="Times New Roman"/>
          <w:szCs w:val="22"/>
          <w:lang w:val="pt-BR"/>
        </w:rPr>
        <w:t xml:space="preserve"> ao seu orçamento.</w:t>
      </w:r>
    </w:p>
    <w:p w14:paraId="6E83477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776" w14:textId="77777777" w:rsidR="00D230D1" w:rsidRPr="00D65A20" w:rsidRDefault="00D230D1" w:rsidP="00AA4399">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pt-BR"/>
        </w:rPr>
      </w:pPr>
      <w:r w:rsidRPr="00D65A20">
        <w:rPr>
          <w:rFonts w:ascii="Times New Roman" w:eastAsia="Calibri" w:hAnsi="Times New Roman"/>
          <w:szCs w:val="22"/>
          <w:lang w:val="pt-BR"/>
        </w:rPr>
        <w:t>Encarregar o Secretário-Geral de proceder aos ajustes, reduções e reorganizações que sejam necessários para dar cumprimento ao disposto nos parágrafos anteriores.</w:t>
      </w:r>
    </w:p>
    <w:p w14:paraId="6E83477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color w:val="000000"/>
          <w:szCs w:val="22"/>
          <w:lang w:val="pt-BR" w:eastAsia="es-ES_tradnl"/>
        </w:rPr>
      </w:pPr>
    </w:p>
    <w:p w14:paraId="6E834778" w14:textId="77777777" w:rsidR="00D230D1" w:rsidRPr="00D65A20" w:rsidRDefault="00D230D1" w:rsidP="00AA4399">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pt-BR"/>
        </w:rPr>
      </w:pPr>
      <w:r w:rsidRPr="00D65A20">
        <w:rPr>
          <w:rFonts w:ascii="Times New Roman" w:eastAsia="Calibri" w:hAnsi="Times New Roman"/>
          <w:szCs w:val="22"/>
          <w:lang w:val="pt-BR"/>
        </w:rPr>
        <w:t>Autorizar a Secretaria-Geral a utilizar no exercício financeiro de 2021, a título de empréstimo interno, o equivalente a até 30% das cotas anuais (US$ 25,4 milhões) do Fundo de Tesouraria, de modo a fazer frente às despesas correntes já orçadas do Fundo Ordinário correspondente ao exercício financeiro de 2021, sem cobrança de juros pelo uso temporário desses recursos. A Secretaria-Geral deverá reembolsar, sem demora, o saldo do empréstimo interno dos recursos utilizados do Fundo de Tesouraria no exercício financeiro de 2021, à medida que se recebam as cotas dos Estados membros no Fundo Ordinário. A Secretaria-Geral comunicará por escrito ao Conselho Permanente toda vez que se faça uso dos recursos do Fundo de Tesouraria e apresentará à Comissão de Assuntos Administrativos e Orçamentários (CAAP) relatórios mensais sobre a situação do referido fundo.</w:t>
      </w:r>
    </w:p>
    <w:p w14:paraId="6E83477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szCs w:val="22"/>
          <w:lang w:val="pt-BR"/>
        </w:rPr>
      </w:pPr>
    </w:p>
    <w:p w14:paraId="6E83477A" w14:textId="77777777" w:rsidR="00D230D1" w:rsidRPr="00D65A20" w:rsidRDefault="00D230D1" w:rsidP="00AA4399">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pt-BR"/>
        </w:rPr>
      </w:pPr>
      <w:r w:rsidRPr="00D65A20">
        <w:rPr>
          <w:rFonts w:ascii="Times New Roman" w:eastAsia="Calibri" w:hAnsi="Times New Roman"/>
          <w:szCs w:val="22"/>
          <w:lang w:val="pt-BR"/>
        </w:rPr>
        <w:t>Fixar o limite geral de despesas da conta do Fundo de Recuperação de Custos Indiretos em US$ </w:t>
      </w:r>
      <w:r w:rsidRPr="00D65A20">
        <w:rPr>
          <w:rFonts w:ascii="Times New Roman" w:eastAsia="MS Mincho" w:hAnsi="Times New Roman"/>
          <w:color w:val="000000"/>
          <w:szCs w:val="22"/>
          <w:lang w:val="pt-BR"/>
        </w:rPr>
        <w:t>7.219.300</w:t>
      </w:r>
      <w:r w:rsidRPr="00D65A20">
        <w:rPr>
          <w:rFonts w:ascii="Times New Roman" w:eastAsia="Calibri" w:hAnsi="Times New Roman"/>
          <w:szCs w:val="22"/>
          <w:lang w:val="pt-BR"/>
        </w:rPr>
        <w:t>, em conformidade com as Normas Gerais.</w:t>
      </w:r>
    </w:p>
    <w:p w14:paraId="6E83477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77C" w14:textId="77777777" w:rsidR="00D230D1" w:rsidRPr="00D65A20" w:rsidRDefault="00D230D1" w:rsidP="00AA4399">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pt-BR"/>
        </w:rPr>
      </w:pPr>
      <w:r w:rsidRPr="00D65A20">
        <w:rPr>
          <w:rFonts w:ascii="Times New Roman" w:eastAsia="Calibri" w:hAnsi="Times New Roman"/>
          <w:szCs w:val="22"/>
          <w:lang w:val="pt-BR"/>
        </w:rPr>
        <w:t>Fixar, provisoriamente, o nível orçamentário global para 2022 em US$ </w:t>
      </w:r>
      <w:r w:rsidRPr="00D65A20">
        <w:rPr>
          <w:rFonts w:ascii="Times New Roman" w:eastAsia="MS Mincho" w:hAnsi="Times New Roman"/>
          <w:color w:val="000000"/>
          <w:szCs w:val="22"/>
          <w:lang w:val="pt-BR"/>
        </w:rPr>
        <w:t>84.968.407</w:t>
      </w:r>
      <w:r w:rsidRPr="00D65A20">
        <w:rPr>
          <w:rFonts w:ascii="Times New Roman" w:eastAsia="Calibri" w:hAnsi="Times New Roman"/>
          <w:szCs w:val="22"/>
          <w:lang w:val="pt-BR"/>
        </w:rPr>
        <w:t xml:space="preserve">. </w:t>
      </w:r>
    </w:p>
    <w:p w14:paraId="6E83477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u w:val="single"/>
          <w:lang w:val="pt-BR"/>
        </w:rPr>
      </w:pPr>
    </w:p>
    <w:p w14:paraId="6E83477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u w:val="single"/>
          <w:lang w:val="pt-BR"/>
        </w:rPr>
      </w:pPr>
    </w:p>
    <w:p w14:paraId="6E83477F" w14:textId="77777777" w:rsidR="00D230D1" w:rsidRPr="00D65A20" w:rsidRDefault="00D230D1" w:rsidP="00AA4399">
      <w:pPr>
        <w:widowControl/>
        <w:numPr>
          <w:ilvl w:val="0"/>
          <w:numId w:val="37"/>
        </w:numPr>
        <w:tabs>
          <w:tab w:val="clear" w:pos="720"/>
          <w:tab w:val="clear" w:pos="1440"/>
          <w:tab w:val="clear" w:pos="2160"/>
          <w:tab w:val="clear" w:pos="2880"/>
          <w:tab w:val="clear" w:pos="3600"/>
          <w:tab w:val="clear" w:pos="4320"/>
          <w:tab w:val="clear" w:pos="5760"/>
          <w:tab w:val="clear" w:pos="6480"/>
          <w:tab w:val="clear" w:pos="7200"/>
          <w:tab w:val="clear" w:pos="7920"/>
        </w:tabs>
        <w:ind w:left="720"/>
        <w:contextualSpacing/>
        <w:rPr>
          <w:rFonts w:ascii="Times New Roman" w:eastAsia="Arial Unicode MS" w:hAnsi="Times New Roman"/>
          <w:szCs w:val="22"/>
          <w:u w:val="single"/>
          <w:lang w:val="pt-BR"/>
        </w:rPr>
      </w:pPr>
      <w:r w:rsidRPr="00D65A20">
        <w:rPr>
          <w:rFonts w:ascii="Times New Roman" w:eastAsia="Arial Unicode MS" w:hAnsi="Times New Roman"/>
          <w:szCs w:val="22"/>
          <w:u w:val="single"/>
          <w:lang w:val="pt-BR"/>
        </w:rPr>
        <w:t>DOTAÇÕES ORÇAMENTÁRIAS</w:t>
      </w:r>
    </w:p>
    <w:p w14:paraId="6E83478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78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color w:val="000000"/>
          <w:spacing w:val="-2"/>
          <w:szCs w:val="22"/>
          <w:lang w:val="pt-BR"/>
        </w:rPr>
        <w:t>1.</w:t>
      </w:r>
      <w:r w:rsidRPr="00D65A20">
        <w:rPr>
          <w:rFonts w:ascii="Times New Roman" w:eastAsia="Calibri" w:hAnsi="Times New Roman"/>
          <w:color w:val="000000"/>
          <w:spacing w:val="-2"/>
          <w:szCs w:val="22"/>
          <w:lang w:val="pt-BR"/>
        </w:rPr>
        <w:tab/>
        <w:t xml:space="preserve">Aprovar e autorizar o orçamento-programa da Organização para o exercício financeiro compreendido entre 1º de janeiro e 31 de dezembro de </w:t>
      </w:r>
      <w:r w:rsidRPr="00D65A20">
        <w:rPr>
          <w:rFonts w:ascii="Times New Roman" w:eastAsia="Calibri" w:hAnsi="Times New Roman"/>
          <w:bCs/>
          <w:color w:val="000000"/>
          <w:spacing w:val="-2"/>
          <w:szCs w:val="22"/>
          <w:lang w:val="pt-BR"/>
        </w:rPr>
        <w:t>2021</w:t>
      </w:r>
      <w:r w:rsidRPr="00D65A20">
        <w:rPr>
          <w:rFonts w:ascii="Times New Roman" w:eastAsia="Calibri" w:hAnsi="Times New Roman"/>
          <w:color w:val="000000"/>
          <w:spacing w:val="-2"/>
          <w:szCs w:val="22"/>
          <w:lang w:val="pt-BR"/>
        </w:rPr>
        <w:t>, financiado por recursos que não excedam os montantes indicados abaixo:</w:t>
      </w:r>
      <w:r w:rsidRPr="00D65A20">
        <w:rPr>
          <w:rFonts w:ascii="Times New Roman" w:eastAsia="Calibri" w:hAnsi="Times New Roman"/>
          <w:i/>
          <w:color w:val="000000"/>
          <w:szCs w:val="22"/>
          <w:lang w:val="pt-BR"/>
        </w:rPr>
        <w:t xml:space="preserve"> </w:t>
      </w:r>
    </w:p>
    <w:p w14:paraId="6E83478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78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 w:val="right" w:pos="8820"/>
        </w:tabs>
        <w:ind w:left="2160" w:hanging="720"/>
        <w:rPr>
          <w:rFonts w:ascii="Times New Roman" w:eastAsia="Calibri" w:hAnsi="Times New Roman"/>
          <w:bCs/>
          <w:szCs w:val="22"/>
          <w:lang w:val="pt-BR"/>
        </w:rPr>
      </w:pPr>
      <w:r w:rsidRPr="00D65A20">
        <w:rPr>
          <w:rFonts w:ascii="Times New Roman" w:eastAsia="Calibri" w:hAnsi="Times New Roman"/>
          <w:szCs w:val="22"/>
          <w:lang w:val="pt-BR"/>
        </w:rPr>
        <w:t>a)</w:t>
      </w:r>
      <w:r w:rsidRPr="00D65A20">
        <w:rPr>
          <w:rFonts w:ascii="Times New Roman" w:eastAsia="Calibri" w:hAnsi="Times New Roman"/>
          <w:szCs w:val="22"/>
          <w:lang w:val="pt-BR"/>
        </w:rPr>
        <w:tab/>
        <w:t>Fundo Ordinário (FO)</w:t>
      </w:r>
      <w:r w:rsidRPr="00D65A20">
        <w:rPr>
          <w:rFonts w:ascii="Times New Roman" w:eastAsia="Calibri" w:hAnsi="Times New Roman"/>
          <w:szCs w:val="22"/>
          <w:lang w:val="pt-BR"/>
        </w:rPr>
        <w:tab/>
      </w:r>
      <w:r w:rsidRPr="00D65A20">
        <w:rPr>
          <w:rFonts w:ascii="Times New Roman" w:eastAsia="Calibri" w:hAnsi="Times New Roman"/>
          <w:bCs/>
          <w:szCs w:val="22"/>
          <w:lang w:val="pt-BR"/>
        </w:rPr>
        <w:t>US$ 79.000.000</w:t>
      </w:r>
    </w:p>
    <w:p w14:paraId="6E83478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 w:val="right" w:pos="8820"/>
        </w:tabs>
        <w:rPr>
          <w:rFonts w:ascii="Times New Roman" w:eastAsia="Calibri" w:hAnsi="Times New Roman"/>
          <w:bCs/>
          <w:szCs w:val="22"/>
          <w:lang w:val="pt-BR"/>
        </w:rPr>
      </w:pPr>
    </w:p>
    <w:p w14:paraId="6E83478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 w:val="right" w:pos="8820"/>
        </w:tabs>
        <w:ind w:left="2160" w:hanging="720"/>
        <w:rPr>
          <w:rFonts w:ascii="Times New Roman" w:hAnsi="Times New Roman"/>
          <w:bCs/>
          <w:color w:val="000000"/>
          <w:szCs w:val="22"/>
          <w:lang w:val="pt-BR" w:eastAsia="es-ES"/>
        </w:rPr>
      </w:pPr>
      <w:r w:rsidRPr="00D65A20">
        <w:rPr>
          <w:rFonts w:ascii="Times New Roman" w:eastAsia="Calibri" w:hAnsi="Times New Roman"/>
          <w:bCs/>
          <w:szCs w:val="22"/>
          <w:lang w:val="pt-BR"/>
        </w:rPr>
        <w:t>b)</w:t>
      </w:r>
      <w:r w:rsidRPr="00D65A20">
        <w:rPr>
          <w:rFonts w:ascii="Times New Roman" w:eastAsia="Calibri" w:hAnsi="Times New Roman"/>
          <w:bCs/>
          <w:szCs w:val="22"/>
          <w:lang w:val="pt-BR"/>
        </w:rPr>
        <w:tab/>
        <w:t>Recuperação de custos indiretos (RCI)</w:t>
      </w:r>
      <w:r w:rsidRPr="00D65A20">
        <w:rPr>
          <w:rFonts w:ascii="Times New Roman" w:eastAsia="Calibri" w:hAnsi="Times New Roman"/>
          <w:bCs/>
          <w:szCs w:val="22"/>
          <w:lang w:val="pt-BR"/>
        </w:rPr>
        <w:tab/>
        <w:t>US$ </w:t>
      </w:r>
      <w:r w:rsidRPr="00D65A20">
        <w:rPr>
          <w:rFonts w:ascii="Times New Roman" w:hAnsi="Times New Roman"/>
          <w:bCs/>
          <w:color w:val="000000"/>
          <w:szCs w:val="22"/>
          <w:lang w:val="pt-BR" w:eastAsia="es-ES"/>
        </w:rPr>
        <w:t>7.219.300</w:t>
      </w:r>
    </w:p>
    <w:p w14:paraId="6E834786" w14:textId="50577864" w:rsidR="00E404FD" w:rsidRDefault="00E404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 w:val="right" w:pos="8820"/>
        </w:tabs>
        <w:rPr>
          <w:rFonts w:ascii="Times New Roman" w:eastAsia="Calibri" w:hAnsi="Times New Roman"/>
          <w:bCs/>
          <w:szCs w:val="22"/>
          <w:lang w:val="pt-BR"/>
        </w:rPr>
      </w:pPr>
      <w:r>
        <w:rPr>
          <w:rFonts w:ascii="Times New Roman" w:eastAsia="Calibri" w:hAnsi="Times New Roman"/>
          <w:bCs/>
          <w:szCs w:val="22"/>
          <w:lang w:val="pt-BR"/>
        </w:rPr>
        <w:br w:type="page"/>
      </w:r>
    </w:p>
    <w:p w14:paraId="6E834787" w14:textId="77777777" w:rsidR="00D230D1" w:rsidRPr="00D65A20" w:rsidRDefault="00D230D1" w:rsidP="00AA4399">
      <w:pPr>
        <w:widowControl/>
        <w:numPr>
          <w:ilvl w:val="0"/>
          <w:numId w:val="3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color w:val="000000"/>
          <w:szCs w:val="22"/>
          <w:lang w:val="pt-BR"/>
        </w:rPr>
      </w:pPr>
      <w:r w:rsidRPr="00D65A20">
        <w:rPr>
          <w:rFonts w:ascii="Times New Roman" w:eastAsia="Calibri" w:hAnsi="Times New Roman"/>
          <w:color w:val="000000"/>
          <w:szCs w:val="22"/>
          <w:lang w:val="pt-BR"/>
        </w:rPr>
        <w:lastRenderedPageBreak/>
        <w:t>Aprovar os níveis de dotação do Fundo Ordinário, por capítulo, com as recomendações, instruções ou mandatos especificados a seguir:</w:t>
      </w:r>
    </w:p>
    <w:p w14:paraId="10E5F682" w14:textId="77777777" w:rsidR="00E404FD" w:rsidRPr="00D65A20" w:rsidRDefault="00E404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p>
    <w:tbl>
      <w:tblPr>
        <w:tblW w:w="9402" w:type="dxa"/>
        <w:jc w:val="center"/>
        <w:tblLook w:val="04A0" w:firstRow="1" w:lastRow="0" w:firstColumn="1" w:lastColumn="0" w:noHBand="0" w:noVBand="1"/>
      </w:tblPr>
      <w:tblGrid>
        <w:gridCol w:w="636"/>
        <w:gridCol w:w="542"/>
        <w:gridCol w:w="331"/>
        <w:gridCol w:w="5241"/>
        <w:gridCol w:w="631"/>
        <w:gridCol w:w="961"/>
        <w:gridCol w:w="1016"/>
        <w:gridCol w:w="44"/>
      </w:tblGrid>
      <w:tr w:rsidR="00D230D1" w:rsidRPr="00D65A20" w14:paraId="6E83478D" w14:textId="77777777" w:rsidTr="00D230D1">
        <w:trPr>
          <w:gridBefore w:val="1"/>
          <w:gridAfter w:val="1"/>
          <w:wBefore w:w="636" w:type="dxa"/>
          <w:wAfter w:w="44" w:type="dxa"/>
          <w:trHeight w:val="243"/>
          <w:tblHeader/>
          <w:jc w:val="center"/>
        </w:trPr>
        <w:tc>
          <w:tcPr>
            <w:tcW w:w="873" w:type="dxa"/>
            <w:gridSpan w:val="2"/>
            <w:noWrap/>
            <w:vAlign w:val="bottom"/>
          </w:tcPr>
          <w:p w14:paraId="6E83478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hanging="438"/>
              <w:rPr>
                <w:rFonts w:ascii="Times New Roman" w:hAnsi="Times New Roman"/>
                <w:szCs w:val="22"/>
                <w:lang w:val="pt-BR" w:eastAsia="es-ES"/>
              </w:rPr>
            </w:pPr>
          </w:p>
        </w:tc>
        <w:tc>
          <w:tcPr>
            <w:tcW w:w="5872" w:type="dxa"/>
            <w:gridSpan w:val="2"/>
            <w:noWrap/>
            <w:vAlign w:val="bottom"/>
          </w:tcPr>
          <w:p w14:paraId="6E83478A"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eastAsia="es-ES"/>
              </w:rPr>
            </w:pPr>
          </w:p>
        </w:tc>
        <w:tc>
          <w:tcPr>
            <w:tcW w:w="961" w:type="dxa"/>
            <w:noWrap/>
            <w:vAlign w:val="bottom"/>
            <w:hideMark/>
          </w:tcPr>
          <w:p w14:paraId="6E83478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pt-BR"/>
              </w:rPr>
            </w:pPr>
            <w:r w:rsidRPr="00D65A20">
              <w:rPr>
                <w:rFonts w:ascii="Times New Roman" w:eastAsia="Calibri" w:hAnsi="Times New Roman"/>
                <w:bCs/>
                <w:color w:val="000000"/>
                <w:szCs w:val="22"/>
                <w:lang w:val="pt-BR"/>
              </w:rPr>
              <w:t>FO</w:t>
            </w:r>
          </w:p>
        </w:tc>
        <w:tc>
          <w:tcPr>
            <w:tcW w:w="1016" w:type="dxa"/>
            <w:noWrap/>
            <w:vAlign w:val="bottom"/>
            <w:hideMark/>
          </w:tcPr>
          <w:p w14:paraId="6E83478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pt-BR"/>
              </w:rPr>
            </w:pPr>
            <w:r w:rsidRPr="00D65A20">
              <w:rPr>
                <w:rFonts w:ascii="Times New Roman" w:eastAsia="Calibri" w:hAnsi="Times New Roman"/>
                <w:bCs/>
                <w:color w:val="000000"/>
                <w:szCs w:val="22"/>
                <w:lang w:val="pt-BR"/>
              </w:rPr>
              <w:t>RCI</w:t>
            </w:r>
          </w:p>
        </w:tc>
      </w:tr>
      <w:tr w:rsidR="00D230D1" w:rsidRPr="00D65A20" w14:paraId="6E834791" w14:textId="77777777" w:rsidTr="00D230D1">
        <w:trPr>
          <w:trHeight w:val="225"/>
          <w:tblHeader/>
          <w:jc w:val="center"/>
        </w:trPr>
        <w:tc>
          <w:tcPr>
            <w:tcW w:w="1178" w:type="dxa"/>
            <w:gridSpan w:val="2"/>
            <w:noWrap/>
            <w:vAlign w:val="bottom"/>
            <w:hideMark/>
          </w:tcPr>
          <w:p w14:paraId="6E83478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5572" w:type="dxa"/>
            <w:gridSpan w:val="2"/>
            <w:noWrap/>
            <w:vAlign w:val="bottom"/>
            <w:hideMark/>
          </w:tcPr>
          <w:p w14:paraId="6E83478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2652" w:type="dxa"/>
            <w:gridSpan w:val="4"/>
            <w:noWrap/>
            <w:vAlign w:val="bottom"/>
            <w:hideMark/>
          </w:tcPr>
          <w:p w14:paraId="6E83479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33"/>
              <w:rPr>
                <w:rFonts w:ascii="Times New Roman" w:eastAsia="Calibri" w:hAnsi="Times New Roman"/>
                <w:b/>
                <w:bCs/>
                <w:color w:val="000000"/>
                <w:szCs w:val="22"/>
                <w:lang w:val="pt-BR"/>
              </w:rPr>
            </w:pPr>
            <w:r w:rsidRPr="00D65A20">
              <w:rPr>
                <w:rFonts w:ascii="Times New Roman" w:eastAsia="Calibri" w:hAnsi="Times New Roman"/>
                <w:b/>
                <w:bCs/>
                <w:color w:val="000000"/>
                <w:szCs w:val="22"/>
                <w:lang w:val="pt-BR"/>
              </w:rPr>
              <w:t>(em US$</w:t>
            </w:r>
            <w:r w:rsidR="007C39FD" w:rsidRPr="00D65A20">
              <w:rPr>
                <w:rFonts w:ascii="Times New Roman" w:eastAsia="Calibri" w:hAnsi="Times New Roman"/>
                <w:b/>
                <w:bCs/>
                <w:color w:val="000000"/>
                <w:szCs w:val="22"/>
                <w:lang w:val="pt-BR"/>
              </w:rPr>
              <w:t> </w:t>
            </w:r>
            <w:r w:rsidRPr="00D65A20">
              <w:rPr>
                <w:rFonts w:ascii="Times New Roman" w:eastAsia="Calibri" w:hAnsi="Times New Roman"/>
                <w:b/>
                <w:bCs/>
                <w:color w:val="000000"/>
                <w:szCs w:val="22"/>
                <w:lang w:val="pt-BR"/>
              </w:rPr>
              <w:t>1.000)]</w:t>
            </w:r>
          </w:p>
        </w:tc>
      </w:tr>
      <w:tr w:rsidR="00D230D1" w:rsidRPr="00D65A20" w14:paraId="6E834851" w14:textId="77777777" w:rsidTr="00D230D1">
        <w:trPr>
          <w:trHeight w:val="288"/>
          <w:jc w:val="center"/>
        </w:trPr>
        <w:tc>
          <w:tcPr>
            <w:tcW w:w="9402" w:type="dxa"/>
            <w:gridSpan w:val="8"/>
            <w:noWrap/>
            <w:vAlign w:val="bottom"/>
            <w:hideMark/>
          </w:tcPr>
          <w:tbl>
            <w:tblPr>
              <w:tblpPr w:leftFromText="180" w:rightFromText="180" w:vertAnchor="text" w:horzAnchor="page" w:tblpX="1153" w:tblpY="-11021"/>
              <w:tblOverlap w:val="never"/>
              <w:tblW w:w="9166" w:type="dxa"/>
              <w:tblLook w:val="04A0" w:firstRow="1" w:lastRow="0" w:firstColumn="1" w:lastColumn="0" w:noHBand="0" w:noVBand="1"/>
            </w:tblPr>
            <w:tblGrid>
              <w:gridCol w:w="1094"/>
              <w:gridCol w:w="5466"/>
              <w:gridCol w:w="1170"/>
              <w:gridCol w:w="1436"/>
            </w:tblGrid>
            <w:tr w:rsidR="00D230D1" w:rsidRPr="00D65A20" w14:paraId="6E834795" w14:textId="77777777">
              <w:trPr>
                <w:trHeight w:val="315"/>
              </w:trPr>
              <w:tc>
                <w:tcPr>
                  <w:tcW w:w="6560" w:type="dxa"/>
                  <w:gridSpan w:val="2"/>
                  <w:tcBorders>
                    <w:top w:val="single" w:sz="8" w:space="0" w:color="auto"/>
                    <w:left w:val="single" w:sz="8" w:space="0" w:color="auto"/>
                    <w:bottom w:val="single" w:sz="8" w:space="0" w:color="auto"/>
                    <w:right w:val="single" w:sz="8" w:space="0" w:color="000000"/>
                  </w:tcBorders>
                  <w:noWrap/>
                  <w:vAlign w:val="center"/>
                  <w:hideMark/>
                </w:tcPr>
                <w:p w14:paraId="6E83479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color w:val="000000"/>
                      <w:szCs w:val="22"/>
                      <w:lang w:val="pt-BR"/>
                    </w:rPr>
                  </w:pPr>
                  <w:r w:rsidRPr="00D65A20">
                    <w:rPr>
                      <w:rFonts w:ascii="Times New Roman" w:eastAsia="Calibri" w:hAnsi="Times New Roman"/>
                      <w:b/>
                      <w:bCs/>
                      <w:color w:val="000000"/>
                      <w:szCs w:val="22"/>
                      <w:lang w:val="pt-BR"/>
                    </w:rPr>
                    <w:t xml:space="preserve">1 - SECRETÁRIO-GERAL </w:t>
                  </w:r>
                </w:p>
              </w:tc>
              <w:tc>
                <w:tcPr>
                  <w:tcW w:w="1170" w:type="dxa"/>
                  <w:tcBorders>
                    <w:top w:val="single" w:sz="8" w:space="0" w:color="auto"/>
                    <w:left w:val="nil"/>
                    <w:bottom w:val="single" w:sz="8" w:space="0" w:color="auto"/>
                    <w:right w:val="single" w:sz="8" w:space="0" w:color="auto"/>
                  </w:tcBorders>
                  <w:noWrap/>
                  <w:vAlign w:val="center"/>
                  <w:hideMark/>
                </w:tcPr>
                <w:p w14:paraId="6E83479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color w:val="000000"/>
                      <w:szCs w:val="22"/>
                      <w:lang w:val="pt-BR"/>
                    </w:rPr>
                  </w:pPr>
                  <w:r w:rsidRPr="00D65A20">
                    <w:rPr>
                      <w:rFonts w:ascii="Times New Roman" w:hAnsi="Times New Roman"/>
                      <w:b/>
                      <w:bCs/>
                      <w:color w:val="000000"/>
                      <w:szCs w:val="22"/>
                      <w:lang w:val="pt-BR"/>
                    </w:rPr>
                    <w:t>2.363,6</w:t>
                  </w:r>
                </w:p>
              </w:tc>
              <w:tc>
                <w:tcPr>
                  <w:tcW w:w="1436" w:type="dxa"/>
                  <w:tcBorders>
                    <w:top w:val="single" w:sz="8" w:space="0" w:color="auto"/>
                    <w:left w:val="nil"/>
                    <w:bottom w:val="single" w:sz="8" w:space="0" w:color="auto"/>
                    <w:right w:val="single" w:sz="8" w:space="0" w:color="auto"/>
                  </w:tcBorders>
                  <w:noWrap/>
                  <w:vAlign w:val="center"/>
                  <w:hideMark/>
                </w:tcPr>
                <w:p w14:paraId="6E83479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hAnsi="Times New Roman"/>
                      <w:b/>
                      <w:bCs/>
                      <w:color w:val="000000"/>
                      <w:szCs w:val="22"/>
                      <w:lang w:val="pt-BR"/>
                    </w:rPr>
                    <w:t>250,0</w:t>
                  </w:r>
                </w:p>
              </w:tc>
            </w:tr>
            <w:tr w:rsidR="00D230D1" w:rsidRPr="00D65A20" w14:paraId="6E83479A" w14:textId="77777777">
              <w:trPr>
                <w:trHeight w:val="241"/>
              </w:trPr>
              <w:tc>
                <w:tcPr>
                  <w:tcW w:w="1094" w:type="dxa"/>
                  <w:tcBorders>
                    <w:top w:val="nil"/>
                    <w:left w:val="nil"/>
                    <w:bottom w:val="single" w:sz="8" w:space="0" w:color="000000"/>
                    <w:right w:val="nil"/>
                  </w:tcBorders>
                  <w:noWrap/>
                  <w:vAlign w:val="bottom"/>
                  <w:hideMark/>
                </w:tcPr>
                <w:p w14:paraId="6E83479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5466" w:type="dxa"/>
                  <w:tcBorders>
                    <w:top w:val="single" w:sz="8" w:space="0" w:color="000000"/>
                    <w:left w:val="nil"/>
                    <w:bottom w:val="single" w:sz="8" w:space="0" w:color="000000"/>
                    <w:right w:val="nil"/>
                  </w:tcBorders>
                  <w:vAlign w:val="center"/>
                  <w:hideMark/>
                </w:tcPr>
                <w:p w14:paraId="6E83479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1170" w:type="dxa"/>
                  <w:tcBorders>
                    <w:top w:val="single" w:sz="8" w:space="0" w:color="000000"/>
                    <w:left w:val="nil"/>
                    <w:bottom w:val="single" w:sz="8" w:space="0" w:color="000000"/>
                    <w:right w:val="nil"/>
                  </w:tcBorders>
                  <w:noWrap/>
                  <w:vAlign w:val="center"/>
                </w:tcPr>
                <w:p w14:paraId="6E83479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p>
              </w:tc>
              <w:tc>
                <w:tcPr>
                  <w:tcW w:w="1436" w:type="dxa"/>
                  <w:tcBorders>
                    <w:top w:val="single" w:sz="8" w:space="0" w:color="000000"/>
                    <w:left w:val="nil"/>
                    <w:bottom w:val="single" w:sz="8" w:space="0" w:color="000000"/>
                    <w:right w:val="nil"/>
                  </w:tcBorders>
                  <w:noWrap/>
                  <w:vAlign w:val="center"/>
                </w:tcPr>
                <w:p w14:paraId="6E83479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p>
              </w:tc>
            </w:tr>
            <w:tr w:rsidR="00D230D1" w:rsidRPr="00D65A20" w14:paraId="6E83479E" w14:textId="77777777">
              <w:trPr>
                <w:trHeight w:val="350"/>
              </w:trPr>
              <w:tc>
                <w:tcPr>
                  <w:tcW w:w="6560" w:type="dxa"/>
                  <w:gridSpan w:val="2"/>
                  <w:tcBorders>
                    <w:top w:val="single" w:sz="8" w:space="0" w:color="000000"/>
                    <w:left w:val="single" w:sz="8" w:space="0" w:color="000000"/>
                    <w:bottom w:val="single" w:sz="8" w:space="0" w:color="000000"/>
                    <w:right w:val="single" w:sz="8" w:space="0" w:color="000000"/>
                  </w:tcBorders>
                  <w:noWrap/>
                  <w:vAlign w:val="center"/>
                  <w:hideMark/>
                </w:tcPr>
                <w:p w14:paraId="6E83479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eastAsia="Calibri" w:hAnsi="Times New Roman"/>
                      <w:b/>
                      <w:bCs/>
                      <w:color w:val="000000"/>
                      <w:szCs w:val="22"/>
                      <w:lang w:val="pt-BR"/>
                    </w:rPr>
                    <w:t>2 – SECRETÁRIO-GERAL ADJUNTO</w:t>
                  </w:r>
                </w:p>
              </w:tc>
              <w:tc>
                <w:tcPr>
                  <w:tcW w:w="1170" w:type="dxa"/>
                  <w:tcBorders>
                    <w:top w:val="single" w:sz="8" w:space="0" w:color="000000"/>
                    <w:left w:val="single" w:sz="8" w:space="0" w:color="000000"/>
                    <w:bottom w:val="single" w:sz="8" w:space="0" w:color="000000"/>
                    <w:right w:val="single" w:sz="8" w:space="0" w:color="000000"/>
                  </w:tcBorders>
                  <w:noWrap/>
                  <w:vAlign w:val="center"/>
                  <w:hideMark/>
                </w:tcPr>
                <w:p w14:paraId="6E83479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hAnsi="Times New Roman"/>
                      <w:b/>
                      <w:bCs/>
                      <w:color w:val="000000"/>
                      <w:szCs w:val="22"/>
                      <w:lang w:val="pt-BR"/>
                    </w:rPr>
                    <w:t>11.274,2</w:t>
                  </w:r>
                </w:p>
              </w:tc>
              <w:tc>
                <w:tcPr>
                  <w:tcW w:w="1436" w:type="dxa"/>
                  <w:tcBorders>
                    <w:top w:val="single" w:sz="8" w:space="0" w:color="000000"/>
                    <w:left w:val="single" w:sz="8" w:space="0" w:color="000000"/>
                    <w:bottom w:val="single" w:sz="8" w:space="0" w:color="000000"/>
                    <w:right w:val="single" w:sz="8" w:space="0" w:color="000000"/>
                  </w:tcBorders>
                  <w:noWrap/>
                  <w:vAlign w:val="center"/>
                  <w:hideMark/>
                </w:tcPr>
                <w:p w14:paraId="6E83479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hAnsi="Times New Roman"/>
                      <w:b/>
                      <w:bCs/>
                      <w:color w:val="000000"/>
                      <w:szCs w:val="22"/>
                      <w:lang w:val="pt-BR"/>
                    </w:rPr>
                    <w:t>61,0</w:t>
                  </w:r>
                </w:p>
              </w:tc>
            </w:tr>
            <w:tr w:rsidR="00D230D1" w:rsidRPr="00D65A20" w14:paraId="6E8347A3" w14:textId="77777777">
              <w:trPr>
                <w:trHeight w:val="187"/>
              </w:trPr>
              <w:tc>
                <w:tcPr>
                  <w:tcW w:w="1094" w:type="dxa"/>
                  <w:tcBorders>
                    <w:top w:val="single" w:sz="8" w:space="0" w:color="000000"/>
                    <w:left w:val="nil"/>
                    <w:bottom w:val="single" w:sz="8" w:space="0" w:color="000000"/>
                    <w:right w:val="nil"/>
                  </w:tcBorders>
                  <w:noWrap/>
                  <w:vAlign w:val="bottom"/>
                  <w:hideMark/>
                </w:tcPr>
                <w:p w14:paraId="6E83479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5466" w:type="dxa"/>
                  <w:tcBorders>
                    <w:top w:val="single" w:sz="8" w:space="0" w:color="000000"/>
                    <w:left w:val="nil"/>
                    <w:bottom w:val="single" w:sz="8" w:space="0" w:color="000000"/>
                    <w:right w:val="nil"/>
                  </w:tcBorders>
                  <w:vAlign w:val="center"/>
                  <w:hideMark/>
                </w:tcPr>
                <w:p w14:paraId="6E8347A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1170" w:type="dxa"/>
                  <w:tcBorders>
                    <w:top w:val="single" w:sz="8" w:space="0" w:color="000000"/>
                    <w:left w:val="nil"/>
                    <w:bottom w:val="single" w:sz="8" w:space="0" w:color="000000"/>
                    <w:right w:val="nil"/>
                  </w:tcBorders>
                  <w:noWrap/>
                  <w:vAlign w:val="center"/>
                </w:tcPr>
                <w:p w14:paraId="6E8347A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p>
              </w:tc>
              <w:tc>
                <w:tcPr>
                  <w:tcW w:w="1436" w:type="dxa"/>
                  <w:tcBorders>
                    <w:top w:val="single" w:sz="8" w:space="0" w:color="000000"/>
                    <w:left w:val="nil"/>
                    <w:bottom w:val="single" w:sz="8" w:space="0" w:color="000000"/>
                    <w:right w:val="nil"/>
                  </w:tcBorders>
                  <w:noWrap/>
                  <w:vAlign w:val="center"/>
                </w:tcPr>
                <w:p w14:paraId="6E8347A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p>
              </w:tc>
            </w:tr>
            <w:tr w:rsidR="00D230D1" w:rsidRPr="00D65A20" w14:paraId="6E8347A7" w14:textId="77777777">
              <w:trPr>
                <w:trHeight w:val="377"/>
              </w:trPr>
              <w:tc>
                <w:tcPr>
                  <w:tcW w:w="6560" w:type="dxa"/>
                  <w:gridSpan w:val="2"/>
                  <w:tcBorders>
                    <w:top w:val="single" w:sz="8" w:space="0" w:color="000000"/>
                    <w:left w:val="single" w:sz="8" w:space="0" w:color="000000"/>
                    <w:bottom w:val="single" w:sz="8" w:space="0" w:color="000000"/>
                    <w:right w:val="single" w:sz="8" w:space="0" w:color="000000"/>
                  </w:tcBorders>
                  <w:noWrap/>
                  <w:vAlign w:val="center"/>
                  <w:hideMark/>
                </w:tcPr>
                <w:p w14:paraId="6E8347A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eastAsia="Calibri" w:hAnsi="Times New Roman"/>
                      <w:b/>
                      <w:bCs/>
                      <w:color w:val="000000"/>
                      <w:szCs w:val="22"/>
                      <w:lang w:val="pt-BR"/>
                    </w:rPr>
                    <w:t>3 – ORGANISMOS PRINCIPAIS E ESPECIALIZADOS</w:t>
                  </w:r>
                </w:p>
              </w:tc>
              <w:tc>
                <w:tcPr>
                  <w:tcW w:w="1170" w:type="dxa"/>
                  <w:tcBorders>
                    <w:top w:val="single" w:sz="8" w:space="0" w:color="000000"/>
                    <w:left w:val="single" w:sz="8" w:space="0" w:color="000000"/>
                    <w:bottom w:val="single" w:sz="8" w:space="0" w:color="000000"/>
                    <w:right w:val="single" w:sz="8" w:space="0" w:color="000000"/>
                  </w:tcBorders>
                  <w:noWrap/>
                  <w:vAlign w:val="center"/>
                  <w:hideMark/>
                </w:tcPr>
                <w:p w14:paraId="6E8347A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hAnsi="Times New Roman"/>
                      <w:b/>
                      <w:bCs/>
                      <w:color w:val="000000"/>
                      <w:szCs w:val="22"/>
                      <w:lang w:val="pt-BR"/>
                    </w:rPr>
                    <w:t>19.778,7</w:t>
                  </w:r>
                </w:p>
              </w:tc>
              <w:tc>
                <w:tcPr>
                  <w:tcW w:w="1436" w:type="dxa"/>
                  <w:tcBorders>
                    <w:top w:val="single" w:sz="8" w:space="0" w:color="000000"/>
                    <w:left w:val="single" w:sz="8" w:space="0" w:color="000000"/>
                    <w:bottom w:val="single" w:sz="8" w:space="0" w:color="000000"/>
                    <w:right w:val="single" w:sz="8" w:space="0" w:color="000000"/>
                  </w:tcBorders>
                  <w:noWrap/>
                  <w:vAlign w:val="center"/>
                  <w:hideMark/>
                </w:tcPr>
                <w:p w14:paraId="6E8347A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hAnsi="Times New Roman"/>
                      <w:b/>
                      <w:bCs/>
                      <w:color w:val="000000"/>
                      <w:szCs w:val="22"/>
                      <w:lang w:val="pt-BR"/>
                    </w:rPr>
                    <w:t>222,2</w:t>
                  </w:r>
                </w:p>
              </w:tc>
            </w:tr>
            <w:tr w:rsidR="00D230D1" w:rsidRPr="00D65A20" w14:paraId="6E8347AC" w14:textId="77777777">
              <w:trPr>
                <w:trHeight w:val="317"/>
              </w:trPr>
              <w:tc>
                <w:tcPr>
                  <w:tcW w:w="1094" w:type="dxa"/>
                  <w:tcBorders>
                    <w:top w:val="single" w:sz="8" w:space="0" w:color="000000"/>
                    <w:left w:val="single" w:sz="8" w:space="0" w:color="000000"/>
                    <w:bottom w:val="single" w:sz="8" w:space="0" w:color="000000"/>
                    <w:right w:val="single" w:sz="8" w:space="0" w:color="000000"/>
                  </w:tcBorders>
                  <w:noWrap/>
                  <w:vAlign w:val="center"/>
                  <w:hideMark/>
                </w:tcPr>
                <w:p w14:paraId="6E8347A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34A</w:t>
                  </w:r>
                </w:p>
              </w:tc>
              <w:tc>
                <w:tcPr>
                  <w:tcW w:w="5466" w:type="dxa"/>
                  <w:tcBorders>
                    <w:top w:val="single" w:sz="8" w:space="0" w:color="000000"/>
                    <w:left w:val="single" w:sz="8" w:space="0" w:color="000000"/>
                    <w:bottom w:val="single" w:sz="8" w:space="0" w:color="000000"/>
                    <w:right w:val="single" w:sz="8" w:space="0" w:color="000000"/>
                  </w:tcBorders>
                  <w:vAlign w:val="center"/>
                  <w:hideMark/>
                </w:tcPr>
                <w:p w14:paraId="6E8347A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Secretaria da Corte Interamericana de Direitos Humanos</w:t>
                  </w:r>
                </w:p>
              </w:tc>
              <w:tc>
                <w:tcPr>
                  <w:tcW w:w="1170" w:type="dxa"/>
                  <w:tcBorders>
                    <w:top w:val="single" w:sz="8" w:space="0" w:color="000000"/>
                    <w:left w:val="single" w:sz="8" w:space="0" w:color="000000"/>
                    <w:bottom w:val="single" w:sz="8" w:space="0" w:color="000000"/>
                    <w:right w:val="single" w:sz="8" w:space="0" w:color="000000"/>
                  </w:tcBorders>
                  <w:noWrap/>
                  <w:vAlign w:val="center"/>
                  <w:hideMark/>
                </w:tcPr>
                <w:p w14:paraId="6E8347AA"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hAnsi="Times New Roman"/>
                      <w:color w:val="000000"/>
                      <w:szCs w:val="22"/>
                      <w:lang w:val="pt-BR"/>
                    </w:rPr>
                    <w:t>5.024,0</w:t>
                  </w:r>
                </w:p>
              </w:tc>
              <w:tc>
                <w:tcPr>
                  <w:tcW w:w="1436" w:type="dxa"/>
                  <w:tcBorders>
                    <w:top w:val="single" w:sz="8" w:space="0" w:color="000000"/>
                    <w:left w:val="single" w:sz="8" w:space="0" w:color="000000"/>
                    <w:bottom w:val="single" w:sz="8" w:space="0" w:color="000000"/>
                    <w:right w:val="single" w:sz="8" w:space="0" w:color="000000"/>
                  </w:tcBorders>
                  <w:noWrap/>
                  <w:vAlign w:val="center"/>
                  <w:hideMark/>
                </w:tcPr>
                <w:p w14:paraId="6E8347A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hAnsi="Times New Roman"/>
                      <w:color w:val="000000"/>
                      <w:szCs w:val="22"/>
                      <w:lang w:val="pt-BR"/>
                    </w:rPr>
                    <w:t>-</w:t>
                  </w:r>
                </w:p>
              </w:tc>
            </w:tr>
            <w:tr w:rsidR="00D230D1" w:rsidRPr="00D65A20" w14:paraId="6E8347B1" w14:textId="77777777">
              <w:trPr>
                <w:trHeight w:val="317"/>
              </w:trPr>
              <w:tc>
                <w:tcPr>
                  <w:tcW w:w="1094" w:type="dxa"/>
                  <w:tcBorders>
                    <w:top w:val="single" w:sz="8" w:space="0" w:color="000000"/>
                    <w:left w:val="single" w:sz="8" w:space="0" w:color="000000"/>
                    <w:bottom w:val="single" w:sz="8" w:space="0" w:color="000000"/>
                    <w:right w:val="single" w:sz="8" w:space="0" w:color="000000"/>
                  </w:tcBorders>
                  <w:noWrap/>
                  <w:vAlign w:val="center"/>
                  <w:hideMark/>
                </w:tcPr>
                <w:p w14:paraId="6E8347A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34B</w:t>
                  </w:r>
                </w:p>
              </w:tc>
              <w:tc>
                <w:tcPr>
                  <w:tcW w:w="5466" w:type="dxa"/>
                  <w:tcBorders>
                    <w:top w:val="single" w:sz="8" w:space="0" w:color="000000"/>
                    <w:left w:val="single" w:sz="8" w:space="0" w:color="000000"/>
                    <w:bottom w:val="single" w:sz="8" w:space="0" w:color="000000"/>
                    <w:right w:val="single" w:sz="8" w:space="0" w:color="000000"/>
                  </w:tcBorders>
                  <w:vAlign w:val="center"/>
                  <w:hideMark/>
                </w:tcPr>
                <w:p w14:paraId="6E8347A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Secretaria Executiva da Comissão Interamericana de Direitos Humanos (CIDH)</w:t>
                  </w:r>
                </w:p>
              </w:tc>
              <w:tc>
                <w:tcPr>
                  <w:tcW w:w="1170" w:type="dxa"/>
                  <w:tcBorders>
                    <w:top w:val="single" w:sz="8" w:space="0" w:color="000000"/>
                    <w:left w:val="single" w:sz="8" w:space="0" w:color="000000"/>
                    <w:bottom w:val="single" w:sz="8" w:space="0" w:color="000000"/>
                    <w:right w:val="single" w:sz="8" w:space="0" w:color="000000"/>
                  </w:tcBorders>
                  <w:noWrap/>
                  <w:vAlign w:val="center"/>
                  <w:hideMark/>
                </w:tcPr>
                <w:p w14:paraId="6E8347A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hAnsi="Times New Roman"/>
                      <w:color w:val="000000"/>
                      <w:szCs w:val="22"/>
                      <w:lang w:val="pt-BR"/>
                    </w:rPr>
                    <w:t>10.081,9</w:t>
                  </w:r>
                </w:p>
              </w:tc>
              <w:tc>
                <w:tcPr>
                  <w:tcW w:w="1436" w:type="dxa"/>
                  <w:tcBorders>
                    <w:top w:val="single" w:sz="8" w:space="0" w:color="000000"/>
                    <w:left w:val="single" w:sz="8" w:space="0" w:color="000000"/>
                    <w:bottom w:val="single" w:sz="8" w:space="0" w:color="000000"/>
                    <w:right w:val="single" w:sz="8" w:space="0" w:color="000000"/>
                  </w:tcBorders>
                  <w:noWrap/>
                  <w:vAlign w:val="center"/>
                  <w:hideMark/>
                </w:tcPr>
                <w:p w14:paraId="6E8347B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hAnsi="Times New Roman"/>
                      <w:color w:val="000000"/>
                      <w:szCs w:val="22"/>
                      <w:lang w:val="pt-BR"/>
                    </w:rPr>
                    <w:t>-</w:t>
                  </w:r>
                </w:p>
              </w:tc>
            </w:tr>
            <w:tr w:rsidR="00D230D1" w:rsidRPr="00D65A20" w14:paraId="6E8347B6" w14:textId="77777777">
              <w:trPr>
                <w:trHeight w:val="317"/>
              </w:trPr>
              <w:tc>
                <w:tcPr>
                  <w:tcW w:w="1094" w:type="dxa"/>
                  <w:tcBorders>
                    <w:top w:val="single" w:sz="8" w:space="0" w:color="000000"/>
                    <w:left w:val="single" w:sz="8" w:space="0" w:color="000000"/>
                    <w:bottom w:val="single" w:sz="8" w:space="0" w:color="000000"/>
                    <w:right w:val="single" w:sz="8" w:space="0" w:color="000000"/>
                  </w:tcBorders>
                  <w:noWrap/>
                  <w:vAlign w:val="center"/>
                  <w:hideMark/>
                </w:tcPr>
                <w:p w14:paraId="6E8347B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34C</w:t>
                  </w:r>
                </w:p>
              </w:tc>
              <w:tc>
                <w:tcPr>
                  <w:tcW w:w="5466" w:type="dxa"/>
                  <w:tcBorders>
                    <w:top w:val="single" w:sz="8" w:space="0" w:color="000000"/>
                    <w:left w:val="single" w:sz="8" w:space="0" w:color="000000"/>
                    <w:bottom w:val="single" w:sz="8" w:space="0" w:color="000000"/>
                    <w:right w:val="single" w:sz="8" w:space="0" w:color="000000"/>
                  </w:tcBorders>
                  <w:vAlign w:val="center"/>
                  <w:hideMark/>
                </w:tcPr>
                <w:p w14:paraId="6E8347B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 xml:space="preserve">Secretaria </w:t>
                  </w:r>
                  <w:r w:rsidR="00830029" w:rsidRPr="00D65A20">
                    <w:rPr>
                      <w:rFonts w:ascii="Times New Roman" w:eastAsia="Calibri" w:hAnsi="Times New Roman"/>
                      <w:color w:val="000000"/>
                      <w:szCs w:val="22"/>
                      <w:lang w:val="pt-BR"/>
                    </w:rPr>
                    <w:t xml:space="preserve">Executiva </w:t>
                  </w:r>
                  <w:r w:rsidRPr="00D65A20">
                    <w:rPr>
                      <w:rFonts w:ascii="Times New Roman" w:eastAsia="Calibri" w:hAnsi="Times New Roman"/>
                      <w:color w:val="000000"/>
                      <w:szCs w:val="22"/>
                      <w:lang w:val="pt-BR"/>
                    </w:rPr>
                    <w:t>da Comissão Interamericana de Mulheres (CIM)</w:t>
                  </w:r>
                </w:p>
              </w:tc>
              <w:tc>
                <w:tcPr>
                  <w:tcW w:w="1170" w:type="dxa"/>
                  <w:tcBorders>
                    <w:top w:val="single" w:sz="8" w:space="0" w:color="000000"/>
                    <w:left w:val="single" w:sz="8" w:space="0" w:color="000000"/>
                    <w:bottom w:val="single" w:sz="8" w:space="0" w:color="000000"/>
                    <w:right w:val="single" w:sz="8" w:space="0" w:color="000000"/>
                  </w:tcBorders>
                  <w:noWrap/>
                  <w:vAlign w:val="center"/>
                  <w:hideMark/>
                </w:tcPr>
                <w:p w14:paraId="6E8347B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hAnsi="Times New Roman"/>
                      <w:color w:val="000000"/>
                      <w:szCs w:val="22"/>
                      <w:lang w:val="pt-BR"/>
                    </w:rPr>
                    <w:t>1.573,8</w:t>
                  </w:r>
                </w:p>
              </w:tc>
              <w:tc>
                <w:tcPr>
                  <w:tcW w:w="1436" w:type="dxa"/>
                  <w:tcBorders>
                    <w:top w:val="single" w:sz="8" w:space="0" w:color="000000"/>
                    <w:left w:val="single" w:sz="8" w:space="0" w:color="000000"/>
                    <w:bottom w:val="single" w:sz="8" w:space="0" w:color="000000"/>
                    <w:right w:val="single" w:sz="8" w:space="0" w:color="000000"/>
                  </w:tcBorders>
                  <w:noWrap/>
                  <w:vAlign w:val="center"/>
                  <w:hideMark/>
                </w:tcPr>
                <w:p w14:paraId="6E8347B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hAnsi="Times New Roman"/>
                      <w:color w:val="000000"/>
                      <w:szCs w:val="22"/>
                      <w:lang w:val="pt-BR"/>
                    </w:rPr>
                    <w:t>41,7</w:t>
                  </w:r>
                </w:p>
              </w:tc>
            </w:tr>
            <w:tr w:rsidR="00D230D1" w:rsidRPr="00D65A20" w14:paraId="6E8347BB" w14:textId="77777777">
              <w:trPr>
                <w:trHeight w:val="317"/>
              </w:trPr>
              <w:tc>
                <w:tcPr>
                  <w:tcW w:w="1094" w:type="dxa"/>
                  <w:tcBorders>
                    <w:top w:val="single" w:sz="8" w:space="0" w:color="000000"/>
                    <w:left w:val="single" w:sz="8" w:space="0" w:color="000000"/>
                    <w:bottom w:val="single" w:sz="8" w:space="0" w:color="000000"/>
                    <w:right w:val="single" w:sz="8" w:space="0" w:color="000000"/>
                  </w:tcBorders>
                  <w:noWrap/>
                  <w:vAlign w:val="center"/>
                  <w:hideMark/>
                </w:tcPr>
                <w:p w14:paraId="6E8347B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34D</w:t>
                  </w:r>
                </w:p>
              </w:tc>
              <w:tc>
                <w:tcPr>
                  <w:tcW w:w="5466" w:type="dxa"/>
                  <w:tcBorders>
                    <w:top w:val="single" w:sz="8" w:space="0" w:color="000000"/>
                    <w:left w:val="single" w:sz="8" w:space="0" w:color="000000"/>
                    <w:bottom w:val="single" w:sz="8" w:space="0" w:color="000000"/>
                    <w:right w:val="single" w:sz="8" w:space="0" w:color="000000"/>
                  </w:tcBorders>
                  <w:vAlign w:val="center"/>
                  <w:hideMark/>
                </w:tcPr>
                <w:p w14:paraId="6E8347B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Direção-Geral do Instituto Interamericano da Criança e do Adolescente (IIN)</w:t>
                  </w:r>
                </w:p>
              </w:tc>
              <w:tc>
                <w:tcPr>
                  <w:tcW w:w="1170" w:type="dxa"/>
                  <w:tcBorders>
                    <w:top w:val="single" w:sz="8" w:space="0" w:color="000000"/>
                    <w:left w:val="single" w:sz="8" w:space="0" w:color="000000"/>
                    <w:bottom w:val="single" w:sz="8" w:space="0" w:color="000000"/>
                    <w:right w:val="single" w:sz="8" w:space="0" w:color="000000"/>
                  </w:tcBorders>
                  <w:noWrap/>
                  <w:vAlign w:val="center"/>
                  <w:hideMark/>
                </w:tcPr>
                <w:p w14:paraId="6E8347B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hAnsi="Times New Roman"/>
                      <w:color w:val="000000"/>
                      <w:szCs w:val="22"/>
                      <w:lang w:val="pt-BR"/>
                    </w:rPr>
                    <w:t>968,3</w:t>
                  </w:r>
                </w:p>
              </w:tc>
              <w:tc>
                <w:tcPr>
                  <w:tcW w:w="1436" w:type="dxa"/>
                  <w:tcBorders>
                    <w:top w:val="single" w:sz="8" w:space="0" w:color="000000"/>
                    <w:left w:val="single" w:sz="8" w:space="0" w:color="000000"/>
                    <w:bottom w:val="single" w:sz="8" w:space="0" w:color="000000"/>
                    <w:right w:val="single" w:sz="8" w:space="0" w:color="000000"/>
                  </w:tcBorders>
                  <w:noWrap/>
                  <w:vAlign w:val="center"/>
                  <w:hideMark/>
                </w:tcPr>
                <w:p w14:paraId="6E8347BA"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hAnsi="Times New Roman"/>
                      <w:color w:val="000000"/>
                      <w:szCs w:val="22"/>
                      <w:lang w:val="pt-BR"/>
                    </w:rPr>
                    <w:t>29,3</w:t>
                  </w:r>
                </w:p>
              </w:tc>
            </w:tr>
            <w:tr w:rsidR="00D230D1" w:rsidRPr="00D65A20" w14:paraId="6E8347C0" w14:textId="77777777">
              <w:trPr>
                <w:trHeight w:val="317"/>
              </w:trPr>
              <w:tc>
                <w:tcPr>
                  <w:tcW w:w="1094" w:type="dxa"/>
                  <w:tcBorders>
                    <w:top w:val="single" w:sz="8" w:space="0" w:color="000000"/>
                    <w:left w:val="single" w:sz="8" w:space="0" w:color="000000"/>
                    <w:bottom w:val="single" w:sz="8" w:space="0" w:color="000000"/>
                    <w:right w:val="single" w:sz="8" w:space="0" w:color="000000"/>
                  </w:tcBorders>
                  <w:noWrap/>
                  <w:vAlign w:val="center"/>
                  <w:hideMark/>
                </w:tcPr>
                <w:p w14:paraId="6E8347B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34E</w:t>
                  </w:r>
                </w:p>
              </w:tc>
              <w:tc>
                <w:tcPr>
                  <w:tcW w:w="5466" w:type="dxa"/>
                  <w:tcBorders>
                    <w:top w:val="single" w:sz="8" w:space="0" w:color="000000"/>
                    <w:left w:val="single" w:sz="8" w:space="0" w:color="000000"/>
                    <w:bottom w:val="single" w:sz="8" w:space="0" w:color="000000"/>
                    <w:right w:val="single" w:sz="8" w:space="0" w:color="000000"/>
                  </w:tcBorders>
                  <w:vAlign w:val="center"/>
                  <w:hideMark/>
                </w:tcPr>
                <w:p w14:paraId="6E8347B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Comissão Jurídica Interamericana (CJI)</w:t>
                  </w:r>
                </w:p>
              </w:tc>
              <w:tc>
                <w:tcPr>
                  <w:tcW w:w="1170" w:type="dxa"/>
                  <w:tcBorders>
                    <w:top w:val="single" w:sz="8" w:space="0" w:color="000000"/>
                    <w:left w:val="single" w:sz="8" w:space="0" w:color="000000"/>
                    <w:bottom w:val="single" w:sz="8" w:space="0" w:color="000000"/>
                    <w:right w:val="single" w:sz="8" w:space="0" w:color="000000"/>
                  </w:tcBorders>
                  <w:noWrap/>
                  <w:vAlign w:val="center"/>
                  <w:hideMark/>
                </w:tcPr>
                <w:p w14:paraId="6E8347B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hAnsi="Times New Roman"/>
                      <w:color w:val="000000"/>
                      <w:szCs w:val="22"/>
                      <w:lang w:val="pt-BR"/>
                    </w:rPr>
                    <w:t>327,4</w:t>
                  </w:r>
                </w:p>
              </w:tc>
              <w:tc>
                <w:tcPr>
                  <w:tcW w:w="1436" w:type="dxa"/>
                  <w:tcBorders>
                    <w:top w:val="single" w:sz="8" w:space="0" w:color="000000"/>
                    <w:left w:val="single" w:sz="8" w:space="0" w:color="000000"/>
                    <w:bottom w:val="single" w:sz="8" w:space="0" w:color="000000"/>
                    <w:right w:val="single" w:sz="8" w:space="0" w:color="000000"/>
                  </w:tcBorders>
                  <w:noWrap/>
                  <w:vAlign w:val="center"/>
                  <w:hideMark/>
                </w:tcPr>
                <w:p w14:paraId="6E8347B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hAnsi="Times New Roman"/>
                      <w:color w:val="000000"/>
                      <w:szCs w:val="22"/>
                      <w:lang w:val="pt-BR"/>
                    </w:rPr>
                    <w:t>77,5</w:t>
                  </w:r>
                </w:p>
              </w:tc>
            </w:tr>
            <w:tr w:rsidR="00D230D1" w:rsidRPr="00D65A20" w14:paraId="6E8347C5" w14:textId="77777777">
              <w:trPr>
                <w:trHeight w:val="317"/>
              </w:trPr>
              <w:tc>
                <w:tcPr>
                  <w:tcW w:w="1094" w:type="dxa"/>
                  <w:tcBorders>
                    <w:top w:val="single" w:sz="8" w:space="0" w:color="000000"/>
                    <w:left w:val="single" w:sz="8" w:space="0" w:color="000000"/>
                    <w:bottom w:val="single" w:sz="8" w:space="0" w:color="000000"/>
                    <w:right w:val="single" w:sz="8" w:space="0" w:color="000000"/>
                  </w:tcBorders>
                  <w:noWrap/>
                  <w:vAlign w:val="center"/>
                  <w:hideMark/>
                </w:tcPr>
                <w:p w14:paraId="6E8347C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34F</w:t>
                  </w:r>
                </w:p>
              </w:tc>
              <w:tc>
                <w:tcPr>
                  <w:tcW w:w="5466" w:type="dxa"/>
                  <w:tcBorders>
                    <w:top w:val="single" w:sz="8" w:space="0" w:color="000000"/>
                    <w:left w:val="single" w:sz="8" w:space="0" w:color="000000"/>
                    <w:bottom w:val="single" w:sz="8" w:space="0" w:color="000000"/>
                    <w:right w:val="single" w:sz="8" w:space="0" w:color="000000"/>
                  </w:tcBorders>
                  <w:vAlign w:val="center"/>
                  <w:hideMark/>
                </w:tcPr>
                <w:p w14:paraId="6E8347C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Secretaria da Comissão Interamericana de Telecomunicações (CITEL)</w:t>
                  </w:r>
                </w:p>
              </w:tc>
              <w:tc>
                <w:tcPr>
                  <w:tcW w:w="1170" w:type="dxa"/>
                  <w:tcBorders>
                    <w:top w:val="single" w:sz="8" w:space="0" w:color="000000"/>
                    <w:left w:val="single" w:sz="8" w:space="0" w:color="000000"/>
                    <w:bottom w:val="single" w:sz="8" w:space="0" w:color="000000"/>
                    <w:right w:val="single" w:sz="8" w:space="0" w:color="000000"/>
                  </w:tcBorders>
                  <w:noWrap/>
                  <w:vAlign w:val="center"/>
                  <w:hideMark/>
                </w:tcPr>
                <w:p w14:paraId="6E8347C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hAnsi="Times New Roman"/>
                      <w:color w:val="000000"/>
                      <w:szCs w:val="22"/>
                      <w:lang w:val="pt-BR"/>
                    </w:rPr>
                    <w:t>593,6</w:t>
                  </w:r>
                </w:p>
              </w:tc>
              <w:tc>
                <w:tcPr>
                  <w:tcW w:w="1436" w:type="dxa"/>
                  <w:tcBorders>
                    <w:top w:val="single" w:sz="8" w:space="0" w:color="000000"/>
                    <w:left w:val="single" w:sz="8" w:space="0" w:color="000000"/>
                    <w:bottom w:val="single" w:sz="8" w:space="0" w:color="000000"/>
                    <w:right w:val="single" w:sz="8" w:space="0" w:color="000000"/>
                  </w:tcBorders>
                  <w:noWrap/>
                  <w:vAlign w:val="center"/>
                  <w:hideMark/>
                </w:tcPr>
                <w:p w14:paraId="6E8347C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hAnsi="Times New Roman"/>
                      <w:color w:val="000000"/>
                      <w:szCs w:val="22"/>
                      <w:lang w:val="pt-BR"/>
                    </w:rPr>
                    <w:t>25,7</w:t>
                  </w:r>
                </w:p>
              </w:tc>
            </w:tr>
            <w:tr w:rsidR="00D230D1" w:rsidRPr="00D65A20" w14:paraId="6E8347CA" w14:textId="77777777">
              <w:trPr>
                <w:trHeight w:val="317"/>
              </w:trPr>
              <w:tc>
                <w:tcPr>
                  <w:tcW w:w="1094" w:type="dxa"/>
                  <w:tcBorders>
                    <w:top w:val="single" w:sz="8" w:space="0" w:color="000000"/>
                    <w:left w:val="single" w:sz="8" w:space="0" w:color="000000"/>
                    <w:bottom w:val="single" w:sz="8" w:space="0" w:color="000000"/>
                    <w:right w:val="single" w:sz="8" w:space="0" w:color="000000"/>
                  </w:tcBorders>
                  <w:noWrap/>
                  <w:vAlign w:val="center"/>
                  <w:hideMark/>
                </w:tcPr>
                <w:p w14:paraId="6E8347C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34G</w:t>
                  </w:r>
                </w:p>
              </w:tc>
              <w:tc>
                <w:tcPr>
                  <w:tcW w:w="5466" w:type="dxa"/>
                  <w:tcBorders>
                    <w:top w:val="single" w:sz="8" w:space="0" w:color="000000"/>
                    <w:left w:val="single" w:sz="8" w:space="0" w:color="000000"/>
                    <w:bottom w:val="single" w:sz="8" w:space="0" w:color="000000"/>
                    <w:right w:val="single" w:sz="8" w:space="0" w:color="000000"/>
                  </w:tcBorders>
                  <w:vAlign w:val="center"/>
                  <w:hideMark/>
                </w:tcPr>
                <w:p w14:paraId="6E8347C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Reuniões da Assembleia da CITEL</w:t>
                  </w:r>
                </w:p>
              </w:tc>
              <w:tc>
                <w:tcPr>
                  <w:tcW w:w="1170" w:type="dxa"/>
                  <w:tcBorders>
                    <w:top w:val="single" w:sz="8" w:space="0" w:color="000000"/>
                    <w:left w:val="single" w:sz="8" w:space="0" w:color="000000"/>
                    <w:bottom w:val="single" w:sz="8" w:space="0" w:color="000000"/>
                    <w:right w:val="single" w:sz="8" w:space="0" w:color="000000"/>
                  </w:tcBorders>
                  <w:noWrap/>
                  <w:vAlign w:val="center"/>
                  <w:hideMark/>
                </w:tcPr>
                <w:p w14:paraId="6E8347C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hAnsi="Times New Roman"/>
                      <w:color w:val="000000"/>
                      <w:szCs w:val="22"/>
                      <w:lang w:val="pt-BR"/>
                    </w:rPr>
                    <w:t>49,6</w:t>
                  </w:r>
                </w:p>
              </w:tc>
              <w:tc>
                <w:tcPr>
                  <w:tcW w:w="1436" w:type="dxa"/>
                  <w:tcBorders>
                    <w:top w:val="single" w:sz="8" w:space="0" w:color="000000"/>
                    <w:left w:val="single" w:sz="8" w:space="0" w:color="000000"/>
                    <w:bottom w:val="single" w:sz="8" w:space="0" w:color="000000"/>
                    <w:right w:val="single" w:sz="8" w:space="0" w:color="000000"/>
                  </w:tcBorders>
                  <w:noWrap/>
                  <w:vAlign w:val="center"/>
                  <w:hideMark/>
                </w:tcPr>
                <w:p w14:paraId="6E8347C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hAnsi="Times New Roman"/>
                      <w:color w:val="000000"/>
                      <w:szCs w:val="22"/>
                      <w:lang w:val="pt-BR"/>
                    </w:rPr>
                    <w:t>0,7</w:t>
                  </w:r>
                </w:p>
              </w:tc>
            </w:tr>
            <w:tr w:rsidR="00D230D1" w:rsidRPr="00D65A20" w14:paraId="6E8347CF" w14:textId="77777777">
              <w:trPr>
                <w:trHeight w:val="317"/>
              </w:trPr>
              <w:tc>
                <w:tcPr>
                  <w:tcW w:w="1094" w:type="dxa"/>
                  <w:tcBorders>
                    <w:top w:val="single" w:sz="8" w:space="0" w:color="000000"/>
                    <w:left w:val="single" w:sz="8" w:space="0" w:color="000000"/>
                    <w:bottom w:val="single" w:sz="8" w:space="0" w:color="000000"/>
                    <w:right w:val="single" w:sz="8" w:space="0" w:color="000000"/>
                  </w:tcBorders>
                  <w:noWrap/>
                  <w:vAlign w:val="center"/>
                  <w:hideMark/>
                </w:tcPr>
                <w:p w14:paraId="6E8347C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34H</w:t>
                  </w:r>
                </w:p>
              </w:tc>
              <w:tc>
                <w:tcPr>
                  <w:tcW w:w="5466" w:type="dxa"/>
                  <w:tcBorders>
                    <w:top w:val="single" w:sz="8" w:space="0" w:color="000000"/>
                    <w:left w:val="single" w:sz="8" w:space="0" w:color="000000"/>
                    <w:bottom w:val="single" w:sz="8" w:space="0" w:color="000000"/>
                    <w:right w:val="single" w:sz="8" w:space="0" w:color="000000"/>
                  </w:tcBorders>
                  <w:vAlign w:val="center"/>
                  <w:hideMark/>
                </w:tcPr>
                <w:p w14:paraId="6E8347C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Junta Interamericana de Defesa (JID)</w:t>
                  </w:r>
                </w:p>
              </w:tc>
              <w:tc>
                <w:tcPr>
                  <w:tcW w:w="1170" w:type="dxa"/>
                  <w:tcBorders>
                    <w:top w:val="single" w:sz="8" w:space="0" w:color="000000"/>
                    <w:left w:val="single" w:sz="8" w:space="0" w:color="000000"/>
                    <w:bottom w:val="single" w:sz="8" w:space="0" w:color="000000"/>
                    <w:right w:val="single" w:sz="8" w:space="0" w:color="000000"/>
                  </w:tcBorders>
                  <w:noWrap/>
                  <w:vAlign w:val="center"/>
                  <w:hideMark/>
                </w:tcPr>
                <w:p w14:paraId="6E8347C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hAnsi="Times New Roman"/>
                      <w:color w:val="000000"/>
                      <w:szCs w:val="22"/>
                      <w:lang w:val="pt-BR"/>
                    </w:rPr>
                    <w:t>745,4</w:t>
                  </w:r>
                </w:p>
              </w:tc>
              <w:tc>
                <w:tcPr>
                  <w:tcW w:w="1436" w:type="dxa"/>
                  <w:tcBorders>
                    <w:top w:val="single" w:sz="8" w:space="0" w:color="000000"/>
                    <w:left w:val="single" w:sz="8" w:space="0" w:color="000000"/>
                    <w:bottom w:val="single" w:sz="8" w:space="0" w:color="000000"/>
                    <w:right w:val="single" w:sz="8" w:space="0" w:color="000000"/>
                  </w:tcBorders>
                  <w:noWrap/>
                  <w:vAlign w:val="center"/>
                  <w:hideMark/>
                </w:tcPr>
                <w:p w14:paraId="6E8347C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hAnsi="Times New Roman"/>
                      <w:color w:val="000000"/>
                      <w:szCs w:val="22"/>
                      <w:lang w:val="pt-BR"/>
                    </w:rPr>
                    <w:t>28,3</w:t>
                  </w:r>
                </w:p>
              </w:tc>
            </w:tr>
            <w:tr w:rsidR="00D230D1" w:rsidRPr="00D65A20" w14:paraId="6E8347D4" w14:textId="77777777">
              <w:trPr>
                <w:trHeight w:val="317"/>
              </w:trPr>
              <w:tc>
                <w:tcPr>
                  <w:tcW w:w="1094" w:type="dxa"/>
                  <w:tcBorders>
                    <w:top w:val="single" w:sz="8" w:space="0" w:color="000000"/>
                    <w:left w:val="single" w:sz="8" w:space="0" w:color="000000"/>
                    <w:bottom w:val="single" w:sz="8" w:space="0" w:color="000000"/>
                    <w:right w:val="single" w:sz="8" w:space="0" w:color="000000"/>
                  </w:tcBorders>
                  <w:noWrap/>
                  <w:vAlign w:val="center"/>
                  <w:hideMark/>
                </w:tcPr>
                <w:p w14:paraId="6E8347D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34I</w:t>
                  </w:r>
                </w:p>
              </w:tc>
              <w:tc>
                <w:tcPr>
                  <w:tcW w:w="5466" w:type="dxa"/>
                  <w:tcBorders>
                    <w:top w:val="single" w:sz="8" w:space="0" w:color="000000"/>
                    <w:left w:val="single" w:sz="8" w:space="0" w:color="000000"/>
                    <w:bottom w:val="single" w:sz="8" w:space="0" w:color="000000"/>
                    <w:right w:val="single" w:sz="8" w:space="0" w:color="000000"/>
                  </w:tcBorders>
                  <w:vAlign w:val="center"/>
                  <w:hideMark/>
                </w:tcPr>
                <w:p w14:paraId="6E8347D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Fundação Pan-Americana de Desenvolvimento (FUPAD)</w:t>
                  </w:r>
                </w:p>
              </w:tc>
              <w:tc>
                <w:tcPr>
                  <w:tcW w:w="1170" w:type="dxa"/>
                  <w:tcBorders>
                    <w:top w:val="single" w:sz="8" w:space="0" w:color="000000"/>
                    <w:left w:val="single" w:sz="8" w:space="0" w:color="000000"/>
                    <w:bottom w:val="single" w:sz="8" w:space="0" w:color="000000"/>
                    <w:right w:val="single" w:sz="8" w:space="0" w:color="000000"/>
                  </w:tcBorders>
                  <w:noWrap/>
                  <w:vAlign w:val="center"/>
                  <w:hideMark/>
                </w:tcPr>
                <w:p w14:paraId="6E8347D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hAnsi="Times New Roman"/>
                      <w:color w:val="000000"/>
                      <w:szCs w:val="22"/>
                      <w:lang w:val="pt-BR"/>
                    </w:rPr>
                    <w:t>66,1</w:t>
                  </w:r>
                </w:p>
              </w:tc>
              <w:tc>
                <w:tcPr>
                  <w:tcW w:w="1436" w:type="dxa"/>
                  <w:tcBorders>
                    <w:top w:val="single" w:sz="8" w:space="0" w:color="000000"/>
                    <w:left w:val="single" w:sz="8" w:space="0" w:color="000000"/>
                    <w:bottom w:val="single" w:sz="8" w:space="0" w:color="000000"/>
                    <w:right w:val="single" w:sz="8" w:space="0" w:color="000000"/>
                  </w:tcBorders>
                  <w:noWrap/>
                  <w:vAlign w:val="center"/>
                  <w:hideMark/>
                </w:tcPr>
                <w:p w14:paraId="6E8347D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hAnsi="Times New Roman"/>
                      <w:color w:val="000000"/>
                      <w:szCs w:val="22"/>
                      <w:lang w:val="pt-BR"/>
                    </w:rPr>
                    <w:t>0,9</w:t>
                  </w:r>
                </w:p>
              </w:tc>
            </w:tr>
            <w:tr w:rsidR="00D230D1" w:rsidRPr="00D65A20" w14:paraId="6E8347D9" w14:textId="77777777">
              <w:trPr>
                <w:trHeight w:val="317"/>
              </w:trPr>
              <w:tc>
                <w:tcPr>
                  <w:tcW w:w="1094" w:type="dxa"/>
                  <w:tcBorders>
                    <w:top w:val="single" w:sz="8" w:space="0" w:color="000000"/>
                    <w:left w:val="single" w:sz="8" w:space="0" w:color="000000"/>
                    <w:bottom w:val="single" w:sz="8" w:space="0" w:color="000000"/>
                    <w:right w:val="single" w:sz="8" w:space="0" w:color="000000"/>
                  </w:tcBorders>
                  <w:noWrap/>
                  <w:vAlign w:val="center"/>
                  <w:hideMark/>
                </w:tcPr>
                <w:p w14:paraId="6E8347D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34J</w:t>
                  </w:r>
                </w:p>
              </w:tc>
              <w:tc>
                <w:tcPr>
                  <w:tcW w:w="5466" w:type="dxa"/>
                  <w:tcBorders>
                    <w:top w:val="single" w:sz="8" w:space="0" w:color="000000"/>
                    <w:left w:val="single" w:sz="8" w:space="0" w:color="000000"/>
                    <w:bottom w:val="single" w:sz="8" w:space="0" w:color="000000"/>
                    <w:right w:val="single" w:sz="8" w:space="0" w:color="000000"/>
                  </w:tcBorders>
                  <w:vAlign w:val="center"/>
                  <w:hideMark/>
                </w:tcPr>
                <w:p w14:paraId="6E8347D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Fundação para as Américas</w:t>
                  </w:r>
                </w:p>
              </w:tc>
              <w:tc>
                <w:tcPr>
                  <w:tcW w:w="1170" w:type="dxa"/>
                  <w:tcBorders>
                    <w:top w:val="single" w:sz="8" w:space="0" w:color="000000"/>
                    <w:left w:val="single" w:sz="8" w:space="0" w:color="000000"/>
                    <w:bottom w:val="single" w:sz="8" w:space="0" w:color="000000"/>
                    <w:right w:val="single" w:sz="8" w:space="0" w:color="000000"/>
                  </w:tcBorders>
                  <w:noWrap/>
                  <w:vAlign w:val="center"/>
                  <w:hideMark/>
                </w:tcPr>
                <w:p w14:paraId="6E8347D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pt-BR"/>
                    </w:rPr>
                  </w:pPr>
                  <w:r w:rsidRPr="00D65A20">
                    <w:rPr>
                      <w:rFonts w:ascii="Times New Roman" w:hAnsi="Times New Roman"/>
                      <w:color w:val="000000"/>
                      <w:szCs w:val="22"/>
                      <w:lang w:val="pt-BR"/>
                    </w:rPr>
                    <w:t>216,9</w:t>
                  </w:r>
                </w:p>
              </w:tc>
              <w:tc>
                <w:tcPr>
                  <w:tcW w:w="1436" w:type="dxa"/>
                  <w:tcBorders>
                    <w:top w:val="single" w:sz="8" w:space="0" w:color="000000"/>
                    <w:left w:val="single" w:sz="8" w:space="0" w:color="000000"/>
                    <w:bottom w:val="single" w:sz="8" w:space="0" w:color="000000"/>
                    <w:right w:val="single" w:sz="8" w:space="0" w:color="000000"/>
                  </w:tcBorders>
                  <w:noWrap/>
                  <w:vAlign w:val="center"/>
                  <w:hideMark/>
                </w:tcPr>
                <w:p w14:paraId="6E8347D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hAnsi="Times New Roman"/>
                      <w:color w:val="000000"/>
                      <w:szCs w:val="22"/>
                      <w:lang w:val="pt-BR"/>
                    </w:rPr>
                    <w:t>-</w:t>
                  </w:r>
                </w:p>
              </w:tc>
            </w:tr>
            <w:tr w:rsidR="00D230D1" w:rsidRPr="00D65A20" w14:paraId="6E8347DE" w14:textId="77777777">
              <w:trPr>
                <w:trHeight w:val="317"/>
              </w:trPr>
              <w:tc>
                <w:tcPr>
                  <w:tcW w:w="1094" w:type="dxa"/>
                  <w:tcBorders>
                    <w:top w:val="single" w:sz="8" w:space="0" w:color="000000"/>
                    <w:left w:val="single" w:sz="8" w:space="0" w:color="000000"/>
                    <w:bottom w:val="single" w:sz="8" w:space="0" w:color="000000"/>
                    <w:right w:val="single" w:sz="8" w:space="0" w:color="000000"/>
                  </w:tcBorders>
                  <w:noWrap/>
                  <w:vAlign w:val="center"/>
                  <w:hideMark/>
                </w:tcPr>
                <w:p w14:paraId="6E8347DA"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34K</w:t>
                  </w:r>
                </w:p>
              </w:tc>
              <w:tc>
                <w:tcPr>
                  <w:tcW w:w="5466" w:type="dxa"/>
                  <w:tcBorders>
                    <w:top w:val="single" w:sz="8" w:space="0" w:color="000000"/>
                    <w:left w:val="single" w:sz="8" w:space="0" w:color="000000"/>
                    <w:bottom w:val="single" w:sz="8" w:space="0" w:color="000000"/>
                    <w:right w:val="single" w:sz="8" w:space="0" w:color="000000"/>
                  </w:tcBorders>
                  <w:vAlign w:val="center"/>
                  <w:hideMark/>
                </w:tcPr>
                <w:p w14:paraId="6E8347D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JID – Manutenção da Casa do Soldado</w:t>
                  </w:r>
                </w:p>
              </w:tc>
              <w:tc>
                <w:tcPr>
                  <w:tcW w:w="1170" w:type="dxa"/>
                  <w:tcBorders>
                    <w:top w:val="single" w:sz="8" w:space="0" w:color="000000"/>
                    <w:left w:val="single" w:sz="8" w:space="0" w:color="000000"/>
                    <w:bottom w:val="single" w:sz="8" w:space="0" w:color="000000"/>
                    <w:right w:val="single" w:sz="8" w:space="0" w:color="000000"/>
                  </w:tcBorders>
                  <w:noWrap/>
                  <w:vAlign w:val="center"/>
                  <w:hideMark/>
                </w:tcPr>
                <w:p w14:paraId="6E8347D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hAnsi="Times New Roman"/>
                      <w:color w:val="000000"/>
                      <w:szCs w:val="22"/>
                      <w:lang w:val="pt-BR"/>
                    </w:rPr>
                    <w:t>131,7</w:t>
                  </w:r>
                </w:p>
              </w:tc>
              <w:tc>
                <w:tcPr>
                  <w:tcW w:w="1436" w:type="dxa"/>
                  <w:tcBorders>
                    <w:top w:val="single" w:sz="8" w:space="0" w:color="000000"/>
                    <w:left w:val="single" w:sz="8" w:space="0" w:color="000000"/>
                    <w:bottom w:val="single" w:sz="8" w:space="0" w:color="000000"/>
                    <w:right w:val="single" w:sz="8" w:space="0" w:color="000000"/>
                  </w:tcBorders>
                  <w:noWrap/>
                  <w:vAlign w:val="center"/>
                  <w:hideMark/>
                </w:tcPr>
                <w:p w14:paraId="6E8347D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hAnsi="Times New Roman"/>
                      <w:color w:val="000000"/>
                      <w:szCs w:val="22"/>
                      <w:lang w:val="pt-BR"/>
                    </w:rPr>
                    <w:t>18,1</w:t>
                  </w:r>
                </w:p>
              </w:tc>
            </w:tr>
            <w:tr w:rsidR="00D230D1" w:rsidRPr="00D65A20" w14:paraId="6E8347E3" w14:textId="77777777">
              <w:trPr>
                <w:trHeight w:val="317"/>
              </w:trPr>
              <w:tc>
                <w:tcPr>
                  <w:tcW w:w="1094" w:type="dxa"/>
                  <w:tcBorders>
                    <w:top w:val="single" w:sz="8" w:space="0" w:color="000000"/>
                    <w:left w:val="nil"/>
                    <w:bottom w:val="single" w:sz="8" w:space="0" w:color="auto"/>
                    <w:right w:val="nil"/>
                  </w:tcBorders>
                  <w:noWrap/>
                  <w:vAlign w:val="center"/>
                  <w:hideMark/>
                </w:tcPr>
                <w:p w14:paraId="6E8347D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5466" w:type="dxa"/>
                  <w:tcBorders>
                    <w:top w:val="single" w:sz="8" w:space="0" w:color="000000"/>
                    <w:left w:val="nil"/>
                    <w:bottom w:val="single" w:sz="8" w:space="0" w:color="auto"/>
                    <w:right w:val="nil"/>
                  </w:tcBorders>
                  <w:noWrap/>
                  <w:vAlign w:val="bottom"/>
                  <w:hideMark/>
                </w:tcPr>
                <w:p w14:paraId="6E8347E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1170" w:type="dxa"/>
                  <w:tcBorders>
                    <w:top w:val="single" w:sz="8" w:space="0" w:color="000000"/>
                    <w:left w:val="nil"/>
                    <w:bottom w:val="single" w:sz="8" w:space="0" w:color="auto"/>
                    <w:right w:val="nil"/>
                  </w:tcBorders>
                  <w:noWrap/>
                  <w:vAlign w:val="center"/>
                </w:tcPr>
                <w:p w14:paraId="6E8347E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p>
              </w:tc>
              <w:tc>
                <w:tcPr>
                  <w:tcW w:w="1436" w:type="dxa"/>
                  <w:tcBorders>
                    <w:top w:val="single" w:sz="8" w:space="0" w:color="000000"/>
                    <w:left w:val="nil"/>
                    <w:bottom w:val="single" w:sz="8" w:space="0" w:color="auto"/>
                    <w:right w:val="nil"/>
                  </w:tcBorders>
                  <w:noWrap/>
                  <w:vAlign w:val="center"/>
                </w:tcPr>
                <w:p w14:paraId="6E8347E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p>
              </w:tc>
            </w:tr>
            <w:tr w:rsidR="00D230D1" w:rsidRPr="00D65A20" w14:paraId="6E8347E7" w14:textId="77777777">
              <w:trPr>
                <w:trHeight w:val="611"/>
              </w:trPr>
              <w:tc>
                <w:tcPr>
                  <w:tcW w:w="6560" w:type="dxa"/>
                  <w:gridSpan w:val="2"/>
                  <w:tcBorders>
                    <w:top w:val="single" w:sz="8" w:space="0" w:color="auto"/>
                    <w:left w:val="single" w:sz="8" w:space="0" w:color="auto"/>
                    <w:bottom w:val="single" w:sz="8" w:space="0" w:color="auto"/>
                    <w:right w:val="single" w:sz="8" w:space="0" w:color="auto"/>
                  </w:tcBorders>
                  <w:vAlign w:val="center"/>
                  <w:hideMark/>
                </w:tcPr>
                <w:p w14:paraId="6E8347E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eastAsia="Calibri" w:hAnsi="Times New Roman"/>
                      <w:b/>
                      <w:bCs/>
                      <w:color w:val="000000"/>
                      <w:szCs w:val="22"/>
                      <w:lang w:val="pt-BR"/>
                    </w:rPr>
                    <w:t>4 - ASSESSORIA ESTRATÉGICA DE DESENVOLVIMENTO ORGANIZACIONAL E GESTÃO POR RESULTADOS</w:t>
                  </w:r>
                </w:p>
              </w:tc>
              <w:tc>
                <w:tcPr>
                  <w:tcW w:w="1170" w:type="dxa"/>
                  <w:tcBorders>
                    <w:top w:val="single" w:sz="8" w:space="0" w:color="auto"/>
                    <w:left w:val="single" w:sz="8" w:space="0" w:color="auto"/>
                    <w:bottom w:val="single" w:sz="8" w:space="0" w:color="auto"/>
                    <w:right w:val="single" w:sz="8" w:space="0" w:color="auto"/>
                  </w:tcBorders>
                  <w:noWrap/>
                  <w:vAlign w:val="center"/>
                  <w:hideMark/>
                </w:tcPr>
                <w:p w14:paraId="6E8347E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hAnsi="Times New Roman"/>
                      <w:b/>
                      <w:bCs/>
                      <w:color w:val="000000"/>
                      <w:szCs w:val="22"/>
                      <w:lang w:val="pt-BR"/>
                    </w:rPr>
                    <w:t>2.423,4</w:t>
                  </w:r>
                </w:p>
              </w:tc>
              <w:tc>
                <w:tcPr>
                  <w:tcW w:w="1436" w:type="dxa"/>
                  <w:tcBorders>
                    <w:top w:val="single" w:sz="8" w:space="0" w:color="auto"/>
                    <w:left w:val="single" w:sz="8" w:space="0" w:color="auto"/>
                    <w:bottom w:val="single" w:sz="8" w:space="0" w:color="auto"/>
                    <w:right w:val="single" w:sz="8" w:space="0" w:color="auto"/>
                  </w:tcBorders>
                  <w:noWrap/>
                  <w:vAlign w:val="center"/>
                  <w:hideMark/>
                </w:tcPr>
                <w:p w14:paraId="6E8347E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color w:val="000000"/>
                      <w:szCs w:val="22"/>
                      <w:lang w:val="pt-BR"/>
                    </w:rPr>
                  </w:pPr>
                  <w:r w:rsidRPr="00D65A20">
                    <w:rPr>
                      <w:rFonts w:ascii="Times New Roman" w:hAnsi="Times New Roman"/>
                      <w:b/>
                      <w:bCs/>
                      <w:color w:val="000000"/>
                      <w:szCs w:val="22"/>
                      <w:lang w:val="pt-BR"/>
                    </w:rPr>
                    <w:t>695,0</w:t>
                  </w:r>
                </w:p>
              </w:tc>
            </w:tr>
            <w:tr w:rsidR="00D230D1" w:rsidRPr="00D65A20" w14:paraId="6E8347EC" w14:textId="77777777">
              <w:trPr>
                <w:trHeight w:val="317"/>
              </w:trPr>
              <w:tc>
                <w:tcPr>
                  <w:tcW w:w="1094" w:type="dxa"/>
                  <w:tcBorders>
                    <w:top w:val="single" w:sz="8" w:space="0" w:color="auto"/>
                    <w:left w:val="nil"/>
                    <w:bottom w:val="single" w:sz="4" w:space="0" w:color="auto"/>
                    <w:right w:val="nil"/>
                  </w:tcBorders>
                  <w:noWrap/>
                  <w:vAlign w:val="bottom"/>
                  <w:hideMark/>
                </w:tcPr>
                <w:p w14:paraId="6E8347E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5466" w:type="dxa"/>
                  <w:tcBorders>
                    <w:top w:val="single" w:sz="8" w:space="0" w:color="auto"/>
                    <w:left w:val="nil"/>
                    <w:bottom w:val="single" w:sz="4" w:space="0" w:color="auto"/>
                    <w:right w:val="nil"/>
                  </w:tcBorders>
                  <w:vAlign w:val="center"/>
                  <w:hideMark/>
                </w:tcPr>
                <w:p w14:paraId="6E8347E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1170" w:type="dxa"/>
                  <w:tcBorders>
                    <w:top w:val="single" w:sz="8" w:space="0" w:color="auto"/>
                    <w:left w:val="nil"/>
                    <w:bottom w:val="single" w:sz="4" w:space="0" w:color="auto"/>
                    <w:right w:val="nil"/>
                  </w:tcBorders>
                  <w:noWrap/>
                  <w:vAlign w:val="center"/>
                </w:tcPr>
                <w:p w14:paraId="6E8347EA"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p>
              </w:tc>
              <w:tc>
                <w:tcPr>
                  <w:tcW w:w="1436" w:type="dxa"/>
                  <w:tcBorders>
                    <w:top w:val="single" w:sz="8" w:space="0" w:color="auto"/>
                    <w:left w:val="nil"/>
                    <w:bottom w:val="single" w:sz="4" w:space="0" w:color="auto"/>
                    <w:right w:val="nil"/>
                  </w:tcBorders>
                  <w:noWrap/>
                  <w:vAlign w:val="center"/>
                </w:tcPr>
                <w:p w14:paraId="6E8347E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p>
              </w:tc>
            </w:tr>
            <w:tr w:rsidR="00D230D1" w:rsidRPr="00D65A20" w14:paraId="6E8347F0" w14:textId="77777777">
              <w:trPr>
                <w:trHeight w:val="403"/>
              </w:trPr>
              <w:tc>
                <w:tcPr>
                  <w:tcW w:w="6560" w:type="dxa"/>
                  <w:gridSpan w:val="2"/>
                  <w:tcBorders>
                    <w:top w:val="single" w:sz="4" w:space="0" w:color="auto"/>
                    <w:left w:val="single" w:sz="8" w:space="0" w:color="auto"/>
                    <w:bottom w:val="single" w:sz="8" w:space="0" w:color="auto"/>
                    <w:right w:val="single" w:sz="8" w:space="0" w:color="auto"/>
                  </w:tcBorders>
                  <w:noWrap/>
                  <w:vAlign w:val="center"/>
                  <w:hideMark/>
                </w:tcPr>
                <w:p w14:paraId="6E8347E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eastAsia="Calibri" w:hAnsi="Times New Roman"/>
                      <w:szCs w:val="22"/>
                      <w:lang w:val="pt-BR"/>
                    </w:rPr>
                    <w:br w:type="page"/>
                  </w:r>
                  <w:r w:rsidRPr="00D65A20">
                    <w:rPr>
                      <w:rFonts w:ascii="Times New Roman" w:eastAsia="Calibri" w:hAnsi="Times New Roman"/>
                      <w:b/>
                      <w:bCs/>
                      <w:color w:val="000000"/>
                      <w:szCs w:val="22"/>
                      <w:lang w:val="pt-BR"/>
                    </w:rPr>
                    <w:t xml:space="preserve">5 - SECRETARIA DE ACESSO A DIREITOS E EQUIDADE </w:t>
                  </w:r>
                </w:p>
              </w:tc>
              <w:tc>
                <w:tcPr>
                  <w:tcW w:w="1170" w:type="dxa"/>
                  <w:tcBorders>
                    <w:top w:val="single" w:sz="4" w:space="0" w:color="auto"/>
                    <w:left w:val="single" w:sz="8" w:space="0" w:color="auto"/>
                    <w:bottom w:val="single" w:sz="8" w:space="0" w:color="auto"/>
                    <w:right w:val="single" w:sz="8" w:space="0" w:color="auto"/>
                  </w:tcBorders>
                  <w:noWrap/>
                  <w:vAlign w:val="center"/>
                  <w:hideMark/>
                </w:tcPr>
                <w:p w14:paraId="6E8347E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hAnsi="Times New Roman"/>
                      <w:b/>
                      <w:bCs/>
                      <w:color w:val="000000"/>
                      <w:szCs w:val="22"/>
                      <w:lang w:val="pt-BR"/>
                    </w:rPr>
                    <w:t>1.644,5</w:t>
                  </w:r>
                </w:p>
              </w:tc>
              <w:tc>
                <w:tcPr>
                  <w:tcW w:w="1436" w:type="dxa"/>
                  <w:tcBorders>
                    <w:top w:val="single" w:sz="4" w:space="0" w:color="auto"/>
                    <w:left w:val="single" w:sz="8" w:space="0" w:color="auto"/>
                    <w:bottom w:val="single" w:sz="8" w:space="0" w:color="auto"/>
                    <w:right w:val="single" w:sz="8" w:space="0" w:color="auto"/>
                  </w:tcBorders>
                  <w:noWrap/>
                  <w:vAlign w:val="center"/>
                  <w:hideMark/>
                </w:tcPr>
                <w:p w14:paraId="6E8347E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color w:val="000000"/>
                      <w:szCs w:val="22"/>
                      <w:lang w:val="pt-BR"/>
                    </w:rPr>
                  </w:pPr>
                  <w:r w:rsidRPr="00D65A20">
                    <w:rPr>
                      <w:rFonts w:ascii="Times New Roman" w:hAnsi="Times New Roman"/>
                      <w:b/>
                      <w:bCs/>
                      <w:color w:val="000000"/>
                      <w:szCs w:val="22"/>
                      <w:lang w:val="pt-BR"/>
                    </w:rPr>
                    <w:t>61,0</w:t>
                  </w:r>
                </w:p>
              </w:tc>
            </w:tr>
            <w:tr w:rsidR="00D230D1" w:rsidRPr="00D65A20" w14:paraId="6E8347F5" w14:textId="77777777">
              <w:trPr>
                <w:trHeight w:val="317"/>
              </w:trPr>
              <w:tc>
                <w:tcPr>
                  <w:tcW w:w="1094" w:type="dxa"/>
                  <w:tcBorders>
                    <w:top w:val="single" w:sz="8" w:space="0" w:color="auto"/>
                    <w:left w:val="nil"/>
                    <w:bottom w:val="single" w:sz="8" w:space="0" w:color="auto"/>
                    <w:right w:val="nil"/>
                  </w:tcBorders>
                  <w:noWrap/>
                  <w:vAlign w:val="bottom"/>
                  <w:hideMark/>
                </w:tcPr>
                <w:p w14:paraId="6E8347F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5466" w:type="dxa"/>
                  <w:tcBorders>
                    <w:top w:val="single" w:sz="8" w:space="0" w:color="auto"/>
                    <w:left w:val="nil"/>
                    <w:bottom w:val="single" w:sz="8" w:space="0" w:color="auto"/>
                    <w:right w:val="nil"/>
                  </w:tcBorders>
                  <w:vAlign w:val="center"/>
                  <w:hideMark/>
                </w:tcPr>
                <w:p w14:paraId="6E8347F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1170" w:type="dxa"/>
                  <w:tcBorders>
                    <w:top w:val="single" w:sz="8" w:space="0" w:color="auto"/>
                    <w:left w:val="nil"/>
                    <w:bottom w:val="single" w:sz="8" w:space="0" w:color="auto"/>
                    <w:right w:val="nil"/>
                  </w:tcBorders>
                  <w:noWrap/>
                  <w:vAlign w:val="center"/>
                </w:tcPr>
                <w:p w14:paraId="6E8347F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p>
              </w:tc>
              <w:tc>
                <w:tcPr>
                  <w:tcW w:w="1436" w:type="dxa"/>
                  <w:tcBorders>
                    <w:top w:val="single" w:sz="8" w:space="0" w:color="auto"/>
                    <w:left w:val="nil"/>
                    <w:bottom w:val="single" w:sz="8" w:space="0" w:color="auto"/>
                    <w:right w:val="nil"/>
                  </w:tcBorders>
                  <w:noWrap/>
                  <w:vAlign w:val="center"/>
                </w:tcPr>
                <w:p w14:paraId="6E8347F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p>
              </w:tc>
            </w:tr>
            <w:tr w:rsidR="00D230D1" w:rsidRPr="00D65A20" w14:paraId="6E8347F9" w14:textId="77777777">
              <w:trPr>
                <w:trHeight w:val="317"/>
              </w:trPr>
              <w:tc>
                <w:tcPr>
                  <w:tcW w:w="6560" w:type="dxa"/>
                  <w:gridSpan w:val="2"/>
                  <w:tcBorders>
                    <w:top w:val="single" w:sz="8" w:space="0" w:color="auto"/>
                    <w:left w:val="single" w:sz="8" w:space="0" w:color="auto"/>
                    <w:bottom w:val="single" w:sz="8" w:space="0" w:color="auto"/>
                    <w:right w:val="single" w:sz="8" w:space="0" w:color="auto"/>
                  </w:tcBorders>
                  <w:noWrap/>
                  <w:vAlign w:val="center"/>
                  <w:hideMark/>
                </w:tcPr>
                <w:p w14:paraId="6E8347F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eastAsia="Calibri" w:hAnsi="Times New Roman"/>
                      <w:b/>
                      <w:bCs/>
                      <w:color w:val="000000"/>
                      <w:szCs w:val="22"/>
                      <w:lang w:val="pt-BR"/>
                    </w:rPr>
                    <w:t>6 - SECRETARIA DE FORTALECIMENTO DA DEMOCRACIA</w:t>
                  </w:r>
                </w:p>
              </w:tc>
              <w:tc>
                <w:tcPr>
                  <w:tcW w:w="1170" w:type="dxa"/>
                  <w:tcBorders>
                    <w:top w:val="single" w:sz="8" w:space="0" w:color="auto"/>
                    <w:left w:val="single" w:sz="8" w:space="0" w:color="auto"/>
                    <w:bottom w:val="single" w:sz="8" w:space="0" w:color="auto"/>
                    <w:right w:val="single" w:sz="8" w:space="0" w:color="auto"/>
                  </w:tcBorders>
                  <w:noWrap/>
                  <w:vAlign w:val="center"/>
                  <w:hideMark/>
                </w:tcPr>
                <w:p w14:paraId="6E8347F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hAnsi="Times New Roman"/>
                      <w:b/>
                      <w:bCs/>
                      <w:color w:val="000000"/>
                      <w:szCs w:val="22"/>
                      <w:lang w:val="pt-BR"/>
                    </w:rPr>
                    <w:t>3.383,7</w:t>
                  </w:r>
                </w:p>
              </w:tc>
              <w:tc>
                <w:tcPr>
                  <w:tcW w:w="1436" w:type="dxa"/>
                  <w:tcBorders>
                    <w:top w:val="single" w:sz="8" w:space="0" w:color="auto"/>
                    <w:left w:val="single" w:sz="8" w:space="0" w:color="auto"/>
                    <w:bottom w:val="single" w:sz="8" w:space="0" w:color="auto"/>
                    <w:right w:val="single" w:sz="8" w:space="0" w:color="auto"/>
                  </w:tcBorders>
                  <w:noWrap/>
                  <w:vAlign w:val="center"/>
                  <w:hideMark/>
                </w:tcPr>
                <w:p w14:paraId="6E8347F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hAnsi="Times New Roman"/>
                      <w:b/>
                      <w:bCs/>
                      <w:color w:val="000000"/>
                      <w:szCs w:val="22"/>
                      <w:lang w:val="pt-BR"/>
                    </w:rPr>
                    <w:t>780,1</w:t>
                  </w:r>
                </w:p>
              </w:tc>
            </w:tr>
            <w:tr w:rsidR="00D230D1" w:rsidRPr="00D65A20" w14:paraId="6E8347FE" w14:textId="77777777">
              <w:trPr>
                <w:trHeight w:val="317"/>
              </w:trPr>
              <w:tc>
                <w:tcPr>
                  <w:tcW w:w="1094" w:type="dxa"/>
                  <w:tcBorders>
                    <w:top w:val="single" w:sz="8" w:space="0" w:color="auto"/>
                    <w:left w:val="nil"/>
                    <w:bottom w:val="single" w:sz="8" w:space="0" w:color="auto"/>
                    <w:right w:val="nil"/>
                  </w:tcBorders>
                  <w:noWrap/>
                  <w:vAlign w:val="bottom"/>
                </w:tcPr>
                <w:p w14:paraId="6E8347FA"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p>
              </w:tc>
              <w:tc>
                <w:tcPr>
                  <w:tcW w:w="5466" w:type="dxa"/>
                  <w:tcBorders>
                    <w:top w:val="single" w:sz="8" w:space="0" w:color="auto"/>
                    <w:left w:val="nil"/>
                    <w:bottom w:val="single" w:sz="8" w:space="0" w:color="auto"/>
                    <w:right w:val="nil"/>
                  </w:tcBorders>
                  <w:vAlign w:val="center"/>
                </w:tcPr>
                <w:p w14:paraId="6E8347F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1170" w:type="dxa"/>
                  <w:tcBorders>
                    <w:top w:val="single" w:sz="8" w:space="0" w:color="auto"/>
                    <w:left w:val="nil"/>
                    <w:bottom w:val="single" w:sz="8" w:space="0" w:color="auto"/>
                    <w:right w:val="nil"/>
                  </w:tcBorders>
                  <w:noWrap/>
                  <w:vAlign w:val="center"/>
                </w:tcPr>
                <w:p w14:paraId="6E8347F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1436" w:type="dxa"/>
                  <w:tcBorders>
                    <w:top w:val="single" w:sz="8" w:space="0" w:color="auto"/>
                    <w:left w:val="nil"/>
                    <w:bottom w:val="single" w:sz="8" w:space="0" w:color="auto"/>
                    <w:right w:val="nil"/>
                  </w:tcBorders>
                  <w:noWrap/>
                  <w:vAlign w:val="center"/>
                </w:tcPr>
                <w:p w14:paraId="6E8347F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p>
              </w:tc>
            </w:tr>
            <w:tr w:rsidR="00D230D1" w:rsidRPr="00D65A20" w14:paraId="6E834802" w14:textId="77777777">
              <w:trPr>
                <w:trHeight w:val="79"/>
              </w:trPr>
              <w:tc>
                <w:tcPr>
                  <w:tcW w:w="6560" w:type="dxa"/>
                  <w:gridSpan w:val="2"/>
                  <w:tcBorders>
                    <w:top w:val="single" w:sz="8" w:space="0" w:color="auto"/>
                    <w:left w:val="single" w:sz="8" w:space="0" w:color="auto"/>
                    <w:bottom w:val="single" w:sz="8" w:space="0" w:color="auto"/>
                    <w:right w:val="single" w:sz="8" w:space="0" w:color="auto"/>
                  </w:tcBorders>
                  <w:noWrap/>
                  <w:vAlign w:val="center"/>
                  <w:hideMark/>
                </w:tcPr>
                <w:p w14:paraId="6E8347F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eastAsia="Calibri" w:hAnsi="Times New Roman"/>
                      <w:b/>
                      <w:bCs/>
                      <w:color w:val="000000"/>
                      <w:szCs w:val="22"/>
                      <w:lang w:val="pt-BR"/>
                    </w:rPr>
                    <w:t>7 - SECRETARIA EXECUTIVA DE DESENVOLVIMENTO INTEGRAL</w:t>
                  </w:r>
                </w:p>
              </w:tc>
              <w:tc>
                <w:tcPr>
                  <w:tcW w:w="1170" w:type="dxa"/>
                  <w:tcBorders>
                    <w:top w:val="single" w:sz="8" w:space="0" w:color="auto"/>
                    <w:left w:val="single" w:sz="8" w:space="0" w:color="auto"/>
                    <w:bottom w:val="single" w:sz="8" w:space="0" w:color="auto"/>
                    <w:right w:val="single" w:sz="8" w:space="0" w:color="auto"/>
                  </w:tcBorders>
                  <w:noWrap/>
                  <w:vAlign w:val="center"/>
                  <w:hideMark/>
                </w:tcPr>
                <w:p w14:paraId="6E83480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hAnsi="Times New Roman"/>
                      <w:b/>
                      <w:bCs/>
                      <w:color w:val="000000"/>
                      <w:szCs w:val="22"/>
                      <w:lang w:val="pt-BR"/>
                    </w:rPr>
                    <w:t>7.534,3</w:t>
                  </w:r>
                </w:p>
              </w:tc>
              <w:tc>
                <w:tcPr>
                  <w:tcW w:w="1436" w:type="dxa"/>
                  <w:tcBorders>
                    <w:top w:val="single" w:sz="8" w:space="0" w:color="auto"/>
                    <w:left w:val="single" w:sz="8" w:space="0" w:color="auto"/>
                    <w:bottom w:val="single" w:sz="8" w:space="0" w:color="auto"/>
                    <w:right w:val="single" w:sz="8" w:space="0" w:color="auto"/>
                  </w:tcBorders>
                  <w:noWrap/>
                  <w:vAlign w:val="center"/>
                  <w:hideMark/>
                </w:tcPr>
                <w:p w14:paraId="6E83480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hAnsi="Times New Roman"/>
                      <w:b/>
                      <w:bCs/>
                      <w:color w:val="000000"/>
                      <w:szCs w:val="22"/>
                      <w:lang w:val="pt-BR"/>
                    </w:rPr>
                    <w:t>297,1</w:t>
                  </w:r>
                </w:p>
              </w:tc>
            </w:tr>
            <w:tr w:rsidR="00D230D1" w:rsidRPr="00D65A20" w14:paraId="6E834806" w14:textId="77777777">
              <w:trPr>
                <w:trHeight w:val="317"/>
              </w:trPr>
              <w:tc>
                <w:tcPr>
                  <w:tcW w:w="6560" w:type="dxa"/>
                  <w:gridSpan w:val="2"/>
                  <w:tcBorders>
                    <w:top w:val="single" w:sz="4" w:space="0" w:color="auto"/>
                    <w:left w:val="nil"/>
                    <w:bottom w:val="single" w:sz="4" w:space="0" w:color="auto"/>
                    <w:right w:val="nil"/>
                  </w:tcBorders>
                  <w:noWrap/>
                  <w:vAlign w:val="center"/>
                </w:tcPr>
                <w:p w14:paraId="6E83480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p>
              </w:tc>
              <w:tc>
                <w:tcPr>
                  <w:tcW w:w="1170" w:type="dxa"/>
                  <w:tcBorders>
                    <w:top w:val="single" w:sz="4" w:space="0" w:color="auto"/>
                    <w:left w:val="nil"/>
                    <w:bottom w:val="single" w:sz="4" w:space="0" w:color="auto"/>
                    <w:right w:val="nil"/>
                  </w:tcBorders>
                  <w:noWrap/>
                  <w:vAlign w:val="center"/>
                </w:tcPr>
                <w:p w14:paraId="6E83480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1436" w:type="dxa"/>
                  <w:tcBorders>
                    <w:top w:val="single" w:sz="4" w:space="0" w:color="auto"/>
                    <w:left w:val="nil"/>
                    <w:bottom w:val="single" w:sz="4" w:space="0" w:color="auto"/>
                    <w:right w:val="nil"/>
                  </w:tcBorders>
                  <w:noWrap/>
                  <w:vAlign w:val="center"/>
                </w:tcPr>
                <w:p w14:paraId="6E83480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r>
            <w:tr w:rsidR="00D230D1" w:rsidRPr="00D65A20" w14:paraId="6E83480A" w14:textId="77777777">
              <w:trPr>
                <w:trHeight w:val="317"/>
              </w:trPr>
              <w:tc>
                <w:tcPr>
                  <w:tcW w:w="6560" w:type="dxa"/>
                  <w:gridSpan w:val="2"/>
                  <w:tcBorders>
                    <w:top w:val="single" w:sz="4" w:space="0" w:color="auto"/>
                    <w:left w:val="single" w:sz="8" w:space="0" w:color="auto"/>
                    <w:bottom w:val="single" w:sz="8" w:space="0" w:color="auto"/>
                    <w:right w:val="single" w:sz="8" w:space="0" w:color="auto"/>
                  </w:tcBorders>
                  <w:noWrap/>
                  <w:vAlign w:val="center"/>
                  <w:hideMark/>
                </w:tcPr>
                <w:p w14:paraId="6E83480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eastAsia="Calibri" w:hAnsi="Times New Roman"/>
                      <w:b/>
                      <w:bCs/>
                      <w:color w:val="000000"/>
                      <w:szCs w:val="22"/>
                      <w:lang w:val="pt-BR"/>
                    </w:rPr>
                    <w:t>8 - SECRETARIA DE SEGURANÇA MULTIDIMENSIONAL</w:t>
                  </w:r>
                </w:p>
              </w:tc>
              <w:tc>
                <w:tcPr>
                  <w:tcW w:w="1170" w:type="dxa"/>
                  <w:tcBorders>
                    <w:top w:val="single" w:sz="4" w:space="0" w:color="auto"/>
                    <w:left w:val="single" w:sz="8" w:space="0" w:color="auto"/>
                    <w:bottom w:val="single" w:sz="8" w:space="0" w:color="auto"/>
                    <w:right w:val="single" w:sz="8" w:space="0" w:color="auto"/>
                  </w:tcBorders>
                  <w:noWrap/>
                  <w:vAlign w:val="center"/>
                  <w:hideMark/>
                </w:tcPr>
                <w:p w14:paraId="6E83480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hAnsi="Times New Roman"/>
                      <w:b/>
                      <w:bCs/>
                      <w:color w:val="000000"/>
                      <w:szCs w:val="22"/>
                      <w:lang w:val="pt-BR"/>
                    </w:rPr>
                    <w:t>3.831,5</w:t>
                  </w:r>
                </w:p>
              </w:tc>
              <w:tc>
                <w:tcPr>
                  <w:tcW w:w="1436" w:type="dxa"/>
                  <w:tcBorders>
                    <w:top w:val="single" w:sz="4" w:space="0" w:color="auto"/>
                    <w:left w:val="single" w:sz="8" w:space="0" w:color="auto"/>
                    <w:bottom w:val="single" w:sz="8" w:space="0" w:color="auto"/>
                    <w:right w:val="single" w:sz="8" w:space="0" w:color="auto"/>
                  </w:tcBorders>
                  <w:noWrap/>
                  <w:vAlign w:val="center"/>
                  <w:hideMark/>
                </w:tcPr>
                <w:p w14:paraId="6E83480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hAnsi="Times New Roman"/>
                      <w:b/>
                      <w:bCs/>
                      <w:color w:val="000000"/>
                      <w:szCs w:val="22"/>
                      <w:lang w:val="pt-BR"/>
                    </w:rPr>
                    <w:t>797,0</w:t>
                  </w:r>
                </w:p>
              </w:tc>
            </w:tr>
            <w:tr w:rsidR="00D230D1" w:rsidRPr="00D65A20" w14:paraId="6E83480F" w14:textId="77777777">
              <w:trPr>
                <w:trHeight w:val="317"/>
              </w:trPr>
              <w:tc>
                <w:tcPr>
                  <w:tcW w:w="1094" w:type="dxa"/>
                  <w:noWrap/>
                  <w:vAlign w:val="center"/>
                  <w:hideMark/>
                </w:tcPr>
                <w:p w14:paraId="6E83480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5466" w:type="dxa"/>
                  <w:noWrap/>
                  <w:vAlign w:val="center"/>
                  <w:hideMark/>
                </w:tcPr>
                <w:p w14:paraId="6E83480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1170" w:type="dxa"/>
                  <w:noWrap/>
                  <w:vAlign w:val="center"/>
                </w:tcPr>
                <w:p w14:paraId="6E83480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1436" w:type="dxa"/>
                  <w:noWrap/>
                  <w:vAlign w:val="center"/>
                </w:tcPr>
                <w:p w14:paraId="6E83480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r>
            <w:tr w:rsidR="00D230D1" w:rsidRPr="00D65A20" w14:paraId="6E834813" w14:textId="77777777">
              <w:trPr>
                <w:trHeight w:val="317"/>
              </w:trPr>
              <w:tc>
                <w:tcPr>
                  <w:tcW w:w="6560" w:type="dxa"/>
                  <w:gridSpan w:val="2"/>
                  <w:tcBorders>
                    <w:top w:val="single" w:sz="8" w:space="0" w:color="auto"/>
                    <w:left w:val="single" w:sz="8" w:space="0" w:color="auto"/>
                    <w:bottom w:val="single" w:sz="8" w:space="0" w:color="auto"/>
                    <w:right w:val="single" w:sz="8" w:space="0" w:color="000000"/>
                  </w:tcBorders>
                  <w:noWrap/>
                  <w:vAlign w:val="center"/>
                  <w:hideMark/>
                </w:tcPr>
                <w:p w14:paraId="6E83481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eastAsia="Calibri" w:hAnsi="Times New Roman"/>
                      <w:b/>
                      <w:bCs/>
                      <w:color w:val="000000"/>
                      <w:szCs w:val="22"/>
                      <w:lang w:val="pt-BR"/>
                    </w:rPr>
                    <w:t>9 - SECRETARIA DE ASSUNTOS HEMISFÉRICOS</w:t>
                  </w:r>
                </w:p>
              </w:tc>
              <w:tc>
                <w:tcPr>
                  <w:tcW w:w="1170" w:type="dxa"/>
                  <w:tcBorders>
                    <w:top w:val="single" w:sz="8" w:space="0" w:color="auto"/>
                    <w:left w:val="nil"/>
                    <w:bottom w:val="single" w:sz="8" w:space="0" w:color="auto"/>
                    <w:right w:val="single" w:sz="8" w:space="0" w:color="auto"/>
                  </w:tcBorders>
                  <w:noWrap/>
                  <w:vAlign w:val="center"/>
                  <w:hideMark/>
                </w:tcPr>
                <w:p w14:paraId="6E83481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hAnsi="Times New Roman"/>
                      <w:b/>
                      <w:bCs/>
                      <w:color w:val="000000"/>
                      <w:szCs w:val="22"/>
                      <w:lang w:val="pt-BR"/>
                    </w:rPr>
                    <w:t>2.180,4</w:t>
                  </w:r>
                </w:p>
              </w:tc>
              <w:tc>
                <w:tcPr>
                  <w:tcW w:w="1436" w:type="dxa"/>
                  <w:tcBorders>
                    <w:top w:val="single" w:sz="8" w:space="0" w:color="auto"/>
                    <w:left w:val="nil"/>
                    <w:bottom w:val="single" w:sz="8" w:space="0" w:color="auto"/>
                    <w:right w:val="single" w:sz="8" w:space="0" w:color="auto"/>
                  </w:tcBorders>
                  <w:noWrap/>
                  <w:vAlign w:val="center"/>
                  <w:hideMark/>
                </w:tcPr>
                <w:p w14:paraId="6E83481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hAnsi="Times New Roman"/>
                      <w:b/>
                      <w:bCs/>
                      <w:color w:val="000000"/>
                      <w:szCs w:val="22"/>
                      <w:lang w:val="pt-BR"/>
                    </w:rPr>
                    <w:t>120,0</w:t>
                  </w:r>
                </w:p>
              </w:tc>
            </w:tr>
            <w:tr w:rsidR="00D230D1" w:rsidRPr="00D65A20" w14:paraId="6E834818" w14:textId="77777777">
              <w:trPr>
                <w:trHeight w:val="317"/>
              </w:trPr>
              <w:tc>
                <w:tcPr>
                  <w:tcW w:w="1094" w:type="dxa"/>
                  <w:noWrap/>
                  <w:vAlign w:val="center"/>
                  <w:hideMark/>
                </w:tcPr>
                <w:p w14:paraId="6E83481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5466" w:type="dxa"/>
                  <w:noWrap/>
                  <w:vAlign w:val="center"/>
                  <w:hideMark/>
                </w:tcPr>
                <w:p w14:paraId="6E83481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1170" w:type="dxa"/>
                  <w:noWrap/>
                  <w:vAlign w:val="center"/>
                </w:tcPr>
                <w:p w14:paraId="6E83481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1436" w:type="dxa"/>
                  <w:noWrap/>
                  <w:vAlign w:val="center"/>
                </w:tcPr>
                <w:p w14:paraId="6E83481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r>
            <w:tr w:rsidR="00D230D1" w:rsidRPr="00D65A20" w14:paraId="6E83481C" w14:textId="77777777">
              <w:trPr>
                <w:trHeight w:val="317"/>
              </w:trPr>
              <w:tc>
                <w:tcPr>
                  <w:tcW w:w="6560" w:type="dxa"/>
                  <w:gridSpan w:val="2"/>
                  <w:tcBorders>
                    <w:top w:val="single" w:sz="8" w:space="0" w:color="auto"/>
                    <w:left w:val="single" w:sz="8" w:space="0" w:color="auto"/>
                    <w:bottom w:val="single" w:sz="8" w:space="0" w:color="auto"/>
                    <w:right w:val="single" w:sz="8" w:space="0" w:color="000000"/>
                  </w:tcBorders>
                  <w:noWrap/>
                  <w:vAlign w:val="center"/>
                  <w:hideMark/>
                </w:tcPr>
                <w:p w14:paraId="6E83481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eastAsia="Calibri" w:hAnsi="Times New Roman"/>
                      <w:szCs w:val="22"/>
                      <w:lang w:val="pt-BR"/>
                    </w:rPr>
                    <w:br w:type="page"/>
                  </w:r>
                  <w:r w:rsidRPr="00D65A20">
                    <w:rPr>
                      <w:rFonts w:ascii="Times New Roman" w:eastAsia="Calibri" w:hAnsi="Times New Roman"/>
                      <w:b/>
                      <w:bCs/>
                      <w:color w:val="000000"/>
                      <w:szCs w:val="22"/>
                      <w:lang w:val="pt-BR"/>
                    </w:rPr>
                    <w:t>10 - SECRETARIA DE ASSUNTOS JURÍDICOS</w:t>
                  </w:r>
                </w:p>
              </w:tc>
              <w:tc>
                <w:tcPr>
                  <w:tcW w:w="1170" w:type="dxa"/>
                  <w:tcBorders>
                    <w:top w:val="single" w:sz="8" w:space="0" w:color="auto"/>
                    <w:left w:val="nil"/>
                    <w:bottom w:val="single" w:sz="8" w:space="0" w:color="auto"/>
                    <w:right w:val="single" w:sz="8" w:space="0" w:color="auto"/>
                  </w:tcBorders>
                  <w:noWrap/>
                  <w:vAlign w:val="center"/>
                  <w:hideMark/>
                </w:tcPr>
                <w:p w14:paraId="6E83481A"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hAnsi="Times New Roman"/>
                      <w:b/>
                      <w:bCs/>
                      <w:color w:val="000000"/>
                      <w:szCs w:val="22"/>
                      <w:lang w:val="pt-BR"/>
                    </w:rPr>
                    <w:t>3.671,4</w:t>
                  </w:r>
                </w:p>
              </w:tc>
              <w:tc>
                <w:tcPr>
                  <w:tcW w:w="1436" w:type="dxa"/>
                  <w:tcBorders>
                    <w:top w:val="single" w:sz="8" w:space="0" w:color="auto"/>
                    <w:left w:val="nil"/>
                    <w:bottom w:val="single" w:sz="8" w:space="0" w:color="auto"/>
                    <w:right w:val="single" w:sz="8" w:space="0" w:color="auto"/>
                  </w:tcBorders>
                  <w:noWrap/>
                  <w:vAlign w:val="center"/>
                  <w:hideMark/>
                </w:tcPr>
                <w:p w14:paraId="6E83481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hAnsi="Times New Roman"/>
                      <w:b/>
                      <w:bCs/>
                      <w:color w:val="000000"/>
                      <w:szCs w:val="22"/>
                      <w:lang w:val="pt-BR"/>
                    </w:rPr>
                    <w:t>210,6</w:t>
                  </w:r>
                </w:p>
              </w:tc>
            </w:tr>
            <w:tr w:rsidR="00D230D1" w:rsidRPr="00D65A20" w14:paraId="6E834821" w14:textId="77777777">
              <w:trPr>
                <w:trHeight w:val="250"/>
              </w:trPr>
              <w:tc>
                <w:tcPr>
                  <w:tcW w:w="1094" w:type="dxa"/>
                  <w:tcBorders>
                    <w:top w:val="nil"/>
                    <w:left w:val="nil"/>
                    <w:bottom w:val="single" w:sz="8" w:space="0" w:color="auto"/>
                    <w:right w:val="nil"/>
                  </w:tcBorders>
                  <w:noWrap/>
                  <w:vAlign w:val="center"/>
                  <w:hideMark/>
                </w:tcPr>
                <w:p w14:paraId="6E83481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5466" w:type="dxa"/>
                  <w:tcBorders>
                    <w:top w:val="nil"/>
                    <w:left w:val="nil"/>
                    <w:bottom w:val="single" w:sz="8" w:space="0" w:color="auto"/>
                    <w:right w:val="nil"/>
                  </w:tcBorders>
                  <w:noWrap/>
                  <w:vAlign w:val="center"/>
                  <w:hideMark/>
                </w:tcPr>
                <w:p w14:paraId="6E83481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1170" w:type="dxa"/>
                  <w:tcBorders>
                    <w:top w:val="nil"/>
                    <w:left w:val="nil"/>
                    <w:bottom w:val="single" w:sz="8" w:space="0" w:color="auto"/>
                    <w:right w:val="nil"/>
                  </w:tcBorders>
                  <w:noWrap/>
                  <w:vAlign w:val="center"/>
                </w:tcPr>
                <w:p w14:paraId="6E83481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1436" w:type="dxa"/>
                  <w:tcBorders>
                    <w:top w:val="nil"/>
                    <w:left w:val="nil"/>
                    <w:bottom w:val="single" w:sz="8" w:space="0" w:color="auto"/>
                    <w:right w:val="nil"/>
                  </w:tcBorders>
                  <w:noWrap/>
                  <w:vAlign w:val="center"/>
                </w:tcPr>
                <w:p w14:paraId="6E83482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r>
            <w:tr w:rsidR="00D230D1" w:rsidRPr="00D65A20" w14:paraId="6E834825" w14:textId="77777777">
              <w:trPr>
                <w:trHeight w:val="317"/>
              </w:trPr>
              <w:tc>
                <w:tcPr>
                  <w:tcW w:w="6560" w:type="dxa"/>
                  <w:gridSpan w:val="2"/>
                  <w:tcBorders>
                    <w:top w:val="single" w:sz="8" w:space="0" w:color="auto"/>
                    <w:left w:val="single" w:sz="8" w:space="0" w:color="auto"/>
                    <w:bottom w:val="single" w:sz="8" w:space="0" w:color="auto"/>
                    <w:right w:val="single" w:sz="8" w:space="0" w:color="auto"/>
                  </w:tcBorders>
                  <w:noWrap/>
                  <w:vAlign w:val="center"/>
                  <w:hideMark/>
                </w:tcPr>
                <w:p w14:paraId="6E83482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eastAsia="Calibri" w:hAnsi="Times New Roman"/>
                      <w:b/>
                      <w:bCs/>
                      <w:color w:val="000000"/>
                      <w:szCs w:val="22"/>
                      <w:lang w:val="pt-BR"/>
                    </w:rPr>
                    <w:t>11 - SECRETARIA DE ADMINISTRAÇÃO E FINANÇAS</w:t>
                  </w:r>
                </w:p>
              </w:tc>
              <w:tc>
                <w:tcPr>
                  <w:tcW w:w="1170" w:type="dxa"/>
                  <w:tcBorders>
                    <w:top w:val="single" w:sz="8" w:space="0" w:color="auto"/>
                    <w:left w:val="single" w:sz="8" w:space="0" w:color="auto"/>
                    <w:bottom w:val="single" w:sz="8" w:space="0" w:color="auto"/>
                    <w:right w:val="single" w:sz="8" w:space="0" w:color="auto"/>
                  </w:tcBorders>
                  <w:noWrap/>
                  <w:vAlign w:val="center"/>
                  <w:hideMark/>
                </w:tcPr>
                <w:p w14:paraId="6E83482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hAnsi="Times New Roman"/>
                      <w:b/>
                      <w:bCs/>
                      <w:color w:val="000000"/>
                      <w:szCs w:val="22"/>
                      <w:lang w:val="pt-BR"/>
                    </w:rPr>
                    <w:t>9.210,7</w:t>
                  </w:r>
                </w:p>
              </w:tc>
              <w:tc>
                <w:tcPr>
                  <w:tcW w:w="1436" w:type="dxa"/>
                  <w:tcBorders>
                    <w:top w:val="single" w:sz="8" w:space="0" w:color="auto"/>
                    <w:left w:val="single" w:sz="8" w:space="0" w:color="auto"/>
                    <w:bottom w:val="single" w:sz="8" w:space="0" w:color="auto"/>
                    <w:right w:val="single" w:sz="8" w:space="0" w:color="auto"/>
                  </w:tcBorders>
                  <w:noWrap/>
                  <w:vAlign w:val="center"/>
                  <w:hideMark/>
                </w:tcPr>
                <w:p w14:paraId="6E83482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hAnsi="Times New Roman"/>
                      <w:b/>
                      <w:bCs/>
                      <w:color w:val="000000"/>
                      <w:szCs w:val="22"/>
                      <w:lang w:val="pt-BR"/>
                    </w:rPr>
                    <w:t>1.093,4</w:t>
                  </w:r>
                </w:p>
              </w:tc>
            </w:tr>
            <w:tr w:rsidR="00D230D1" w:rsidRPr="00D65A20" w14:paraId="6E83482A" w14:textId="77777777">
              <w:trPr>
                <w:trHeight w:val="317"/>
              </w:trPr>
              <w:tc>
                <w:tcPr>
                  <w:tcW w:w="1094" w:type="dxa"/>
                  <w:tcBorders>
                    <w:top w:val="nil"/>
                    <w:left w:val="nil"/>
                    <w:bottom w:val="single" w:sz="8" w:space="0" w:color="000000"/>
                    <w:right w:val="nil"/>
                  </w:tcBorders>
                  <w:noWrap/>
                  <w:vAlign w:val="center"/>
                  <w:hideMark/>
                </w:tcPr>
                <w:p w14:paraId="6E83482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5466" w:type="dxa"/>
                  <w:tcBorders>
                    <w:top w:val="nil"/>
                    <w:left w:val="nil"/>
                    <w:bottom w:val="single" w:sz="8" w:space="0" w:color="000000"/>
                    <w:right w:val="nil"/>
                  </w:tcBorders>
                  <w:noWrap/>
                  <w:vAlign w:val="center"/>
                  <w:hideMark/>
                </w:tcPr>
                <w:p w14:paraId="6E83482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1170" w:type="dxa"/>
                  <w:tcBorders>
                    <w:top w:val="nil"/>
                    <w:left w:val="nil"/>
                    <w:bottom w:val="single" w:sz="8" w:space="0" w:color="000000"/>
                    <w:right w:val="nil"/>
                  </w:tcBorders>
                  <w:noWrap/>
                  <w:vAlign w:val="center"/>
                </w:tcPr>
                <w:p w14:paraId="6E83482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1436" w:type="dxa"/>
                  <w:tcBorders>
                    <w:top w:val="nil"/>
                    <w:left w:val="nil"/>
                    <w:bottom w:val="single" w:sz="8" w:space="0" w:color="000000"/>
                    <w:right w:val="nil"/>
                  </w:tcBorders>
                  <w:noWrap/>
                  <w:vAlign w:val="center"/>
                </w:tcPr>
                <w:p w14:paraId="6E83482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r>
            <w:tr w:rsidR="00D230D1" w:rsidRPr="00D65A20" w14:paraId="6E83482E" w14:textId="77777777">
              <w:trPr>
                <w:trHeight w:val="317"/>
              </w:trPr>
              <w:tc>
                <w:tcPr>
                  <w:tcW w:w="6560" w:type="dxa"/>
                  <w:gridSpan w:val="2"/>
                  <w:tcBorders>
                    <w:top w:val="single" w:sz="8" w:space="0" w:color="000000"/>
                    <w:left w:val="single" w:sz="8" w:space="0" w:color="000000"/>
                    <w:bottom w:val="single" w:sz="8" w:space="0" w:color="000000"/>
                    <w:right w:val="single" w:sz="8" w:space="0" w:color="000000"/>
                  </w:tcBorders>
                  <w:noWrap/>
                  <w:vAlign w:val="center"/>
                  <w:hideMark/>
                </w:tcPr>
                <w:p w14:paraId="6E83482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eastAsia="Calibri" w:hAnsi="Times New Roman"/>
                      <w:b/>
                      <w:bCs/>
                      <w:color w:val="000000"/>
                      <w:szCs w:val="22"/>
                      <w:lang w:val="pt-BR"/>
                    </w:rPr>
                    <w:t>12 - INFRAESTRUTURA BÁSICA E CUSTOS COMUNS</w:t>
                  </w:r>
                </w:p>
              </w:tc>
              <w:tc>
                <w:tcPr>
                  <w:tcW w:w="1170" w:type="dxa"/>
                  <w:tcBorders>
                    <w:top w:val="single" w:sz="8" w:space="0" w:color="000000"/>
                    <w:left w:val="single" w:sz="8" w:space="0" w:color="000000"/>
                    <w:bottom w:val="single" w:sz="8" w:space="0" w:color="000000"/>
                    <w:right w:val="single" w:sz="8" w:space="0" w:color="000000"/>
                  </w:tcBorders>
                  <w:noWrap/>
                  <w:vAlign w:val="center"/>
                  <w:hideMark/>
                </w:tcPr>
                <w:p w14:paraId="6E83482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hAnsi="Times New Roman"/>
                      <w:b/>
                      <w:bCs/>
                      <w:color w:val="000000"/>
                      <w:szCs w:val="22"/>
                      <w:lang w:val="pt-BR"/>
                    </w:rPr>
                    <w:t>10.451,6</w:t>
                  </w:r>
                </w:p>
              </w:tc>
              <w:tc>
                <w:tcPr>
                  <w:tcW w:w="1436" w:type="dxa"/>
                  <w:tcBorders>
                    <w:top w:val="single" w:sz="8" w:space="0" w:color="000000"/>
                    <w:left w:val="single" w:sz="8" w:space="0" w:color="000000"/>
                    <w:bottom w:val="single" w:sz="8" w:space="0" w:color="000000"/>
                    <w:right w:val="single" w:sz="8" w:space="0" w:color="000000"/>
                  </w:tcBorders>
                  <w:noWrap/>
                  <w:vAlign w:val="center"/>
                  <w:hideMark/>
                </w:tcPr>
                <w:p w14:paraId="6E83482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hAnsi="Times New Roman"/>
                      <w:b/>
                      <w:bCs/>
                      <w:color w:val="000000"/>
                      <w:szCs w:val="22"/>
                      <w:lang w:val="pt-BR"/>
                    </w:rPr>
                    <w:t>2.351,4</w:t>
                  </w:r>
                </w:p>
              </w:tc>
            </w:tr>
            <w:tr w:rsidR="00D230D1" w:rsidRPr="00D65A20" w14:paraId="6E834833" w14:textId="77777777">
              <w:trPr>
                <w:trHeight w:val="317"/>
              </w:trPr>
              <w:tc>
                <w:tcPr>
                  <w:tcW w:w="1094" w:type="dxa"/>
                  <w:tcBorders>
                    <w:top w:val="single" w:sz="4" w:space="0" w:color="auto"/>
                    <w:left w:val="nil"/>
                    <w:bottom w:val="single" w:sz="8" w:space="0" w:color="auto"/>
                    <w:right w:val="nil"/>
                  </w:tcBorders>
                  <w:noWrap/>
                  <w:vAlign w:val="center"/>
                  <w:hideMark/>
                </w:tcPr>
                <w:p w14:paraId="6E83482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 </w:t>
                  </w:r>
                </w:p>
              </w:tc>
              <w:tc>
                <w:tcPr>
                  <w:tcW w:w="5466" w:type="dxa"/>
                  <w:tcBorders>
                    <w:top w:val="single" w:sz="4" w:space="0" w:color="auto"/>
                    <w:left w:val="nil"/>
                    <w:bottom w:val="single" w:sz="8" w:space="0" w:color="auto"/>
                    <w:right w:val="nil"/>
                  </w:tcBorders>
                  <w:vAlign w:val="center"/>
                  <w:hideMark/>
                </w:tcPr>
                <w:p w14:paraId="6E83483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1170" w:type="dxa"/>
                  <w:tcBorders>
                    <w:top w:val="single" w:sz="4" w:space="0" w:color="auto"/>
                    <w:left w:val="nil"/>
                    <w:bottom w:val="single" w:sz="8" w:space="0" w:color="auto"/>
                    <w:right w:val="nil"/>
                  </w:tcBorders>
                  <w:noWrap/>
                  <w:vAlign w:val="center"/>
                </w:tcPr>
                <w:p w14:paraId="6E83483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1436" w:type="dxa"/>
                  <w:tcBorders>
                    <w:top w:val="single" w:sz="4" w:space="0" w:color="auto"/>
                    <w:left w:val="nil"/>
                    <w:bottom w:val="single" w:sz="8" w:space="0" w:color="auto"/>
                    <w:right w:val="nil"/>
                  </w:tcBorders>
                  <w:noWrap/>
                  <w:vAlign w:val="center"/>
                </w:tcPr>
                <w:p w14:paraId="6E83483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p>
              </w:tc>
            </w:tr>
            <w:tr w:rsidR="00D230D1" w:rsidRPr="00D65A20" w14:paraId="6E834837" w14:textId="77777777">
              <w:trPr>
                <w:trHeight w:val="317"/>
              </w:trPr>
              <w:tc>
                <w:tcPr>
                  <w:tcW w:w="6560" w:type="dxa"/>
                  <w:gridSpan w:val="2"/>
                  <w:tcBorders>
                    <w:top w:val="single" w:sz="8" w:space="0" w:color="auto"/>
                    <w:left w:val="single" w:sz="8" w:space="0" w:color="auto"/>
                    <w:bottom w:val="single" w:sz="8" w:space="0" w:color="auto"/>
                    <w:right w:val="single" w:sz="8" w:space="0" w:color="auto"/>
                  </w:tcBorders>
                  <w:noWrap/>
                  <w:vAlign w:val="center"/>
                  <w:hideMark/>
                </w:tcPr>
                <w:p w14:paraId="6E83483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eastAsia="Calibri" w:hAnsi="Times New Roman"/>
                      <w:b/>
                      <w:bCs/>
                      <w:color w:val="000000"/>
                      <w:szCs w:val="22"/>
                      <w:lang w:val="pt-BR"/>
                    </w:rPr>
                    <w:t xml:space="preserve">13 - ÓRGÃOS DE CONTROLE E SUPERVISÃO </w:t>
                  </w:r>
                </w:p>
              </w:tc>
              <w:tc>
                <w:tcPr>
                  <w:tcW w:w="1170" w:type="dxa"/>
                  <w:tcBorders>
                    <w:top w:val="single" w:sz="8" w:space="0" w:color="auto"/>
                    <w:left w:val="single" w:sz="8" w:space="0" w:color="auto"/>
                    <w:bottom w:val="single" w:sz="8" w:space="0" w:color="auto"/>
                    <w:right w:val="single" w:sz="8" w:space="0" w:color="auto"/>
                  </w:tcBorders>
                  <w:noWrap/>
                  <w:vAlign w:val="center"/>
                  <w:hideMark/>
                </w:tcPr>
                <w:p w14:paraId="6E83483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hAnsi="Times New Roman"/>
                      <w:b/>
                      <w:bCs/>
                      <w:color w:val="000000"/>
                      <w:szCs w:val="22"/>
                      <w:lang w:val="pt-BR"/>
                    </w:rPr>
                    <w:t>1.252,0</w:t>
                  </w:r>
                </w:p>
              </w:tc>
              <w:tc>
                <w:tcPr>
                  <w:tcW w:w="1436" w:type="dxa"/>
                  <w:tcBorders>
                    <w:top w:val="single" w:sz="8" w:space="0" w:color="auto"/>
                    <w:left w:val="single" w:sz="8" w:space="0" w:color="auto"/>
                    <w:bottom w:val="single" w:sz="8" w:space="0" w:color="auto"/>
                    <w:right w:val="single" w:sz="8" w:space="0" w:color="auto"/>
                  </w:tcBorders>
                  <w:noWrap/>
                  <w:vAlign w:val="center"/>
                  <w:hideMark/>
                </w:tcPr>
                <w:p w14:paraId="6E83483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hAnsi="Times New Roman"/>
                      <w:b/>
                      <w:bCs/>
                      <w:color w:val="000000"/>
                      <w:szCs w:val="22"/>
                      <w:lang w:val="pt-BR"/>
                    </w:rPr>
                    <w:t>280,5</w:t>
                  </w:r>
                </w:p>
              </w:tc>
            </w:tr>
            <w:tr w:rsidR="00D230D1" w:rsidRPr="00D65A20" w14:paraId="6E83483C" w14:textId="77777777">
              <w:trPr>
                <w:trHeight w:val="317"/>
              </w:trPr>
              <w:tc>
                <w:tcPr>
                  <w:tcW w:w="1094" w:type="dxa"/>
                  <w:tcBorders>
                    <w:top w:val="single" w:sz="8" w:space="0" w:color="auto"/>
                    <w:left w:val="single" w:sz="8" w:space="0" w:color="auto"/>
                    <w:bottom w:val="single" w:sz="8" w:space="0" w:color="auto"/>
                    <w:right w:val="single" w:sz="8" w:space="0" w:color="auto"/>
                  </w:tcBorders>
                  <w:noWrap/>
                  <w:vAlign w:val="center"/>
                  <w:hideMark/>
                </w:tcPr>
                <w:p w14:paraId="6E83483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133A</w:t>
                  </w:r>
                </w:p>
              </w:tc>
              <w:tc>
                <w:tcPr>
                  <w:tcW w:w="5466" w:type="dxa"/>
                  <w:tcBorders>
                    <w:top w:val="single" w:sz="8" w:space="0" w:color="auto"/>
                    <w:left w:val="nil"/>
                    <w:bottom w:val="single" w:sz="8" w:space="0" w:color="auto"/>
                    <w:right w:val="single" w:sz="8" w:space="0" w:color="auto"/>
                  </w:tcBorders>
                  <w:vAlign w:val="center"/>
                  <w:hideMark/>
                </w:tcPr>
                <w:p w14:paraId="6E83483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Secretaria do Tribunal Administrativo (TRIBAD)</w:t>
                  </w:r>
                </w:p>
              </w:tc>
              <w:tc>
                <w:tcPr>
                  <w:tcW w:w="1170" w:type="dxa"/>
                  <w:tcBorders>
                    <w:top w:val="single" w:sz="8" w:space="0" w:color="auto"/>
                    <w:left w:val="nil"/>
                    <w:bottom w:val="single" w:sz="8" w:space="0" w:color="auto"/>
                    <w:right w:val="single" w:sz="8" w:space="0" w:color="auto"/>
                  </w:tcBorders>
                  <w:noWrap/>
                  <w:vAlign w:val="center"/>
                  <w:hideMark/>
                </w:tcPr>
                <w:p w14:paraId="6E83483A"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hAnsi="Times New Roman"/>
                      <w:color w:val="000000"/>
                      <w:szCs w:val="22"/>
                      <w:lang w:val="pt-BR"/>
                    </w:rPr>
                    <w:t>209,6</w:t>
                  </w:r>
                </w:p>
              </w:tc>
              <w:tc>
                <w:tcPr>
                  <w:tcW w:w="1436" w:type="dxa"/>
                  <w:tcBorders>
                    <w:top w:val="single" w:sz="8" w:space="0" w:color="auto"/>
                    <w:left w:val="nil"/>
                    <w:bottom w:val="single" w:sz="8" w:space="0" w:color="auto"/>
                    <w:right w:val="single" w:sz="8" w:space="0" w:color="auto"/>
                  </w:tcBorders>
                  <w:noWrap/>
                  <w:vAlign w:val="center"/>
                  <w:hideMark/>
                </w:tcPr>
                <w:p w14:paraId="6E83483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hAnsi="Times New Roman"/>
                      <w:color w:val="000000"/>
                      <w:szCs w:val="22"/>
                      <w:lang w:val="pt-BR" w:eastAsia="es-ES"/>
                    </w:rPr>
                    <w:t>26,9</w:t>
                  </w:r>
                </w:p>
              </w:tc>
            </w:tr>
            <w:tr w:rsidR="00D230D1" w:rsidRPr="00D65A20" w14:paraId="6E834841" w14:textId="77777777">
              <w:trPr>
                <w:trHeight w:val="317"/>
              </w:trPr>
              <w:tc>
                <w:tcPr>
                  <w:tcW w:w="1094" w:type="dxa"/>
                  <w:tcBorders>
                    <w:top w:val="single" w:sz="8" w:space="0" w:color="auto"/>
                    <w:left w:val="single" w:sz="8" w:space="0" w:color="auto"/>
                    <w:bottom w:val="single" w:sz="8" w:space="0" w:color="auto"/>
                    <w:right w:val="single" w:sz="8" w:space="0" w:color="auto"/>
                  </w:tcBorders>
                  <w:noWrap/>
                  <w:vAlign w:val="center"/>
                  <w:hideMark/>
                </w:tcPr>
                <w:p w14:paraId="6E83483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134B</w:t>
                  </w:r>
                </w:p>
              </w:tc>
              <w:tc>
                <w:tcPr>
                  <w:tcW w:w="5466" w:type="dxa"/>
                  <w:tcBorders>
                    <w:top w:val="single" w:sz="8" w:space="0" w:color="auto"/>
                    <w:left w:val="nil"/>
                    <w:bottom w:val="single" w:sz="8" w:space="0" w:color="auto"/>
                    <w:right w:val="single" w:sz="8" w:space="0" w:color="auto"/>
                  </w:tcBorders>
                  <w:vAlign w:val="center"/>
                  <w:hideMark/>
                </w:tcPr>
                <w:p w14:paraId="6E83483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 xml:space="preserve">Escritório do Inspetor-Geral </w:t>
                  </w:r>
                </w:p>
              </w:tc>
              <w:tc>
                <w:tcPr>
                  <w:tcW w:w="1170" w:type="dxa"/>
                  <w:tcBorders>
                    <w:top w:val="single" w:sz="8" w:space="0" w:color="auto"/>
                    <w:left w:val="nil"/>
                    <w:bottom w:val="single" w:sz="8" w:space="0" w:color="auto"/>
                    <w:right w:val="single" w:sz="8" w:space="0" w:color="auto"/>
                  </w:tcBorders>
                  <w:noWrap/>
                  <w:vAlign w:val="center"/>
                  <w:hideMark/>
                </w:tcPr>
                <w:p w14:paraId="6E83483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hAnsi="Times New Roman"/>
                      <w:color w:val="000000"/>
                      <w:szCs w:val="22"/>
                      <w:lang w:val="pt-BR" w:eastAsia="es-ES"/>
                    </w:rPr>
                    <w:t>773,4</w:t>
                  </w:r>
                </w:p>
              </w:tc>
              <w:tc>
                <w:tcPr>
                  <w:tcW w:w="1436" w:type="dxa"/>
                  <w:tcBorders>
                    <w:top w:val="single" w:sz="8" w:space="0" w:color="auto"/>
                    <w:left w:val="nil"/>
                    <w:bottom w:val="single" w:sz="8" w:space="0" w:color="auto"/>
                    <w:right w:val="single" w:sz="8" w:space="0" w:color="auto"/>
                  </w:tcBorders>
                  <w:noWrap/>
                  <w:vAlign w:val="center"/>
                  <w:hideMark/>
                </w:tcPr>
                <w:p w14:paraId="6E83484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hAnsi="Times New Roman"/>
                      <w:color w:val="000000"/>
                      <w:szCs w:val="22"/>
                      <w:lang w:val="pt-BR" w:eastAsia="es-ES"/>
                    </w:rPr>
                    <w:t>86,0</w:t>
                  </w:r>
                </w:p>
              </w:tc>
            </w:tr>
            <w:tr w:rsidR="00D230D1" w:rsidRPr="00D65A20" w14:paraId="6E834846" w14:textId="77777777">
              <w:trPr>
                <w:trHeight w:val="317"/>
              </w:trPr>
              <w:tc>
                <w:tcPr>
                  <w:tcW w:w="1094" w:type="dxa"/>
                  <w:tcBorders>
                    <w:top w:val="single" w:sz="8" w:space="0" w:color="auto"/>
                    <w:left w:val="single" w:sz="8" w:space="0" w:color="auto"/>
                    <w:bottom w:val="single" w:sz="8" w:space="0" w:color="auto"/>
                    <w:right w:val="single" w:sz="8" w:space="0" w:color="auto"/>
                  </w:tcBorders>
                  <w:noWrap/>
                  <w:vAlign w:val="center"/>
                  <w:hideMark/>
                </w:tcPr>
                <w:p w14:paraId="6E83484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134C</w:t>
                  </w:r>
                </w:p>
              </w:tc>
              <w:tc>
                <w:tcPr>
                  <w:tcW w:w="5466" w:type="dxa"/>
                  <w:tcBorders>
                    <w:top w:val="single" w:sz="8" w:space="0" w:color="auto"/>
                    <w:left w:val="single" w:sz="8" w:space="0" w:color="auto"/>
                    <w:bottom w:val="single" w:sz="8" w:space="0" w:color="auto"/>
                    <w:right w:val="single" w:sz="8" w:space="0" w:color="auto"/>
                  </w:tcBorders>
                  <w:vAlign w:val="center"/>
                  <w:hideMark/>
                </w:tcPr>
                <w:p w14:paraId="6E83484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Junta de Auditores Externos</w:t>
                  </w:r>
                </w:p>
              </w:tc>
              <w:tc>
                <w:tcPr>
                  <w:tcW w:w="1170" w:type="dxa"/>
                  <w:tcBorders>
                    <w:top w:val="single" w:sz="8" w:space="0" w:color="auto"/>
                    <w:left w:val="single" w:sz="8" w:space="0" w:color="auto"/>
                    <w:bottom w:val="single" w:sz="8" w:space="0" w:color="auto"/>
                    <w:right w:val="single" w:sz="8" w:space="0" w:color="auto"/>
                  </w:tcBorders>
                  <w:noWrap/>
                  <w:vAlign w:val="center"/>
                  <w:hideMark/>
                </w:tcPr>
                <w:p w14:paraId="6E83484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hAnsi="Times New Roman"/>
                      <w:color w:val="000000"/>
                      <w:szCs w:val="22"/>
                      <w:lang w:val="pt-BR" w:eastAsia="es-ES"/>
                    </w:rPr>
                    <w:t>74,8</w:t>
                  </w:r>
                </w:p>
              </w:tc>
              <w:tc>
                <w:tcPr>
                  <w:tcW w:w="1436" w:type="dxa"/>
                  <w:tcBorders>
                    <w:top w:val="single" w:sz="8" w:space="0" w:color="auto"/>
                    <w:left w:val="single" w:sz="8" w:space="0" w:color="auto"/>
                    <w:bottom w:val="single" w:sz="8" w:space="0" w:color="auto"/>
                    <w:right w:val="single" w:sz="8" w:space="0" w:color="auto"/>
                  </w:tcBorders>
                  <w:noWrap/>
                  <w:vAlign w:val="center"/>
                  <w:hideMark/>
                </w:tcPr>
                <w:p w14:paraId="6E83484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hAnsi="Times New Roman"/>
                      <w:color w:val="000000"/>
                      <w:szCs w:val="22"/>
                      <w:lang w:val="pt-BR"/>
                    </w:rPr>
                    <w:t>82,1</w:t>
                  </w:r>
                </w:p>
              </w:tc>
            </w:tr>
            <w:tr w:rsidR="00D230D1" w:rsidRPr="00D65A20" w14:paraId="6E83484B" w14:textId="77777777">
              <w:trPr>
                <w:trHeight w:val="317"/>
              </w:trPr>
              <w:tc>
                <w:tcPr>
                  <w:tcW w:w="1094" w:type="dxa"/>
                  <w:tcBorders>
                    <w:top w:val="single" w:sz="8" w:space="0" w:color="auto"/>
                    <w:left w:val="single" w:sz="8" w:space="0" w:color="auto"/>
                    <w:bottom w:val="single" w:sz="4" w:space="0" w:color="auto"/>
                    <w:right w:val="single" w:sz="8" w:space="0" w:color="auto"/>
                  </w:tcBorders>
                  <w:noWrap/>
                  <w:vAlign w:val="center"/>
                  <w:hideMark/>
                </w:tcPr>
                <w:p w14:paraId="6E83484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134D</w:t>
                  </w:r>
                </w:p>
              </w:tc>
              <w:tc>
                <w:tcPr>
                  <w:tcW w:w="5466" w:type="dxa"/>
                  <w:tcBorders>
                    <w:top w:val="single" w:sz="8" w:space="0" w:color="auto"/>
                    <w:left w:val="single" w:sz="8" w:space="0" w:color="auto"/>
                    <w:bottom w:val="single" w:sz="4" w:space="0" w:color="auto"/>
                    <w:right w:val="single" w:sz="8" w:space="0" w:color="auto"/>
                  </w:tcBorders>
                  <w:vAlign w:val="center"/>
                  <w:hideMark/>
                </w:tcPr>
                <w:p w14:paraId="6E834848" w14:textId="3E023185" w:rsidR="00D230D1" w:rsidRPr="00D65A20" w:rsidRDefault="007C39FD"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Ouvidoria</w:t>
                  </w:r>
                </w:p>
              </w:tc>
              <w:tc>
                <w:tcPr>
                  <w:tcW w:w="1170" w:type="dxa"/>
                  <w:tcBorders>
                    <w:top w:val="single" w:sz="8" w:space="0" w:color="auto"/>
                    <w:left w:val="single" w:sz="8" w:space="0" w:color="auto"/>
                    <w:bottom w:val="single" w:sz="4" w:space="0" w:color="auto"/>
                    <w:right w:val="single" w:sz="8" w:space="0" w:color="auto"/>
                  </w:tcBorders>
                  <w:noWrap/>
                  <w:vAlign w:val="center"/>
                  <w:hideMark/>
                </w:tcPr>
                <w:p w14:paraId="6E83484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hAnsi="Times New Roman"/>
                      <w:color w:val="000000"/>
                      <w:szCs w:val="22"/>
                      <w:lang w:val="pt-BR" w:eastAsia="es-ES"/>
                    </w:rPr>
                    <w:t>194,2</w:t>
                  </w:r>
                </w:p>
              </w:tc>
              <w:tc>
                <w:tcPr>
                  <w:tcW w:w="1436" w:type="dxa"/>
                  <w:tcBorders>
                    <w:top w:val="single" w:sz="8" w:space="0" w:color="auto"/>
                    <w:left w:val="single" w:sz="8" w:space="0" w:color="auto"/>
                    <w:bottom w:val="single" w:sz="4" w:space="0" w:color="auto"/>
                    <w:right w:val="single" w:sz="8" w:space="0" w:color="auto"/>
                  </w:tcBorders>
                  <w:noWrap/>
                  <w:vAlign w:val="center"/>
                  <w:hideMark/>
                </w:tcPr>
                <w:p w14:paraId="6E83484A"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hAnsi="Times New Roman"/>
                      <w:color w:val="000000"/>
                      <w:szCs w:val="22"/>
                      <w:lang w:val="pt-BR"/>
                    </w:rPr>
                    <w:t>85,5</w:t>
                  </w:r>
                </w:p>
              </w:tc>
            </w:tr>
            <w:tr w:rsidR="00D230D1" w:rsidRPr="00D65A20" w14:paraId="6E83484F" w14:textId="77777777">
              <w:trPr>
                <w:trHeight w:val="475"/>
              </w:trPr>
              <w:tc>
                <w:tcPr>
                  <w:tcW w:w="6560" w:type="dxa"/>
                  <w:gridSpan w:val="2"/>
                  <w:tcBorders>
                    <w:top w:val="single" w:sz="4" w:space="0" w:color="auto"/>
                    <w:left w:val="single" w:sz="4" w:space="0" w:color="auto"/>
                    <w:bottom w:val="single" w:sz="4" w:space="0" w:color="auto"/>
                    <w:right w:val="nil"/>
                  </w:tcBorders>
                  <w:noWrap/>
                  <w:vAlign w:val="center"/>
                  <w:hideMark/>
                </w:tcPr>
                <w:p w14:paraId="6E83484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eastAsia="Calibri" w:hAnsi="Times New Roman"/>
                      <w:b/>
                      <w:bCs/>
                      <w:color w:val="000000"/>
                      <w:szCs w:val="22"/>
                      <w:lang w:val="pt-BR"/>
                    </w:rPr>
                    <w:t>TOTAL</w:t>
                  </w:r>
                </w:p>
              </w:tc>
              <w:tc>
                <w:tcPr>
                  <w:tcW w:w="1170" w:type="dxa"/>
                  <w:tcBorders>
                    <w:top w:val="single" w:sz="4" w:space="0" w:color="auto"/>
                    <w:left w:val="nil"/>
                    <w:bottom w:val="single" w:sz="4" w:space="0" w:color="auto"/>
                    <w:right w:val="nil"/>
                  </w:tcBorders>
                  <w:noWrap/>
                  <w:vAlign w:val="center"/>
                  <w:hideMark/>
                </w:tcPr>
                <w:p w14:paraId="6E83484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hAnsi="Times New Roman"/>
                      <w:b/>
                      <w:bCs/>
                      <w:color w:val="000000"/>
                      <w:szCs w:val="22"/>
                      <w:lang w:val="pt-BR"/>
                    </w:rPr>
                    <w:t>79.000,0</w:t>
                  </w:r>
                </w:p>
              </w:tc>
              <w:tc>
                <w:tcPr>
                  <w:tcW w:w="1436" w:type="dxa"/>
                  <w:tcBorders>
                    <w:top w:val="single" w:sz="4" w:space="0" w:color="auto"/>
                    <w:left w:val="nil"/>
                    <w:bottom w:val="single" w:sz="4" w:space="0" w:color="auto"/>
                    <w:right w:val="single" w:sz="4" w:space="0" w:color="auto"/>
                  </w:tcBorders>
                  <w:noWrap/>
                  <w:vAlign w:val="center"/>
                  <w:hideMark/>
                </w:tcPr>
                <w:p w14:paraId="6E83484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D65A20">
                    <w:rPr>
                      <w:rFonts w:ascii="Times New Roman" w:hAnsi="Times New Roman"/>
                      <w:b/>
                      <w:bCs/>
                      <w:color w:val="000000"/>
                      <w:szCs w:val="22"/>
                      <w:lang w:val="pt-BR"/>
                    </w:rPr>
                    <w:t>7.219,3</w:t>
                  </w:r>
                </w:p>
              </w:tc>
            </w:tr>
          </w:tbl>
          <w:p w14:paraId="6E83485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r>
    </w:tbl>
    <w:p w14:paraId="6E83485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lang w:val="pt-BR"/>
        </w:rPr>
      </w:pPr>
    </w:p>
    <w:p w14:paraId="6E83485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eastAsia="Calibri" w:hAnsi="Times New Roman"/>
          <w:strike/>
          <w:color w:val="000000"/>
          <w:szCs w:val="22"/>
          <w:lang w:val="pt-BR"/>
        </w:rPr>
      </w:pPr>
      <w:r w:rsidRPr="00D65A20">
        <w:rPr>
          <w:rFonts w:ascii="Times New Roman" w:eastAsia="Calibri" w:hAnsi="Times New Roman"/>
          <w:color w:val="000000"/>
          <w:szCs w:val="22"/>
          <w:lang w:val="pt-BR"/>
        </w:rPr>
        <w:t>3.</w:t>
      </w:r>
      <w:r w:rsidRPr="00D65A20">
        <w:rPr>
          <w:rFonts w:ascii="Times New Roman" w:eastAsia="Calibri" w:hAnsi="Times New Roman"/>
          <w:color w:val="000000"/>
          <w:szCs w:val="22"/>
          <w:lang w:val="pt-BR"/>
        </w:rPr>
        <w:tab/>
        <w:t xml:space="preserve">Encarregar a Secretaria-Geral de, até 13 de novembro de 2020, apresentar ao Conselho Permanente uma proposta de distribuição de recursos por subprograma com base nos totais por </w:t>
      </w:r>
      <w:r w:rsidR="00A9590D" w:rsidRPr="00D65A20">
        <w:rPr>
          <w:rFonts w:ascii="Times New Roman" w:eastAsia="Calibri" w:hAnsi="Times New Roman"/>
          <w:color w:val="000000"/>
          <w:szCs w:val="22"/>
          <w:lang w:val="pt-BR"/>
        </w:rPr>
        <w:t>c</w:t>
      </w:r>
      <w:r w:rsidRPr="00D65A20">
        <w:rPr>
          <w:rFonts w:ascii="Times New Roman" w:eastAsia="Calibri" w:hAnsi="Times New Roman"/>
          <w:color w:val="000000"/>
          <w:szCs w:val="22"/>
          <w:lang w:val="pt-BR"/>
        </w:rPr>
        <w:t>apítulo aprovados nesta resolução.</w:t>
      </w:r>
    </w:p>
    <w:p w14:paraId="6E83485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trike/>
          <w:color w:val="000000"/>
          <w:szCs w:val="22"/>
          <w:lang w:val="pt-BR"/>
        </w:rPr>
      </w:pPr>
    </w:p>
    <w:p w14:paraId="6E83485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eastAsia="Calibri" w:hAnsi="Times New Roman"/>
          <w:color w:val="000000"/>
          <w:szCs w:val="22"/>
          <w:lang w:val="pt-BR"/>
        </w:rPr>
      </w:pPr>
      <w:r w:rsidRPr="00D65A20">
        <w:rPr>
          <w:rFonts w:ascii="Times New Roman" w:eastAsia="Calibri" w:hAnsi="Times New Roman"/>
          <w:color w:val="000000"/>
          <w:szCs w:val="22"/>
          <w:lang w:val="pt-BR"/>
        </w:rPr>
        <w:t>4.</w:t>
      </w:r>
      <w:r w:rsidRPr="00D65A20">
        <w:rPr>
          <w:rFonts w:ascii="Times New Roman" w:eastAsia="Calibri" w:hAnsi="Times New Roman"/>
          <w:color w:val="000000"/>
          <w:szCs w:val="22"/>
          <w:lang w:val="pt-BR"/>
        </w:rPr>
        <w:tab/>
        <w:t>Essa distribuição por subprogramas será considerada pela CAAP e apresentada ao Conselho Permanente para sua aprovação até 18 de novembro de 2020. A distribuição no nível de subprogramas deverá ser equilibrada e refletir as seguintes áreas específicas prioritárias dos Estados membros:</w:t>
      </w:r>
    </w:p>
    <w:p w14:paraId="6E83485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b/>
          <w:color w:val="000000"/>
          <w:szCs w:val="22"/>
          <w:lang w:val="pt-BR"/>
        </w:rPr>
      </w:pPr>
    </w:p>
    <w:p w14:paraId="6E83485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pt-BR" w:eastAsia="es-ES"/>
        </w:rPr>
      </w:pPr>
      <w:r w:rsidRPr="00D65A20">
        <w:rPr>
          <w:rFonts w:ascii="Times New Roman" w:hAnsi="Times New Roman"/>
          <w:color w:val="000000"/>
          <w:szCs w:val="22"/>
          <w:lang w:val="pt-BR" w:eastAsia="es-ES"/>
        </w:rPr>
        <w:t xml:space="preserve">- </w:t>
      </w:r>
      <w:r w:rsidRPr="00D65A20">
        <w:rPr>
          <w:rFonts w:ascii="Times New Roman" w:hAnsi="Times New Roman"/>
          <w:color w:val="000000"/>
          <w:szCs w:val="22"/>
          <w:lang w:val="pt-BR" w:eastAsia="es-ES"/>
        </w:rPr>
        <w:tab/>
        <w:t>24F</w:t>
      </w:r>
      <w:r w:rsidRPr="00D65A20">
        <w:rPr>
          <w:rFonts w:ascii="Times New Roman" w:hAnsi="Times New Roman"/>
          <w:color w:val="000000"/>
          <w:szCs w:val="22"/>
          <w:lang w:val="pt-BR" w:eastAsia="es-ES"/>
        </w:rPr>
        <w:tab/>
        <w:t>Reuniões do Conselho Permanente (Capítulo 2)</w:t>
      </w:r>
    </w:p>
    <w:p w14:paraId="6E83485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pt-BR" w:eastAsia="es-ES"/>
        </w:rPr>
      </w:pPr>
      <w:r w:rsidRPr="00D65A20">
        <w:rPr>
          <w:rFonts w:ascii="Times New Roman" w:hAnsi="Times New Roman"/>
          <w:color w:val="000000"/>
          <w:szCs w:val="22"/>
          <w:lang w:val="pt-BR" w:eastAsia="es-ES"/>
        </w:rPr>
        <w:t xml:space="preserve">- </w:t>
      </w:r>
      <w:r w:rsidRPr="00D65A20">
        <w:rPr>
          <w:rFonts w:ascii="Times New Roman" w:hAnsi="Times New Roman"/>
          <w:color w:val="000000"/>
          <w:szCs w:val="22"/>
          <w:lang w:val="pt-BR" w:eastAsia="es-ES"/>
        </w:rPr>
        <w:tab/>
        <w:t>44B</w:t>
      </w:r>
      <w:r w:rsidRPr="00D65A20">
        <w:rPr>
          <w:rFonts w:ascii="Times New Roman" w:hAnsi="Times New Roman"/>
          <w:color w:val="000000"/>
          <w:szCs w:val="22"/>
          <w:lang w:val="pt-BR" w:eastAsia="es-ES"/>
        </w:rPr>
        <w:tab/>
        <w:t>Departamento de Planejamento e Avaliação (Capítulo 4)</w:t>
      </w:r>
    </w:p>
    <w:p w14:paraId="6E83485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pt-BR" w:eastAsia="es-ES"/>
        </w:rPr>
      </w:pPr>
      <w:r w:rsidRPr="00D65A20">
        <w:rPr>
          <w:rFonts w:ascii="Times New Roman" w:hAnsi="Times New Roman"/>
          <w:color w:val="000000"/>
          <w:szCs w:val="22"/>
          <w:lang w:val="pt-BR" w:eastAsia="es-ES"/>
        </w:rPr>
        <w:t>-</w:t>
      </w:r>
      <w:r w:rsidRPr="00D65A20">
        <w:rPr>
          <w:rFonts w:ascii="Times New Roman" w:hAnsi="Times New Roman"/>
          <w:color w:val="000000"/>
          <w:szCs w:val="22"/>
          <w:lang w:val="pt-BR" w:eastAsia="es-ES"/>
        </w:rPr>
        <w:tab/>
        <w:t>44E</w:t>
      </w:r>
      <w:r w:rsidRPr="00D65A20">
        <w:rPr>
          <w:rFonts w:ascii="Times New Roman" w:hAnsi="Times New Roman"/>
          <w:color w:val="000000"/>
          <w:szCs w:val="22"/>
          <w:lang w:val="pt-BR" w:eastAsia="es-ES"/>
        </w:rPr>
        <w:tab/>
        <w:t>Departamento de Relações Externas e Institucionais (Capítulo 4)</w:t>
      </w:r>
    </w:p>
    <w:p w14:paraId="6E83485A"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pt-BR" w:eastAsia="es-ES"/>
        </w:rPr>
      </w:pPr>
      <w:r w:rsidRPr="00D65A20">
        <w:rPr>
          <w:rFonts w:ascii="Times New Roman" w:hAnsi="Times New Roman"/>
          <w:color w:val="000000"/>
          <w:szCs w:val="22"/>
          <w:lang w:val="pt-BR" w:eastAsia="es-ES"/>
        </w:rPr>
        <w:t xml:space="preserve">- </w:t>
      </w:r>
      <w:r w:rsidRPr="00D65A20">
        <w:rPr>
          <w:rFonts w:ascii="Times New Roman" w:hAnsi="Times New Roman"/>
          <w:color w:val="000000"/>
          <w:szCs w:val="22"/>
          <w:lang w:val="pt-BR" w:eastAsia="es-ES"/>
        </w:rPr>
        <w:tab/>
        <w:t>54B</w:t>
      </w:r>
      <w:r w:rsidRPr="00D65A20">
        <w:rPr>
          <w:rFonts w:ascii="Times New Roman" w:hAnsi="Times New Roman"/>
          <w:color w:val="000000"/>
          <w:szCs w:val="22"/>
          <w:lang w:val="pt-BR" w:eastAsia="es-ES"/>
        </w:rPr>
        <w:tab/>
        <w:t>Departamento de Inclusão Social (Capítulo 5)</w:t>
      </w:r>
    </w:p>
    <w:p w14:paraId="6E83485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pt-BR" w:eastAsia="es-ES"/>
        </w:rPr>
      </w:pPr>
      <w:r w:rsidRPr="00D65A20">
        <w:rPr>
          <w:rFonts w:ascii="Times New Roman" w:hAnsi="Times New Roman"/>
          <w:color w:val="000000"/>
          <w:szCs w:val="22"/>
          <w:lang w:val="pt-BR" w:eastAsia="es-ES"/>
        </w:rPr>
        <w:t>-</w:t>
      </w:r>
      <w:r w:rsidRPr="00D65A20">
        <w:rPr>
          <w:rFonts w:ascii="Times New Roman" w:hAnsi="Times New Roman"/>
          <w:color w:val="000000"/>
          <w:szCs w:val="22"/>
          <w:lang w:val="pt-BR" w:eastAsia="es-ES"/>
        </w:rPr>
        <w:tab/>
        <w:t>64C</w:t>
      </w:r>
      <w:r w:rsidRPr="00D65A20">
        <w:rPr>
          <w:rFonts w:ascii="Times New Roman" w:hAnsi="Times New Roman"/>
          <w:color w:val="000000"/>
          <w:szCs w:val="22"/>
          <w:lang w:val="pt-BR" w:eastAsia="es-ES"/>
        </w:rPr>
        <w:tab/>
        <w:t>Departamento de Cooperação e Observação Eleitoral (Capítulo 6)</w:t>
      </w:r>
    </w:p>
    <w:p w14:paraId="6E83485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14"/>
        <w:rPr>
          <w:rFonts w:ascii="Times New Roman" w:hAnsi="Times New Roman"/>
          <w:color w:val="000000"/>
          <w:szCs w:val="22"/>
          <w:lang w:val="pt-BR" w:eastAsia="es-ES"/>
        </w:rPr>
      </w:pPr>
      <w:r w:rsidRPr="00D65A20">
        <w:rPr>
          <w:rFonts w:ascii="Times New Roman" w:hAnsi="Times New Roman"/>
          <w:color w:val="000000"/>
          <w:szCs w:val="22"/>
          <w:lang w:val="pt-BR" w:eastAsia="es-ES"/>
        </w:rPr>
        <w:t xml:space="preserve">- </w:t>
      </w:r>
      <w:r w:rsidRPr="00D65A20">
        <w:rPr>
          <w:rFonts w:ascii="Times New Roman" w:hAnsi="Times New Roman"/>
          <w:color w:val="000000"/>
          <w:szCs w:val="22"/>
          <w:lang w:val="pt-BR" w:eastAsia="es-ES"/>
        </w:rPr>
        <w:tab/>
        <w:t>84G</w:t>
      </w:r>
      <w:r w:rsidRPr="00D65A20">
        <w:rPr>
          <w:rFonts w:ascii="Times New Roman" w:hAnsi="Times New Roman"/>
          <w:color w:val="000000"/>
          <w:szCs w:val="22"/>
          <w:lang w:val="pt-BR" w:eastAsia="es-ES"/>
        </w:rPr>
        <w:tab/>
        <w:t>Secretaria Executiva da Comissão Interamericana para o Controle do</w:t>
      </w:r>
    </w:p>
    <w:p w14:paraId="6E83485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firstLine="684"/>
        <w:rPr>
          <w:rFonts w:ascii="Times New Roman" w:hAnsi="Times New Roman"/>
          <w:color w:val="000000"/>
          <w:szCs w:val="22"/>
          <w:lang w:val="pt-BR" w:eastAsia="es-ES"/>
        </w:rPr>
      </w:pPr>
      <w:r w:rsidRPr="00D65A20">
        <w:rPr>
          <w:rFonts w:ascii="Times New Roman" w:hAnsi="Times New Roman"/>
          <w:color w:val="000000"/>
          <w:szCs w:val="22"/>
          <w:lang w:val="pt-BR" w:eastAsia="es-ES"/>
        </w:rPr>
        <w:t>Abuso de Drogas (CICAD) (Capítulo 8)</w:t>
      </w:r>
    </w:p>
    <w:p w14:paraId="6E83485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pt-BR" w:eastAsia="es-ES"/>
        </w:rPr>
      </w:pPr>
      <w:r w:rsidRPr="00D65A20">
        <w:rPr>
          <w:rFonts w:ascii="Times New Roman" w:hAnsi="Times New Roman"/>
          <w:color w:val="000000"/>
          <w:szCs w:val="22"/>
          <w:lang w:val="pt-BR" w:eastAsia="es-ES"/>
        </w:rPr>
        <w:t xml:space="preserve">- </w:t>
      </w:r>
      <w:r w:rsidRPr="00D65A20">
        <w:rPr>
          <w:rFonts w:ascii="Times New Roman" w:hAnsi="Times New Roman"/>
          <w:color w:val="000000"/>
          <w:szCs w:val="22"/>
          <w:lang w:val="pt-BR" w:eastAsia="es-ES"/>
        </w:rPr>
        <w:tab/>
        <w:t>94E</w:t>
      </w:r>
      <w:r w:rsidRPr="00D65A20">
        <w:rPr>
          <w:rFonts w:ascii="Times New Roman" w:hAnsi="Times New Roman"/>
          <w:color w:val="000000"/>
          <w:szCs w:val="22"/>
          <w:lang w:val="pt-BR" w:eastAsia="es-ES"/>
        </w:rPr>
        <w:tab/>
        <w:t>Secretaria de Cúpulas (Capítulo 9)</w:t>
      </w:r>
    </w:p>
    <w:p w14:paraId="6E83485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pt-BR" w:eastAsia="es-ES"/>
        </w:rPr>
      </w:pPr>
      <w:r w:rsidRPr="00D65A20">
        <w:rPr>
          <w:rFonts w:ascii="Times New Roman" w:hAnsi="Times New Roman"/>
          <w:color w:val="000000"/>
          <w:szCs w:val="22"/>
          <w:lang w:val="pt-BR" w:eastAsia="es-ES"/>
        </w:rPr>
        <w:t xml:space="preserve">- </w:t>
      </w:r>
      <w:r w:rsidRPr="00D65A20">
        <w:rPr>
          <w:rFonts w:ascii="Times New Roman" w:hAnsi="Times New Roman"/>
          <w:color w:val="000000"/>
          <w:szCs w:val="22"/>
          <w:lang w:val="pt-BR" w:eastAsia="es-ES"/>
        </w:rPr>
        <w:tab/>
        <w:t>104F</w:t>
      </w:r>
      <w:r w:rsidRPr="00D65A20">
        <w:rPr>
          <w:rFonts w:ascii="Times New Roman" w:hAnsi="Times New Roman"/>
          <w:color w:val="000000"/>
          <w:szCs w:val="22"/>
          <w:lang w:val="pt-BR" w:eastAsia="es-ES"/>
        </w:rPr>
        <w:tab/>
        <w:t>Departamento de Cooperação Jurídica (MESICIC) (Capítulo 10)</w:t>
      </w:r>
    </w:p>
    <w:p w14:paraId="6E83486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lang w:val="pt-BR"/>
        </w:rPr>
      </w:pPr>
    </w:p>
    <w:p w14:paraId="6E83486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i/>
          <w:color w:val="000000"/>
          <w:szCs w:val="22"/>
          <w:lang w:val="pt-BR"/>
        </w:rPr>
      </w:pPr>
      <w:r w:rsidRPr="00D65A20">
        <w:rPr>
          <w:rFonts w:ascii="Times New Roman" w:eastAsia="Calibri" w:hAnsi="Times New Roman"/>
          <w:szCs w:val="22"/>
          <w:lang w:val="pt-BR"/>
        </w:rPr>
        <w:t>5.</w:t>
      </w:r>
      <w:r w:rsidRPr="00D65A20">
        <w:rPr>
          <w:rFonts w:ascii="Times New Roman" w:eastAsia="Calibri" w:hAnsi="Times New Roman"/>
          <w:szCs w:val="22"/>
          <w:lang w:val="pt-BR"/>
        </w:rPr>
        <w:tab/>
        <w:t xml:space="preserve">Encarregar a Secretaria-Geral de utilizar os recursos da Organização para cumprir os mandatos dos órgãos políticos, em conformidade com o </w:t>
      </w:r>
      <w:r w:rsidR="00A9590D" w:rsidRPr="00D65A20">
        <w:rPr>
          <w:rFonts w:ascii="Times New Roman" w:eastAsia="Calibri" w:hAnsi="Times New Roman"/>
          <w:szCs w:val="22"/>
          <w:lang w:val="pt-BR"/>
        </w:rPr>
        <w:t>a</w:t>
      </w:r>
      <w:r w:rsidRPr="00D65A20">
        <w:rPr>
          <w:rFonts w:ascii="Times New Roman" w:eastAsia="Calibri" w:hAnsi="Times New Roman"/>
          <w:szCs w:val="22"/>
          <w:lang w:val="pt-BR"/>
        </w:rPr>
        <w:t>rtigo 107 da Carta da Organização dos Estados Americanos.</w:t>
      </w:r>
    </w:p>
    <w:p w14:paraId="6E83486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86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Calibri" w:hAnsi="Times New Roman"/>
          <w:szCs w:val="22"/>
          <w:lang w:val="pt-BR"/>
        </w:rPr>
      </w:pPr>
      <w:r w:rsidRPr="00D65A20">
        <w:rPr>
          <w:rFonts w:ascii="Times New Roman" w:eastAsia="Calibri" w:hAnsi="Times New Roman"/>
          <w:szCs w:val="22"/>
          <w:lang w:val="pt-BR"/>
        </w:rPr>
        <w:t>6.</w:t>
      </w:r>
      <w:r w:rsidRPr="00D65A20">
        <w:rPr>
          <w:rFonts w:ascii="Times New Roman" w:eastAsia="Calibri" w:hAnsi="Times New Roman"/>
          <w:szCs w:val="22"/>
          <w:lang w:val="pt-BR"/>
        </w:rPr>
        <w:tab/>
        <w:t>Recordar o artigo 36 do Regulamento do Conselho Permanente, que estabelece que as sessões ordinárias devem ser realizadas na primeira e na terceira quarta-feira de cada mês, e instar a Presidência do Conselho Permanente a que racionalize a programação de reuniões e a elaboração de sua agenda, levando em conta a necessidade de respeitar estritamente as dotações orçamentárias.</w:t>
      </w:r>
    </w:p>
    <w:p w14:paraId="6E83486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Calibri" w:hAnsi="Times New Roman"/>
          <w:szCs w:val="22"/>
          <w:lang w:val="pt-BR"/>
        </w:rPr>
      </w:pPr>
      <w:r w:rsidRPr="00D65A20">
        <w:rPr>
          <w:rFonts w:ascii="Times New Roman" w:eastAsia="Calibri" w:hAnsi="Times New Roman"/>
          <w:szCs w:val="22"/>
          <w:lang w:val="pt-BR"/>
        </w:rPr>
        <w:lastRenderedPageBreak/>
        <w:t>7.</w:t>
      </w:r>
      <w:r w:rsidRPr="00D65A20">
        <w:rPr>
          <w:rFonts w:ascii="Times New Roman" w:eastAsia="Calibri" w:hAnsi="Times New Roman"/>
          <w:szCs w:val="22"/>
          <w:lang w:val="pt-BR"/>
        </w:rPr>
        <w:tab/>
        <w:t>Autorizar a Secretaria-Geral a que utilize, em acréscimo à dotação orçamentária para tal fim no orçamento-programa 2021, até US$ 174.47</w:t>
      </w:r>
      <w:r w:rsidR="00A9590D" w:rsidRPr="00D65A20">
        <w:rPr>
          <w:rFonts w:ascii="Times New Roman" w:eastAsia="Calibri" w:hAnsi="Times New Roman"/>
          <w:szCs w:val="22"/>
          <w:lang w:val="pt-BR"/>
        </w:rPr>
        <w:t>5</w:t>
      </w:r>
      <w:r w:rsidRPr="00D65A20">
        <w:rPr>
          <w:rFonts w:ascii="Times New Roman" w:eastAsia="Calibri" w:hAnsi="Times New Roman"/>
          <w:szCs w:val="22"/>
          <w:lang w:val="pt-BR"/>
        </w:rPr>
        <w:t xml:space="preserve"> das economias obtidas na execução do orçamento 2021, caso o </w:t>
      </w:r>
      <w:r w:rsidRPr="00D65A20">
        <w:rPr>
          <w:rFonts w:ascii="Times New Roman" w:eastAsia="Calibri" w:hAnsi="Times New Roman"/>
          <w:bCs/>
          <w:szCs w:val="22"/>
          <w:lang w:val="pt-BR"/>
        </w:rPr>
        <w:t>Quinquagésimo Primeiro</w:t>
      </w:r>
      <w:r w:rsidRPr="00D65A20">
        <w:rPr>
          <w:rFonts w:ascii="Times New Roman" w:eastAsia="Calibri" w:hAnsi="Times New Roman"/>
          <w:szCs w:val="22"/>
          <w:lang w:val="pt-BR"/>
        </w:rPr>
        <w:t xml:space="preserve"> Período Ordinário de Sessões da Assembleia Geral seja realizado na sede, em conformidade com o </w:t>
      </w:r>
      <w:r w:rsidR="00A9590D" w:rsidRPr="00D65A20">
        <w:rPr>
          <w:rFonts w:ascii="Times New Roman" w:eastAsia="Calibri" w:hAnsi="Times New Roman"/>
          <w:szCs w:val="22"/>
          <w:lang w:val="pt-BR"/>
        </w:rPr>
        <w:t>a</w:t>
      </w:r>
      <w:r w:rsidRPr="00D65A20">
        <w:rPr>
          <w:rFonts w:ascii="Times New Roman" w:eastAsia="Calibri" w:hAnsi="Times New Roman"/>
          <w:szCs w:val="22"/>
          <w:lang w:val="pt-BR"/>
        </w:rPr>
        <w:t>rtigo 57 da Carta da Organização dos Estados Americanos.</w:t>
      </w:r>
    </w:p>
    <w:p w14:paraId="6E834866" w14:textId="77777777" w:rsidR="00A9590D" w:rsidRPr="00D65A20" w:rsidRDefault="00A9590D" w:rsidP="00E404F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86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Calibri" w:hAnsi="Times New Roman"/>
          <w:szCs w:val="22"/>
          <w:lang w:val="pt-BR"/>
        </w:rPr>
      </w:pPr>
      <w:r w:rsidRPr="00D65A20">
        <w:rPr>
          <w:rFonts w:ascii="Times New Roman" w:eastAsia="Calibri" w:hAnsi="Times New Roman"/>
          <w:szCs w:val="22"/>
          <w:lang w:val="pt-BR"/>
        </w:rPr>
        <w:t>8.</w:t>
      </w:r>
      <w:r w:rsidRPr="00D65A20">
        <w:rPr>
          <w:rFonts w:ascii="Times New Roman" w:eastAsia="Calibri" w:hAnsi="Times New Roman"/>
          <w:szCs w:val="22"/>
          <w:lang w:val="pt-BR"/>
        </w:rPr>
        <w:tab/>
        <w:t xml:space="preserve">Uma estimativa detalhada da despesa prevista, de até US$ 174.475, deverá ser apresentada antecipadamente ao Conselho Permanente, por intermédio da CAAP, caso seja necessário usar esses recursos. A Secretaria-Geral também prestará contas do uso dos recursos, dentro do prazo de 90 dias após o </w:t>
      </w:r>
      <w:r w:rsidRPr="00D65A20">
        <w:rPr>
          <w:rFonts w:ascii="Times New Roman" w:eastAsia="Calibri" w:hAnsi="Times New Roman"/>
          <w:bCs/>
          <w:szCs w:val="22"/>
          <w:lang w:val="pt-BR"/>
        </w:rPr>
        <w:t>Quinquagésimo Primeiro</w:t>
      </w:r>
      <w:r w:rsidRPr="00D65A20">
        <w:rPr>
          <w:rFonts w:ascii="Times New Roman" w:eastAsia="Calibri" w:hAnsi="Times New Roman"/>
          <w:szCs w:val="22"/>
          <w:lang w:val="pt-BR"/>
        </w:rPr>
        <w:t xml:space="preserve"> Período Ordinário de Sessões da Assembleia Geral, caso este seja realizado na sede.</w:t>
      </w:r>
    </w:p>
    <w:p w14:paraId="6E83486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869" w14:textId="77777777" w:rsidR="00D230D1" w:rsidRPr="00D65A20" w:rsidRDefault="00D230D1" w:rsidP="00AA4399">
      <w:pPr>
        <w:widowControl/>
        <w:suppressAutoHyphens/>
        <w:rPr>
          <w:rFonts w:ascii="Times New Roman" w:hAnsi="Times New Roman"/>
          <w:color w:val="000000"/>
          <w:szCs w:val="22"/>
          <w:lang w:val="pt-BR" w:eastAsia="es-ES"/>
        </w:rPr>
      </w:pPr>
      <w:r w:rsidRPr="00D65A20">
        <w:rPr>
          <w:rFonts w:ascii="Times New Roman" w:hAnsi="Times New Roman"/>
          <w:color w:val="000000"/>
          <w:szCs w:val="22"/>
          <w:lang w:val="pt-BR" w:eastAsia="es-ES"/>
        </w:rPr>
        <w:tab/>
        <w:t>9.</w:t>
      </w:r>
      <w:r w:rsidRPr="00D65A20">
        <w:rPr>
          <w:rFonts w:ascii="Times New Roman" w:hAnsi="Times New Roman"/>
          <w:color w:val="000000"/>
          <w:szCs w:val="22"/>
          <w:lang w:val="pt-BR" w:eastAsia="es-ES"/>
        </w:rPr>
        <w:tab/>
      </w:r>
      <w:r w:rsidRPr="00D65A20">
        <w:rPr>
          <w:rFonts w:ascii="Times New Roman" w:eastAsia="Calibri" w:hAnsi="Times New Roman"/>
          <w:szCs w:val="22"/>
          <w:lang w:val="pt-BR"/>
        </w:rPr>
        <w:t>Autorizar a Secretaria-Geral a que utilize até US$ 30.000 das economias obtidas na execução do orçamento de 2021, caso se realize a Reunião de Consulta de Ministros das Relações Exteriores na sede em 2021</w:t>
      </w:r>
      <w:r w:rsidRPr="00D65A20">
        <w:rPr>
          <w:rFonts w:ascii="Times New Roman" w:hAnsi="Times New Roman"/>
          <w:color w:val="000000"/>
          <w:szCs w:val="22"/>
          <w:lang w:val="pt-BR" w:eastAsia="es-ES"/>
        </w:rPr>
        <w:t>.</w:t>
      </w:r>
    </w:p>
    <w:p w14:paraId="6E83486A" w14:textId="77777777" w:rsidR="00D230D1" w:rsidRPr="00D65A20" w:rsidRDefault="00D230D1" w:rsidP="00AA4399">
      <w:pPr>
        <w:widowControl/>
        <w:suppressAutoHyphens/>
        <w:rPr>
          <w:rFonts w:ascii="Times New Roman" w:hAnsi="Times New Roman"/>
          <w:color w:val="000000"/>
          <w:szCs w:val="22"/>
          <w:lang w:val="pt-BR" w:eastAsia="es-ES"/>
        </w:rPr>
      </w:pPr>
    </w:p>
    <w:p w14:paraId="6E83486B" w14:textId="77777777" w:rsidR="00D230D1" w:rsidRPr="00D65A20" w:rsidRDefault="00D230D1" w:rsidP="00AA4399">
      <w:pPr>
        <w:widowControl/>
        <w:suppressAutoHyphens/>
        <w:rPr>
          <w:rFonts w:ascii="Times New Roman" w:hAnsi="Times New Roman"/>
          <w:color w:val="000000"/>
          <w:szCs w:val="22"/>
          <w:lang w:val="pt-BR" w:eastAsia="es-ES"/>
        </w:rPr>
      </w:pPr>
      <w:r w:rsidRPr="00D65A20">
        <w:rPr>
          <w:rFonts w:ascii="Times New Roman" w:hAnsi="Times New Roman"/>
          <w:color w:val="000000"/>
          <w:szCs w:val="22"/>
          <w:lang w:val="pt-BR" w:eastAsia="es-ES"/>
        </w:rPr>
        <w:tab/>
        <w:t>10.</w:t>
      </w:r>
      <w:r w:rsidRPr="00D65A20">
        <w:rPr>
          <w:rFonts w:ascii="Times New Roman" w:hAnsi="Times New Roman"/>
          <w:color w:val="000000"/>
          <w:szCs w:val="22"/>
          <w:lang w:val="pt-BR" w:eastAsia="es-ES"/>
        </w:rPr>
        <w:tab/>
        <w:t xml:space="preserve">Caso seja necessário usar esses recursos, deverá apresentar-se antecipadamente ao </w:t>
      </w:r>
      <w:r w:rsidRPr="00D65A20">
        <w:rPr>
          <w:rFonts w:ascii="Times New Roman" w:eastAsia="Calibri" w:hAnsi="Times New Roman"/>
          <w:szCs w:val="22"/>
          <w:lang w:val="pt-BR"/>
        </w:rPr>
        <w:t>Conselho Permanente, por intermédio da CAAP,</w:t>
      </w:r>
      <w:r w:rsidRPr="00D65A20">
        <w:rPr>
          <w:rFonts w:ascii="Times New Roman" w:hAnsi="Times New Roman"/>
          <w:color w:val="000000"/>
          <w:szCs w:val="22"/>
          <w:lang w:val="pt-BR" w:eastAsia="es-ES"/>
        </w:rPr>
        <w:t xml:space="preserve"> u</w:t>
      </w:r>
      <w:r w:rsidRPr="00D65A20">
        <w:rPr>
          <w:rFonts w:ascii="Times New Roman" w:eastAsia="Calibri" w:hAnsi="Times New Roman"/>
          <w:szCs w:val="22"/>
          <w:lang w:val="pt-BR"/>
        </w:rPr>
        <w:t>ma estimativa detalhada da despesa prevista de até US$ 30.000. A Secretaria-Geral também prestará contas do uso desses recursos dentro do prazo de 45 dias após o término da referida Reunião de Consulta de Ministros das Relações Exteriores</w:t>
      </w:r>
      <w:r w:rsidRPr="00D65A20">
        <w:rPr>
          <w:rFonts w:ascii="Times New Roman" w:hAnsi="Times New Roman"/>
          <w:color w:val="000000"/>
          <w:szCs w:val="22"/>
          <w:lang w:val="pt-BR" w:eastAsia="es-ES"/>
        </w:rPr>
        <w:t>.</w:t>
      </w:r>
      <w:r w:rsidRPr="00D65A20">
        <w:rPr>
          <w:rFonts w:ascii="Times New Roman" w:hAnsi="Times New Roman"/>
          <w:i/>
          <w:iCs/>
          <w:color w:val="000000"/>
          <w:szCs w:val="22"/>
          <w:lang w:val="pt-BR" w:eastAsia="es-ES"/>
        </w:rPr>
        <w:t xml:space="preserve"> </w:t>
      </w:r>
    </w:p>
    <w:p w14:paraId="6E83486C" w14:textId="77777777" w:rsidR="00D230D1" w:rsidRPr="00D65A20" w:rsidRDefault="00D230D1" w:rsidP="00AA4399">
      <w:pPr>
        <w:widowControl/>
        <w:suppressAutoHyphens/>
        <w:rPr>
          <w:rFonts w:ascii="Times New Roman" w:hAnsi="Times New Roman"/>
          <w:color w:val="000000"/>
          <w:szCs w:val="22"/>
          <w:lang w:val="pt-BR" w:eastAsia="es-ES"/>
        </w:rPr>
      </w:pPr>
    </w:p>
    <w:p w14:paraId="6E83486D" w14:textId="304074D3" w:rsidR="00D230D1" w:rsidRPr="00D65A20" w:rsidRDefault="00D230D1" w:rsidP="00AA4399">
      <w:pPr>
        <w:widowControl/>
        <w:suppressAutoHyphens/>
        <w:rPr>
          <w:rFonts w:ascii="Times New Roman" w:hAnsi="Times New Roman"/>
          <w:i/>
          <w:iCs/>
          <w:color w:val="000000"/>
          <w:szCs w:val="22"/>
          <w:lang w:val="pt-BR" w:eastAsia="es-ES"/>
        </w:rPr>
      </w:pPr>
      <w:r w:rsidRPr="00D65A20">
        <w:rPr>
          <w:rFonts w:ascii="Times New Roman" w:hAnsi="Times New Roman"/>
          <w:color w:val="000000"/>
          <w:szCs w:val="22"/>
          <w:lang w:val="pt-BR" w:eastAsia="es-ES"/>
        </w:rPr>
        <w:tab/>
        <w:t>11.</w:t>
      </w:r>
      <w:r w:rsidRPr="00D65A20">
        <w:rPr>
          <w:rFonts w:ascii="Times New Roman" w:hAnsi="Times New Roman"/>
          <w:color w:val="000000"/>
          <w:szCs w:val="22"/>
          <w:lang w:val="pt-BR" w:eastAsia="es-ES"/>
        </w:rPr>
        <w:tab/>
        <w:t xml:space="preserve">Encarregar a Secretaria-Geral de identificar economias em um montante de US$ 20.000 no decorrer do primeiro semestre de 2021, a fim de redirecionar esse valor para o financiamento dos trabalhos do Grupo de Trabalho Encarregado de Analisar os Relatórios Nacionais Previstos no Protocolo de São Salvador, instituído pela resolução AG/RES. 2908 (XLVII-O/17), no subprograma 54B do Capítulo 5. Essa instrução aplicar-se-á somente ao ano fiscal de 2021. </w:t>
      </w:r>
    </w:p>
    <w:p w14:paraId="6E83486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86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87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r w:rsidRPr="00D65A20">
        <w:rPr>
          <w:rFonts w:ascii="Times New Roman" w:eastAsia="Calibri" w:hAnsi="Times New Roman"/>
          <w:szCs w:val="22"/>
          <w:lang w:val="pt-BR"/>
        </w:rPr>
        <w:t>III.</w:t>
      </w:r>
      <w:r w:rsidRPr="00D65A20">
        <w:rPr>
          <w:rFonts w:ascii="Times New Roman" w:eastAsia="Calibri" w:hAnsi="Times New Roman"/>
          <w:szCs w:val="22"/>
          <w:lang w:val="pt-BR"/>
        </w:rPr>
        <w:tab/>
      </w:r>
      <w:r w:rsidRPr="00D65A20">
        <w:rPr>
          <w:rFonts w:ascii="Times New Roman" w:eastAsia="Calibri" w:hAnsi="Times New Roman"/>
          <w:szCs w:val="22"/>
          <w:u w:val="single"/>
          <w:lang w:val="pt-BR"/>
        </w:rPr>
        <w:t>PRESTAÇÃO DE CONTAS AOS ESTADOS MEMBROS</w:t>
      </w:r>
    </w:p>
    <w:p w14:paraId="6E83487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pt-BR"/>
        </w:rPr>
      </w:pPr>
    </w:p>
    <w:p w14:paraId="6E834872" w14:textId="449871CE"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pt-BR" w:eastAsia="es-ES"/>
        </w:rPr>
      </w:pPr>
      <w:r w:rsidRPr="00D65A20">
        <w:rPr>
          <w:rFonts w:ascii="Times New Roman" w:eastAsia="Calibri" w:hAnsi="Times New Roman"/>
          <w:szCs w:val="22"/>
          <w:lang w:val="pt-BR"/>
        </w:rPr>
        <w:t>1.</w:t>
      </w:r>
      <w:r w:rsidRPr="00D65A20">
        <w:rPr>
          <w:rFonts w:ascii="Times New Roman" w:eastAsia="Calibri" w:hAnsi="Times New Roman"/>
          <w:szCs w:val="22"/>
          <w:lang w:val="pt-BR"/>
        </w:rPr>
        <w:tab/>
        <w:t xml:space="preserve">Encarregar a Secretaria-Geral de apresentar à CAAP, até 30 dias depois da aprovação do orçamento-programa da Organização, um calendário com datas específicas nas quais serão apresentados os relatórios, as estratégias e os planos mencionados nesta resolução, de forma que os Estados membros possam corroborar oportunamente as informações que lhes sejam prestadas e acompanhar de maneira eficaz o cumprimento dos mandatos e a execução orçamentária do Fundo Ordinário </w:t>
      </w:r>
      <w:r w:rsidRPr="00D65A20">
        <w:rPr>
          <w:rFonts w:ascii="Times New Roman" w:eastAsia="Calibri" w:hAnsi="Times New Roman"/>
          <w:bCs/>
          <w:szCs w:val="22"/>
          <w:lang w:val="pt-BR"/>
        </w:rPr>
        <w:t>e dos fundos voluntários, específicos, fiduciários e de serviços, incluindo a RCI.</w:t>
      </w:r>
      <w:r w:rsidRPr="00D65A20">
        <w:rPr>
          <w:rFonts w:ascii="Times New Roman" w:hAnsi="Times New Roman"/>
          <w:color w:val="000000"/>
          <w:szCs w:val="22"/>
          <w:lang w:val="pt-BR" w:eastAsia="es-ES"/>
        </w:rPr>
        <w:t xml:space="preserve"> </w:t>
      </w:r>
    </w:p>
    <w:p w14:paraId="6E83487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pt-BR" w:eastAsia="es-ES"/>
        </w:rPr>
      </w:pPr>
    </w:p>
    <w:p w14:paraId="6E83487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pt-BR" w:eastAsia="es-ES"/>
        </w:rPr>
      </w:pPr>
    </w:p>
    <w:p w14:paraId="6E83487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u w:val="single"/>
          <w:lang w:val="pt-BR"/>
        </w:rPr>
      </w:pPr>
      <w:r w:rsidRPr="00D65A20">
        <w:rPr>
          <w:rFonts w:ascii="Times New Roman" w:eastAsia="Calibri" w:hAnsi="Times New Roman"/>
          <w:szCs w:val="22"/>
          <w:lang w:val="pt-BR"/>
        </w:rPr>
        <w:t>IV.</w:t>
      </w:r>
      <w:r w:rsidRPr="00D65A20">
        <w:rPr>
          <w:rFonts w:ascii="Times New Roman" w:eastAsia="Calibri" w:hAnsi="Times New Roman"/>
          <w:szCs w:val="22"/>
          <w:lang w:val="pt-BR"/>
        </w:rPr>
        <w:tab/>
      </w:r>
      <w:r w:rsidRPr="00D65A20">
        <w:rPr>
          <w:rFonts w:ascii="Times New Roman" w:eastAsia="Calibri" w:hAnsi="Times New Roman"/>
          <w:szCs w:val="22"/>
          <w:u w:val="single"/>
          <w:lang w:val="pt-BR"/>
        </w:rPr>
        <w:t xml:space="preserve">DISPOSIÇÕES ADMINISTRATIVAS E ORÇAMENTÁRIAS </w:t>
      </w:r>
    </w:p>
    <w:p w14:paraId="6E83487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87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szCs w:val="22"/>
          <w:u w:val="single"/>
          <w:lang w:val="pt-BR"/>
        </w:rPr>
      </w:pPr>
      <w:r w:rsidRPr="00D65A20">
        <w:rPr>
          <w:rFonts w:ascii="Times New Roman" w:eastAsia="Calibri" w:hAnsi="Times New Roman"/>
          <w:b/>
          <w:szCs w:val="22"/>
          <w:lang w:val="pt-BR"/>
        </w:rPr>
        <w:tab/>
      </w:r>
      <w:r w:rsidRPr="00D65A20">
        <w:rPr>
          <w:rFonts w:ascii="Times New Roman" w:eastAsia="Calibri" w:hAnsi="Times New Roman"/>
          <w:szCs w:val="22"/>
          <w:lang w:val="pt-BR"/>
        </w:rPr>
        <w:t>1.</w:t>
      </w:r>
      <w:r w:rsidRPr="00D65A20">
        <w:rPr>
          <w:rFonts w:ascii="Times New Roman" w:eastAsia="Calibri" w:hAnsi="Times New Roman"/>
          <w:szCs w:val="22"/>
          <w:lang w:val="pt-BR"/>
        </w:rPr>
        <w:tab/>
      </w:r>
      <w:r w:rsidRPr="00D65A20">
        <w:rPr>
          <w:rFonts w:ascii="Times New Roman" w:eastAsia="Calibri" w:hAnsi="Times New Roman"/>
          <w:szCs w:val="22"/>
          <w:u w:val="single"/>
          <w:lang w:val="pt-BR"/>
        </w:rPr>
        <w:t xml:space="preserve">Orçamento-programa para o ciclo orçamentário </w:t>
      </w:r>
      <w:r w:rsidRPr="00D65A20">
        <w:rPr>
          <w:rFonts w:ascii="Times New Roman" w:eastAsia="Calibri" w:hAnsi="Times New Roman"/>
          <w:bCs/>
          <w:szCs w:val="22"/>
          <w:u w:val="single"/>
          <w:lang w:val="pt-BR"/>
        </w:rPr>
        <w:t>2022</w:t>
      </w:r>
    </w:p>
    <w:p w14:paraId="6E83487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u w:val="single"/>
          <w:lang w:val="pt-BR"/>
        </w:rPr>
      </w:pPr>
    </w:p>
    <w:p w14:paraId="6E834879" w14:textId="77777777" w:rsidR="00D230D1" w:rsidRPr="00D65A20" w:rsidRDefault="00D230D1" w:rsidP="00AA4399">
      <w:pPr>
        <w:widowControl/>
        <w:numPr>
          <w:ilvl w:val="0"/>
          <w:numId w:val="39"/>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szCs w:val="22"/>
          <w:lang w:val="pt-BR"/>
        </w:rPr>
      </w:pPr>
      <w:r w:rsidRPr="00D65A20">
        <w:rPr>
          <w:rFonts w:ascii="Times New Roman" w:eastAsia="Calibri" w:hAnsi="Times New Roman"/>
          <w:szCs w:val="22"/>
          <w:lang w:val="pt-BR"/>
        </w:rPr>
        <w:t xml:space="preserve">Encarregar a Secretaria-Geral de apresentar à Comissão Preparatória </w:t>
      </w:r>
      <w:r w:rsidR="00830029" w:rsidRPr="00D65A20">
        <w:rPr>
          <w:rFonts w:ascii="Times New Roman" w:eastAsia="Calibri" w:hAnsi="Times New Roman"/>
          <w:szCs w:val="22"/>
          <w:lang w:val="pt-BR"/>
        </w:rPr>
        <w:t xml:space="preserve">da Assembleia Geral </w:t>
      </w:r>
      <w:r w:rsidRPr="00D65A20">
        <w:rPr>
          <w:rFonts w:ascii="Times New Roman" w:eastAsia="Calibri" w:hAnsi="Times New Roman"/>
          <w:szCs w:val="22"/>
          <w:lang w:val="pt-BR"/>
        </w:rPr>
        <w:t>um projeto de nível orçamentário global para 2022, bem como um nível orçamentário global provisório para 2023, incluindo o ajuste por custo de vida e inflação, conforme seja adequado, em conformidade com as normas vigentes.</w:t>
      </w:r>
    </w:p>
    <w:p w14:paraId="6E83487A"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87B" w14:textId="77777777" w:rsidR="00D230D1" w:rsidRPr="00D65A20" w:rsidRDefault="00D230D1" w:rsidP="00AA4399">
      <w:pPr>
        <w:widowControl/>
        <w:numPr>
          <w:ilvl w:val="0"/>
          <w:numId w:val="40"/>
        </w:numPr>
        <w:tabs>
          <w:tab w:val="clear" w:pos="720"/>
          <w:tab w:val="clear" w:pos="1440"/>
          <w:tab w:val="clear" w:pos="2160"/>
          <w:tab w:val="clear" w:pos="2880"/>
          <w:tab w:val="clear" w:pos="3600"/>
          <w:tab w:val="clear" w:pos="4320"/>
          <w:tab w:val="clear" w:pos="5760"/>
          <w:tab w:val="clear" w:pos="6480"/>
          <w:tab w:val="clear" w:pos="7200"/>
          <w:tab w:val="clear" w:pos="7920"/>
        </w:tabs>
        <w:ind w:left="2127" w:hanging="709"/>
        <w:rPr>
          <w:rFonts w:ascii="Times New Roman" w:eastAsia="Calibri" w:hAnsi="Times New Roman"/>
          <w:i/>
          <w:szCs w:val="22"/>
          <w:lang w:val="pt-BR"/>
        </w:rPr>
      </w:pPr>
      <w:r w:rsidRPr="00D65A20">
        <w:rPr>
          <w:rFonts w:ascii="Times New Roman" w:eastAsia="Calibri" w:hAnsi="Times New Roman"/>
          <w:szCs w:val="22"/>
          <w:lang w:val="pt-BR"/>
        </w:rPr>
        <w:lastRenderedPageBreak/>
        <w:t>Determinar que a despesa total para a rubrica de pessoal (</w:t>
      </w:r>
      <w:r w:rsidR="00A9590D" w:rsidRPr="00D65A20">
        <w:rPr>
          <w:rFonts w:ascii="Times New Roman" w:eastAsia="Calibri" w:hAnsi="Times New Roman"/>
          <w:szCs w:val="22"/>
          <w:lang w:val="pt-BR"/>
        </w:rPr>
        <w:t>o</w:t>
      </w:r>
      <w:r w:rsidRPr="00D65A20">
        <w:rPr>
          <w:rFonts w:ascii="Times New Roman" w:eastAsia="Calibri" w:hAnsi="Times New Roman"/>
          <w:szCs w:val="22"/>
          <w:lang w:val="pt-BR"/>
        </w:rPr>
        <w:t xml:space="preserve">bjeto 1 – </w:t>
      </w:r>
      <w:r w:rsidR="00A9590D" w:rsidRPr="00D65A20">
        <w:rPr>
          <w:rFonts w:ascii="Times New Roman" w:eastAsia="Calibri" w:hAnsi="Times New Roman"/>
          <w:szCs w:val="22"/>
          <w:lang w:val="pt-BR"/>
        </w:rPr>
        <w:t>a</w:t>
      </w:r>
      <w:r w:rsidRPr="00D65A20">
        <w:rPr>
          <w:rFonts w:ascii="Times New Roman" w:eastAsia="Calibri" w:hAnsi="Times New Roman"/>
          <w:bCs/>
          <w:szCs w:val="22"/>
          <w:lang w:val="pt-BR"/>
        </w:rPr>
        <w:t>rtigo 91 das Normas Gerais</w:t>
      </w:r>
      <w:r w:rsidRPr="00D65A20">
        <w:rPr>
          <w:rFonts w:ascii="Times New Roman" w:eastAsia="Calibri" w:hAnsi="Times New Roman"/>
          <w:szCs w:val="22"/>
          <w:lang w:val="pt-BR"/>
        </w:rPr>
        <w:t>) não exceda 64,38% do valor provisório do nível orçamentário global do Fundo Ordinário para 2022, incluindo qualquer aumento regulamentar que seja necessário.</w:t>
      </w:r>
    </w:p>
    <w:p w14:paraId="6E83487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87D" w14:textId="77777777" w:rsidR="00D230D1" w:rsidRPr="00D65A20" w:rsidRDefault="00D230D1" w:rsidP="00AA4399">
      <w:pPr>
        <w:widowControl/>
        <w:numPr>
          <w:ilvl w:val="0"/>
          <w:numId w:val="40"/>
        </w:numPr>
        <w:tabs>
          <w:tab w:val="clear" w:pos="720"/>
          <w:tab w:val="clear" w:pos="1440"/>
          <w:tab w:val="clear" w:pos="2160"/>
          <w:tab w:val="clear" w:pos="2880"/>
          <w:tab w:val="clear" w:pos="3600"/>
          <w:tab w:val="clear" w:pos="4320"/>
          <w:tab w:val="clear" w:pos="5760"/>
          <w:tab w:val="clear" w:pos="6480"/>
          <w:tab w:val="clear" w:pos="7200"/>
          <w:tab w:val="clear" w:pos="7920"/>
        </w:tabs>
        <w:ind w:left="2127" w:hanging="709"/>
        <w:rPr>
          <w:rFonts w:ascii="Times New Roman" w:eastAsia="Calibri" w:hAnsi="Times New Roman"/>
          <w:i/>
          <w:szCs w:val="22"/>
          <w:lang w:val="pt-BR"/>
        </w:rPr>
      </w:pPr>
      <w:r w:rsidRPr="00D65A20">
        <w:rPr>
          <w:rFonts w:ascii="Times New Roman" w:eastAsia="Calibri" w:hAnsi="Times New Roman"/>
          <w:szCs w:val="22"/>
          <w:lang w:val="pt-BR"/>
        </w:rPr>
        <w:t xml:space="preserve">O Conselho Permanente estará autorizado, </w:t>
      </w:r>
      <w:r w:rsidRPr="00D65A20">
        <w:rPr>
          <w:rFonts w:ascii="Times New Roman" w:eastAsia="Calibri" w:hAnsi="Times New Roman"/>
          <w:bCs/>
          <w:szCs w:val="22"/>
          <w:lang w:val="pt-BR"/>
        </w:rPr>
        <w:t>de modo excepcional,</w:t>
      </w:r>
      <w:r w:rsidRPr="00D65A20">
        <w:rPr>
          <w:rFonts w:ascii="Times New Roman" w:eastAsia="Calibri" w:hAnsi="Times New Roman"/>
          <w:szCs w:val="22"/>
          <w:lang w:val="pt-BR"/>
        </w:rPr>
        <w:t xml:space="preserve"> a </w:t>
      </w:r>
      <w:r w:rsidRPr="00D65A20">
        <w:rPr>
          <w:rFonts w:ascii="Times New Roman" w:eastAsia="Calibri" w:hAnsi="Times New Roman"/>
          <w:bCs/>
          <w:szCs w:val="22"/>
          <w:lang w:val="pt-BR"/>
        </w:rPr>
        <w:t>proceder ao ajuste —</w:t>
      </w:r>
      <w:r w:rsidRPr="00D65A20">
        <w:rPr>
          <w:rFonts w:ascii="Times New Roman" w:eastAsia="Calibri" w:hAnsi="Times New Roman"/>
          <w:szCs w:val="22"/>
          <w:lang w:val="pt-BR"/>
        </w:rPr>
        <w:t xml:space="preserve"> a seu critério e com o devido assessoramento da CAAP — </w:t>
      </w:r>
      <w:r w:rsidRPr="00D65A20">
        <w:rPr>
          <w:rFonts w:ascii="Times New Roman" w:eastAsia="Calibri" w:hAnsi="Times New Roman"/>
          <w:bCs/>
          <w:szCs w:val="22"/>
          <w:lang w:val="pt-BR"/>
        </w:rPr>
        <w:t>da</w:t>
      </w:r>
      <w:r w:rsidRPr="00D65A20">
        <w:rPr>
          <w:rFonts w:ascii="Times New Roman" w:eastAsia="Calibri" w:hAnsi="Times New Roman"/>
          <w:szCs w:val="22"/>
          <w:lang w:val="pt-BR"/>
        </w:rPr>
        <w:t xml:space="preserve"> porcentagem constante do parágrafo anterior, em resposta a mudanças nos fatores econômicos e financeiros que </w:t>
      </w:r>
      <w:r w:rsidRPr="00D65A20">
        <w:rPr>
          <w:rFonts w:ascii="Times New Roman" w:eastAsia="Calibri" w:hAnsi="Times New Roman"/>
          <w:bCs/>
          <w:szCs w:val="22"/>
          <w:lang w:val="pt-BR"/>
        </w:rPr>
        <w:t>poderiam ter</w:t>
      </w:r>
      <w:r w:rsidRPr="00D65A20">
        <w:rPr>
          <w:rFonts w:ascii="Times New Roman" w:eastAsia="Calibri" w:hAnsi="Times New Roman"/>
          <w:szCs w:val="22"/>
          <w:lang w:val="pt-BR"/>
        </w:rPr>
        <w:t xml:space="preserve"> impacto na execução do Fundo Ordinário.</w:t>
      </w:r>
    </w:p>
    <w:p w14:paraId="6E83487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2160"/>
        <w:rPr>
          <w:rFonts w:ascii="Times New Roman" w:eastAsia="Calibri" w:hAnsi="Times New Roman"/>
          <w:szCs w:val="22"/>
          <w:lang w:val="pt-BR"/>
        </w:rPr>
      </w:pPr>
    </w:p>
    <w:p w14:paraId="6E83487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17" w:hanging="706"/>
        <w:rPr>
          <w:rFonts w:ascii="Times New Roman" w:eastAsia="Calibri" w:hAnsi="Times New Roman"/>
          <w:i/>
          <w:szCs w:val="22"/>
          <w:lang w:val="pt-BR"/>
        </w:rPr>
      </w:pPr>
      <w:r w:rsidRPr="00D65A20">
        <w:rPr>
          <w:rFonts w:ascii="Times New Roman" w:eastAsia="Calibri" w:hAnsi="Times New Roman"/>
          <w:szCs w:val="22"/>
          <w:lang w:val="pt-BR"/>
        </w:rPr>
        <w:t>d)</w:t>
      </w:r>
      <w:r w:rsidRPr="00D65A20">
        <w:rPr>
          <w:rFonts w:ascii="Times New Roman" w:eastAsia="Calibri" w:hAnsi="Times New Roman"/>
          <w:b/>
          <w:szCs w:val="22"/>
          <w:lang w:val="pt-BR"/>
        </w:rPr>
        <w:tab/>
      </w:r>
      <w:r w:rsidRPr="00D65A20">
        <w:rPr>
          <w:rFonts w:ascii="Times New Roman" w:eastAsia="Calibri" w:hAnsi="Times New Roman"/>
          <w:szCs w:val="22"/>
          <w:lang w:val="pt-BR"/>
        </w:rPr>
        <w:t xml:space="preserve">Solicitar à Secretaria-Geral que, uma vez apresentado o orçamento-programa </w:t>
      </w:r>
      <w:r w:rsidR="00C21582" w:rsidRPr="00D65A20">
        <w:rPr>
          <w:rFonts w:ascii="Times New Roman" w:eastAsia="Calibri" w:hAnsi="Times New Roman"/>
          <w:szCs w:val="22"/>
          <w:lang w:val="pt-BR"/>
        </w:rPr>
        <w:t xml:space="preserve">para </w:t>
      </w:r>
      <w:r w:rsidRPr="00D65A20">
        <w:rPr>
          <w:rFonts w:ascii="Times New Roman" w:eastAsia="Calibri" w:hAnsi="Times New Roman"/>
          <w:szCs w:val="22"/>
          <w:lang w:val="pt-BR"/>
        </w:rPr>
        <w:t>2022 ao Conselho Permanente, comunique por escrito à CAAP as movimentações específicas ocorridas entre capítulos, tanto de pessoal como de não pessoal, de maneira que as deliberações do orçamento-programa disponham de informações devidamente atualizadas, a fim de possibilitar e facilitar a adoção de decisões realistas e bem-fundamentadas.</w:t>
      </w:r>
    </w:p>
    <w:p w14:paraId="6E83488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881" w14:textId="77777777" w:rsidR="00D230D1" w:rsidRPr="00D65A20" w:rsidRDefault="00D230D1" w:rsidP="00AA4399">
      <w:pPr>
        <w:widowControl/>
        <w:numPr>
          <w:ilvl w:val="0"/>
          <w:numId w:val="41"/>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szCs w:val="22"/>
          <w:lang w:val="pt-BR" w:eastAsia="es-ES"/>
        </w:rPr>
      </w:pPr>
      <w:r w:rsidRPr="00D65A20">
        <w:rPr>
          <w:rFonts w:ascii="Times New Roman" w:eastAsia="Arial Unicode MS" w:hAnsi="Times New Roman"/>
          <w:color w:val="000000"/>
          <w:szCs w:val="22"/>
          <w:u w:val="single"/>
          <w:lang w:val="pt-BR"/>
        </w:rPr>
        <w:t>Relatórios semestrais sobre a gestão dos recursos e o desempenho</w:t>
      </w:r>
    </w:p>
    <w:p w14:paraId="6E83488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88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rPr>
      </w:pPr>
      <w:r w:rsidRPr="00D65A20">
        <w:rPr>
          <w:rFonts w:ascii="Times New Roman" w:eastAsia="Calibri" w:hAnsi="Times New Roman"/>
          <w:color w:val="000000"/>
          <w:szCs w:val="22"/>
          <w:lang w:val="pt-BR"/>
        </w:rPr>
        <w:t xml:space="preserve">Solicitar à Secretaria-Geral que continue apresentando semestralmente à CAAP seus relatórios sobre a gestão de recursos e desempenho, incluindo um resumo executivo, de acordo com o anexo I da resolução </w:t>
      </w:r>
      <w:hyperlink r:id="rId63" w:history="1">
        <w:r w:rsidRPr="00D65A20">
          <w:rPr>
            <w:rFonts w:ascii="Times New Roman" w:eastAsia="Calibri" w:hAnsi="Times New Roman"/>
            <w:color w:val="000000"/>
            <w:szCs w:val="22"/>
            <w:u w:val="single"/>
            <w:lang w:val="pt-BR"/>
          </w:rPr>
          <w:t>AG/RES. 1 (XLVIII-E/14)</w:t>
        </w:r>
      </w:hyperlink>
      <w:r w:rsidRPr="00D65A20">
        <w:rPr>
          <w:rFonts w:ascii="Times New Roman" w:eastAsia="Calibri" w:hAnsi="Times New Roman"/>
          <w:szCs w:val="22"/>
          <w:lang w:val="pt-BR"/>
        </w:rPr>
        <w:t xml:space="preserve"> rev.</w:t>
      </w:r>
      <w:r w:rsidRPr="00D65A20">
        <w:rPr>
          <w:rFonts w:ascii="Times New Roman" w:eastAsia="Calibri" w:hAnsi="Times New Roman"/>
          <w:color w:val="000000"/>
          <w:szCs w:val="22"/>
          <w:lang w:val="pt-BR"/>
        </w:rPr>
        <w:t> 1 e da resolução AG/RES. 2940 (XLIX-O/19).</w:t>
      </w:r>
    </w:p>
    <w:p w14:paraId="6E83488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trike/>
          <w:color w:val="000000"/>
          <w:szCs w:val="22"/>
          <w:u w:val="single"/>
          <w:lang w:val="pt-BR" w:eastAsia="es-ES"/>
        </w:rPr>
      </w:pPr>
    </w:p>
    <w:p w14:paraId="6E834885" w14:textId="77777777" w:rsidR="00D230D1" w:rsidRPr="00D65A20" w:rsidRDefault="00D230D1" w:rsidP="00AA4399">
      <w:pPr>
        <w:widowControl/>
        <w:numPr>
          <w:ilvl w:val="0"/>
          <w:numId w:val="42"/>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u w:val="single"/>
          <w:lang w:val="pt-BR" w:eastAsia="es-ES"/>
        </w:rPr>
      </w:pPr>
      <w:r w:rsidRPr="00D65A20">
        <w:rPr>
          <w:rFonts w:ascii="Times New Roman" w:hAnsi="Times New Roman"/>
          <w:color w:val="000000"/>
          <w:szCs w:val="22"/>
          <w:u w:val="single"/>
          <w:lang w:val="pt-BR" w:eastAsia="es-ES"/>
        </w:rPr>
        <w:t xml:space="preserve">Mobilização de recursos externos </w:t>
      </w:r>
    </w:p>
    <w:p w14:paraId="6E83488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eastAsia="es-ES"/>
        </w:rPr>
      </w:pPr>
    </w:p>
    <w:p w14:paraId="6E834887" w14:textId="77777777" w:rsidR="00D230D1" w:rsidRPr="00D65A20" w:rsidRDefault="00D230D1" w:rsidP="00AA4399">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szCs w:val="22"/>
          <w:lang w:val="pt-BR"/>
        </w:rPr>
      </w:pPr>
      <w:r w:rsidRPr="00D65A20">
        <w:rPr>
          <w:rFonts w:ascii="Times New Roman" w:eastAsia="Calibri" w:hAnsi="Times New Roman"/>
          <w:szCs w:val="22"/>
          <w:lang w:val="pt-BR"/>
        </w:rPr>
        <w:t xml:space="preserve">Encarregar o Secretário-Geral de continuar seus esforços na mobilização de recursos externos para a implementação dos mandatos da Assembleia Geral, e de manter a transparência e a gestão responsável na utilização desses fundos e na elaboração de relatórios que a eles se refiram, a ser apresentados no âmbito dos relatórios </w:t>
      </w:r>
      <w:r w:rsidRPr="00D65A20">
        <w:rPr>
          <w:rFonts w:ascii="Times New Roman" w:eastAsia="Calibri" w:hAnsi="Times New Roman"/>
          <w:color w:val="000000"/>
          <w:szCs w:val="22"/>
          <w:lang w:val="pt-BR"/>
        </w:rPr>
        <w:t xml:space="preserve">semestrais </w:t>
      </w:r>
      <w:r w:rsidRPr="00D65A20">
        <w:rPr>
          <w:rFonts w:ascii="Times New Roman" w:eastAsia="Calibri" w:hAnsi="Times New Roman"/>
          <w:szCs w:val="22"/>
          <w:lang w:val="pt-BR"/>
        </w:rPr>
        <w:t>sobre a gestão de recursos e desempenho.</w:t>
      </w:r>
    </w:p>
    <w:p w14:paraId="6E83488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88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w:hAnsi="Times New Roman"/>
          <w:b/>
          <w:szCs w:val="22"/>
          <w:lang w:val="pt-BR"/>
        </w:rPr>
      </w:pPr>
      <w:r w:rsidRPr="00D65A20">
        <w:rPr>
          <w:rFonts w:ascii="Times New Roman" w:eastAsia="Calibri" w:hAnsi="Times New Roman"/>
          <w:szCs w:val="22"/>
          <w:lang w:val="pt-BR"/>
        </w:rPr>
        <w:t xml:space="preserve">b) </w:t>
      </w:r>
      <w:r w:rsidRPr="00D65A20">
        <w:rPr>
          <w:rFonts w:ascii="Times New Roman" w:eastAsia="Calibri" w:hAnsi="Times New Roman"/>
          <w:szCs w:val="22"/>
          <w:lang w:val="pt-BR"/>
        </w:rPr>
        <w:tab/>
        <w:t>Em seu esforço para cumprir o mandato de mobilização de recursos externos, a Secretaria-Geral também está encarregada de enfatizar a importância equânime dos quatro pilares da Organização — democracia, direitos humanos, desenvolvimento integral e segurança multidimensional — e de assegurar que as medidas tomadas para cumprir esse mandato incluam a busca de recursos regidos pelos princípios de equilíbrio, proporcionalidade e equidade dos pilares, bem como reflitam os mandatos acordados pelos órgãos representativos da Organização.</w:t>
      </w:r>
    </w:p>
    <w:p w14:paraId="6E83488A"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43"/>
        <w:rPr>
          <w:rFonts w:ascii="Times New Roman" w:eastAsia="Calibri" w:hAnsi="Times New Roman"/>
          <w:szCs w:val="22"/>
          <w:lang w:val="pt-BR"/>
        </w:rPr>
      </w:pPr>
    </w:p>
    <w:p w14:paraId="6E83488B" w14:textId="2752BA10"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right="-29" w:hanging="720"/>
        <w:rPr>
          <w:rFonts w:ascii="Times New Roman" w:eastAsia="Calibri" w:hAnsi="Times New Roman"/>
          <w:szCs w:val="22"/>
          <w:lang w:val="pt-BR"/>
        </w:rPr>
      </w:pPr>
      <w:r w:rsidRPr="00D65A20">
        <w:rPr>
          <w:rFonts w:ascii="Times New Roman" w:eastAsia="Calibri" w:hAnsi="Times New Roman"/>
          <w:szCs w:val="22"/>
          <w:lang w:val="pt-BR"/>
        </w:rPr>
        <w:t>c)</w:t>
      </w:r>
      <w:r w:rsidRPr="00D65A20">
        <w:rPr>
          <w:rFonts w:ascii="Times New Roman" w:eastAsia="Calibri" w:hAnsi="Times New Roman"/>
          <w:szCs w:val="22"/>
          <w:lang w:val="pt-BR"/>
        </w:rPr>
        <w:tab/>
      </w:r>
      <w:r w:rsidRPr="00D65A20">
        <w:rPr>
          <w:rFonts w:ascii="Times New Roman" w:eastAsia="Calibri" w:hAnsi="Times New Roman"/>
          <w:color w:val="000000"/>
          <w:szCs w:val="22"/>
          <w:lang w:val="pt-BR"/>
        </w:rPr>
        <w:t xml:space="preserve">Encarregar o Secretário-Geral de incluir no relatório semestral sobre a gestão de recursos e desempenho, no capítulo de projetos apresentados pela Comissão de Avaliação de Projetos, informação adicional sobre todos os projetos que tenham sido aprovados e estejam em execução, inclusive sobre seu alcance, mandatos que os sustentam, periodicidade, andamento da execução e fonte de financiamento, a fim de que se disponha de um </w:t>
      </w:r>
      <w:r w:rsidRPr="00D65A20">
        <w:rPr>
          <w:rFonts w:ascii="Times New Roman" w:eastAsia="Calibri" w:hAnsi="Times New Roman"/>
          <w:color w:val="000000"/>
          <w:szCs w:val="22"/>
          <w:lang w:val="pt-BR"/>
        </w:rPr>
        <w:lastRenderedPageBreak/>
        <w:t xml:space="preserve">documento consolidado </w:t>
      </w:r>
      <w:r w:rsidR="00C21582" w:rsidRPr="00D65A20">
        <w:rPr>
          <w:rFonts w:ascii="Times New Roman" w:eastAsia="Calibri" w:hAnsi="Times New Roman"/>
          <w:color w:val="000000"/>
          <w:szCs w:val="22"/>
          <w:lang w:val="pt-BR"/>
        </w:rPr>
        <w:t xml:space="preserve">sobre a </w:t>
      </w:r>
      <w:r w:rsidRPr="00D65A20">
        <w:rPr>
          <w:rFonts w:ascii="Times New Roman" w:eastAsia="Calibri" w:hAnsi="Times New Roman"/>
          <w:color w:val="000000"/>
          <w:szCs w:val="22"/>
          <w:lang w:val="pt-BR"/>
        </w:rPr>
        <w:t>utilização dos recursos de fundos específicos.</w:t>
      </w:r>
    </w:p>
    <w:p w14:paraId="6E83488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43"/>
        <w:rPr>
          <w:rFonts w:ascii="Times New Roman" w:eastAsia="Calibri" w:hAnsi="Times New Roman"/>
          <w:szCs w:val="22"/>
          <w:lang w:val="pt-BR"/>
        </w:rPr>
      </w:pPr>
    </w:p>
    <w:p w14:paraId="6E83488D" w14:textId="236B0DF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right="-43" w:hanging="720"/>
        <w:rPr>
          <w:rFonts w:ascii="Times New Roman" w:eastAsia="Calibri" w:hAnsi="Times New Roman"/>
          <w:bCs/>
          <w:szCs w:val="22"/>
          <w:lang w:val="pt-BR"/>
        </w:rPr>
      </w:pPr>
      <w:r w:rsidRPr="00D65A20">
        <w:rPr>
          <w:rFonts w:ascii="Times New Roman" w:eastAsia="Calibri" w:hAnsi="Times New Roman"/>
          <w:szCs w:val="22"/>
          <w:lang w:val="pt-BR"/>
        </w:rPr>
        <w:t>d)</w:t>
      </w:r>
      <w:r w:rsidRPr="00D65A20">
        <w:rPr>
          <w:rFonts w:ascii="Times New Roman" w:eastAsia="Calibri" w:hAnsi="Times New Roman"/>
          <w:szCs w:val="22"/>
          <w:lang w:val="pt-BR"/>
        </w:rPr>
        <w:tab/>
      </w:r>
      <w:r w:rsidRPr="00D65A20">
        <w:rPr>
          <w:rFonts w:ascii="Times New Roman" w:eastAsia="Calibri" w:hAnsi="Times New Roman"/>
          <w:bCs/>
          <w:szCs w:val="22"/>
          <w:lang w:val="pt-BR"/>
        </w:rPr>
        <w:t>Encarregar o Secretário-Geral de continuar, em consulta com o Conselho Permanente, a implementação de um plano estratégico para obter o apoio e o financiamento externos necessários à implementação dos mandatos dos Estados membros e das prioridades da Organização, e i</w:t>
      </w:r>
      <w:r w:rsidRPr="00D65A20">
        <w:rPr>
          <w:rFonts w:ascii="Times New Roman" w:eastAsia="Calibri" w:hAnsi="Times New Roman"/>
          <w:szCs w:val="22"/>
          <w:lang w:val="pt-BR"/>
        </w:rPr>
        <w:t xml:space="preserve">nstruir a Secretaria-Geral </w:t>
      </w:r>
      <w:r w:rsidR="00315718" w:rsidRPr="00D65A20">
        <w:rPr>
          <w:rFonts w:ascii="Times New Roman" w:eastAsia="Calibri" w:hAnsi="Times New Roman"/>
          <w:szCs w:val="22"/>
          <w:lang w:val="pt-BR"/>
        </w:rPr>
        <w:t xml:space="preserve">a </w:t>
      </w:r>
      <w:r w:rsidRPr="00D65A20">
        <w:rPr>
          <w:rFonts w:ascii="Times New Roman" w:eastAsia="Calibri" w:hAnsi="Times New Roman"/>
          <w:bCs/>
          <w:szCs w:val="22"/>
          <w:lang w:val="pt-BR"/>
        </w:rPr>
        <w:t>que informe sobre o andamento dessa implementação no relatório semestral sobre gestão de recursos e desempenho.</w:t>
      </w:r>
    </w:p>
    <w:p w14:paraId="6E83488E" w14:textId="77777777" w:rsidR="00315718" w:rsidRPr="00D65A20" w:rsidRDefault="00315718" w:rsidP="00E404F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43"/>
        <w:rPr>
          <w:rFonts w:ascii="Times New Roman" w:eastAsia="Calibri" w:hAnsi="Times New Roman"/>
          <w:i/>
          <w:szCs w:val="22"/>
          <w:lang w:val="pt-BR"/>
        </w:rPr>
      </w:pPr>
    </w:p>
    <w:p w14:paraId="6E83488F" w14:textId="151E35C8"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right="-43" w:hanging="720"/>
        <w:rPr>
          <w:rFonts w:ascii="Times New Roman" w:eastAsia="Calibri" w:hAnsi="Times New Roman"/>
          <w:szCs w:val="22"/>
          <w:lang w:val="pt-BR"/>
        </w:rPr>
      </w:pPr>
      <w:r w:rsidRPr="00D65A20">
        <w:rPr>
          <w:rFonts w:ascii="Times New Roman" w:eastAsia="Calibri" w:hAnsi="Times New Roman"/>
          <w:szCs w:val="22"/>
          <w:lang w:val="pt-BR"/>
        </w:rPr>
        <w:t>e)</w:t>
      </w:r>
      <w:r w:rsidRPr="00D65A20">
        <w:rPr>
          <w:rFonts w:ascii="Times New Roman" w:eastAsia="Calibri" w:hAnsi="Times New Roman"/>
          <w:szCs w:val="22"/>
          <w:lang w:val="pt-BR" w:eastAsia="pt-BR"/>
        </w:rPr>
        <w:tab/>
        <w:t xml:space="preserve">Encarregar a Secretaria-Geral de que, em conformidade </w:t>
      </w:r>
      <w:r w:rsidRPr="00D65A20">
        <w:rPr>
          <w:rFonts w:ascii="Times New Roman" w:eastAsia="Calibri" w:hAnsi="Times New Roman"/>
          <w:bCs/>
          <w:szCs w:val="22"/>
          <w:shd w:val="clear" w:color="auto" w:fill="FFFFFF"/>
          <w:lang w:val="pt-BR"/>
        </w:rPr>
        <w:t>com esta resolução e</w:t>
      </w:r>
      <w:r w:rsidRPr="00D65A20">
        <w:rPr>
          <w:rFonts w:ascii="Times New Roman" w:eastAsia="Calibri" w:hAnsi="Times New Roman"/>
          <w:color w:val="FF0000"/>
          <w:szCs w:val="22"/>
          <w:lang w:val="pt-BR" w:eastAsia="pt-BR"/>
        </w:rPr>
        <w:t xml:space="preserve"> </w:t>
      </w:r>
      <w:r w:rsidRPr="00D65A20">
        <w:rPr>
          <w:rFonts w:ascii="Times New Roman" w:eastAsia="Calibri" w:hAnsi="Times New Roman"/>
          <w:szCs w:val="22"/>
          <w:lang w:val="pt-BR" w:eastAsia="pt-BR"/>
        </w:rPr>
        <w:t xml:space="preserve">a resolução </w:t>
      </w:r>
      <w:hyperlink r:id="rId64" w:history="1">
        <w:r w:rsidRPr="00D65A20">
          <w:rPr>
            <w:rFonts w:ascii="Times New Roman" w:eastAsia="Calibri" w:hAnsi="Times New Roman"/>
            <w:color w:val="0000FF"/>
            <w:szCs w:val="22"/>
            <w:u w:val="single"/>
            <w:lang w:val="pt-BR" w:eastAsia="pt-BR"/>
          </w:rPr>
          <w:t>AG/RES. 2 (LI-E/16) rev. 4</w:t>
        </w:r>
      </w:hyperlink>
      <w:r w:rsidRPr="00D65A20">
        <w:rPr>
          <w:rFonts w:ascii="Times New Roman" w:eastAsia="Calibri" w:hAnsi="Times New Roman"/>
          <w:szCs w:val="22"/>
          <w:lang w:val="pt-BR" w:eastAsia="pt-BR"/>
        </w:rPr>
        <w:t xml:space="preserve">, proceda a uma análise das diferentes opções </w:t>
      </w:r>
      <w:r w:rsidRPr="00D65A20">
        <w:rPr>
          <w:rFonts w:ascii="Times New Roman" w:eastAsia="Calibri" w:hAnsi="Times New Roman"/>
          <w:bCs/>
          <w:szCs w:val="22"/>
          <w:shd w:val="clear" w:color="auto" w:fill="FFFFFF"/>
          <w:lang w:val="pt-BR"/>
        </w:rPr>
        <w:t>adicionais</w:t>
      </w:r>
      <w:r w:rsidRPr="00D65A20">
        <w:rPr>
          <w:rFonts w:ascii="Times New Roman" w:eastAsia="Calibri" w:hAnsi="Times New Roman"/>
          <w:szCs w:val="22"/>
          <w:lang w:val="pt-BR" w:eastAsia="pt-BR"/>
        </w:rPr>
        <w:t xml:space="preserve"> de financiamento </w:t>
      </w:r>
      <w:r w:rsidRPr="00D65A20">
        <w:rPr>
          <w:rFonts w:ascii="Times New Roman" w:eastAsia="Calibri" w:hAnsi="Times New Roman"/>
          <w:bCs/>
          <w:szCs w:val="22"/>
          <w:shd w:val="clear" w:color="auto" w:fill="FFFFFF"/>
          <w:lang w:val="pt-BR"/>
        </w:rPr>
        <w:t>que assegure</w:t>
      </w:r>
      <w:r w:rsidR="00E60BBC">
        <w:rPr>
          <w:rFonts w:ascii="Times New Roman" w:eastAsia="Calibri" w:hAnsi="Times New Roman"/>
          <w:bCs/>
          <w:szCs w:val="22"/>
          <w:shd w:val="clear" w:color="auto" w:fill="FFFFFF"/>
          <w:lang w:val="pt-BR"/>
        </w:rPr>
        <w:t>m</w:t>
      </w:r>
      <w:r w:rsidRPr="00D65A20">
        <w:rPr>
          <w:rFonts w:ascii="Times New Roman" w:eastAsia="Calibri" w:hAnsi="Times New Roman"/>
          <w:bCs/>
          <w:szCs w:val="22"/>
          <w:shd w:val="clear" w:color="auto" w:fill="FFFFFF"/>
          <w:lang w:val="pt-BR"/>
        </w:rPr>
        <w:t xml:space="preserve"> </w:t>
      </w:r>
      <w:r w:rsidRPr="00D65A20">
        <w:rPr>
          <w:rFonts w:ascii="Times New Roman" w:eastAsia="Calibri" w:hAnsi="Times New Roman"/>
          <w:szCs w:val="22"/>
          <w:lang w:val="pt-BR" w:eastAsia="pt-BR"/>
        </w:rPr>
        <w:t xml:space="preserve">a sustentabilidade no longo prazo da CIDH e da Corte Interamericana de Direitos Humanos, observando que se dê cumprimento à seção xvi da resolução </w:t>
      </w:r>
      <w:hyperlink r:id="rId65" w:history="1">
        <w:r w:rsidRPr="00D65A20">
          <w:rPr>
            <w:rFonts w:ascii="Times New Roman" w:eastAsia="Calibri" w:hAnsi="Times New Roman"/>
            <w:color w:val="0000FF"/>
            <w:szCs w:val="22"/>
            <w:u w:val="single"/>
            <w:lang w:val="pt-BR" w:eastAsia="pt-BR"/>
          </w:rPr>
          <w:t>AG/RES. 2908 (XLVII-O/17)</w:t>
        </w:r>
      </w:hyperlink>
      <w:r w:rsidRPr="00D65A20">
        <w:rPr>
          <w:rFonts w:ascii="Times New Roman" w:eastAsia="Calibri" w:hAnsi="Times New Roman"/>
          <w:szCs w:val="22"/>
          <w:lang w:val="pt-BR" w:eastAsia="pt-BR"/>
        </w:rPr>
        <w:t xml:space="preserve"> e à resolução </w:t>
      </w:r>
      <w:hyperlink r:id="rId66" w:history="1">
        <w:r w:rsidRPr="00D65A20">
          <w:rPr>
            <w:rFonts w:ascii="Times New Roman" w:eastAsia="Calibri" w:hAnsi="Times New Roman"/>
            <w:color w:val="0000FF"/>
            <w:szCs w:val="22"/>
            <w:u w:val="single"/>
            <w:lang w:val="pt-BR" w:eastAsia="pt-BR"/>
          </w:rPr>
          <w:t>AG/RES. 2912 (XLVII-O/17)</w:t>
        </w:r>
      </w:hyperlink>
      <w:r w:rsidRPr="00D65A20">
        <w:rPr>
          <w:rFonts w:ascii="Times New Roman" w:eastAsia="Calibri" w:hAnsi="Times New Roman"/>
          <w:szCs w:val="22"/>
          <w:lang w:val="pt-BR" w:eastAsia="pt-BR"/>
        </w:rPr>
        <w:t>. Essa análise deverá ser apresentada ao Conselho Permanente</w:t>
      </w:r>
      <w:r w:rsidRPr="00D65A20">
        <w:rPr>
          <w:rFonts w:ascii="Times New Roman" w:eastAsia="Calibri" w:hAnsi="Times New Roman"/>
          <w:bCs/>
          <w:szCs w:val="22"/>
          <w:shd w:val="clear" w:color="auto" w:fill="FFFFFF"/>
          <w:lang w:val="pt-BR"/>
        </w:rPr>
        <w:t>,</w:t>
      </w:r>
      <w:r w:rsidRPr="00D65A20">
        <w:rPr>
          <w:rFonts w:ascii="Times New Roman" w:eastAsia="Calibri" w:hAnsi="Times New Roman"/>
          <w:szCs w:val="22"/>
          <w:lang w:val="pt-BR" w:eastAsia="pt-BR"/>
        </w:rPr>
        <w:t xml:space="preserve"> </w:t>
      </w:r>
      <w:r w:rsidRPr="00D65A20">
        <w:rPr>
          <w:rFonts w:ascii="Times New Roman" w:eastAsia="Calibri" w:hAnsi="Times New Roman"/>
          <w:bCs/>
          <w:szCs w:val="22"/>
          <w:shd w:val="clear" w:color="auto" w:fill="FFFFFF"/>
          <w:lang w:val="pt-BR"/>
        </w:rPr>
        <w:t>para sua consideração,</w:t>
      </w:r>
      <w:r w:rsidRPr="00D65A20">
        <w:rPr>
          <w:rFonts w:ascii="Times New Roman" w:eastAsia="Calibri" w:hAnsi="Times New Roman"/>
          <w:szCs w:val="22"/>
          <w:lang w:val="pt-BR" w:eastAsia="pt-BR"/>
        </w:rPr>
        <w:t xml:space="preserve"> até 15 de março de 2021.</w:t>
      </w:r>
    </w:p>
    <w:p w14:paraId="6E83489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43"/>
        <w:rPr>
          <w:rFonts w:ascii="Times New Roman" w:eastAsia="Calibri" w:hAnsi="Times New Roman"/>
          <w:szCs w:val="22"/>
          <w:lang w:val="pt-BR"/>
        </w:rPr>
      </w:pPr>
    </w:p>
    <w:p w14:paraId="6E834891" w14:textId="77777777" w:rsidR="00D230D1" w:rsidRPr="00D65A20" w:rsidRDefault="00D230D1" w:rsidP="00AA4399">
      <w:pPr>
        <w:widowControl/>
        <w:numPr>
          <w:ilvl w:val="0"/>
          <w:numId w:val="43"/>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contextualSpacing/>
        <w:rPr>
          <w:rFonts w:ascii="Times New Roman" w:eastAsia="Arial Unicode MS" w:hAnsi="Times New Roman"/>
          <w:szCs w:val="22"/>
          <w:lang w:val="pt-BR"/>
        </w:rPr>
      </w:pPr>
      <w:r w:rsidRPr="00D65A20">
        <w:rPr>
          <w:rFonts w:ascii="Times New Roman" w:eastAsia="Arial Unicode MS" w:hAnsi="Times New Roman"/>
          <w:szCs w:val="22"/>
          <w:lang w:val="pt-BR"/>
        </w:rPr>
        <w:t xml:space="preserve">Instruir a Secretaria-Geral a que, em conformidade com a resolução </w:t>
      </w:r>
      <w:hyperlink r:id="rId67" w:history="1">
        <w:r w:rsidRPr="00D65A20">
          <w:rPr>
            <w:rFonts w:ascii="Times New Roman" w:eastAsia="Arial Unicode MS" w:hAnsi="Times New Roman"/>
            <w:color w:val="0000FF"/>
            <w:szCs w:val="22"/>
            <w:u w:val="single"/>
            <w:lang w:val="pt-BR"/>
          </w:rPr>
          <w:t>AG/RES. 617 (XII-O/82)</w:t>
        </w:r>
      </w:hyperlink>
      <w:r w:rsidRPr="00D65A20">
        <w:rPr>
          <w:rFonts w:ascii="Times New Roman" w:eastAsia="Arial Unicode MS" w:hAnsi="Times New Roman"/>
          <w:szCs w:val="22"/>
          <w:lang w:val="pt-BR"/>
        </w:rPr>
        <w:t>:</w:t>
      </w:r>
    </w:p>
    <w:p w14:paraId="6E83489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6E834893" w14:textId="77777777" w:rsidR="00D230D1" w:rsidRPr="00D65A20" w:rsidRDefault="00D230D1" w:rsidP="00AA4399">
      <w:pPr>
        <w:widowControl/>
        <w:numPr>
          <w:ilvl w:val="0"/>
          <w:numId w:val="44"/>
        </w:numPr>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rPr>
          <w:rFonts w:ascii="Times New Roman" w:eastAsia="Calibri" w:hAnsi="Times New Roman"/>
          <w:szCs w:val="22"/>
          <w:lang w:val="pt-BR"/>
        </w:rPr>
      </w:pPr>
      <w:r w:rsidRPr="00D65A20">
        <w:rPr>
          <w:rFonts w:ascii="Times New Roman" w:eastAsia="Calibri" w:hAnsi="Times New Roman"/>
          <w:szCs w:val="22"/>
          <w:lang w:val="pt-BR"/>
        </w:rPr>
        <w:t>no caso de projetos não incluídos no orçamento-programa da Organização que contem com contribuições de Estados não membros que sejam Observadores Permanentes junto à Organização, apresente relatórios semestralmente aos órgãos competentes da Organização, segundo a matéria de que se trate;</w:t>
      </w:r>
    </w:p>
    <w:p w14:paraId="6E83489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ight="-43" w:hanging="720"/>
        <w:rPr>
          <w:rFonts w:ascii="Times New Roman" w:eastAsia="Calibri" w:hAnsi="Times New Roman"/>
          <w:szCs w:val="22"/>
          <w:lang w:val="pt-BR"/>
        </w:rPr>
      </w:pPr>
    </w:p>
    <w:p w14:paraId="6E834895" w14:textId="77777777" w:rsidR="00D230D1" w:rsidRPr="00D65A20" w:rsidRDefault="00D230D1" w:rsidP="00AA4399">
      <w:pPr>
        <w:widowControl/>
        <w:numPr>
          <w:ilvl w:val="0"/>
          <w:numId w:val="44"/>
        </w:numPr>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rPr>
          <w:rFonts w:ascii="Times New Roman" w:eastAsia="Calibri" w:hAnsi="Times New Roman"/>
          <w:szCs w:val="22"/>
          <w:lang w:val="pt-BR"/>
        </w:rPr>
      </w:pPr>
      <w:r w:rsidRPr="00D65A20">
        <w:rPr>
          <w:rFonts w:ascii="Times New Roman" w:eastAsia="Calibri" w:hAnsi="Times New Roman"/>
          <w:szCs w:val="22"/>
          <w:lang w:val="pt-BR"/>
        </w:rPr>
        <w:t>quando se tratar de projetos cuja contribuição externa provier de Estados não membros que não sejam Observadores Permanentes junto à Organização, faça consulta prévia sobre esses projetos ao Conselho pertinente; e</w:t>
      </w:r>
    </w:p>
    <w:p w14:paraId="6E83489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43"/>
        <w:rPr>
          <w:rFonts w:ascii="Times New Roman" w:eastAsia="Calibri" w:hAnsi="Times New Roman"/>
          <w:szCs w:val="22"/>
          <w:lang w:val="pt-BR"/>
        </w:rPr>
      </w:pPr>
    </w:p>
    <w:p w14:paraId="6E834897" w14:textId="77777777" w:rsidR="00D230D1" w:rsidRPr="00D65A20" w:rsidRDefault="00D230D1" w:rsidP="00AA4399">
      <w:pPr>
        <w:widowControl/>
        <w:numPr>
          <w:ilvl w:val="0"/>
          <w:numId w:val="44"/>
        </w:numPr>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rPr>
          <w:rFonts w:ascii="Times New Roman" w:hAnsi="Times New Roman"/>
          <w:color w:val="000000"/>
          <w:szCs w:val="22"/>
          <w:lang w:val="pt-BR" w:eastAsia="es-ES"/>
        </w:rPr>
      </w:pPr>
      <w:r w:rsidRPr="00D65A20">
        <w:rPr>
          <w:rFonts w:ascii="Times New Roman" w:eastAsia="Calibri" w:hAnsi="Times New Roman"/>
          <w:szCs w:val="22"/>
          <w:lang w:val="pt-BR"/>
        </w:rPr>
        <w:t>no caso de convênios globais de cooperação, tanto com países Observadores Permanentes como com outros Estados não membros, solicite a aprovação prévia do Conselho Permanente</w:t>
      </w:r>
      <w:r w:rsidRPr="00D65A20">
        <w:rPr>
          <w:rFonts w:ascii="Times New Roman" w:hAnsi="Times New Roman"/>
          <w:color w:val="000000"/>
          <w:szCs w:val="22"/>
          <w:lang w:val="pt-BR" w:eastAsia="es-ES"/>
        </w:rPr>
        <w:t>.</w:t>
      </w:r>
    </w:p>
    <w:p w14:paraId="6E83489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color w:val="000000"/>
          <w:szCs w:val="22"/>
          <w:lang w:val="pt-BR" w:eastAsia="es-ES"/>
        </w:rPr>
      </w:pPr>
    </w:p>
    <w:p w14:paraId="6E834899" w14:textId="77777777" w:rsidR="00D230D1" w:rsidRPr="00D65A20" w:rsidRDefault="00D230D1" w:rsidP="00AA4399">
      <w:pPr>
        <w:widowControl/>
        <w:numPr>
          <w:ilvl w:val="0"/>
          <w:numId w:val="43"/>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contextualSpacing/>
        <w:rPr>
          <w:rFonts w:ascii="Times New Roman" w:hAnsi="Times New Roman"/>
          <w:color w:val="000000"/>
          <w:szCs w:val="22"/>
          <w:lang w:val="pt-BR"/>
        </w:rPr>
      </w:pPr>
      <w:r w:rsidRPr="00D65A20">
        <w:rPr>
          <w:rFonts w:ascii="Times New Roman" w:hAnsi="Times New Roman"/>
          <w:bCs/>
          <w:color w:val="000000"/>
          <w:szCs w:val="22"/>
          <w:lang w:val="pt-BR" w:eastAsia="es-ES"/>
        </w:rPr>
        <w:t xml:space="preserve">Informar os Estados membros sobre os acordos, contratos e/ou memorandos de entendimento </w:t>
      </w:r>
      <w:r w:rsidR="00315718" w:rsidRPr="00D65A20">
        <w:rPr>
          <w:rFonts w:ascii="Times New Roman" w:hAnsi="Times New Roman"/>
          <w:bCs/>
          <w:color w:val="000000"/>
          <w:szCs w:val="22"/>
          <w:lang w:val="pt-BR" w:eastAsia="es-ES"/>
        </w:rPr>
        <w:t xml:space="preserve">descritos </w:t>
      </w:r>
      <w:r w:rsidRPr="00D65A20">
        <w:rPr>
          <w:rFonts w:ascii="Times New Roman" w:hAnsi="Times New Roman"/>
          <w:bCs/>
          <w:color w:val="000000"/>
          <w:szCs w:val="22"/>
          <w:lang w:val="pt-BR" w:eastAsia="es-ES"/>
        </w:rPr>
        <w:t>no inciso f.(i) deste parágrafo, e apresentar relatórios semestrais à CAAP e aos órgãos competentes da Organização, segundo a matéria de que se trate.</w:t>
      </w:r>
    </w:p>
    <w:p w14:paraId="6E83489A"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89B" w14:textId="77777777" w:rsidR="00D230D1" w:rsidRPr="00D65A20" w:rsidRDefault="00D230D1" w:rsidP="00AA4399">
      <w:pPr>
        <w:widowControl/>
        <w:numPr>
          <w:ilvl w:val="0"/>
          <w:numId w:val="42"/>
        </w:numPr>
        <w:tabs>
          <w:tab w:val="clear" w:pos="720"/>
          <w:tab w:val="clear" w:pos="1440"/>
          <w:tab w:val="clear" w:pos="2160"/>
          <w:tab w:val="clear" w:pos="2880"/>
          <w:tab w:val="clear" w:pos="3600"/>
          <w:tab w:val="clear" w:pos="4320"/>
          <w:tab w:val="clear" w:pos="5760"/>
          <w:tab w:val="clear" w:pos="6480"/>
          <w:tab w:val="clear" w:pos="7200"/>
          <w:tab w:val="clear" w:pos="7920"/>
        </w:tabs>
        <w:ind w:left="1440" w:right="-50" w:hanging="720"/>
        <w:rPr>
          <w:rFonts w:ascii="Times New Roman" w:hAnsi="Times New Roman"/>
          <w:color w:val="000000"/>
          <w:szCs w:val="22"/>
          <w:u w:val="single"/>
          <w:lang w:val="pt-BR" w:eastAsia="es-ES"/>
        </w:rPr>
      </w:pPr>
      <w:r w:rsidRPr="00D65A20">
        <w:rPr>
          <w:rFonts w:ascii="Times New Roman" w:hAnsi="Times New Roman"/>
          <w:color w:val="000000"/>
          <w:szCs w:val="22"/>
          <w:u w:val="single"/>
          <w:lang w:val="pt-BR" w:eastAsia="es-ES"/>
        </w:rPr>
        <w:t xml:space="preserve">Recuperação de custos </w:t>
      </w:r>
      <w:r w:rsidRPr="00D65A20">
        <w:rPr>
          <w:rFonts w:ascii="Times New Roman" w:hAnsi="Times New Roman"/>
          <w:bCs/>
          <w:color w:val="000000"/>
          <w:szCs w:val="22"/>
          <w:u w:val="single"/>
          <w:lang w:val="pt-BR" w:eastAsia="es-ES"/>
        </w:rPr>
        <w:t>diretos e</w:t>
      </w:r>
      <w:r w:rsidRPr="00D65A20">
        <w:rPr>
          <w:rFonts w:ascii="Times New Roman" w:hAnsi="Times New Roman"/>
          <w:b/>
          <w:bCs/>
          <w:color w:val="000000"/>
          <w:szCs w:val="22"/>
          <w:u w:val="single"/>
          <w:lang w:val="pt-BR" w:eastAsia="es-ES"/>
        </w:rPr>
        <w:t xml:space="preserve"> </w:t>
      </w:r>
      <w:r w:rsidRPr="00D65A20">
        <w:rPr>
          <w:rFonts w:ascii="Times New Roman" w:hAnsi="Times New Roman"/>
          <w:color w:val="000000"/>
          <w:szCs w:val="22"/>
          <w:u w:val="single"/>
          <w:lang w:val="pt-BR" w:eastAsia="es-ES"/>
        </w:rPr>
        <w:t>indiretos</w:t>
      </w:r>
    </w:p>
    <w:p w14:paraId="6E83489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szCs w:val="22"/>
          <w:lang w:val="pt-BR"/>
        </w:rPr>
      </w:pPr>
    </w:p>
    <w:p w14:paraId="6E83489D" w14:textId="77777777" w:rsidR="00D230D1" w:rsidRPr="00D65A20" w:rsidRDefault="00D230D1" w:rsidP="00AA4399">
      <w:pPr>
        <w:widowControl/>
        <w:numPr>
          <w:ilvl w:val="0"/>
          <w:numId w:val="4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eastAsia="Arial Unicode MS" w:hAnsi="Times New Roman"/>
          <w:bCs/>
          <w:szCs w:val="22"/>
          <w:lang w:val="pt-BR"/>
        </w:rPr>
      </w:pPr>
      <w:r w:rsidRPr="00D65A20">
        <w:rPr>
          <w:rFonts w:ascii="Times New Roman" w:eastAsia="Arial Unicode MS" w:hAnsi="Times New Roman"/>
          <w:szCs w:val="22"/>
          <w:bdr w:val="none" w:sz="0" w:space="0" w:color="auto" w:frame="1"/>
          <w:lang w:val="pt-BR"/>
        </w:rPr>
        <w:t xml:space="preserve">Solicitar à Secretaria-Geral que, em um prazo não superior a 90 dias a partir da aprovação da presente resolução, apresente à consideração da CAAP uma metodologia para a recuperação de custos diretos associados ao desenvolvimento de projetos financiados com fundos específicos.  A </w:t>
      </w:r>
      <w:r w:rsidRPr="00D65A20">
        <w:rPr>
          <w:rFonts w:ascii="Times New Roman" w:eastAsia="Arial Unicode MS" w:hAnsi="Times New Roman"/>
          <w:szCs w:val="22"/>
          <w:bdr w:val="none" w:sz="0" w:space="0" w:color="auto" w:frame="1"/>
          <w:lang w:val="pt-BR"/>
        </w:rPr>
        <w:lastRenderedPageBreak/>
        <w:t>metodologia entrará em vigor uma vez que seja aprovada pelo Conselho Permanente.</w:t>
      </w:r>
    </w:p>
    <w:p w14:paraId="6E83489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bdr w:val="none" w:sz="0" w:space="0" w:color="auto" w:frame="1"/>
          <w:lang w:val="pt-BR"/>
        </w:rPr>
      </w:pPr>
    </w:p>
    <w:p w14:paraId="6E83489F" w14:textId="77777777" w:rsidR="00D230D1" w:rsidRPr="00D65A20" w:rsidRDefault="00D230D1" w:rsidP="00AA4399">
      <w:pPr>
        <w:widowControl/>
        <w:numPr>
          <w:ilvl w:val="0"/>
          <w:numId w:val="4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eastAsia="Arial Unicode MS" w:hAnsi="Times New Roman"/>
          <w:bCs/>
          <w:i/>
          <w:szCs w:val="22"/>
          <w:lang w:val="pt-BR"/>
        </w:rPr>
      </w:pPr>
      <w:r w:rsidRPr="00D65A20">
        <w:rPr>
          <w:rFonts w:ascii="Times New Roman" w:eastAsia="Arial Unicode MS" w:hAnsi="Times New Roman"/>
          <w:szCs w:val="22"/>
          <w:lang w:val="pt-BR"/>
        </w:rPr>
        <w:t xml:space="preserve">Encarregar o Conselho Permanente de que, por intermédio da CAAP, continue a análise do estudo sobre a revisão da política de recuperação de custos indiretos no que se refere à possível redução da taxa de 13% aplicável a todos os projetos e programas financiados com fundos específicos. O Conselho Permanente fica autorizado a que, levando em conta as recomendações da CAAP, possa adotar as medidas que sejam necessárias, incluindo a possibilidade de </w:t>
      </w:r>
      <w:r w:rsidRPr="00D65A20">
        <w:rPr>
          <w:rFonts w:ascii="Times New Roman" w:eastAsia="Arial Unicode MS" w:hAnsi="Times New Roman"/>
          <w:szCs w:val="22"/>
          <w:bdr w:val="none" w:sz="0" w:space="0" w:color="auto" w:frame="1"/>
          <w:lang w:val="pt-BR"/>
        </w:rPr>
        <w:t>tornar sem efeito a instrução prevista na resolução AG/RES</w:t>
      </w:r>
      <w:r w:rsidRPr="00D65A20">
        <w:rPr>
          <w:rFonts w:ascii="Times New Roman" w:eastAsia="Arial Unicode MS" w:hAnsi="Times New Roman"/>
          <w:szCs w:val="22"/>
          <w:lang w:val="pt-BR"/>
        </w:rPr>
        <w:t>.</w:t>
      </w:r>
      <w:r w:rsidRPr="00D65A20">
        <w:rPr>
          <w:rFonts w:ascii="Times New Roman" w:eastAsia="Arial Unicode MS" w:hAnsi="Times New Roman"/>
          <w:szCs w:val="22"/>
          <w:bdr w:val="none" w:sz="0" w:space="0" w:color="auto" w:frame="1"/>
          <w:lang w:val="pt-BR"/>
        </w:rPr>
        <w:t> 2892 (XLVI-O/16), relativa à aplicação da referida taxa.</w:t>
      </w:r>
    </w:p>
    <w:p w14:paraId="6E8348A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i/>
          <w:szCs w:val="22"/>
          <w:lang w:val="pt-BR"/>
        </w:rPr>
      </w:pPr>
    </w:p>
    <w:p w14:paraId="6E8348A1" w14:textId="77777777" w:rsidR="00D230D1" w:rsidRPr="00D65A20" w:rsidRDefault="00D230D1" w:rsidP="00AA4399">
      <w:pPr>
        <w:widowControl/>
        <w:numPr>
          <w:ilvl w:val="0"/>
          <w:numId w:val="4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eastAsia="Arial Unicode MS" w:hAnsi="Times New Roman"/>
          <w:bCs/>
          <w:i/>
          <w:szCs w:val="22"/>
          <w:lang w:val="pt-BR"/>
        </w:rPr>
      </w:pPr>
      <w:r w:rsidRPr="00D65A20">
        <w:rPr>
          <w:rFonts w:ascii="Times New Roman" w:eastAsia="Arial Unicode MS" w:hAnsi="Times New Roman"/>
          <w:bCs/>
          <w:color w:val="000000"/>
          <w:szCs w:val="22"/>
          <w:lang w:val="pt-BR"/>
        </w:rPr>
        <w:t>Encarregar a Secretaria-Geral de considerar opções para distribuir os recursos da RCI no orçamento de 2022, de acordo com uma fórmula que será determinada pelos Estados membros, que inclua um percentual a desembolsar em custos diferidos de todos os bens imóveis da Organização, outro a ser distribuído entre custos indiretos da Organização e outro a ser distribuído aos capítulos por custos indiretos, em proporção ao montante de contribuição de fundos específicos.</w:t>
      </w:r>
    </w:p>
    <w:p w14:paraId="6E8348A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eastAsia="es-ES"/>
        </w:rPr>
      </w:pPr>
    </w:p>
    <w:p w14:paraId="6E8348A3" w14:textId="77777777" w:rsidR="00D230D1" w:rsidRPr="00D65A20" w:rsidRDefault="00D230D1" w:rsidP="00AA4399">
      <w:pPr>
        <w:widowControl/>
        <w:numPr>
          <w:ilvl w:val="0"/>
          <w:numId w:val="42"/>
        </w:numPr>
        <w:tabs>
          <w:tab w:val="clear" w:pos="720"/>
          <w:tab w:val="clear" w:pos="1440"/>
          <w:tab w:val="clear" w:pos="2160"/>
          <w:tab w:val="clear" w:pos="2880"/>
          <w:tab w:val="clear" w:pos="3600"/>
          <w:tab w:val="clear" w:pos="4320"/>
          <w:tab w:val="clear" w:pos="5760"/>
          <w:tab w:val="clear" w:pos="6480"/>
          <w:tab w:val="clear" w:pos="7200"/>
          <w:tab w:val="clear" w:pos="7920"/>
        </w:tabs>
        <w:ind w:left="1440" w:right="-50" w:hanging="720"/>
        <w:rPr>
          <w:rFonts w:ascii="Times New Roman" w:hAnsi="Times New Roman"/>
          <w:color w:val="000000"/>
          <w:szCs w:val="22"/>
          <w:lang w:val="pt-BR" w:eastAsia="es-ES"/>
        </w:rPr>
      </w:pPr>
      <w:r w:rsidRPr="00D65A20">
        <w:rPr>
          <w:rFonts w:ascii="Times New Roman" w:hAnsi="Times New Roman"/>
          <w:color w:val="000000"/>
          <w:szCs w:val="22"/>
          <w:u w:val="single"/>
          <w:lang w:val="pt-BR" w:eastAsia="es-ES"/>
        </w:rPr>
        <w:t xml:space="preserve">Recursos </w:t>
      </w:r>
      <w:r w:rsidRPr="00D65A20">
        <w:rPr>
          <w:rFonts w:ascii="Times New Roman" w:eastAsia="Calibri" w:hAnsi="Times New Roman"/>
          <w:szCs w:val="22"/>
          <w:u w:val="single"/>
          <w:lang w:val="pt-BR"/>
        </w:rPr>
        <w:t>do Programa de Bolsas de Estudo e Treinamento</w:t>
      </w:r>
      <w:r w:rsidRPr="00D65A20">
        <w:rPr>
          <w:rFonts w:ascii="Times New Roman" w:hAnsi="Times New Roman"/>
          <w:color w:val="000000"/>
          <w:szCs w:val="22"/>
          <w:u w:val="single"/>
          <w:lang w:val="pt-BR" w:eastAsia="es-ES"/>
        </w:rPr>
        <w:t xml:space="preserve"> OEA</w:t>
      </w:r>
    </w:p>
    <w:p w14:paraId="6E8348A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50"/>
        <w:rPr>
          <w:rFonts w:ascii="Times New Roman" w:hAnsi="Times New Roman"/>
          <w:color w:val="000000"/>
          <w:szCs w:val="22"/>
          <w:lang w:val="pt-BR" w:eastAsia="es-ES"/>
        </w:rPr>
      </w:pPr>
    </w:p>
    <w:p w14:paraId="6E8348A5" w14:textId="77777777" w:rsidR="00D230D1" w:rsidRPr="00D65A20" w:rsidRDefault="00D230D1" w:rsidP="00AA4399">
      <w:pPr>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i/>
          <w:color w:val="000000"/>
          <w:szCs w:val="22"/>
          <w:lang w:val="pt-BR" w:eastAsia="es-ES"/>
        </w:rPr>
      </w:pPr>
      <w:r w:rsidRPr="00D65A20">
        <w:rPr>
          <w:rFonts w:ascii="Times New Roman" w:eastAsia="Calibri" w:hAnsi="Times New Roman"/>
          <w:szCs w:val="22"/>
          <w:lang w:val="pt-BR"/>
        </w:rPr>
        <w:t>Reiterar o parágrafo 22 da resolução AG/RES. 2916 (XLVIII-O/18), o qual endossou as recomendações provisórias e integrais emanadas do Grupo de Trabalho Encarregado de Analisar e Avaliar o Funcionamento de todos os Programas de Bolsas de Estudo e Treinamento da OEA e aprovadas pelo Conselho Interamericano de Desenvolvimento Integral</w:t>
      </w:r>
      <w:r w:rsidRPr="00D65A20">
        <w:rPr>
          <w:rFonts w:ascii="Times New Roman" w:hAnsi="Times New Roman"/>
          <w:color w:val="000000"/>
          <w:szCs w:val="22"/>
          <w:lang w:val="pt-BR" w:eastAsia="es-ES"/>
        </w:rPr>
        <w:t xml:space="preserve"> (CIDI) (</w:t>
      </w:r>
      <w:hyperlink r:id="rId68" w:history="1">
        <w:r w:rsidRPr="00D65A20">
          <w:rPr>
            <w:rFonts w:ascii="Times New Roman" w:eastAsia="Calibri" w:hAnsi="Times New Roman"/>
            <w:color w:val="0000FF"/>
            <w:szCs w:val="22"/>
            <w:u w:val="single"/>
            <w:lang w:val="pt-BR"/>
          </w:rPr>
          <w:t>CIDI/doc.239/17</w:t>
        </w:r>
      </w:hyperlink>
      <w:r w:rsidRPr="00D65A20">
        <w:rPr>
          <w:rFonts w:ascii="Times New Roman" w:hAnsi="Times New Roman"/>
          <w:color w:val="000000"/>
          <w:szCs w:val="22"/>
          <w:lang w:val="pt-BR" w:eastAsia="es-ES"/>
        </w:rPr>
        <w:t xml:space="preserve"> e </w:t>
      </w:r>
      <w:hyperlink r:id="rId69" w:history="1">
        <w:r w:rsidRPr="00D65A20">
          <w:rPr>
            <w:rFonts w:ascii="Times New Roman" w:eastAsia="Calibri" w:hAnsi="Times New Roman"/>
            <w:color w:val="0000FF"/>
            <w:szCs w:val="22"/>
            <w:u w:val="single"/>
            <w:lang w:val="pt-BR"/>
          </w:rPr>
          <w:t>CIDI/doc.256/18</w:t>
        </w:r>
      </w:hyperlink>
      <w:r w:rsidRPr="00D65A20">
        <w:rPr>
          <w:rFonts w:ascii="Times New Roman" w:hAnsi="Times New Roman"/>
          <w:color w:val="000000"/>
          <w:szCs w:val="22"/>
          <w:lang w:val="pt-BR" w:eastAsia="es-ES"/>
        </w:rPr>
        <w:t xml:space="preserve">), </w:t>
      </w:r>
      <w:r w:rsidRPr="00D65A20">
        <w:rPr>
          <w:rFonts w:ascii="Times New Roman" w:eastAsia="Calibri" w:hAnsi="Times New Roman"/>
          <w:szCs w:val="22"/>
          <w:lang w:val="pt-BR"/>
        </w:rPr>
        <w:t>e encarregou o CIDI de supervisionar a implementação desses mandatos</w:t>
      </w:r>
      <w:r w:rsidRPr="00D65A20">
        <w:rPr>
          <w:rFonts w:ascii="Times New Roman" w:hAnsi="Times New Roman"/>
          <w:color w:val="000000"/>
          <w:szCs w:val="22"/>
          <w:lang w:val="pt-BR" w:eastAsia="es-ES"/>
        </w:rPr>
        <w:t>.</w:t>
      </w:r>
    </w:p>
    <w:p w14:paraId="6E8348A6" w14:textId="77777777" w:rsidR="00D230D1" w:rsidRPr="00D65A20" w:rsidRDefault="00D230D1" w:rsidP="00E404F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8A7" w14:textId="77777777" w:rsidR="00D230D1" w:rsidRPr="00D65A20" w:rsidRDefault="00D230D1" w:rsidP="00AA4399">
      <w:pPr>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b/>
          <w:szCs w:val="22"/>
          <w:lang w:val="pt-BR"/>
        </w:rPr>
      </w:pPr>
      <w:r w:rsidRPr="00D65A20">
        <w:rPr>
          <w:rFonts w:ascii="Times New Roman" w:eastAsia="Calibri" w:hAnsi="Times New Roman"/>
          <w:bCs/>
          <w:szCs w:val="22"/>
          <w:lang w:val="pt-BR"/>
        </w:rPr>
        <w:t xml:space="preserve">Reconhecer a resolução CIDI/RES. 337 (LXXXVIII-O/19), “Alocação de recursos em 2019 para os Programas de Bolsas de Estudo e </w:t>
      </w:r>
      <w:r w:rsidR="00692F8B" w:rsidRPr="00D65A20">
        <w:rPr>
          <w:rFonts w:ascii="Times New Roman" w:eastAsia="Calibri" w:hAnsi="Times New Roman"/>
          <w:bCs/>
          <w:szCs w:val="22"/>
          <w:lang w:val="pt-BR"/>
        </w:rPr>
        <w:t xml:space="preserve">Capacitação </w:t>
      </w:r>
      <w:r w:rsidRPr="00D65A20">
        <w:rPr>
          <w:rFonts w:ascii="Times New Roman" w:eastAsia="Calibri" w:hAnsi="Times New Roman"/>
          <w:bCs/>
          <w:szCs w:val="22"/>
          <w:lang w:val="pt-BR"/>
        </w:rPr>
        <w:t>da OEA”, aprovada pelo CIDI em 9 de abril de 2019, a qual assumiu a decisão da Junta Diretora da Agência Interamericana de Cooperação e Desenvolvimento (AICD), aprovada para facilitar a transição para um programa de bolsas de estudo mais sustentável e com melhor relação custo/benefício.</w:t>
      </w:r>
    </w:p>
    <w:p w14:paraId="6E8348A8" w14:textId="77777777" w:rsidR="00D230D1" w:rsidRPr="00D65A20" w:rsidRDefault="00D230D1" w:rsidP="00E404F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szCs w:val="22"/>
          <w:lang w:val="pt-BR"/>
        </w:rPr>
      </w:pPr>
    </w:p>
    <w:p w14:paraId="6E8348A9" w14:textId="77777777" w:rsidR="00D230D1" w:rsidRPr="00D65A20" w:rsidRDefault="00D230D1" w:rsidP="00AA4399">
      <w:pPr>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color w:val="000000"/>
          <w:szCs w:val="22"/>
          <w:lang w:val="pt-BR" w:eastAsia="es-ES"/>
        </w:rPr>
      </w:pPr>
      <w:r w:rsidRPr="00D65A20">
        <w:rPr>
          <w:rFonts w:ascii="Times New Roman" w:eastAsia="Calibri" w:hAnsi="Times New Roman"/>
          <w:szCs w:val="22"/>
          <w:lang w:val="pt-BR"/>
        </w:rPr>
        <w:t>Autorizar a Secretaria-Geral a usar, em 2021, o montante máximo de US$ 1.740.000</w:t>
      </w:r>
      <w:r w:rsidRPr="00D65A20">
        <w:rPr>
          <w:rFonts w:ascii="Times New Roman" w:eastAsia="Calibri" w:hAnsi="Times New Roman"/>
          <w:b/>
          <w:szCs w:val="22"/>
          <w:lang w:val="pt-BR"/>
        </w:rPr>
        <w:t xml:space="preserve"> </w:t>
      </w:r>
      <w:r w:rsidRPr="00D65A20">
        <w:rPr>
          <w:rFonts w:ascii="Times New Roman" w:eastAsia="Calibri" w:hAnsi="Times New Roman"/>
          <w:szCs w:val="22"/>
          <w:lang w:val="pt-BR"/>
        </w:rPr>
        <w:t>do Fundo Ordinário para os Programas de Bolsas de Estudo e Treinamento da OEA, a fim de financiar as atividades dos seguintes programas: Programa de Parcerias para a Educação e a Capacitação (PAEC), Programa de Bolsas de Estudo de Desenvolvimento Profissional (PBDP) e Programas de Bolsas para Estudos Acadêmicos da OEA, de forma a ser definida pela Junta Diretora da AICD.</w:t>
      </w:r>
    </w:p>
    <w:p w14:paraId="6E8348AA" w14:textId="77777777" w:rsidR="00D230D1" w:rsidRPr="00D65A20" w:rsidRDefault="00D230D1" w:rsidP="00E404F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8AB" w14:textId="77777777" w:rsidR="00D230D1" w:rsidRPr="00D65A20" w:rsidRDefault="00D230D1" w:rsidP="00AA4399">
      <w:pPr>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szCs w:val="22"/>
          <w:lang w:val="pt-BR"/>
        </w:rPr>
      </w:pPr>
      <w:r w:rsidRPr="00D65A20">
        <w:rPr>
          <w:rFonts w:ascii="Times New Roman" w:eastAsia="Calibri" w:hAnsi="Times New Roman"/>
          <w:szCs w:val="22"/>
          <w:lang w:val="pt-BR"/>
        </w:rPr>
        <w:t>Instruir a Secretaria-Geral a buscar opções para fortalecer parcerias, inclusive a incorporação de treinamento em idiomas na medida do possível.</w:t>
      </w:r>
    </w:p>
    <w:p w14:paraId="6E8348AD" w14:textId="37BD1485" w:rsidR="00D230D1" w:rsidRPr="00D65A20" w:rsidRDefault="00D230D1" w:rsidP="00AA4399">
      <w:pPr>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color w:val="000000"/>
          <w:szCs w:val="22"/>
          <w:lang w:val="pt-BR" w:eastAsia="es-ES"/>
        </w:rPr>
      </w:pPr>
      <w:r w:rsidRPr="00D65A20">
        <w:rPr>
          <w:rFonts w:ascii="Times New Roman" w:eastAsia="Calibri" w:hAnsi="Times New Roman"/>
          <w:szCs w:val="22"/>
          <w:lang w:val="pt-BR"/>
        </w:rPr>
        <w:lastRenderedPageBreak/>
        <w:t xml:space="preserve">Instruir a Secretaria-Geral a preparar ou atualizar um plano ou política de recapitalização e investimentos </w:t>
      </w:r>
      <w:r w:rsidRPr="00D65A20">
        <w:rPr>
          <w:rFonts w:ascii="Times New Roman" w:eastAsia="Calibri" w:hAnsi="Times New Roman"/>
          <w:bCs/>
          <w:szCs w:val="22"/>
          <w:lang w:val="pt-BR"/>
        </w:rPr>
        <w:t xml:space="preserve">do Fundo de Capital para os Programas de Bolsas de Estudo e </w:t>
      </w:r>
      <w:r w:rsidR="00692F8B" w:rsidRPr="00D65A20">
        <w:rPr>
          <w:rFonts w:ascii="Times New Roman" w:eastAsia="Calibri" w:hAnsi="Times New Roman"/>
          <w:bCs/>
          <w:szCs w:val="22"/>
          <w:lang w:val="pt-BR"/>
        </w:rPr>
        <w:t xml:space="preserve">Capacitação </w:t>
      </w:r>
      <w:r w:rsidRPr="00D65A20">
        <w:rPr>
          <w:rFonts w:ascii="Times New Roman" w:eastAsia="Calibri" w:hAnsi="Times New Roman"/>
          <w:bCs/>
          <w:szCs w:val="22"/>
          <w:lang w:val="pt-BR"/>
        </w:rPr>
        <w:t>da OEA</w:t>
      </w:r>
      <w:r w:rsidRPr="00D65A20">
        <w:rPr>
          <w:rFonts w:ascii="Times New Roman" w:eastAsia="Calibri" w:hAnsi="Times New Roman"/>
          <w:b/>
          <w:szCs w:val="22"/>
          <w:lang w:val="pt-BR"/>
        </w:rPr>
        <w:t xml:space="preserve"> </w:t>
      </w:r>
      <w:r w:rsidRPr="00D65A20">
        <w:rPr>
          <w:rFonts w:ascii="Times New Roman" w:eastAsia="Calibri" w:hAnsi="Times New Roman"/>
          <w:szCs w:val="22"/>
          <w:lang w:val="pt-BR"/>
        </w:rPr>
        <w:t xml:space="preserve">para a consideração da </w:t>
      </w:r>
      <w:r w:rsidRPr="00D65A20">
        <w:rPr>
          <w:rFonts w:ascii="Times New Roman" w:eastAsia="Calibri" w:hAnsi="Times New Roman"/>
          <w:bCs/>
          <w:szCs w:val="22"/>
          <w:lang w:val="pt-BR"/>
        </w:rPr>
        <w:t>Junta Diretora da AICD, a fim de contribuir para a sustentabilidade dos Programas de Bolsas de Estudo e Treinamento da OEA, até 15 de março de 2021.</w:t>
      </w:r>
    </w:p>
    <w:p w14:paraId="6E8348A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color w:val="000000"/>
          <w:szCs w:val="22"/>
          <w:lang w:val="pt-BR" w:eastAsia="es-ES"/>
        </w:rPr>
      </w:pPr>
    </w:p>
    <w:p w14:paraId="6E8348AF" w14:textId="77777777" w:rsidR="00D230D1" w:rsidRPr="00D65A20" w:rsidRDefault="00D230D1" w:rsidP="00AA4399">
      <w:pPr>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color w:val="000000"/>
          <w:szCs w:val="22"/>
          <w:lang w:val="pt-BR" w:eastAsia="es-ES"/>
        </w:rPr>
      </w:pPr>
      <w:r w:rsidRPr="00D65A20">
        <w:rPr>
          <w:rFonts w:ascii="Times New Roman" w:eastAsia="Calibri" w:hAnsi="Times New Roman"/>
          <w:szCs w:val="22"/>
          <w:lang w:val="pt-BR"/>
        </w:rPr>
        <w:t xml:space="preserve">Autorizar a Secretaria-Geral a depositar no Fundo de Capital para os Programas de Bolsas de Estudo e </w:t>
      </w:r>
      <w:r w:rsidR="00692F8B" w:rsidRPr="00D65A20">
        <w:rPr>
          <w:rFonts w:ascii="Times New Roman" w:eastAsia="Calibri" w:hAnsi="Times New Roman"/>
          <w:szCs w:val="22"/>
          <w:lang w:val="pt-BR"/>
        </w:rPr>
        <w:t xml:space="preserve">Capacitação </w:t>
      </w:r>
      <w:r w:rsidRPr="00D65A20">
        <w:rPr>
          <w:rFonts w:ascii="Times New Roman" w:eastAsia="Calibri" w:hAnsi="Times New Roman"/>
          <w:szCs w:val="22"/>
          <w:lang w:val="pt-BR"/>
        </w:rPr>
        <w:t xml:space="preserve">da OEA, conforme o </w:t>
      </w:r>
      <w:r w:rsidR="00692F8B" w:rsidRPr="00D65A20">
        <w:rPr>
          <w:rFonts w:ascii="Times New Roman" w:eastAsia="Calibri" w:hAnsi="Times New Roman"/>
          <w:szCs w:val="22"/>
          <w:lang w:val="pt-BR"/>
        </w:rPr>
        <w:t>a</w:t>
      </w:r>
      <w:r w:rsidRPr="00D65A20">
        <w:rPr>
          <w:rFonts w:ascii="Times New Roman" w:eastAsia="Calibri" w:hAnsi="Times New Roman"/>
          <w:szCs w:val="22"/>
          <w:lang w:val="pt-BR"/>
        </w:rPr>
        <w:t xml:space="preserve">rtigo 18 do Estatuto da AICD, quaisquer fundos não utilizados ou desobrigados de bolsas de estudo, de acordo com o </w:t>
      </w:r>
      <w:r w:rsidR="00692F8B" w:rsidRPr="00D65A20">
        <w:rPr>
          <w:rFonts w:ascii="Times New Roman" w:eastAsia="Calibri" w:hAnsi="Times New Roman"/>
          <w:szCs w:val="22"/>
          <w:lang w:val="pt-BR"/>
        </w:rPr>
        <w:t>o</w:t>
      </w:r>
      <w:r w:rsidRPr="00D65A20">
        <w:rPr>
          <w:rFonts w:ascii="Times New Roman" w:eastAsia="Calibri" w:hAnsi="Times New Roman"/>
          <w:szCs w:val="22"/>
          <w:lang w:val="pt-BR"/>
        </w:rPr>
        <w:t xml:space="preserve">bjeto 3, na proporção permitida no </w:t>
      </w:r>
      <w:r w:rsidR="00692F8B" w:rsidRPr="00D65A20">
        <w:rPr>
          <w:rFonts w:ascii="Times New Roman" w:eastAsia="Calibri" w:hAnsi="Times New Roman"/>
          <w:szCs w:val="22"/>
          <w:lang w:val="pt-BR"/>
        </w:rPr>
        <w:t>a</w:t>
      </w:r>
      <w:r w:rsidRPr="00D65A20">
        <w:rPr>
          <w:rFonts w:ascii="Times New Roman" w:eastAsia="Calibri" w:hAnsi="Times New Roman"/>
          <w:szCs w:val="22"/>
          <w:lang w:val="pt-BR"/>
        </w:rPr>
        <w:t xml:space="preserve">rtigo </w:t>
      </w:r>
      <w:r w:rsidRPr="00D65A20">
        <w:rPr>
          <w:rFonts w:ascii="Times New Roman" w:eastAsia="Calibri" w:hAnsi="Times New Roman"/>
          <w:bCs/>
          <w:szCs w:val="22"/>
          <w:lang w:val="pt-BR"/>
        </w:rPr>
        <w:t>106</w:t>
      </w:r>
      <w:r w:rsidRPr="00D65A20">
        <w:rPr>
          <w:rFonts w:ascii="Times New Roman" w:eastAsia="Calibri" w:hAnsi="Times New Roman"/>
          <w:szCs w:val="22"/>
          <w:lang w:val="pt-BR"/>
        </w:rPr>
        <w:t xml:space="preserve"> das Normas Gerais. Para a execução deste mandato, a Secretaria-Geral deverá consultar o CIDI, por intermédio da Junta Diretora da AICD, e obter a aprovação do Conselho Permanente, por intermédio da CAAP</w:t>
      </w:r>
      <w:r w:rsidRPr="00D65A20">
        <w:rPr>
          <w:rFonts w:ascii="Times New Roman" w:hAnsi="Times New Roman"/>
          <w:color w:val="000000"/>
          <w:szCs w:val="22"/>
          <w:lang w:val="pt-BR" w:eastAsia="es-ES"/>
        </w:rPr>
        <w:t>.</w:t>
      </w:r>
    </w:p>
    <w:p w14:paraId="6E8348B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pt-BR" w:eastAsia="es-ES"/>
        </w:rPr>
      </w:pPr>
    </w:p>
    <w:p w14:paraId="6E8348B1" w14:textId="77777777" w:rsidR="00D230D1" w:rsidRPr="00D65A20" w:rsidRDefault="00D230D1" w:rsidP="00AA4399">
      <w:pPr>
        <w:widowControl/>
        <w:numPr>
          <w:ilvl w:val="0"/>
          <w:numId w:val="42"/>
        </w:numPr>
        <w:tabs>
          <w:tab w:val="clear" w:pos="720"/>
          <w:tab w:val="clear" w:pos="1440"/>
          <w:tab w:val="clear" w:pos="2160"/>
          <w:tab w:val="clear" w:pos="2880"/>
          <w:tab w:val="clear" w:pos="3600"/>
          <w:tab w:val="clear" w:pos="4320"/>
          <w:tab w:val="clear" w:pos="5760"/>
          <w:tab w:val="clear" w:pos="6480"/>
          <w:tab w:val="clear" w:pos="7200"/>
          <w:tab w:val="clear" w:pos="7920"/>
        </w:tabs>
        <w:ind w:left="1440" w:right="-50" w:hanging="720"/>
        <w:rPr>
          <w:rFonts w:ascii="Times New Roman" w:hAnsi="Times New Roman"/>
          <w:color w:val="000000"/>
          <w:szCs w:val="22"/>
          <w:u w:val="single"/>
          <w:lang w:val="pt-BR" w:eastAsia="es-ES"/>
        </w:rPr>
      </w:pPr>
      <w:r w:rsidRPr="00D65A20">
        <w:rPr>
          <w:rFonts w:ascii="Times New Roman" w:hAnsi="Times New Roman"/>
          <w:color w:val="000000"/>
          <w:szCs w:val="22"/>
          <w:u w:val="single"/>
          <w:lang w:val="pt-BR" w:eastAsia="es-ES"/>
        </w:rPr>
        <w:t xml:space="preserve">Fundações assistidas pela OEA </w:t>
      </w:r>
    </w:p>
    <w:p w14:paraId="6E8348B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8B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u w:val="single"/>
          <w:lang w:val="pt-BR" w:eastAsia="es-ES"/>
        </w:rPr>
      </w:pPr>
      <w:r w:rsidRPr="00D65A20">
        <w:rPr>
          <w:rFonts w:ascii="Times New Roman" w:eastAsia="Calibri" w:hAnsi="Times New Roman"/>
          <w:szCs w:val="22"/>
          <w:lang w:val="pt-BR"/>
        </w:rPr>
        <w:t>Solicitar às fundações assistidas pela OEA, a Fundação Pan-Americana de Desenvolvimento e a Fundação para as Américas, que mantenham uma cultura e prática de austeridade, eficácia, eficiência, transparência, prudência e prestação de contas no uso, execução e gestão dos recursos alocados pela Organização.</w:t>
      </w:r>
    </w:p>
    <w:p w14:paraId="6E8348B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8B5" w14:textId="77777777" w:rsidR="00D230D1" w:rsidRPr="00D65A20" w:rsidRDefault="00D230D1" w:rsidP="00AA4399">
      <w:pPr>
        <w:widowControl/>
        <w:numPr>
          <w:ilvl w:val="0"/>
          <w:numId w:val="42"/>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lang w:val="pt-BR" w:eastAsia="es-ES"/>
        </w:rPr>
      </w:pPr>
      <w:r w:rsidRPr="00D65A20">
        <w:rPr>
          <w:rFonts w:ascii="Times New Roman" w:eastAsia="Calibri" w:hAnsi="Times New Roman"/>
          <w:szCs w:val="22"/>
          <w:u w:val="single"/>
          <w:lang w:val="pt-BR"/>
        </w:rPr>
        <w:t>Estabelecimento de um processo estruturado de preparação e apresentação do orçamento</w:t>
      </w:r>
    </w:p>
    <w:p w14:paraId="6E8348B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eastAsia="Calibri" w:hAnsi="Times New Roman"/>
          <w:szCs w:val="22"/>
          <w:lang w:val="pt-BR"/>
        </w:rPr>
      </w:pPr>
    </w:p>
    <w:p w14:paraId="6E8348B7" w14:textId="77777777" w:rsidR="00D230D1" w:rsidRPr="00D65A20" w:rsidRDefault="00D230D1" w:rsidP="00AA4399">
      <w:pPr>
        <w:widowControl/>
        <w:numPr>
          <w:ilvl w:val="1"/>
          <w:numId w:val="4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eastAsia="Calibri" w:hAnsi="Times New Roman"/>
          <w:color w:val="000000"/>
          <w:szCs w:val="22"/>
          <w:lang w:val="pt-BR"/>
        </w:rPr>
      </w:pPr>
      <w:r w:rsidRPr="00D65A20">
        <w:rPr>
          <w:rFonts w:ascii="Times New Roman" w:eastAsia="Calibri" w:hAnsi="Times New Roman"/>
          <w:color w:val="000000"/>
          <w:szCs w:val="22"/>
          <w:lang w:val="pt-BR"/>
        </w:rPr>
        <w:t>Encarregar a Secretaria-Geral de confiar à Secretaria de Administração e Finanças a análise e a preparação do orçamento-programa da Organização, com recursos humanos adequados que disponham de experiência relevante em assuntos orçamentários, em coordenação com todas as áreas e entidades da Organização.</w:t>
      </w:r>
    </w:p>
    <w:p w14:paraId="6E8348B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i/>
          <w:szCs w:val="22"/>
          <w:lang w:val="pt-BR"/>
        </w:rPr>
      </w:pPr>
    </w:p>
    <w:p w14:paraId="6E8348B9" w14:textId="77777777" w:rsidR="00D230D1" w:rsidRPr="00D65A20" w:rsidRDefault="00D230D1" w:rsidP="00AA4399">
      <w:pPr>
        <w:widowControl/>
        <w:numPr>
          <w:ilvl w:val="1"/>
          <w:numId w:val="4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hAnsi="Times New Roman"/>
          <w:color w:val="000000"/>
          <w:szCs w:val="22"/>
          <w:lang w:val="pt-BR" w:eastAsia="es-ES"/>
        </w:rPr>
      </w:pPr>
      <w:r w:rsidRPr="00D65A20">
        <w:rPr>
          <w:rFonts w:ascii="Times New Roman" w:eastAsia="Calibri" w:hAnsi="Times New Roman"/>
          <w:color w:val="000000"/>
          <w:szCs w:val="22"/>
          <w:lang w:val="pt-BR"/>
        </w:rPr>
        <w:t xml:space="preserve">Encarregar a Secretaria-Geral de, com a colaboração direta das diversas Secretarias da Organização, adotar um enfoque rigoroso para elaborar, apresentar de forma clara, executar e avaliar o orçamento-programa, em conformidade com os </w:t>
      </w:r>
      <w:r w:rsidR="00506F24" w:rsidRPr="00D65A20">
        <w:rPr>
          <w:rFonts w:ascii="Times New Roman" w:eastAsia="Calibri" w:hAnsi="Times New Roman"/>
          <w:color w:val="000000"/>
          <w:szCs w:val="22"/>
          <w:lang w:val="pt-BR"/>
        </w:rPr>
        <w:t>c</w:t>
      </w:r>
      <w:r w:rsidRPr="00D65A20">
        <w:rPr>
          <w:rFonts w:ascii="Times New Roman" w:eastAsia="Calibri" w:hAnsi="Times New Roman"/>
          <w:color w:val="000000"/>
          <w:szCs w:val="22"/>
          <w:lang w:val="pt-BR"/>
        </w:rPr>
        <w:t>apítulos IV a VIII das Normas Gerais. O projeto de orçamento-programa deverá incluir uma fundamentação lógica, explicações sobre as variações em relação ao ano anterior e sobre as necessidades de recursos humanos e financeiros de acordo com os resultados esperados. A Secretaria-Geral também incluirá previsões de gastos para dois anos adicionais na preparação de cada proposta anual de orçamento-programa.</w:t>
      </w:r>
    </w:p>
    <w:p w14:paraId="6E8348BA"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8BB" w14:textId="6BC8F706" w:rsidR="00D230D1" w:rsidRPr="00D65A20" w:rsidRDefault="00D230D1" w:rsidP="00AA4399">
      <w:pPr>
        <w:widowControl/>
        <w:numPr>
          <w:ilvl w:val="1"/>
          <w:numId w:val="4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hAnsi="Times New Roman"/>
          <w:color w:val="000000"/>
          <w:szCs w:val="22"/>
          <w:lang w:val="pt-BR" w:eastAsia="es-ES"/>
        </w:rPr>
      </w:pPr>
      <w:r w:rsidRPr="00D65A20">
        <w:rPr>
          <w:rFonts w:ascii="Times New Roman" w:hAnsi="Times New Roman"/>
          <w:color w:val="000000"/>
          <w:szCs w:val="22"/>
          <w:lang w:val="pt-BR" w:eastAsia="es-ES"/>
        </w:rPr>
        <w:t xml:space="preserve">Encarregar </w:t>
      </w:r>
      <w:r w:rsidRPr="00D65A20">
        <w:rPr>
          <w:rFonts w:ascii="Times New Roman" w:eastAsia="Calibri" w:hAnsi="Times New Roman"/>
          <w:szCs w:val="22"/>
          <w:lang w:val="pt-BR"/>
        </w:rPr>
        <w:t>a Secretaria-Geral de continuar utilizando o modelo aprovado pelos Estados membros (</w:t>
      </w:r>
      <w:hyperlink r:id="rId70" w:history="1">
        <w:r w:rsidRPr="00D65A20">
          <w:rPr>
            <w:rFonts w:ascii="Times New Roman" w:hAnsi="Times New Roman"/>
            <w:color w:val="0000FF"/>
            <w:szCs w:val="22"/>
            <w:u w:val="single"/>
            <w:lang w:val="pt-BR"/>
          </w:rPr>
          <w:t>CP/CAAP-3664/20 rev. 1</w:t>
        </w:r>
      </w:hyperlink>
      <w:r w:rsidRPr="00D65A20">
        <w:rPr>
          <w:rFonts w:ascii="Times New Roman" w:hAnsi="Times New Roman"/>
          <w:color w:val="0000FF"/>
          <w:szCs w:val="22"/>
          <w:u w:val="single"/>
          <w:lang w:val="pt-BR"/>
        </w:rPr>
        <w:t>)</w:t>
      </w:r>
      <w:r w:rsidRPr="00D65A20">
        <w:rPr>
          <w:rFonts w:ascii="Times New Roman" w:eastAsia="Calibri" w:hAnsi="Times New Roman"/>
          <w:szCs w:val="22"/>
          <w:lang w:val="pt-BR"/>
        </w:rPr>
        <w:t xml:space="preserve"> quando as secretarias apresentem informações à CAAP sobre o impacto exercido em suas áreas pelas propostas de orçamentos preparadas pela Secretaria de Administração e Finanças. Os modelos completos com informação das Secretarias deverão ser revisados pela Secretaria de Administração e Finanças antes de serem apresentados à CAAP </w:t>
      </w:r>
      <w:r w:rsidRPr="00D65A20">
        <w:rPr>
          <w:rFonts w:ascii="Times New Roman" w:hAnsi="Times New Roman"/>
          <w:color w:val="000000"/>
          <w:szCs w:val="22"/>
          <w:lang w:val="pt-BR" w:eastAsia="es-ES"/>
        </w:rPr>
        <w:t xml:space="preserve">juntamente com o projeto de orçamento-programa da </w:t>
      </w:r>
      <w:r w:rsidRPr="00D65A20">
        <w:rPr>
          <w:rFonts w:ascii="Times New Roman" w:hAnsi="Times New Roman"/>
          <w:color w:val="000000"/>
          <w:szCs w:val="22"/>
          <w:lang w:val="pt-BR" w:eastAsia="es-ES"/>
        </w:rPr>
        <w:lastRenderedPageBreak/>
        <w:t xml:space="preserve">Organização. Por sua vez, as Secretarias deverão conhecer as versões finais dos modelos </w:t>
      </w:r>
      <w:r w:rsidR="0043460F" w:rsidRPr="00D65A20">
        <w:rPr>
          <w:rFonts w:ascii="Times New Roman" w:hAnsi="Times New Roman"/>
          <w:color w:val="000000"/>
          <w:szCs w:val="22"/>
          <w:lang w:val="pt-BR" w:eastAsia="es-ES"/>
        </w:rPr>
        <w:t xml:space="preserve">remetidos </w:t>
      </w:r>
      <w:r w:rsidRPr="00D65A20">
        <w:rPr>
          <w:rFonts w:ascii="Times New Roman" w:hAnsi="Times New Roman"/>
          <w:color w:val="000000"/>
          <w:szCs w:val="22"/>
          <w:lang w:val="pt-BR" w:eastAsia="es-ES"/>
        </w:rPr>
        <w:t>à CAAP.</w:t>
      </w:r>
      <w:r w:rsidRPr="00D65A20">
        <w:rPr>
          <w:rFonts w:ascii="Times New Roman" w:eastAsia="Calibri" w:hAnsi="Times New Roman"/>
          <w:szCs w:val="22"/>
          <w:lang w:val="pt-BR"/>
        </w:rPr>
        <w:t xml:space="preserve"> O modelo deverá incluir, entre</w:t>
      </w:r>
      <w:r w:rsidRPr="00D65A20">
        <w:rPr>
          <w:rFonts w:ascii="Times New Roman" w:hAnsi="Times New Roman"/>
          <w:color w:val="000000"/>
          <w:szCs w:val="22"/>
          <w:lang w:val="pt-BR" w:eastAsia="es-ES"/>
        </w:rPr>
        <w:t xml:space="preserve"> outros:</w:t>
      </w:r>
    </w:p>
    <w:p w14:paraId="6E8348B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8BD" w14:textId="77777777" w:rsidR="00D230D1" w:rsidRPr="00D65A20" w:rsidRDefault="00D230D1" w:rsidP="00AA4399">
      <w:pPr>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contextualSpacing/>
        <w:rPr>
          <w:rFonts w:ascii="Times New Roman" w:hAnsi="Times New Roman"/>
          <w:color w:val="000000"/>
          <w:szCs w:val="22"/>
          <w:lang w:val="pt-BR" w:eastAsia="es-ES"/>
        </w:rPr>
      </w:pPr>
      <w:r w:rsidRPr="00D65A20">
        <w:rPr>
          <w:rFonts w:ascii="Times New Roman" w:hAnsi="Times New Roman"/>
          <w:color w:val="000000"/>
          <w:szCs w:val="22"/>
          <w:lang w:val="pt-BR" w:eastAsia="es-ES"/>
        </w:rPr>
        <w:t xml:space="preserve">uma </w:t>
      </w:r>
      <w:r w:rsidRPr="00D65A20">
        <w:rPr>
          <w:rFonts w:ascii="Times New Roman" w:eastAsia="Calibri" w:hAnsi="Times New Roman"/>
          <w:szCs w:val="22"/>
          <w:lang w:val="pt-BR"/>
        </w:rPr>
        <w:t>tabela indicando o orçamento aprovado do ano anterior, o montante designado, o nível de execução, o nível da nova proposta de</w:t>
      </w:r>
      <w:r w:rsidRPr="00D65A20">
        <w:rPr>
          <w:rFonts w:ascii="Times New Roman" w:hAnsi="Times New Roman"/>
          <w:color w:val="000000"/>
          <w:szCs w:val="22"/>
          <w:lang w:val="pt-BR" w:eastAsia="es-ES"/>
        </w:rPr>
        <w:t xml:space="preserve"> orçamento.</w:t>
      </w:r>
    </w:p>
    <w:p w14:paraId="6E8348BE" w14:textId="77777777" w:rsidR="00D230D1" w:rsidRPr="00D65A20" w:rsidRDefault="00D230D1" w:rsidP="00AA4399">
      <w:pPr>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contextualSpacing/>
        <w:rPr>
          <w:rFonts w:ascii="Times New Roman" w:hAnsi="Times New Roman"/>
          <w:color w:val="000000"/>
          <w:szCs w:val="22"/>
          <w:lang w:val="pt-BR" w:eastAsia="es-ES"/>
        </w:rPr>
      </w:pPr>
      <w:r w:rsidRPr="00D65A20">
        <w:rPr>
          <w:rFonts w:ascii="Times New Roman" w:hAnsi="Times New Roman"/>
          <w:color w:val="000000"/>
          <w:szCs w:val="22"/>
          <w:lang w:val="pt-BR" w:eastAsia="es-ES"/>
        </w:rPr>
        <w:t xml:space="preserve">pontos </w:t>
      </w:r>
      <w:r w:rsidRPr="00D65A20">
        <w:rPr>
          <w:rFonts w:ascii="Times New Roman" w:eastAsia="Calibri" w:hAnsi="Times New Roman"/>
          <w:szCs w:val="22"/>
          <w:lang w:val="pt-BR"/>
        </w:rPr>
        <w:t>em destaque para assinalar os efeitos principais do nível de financiamento</w:t>
      </w:r>
      <w:r w:rsidRPr="00D65A20">
        <w:rPr>
          <w:rFonts w:ascii="Times New Roman" w:hAnsi="Times New Roman"/>
          <w:color w:val="000000"/>
          <w:szCs w:val="22"/>
          <w:lang w:val="pt-BR" w:eastAsia="es-ES"/>
        </w:rPr>
        <w:t xml:space="preserve"> proposto.</w:t>
      </w:r>
    </w:p>
    <w:p w14:paraId="6E8348B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8C0" w14:textId="44EFFB1D" w:rsidR="00D230D1" w:rsidRPr="00D65A20" w:rsidRDefault="00D230D1" w:rsidP="00AA4399">
      <w:pPr>
        <w:widowControl/>
        <w:numPr>
          <w:ilvl w:val="1"/>
          <w:numId w:val="4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hAnsi="Times New Roman"/>
          <w:color w:val="000000"/>
          <w:szCs w:val="22"/>
          <w:lang w:val="pt-BR" w:eastAsia="es-ES"/>
        </w:rPr>
      </w:pPr>
      <w:r w:rsidRPr="00D65A20">
        <w:rPr>
          <w:rFonts w:ascii="Times New Roman" w:hAnsi="Times New Roman"/>
          <w:color w:val="000000"/>
          <w:szCs w:val="22"/>
          <w:lang w:val="pt-BR" w:eastAsia="es-ES"/>
        </w:rPr>
        <w:t xml:space="preserve">Encarregar </w:t>
      </w:r>
      <w:r w:rsidRPr="00D65A20">
        <w:rPr>
          <w:rFonts w:ascii="Times New Roman" w:eastAsia="Calibri" w:hAnsi="Times New Roman"/>
          <w:szCs w:val="22"/>
          <w:lang w:val="pt-BR"/>
        </w:rPr>
        <w:t xml:space="preserve">o Conselho Permanente de que, por meio da CAAP e com o apoio da Secretaria-Geral, continue analisando opções para o estabelecimento de um processo orçamentário separado e independente para os mecanismos de supervisão da OEA, entre eles, </w:t>
      </w:r>
      <w:r w:rsidR="008A7BA2" w:rsidRPr="00D65A20">
        <w:rPr>
          <w:rFonts w:ascii="Times New Roman" w:eastAsia="Calibri" w:hAnsi="Times New Roman"/>
          <w:szCs w:val="22"/>
          <w:lang w:val="pt-BR"/>
        </w:rPr>
        <w:t>a Ouvidoria</w:t>
      </w:r>
      <w:r w:rsidRPr="00D65A20">
        <w:rPr>
          <w:rFonts w:ascii="Times New Roman" w:eastAsia="Calibri" w:hAnsi="Times New Roman"/>
          <w:szCs w:val="22"/>
          <w:lang w:val="pt-BR"/>
        </w:rPr>
        <w:t xml:space="preserve">, </w:t>
      </w:r>
      <w:r w:rsidR="008A7BA2" w:rsidRPr="00D65A20">
        <w:rPr>
          <w:rFonts w:ascii="Times New Roman" w:eastAsia="Calibri" w:hAnsi="Times New Roman"/>
          <w:szCs w:val="22"/>
          <w:lang w:val="pt-BR"/>
        </w:rPr>
        <w:t xml:space="preserve">o Escritório </w:t>
      </w:r>
      <w:r w:rsidRPr="00D65A20">
        <w:rPr>
          <w:rFonts w:ascii="Times New Roman" w:eastAsia="Calibri" w:hAnsi="Times New Roman"/>
          <w:szCs w:val="22"/>
          <w:lang w:val="pt-BR"/>
        </w:rPr>
        <w:t>do Inspetor-Geral e o Tribunal Administrativo (TRIBAD)</w:t>
      </w:r>
      <w:r w:rsidRPr="00D65A20">
        <w:rPr>
          <w:rFonts w:ascii="Times New Roman" w:hAnsi="Times New Roman"/>
          <w:color w:val="000000"/>
          <w:szCs w:val="22"/>
          <w:lang w:val="pt-BR" w:eastAsia="es-ES"/>
        </w:rPr>
        <w:t>. O Conselho Permanente fica autorizado a que, levando em conta as recomendações da CAAP, possa adotar as medidas sobre a matéria.</w:t>
      </w:r>
    </w:p>
    <w:p w14:paraId="6E8348C1" w14:textId="77777777" w:rsidR="00D230D1" w:rsidRPr="00D65A20" w:rsidRDefault="00D230D1" w:rsidP="00767D31">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color w:val="000000"/>
          <w:szCs w:val="22"/>
          <w:lang w:val="pt-BR" w:eastAsia="es-ES"/>
        </w:rPr>
      </w:pPr>
    </w:p>
    <w:p w14:paraId="6E8348C2" w14:textId="0F884C14" w:rsidR="00D230D1" w:rsidRPr="00D65A20" w:rsidRDefault="00D230D1" w:rsidP="00AA4399">
      <w:pPr>
        <w:widowControl/>
        <w:numPr>
          <w:ilvl w:val="1"/>
          <w:numId w:val="4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hAnsi="Times New Roman"/>
          <w:color w:val="000000"/>
          <w:szCs w:val="22"/>
          <w:lang w:val="pt-BR" w:eastAsia="es-ES"/>
        </w:rPr>
      </w:pPr>
      <w:r w:rsidRPr="00D65A20">
        <w:rPr>
          <w:rFonts w:ascii="Times New Roman" w:hAnsi="Times New Roman"/>
          <w:color w:val="000000"/>
          <w:szCs w:val="22"/>
          <w:lang w:val="pt-BR" w:eastAsia="es-ES"/>
        </w:rPr>
        <w:t xml:space="preserve">Encarregar a Secretaria-Geral de levar em consideração, quando as circunstâncias assim permitirem, a necessidade de haver equidade entre os quatro pilares programáticos no processo de preparação do orçamento, a fim de assegurar que as dotações propostas permitam o cumprimento dos mandatos acordados pelos órgãos políticos da Organização, e encarregar também a Secretaria-Geral de apresentar à CAAP, </w:t>
      </w:r>
      <w:r w:rsidR="00AB4B8B" w:rsidRPr="00D65A20">
        <w:rPr>
          <w:rFonts w:ascii="Times New Roman" w:hAnsi="Times New Roman"/>
          <w:color w:val="000000"/>
          <w:szCs w:val="22"/>
          <w:lang w:val="pt-BR" w:eastAsia="es-ES"/>
        </w:rPr>
        <w:t>até</w:t>
      </w:r>
      <w:r w:rsidRPr="00D65A20">
        <w:rPr>
          <w:rFonts w:ascii="Times New Roman" w:hAnsi="Times New Roman"/>
          <w:color w:val="000000"/>
          <w:szCs w:val="22"/>
          <w:lang w:val="pt-BR" w:eastAsia="es-ES"/>
        </w:rPr>
        <w:t xml:space="preserve"> 28 de fevereiro de 2021, considerações sobre a viabilidade de se obter equidade na distribuição de recursos </w:t>
      </w:r>
      <w:r w:rsidR="00E60BBC" w:rsidRPr="00D65A20">
        <w:rPr>
          <w:rFonts w:ascii="Times New Roman" w:hAnsi="Times New Roman"/>
          <w:color w:val="000000"/>
          <w:szCs w:val="22"/>
          <w:lang w:val="pt-BR" w:eastAsia="es-ES"/>
        </w:rPr>
        <w:t>do orçamento-programa para 2022</w:t>
      </w:r>
      <w:r w:rsidR="00E60BBC">
        <w:rPr>
          <w:rFonts w:ascii="Times New Roman" w:hAnsi="Times New Roman"/>
          <w:color w:val="000000"/>
          <w:szCs w:val="22"/>
          <w:lang w:val="pt-BR" w:eastAsia="es-ES"/>
        </w:rPr>
        <w:t xml:space="preserve"> </w:t>
      </w:r>
      <w:r w:rsidRPr="00D65A20">
        <w:rPr>
          <w:rFonts w:ascii="Times New Roman" w:hAnsi="Times New Roman"/>
          <w:color w:val="000000"/>
          <w:szCs w:val="22"/>
          <w:lang w:val="pt-BR" w:eastAsia="es-ES"/>
        </w:rPr>
        <w:t>entre os pilares.</w:t>
      </w:r>
    </w:p>
    <w:p w14:paraId="6E8348C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u w:val="single"/>
          <w:lang w:val="pt-BR"/>
        </w:rPr>
      </w:pPr>
    </w:p>
    <w:p w14:paraId="6E8348C4" w14:textId="7ADB53D5"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eastAsia="Calibri" w:hAnsi="Times New Roman"/>
          <w:szCs w:val="22"/>
          <w:lang w:val="pt-BR"/>
        </w:rPr>
      </w:pPr>
      <w:r w:rsidRPr="00D65A20">
        <w:rPr>
          <w:rFonts w:ascii="Times New Roman" w:eastAsia="Calibri" w:hAnsi="Times New Roman"/>
          <w:szCs w:val="22"/>
          <w:lang w:val="pt-BR"/>
        </w:rPr>
        <w:t>8.</w:t>
      </w:r>
      <w:r w:rsidRPr="00D65A20">
        <w:rPr>
          <w:rFonts w:ascii="Times New Roman" w:eastAsia="Calibri" w:hAnsi="Times New Roman"/>
          <w:szCs w:val="22"/>
          <w:lang w:val="pt-BR"/>
        </w:rPr>
        <w:tab/>
      </w:r>
      <w:r w:rsidRPr="00D65A20">
        <w:rPr>
          <w:rFonts w:ascii="Times New Roman" w:eastAsia="Calibri" w:hAnsi="Times New Roman"/>
          <w:szCs w:val="22"/>
          <w:u w:val="single"/>
          <w:lang w:val="pt-BR"/>
        </w:rPr>
        <w:t>Realização de um estudo técnico para a análise da Metodologia para o Cálculo da Escala de Cotas para o Financiamento do Fundo Ordinário da Organização</w:t>
      </w:r>
    </w:p>
    <w:p w14:paraId="6E8348C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w:hAnsi="Times New Roman"/>
          <w:i/>
          <w:szCs w:val="22"/>
          <w:lang w:val="pt-BR"/>
        </w:rPr>
      </w:pPr>
    </w:p>
    <w:p w14:paraId="6E8348C6" w14:textId="28603009"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bCs/>
          <w:szCs w:val="22"/>
          <w:bdr w:val="none" w:sz="0" w:space="0" w:color="auto" w:frame="1"/>
          <w:lang w:val="pt-BR"/>
        </w:rPr>
      </w:pPr>
      <w:r w:rsidRPr="00D65A20">
        <w:rPr>
          <w:rFonts w:ascii="Times New Roman" w:eastAsia="Calibri" w:hAnsi="Times New Roman"/>
          <w:szCs w:val="22"/>
          <w:bdr w:val="none" w:sz="0" w:space="0" w:color="auto" w:frame="1"/>
          <w:lang w:val="pt-BR"/>
        </w:rPr>
        <w:t>Tomar nota da apresentação feita pela Secretaria-Geral ao Grupo de Trabalho da CAAP, em 28 de setembro de 2020, sobre o progresso do mandato estabelecido na resolução CP/RES</w:t>
      </w:r>
      <w:r w:rsidRPr="00D65A20">
        <w:rPr>
          <w:rFonts w:ascii="Times New Roman" w:eastAsia="Calibri" w:hAnsi="Times New Roman"/>
          <w:szCs w:val="22"/>
          <w:lang w:val="pt-BR"/>
        </w:rPr>
        <w:t>.</w:t>
      </w:r>
      <w:r w:rsidRPr="00D65A20">
        <w:rPr>
          <w:rFonts w:ascii="Times New Roman" w:eastAsia="Calibri" w:hAnsi="Times New Roman"/>
          <w:szCs w:val="22"/>
          <w:bdr w:val="none" w:sz="0" w:space="0" w:color="auto" w:frame="1"/>
          <w:lang w:val="pt-BR"/>
        </w:rPr>
        <w:t xml:space="preserve"> 1104 (2168/18)</w:t>
      </w:r>
      <w:r w:rsidR="00BA5EB4" w:rsidRPr="00D65A20">
        <w:rPr>
          <w:rFonts w:ascii="Times New Roman" w:eastAsia="Calibri" w:hAnsi="Times New Roman"/>
          <w:szCs w:val="22"/>
          <w:bdr w:val="none" w:sz="0" w:space="0" w:color="auto" w:frame="1"/>
          <w:lang w:val="pt-BR"/>
        </w:rPr>
        <w:t xml:space="preserve"> rev. 1</w:t>
      </w:r>
      <w:r w:rsidRPr="00D65A20">
        <w:rPr>
          <w:rFonts w:ascii="Times New Roman" w:eastAsia="Calibri" w:hAnsi="Times New Roman"/>
          <w:szCs w:val="22"/>
          <w:bdr w:val="none" w:sz="0" w:space="0" w:color="auto" w:frame="1"/>
          <w:lang w:val="pt-BR"/>
        </w:rPr>
        <w:t xml:space="preserve">, aprovado pela Assembleia Geral mediante a resolução </w:t>
      </w:r>
      <w:r w:rsidRPr="00D65A20">
        <w:rPr>
          <w:rFonts w:ascii="Times New Roman" w:eastAsia="Calibri" w:hAnsi="Times New Roman"/>
          <w:szCs w:val="22"/>
          <w:lang w:val="pt-BR"/>
        </w:rPr>
        <w:t xml:space="preserve">AG/RES.  1 (LIII-E/18), e instruir </w:t>
      </w:r>
      <w:r w:rsidRPr="00D65A20">
        <w:rPr>
          <w:rFonts w:ascii="Times New Roman" w:eastAsia="Calibri" w:hAnsi="Times New Roman"/>
          <w:szCs w:val="22"/>
          <w:bdr w:val="none" w:sz="0" w:space="0" w:color="auto" w:frame="1"/>
          <w:lang w:val="pt-BR"/>
        </w:rPr>
        <w:t xml:space="preserve">a CAAP a que considere e coordene a realização de um estudo técnico por um grupo independente de peritos sobre a Metodologia para o Cálculo da Escala de Cotas para o Financiamento do Fundo Ordinário, sem pressões sobre o Fundo Ordinário, </w:t>
      </w:r>
      <w:r w:rsidR="005A0B60" w:rsidRPr="00D65A20">
        <w:rPr>
          <w:rFonts w:ascii="Times New Roman" w:eastAsia="Calibri" w:hAnsi="Times New Roman"/>
          <w:szCs w:val="22"/>
          <w:bdr w:val="none" w:sz="0" w:space="0" w:color="auto" w:frame="1"/>
          <w:lang w:val="pt-BR"/>
        </w:rPr>
        <w:t xml:space="preserve">o Fundo de </w:t>
      </w:r>
      <w:r w:rsidRPr="00D65A20">
        <w:rPr>
          <w:rFonts w:ascii="Times New Roman" w:eastAsia="Calibri" w:hAnsi="Times New Roman"/>
          <w:szCs w:val="22"/>
          <w:bdr w:val="none" w:sz="0" w:space="0" w:color="auto" w:frame="1"/>
          <w:lang w:val="pt-BR"/>
        </w:rPr>
        <w:t xml:space="preserve">RCI e </w:t>
      </w:r>
      <w:r w:rsidR="00D67C7B" w:rsidRPr="00D65A20">
        <w:rPr>
          <w:rFonts w:ascii="Times New Roman" w:eastAsia="Calibri" w:hAnsi="Times New Roman"/>
          <w:szCs w:val="22"/>
          <w:bdr w:val="none" w:sz="0" w:space="0" w:color="auto" w:frame="1"/>
          <w:lang w:val="pt-BR"/>
        </w:rPr>
        <w:t>seus correspondentes</w:t>
      </w:r>
      <w:r w:rsidR="005A0B60" w:rsidRPr="00D65A20">
        <w:rPr>
          <w:rFonts w:ascii="Times New Roman" w:eastAsia="Calibri" w:hAnsi="Times New Roman"/>
          <w:szCs w:val="22"/>
          <w:bdr w:val="none" w:sz="0" w:space="0" w:color="auto" w:frame="1"/>
          <w:lang w:val="pt-BR"/>
        </w:rPr>
        <w:t xml:space="preserve"> Subfundo</w:t>
      </w:r>
      <w:r w:rsidR="00D67C7B" w:rsidRPr="00D65A20">
        <w:rPr>
          <w:rFonts w:ascii="Times New Roman" w:eastAsia="Calibri" w:hAnsi="Times New Roman"/>
          <w:szCs w:val="22"/>
          <w:bdr w:val="none" w:sz="0" w:space="0" w:color="auto" w:frame="1"/>
          <w:lang w:val="pt-BR"/>
        </w:rPr>
        <w:t>s</w:t>
      </w:r>
      <w:r w:rsidR="005A0B60" w:rsidRPr="00D65A20">
        <w:rPr>
          <w:rFonts w:ascii="Times New Roman" w:eastAsia="Calibri" w:hAnsi="Times New Roman"/>
          <w:szCs w:val="22"/>
          <w:bdr w:val="none" w:sz="0" w:space="0" w:color="auto" w:frame="1"/>
          <w:lang w:val="pt-BR"/>
        </w:rPr>
        <w:t xml:space="preserve"> </w:t>
      </w:r>
      <w:r w:rsidRPr="00D65A20">
        <w:rPr>
          <w:rFonts w:ascii="Times New Roman" w:eastAsia="Calibri" w:hAnsi="Times New Roman"/>
          <w:szCs w:val="22"/>
          <w:bdr w:val="none" w:sz="0" w:space="0" w:color="auto" w:frame="1"/>
          <w:lang w:val="pt-BR"/>
        </w:rPr>
        <w:t>de Reserva, cujas conclusões poderá utilizar para apresentar ao</w:t>
      </w:r>
      <w:r w:rsidRPr="00D65A20">
        <w:rPr>
          <w:rFonts w:ascii="Times New Roman" w:eastAsia="Calibri" w:hAnsi="Times New Roman"/>
          <w:szCs w:val="22"/>
          <w:lang w:val="pt-BR"/>
        </w:rPr>
        <w:t xml:space="preserve"> Conselho Permanente recomendações e, se for o caso, uma proposta de Metodologia para o Cálculo da Escala de Cotas para Financiar a Organização, para consideração e aprovação da Assembleia Geral em um período ordinário de sessões posterior.</w:t>
      </w:r>
    </w:p>
    <w:p w14:paraId="6E8348C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trike/>
          <w:color w:val="000000"/>
          <w:szCs w:val="22"/>
          <w:lang w:val="pt-BR"/>
        </w:rPr>
      </w:pPr>
    </w:p>
    <w:p w14:paraId="6E8348C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530" w:hanging="810"/>
        <w:rPr>
          <w:rFonts w:ascii="Times New Roman" w:hAnsi="Times New Roman"/>
          <w:color w:val="000000"/>
          <w:szCs w:val="22"/>
          <w:lang w:val="pt-BR"/>
        </w:rPr>
      </w:pPr>
      <w:r w:rsidRPr="00D65A20">
        <w:rPr>
          <w:rFonts w:ascii="Times New Roman" w:eastAsia="Calibri" w:hAnsi="Times New Roman"/>
          <w:color w:val="000000"/>
          <w:szCs w:val="22"/>
          <w:lang w:val="pt-BR"/>
        </w:rPr>
        <w:t>9</w:t>
      </w:r>
      <w:r w:rsidR="00022A54" w:rsidRPr="00D65A20">
        <w:rPr>
          <w:rFonts w:ascii="Times New Roman" w:eastAsia="Calibri" w:hAnsi="Times New Roman"/>
          <w:color w:val="000000"/>
          <w:szCs w:val="22"/>
          <w:lang w:val="pt-BR"/>
        </w:rPr>
        <w:t>.</w:t>
      </w:r>
      <w:r w:rsidRPr="00D65A20">
        <w:rPr>
          <w:rFonts w:ascii="Times New Roman" w:eastAsia="Calibri" w:hAnsi="Times New Roman"/>
          <w:color w:val="000000"/>
          <w:szCs w:val="22"/>
          <w:lang w:val="pt-BR"/>
        </w:rPr>
        <w:tab/>
      </w:r>
      <w:r w:rsidRPr="00D65A20">
        <w:rPr>
          <w:rFonts w:ascii="Times New Roman" w:hAnsi="Times New Roman"/>
          <w:color w:val="000000"/>
          <w:szCs w:val="22"/>
          <w:u w:val="single"/>
          <w:lang w:val="pt-BR"/>
        </w:rPr>
        <w:t xml:space="preserve">Revisão </w:t>
      </w:r>
      <w:r w:rsidRPr="00D65A20">
        <w:rPr>
          <w:rFonts w:ascii="Times New Roman" w:eastAsia="Calibri" w:hAnsi="Times New Roman"/>
          <w:szCs w:val="22"/>
          <w:u w:val="single"/>
          <w:lang w:val="pt-BR"/>
        </w:rPr>
        <w:t>das Normas Gerais para o Funcionamento da Secretaria-Geral da Organização dos</w:t>
      </w:r>
      <w:r w:rsidRPr="00D65A20">
        <w:rPr>
          <w:rFonts w:ascii="Times New Roman" w:hAnsi="Times New Roman"/>
          <w:color w:val="000000"/>
          <w:szCs w:val="22"/>
          <w:u w:val="single"/>
          <w:lang w:val="pt-BR"/>
        </w:rPr>
        <w:t xml:space="preserve"> Estados Americanos</w:t>
      </w:r>
    </w:p>
    <w:p w14:paraId="6E8348C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6E8348CA" w14:textId="26C69BBB" w:rsidR="00D230D1" w:rsidRPr="00D65A20" w:rsidRDefault="00D230D1" w:rsidP="00AA4399">
      <w:pPr>
        <w:widowControl/>
        <w:numPr>
          <w:ilvl w:val="1"/>
          <w:numId w:val="47"/>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hAnsi="Times New Roman"/>
          <w:color w:val="000000"/>
          <w:szCs w:val="22"/>
          <w:lang w:val="pt-BR"/>
        </w:rPr>
      </w:pPr>
      <w:r w:rsidRPr="00D65A20">
        <w:rPr>
          <w:rFonts w:ascii="Times New Roman" w:eastAsia="Arial Unicode MS" w:hAnsi="Times New Roman"/>
          <w:szCs w:val="22"/>
          <w:lang w:val="pt-BR"/>
        </w:rPr>
        <w:t xml:space="preserve">Reiterar o mandato constante da resolução </w:t>
      </w:r>
      <w:hyperlink r:id="rId71" w:history="1">
        <w:r w:rsidRPr="00D65A20">
          <w:rPr>
            <w:rFonts w:ascii="Times New Roman" w:eastAsia="Arial Unicode MS" w:hAnsi="Times New Roman"/>
            <w:color w:val="0000FF"/>
            <w:szCs w:val="22"/>
            <w:u w:val="single"/>
            <w:lang w:val="pt-BR"/>
          </w:rPr>
          <w:t>AG/RES. 1 (XLVIII-E/14) rev. 1</w:t>
        </w:r>
      </w:hyperlink>
      <w:r w:rsidRPr="00D65A20">
        <w:rPr>
          <w:rFonts w:ascii="Times New Roman" w:eastAsia="Arial Unicode MS" w:hAnsi="Times New Roman"/>
          <w:szCs w:val="22"/>
          <w:lang w:val="pt-BR"/>
        </w:rPr>
        <w:t xml:space="preserve">, que encarregou o Conselho Permanente de, por meio da CAAP, conduzir uma revisão integral das Normas Gerais, em especial dos capítulos VII e VIII, e instruir a CAAP a revisar esses capítulos e apresentar à Assembleia Geral, em seu Quinquagésimo Primeiro Período Ordinário de Sessões, as </w:t>
      </w:r>
      <w:r w:rsidRPr="00D65A20">
        <w:rPr>
          <w:rFonts w:ascii="Times New Roman" w:eastAsia="Arial Unicode MS" w:hAnsi="Times New Roman"/>
          <w:szCs w:val="22"/>
          <w:lang w:val="pt-BR"/>
        </w:rPr>
        <w:lastRenderedPageBreak/>
        <w:t>conclusões de tal revisão e análise e, se for o caso, as recomendações que delas possam decorrer. A proposta incluirá regras de estabilidade e disciplina financeira e orçamentária para garantir a sustentabilidade da Organização no</w:t>
      </w:r>
      <w:r w:rsidR="00791299" w:rsidRPr="00D65A20">
        <w:rPr>
          <w:rFonts w:ascii="Times New Roman" w:eastAsia="Arial Unicode MS" w:hAnsi="Times New Roman"/>
          <w:szCs w:val="22"/>
          <w:lang w:val="pt-BR"/>
        </w:rPr>
        <w:t xml:space="preserve"> </w:t>
      </w:r>
      <w:r w:rsidRPr="00D65A20">
        <w:rPr>
          <w:rFonts w:ascii="Times New Roman" w:eastAsia="Arial Unicode MS" w:hAnsi="Times New Roman"/>
          <w:szCs w:val="22"/>
          <w:lang w:val="pt-BR"/>
        </w:rPr>
        <w:t>médio e longo prazo</w:t>
      </w:r>
      <w:r w:rsidRPr="00D65A20">
        <w:rPr>
          <w:rFonts w:ascii="Times New Roman" w:eastAsia="Arial Unicode MS" w:hAnsi="Times New Roman"/>
          <w:color w:val="000000"/>
          <w:szCs w:val="22"/>
          <w:lang w:val="pt-BR"/>
        </w:rPr>
        <w:t>.</w:t>
      </w:r>
    </w:p>
    <w:p w14:paraId="6E8348CB" w14:textId="77777777" w:rsidR="00D230D1" w:rsidRPr="00D65A20" w:rsidRDefault="00D230D1" w:rsidP="00767D3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bookmarkStart w:id="140" w:name="_faq2ymmt7xmj"/>
      <w:bookmarkEnd w:id="140"/>
    </w:p>
    <w:p w14:paraId="6E8348CC" w14:textId="0D1F83B8" w:rsidR="00D230D1" w:rsidRPr="00D65A20" w:rsidRDefault="00D230D1" w:rsidP="00AA4399">
      <w:pPr>
        <w:widowControl/>
        <w:numPr>
          <w:ilvl w:val="1"/>
          <w:numId w:val="47"/>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hAnsi="Times New Roman"/>
          <w:color w:val="000000"/>
          <w:szCs w:val="22"/>
          <w:lang w:val="pt-BR"/>
        </w:rPr>
      </w:pPr>
      <w:bookmarkStart w:id="141" w:name="_3znysh7"/>
      <w:bookmarkEnd w:id="141"/>
      <w:r w:rsidRPr="00D65A20">
        <w:rPr>
          <w:rFonts w:ascii="Times New Roman" w:eastAsia="Arial Unicode MS" w:hAnsi="Times New Roman"/>
          <w:szCs w:val="22"/>
          <w:lang w:val="pt-BR"/>
        </w:rPr>
        <w:t>Encarregar o Secretário-Geral de acompanhar todos os pedidos de transferência de recursos que requeiram aprovação do Conselho Permanente com opções baseadas em economias e eficiências dos capítulos do orçamento-programa, informando onde os recursos podem ser obtidos e uma lógica para cada opção.</w:t>
      </w:r>
    </w:p>
    <w:p w14:paraId="6E8348CD" w14:textId="77777777" w:rsidR="00022A54" w:rsidRPr="00D65A20" w:rsidRDefault="00022A54"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color w:val="000000"/>
          <w:szCs w:val="22"/>
          <w:lang w:val="pt-BR"/>
        </w:rPr>
      </w:pPr>
    </w:p>
    <w:p w14:paraId="6E8348CE" w14:textId="77777777" w:rsidR="00D230D1" w:rsidRPr="00D65A20" w:rsidRDefault="00D230D1" w:rsidP="00AA4399">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u w:val="single"/>
          <w:lang w:val="pt-BR" w:eastAsia="es-ES"/>
        </w:rPr>
      </w:pPr>
      <w:r w:rsidRPr="00D65A20">
        <w:rPr>
          <w:rFonts w:ascii="Times New Roman" w:hAnsi="Times New Roman"/>
          <w:color w:val="000000"/>
          <w:szCs w:val="22"/>
          <w:u w:val="single"/>
          <w:lang w:val="pt-BR" w:eastAsia="es-ES"/>
        </w:rPr>
        <w:t>Viagens oficiais</w:t>
      </w:r>
    </w:p>
    <w:p w14:paraId="6E8348C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8D0" w14:textId="77777777" w:rsidR="00D230D1" w:rsidRPr="00D65A20" w:rsidRDefault="00D230D1" w:rsidP="00AA4399">
      <w:pPr>
        <w:widowControl/>
        <w:numPr>
          <w:ilvl w:val="1"/>
          <w:numId w:val="48"/>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hAnsi="Times New Roman"/>
          <w:bCs/>
          <w:color w:val="000000"/>
          <w:szCs w:val="22"/>
          <w:lang w:val="pt-BR" w:eastAsia="es-ES"/>
        </w:rPr>
      </w:pPr>
      <w:r w:rsidRPr="00D65A20">
        <w:rPr>
          <w:rFonts w:ascii="Times New Roman" w:hAnsi="Times New Roman"/>
          <w:bCs/>
          <w:color w:val="000000"/>
          <w:szCs w:val="22"/>
          <w:lang w:val="pt-BR" w:eastAsia="es-ES"/>
        </w:rPr>
        <w:t>Instruir o Secretário-Geral, o Secretário-Geral Adjunto e os secretários de todos os capítulos, inclusive os dos organismos especializados e entidades, a que apresentem trimestralmente ao Conselho Permanente um relatório detalhado das atividades de seus escritórios fora da sede, contendo, entre outras, as seguintes informações: datas das viagens, destino, delegação e objetivo da viagem, com uma menção sobre qual é o mandato aprovado pelos Estados membros que justifica a viagem.</w:t>
      </w:r>
    </w:p>
    <w:p w14:paraId="6E8348D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8D2" w14:textId="08913423"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bCs/>
          <w:color w:val="000000"/>
          <w:szCs w:val="22"/>
          <w:lang w:val="pt-BR" w:eastAsia="es-ES"/>
        </w:rPr>
      </w:pPr>
      <w:r w:rsidRPr="00D65A20">
        <w:rPr>
          <w:rFonts w:ascii="Times New Roman" w:hAnsi="Times New Roman"/>
          <w:bCs/>
          <w:color w:val="000000"/>
          <w:szCs w:val="22"/>
          <w:lang w:val="pt-BR" w:eastAsia="es-ES"/>
        </w:rPr>
        <w:t>b)</w:t>
      </w:r>
      <w:r w:rsidRPr="00D65A20">
        <w:rPr>
          <w:rFonts w:ascii="Times New Roman" w:hAnsi="Times New Roman"/>
          <w:bCs/>
          <w:color w:val="000000"/>
          <w:szCs w:val="22"/>
          <w:lang w:val="pt-BR" w:eastAsia="es-ES"/>
        </w:rPr>
        <w:tab/>
        <w:t>Encarregar a Secretaria Geral de publicar em sua página eletrônica os relatórios solicitados no parágrafo anterior.</w:t>
      </w:r>
    </w:p>
    <w:p w14:paraId="6E8348D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8D4" w14:textId="77777777" w:rsidR="00D230D1" w:rsidRPr="00D65A20" w:rsidRDefault="00D230D1" w:rsidP="00AA4399">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lang w:val="pt-BR" w:eastAsia="es-ES"/>
        </w:rPr>
      </w:pPr>
      <w:r w:rsidRPr="00D65A20">
        <w:rPr>
          <w:rFonts w:ascii="Times New Roman" w:hAnsi="Times New Roman"/>
          <w:color w:val="000000"/>
          <w:szCs w:val="22"/>
          <w:u w:val="single"/>
          <w:lang w:val="pt-BR" w:eastAsia="es-ES"/>
        </w:rPr>
        <w:t>Diárias</w:t>
      </w:r>
    </w:p>
    <w:p w14:paraId="6E8348D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8D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r w:rsidRPr="00D65A20">
        <w:rPr>
          <w:rFonts w:ascii="Times New Roman" w:hAnsi="Times New Roman"/>
          <w:color w:val="000000"/>
          <w:szCs w:val="22"/>
          <w:lang w:val="pt-BR" w:eastAsia="es-ES"/>
        </w:rPr>
        <w:tab/>
      </w:r>
      <w:r w:rsidRPr="00D65A20">
        <w:rPr>
          <w:rFonts w:ascii="Times New Roman" w:eastAsia="Calibri" w:hAnsi="Times New Roman"/>
          <w:szCs w:val="22"/>
          <w:lang w:val="pt-BR"/>
        </w:rPr>
        <w:t xml:space="preserve">Solicitar à Secretaria-Geral que </w:t>
      </w:r>
      <w:r w:rsidRPr="00D65A20">
        <w:rPr>
          <w:rFonts w:ascii="Times New Roman" w:eastAsia="Calibri" w:hAnsi="Times New Roman"/>
          <w:bCs/>
          <w:szCs w:val="22"/>
          <w:lang w:val="pt-BR"/>
        </w:rPr>
        <w:t>apresente uma proposta sobre</w:t>
      </w:r>
      <w:r w:rsidRPr="00D65A20">
        <w:rPr>
          <w:rFonts w:ascii="Times New Roman" w:eastAsia="Calibri" w:hAnsi="Times New Roman"/>
          <w:szCs w:val="22"/>
          <w:lang w:val="pt-BR"/>
        </w:rPr>
        <w:t xml:space="preserve"> novas regras e procedimentos, inclusive sanções, para viagens oficiais na OEA, substituindo o atual sistema de pagamentos automáticos baseados em uma escala predeterminada por outro que contemple um reconhecimento pecuniário do período de missão oficial e que adote como critérios</w:t>
      </w:r>
      <w:r w:rsidRPr="00D65A20">
        <w:rPr>
          <w:rFonts w:ascii="Times New Roman" w:hAnsi="Times New Roman"/>
          <w:color w:val="000000"/>
          <w:szCs w:val="22"/>
          <w:lang w:val="pt-BR" w:eastAsia="es-ES"/>
        </w:rPr>
        <w:t>:</w:t>
      </w:r>
    </w:p>
    <w:p w14:paraId="6E8348D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8D8" w14:textId="77777777" w:rsidR="00D230D1" w:rsidRPr="00D65A20" w:rsidRDefault="00D230D1" w:rsidP="00AA4399">
      <w:pPr>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eastAsia="Arial Unicode MS" w:hAnsi="Times New Roman"/>
          <w:color w:val="000000"/>
          <w:szCs w:val="22"/>
          <w:lang w:val="pt-BR"/>
        </w:rPr>
      </w:pPr>
      <w:r w:rsidRPr="00D65A20">
        <w:rPr>
          <w:rFonts w:ascii="Times New Roman" w:eastAsia="Arial Unicode MS" w:hAnsi="Times New Roman"/>
          <w:color w:val="000000"/>
          <w:szCs w:val="22"/>
          <w:lang w:val="pt-BR"/>
        </w:rPr>
        <w:t>A apresentação de comprovante de despesa de hospedagem; em caso de não existir o comprovante, o valor máximo será de US$ 50.</w:t>
      </w:r>
    </w:p>
    <w:p w14:paraId="6E8348D9" w14:textId="0D0CD109" w:rsidR="00D230D1" w:rsidRPr="00D65A20" w:rsidRDefault="00D230D1" w:rsidP="00AA4399">
      <w:pPr>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eastAsia="Arial Unicode MS" w:hAnsi="Times New Roman"/>
          <w:bCs/>
          <w:color w:val="000000"/>
          <w:szCs w:val="22"/>
          <w:lang w:val="pt-BR"/>
        </w:rPr>
      </w:pPr>
      <w:r w:rsidRPr="00D65A20">
        <w:rPr>
          <w:rFonts w:ascii="Times New Roman" w:eastAsia="Arial Unicode MS" w:hAnsi="Times New Roman"/>
          <w:bCs/>
          <w:color w:val="000000"/>
          <w:szCs w:val="22"/>
          <w:lang w:val="pt-BR"/>
        </w:rPr>
        <w:t xml:space="preserve">Metodologia </w:t>
      </w:r>
      <w:r w:rsidR="006E10EA" w:rsidRPr="00D65A20">
        <w:rPr>
          <w:rFonts w:ascii="Times New Roman" w:eastAsia="Arial Unicode MS" w:hAnsi="Times New Roman"/>
          <w:bCs/>
          <w:color w:val="000000"/>
          <w:szCs w:val="22"/>
          <w:lang w:val="pt-BR"/>
        </w:rPr>
        <w:t xml:space="preserve">para o </w:t>
      </w:r>
      <w:r w:rsidRPr="00D65A20">
        <w:rPr>
          <w:rFonts w:ascii="Times New Roman" w:eastAsia="Arial Unicode MS" w:hAnsi="Times New Roman"/>
          <w:bCs/>
          <w:color w:val="000000"/>
          <w:szCs w:val="22"/>
          <w:lang w:val="pt-BR"/>
        </w:rPr>
        <w:t>reembolso de transporte local de e para o aeroporto.</w:t>
      </w:r>
    </w:p>
    <w:p w14:paraId="6E8348DA" w14:textId="77777777" w:rsidR="00D230D1" w:rsidRPr="00D65A20" w:rsidRDefault="00D230D1" w:rsidP="00AA4399">
      <w:pPr>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hAnsi="Times New Roman"/>
          <w:color w:val="000000"/>
          <w:szCs w:val="22"/>
          <w:lang w:val="pt-BR" w:eastAsia="es-ES"/>
        </w:rPr>
      </w:pPr>
      <w:r w:rsidRPr="00D65A20">
        <w:rPr>
          <w:rFonts w:ascii="Times New Roman" w:eastAsia="Arial Unicode MS" w:hAnsi="Times New Roman"/>
          <w:color w:val="000000"/>
          <w:szCs w:val="22"/>
          <w:lang w:val="pt-BR"/>
        </w:rPr>
        <w:t>Em relação a outros estipêndios, conforme o caso, com base no horário estabelecido para a missão oficial</w:t>
      </w:r>
      <w:r w:rsidRPr="00D65A20">
        <w:rPr>
          <w:rFonts w:ascii="Times New Roman" w:hAnsi="Times New Roman"/>
          <w:color w:val="000000"/>
          <w:szCs w:val="22"/>
          <w:lang w:val="pt-BR" w:eastAsia="es-ES"/>
        </w:rPr>
        <w:t>.</w:t>
      </w:r>
    </w:p>
    <w:p w14:paraId="6E8348DB" w14:textId="77777777" w:rsidR="00D230D1" w:rsidRPr="00D65A20" w:rsidRDefault="00D230D1" w:rsidP="00AA4399">
      <w:pPr>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hAnsi="Times New Roman"/>
          <w:b/>
          <w:szCs w:val="22"/>
          <w:lang w:val="pt-BR"/>
        </w:rPr>
      </w:pPr>
      <w:r w:rsidRPr="00D65A20">
        <w:rPr>
          <w:rFonts w:ascii="Times New Roman" w:eastAsia="Arial Unicode MS" w:hAnsi="Times New Roman"/>
          <w:color w:val="000000"/>
          <w:szCs w:val="22"/>
          <w:lang w:val="pt-BR"/>
        </w:rPr>
        <w:t>A conciliação dos adiantamentos de diárias deve ser apresentada no prazo de um (1) mês após a viagem.</w:t>
      </w:r>
    </w:p>
    <w:p w14:paraId="6E8348D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eastAsia="es-ES"/>
        </w:rPr>
      </w:pPr>
    </w:p>
    <w:p w14:paraId="6E8348DD" w14:textId="77777777" w:rsidR="00D230D1" w:rsidRPr="00D65A20" w:rsidRDefault="00D230D1" w:rsidP="00AA4399">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u w:val="single"/>
          <w:lang w:val="pt-BR" w:eastAsia="es-ES"/>
        </w:rPr>
      </w:pPr>
      <w:r w:rsidRPr="00D65A20">
        <w:rPr>
          <w:rFonts w:ascii="Times New Roman" w:hAnsi="Times New Roman"/>
          <w:color w:val="000000"/>
          <w:szCs w:val="22"/>
          <w:u w:val="single"/>
          <w:lang w:val="pt-BR" w:eastAsia="es-ES"/>
        </w:rPr>
        <w:t>Recursos humanos</w:t>
      </w:r>
    </w:p>
    <w:p w14:paraId="6E8348D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pt-BR" w:eastAsia="es-ES"/>
        </w:rPr>
      </w:pPr>
    </w:p>
    <w:p w14:paraId="6E8348DF" w14:textId="3FBBF9AC" w:rsidR="00D230D1" w:rsidRPr="00D65A20" w:rsidRDefault="00D230D1" w:rsidP="00AA4399">
      <w:pPr>
        <w:widowControl/>
        <w:numPr>
          <w:ilvl w:val="0"/>
          <w:numId w:val="5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hAnsi="Times New Roman"/>
          <w:bCs/>
          <w:szCs w:val="22"/>
          <w:lang w:val="pt-BR"/>
        </w:rPr>
      </w:pPr>
      <w:r w:rsidRPr="00D65A20">
        <w:rPr>
          <w:rFonts w:ascii="Times New Roman" w:hAnsi="Times New Roman"/>
          <w:bCs/>
          <w:szCs w:val="22"/>
          <w:lang w:val="pt-BR" w:eastAsia="es-ES"/>
        </w:rPr>
        <w:t xml:space="preserve">Instruir a Secretaria-Geral a que continue desenvolvendo a Estratégia </w:t>
      </w:r>
      <w:r w:rsidR="008B4B94" w:rsidRPr="00D65A20">
        <w:rPr>
          <w:rFonts w:ascii="Times New Roman" w:hAnsi="Times New Roman"/>
          <w:bCs/>
          <w:szCs w:val="22"/>
          <w:lang w:val="pt-BR" w:eastAsia="es-ES"/>
        </w:rPr>
        <w:t xml:space="preserve">Integral </w:t>
      </w:r>
      <w:r w:rsidRPr="00D65A20">
        <w:rPr>
          <w:rFonts w:ascii="Times New Roman" w:hAnsi="Times New Roman"/>
          <w:bCs/>
          <w:szCs w:val="22"/>
          <w:lang w:val="pt-BR" w:eastAsia="es-ES"/>
        </w:rPr>
        <w:t xml:space="preserve">de Recursos Humanos para a Organização e apresente à CAAP, até 30 de abril de 2021, um relatório sobre os resultados alcançados até o momento, incluindo seu alinhamento </w:t>
      </w:r>
      <w:r w:rsidRPr="00D65A20">
        <w:rPr>
          <w:rFonts w:ascii="Times New Roman" w:hAnsi="Times New Roman"/>
          <w:bCs/>
          <w:szCs w:val="22"/>
          <w:lang w:val="pt-BR"/>
        </w:rPr>
        <w:t xml:space="preserve">com </w:t>
      </w:r>
      <w:r w:rsidRPr="00D65A20">
        <w:rPr>
          <w:rFonts w:ascii="Times New Roman" w:eastAsia="Arial Unicode MS" w:hAnsi="Times New Roman"/>
          <w:bCs/>
          <w:szCs w:val="22"/>
          <w:lang w:val="pt-BR"/>
        </w:rPr>
        <w:t xml:space="preserve">as normas e regulamentos atuais, bem como com a implementação do novo </w:t>
      </w:r>
      <w:r w:rsidR="006E10EA" w:rsidRPr="00D65A20">
        <w:rPr>
          <w:rFonts w:ascii="Times New Roman" w:eastAsia="Arial Unicode MS" w:hAnsi="Times New Roman"/>
          <w:bCs/>
          <w:szCs w:val="22"/>
          <w:lang w:val="pt-BR"/>
        </w:rPr>
        <w:t>Sistema de Planejamento de Recursos Institucionais (</w:t>
      </w:r>
      <w:r w:rsidRPr="00D65A20">
        <w:rPr>
          <w:rFonts w:ascii="Times New Roman" w:eastAsia="Arial Unicode MS" w:hAnsi="Times New Roman"/>
          <w:bCs/>
          <w:szCs w:val="22"/>
          <w:lang w:val="pt-BR"/>
        </w:rPr>
        <w:t>ERP</w:t>
      </w:r>
      <w:r w:rsidR="006E10EA" w:rsidRPr="00D65A20">
        <w:rPr>
          <w:rFonts w:ascii="Times New Roman" w:eastAsia="Arial Unicode MS" w:hAnsi="Times New Roman"/>
          <w:bCs/>
          <w:szCs w:val="22"/>
          <w:lang w:val="pt-BR"/>
        </w:rPr>
        <w:t>)</w:t>
      </w:r>
      <w:r w:rsidRPr="00D65A20">
        <w:rPr>
          <w:rFonts w:ascii="Times New Roman" w:eastAsia="Arial Unicode MS" w:hAnsi="Times New Roman"/>
          <w:bCs/>
          <w:szCs w:val="22"/>
          <w:lang w:val="pt-BR"/>
        </w:rPr>
        <w:t>.</w:t>
      </w:r>
    </w:p>
    <w:p w14:paraId="6E8348E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8E1" w14:textId="39170421"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2160" w:hanging="720"/>
        <w:rPr>
          <w:rFonts w:ascii="Times New Roman" w:eastAsia="Calibri" w:hAnsi="Times New Roman"/>
          <w:szCs w:val="22"/>
          <w:lang w:val="pt-BR"/>
        </w:rPr>
      </w:pPr>
      <w:r w:rsidRPr="00D65A20">
        <w:rPr>
          <w:rFonts w:ascii="Times New Roman" w:eastAsia="Calibri" w:hAnsi="Times New Roman"/>
          <w:szCs w:val="22"/>
          <w:lang w:val="pt-BR"/>
        </w:rPr>
        <w:lastRenderedPageBreak/>
        <w:t>b)</w:t>
      </w:r>
      <w:r w:rsidRPr="00D65A20">
        <w:rPr>
          <w:rFonts w:ascii="Times New Roman" w:eastAsia="Calibri" w:hAnsi="Times New Roman"/>
          <w:szCs w:val="22"/>
          <w:lang w:val="pt-BR"/>
        </w:rPr>
        <w:tab/>
      </w:r>
      <w:r w:rsidRPr="00D65A20">
        <w:rPr>
          <w:rFonts w:ascii="Times New Roman" w:eastAsia="Calibri" w:hAnsi="Times New Roman"/>
          <w:bCs/>
          <w:szCs w:val="22"/>
          <w:lang w:val="pt-BR"/>
        </w:rPr>
        <w:t>Solicitar ao Escritório do Inspetor-Geral que continue a elaboração de seus</w:t>
      </w:r>
      <w:r w:rsidRPr="00D65A20">
        <w:rPr>
          <w:rFonts w:ascii="Times New Roman" w:eastAsia="Calibri" w:hAnsi="Times New Roman"/>
          <w:szCs w:val="22"/>
          <w:lang w:val="pt-BR"/>
        </w:rPr>
        <w:t xml:space="preserve"> relatórios semestrais </w:t>
      </w:r>
      <w:r w:rsidRPr="00D65A20">
        <w:rPr>
          <w:rFonts w:ascii="Times New Roman" w:eastAsia="Calibri" w:hAnsi="Times New Roman"/>
          <w:bCs/>
          <w:szCs w:val="22"/>
          <w:lang w:val="pt-BR"/>
        </w:rPr>
        <w:t xml:space="preserve">relativos às </w:t>
      </w:r>
      <w:r w:rsidRPr="00D65A20">
        <w:rPr>
          <w:rFonts w:ascii="Times New Roman" w:eastAsia="Calibri" w:hAnsi="Times New Roman"/>
          <w:szCs w:val="22"/>
          <w:lang w:val="pt-BR"/>
        </w:rPr>
        <w:t>transferências de pessoal</w:t>
      </w:r>
      <w:r w:rsidR="006E10EA" w:rsidRPr="00D65A20">
        <w:rPr>
          <w:rFonts w:ascii="Times New Roman" w:eastAsia="Calibri" w:hAnsi="Times New Roman"/>
          <w:szCs w:val="22"/>
          <w:lang w:val="pt-BR"/>
        </w:rPr>
        <w:t xml:space="preserve"> realizadas</w:t>
      </w:r>
      <w:r w:rsidRPr="00D65A20">
        <w:rPr>
          <w:rFonts w:ascii="Times New Roman" w:eastAsia="Calibri" w:hAnsi="Times New Roman"/>
          <w:szCs w:val="22"/>
          <w:lang w:val="pt-BR"/>
        </w:rPr>
        <w:t xml:space="preserve"> e </w:t>
      </w:r>
      <w:r w:rsidR="008B4B94" w:rsidRPr="00D65A20">
        <w:rPr>
          <w:rFonts w:ascii="Times New Roman" w:eastAsia="Calibri" w:hAnsi="Times New Roman"/>
          <w:szCs w:val="22"/>
          <w:lang w:val="pt-BR"/>
        </w:rPr>
        <w:t>a</w:t>
      </w:r>
      <w:r w:rsidRPr="00D65A20">
        <w:rPr>
          <w:rFonts w:ascii="Times New Roman" w:eastAsia="Calibri" w:hAnsi="Times New Roman"/>
          <w:szCs w:val="22"/>
          <w:lang w:val="pt-BR"/>
        </w:rPr>
        <w:t xml:space="preserve">os concursos internos e externos </w:t>
      </w:r>
      <w:r w:rsidRPr="00D65A20">
        <w:rPr>
          <w:rFonts w:ascii="Times New Roman" w:eastAsia="Calibri" w:hAnsi="Times New Roman"/>
          <w:bCs/>
          <w:szCs w:val="22"/>
          <w:lang w:val="pt-BR"/>
        </w:rPr>
        <w:t xml:space="preserve">concluídos, bem como </w:t>
      </w:r>
      <w:r w:rsidR="008B4B94" w:rsidRPr="00D65A20">
        <w:rPr>
          <w:rFonts w:ascii="Times New Roman" w:eastAsia="Calibri" w:hAnsi="Times New Roman"/>
          <w:bCs/>
          <w:szCs w:val="22"/>
          <w:lang w:val="pt-BR"/>
        </w:rPr>
        <w:t xml:space="preserve">às </w:t>
      </w:r>
      <w:r w:rsidRPr="00D65A20">
        <w:rPr>
          <w:rFonts w:ascii="Times New Roman" w:eastAsia="Calibri" w:hAnsi="Times New Roman"/>
          <w:bCs/>
          <w:szCs w:val="22"/>
          <w:lang w:val="pt-BR"/>
        </w:rPr>
        <w:t xml:space="preserve">reclassificações incluídas neste orçamento-programa, e comprove que tenham sido </w:t>
      </w:r>
      <w:r w:rsidRPr="00D65A20">
        <w:rPr>
          <w:rFonts w:ascii="Times New Roman" w:eastAsia="Calibri" w:hAnsi="Times New Roman"/>
          <w:szCs w:val="22"/>
          <w:lang w:val="pt-BR"/>
        </w:rPr>
        <w:t>realizados em estrito cumprimento das normas pertinentes.</w:t>
      </w:r>
    </w:p>
    <w:p w14:paraId="6E8348E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eastAsia="Calibri" w:hAnsi="Times New Roman"/>
          <w:szCs w:val="22"/>
          <w:lang w:val="pt-BR"/>
        </w:rPr>
      </w:pPr>
    </w:p>
    <w:p w14:paraId="6E8348E3" w14:textId="43063543" w:rsidR="00D230D1" w:rsidRPr="00D65A20" w:rsidRDefault="00D230D1" w:rsidP="00AA4399">
      <w:pPr>
        <w:widowControl/>
        <w:numPr>
          <w:ilvl w:val="0"/>
          <w:numId w:val="5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bCs/>
          <w:color w:val="000000"/>
          <w:szCs w:val="22"/>
          <w:lang w:val="pt-BR" w:eastAsia="es-ES"/>
        </w:rPr>
      </w:pPr>
      <w:r w:rsidRPr="00D65A20">
        <w:rPr>
          <w:rFonts w:ascii="Times New Roman" w:eastAsia="Calibri" w:hAnsi="Times New Roman"/>
          <w:bCs/>
          <w:szCs w:val="22"/>
          <w:lang w:val="pt-BR"/>
        </w:rPr>
        <w:t xml:space="preserve">A Secretaria-Geral apresentará à CAAP um relatório detalhado sobre a situação de todos os cargos </w:t>
      </w:r>
      <w:r w:rsidR="006E10EA" w:rsidRPr="00D65A20">
        <w:rPr>
          <w:rFonts w:ascii="Times New Roman" w:eastAsia="Calibri" w:hAnsi="Times New Roman"/>
          <w:bCs/>
          <w:szCs w:val="22"/>
          <w:lang w:val="pt-BR"/>
        </w:rPr>
        <w:t xml:space="preserve">em aberto </w:t>
      </w:r>
      <w:r w:rsidRPr="00D65A20">
        <w:rPr>
          <w:rFonts w:ascii="Times New Roman" w:eastAsia="Calibri" w:hAnsi="Times New Roman"/>
          <w:bCs/>
          <w:szCs w:val="22"/>
          <w:lang w:val="pt-BR"/>
        </w:rPr>
        <w:t xml:space="preserve">financiados pelo Fundo Ordinário. Caso um cargo em aberto não tenha sido anunciado publicamente, a Secretaria-Geral apresentará uma explicação detalhada sobre a razão da demora, não constituindo o fluxo de caixa uma justificação apropriada. O relatório sobre o processo de recrutamento </w:t>
      </w:r>
      <w:r w:rsidR="00612BB7" w:rsidRPr="00D65A20">
        <w:rPr>
          <w:rFonts w:ascii="Times New Roman" w:eastAsia="Calibri" w:hAnsi="Times New Roman"/>
          <w:bCs/>
          <w:szCs w:val="22"/>
          <w:lang w:val="pt-BR"/>
        </w:rPr>
        <w:t xml:space="preserve">por meio </w:t>
      </w:r>
      <w:r w:rsidRPr="00D65A20">
        <w:rPr>
          <w:rFonts w:ascii="Times New Roman" w:eastAsia="Calibri" w:hAnsi="Times New Roman"/>
          <w:bCs/>
          <w:szCs w:val="22"/>
          <w:lang w:val="pt-BR"/>
        </w:rPr>
        <w:t>do Fundo Ordinário será apresentado mensalmente</w:t>
      </w:r>
      <w:r w:rsidRPr="00D65A20">
        <w:rPr>
          <w:rFonts w:ascii="Times New Roman" w:hAnsi="Times New Roman"/>
          <w:bCs/>
          <w:color w:val="000000"/>
          <w:szCs w:val="22"/>
          <w:lang w:val="pt-BR" w:eastAsia="es-ES"/>
        </w:rPr>
        <w:t>.</w:t>
      </w:r>
      <w:r w:rsidRPr="00D65A20">
        <w:rPr>
          <w:rFonts w:ascii="Times New Roman" w:hAnsi="Times New Roman"/>
          <w:color w:val="000000"/>
          <w:szCs w:val="22"/>
          <w:lang w:val="pt-BR" w:eastAsia="es-ES"/>
        </w:rPr>
        <w:t xml:space="preserve"> </w:t>
      </w:r>
    </w:p>
    <w:p w14:paraId="6E8348E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eastAsia="es-ES"/>
        </w:rPr>
      </w:pPr>
    </w:p>
    <w:p w14:paraId="6E8348E5" w14:textId="60362BEC" w:rsidR="00D230D1" w:rsidRPr="00D65A20" w:rsidRDefault="00D230D1" w:rsidP="00AA4399">
      <w:pPr>
        <w:widowControl/>
        <w:numPr>
          <w:ilvl w:val="0"/>
          <w:numId w:val="5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bCs/>
          <w:szCs w:val="22"/>
          <w:lang w:val="pt-BR"/>
        </w:rPr>
      </w:pPr>
      <w:r w:rsidRPr="00D65A20">
        <w:rPr>
          <w:rFonts w:ascii="Times New Roman" w:eastAsia="Calibri" w:hAnsi="Times New Roman"/>
          <w:bCs/>
          <w:szCs w:val="22"/>
          <w:lang w:val="pt-BR"/>
        </w:rPr>
        <w:t xml:space="preserve">Os Estados membros reconhecem que, para fazer face aos importantes cortes orçamentários contemplados nesta resolução, os Secretários e os Secretários Executivos devem </w:t>
      </w:r>
      <w:r w:rsidR="00612BB7" w:rsidRPr="00D65A20">
        <w:rPr>
          <w:rFonts w:ascii="Times New Roman" w:eastAsia="Calibri" w:hAnsi="Times New Roman"/>
          <w:bCs/>
          <w:szCs w:val="22"/>
          <w:lang w:val="pt-BR"/>
        </w:rPr>
        <w:t>prestar contas</w:t>
      </w:r>
      <w:r w:rsidRPr="00D65A20">
        <w:rPr>
          <w:rFonts w:ascii="Times New Roman" w:eastAsia="Calibri" w:hAnsi="Times New Roman"/>
          <w:bCs/>
          <w:szCs w:val="22"/>
          <w:lang w:val="pt-BR"/>
        </w:rPr>
        <w:t xml:space="preserve"> e </w:t>
      </w:r>
      <w:r w:rsidR="00612BB7" w:rsidRPr="00D65A20">
        <w:rPr>
          <w:rFonts w:ascii="Times New Roman" w:eastAsia="Calibri" w:hAnsi="Times New Roman"/>
          <w:bCs/>
          <w:szCs w:val="22"/>
          <w:lang w:val="pt-BR"/>
        </w:rPr>
        <w:t xml:space="preserve">estar </w:t>
      </w:r>
      <w:r w:rsidRPr="00D65A20">
        <w:rPr>
          <w:rFonts w:ascii="Times New Roman" w:eastAsia="Calibri" w:hAnsi="Times New Roman"/>
          <w:bCs/>
          <w:szCs w:val="22"/>
          <w:lang w:val="pt-BR"/>
        </w:rPr>
        <w:t>habilitados a fazer as mudanças necessárias — reorganizar, consolidar e cortar.  Por conseguinte, em reconhecimento desse princípio, a Secretaria-Geral:</w:t>
      </w:r>
    </w:p>
    <w:p w14:paraId="6E8348E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pt-BR"/>
        </w:rPr>
      </w:pPr>
    </w:p>
    <w:p w14:paraId="6E8348E7" w14:textId="77777777" w:rsidR="00D230D1" w:rsidRPr="00D65A20" w:rsidRDefault="00D230D1" w:rsidP="00AA4399">
      <w:pPr>
        <w:widowControl/>
        <w:numPr>
          <w:ilvl w:val="0"/>
          <w:numId w:val="52"/>
        </w:numPr>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contextualSpacing/>
        <w:rPr>
          <w:rFonts w:ascii="Times New Roman" w:eastAsia="Arial Unicode MS" w:hAnsi="Times New Roman"/>
          <w:szCs w:val="22"/>
          <w:lang w:val="pt-BR"/>
        </w:rPr>
      </w:pPr>
      <w:r w:rsidRPr="00D65A20">
        <w:rPr>
          <w:rFonts w:ascii="Times New Roman" w:eastAsia="Arial Unicode MS" w:hAnsi="Times New Roman"/>
          <w:szCs w:val="22"/>
          <w:lang w:val="pt-BR"/>
        </w:rPr>
        <w:t xml:space="preserve">Permitirá a contratação de pessoal necessário dentro dos planos de reorganização e não implementará qualquer congelamento de contratações até que essa reorganização esteja completa; </w:t>
      </w:r>
    </w:p>
    <w:p w14:paraId="6E8348E8" w14:textId="193FDBBF" w:rsidR="00D230D1" w:rsidRPr="00D65A20" w:rsidRDefault="00D230D1" w:rsidP="00AA4399">
      <w:pPr>
        <w:widowControl/>
        <w:numPr>
          <w:ilvl w:val="0"/>
          <w:numId w:val="52"/>
        </w:numPr>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contextualSpacing/>
        <w:rPr>
          <w:rFonts w:ascii="Times New Roman" w:eastAsia="Arial Unicode MS" w:hAnsi="Times New Roman"/>
          <w:szCs w:val="22"/>
          <w:lang w:val="pt-BR"/>
        </w:rPr>
      </w:pPr>
      <w:r w:rsidRPr="00D65A20">
        <w:rPr>
          <w:rFonts w:ascii="Times New Roman" w:eastAsia="Arial Unicode MS" w:hAnsi="Times New Roman"/>
          <w:szCs w:val="22"/>
          <w:lang w:val="pt-BR"/>
        </w:rPr>
        <w:t>Permitirá a reclassificação de cargos nos casos em que a eliminação de cargos por motivo orçamentário requeira a reatribuição de responsabilidades; e</w:t>
      </w:r>
    </w:p>
    <w:p w14:paraId="6E8348E9" w14:textId="50942367" w:rsidR="00D230D1" w:rsidRPr="00D65A20" w:rsidRDefault="00246997" w:rsidP="00AA4399">
      <w:pPr>
        <w:widowControl/>
        <w:numPr>
          <w:ilvl w:val="0"/>
          <w:numId w:val="52"/>
        </w:numPr>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contextualSpacing/>
        <w:rPr>
          <w:rFonts w:ascii="Times New Roman" w:eastAsia="Arial Unicode MS" w:hAnsi="Times New Roman"/>
          <w:szCs w:val="22"/>
          <w:lang w:val="pt-BR"/>
        </w:rPr>
      </w:pPr>
      <w:r w:rsidRPr="00D65A20">
        <w:rPr>
          <w:rFonts w:ascii="Times New Roman" w:eastAsia="Arial Unicode MS" w:hAnsi="Times New Roman"/>
          <w:szCs w:val="22"/>
          <w:lang w:val="pt-BR"/>
        </w:rPr>
        <w:t>Apresentará</w:t>
      </w:r>
      <w:r w:rsidR="00D230D1" w:rsidRPr="00D65A20">
        <w:rPr>
          <w:rFonts w:ascii="Times New Roman" w:eastAsia="Arial Unicode MS" w:hAnsi="Times New Roman"/>
          <w:szCs w:val="22"/>
          <w:lang w:val="pt-BR"/>
        </w:rPr>
        <w:t xml:space="preserve"> relatório </w:t>
      </w:r>
      <w:r w:rsidR="00E60BBC">
        <w:rPr>
          <w:rFonts w:ascii="Times New Roman" w:eastAsia="Arial Unicode MS" w:hAnsi="Times New Roman"/>
          <w:szCs w:val="22"/>
          <w:lang w:val="pt-BR"/>
        </w:rPr>
        <w:t xml:space="preserve">do Secretário-Geral </w:t>
      </w:r>
      <w:r w:rsidR="00D230D1" w:rsidRPr="00D65A20">
        <w:rPr>
          <w:rFonts w:ascii="Times New Roman" w:eastAsia="Arial Unicode MS" w:hAnsi="Times New Roman"/>
          <w:szCs w:val="22"/>
          <w:lang w:val="pt-BR"/>
        </w:rPr>
        <w:t>ao Conselho Permanente, até janeiro de 2021, sobre a reorganização da Secretaria, em particular sobre os planos de contratação e reclassificação.</w:t>
      </w:r>
    </w:p>
    <w:p w14:paraId="6E8348EA"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eastAsia="es-ES"/>
        </w:rPr>
      </w:pPr>
    </w:p>
    <w:p w14:paraId="6E8348EB" w14:textId="77777777" w:rsidR="00D230D1" w:rsidRPr="00D65A20" w:rsidRDefault="00D230D1" w:rsidP="00AA4399">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szCs w:val="22"/>
          <w:u w:val="single"/>
          <w:lang w:val="pt-BR" w:eastAsia="es-ES"/>
        </w:rPr>
      </w:pPr>
      <w:r w:rsidRPr="00D65A20">
        <w:rPr>
          <w:rFonts w:ascii="Times New Roman" w:hAnsi="Times New Roman"/>
          <w:color w:val="000000"/>
          <w:szCs w:val="22"/>
          <w:u w:val="single"/>
          <w:lang w:val="pt-BR" w:eastAsia="es-ES"/>
        </w:rPr>
        <w:t xml:space="preserve">Políticas de equidade e igualdade de gênero </w:t>
      </w:r>
    </w:p>
    <w:p w14:paraId="6E8348E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8ED" w14:textId="56C9E276"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eastAsia="es-ES"/>
        </w:rPr>
      </w:pPr>
      <w:r w:rsidRPr="00D65A20">
        <w:rPr>
          <w:rFonts w:ascii="Times New Roman" w:hAnsi="Times New Roman"/>
          <w:color w:val="000000"/>
          <w:szCs w:val="22"/>
          <w:lang w:val="pt-BR" w:eastAsia="es-ES"/>
        </w:rPr>
        <w:t xml:space="preserve">Instar </w:t>
      </w:r>
      <w:r w:rsidRPr="00D65A20">
        <w:rPr>
          <w:rFonts w:ascii="Times New Roman" w:eastAsia="Calibri" w:hAnsi="Times New Roman"/>
          <w:szCs w:val="22"/>
          <w:lang w:val="pt-BR"/>
        </w:rPr>
        <w:t>a Secretaria-Geral a que continue o trabalho de implementar e executar políticas de equidade e igualdade de gênero no local de trabalho e, em uma estrutura de paridade, promova o acesso das mulheres nas categorias em que atualmente estão sub-representadas dentro da Organização</w:t>
      </w:r>
      <w:r w:rsidR="00A90322" w:rsidRPr="00D65A20">
        <w:rPr>
          <w:rFonts w:ascii="Times New Roman" w:eastAsia="Calibri" w:hAnsi="Times New Roman"/>
          <w:szCs w:val="22"/>
          <w:lang w:val="pt-BR"/>
        </w:rPr>
        <w:t>,</w:t>
      </w:r>
      <w:r w:rsidRPr="00D65A20">
        <w:rPr>
          <w:rFonts w:ascii="Times New Roman" w:eastAsia="Calibri" w:hAnsi="Times New Roman"/>
          <w:szCs w:val="22"/>
          <w:lang w:val="pt-BR"/>
        </w:rPr>
        <w:t xml:space="preserve"> assegurando a prestação de contas com relação à aplicação dessas políticas e o cumprimento do disposto </w:t>
      </w:r>
      <w:r w:rsidR="00C00464" w:rsidRPr="00D65A20">
        <w:rPr>
          <w:rFonts w:ascii="Times New Roman" w:eastAsia="Calibri" w:hAnsi="Times New Roman"/>
          <w:szCs w:val="22"/>
          <w:lang w:val="pt-BR"/>
        </w:rPr>
        <w:t>n</w:t>
      </w:r>
      <w:r w:rsidRPr="00D65A20">
        <w:rPr>
          <w:rFonts w:ascii="Times New Roman" w:eastAsia="Calibri" w:hAnsi="Times New Roman"/>
          <w:szCs w:val="22"/>
          <w:lang w:val="pt-BR"/>
        </w:rPr>
        <w:t xml:space="preserve">a resolução </w:t>
      </w:r>
      <w:hyperlink r:id="rId72" w:history="1">
        <w:r w:rsidRPr="00D65A20">
          <w:rPr>
            <w:rFonts w:ascii="Times New Roman" w:eastAsia="Calibri" w:hAnsi="Times New Roman"/>
            <w:color w:val="0000FF"/>
            <w:szCs w:val="22"/>
            <w:u w:val="single"/>
            <w:lang w:val="pt-BR"/>
          </w:rPr>
          <w:t>CP/RES. 1149 (2278/20)</w:t>
        </w:r>
      </w:hyperlink>
      <w:r w:rsidRPr="00D65A20">
        <w:rPr>
          <w:rFonts w:ascii="Times New Roman" w:hAnsi="Times New Roman"/>
          <w:color w:val="000000"/>
          <w:szCs w:val="22"/>
          <w:lang w:val="pt-BR" w:eastAsia="es-ES"/>
        </w:rPr>
        <w:t>, “Representação e participação das mulheres na OEA”.</w:t>
      </w:r>
    </w:p>
    <w:p w14:paraId="6E8348E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8EF" w14:textId="77777777" w:rsidR="00D230D1" w:rsidRPr="00D65A20" w:rsidRDefault="00D230D1" w:rsidP="00AA4399">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lang w:val="pt-BR" w:eastAsia="es-ES"/>
        </w:rPr>
      </w:pPr>
      <w:r w:rsidRPr="00D65A20">
        <w:rPr>
          <w:rFonts w:ascii="Times New Roman" w:hAnsi="Times New Roman"/>
          <w:color w:val="000000"/>
          <w:szCs w:val="22"/>
          <w:u w:val="single"/>
          <w:lang w:val="pt-BR" w:eastAsia="es-ES"/>
        </w:rPr>
        <w:t>Representação geográfica</w:t>
      </w:r>
    </w:p>
    <w:p w14:paraId="6E8348F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8F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eastAsia="es-ES"/>
        </w:rPr>
      </w:pPr>
      <w:r w:rsidRPr="00D65A20">
        <w:rPr>
          <w:rFonts w:ascii="Times New Roman" w:hAnsi="Times New Roman"/>
          <w:color w:val="000000"/>
          <w:szCs w:val="22"/>
          <w:lang w:val="pt-BR" w:eastAsia="es-ES"/>
        </w:rPr>
        <w:t xml:space="preserve">Tomar nota </w:t>
      </w:r>
      <w:r w:rsidRPr="00D65A20">
        <w:rPr>
          <w:rFonts w:ascii="Times New Roman" w:eastAsia="Calibri" w:hAnsi="Times New Roman"/>
          <w:color w:val="000000"/>
          <w:szCs w:val="22"/>
          <w:lang w:val="pt-BR"/>
        </w:rPr>
        <w:t xml:space="preserve">da Estratégia de Representação Geográfica apresentada ao Conselho Permanente em 13 de março de 2019 e encarregar a Secretaria-Geral de estabelecer objetivos e indicadores para a referida estratégia, a fim de implementar o plano de ação e obter uma representação geográfica equitativa do pessoal, em conformidade com o disposto no </w:t>
      </w:r>
      <w:r w:rsidR="00A90322" w:rsidRPr="00D65A20">
        <w:rPr>
          <w:rFonts w:ascii="Times New Roman" w:eastAsia="Calibri" w:hAnsi="Times New Roman"/>
          <w:color w:val="000000"/>
          <w:szCs w:val="22"/>
          <w:lang w:val="pt-BR"/>
        </w:rPr>
        <w:t>a</w:t>
      </w:r>
      <w:r w:rsidRPr="00D65A20">
        <w:rPr>
          <w:rFonts w:ascii="Times New Roman" w:eastAsia="Calibri" w:hAnsi="Times New Roman"/>
          <w:color w:val="000000"/>
          <w:szCs w:val="22"/>
          <w:lang w:val="pt-BR"/>
        </w:rPr>
        <w:t>rtigo 120 da Carta da Organização dos Estados Americanos, que inclua, ademais, consultores e estagiários</w:t>
      </w:r>
      <w:r w:rsidRPr="00D65A20">
        <w:rPr>
          <w:rFonts w:ascii="Times New Roman" w:hAnsi="Times New Roman"/>
          <w:color w:val="000000"/>
          <w:szCs w:val="22"/>
          <w:lang w:val="pt-BR" w:eastAsia="es-ES"/>
        </w:rPr>
        <w:t>.</w:t>
      </w:r>
    </w:p>
    <w:p w14:paraId="6E8348F2" w14:textId="759DC6C4" w:rsidR="00767D31" w:rsidRDefault="00767D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r>
        <w:rPr>
          <w:rFonts w:ascii="Times New Roman" w:hAnsi="Times New Roman"/>
          <w:color w:val="000000"/>
          <w:szCs w:val="22"/>
          <w:lang w:val="pt-BR" w:eastAsia="es-ES"/>
        </w:rPr>
        <w:br w:type="page"/>
      </w:r>
    </w:p>
    <w:p w14:paraId="6E8348F3" w14:textId="77777777" w:rsidR="00D230D1" w:rsidRPr="00D65A20" w:rsidRDefault="00D230D1" w:rsidP="00AA4399">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u w:val="single"/>
          <w:lang w:val="pt-BR" w:eastAsia="es-ES"/>
        </w:rPr>
      </w:pPr>
      <w:r w:rsidRPr="00D65A20">
        <w:rPr>
          <w:rFonts w:ascii="Times New Roman" w:hAnsi="Times New Roman"/>
          <w:color w:val="000000"/>
          <w:szCs w:val="22"/>
          <w:u w:val="single"/>
          <w:lang w:val="pt-BR" w:eastAsia="es-ES"/>
        </w:rPr>
        <w:lastRenderedPageBreak/>
        <w:t>Honorários</w:t>
      </w:r>
    </w:p>
    <w:p w14:paraId="6E8348F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pt-BR" w:eastAsia="es-ES"/>
        </w:rPr>
      </w:pPr>
    </w:p>
    <w:p w14:paraId="6E8348F5" w14:textId="4D867782"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eastAsia="es-ES"/>
        </w:rPr>
      </w:pPr>
      <w:r w:rsidRPr="00D65A20">
        <w:rPr>
          <w:rFonts w:ascii="Times New Roman" w:eastAsia="Calibri" w:hAnsi="Times New Roman"/>
          <w:szCs w:val="22"/>
          <w:lang w:val="pt-BR"/>
        </w:rPr>
        <w:t xml:space="preserve">Os honorários pagos aos membros da CIDH, da Corte Interamericana de Direitos Humanos, do Tribunal Administrativo, da Junta de Auditores Externos e da </w:t>
      </w:r>
      <w:r w:rsidR="006E10EA" w:rsidRPr="00D65A20">
        <w:rPr>
          <w:rFonts w:ascii="Times New Roman" w:eastAsia="Calibri" w:hAnsi="Times New Roman"/>
          <w:szCs w:val="22"/>
          <w:lang w:val="pt-BR"/>
        </w:rPr>
        <w:t>CJI</w:t>
      </w:r>
      <w:r w:rsidRPr="00D65A20">
        <w:rPr>
          <w:rFonts w:ascii="Times New Roman" w:eastAsia="Calibri" w:hAnsi="Times New Roman"/>
          <w:szCs w:val="22"/>
          <w:lang w:val="pt-BR"/>
        </w:rPr>
        <w:t xml:space="preserve"> serão de US$ 300,00 por dia. O custo desses honorários será financiado pelos recursos alocados neste orçamento-programa</w:t>
      </w:r>
      <w:r w:rsidRPr="00D65A20">
        <w:rPr>
          <w:rFonts w:ascii="Times New Roman" w:hAnsi="Times New Roman"/>
          <w:snapToGrid w:val="0"/>
          <w:color w:val="000000"/>
          <w:szCs w:val="22"/>
          <w:lang w:val="pt-BR" w:eastAsia="es-ES"/>
        </w:rPr>
        <w:t>.</w:t>
      </w:r>
    </w:p>
    <w:p w14:paraId="6E8348F6" w14:textId="77777777" w:rsidR="00A90322" w:rsidRPr="00D65A20" w:rsidRDefault="00A90322" w:rsidP="00767D3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pt-BR" w:eastAsia="es-ES"/>
        </w:rPr>
      </w:pPr>
    </w:p>
    <w:p w14:paraId="6E8348F7" w14:textId="77777777" w:rsidR="00D230D1" w:rsidRPr="00D65A20" w:rsidRDefault="00D230D1" w:rsidP="00AA4399">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u w:val="single"/>
          <w:lang w:val="pt-BR" w:eastAsia="es-ES"/>
        </w:rPr>
      </w:pPr>
      <w:r w:rsidRPr="00D65A20">
        <w:rPr>
          <w:rFonts w:ascii="Times New Roman" w:hAnsi="Times New Roman"/>
          <w:color w:val="000000"/>
          <w:szCs w:val="22"/>
          <w:u w:val="single"/>
          <w:lang w:val="pt-BR" w:eastAsia="es-ES"/>
        </w:rPr>
        <w:t>Comissão Interamericana de Direitos Humanos</w:t>
      </w:r>
    </w:p>
    <w:p w14:paraId="6E8348F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8F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Manter a autorização orçamentária para que a CIDH custeie pagamentos aos membros da Comissão a título de serviços especiais, até um máximo de US$ 4.000,00 por mês, por membro. Essa medida orçamentária será tomada sem prejuízo do direito ao pagamento de honorários segundo o disposto pela Assembleia Geral no parágrafo IV.15 desta resolução.</w:t>
      </w:r>
    </w:p>
    <w:p w14:paraId="6E8348FA" w14:textId="77777777" w:rsidR="00022A54" w:rsidRPr="00D65A20" w:rsidRDefault="00022A54"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8FB" w14:textId="77777777" w:rsidR="00D230D1" w:rsidRPr="00D65A20" w:rsidRDefault="00D230D1" w:rsidP="00AA4399">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u w:val="single"/>
          <w:lang w:val="pt-BR" w:eastAsia="es-ES"/>
        </w:rPr>
      </w:pPr>
      <w:r w:rsidRPr="00D65A20">
        <w:rPr>
          <w:rFonts w:ascii="Times New Roman" w:hAnsi="Times New Roman"/>
          <w:color w:val="000000"/>
          <w:szCs w:val="22"/>
          <w:u w:val="single"/>
          <w:lang w:val="pt-BR" w:eastAsia="es-ES"/>
        </w:rPr>
        <w:t>Corte Interamericana de Direitos Humanos</w:t>
      </w:r>
    </w:p>
    <w:p w14:paraId="6E8348F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8F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eastAsia="es-ES"/>
        </w:rPr>
      </w:pPr>
      <w:r w:rsidRPr="00D65A20">
        <w:rPr>
          <w:rFonts w:ascii="Times New Roman" w:eastAsia="Calibri" w:hAnsi="Times New Roman"/>
          <w:szCs w:val="22"/>
          <w:lang w:val="pt-BR"/>
        </w:rPr>
        <w:t xml:space="preserve">Manter a autorização orçamentária para que a Corte Interamericana de Direitos Humanos custeie o pagamento de honorários concedidos aos juízes da Corte até um máximo de US$ 4.000,00 por mês, por juiz. Essa medida orçamentária será tomada sem prejuízo do </w:t>
      </w:r>
      <w:r w:rsidR="00027E4F" w:rsidRPr="00D65A20">
        <w:rPr>
          <w:rFonts w:ascii="Times New Roman" w:eastAsia="Calibri" w:hAnsi="Times New Roman"/>
          <w:szCs w:val="22"/>
          <w:lang w:val="pt-BR"/>
        </w:rPr>
        <w:t>a</w:t>
      </w:r>
      <w:r w:rsidRPr="00D65A20">
        <w:rPr>
          <w:rFonts w:ascii="Times New Roman" w:eastAsia="Calibri" w:hAnsi="Times New Roman"/>
          <w:szCs w:val="22"/>
          <w:lang w:val="pt-BR"/>
        </w:rPr>
        <w:t>rtigo 26 do Estatuto da Corte e sem prejuízo do direito ao pagamento de honorários segundo o disposto pela Assembleia Geral no parágrafo IV.15 desta resolução</w:t>
      </w:r>
      <w:r w:rsidRPr="00D65A20">
        <w:rPr>
          <w:rFonts w:ascii="Times New Roman" w:hAnsi="Times New Roman"/>
          <w:color w:val="000000"/>
          <w:szCs w:val="22"/>
          <w:lang w:val="pt-BR" w:eastAsia="es-ES"/>
        </w:rPr>
        <w:t>.</w:t>
      </w:r>
    </w:p>
    <w:p w14:paraId="6E8348F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8FF" w14:textId="77777777" w:rsidR="00D230D1" w:rsidRPr="00D65A20" w:rsidRDefault="00D230D1" w:rsidP="00AA4399">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u w:val="single"/>
          <w:lang w:val="pt-BR" w:eastAsia="es-ES"/>
        </w:rPr>
      </w:pPr>
      <w:r w:rsidRPr="00D65A20">
        <w:rPr>
          <w:rFonts w:ascii="Times New Roman" w:hAnsi="Times New Roman"/>
          <w:color w:val="000000"/>
          <w:szCs w:val="22"/>
          <w:u w:val="single"/>
          <w:lang w:val="pt-BR" w:eastAsia="es-ES"/>
        </w:rPr>
        <w:t xml:space="preserve">Limite de cargos financiados pelo Fundo Ordinário </w:t>
      </w:r>
    </w:p>
    <w:p w14:paraId="6E83490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901" w14:textId="326A105D" w:rsidR="00D230D1" w:rsidRPr="00D65A20" w:rsidRDefault="00D230D1" w:rsidP="00AA4399">
      <w:pPr>
        <w:widowControl/>
        <w:numPr>
          <w:ilvl w:val="0"/>
          <w:numId w:val="53"/>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b/>
          <w:i/>
          <w:szCs w:val="22"/>
          <w:lang w:val="pt-BR"/>
        </w:rPr>
      </w:pPr>
      <w:r w:rsidRPr="00D65A20">
        <w:rPr>
          <w:rFonts w:ascii="Times New Roman" w:eastAsia="Calibri" w:hAnsi="Times New Roman"/>
          <w:szCs w:val="22"/>
          <w:lang w:val="pt-BR"/>
        </w:rPr>
        <w:t xml:space="preserve">O número de cargos financiados pelo Fundo Ordinário aprovados para o período de 1º de janeiro a 31 de dezembro de </w:t>
      </w:r>
      <w:r w:rsidRPr="00D65A20">
        <w:rPr>
          <w:rFonts w:ascii="Times New Roman" w:eastAsia="Calibri" w:hAnsi="Times New Roman"/>
          <w:bCs/>
          <w:szCs w:val="22"/>
          <w:lang w:val="pt-BR"/>
        </w:rPr>
        <w:t>2021 não excederá 395</w:t>
      </w:r>
      <w:r w:rsidRPr="00D65A20">
        <w:rPr>
          <w:rFonts w:ascii="Times New Roman" w:eastAsia="Calibri" w:hAnsi="Times New Roman"/>
          <w:szCs w:val="22"/>
          <w:lang w:val="pt-BR"/>
        </w:rPr>
        <w:t>. Esse número poderá ser modificado, se julgado necessário pela Secretaria-Geral, desde que permaneça consistente com a porcentagem mencionada no parágrafo a seguir. A Secretaria-Geral apresentará</w:t>
      </w:r>
      <w:r w:rsidRPr="00D65A20">
        <w:rPr>
          <w:rFonts w:ascii="Times New Roman" w:eastAsia="Calibri" w:hAnsi="Times New Roman"/>
          <w:bCs/>
          <w:szCs w:val="22"/>
          <w:lang w:val="pt-BR"/>
        </w:rPr>
        <w:t>, em seu relatório</w:t>
      </w:r>
      <w:r w:rsidRPr="00D65A20">
        <w:rPr>
          <w:rFonts w:ascii="Times New Roman" w:eastAsia="Calibri" w:hAnsi="Times New Roman"/>
          <w:b/>
          <w:szCs w:val="22"/>
          <w:lang w:val="pt-BR"/>
        </w:rPr>
        <w:t xml:space="preserve"> </w:t>
      </w:r>
      <w:r w:rsidRPr="00D65A20">
        <w:rPr>
          <w:rFonts w:ascii="Times New Roman" w:eastAsia="Calibri" w:hAnsi="Times New Roman"/>
          <w:szCs w:val="22"/>
          <w:lang w:val="pt-BR"/>
        </w:rPr>
        <w:t>semestral</w:t>
      </w:r>
      <w:r w:rsidRPr="00D65A20">
        <w:rPr>
          <w:rFonts w:ascii="Times New Roman" w:eastAsia="Calibri" w:hAnsi="Times New Roman"/>
          <w:b/>
          <w:szCs w:val="22"/>
          <w:lang w:val="pt-BR"/>
        </w:rPr>
        <w:t xml:space="preserve"> </w:t>
      </w:r>
      <w:r w:rsidRPr="00D65A20">
        <w:rPr>
          <w:rFonts w:ascii="Times New Roman" w:eastAsia="Calibri" w:hAnsi="Times New Roman"/>
          <w:bCs/>
          <w:szCs w:val="22"/>
          <w:lang w:val="pt-BR"/>
        </w:rPr>
        <w:t xml:space="preserve">à CAAP sobre a </w:t>
      </w:r>
      <w:r w:rsidR="006E10EA" w:rsidRPr="00D65A20">
        <w:rPr>
          <w:rFonts w:ascii="Times New Roman" w:eastAsia="Calibri" w:hAnsi="Times New Roman"/>
          <w:bCs/>
          <w:szCs w:val="22"/>
          <w:lang w:val="pt-BR"/>
        </w:rPr>
        <w:t xml:space="preserve">gestão </w:t>
      </w:r>
      <w:r w:rsidRPr="00D65A20">
        <w:rPr>
          <w:rFonts w:ascii="Times New Roman" w:eastAsia="Calibri" w:hAnsi="Times New Roman"/>
          <w:bCs/>
          <w:szCs w:val="22"/>
          <w:lang w:val="pt-BR"/>
        </w:rPr>
        <w:t>d</w:t>
      </w:r>
      <w:r w:rsidR="006E10EA" w:rsidRPr="00D65A20">
        <w:rPr>
          <w:rFonts w:ascii="Times New Roman" w:eastAsia="Calibri" w:hAnsi="Times New Roman"/>
          <w:bCs/>
          <w:szCs w:val="22"/>
          <w:lang w:val="pt-BR"/>
        </w:rPr>
        <w:t>os</w:t>
      </w:r>
      <w:r w:rsidRPr="00D65A20">
        <w:rPr>
          <w:rFonts w:ascii="Times New Roman" w:eastAsia="Calibri" w:hAnsi="Times New Roman"/>
          <w:bCs/>
          <w:szCs w:val="22"/>
          <w:lang w:val="pt-BR"/>
        </w:rPr>
        <w:t xml:space="preserve"> recursos e o desempenho, as mudanças</w:t>
      </w:r>
      <w:r w:rsidRPr="00D65A20">
        <w:rPr>
          <w:rFonts w:ascii="Times New Roman" w:eastAsia="Calibri" w:hAnsi="Times New Roman"/>
          <w:szCs w:val="22"/>
          <w:lang w:val="pt-BR"/>
        </w:rPr>
        <w:t xml:space="preserve"> no número de cargos estabelecido neste parágrafo</w:t>
      </w:r>
      <w:r w:rsidRPr="00D65A20">
        <w:rPr>
          <w:rFonts w:ascii="Times New Roman" w:eastAsia="Calibri" w:hAnsi="Times New Roman"/>
          <w:color w:val="000000"/>
          <w:szCs w:val="22"/>
          <w:lang w:val="pt-BR"/>
        </w:rPr>
        <w:t>.</w:t>
      </w:r>
    </w:p>
    <w:p w14:paraId="6E83490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903" w14:textId="77777777" w:rsidR="00D230D1" w:rsidRPr="00D65A20" w:rsidRDefault="00D230D1" w:rsidP="00AA4399">
      <w:pPr>
        <w:widowControl/>
        <w:numPr>
          <w:ilvl w:val="0"/>
          <w:numId w:val="53"/>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szCs w:val="22"/>
          <w:lang w:val="pt-BR"/>
        </w:rPr>
      </w:pPr>
      <w:r w:rsidRPr="00D65A20">
        <w:rPr>
          <w:rFonts w:ascii="Times New Roman" w:eastAsia="Calibri" w:hAnsi="Times New Roman"/>
          <w:szCs w:val="22"/>
          <w:lang w:val="pt-BR"/>
        </w:rPr>
        <w:t>A despesa total para a rubrica de pessoal (</w:t>
      </w:r>
      <w:r w:rsidR="00343A03" w:rsidRPr="00D65A20">
        <w:rPr>
          <w:rFonts w:ascii="Times New Roman" w:eastAsia="Calibri" w:hAnsi="Times New Roman"/>
          <w:szCs w:val="22"/>
          <w:lang w:val="pt-BR"/>
        </w:rPr>
        <w:t xml:space="preserve">objeto 1 – </w:t>
      </w:r>
      <w:r w:rsidR="00343A03" w:rsidRPr="00D65A20">
        <w:rPr>
          <w:rFonts w:ascii="Times New Roman" w:eastAsia="Calibri" w:hAnsi="Times New Roman"/>
          <w:bCs/>
          <w:szCs w:val="22"/>
          <w:lang w:val="pt-BR"/>
        </w:rPr>
        <w:t xml:space="preserve">artigo </w:t>
      </w:r>
      <w:r w:rsidRPr="00D65A20">
        <w:rPr>
          <w:rFonts w:ascii="Times New Roman" w:eastAsia="Calibri" w:hAnsi="Times New Roman"/>
          <w:szCs w:val="22"/>
          <w:lang w:val="pt-BR"/>
        </w:rPr>
        <w:t>91</w:t>
      </w:r>
      <w:r w:rsidRPr="00D65A20">
        <w:rPr>
          <w:rFonts w:ascii="Times New Roman" w:eastAsia="Calibri" w:hAnsi="Times New Roman"/>
          <w:bCs/>
          <w:szCs w:val="22"/>
          <w:lang w:val="pt-BR"/>
        </w:rPr>
        <w:t xml:space="preserve"> das Normas Gerais)</w:t>
      </w:r>
      <w:r w:rsidRPr="00D65A20">
        <w:rPr>
          <w:rFonts w:ascii="Times New Roman" w:eastAsia="Calibri" w:hAnsi="Times New Roman"/>
          <w:szCs w:val="22"/>
          <w:lang w:val="pt-BR"/>
        </w:rPr>
        <w:t xml:space="preserve"> não deverá exceder 64,38% do nível orçamentário global do Fundo Ordinário de </w:t>
      </w:r>
      <w:r w:rsidRPr="00D65A20">
        <w:rPr>
          <w:rFonts w:ascii="Times New Roman" w:eastAsia="Calibri" w:hAnsi="Times New Roman"/>
          <w:bCs/>
          <w:szCs w:val="22"/>
          <w:lang w:val="pt-BR"/>
        </w:rPr>
        <w:t>2021</w:t>
      </w:r>
      <w:r w:rsidRPr="00D65A20">
        <w:rPr>
          <w:rFonts w:ascii="Times New Roman" w:eastAsia="Calibri" w:hAnsi="Times New Roman"/>
          <w:szCs w:val="22"/>
          <w:lang w:val="pt-BR"/>
        </w:rPr>
        <w:t>.</w:t>
      </w:r>
    </w:p>
    <w:p w14:paraId="6E83490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905" w14:textId="77777777" w:rsidR="00D230D1" w:rsidRPr="00D65A20" w:rsidRDefault="00D230D1" w:rsidP="00AA4399">
      <w:pPr>
        <w:widowControl/>
        <w:numPr>
          <w:ilvl w:val="0"/>
          <w:numId w:val="53"/>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color w:val="000000"/>
          <w:szCs w:val="22"/>
          <w:lang w:val="pt-BR" w:eastAsia="es-ES"/>
        </w:rPr>
      </w:pPr>
      <w:r w:rsidRPr="00D65A20">
        <w:rPr>
          <w:rFonts w:ascii="Times New Roman" w:eastAsia="Calibri" w:hAnsi="Times New Roman"/>
          <w:szCs w:val="22"/>
          <w:lang w:val="pt-BR"/>
        </w:rPr>
        <w:t>O Conselho Permanente estará autorizado a ajustar, de modo excepcional, a seu critério e com o devido assessoramento da CAAP, a porcentagem constante do parágrafo anterior, para atender a mudanças dos fatores econômicos e financeiros que tenham impacto na execução do Fundo Ordinário</w:t>
      </w:r>
      <w:r w:rsidRPr="00D65A20">
        <w:rPr>
          <w:rFonts w:ascii="Times New Roman" w:hAnsi="Times New Roman"/>
          <w:color w:val="000000"/>
          <w:szCs w:val="22"/>
          <w:lang w:val="pt-BR" w:eastAsia="es-ES"/>
        </w:rPr>
        <w:t>.</w:t>
      </w:r>
    </w:p>
    <w:p w14:paraId="6E83490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907" w14:textId="77777777" w:rsidR="00D230D1" w:rsidRPr="00D65A20" w:rsidRDefault="00D230D1" w:rsidP="00AA4399">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u w:val="single"/>
          <w:lang w:val="pt-BR" w:eastAsia="es-ES"/>
        </w:rPr>
      </w:pPr>
      <w:r w:rsidRPr="00D65A20">
        <w:rPr>
          <w:rFonts w:ascii="Times New Roman" w:hAnsi="Times New Roman"/>
          <w:color w:val="000000"/>
          <w:szCs w:val="22"/>
          <w:u w:val="single"/>
          <w:lang w:val="pt-BR" w:eastAsia="es-ES"/>
        </w:rPr>
        <w:t>Eficiência de custos</w:t>
      </w:r>
    </w:p>
    <w:p w14:paraId="6E83490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909" w14:textId="2A02864B"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bookmarkStart w:id="142" w:name="_Toc12287049"/>
      <w:r w:rsidRPr="00D65A20">
        <w:rPr>
          <w:rFonts w:ascii="Times New Roman" w:eastAsia="Calibri" w:hAnsi="Times New Roman"/>
          <w:szCs w:val="22"/>
          <w:lang w:val="pt-BR"/>
        </w:rPr>
        <w:t>Encarregar a Secretaria-Geral de incluir em seu relatório semestral à CAAP sobre a gestão d</w:t>
      </w:r>
      <w:r w:rsidR="006E10EA" w:rsidRPr="00D65A20">
        <w:rPr>
          <w:rFonts w:ascii="Times New Roman" w:eastAsia="Calibri" w:hAnsi="Times New Roman"/>
          <w:szCs w:val="22"/>
          <w:lang w:val="pt-BR"/>
        </w:rPr>
        <w:t>os</w:t>
      </w:r>
      <w:r w:rsidRPr="00D65A20">
        <w:rPr>
          <w:rFonts w:ascii="Times New Roman" w:eastAsia="Calibri" w:hAnsi="Times New Roman"/>
          <w:szCs w:val="22"/>
          <w:lang w:val="pt-BR"/>
        </w:rPr>
        <w:t xml:space="preserve"> recursos e </w:t>
      </w:r>
      <w:r w:rsidR="006E10EA" w:rsidRPr="00D65A20">
        <w:rPr>
          <w:rFonts w:ascii="Times New Roman" w:eastAsia="Calibri" w:hAnsi="Times New Roman"/>
          <w:szCs w:val="22"/>
          <w:lang w:val="pt-BR"/>
        </w:rPr>
        <w:t xml:space="preserve">o </w:t>
      </w:r>
      <w:r w:rsidRPr="00D65A20">
        <w:rPr>
          <w:rFonts w:ascii="Times New Roman" w:eastAsia="Calibri" w:hAnsi="Times New Roman"/>
          <w:szCs w:val="22"/>
          <w:lang w:val="pt-BR"/>
        </w:rPr>
        <w:t>desempenho as economias geradas pela eficiência — e como resultado dela — nas operações da Secretaria-Geral, inclusive aquelas economias relacionadas às despesas comuns.</w:t>
      </w:r>
      <w:bookmarkEnd w:id="142"/>
    </w:p>
    <w:p w14:paraId="6E83490A" w14:textId="2D2388B0" w:rsidR="00767D31" w:rsidRDefault="00767D3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eastAsia="es-ES"/>
        </w:rPr>
      </w:pPr>
      <w:r>
        <w:rPr>
          <w:rFonts w:ascii="Times New Roman" w:hAnsi="Times New Roman"/>
          <w:bCs/>
          <w:color w:val="000000"/>
          <w:szCs w:val="22"/>
          <w:lang w:val="pt-BR" w:eastAsia="es-ES"/>
        </w:rPr>
        <w:br w:type="page"/>
      </w:r>
    </w:p>
    <w:p w14:paraId="6E83490B" w14:textId="77777777" w:rsidR="00D230D1" w:rsidRPr="00D65A20" w:rsidRDefault="00D230D1" w:rsidP="00AA4399">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u w:val="single"/>
          <w:lang w:val="pt-BR" w:eastAsia="es-ES"/>
        </w:rPr>
      </w:pPr>
      <w:r w:rsidRPr="00D65A20">
        <w:rPr>
          <w:rFonts w:ascii="Times New Roman" w:hAnsi="Times New Roman"/>
          <w:color w:val="000000"/>
          <w:szCs w:val="22"/>
          <w:u w:val="single"/>
          <w:lang w:val="pt-BR" w:eastAsia="es-ES"/>
        </w:rPr>
        <w:lastRenderedPageBreak/>
        <w:t>Departamento de Imprensa e Comunicação</w:t>
      </w:r>
    </w:p>
    <w:p w14:paraId="6E83490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90D" w14:textId="4AEECC4B"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i/>
          <w:iCs/>
          <w:color w:val="000000"/>
          <w:szCs w:val="22"/>
          <w:lang w:val="pt-BR"/>
        </w:rPr>
      </w:pPr>
      <w:r w:rsidRPr="00D65A20">
        <w:rPr>
          <w:rFonts w:ascii="Times New Roman" w:hAnsi="Times New Roman"/>
          <w:bCs/>
          <w:szCs w:val="22"/>
          <w:lang w:val="pt-BR" w:eastAsia="es-ES"/>
        </w:rPr>
        <w:tab/>
        <w:t xml:space="preserve">Solicitar ao Secretário-Geral que instrua o Departamento de Imprensa e Comunicação a apresentar relatórios de progresso sobre a implementação da Estratégia de Comunicação e a incluí-los no Relatório </w:t>
      </w:r>
      <w:r w:rsidRPr="00D65A20">
        <w:rPr>
          <w:rFonts w:ascii="Times New Roman" w:hAnsi="Times New Roman"/>
          <w:szCs w:val="22"/>
          <w:lang w:val="pt-BR" w:eastAsia="es-ES"/>
        </w:rPr>
        <w:t>Semestral</w:t>
      </w:r>
      <w:r w:rsidRPr="00D65A20">
        <w:rPr>
          <w:rFonts w:ascii="Times New Roman" w:hAnsi="Times New Roman"/>
          <w:bCs/>
          <w:szCs w:val="22"/>
          <w:lang w:val="pt-BR" w:eastAsia="es-ES"/>
        </w:rPr>
        <w:t xml:space="preserve"> </w:t>
      </w:r>
      <w:r w:rsidR="006E10EA" w:rsidRPr="00D65A20">
        <w:rPr>
          <w:rFonts w:ascii="Times New Roman" w:hAnsi="Times New Roman"/>
          <w:bCs/>
          <w:szCs w:val="22"/>
          <w:lang w:val="pt-BR" w:eastAsia="es-ES"/>
        </w:rPr>
        <w:t xml:space="preserve">sobre a </w:t>
      </w:r>
      <w:r w:rsidRPr="00D65A20">
        <w:rPr>
          <w:rFonts w:ascii="Times New Roman" w:hAnsi="Times New Roman"/>
          <w:bCs/>
          <w:szCs w:val="22"/>
          <w:lang w:val="pt-BR" w:eastAsia="es-ES"/>
        </w:rPr>
        <w:t>Gestão d</w:t>
      </w:r>
      <w:r w:rsidR="006E10EA" w:rsidRPr="00D65A20">
        <w:rPr>
          <w:rFonts w:ascii="Times New Roman" w:hAnsi="Times New Roman"/>
          <w:bCs/>
          <w:szCs w:val="22"/>
          <w:lang w:val="pt-BR" w:eastAsia="es-ES"/>
        </w:rPr>
        <w:t>os</w:t>
      </w:r>
      <w:r w:rsidRPr="00D65A20">
        <w:rPr>
          <w:rFonts w:ascii="Times New Roman" w:hAnsi="Times New Roman"/>
          <w:bCs/>
          <w:szCs w:val="22"/>
          <w:lang w:val="pt-BR" w:eastAsia="es-ES"/>
        </w:rPr>
        <w:t xml:space="preserve"> Recursos e </w:t>
      </w:r>
      <w:r w:rsidR="006E10EA" w:rsidRPr="00D65A20">
        <w:rPr>
          <w:rFonts w:ascii="Times New Roman" w:hAnsi="Times New Roman"/>
          <w:bCs/>
          <w:szCs w:val="22"/>
          <w:lang w:val="pt-BR" w:eastAsia="es-ES"/>
        </w:rPr>
        <w:t xml:space="preserve">o </w:t>
      </w:r>
      <w:r w:rsidRPr="00D65A20">
        <w:rPr>
          <w:rFonts w:ascii="Times New Roman" w:hAnsi="Times New Roman"/>
          <w:bCs/>
          <w:szCs w:val="22"/>
          <w:lang w:val="pt-BR" w:eastAsia="es-ES"/>
        </w:rPr>
        <w:t>Desempenho.</w:t>
      </w:r>
    </w:p>
    <w:p w14:paraId="6E83490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910" w14:textId="77777777" w:rsidR="00D230D1" w:rsidRPr="00D65A20" w:rsidRDefault="00D230D1" w:rsidP="00AA4399">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u w:val="single"/>
          <w:lang w:val="pt-BR" w:eastAsia="es-ES"/>
        </w:rPr>
      </w:pPr>
      <w:r w:rsidRPr="00D65A20">
        <w:rPr>
          <w:rFonts w:ascii="Times New Roman" w:hAnsi="Times New Roman"/>
          <w:color w:val="000000"/>
          <w:szCs w:val="22"/>
          <w:u w:val="single"/>
          <w:lang w:val="pt-BR" w:eastAsia="es-ES"/>
        </w:rPr>
        <w:t>Pessoal de confiança</w:t>
      </w:r>
    </w:p>
    <w:p w14:paraId="6E83491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912" w14:textId="4620345C" w:rsidR="00D230D1" w:rsidRPr="00D65A20" w:rsidRDefault="00D230D1" w:rsidP="00AA4399">
      <w:pPr>
        <w:widowControl/>
        <w:numPr>
          <w:ilvl w:val="0"/>
          <w:numId w:val="54"/>
        </w:numPr>
        <w:tabs>
          <w:tab w:val="clear" w:pos="720"/>
          <w:tab w:val="clear" w:pos="1440"/>
          <w:tab w:val="clear" w:pos="2160"/>
          <w:tab w:val="clear" w:pos="2880"/>
          <w:tab w:val="clear" w:pos="3600"/>
          <w:tab w:val="clear" w:pos="4320"/>
          <w:tab w:val="clear" w:pos="5760"/>
          <w:tab w:val="clear" w:pos="6480"/>
          <w:tab w:val="clear" w:pos="7200"/>
          <w:tab w:val="clear" w:pos="7920"/>
        </w:tabs>
        <w:ind w:left="2127" w:hanging="709"/>
        <w:rPr>
          <w:rFonts w:ascii="Times New Roman" w:eastAsia="Calibri" w:hAnsi="Times New Roman"/>
          <w:szCs w:val="22"/>
          <w:lang w:val="pt-BR" w:eastAsia="x-none"/>
        </w:rPr>
      </w:pPr>
      <w:r w:rsidRPr="00D65A20">
        <w:rPr>
          <w:rFonts w:ascii="Times New Roman" w:eastAsia="Calibri" w:hAnsi="Times New Roman"/>
          <w:szCs w:val="22"/>
          <w:lang w:val="pt-BR" w:eastAsia="x-none"/>
        </w:rPr>
        <w:t xml:space="preserve">Excetuar a aplicação do </w:t>
      </w:r>
      <w:r w:rsidR="001F0306" w:rsidRPr="00D65A20">
        <w:rPr>
          <w:rFonts w:ascii="Times New Roman" w:eastAsia="Calibri" w:hAnsi="Times New Roman"/>
          <w:szCs w:val="22"/>
          <w:lang w:val="pt-BR" w:eastAsia="x-none"/>
        </w:rPr>
        <w:t xml:space="preserve">artigo </w:t>
      </w:r>
      <w:r w:rsidRPr="00D65A20">
        <w:rPr>
          <w:rFonts w:ascii="Times New Roman" w:eastAsia="Calibri" w:hAnsi="Times New Roman"/>
          <w:szCs w:val="22"/>
          <w:lang w:val="pt-BR" w:eastAsia="x-none"/>
        </w:rPr>
        <w:t xml:space="preserve">21, </w:t>
      </w:r>
      <w:r w:rsidRPr="00D65A20">
        <w:rPr>
          <w:rFonts w:ascii="Times New Roman" w:eastAsia="Calibri" w:hAnsi="Times New Roman"/>
          <w:szCs w:val="22"/>
          <w:u w:val="single"/>
          <w:lang w:val="pt-BR" w:eastAsia="x-none"/>
        </w:rPr>
        <w:t>b</w:t>
      </w:r>
      <w:r w:rsidRPr="00D65A20">
        <w:rPr>
          <w:rFonts w:ascii="Times New Roman" w:eastAsia="Calibri" w:hAnsi="Times New Roman"/>
          <w:szCs w:val="22"/>
          <w:lang w:val="pt-BR" w:eastAsia="x-none"/>
        </w:rPr>
        <w:t xml:space="preserve">, </w:t>
      </w:r>
      <w:r w:rsidRPr="00D65A20">
        <w:rPr>
          <w:rFonts w:ascii="Times New Roman" w:eastAsia="Calibri" w:hAnsi="Times New Roman"/>
          <w:szCs w:val="22"/>
          <w:u w:val="single"/>
          <w:lang w:val="pt-BR" w:eastAsia="x-none"/>
        </w:rPr>
        <w:t>v</w:t>
      </w:r>
      <w:r w:rsidRPr="00D65A20">
        <w:rPr>
          <w:rFonts w:ascii="Times New Roman" w:eastAsia="Calibri" w:hAnsi="Times New Roman"/>
          <w:szCs w:val="22"/>
          <w:lang w:val="pt-BR" w:eastAsia="x-none"/>
        </w:rPr>
        <w:t xml:space="preserve">, das Normas Gerais, </w:t>
      </w:r>
      <w:r w:rsidR="006E10EA" w:rsidRPr="00D65A20">
        <w:rPr>
          <w:rFonts w:ascii="Times New Roman" w:eastAsia="Calibri" w:hAnsi="Times New Roman"/>
          <w:szCs w:val="22"/>
          <w:lang w:val="pt-BR" w:eastAsia="x-none"/>
        </w:rPr>
        <w:t xml:space="preserve">a fim de </w:t>
      </w:r>
      <w:r w:rsidRPr="00D65A20">
        <w:rPr>
          <w:rFonts w:ascii="Times New Roman" w:eastAsia="Calibri" w:hAnsi="Times New Roman"/>
          <w:szCs w:val="22"/>
          <w:lang w:val="pt-BR" w:eastAsia="x-none"/>
        </w:rPr>
        <w:t>autorizar o financiamento de 21 cargos de confiança pelo Fundo Ordinário, com respeito à execução do orçamento-programa para 2020. Os cargos de confiança para 2020 serão os que constam do anexo II.</w:t>
      </w:r>
    </w:p>
    <w:p w14:paraId="6E83491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eastAsia="x-none"/>
        </w:rPr>
      </w:pPr>
    </w:p>
    <w:p w14:paraId="6E834914" w14:textId="77777777" w:rsidR="00D230D1" w:rsidRPr="00D65A20" w:rsidRDefault="00D230D1" w:rsidP="00AA4399">
      <w:pPr>
        <w:widowControl/>
        <w:numPr>
          <w:ilvl w:val="0"/>
          <w:numId w:val="5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i/>
          <w:szCs w:val="22"/>
          <w:lang w:val="pt-BR" w:eastAsia="x-none"/>
        </w:rPr>
      </w:pPr>
      <w:r w:rsidRPr="00D65A20">
        <w:rPr>
          <w:rFonts w:ascii="Times New Roman" w:eastAsia="Calibri" w:hAnsi="Times New Roman"/>
          <w:szCs w:val="22"/>
          <w:lang w:val="pt-BR" w:eastAsia="x-none"/>
        </w:rPr>
        <w:t>Os cargos de confiança não poderão ser financiados com recursos que não sejam do Fundo Ordinário, com exceção dos cargo</w:t>
      </w:r>
      <w:r w:rsidR="00AD58E6" w:rsidRPr="00D65A20">
        <w:rPr>
          <w:rFonts w:ascii="Times New Roman" w:eastAsia="Calibri" w:hAnsi="Times New Roman"/>
          <w:szCs w:val="22"/>
          <w:lang w:val="pt-BR" w:eastAsia="x-none"/>
        </w:rPr>
        <w:t>s</w:t>
      </w:r>
      <w:r w:rsidRPr="00D65A20">
        <w:rPr>
          <w:rFonts w:ascii="Times New Roman" w:eastAsia="Calibri" w:hAnsi="Times New Roman"/>
          <w:szCs w:val="22"/>
          <w:lang w:val="pt-BR" w:eastAsia="x-none"/>
        </w:rPr>
        <w:t xml:space="preserve"> que já v</w:t>
      </w:r>
      <w:r w:rsidR="00AD58E6" w:rsidRPr="00D65A20">
        <w:rPr>
          <w:rFonts w:ascii="Times New Roman" w:eastAsia="Calibri" w:hAnsi="Times New Roman"/>
          <w:szCs w:val="22"/>
          <w:lang w:val="pt-BR" w:eastAsia="x-none"/>
        </w:rPr>
        <w:t>ê</w:t>
      </w:r>
      <w:r w:rsidRPr="00D65A20">
        <w:rPr>
          <w:rFonts w:ascii="Times New Roman" w:eastAsia="Calibri" w:hAnsi="Times New Roman"/>
          <w:szCs w:val="22"/>
          <w:lang w:val="pt-BR" w:eastAsia="x-none"/>
        </w:rPr>
        <w:t>m sendo financiado</w:t>
      </w:r>
      <w:r w:rsidR="00AD58E6" w:rsidRPr="00D65A20">
        <w:rPr>
          <w:rFonts w:ascii="Times New Roman" w:eastAsia="Calibri" w:hAnsi="Times New Roman"/>
          <w:szCs w:val="22"/>
          <w:lang w:val="pt-BR" w:eastAsia="x-none"/>
        </w:rPr>
        <w:t>s</w:t>
      </w:r>
      <w:r w:rsidRPr="00D65A20">
        <w:rPr>
          <w:rFonts w:ascii="Times New Roman" w:eastAsia="Calibri" w:hAnsi="Times New Roman"/>
          <w:szCs w:val="22"/>
          <w:lang w:val="pt-BR" w:eastAsia="x-none"/>
        </w:rPr>
        <w:t xml:space="preserve"> por fundos diferentes do Fundo Ordinário quando da entrada em vigor desta resolução.</w:t>
      </w:r>
    </w:p>
    <w:p w14:paraId="6E83491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i/>
          <w:szCs w:val="22"/>
          <w:lang w:val="pt-BR" w:eastAsia="x-none"/>
        </w:rPr>
      </w:pPr>
    </w:p>
    <w:p w14:paraId="6E834916" w14:textId="77777777" w:rsidR="00D230D1" w:rsidRPr="00D65A20" w:rsidRDefault="00D230D1" w:rsidP="00AA4399">
      <w:pPr>
        <w:widowControl/>
        <w:numPr>
          <w:ilvl w:val="0"/>
          <w:numId w:val="54"/>
        </w:numPr>
        <w:tabs>
          <w:tab w:val="clear" w:pos="720"/>
          <w:tab w:val="clear" w:pos="1440"/>
          <w:tab w:val="clear" w:pos="2160"/>
          <w:tab w:val="clear" w:pos="2880"/>
          <w:tab w:val="clear" w:pos="3600"/>
          <w:tab w:val="clear" w:pos="4320"/>
          <w:tab w:val="clear" w:pos="5760"/>
          <w:tab w:val="clear" w:pos="6480"/>
          <w:tab w:val="clear" w:pos="7200"/>
          <w:tab w:val="clear" w:pos="7920"/>
        </w:tabs>
        <w:ind w:left="2127" w:hanging="709"/>
        <w:rPr>
          <w:rFonts w:ascii="Times New Roman" w:eastAsia="Calibri" w:hAnsi="Times New Roman"/>
          <w:szCs w:val="22"/>
          <w:lang w:val="pt-BR" w:eastAsia="x-none"/>
        </w:rPr>
      </w:pPr>
      <w:r w:rsidRPr="00D65A20">
        <w:rPr>
          <w:rFonts w:ascii="Times New Roman" w:eastAsia="Calibri" w:hAnsi="Times New Roman"/>
          <w:szCs w:val="22"/>
          <w:lang w:val="pt-BR" w:eastAsia="x-none"/>
        </w:rPr>
        <w:t>O funcionário contratado para exercer um cargo de confiança não terá direito a pagamento de férias anuais acumuladas não utilizadas ao deixar a Organização. Essa disposição não se aplica a funcionários de carreira, funcionários com contratos contínuos e funcionários com contratos da Série A ou da Série B que tenham sido nomeados para cargos de confiança.</w:t>
      </w:r>
    </w:p>
    <w:p w14:paraId="6E83491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Arial Unicode MS" w:hAnsi="Times New Roman"/>
          <w:szCs w:val="22"/>
          <w:lang w:val="pt-BR" w:eastAsia="x-none"/>
        </w:rPr>
      </w:pPr>
    </w:p>
    <w:p w14:paraId="6E834918" w14:textId="77777777" w:rsidR="00D230D1" w:rsidRPr="00D65A20" w:rsidRDefault="00D230D1" w:rsidP="00AA4399">
      <w:pPr>
        <w:widowControl/>
        <w:numPr>
          <w:ilvl w:val="0"/>
          <w:numId w:val="59"/>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color w:val="000000"/>
          <w:szCs w:val="22"/>
          <w:u w:val="single"/>
          <w:lang w:val="pt-BR" w:eastAsia="es-ES"/>
        </w:rPr>
      </w:pPr>
      <w:r w:rsidRPr="00D65A20">
        <w:rPr>
          <w:rFonts w:ascii="Times New Roman" w:hAnsi="Times New Roman"/>
          <w:color w:val="000000"/>
          <w:szCs w:val="22"/>
          <w:u w:val="single"/>
          <w:lang w:val="pt-BR" w:eastAsia="es-ES"/>
        </w:rPr>
        <w:t>Escritórios da Secretaria-Geral nos Estados membros</w:t>
      </w:r>
      <w:r w:rsidRPr="00D65A20">
        <w:rPr>
          <w:rFonts w:ascii="Times New Roman" w:hAnsi="Times New Roman"/>
          <w:color w:val="000000"/>
          <w:szCs w:val="22"/>
          <w:lang w:val="pt-BR" w:eastAsia="es-ES"/>
        </w:rPr>
        <w:t xml:space="preserve"> </w:t>
      </w:r>
    </w:p>
    <w:p w14:paraId="6E83491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91A" w14:textId="77777777" w:rsidR="00D230D1" w:rsidRPr="00D65A20" w:rsidRDefault="00D230D1" w:rsidP="00AA4399">
      <w:pPr>
        <w:widowControl/>
        <w:tabs>
          <w:tab w:val="clear" w:pos="2160"/>
          <w:tab w:val="clear" w:pos="2880"/>
          <w:tab w:val="clear" w:pos="3600"/>
          <w:tab w:val="clear" w:pos="4320"/>
          <w:tab w:val="clear" w:pos="5760"/>
          <w:tab w:val="clear" w:pos="6480"/>
          <w:tab w:val="clear" w:pos="7200"/>
          <w:tab w:val="clear" w:pos="7920"/>
        </w:tabs>
        <w:contextualSpacing/>
        <w:rPr>
          <w:rFonts w:ascii="Times New Roman" w:hAnsi="Times New Roman"/>
          <w:color w:val="000000"/>
          <w:szCs w:val="22"/>
          <w:lang w:val="pt-BR" w:eastAsia="es-ES"/>
        </w:rPr>
      </w:pPr>
      <w:r w:rsidRPr="00D65A20">
        <w:rPr>
          <w:rFonts w:ascii="Times New Roman" w:hAnsi="Times New Roman"/>
          <w:color w:val="000000"/>
          <w:szCs w:val="22"/>
          <w:lang w:val="pt-BR" w:eastAsia="es-ES"/>
        </w:rPr>
        <w:tab/>
        <w:t>Solicitar ao Secretário-Geral que instrua o Escritório de Coordenação dos Escritórios e Unidades da Secretaria-Geral nos Estados membros a continuar otimizando e implementando sua estratégia atual até que se alcance um acordo sobre a análise integral e o plano estratégico para sua execução.</w:t>
      </w:r>
    </w:p>
    <w:p w14:paraId="6E83491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91C" w14:textId="77777777" w:rsidR="00D230D1" w:rsidRPr="00D65A20" w:rsidRDefault="00D230D1" w:rsidP="00AA4399">
      <w:pPr>
        <w:widowControl/>
        <w:numPr>
          <w:ilvl w:val="0"/>
          <w:numId w:val="55"/>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u w:val="single"/>
          <w:lang w:val="pt-BR" w:eastAsia="es-ES"/>
        </w:rPr>
      </w:pPr>
      <w:r w:rsidRPr="00D65A20">
        <w:rPr>
          <w:rFonts w:ascii="Times New Roman" w:hAnsi="Times New Roman"/>
          <w:color w:val="000000"/>
          <w:szCs w:val="22"/>
          <w:u w:val="single"/>
          <w:lang w:val="pt-BR" w:eastAsia="es-ES"/>
        </w:rPr>
        <w:t>Ética e integridade</w:t>
      </w:r>
    </w:p>
    <w:p w14:paraId="6E83491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91E" w14:textId="5C8582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eastAsia="es-ES"/>
        </w:rPr>
      </w:pPr>
      <w:r w:rsidRPr="00D65A20">
        <w:rPr>
          <w:rFonts w:ascii="Times New Roman" w:eastAsia="Calibri" w:hAnsi="Times New Roman"/>
          <w:szCs w:val="22"/>
          <w:lang w:val="pt-BR"/>
        </w:rPr>
        <w:t xml:space="preserve">Encarregar o Secretário-Geral de atualizar as Declarações de Lealdade e de Ética de Conduta e Conflitos de Interesse da Secretaria-Geral, de acordo com o </w:t>
      </w:r>
      <w:r w:rsidR="00AD58E6" w:rsidRPr="00D65A20">
        <w:rPr>
          <w:rFonts w:ascii="Times New Roman" w:eastAsia="Calibri" w:hAnsi="Times New Roman"/>
          <w:szCs w:val="22"/>
          <w:lang w:val="pt-BR"/>
        </w:rPr>
        <w:t xml:space="preserve">artigo </w:t>
      </w:r>
      <w:r w:rsidRPr="00D65A20">
        <w:rPr>
          <w:rFonts w:ascii="Times New Roman" w:eastAsia="Calibri" w:hAnsi="Times New Roman"/>
          <w:szCs w:val="22"/>
          <w:lang w:val="pt-BR"/>
        </w:rPr>
        <w:t xml:space="preserve">120 da Carta da </w:t>
      </w:r>
      <w:r w:rsidR="006E10EA" w:rsidRPr="00D65A20">
        <w:rPr>
          <w:rFonts w:ascii="Times New Roman" w:eastAsia="Calibri" w:hAnsi="Times New Roman"/>
          <w:bCs/>
          <w:szCs w:val="22"/>
          <w:lang w:val="pt-BR"/>
        </w:rPr>
        <w:t>Organização dos Estados Americanos</w:t>
      </w:r>
      <w:r w:rsidRPr="00D65A20">
        <w:rPr>
          <w:rFonts w:ascii="Times New Roman" w:eastAsia="Calibri" w:hAnsi="Times New Roman"/>
          <w:szCs w:val="22"/>
          <w:lang w:val="pt-BR"/>
        </w:rPr>
        <w:t xml:space="preserve">, que exige que o pessoal seja selecionado conforme critérios de eficiência, competência e integridade. O conceito de integridade inclui, embora a isso não se limite, probidade, imparcialidade, equidade, honestidade e veracidade em todos os assuntos que afetem seu trabalho, sua condição e suas interações com outros. Às Declarações de Lealdade e de Ética de Conduta e Conflitos de Interesse será atribuído o novo nome de “Declaração de Conflito de Interesses e Reconhecimento de Conduta Aceitável”, a ser assinada (física ou eletronicamente) por todos os funcionários, até </w:t>
      </w:r>
      <w:r w:rsidRPr="00D65A20">
        <w:rPr>
          <w:rFonts w:ascii="Times New Roman" w:eastAsia="Calibri" w:hAnsi="Times New Roman"/>
          <w:bCs/>
          <w:szCs w:val="22"/>
          <w:lang w:val="pt-BR"/>
        </w:rPr>
        <w:t>1</w:t>
      </w:r>
      <w:r w:rsidRPr="00D65A20">
        <w:rPr>
          <w:rFonts w:ascii="Times New Roman" w:eastAsia="Calibri" w:hAnsi="Times New Roman"/>
          <w:bCs/>
          <w:szCs w:val="22"/>
          <w:vertAlign w:val="superscript"/>
          <w:lang w:val="pt-BR"/>
        </w:rPr>
        <w:t>o</w:t>
      </w:r>
      <w:r w:rsidRPr="00D65A20">
        <w:rPr>
          <w:rFonts w:ascii="Times New Roman" w:eastAsia="Calibri" w:hAnsi="Times New Roman"/>
          <w:bCs/>
          <w:szCs w:val="22"/>
          <w:lang w:val="pt-BR"/>
        </w:rPr>
        <w:t xml:space="preserve"> de dezembro de 2020,</w:t>
      </w:r>
      <w:r w:rsidRPr="00D65A20">
        <w:rPr>
          <w:rFonts w:ascii="Times New Roman" w:eastAsia="Calibri" w:hAnsi="Times New Roman"/>
          <w:szCs w:val="22"/>
          <w:lang w:val="pt-BR"/>
        </w:rPr>
        <w:t xml:space="preserve"> e por todos os funcionários novos antes do início das funções. Posteriormente, a Declaração será assinada por todo o pessoal anualmente</w:t>
      </w:r>
      <w:r w:rsidRPr="00D65A20">
        <w:rPr>
          <w:rFonts w:ascii="Times New Roman" w:hAnsi="Times New Roman"/>
          <w:color w:val="000000"/>
          <w:szCs w:val="22"/>
          <w:lang w:val="pt-BR" w:eastAsia="es-ES"/>
        </w:rPr>
        <w:t>.</w:t>
      </w:r>
    </w:p>
    <w:p w14:paraId="6E83491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92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pt-BR" w:eastAsia="es-ES"/>
        </w:rPr>
      </w:pPr>
      <w:r w:rsidRPr="00D65A20">
        <w:rPr>
          <w:rFonts w:ascii="Times New Roman" w:hAnsi="Times New Roman"/>
          <w:color w:val="000000"/>
          <w:szCs w:val="22"/>
          <w:lang w:val="pt-BR" w:eastAsia="es-ES"/>
        </w:rPr>
        <w:tab/>
        <w:t>24.</w:t>
      </w:r>
      <w:r w:rsidRPr="00D65A20">
        <w:rPr>
          <w:rFonts w:ascii="Times New Roman" w:hAnsi="Times New Roman"/>
          <w:color w:val="000000"/>
          <w:szCs w:val="22"/>
          <w:lang w:val="pt-BR" w:eastAsia="es-ES"/>
        </w:rPr>
        <w:tab/>
      </w:r>
      <w:r w:rsidRPr="00D65A20">
        <w:rPr>
          <w:rFonts w:ascii="Times New Roman" w:hAnsi="Times New Roman"/>
          <w:color w:val="000000"/>
          <w:szCs w:val="22"/>
          <w:u w:val="single"/>
          <w:lang w:val="pt-BR" w:eastAsia="es-ES"/>
        </w:rPr>
        <w:t>Biblioteca Colombo</w:t>
      </w:r>
    </w:p>
    <w:p w14:paraId="6E83492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92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i/>
          <w:szCs w:val="22"/>
          <w:lang w:val="pt-BR"/>
        </w:rPr>
      </w:pPr>
      <w:r w:rsidRPr="00D65A20">
        <w:rPr>
          <w:rFonts w:ascii="Times New Roman" w:eastAsia="Calibri" w:hAnsi="Times New Roman"/>
          <w:szCs w:val="22"/>
          <w:lang w:val="pt-BR"/>
        </w:rPr>
        <w:tab/>
        <w:t>Solicitar à Biblioteca Colombo que informe a CAAP semestralmente sobre o andamento de suas atividades.</w:t>
      </w:r>
    </w:p>
    <w:p w14:paraId="6E83492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u w:val="single"/>
          <w:lang w:val="pt-BR" w:eastAsia="es-ES"/>
        </w:rPr>
      </w:pPr>
      <w:r w:rsidRPr="00D65A20">
        <w:rPr>
          <w:rFonts w:ascii="Times New Roman" w:hAnsi="Times New Roman"/>
          <w:color w:val="000000"/>
          <w:szCs w:val="22"/>
          <w:lang w:val="pt-BR" w:eastAsia="es-ES"/>
        </w:rPr>
        <w:lastRenderedPageBreak/>
        <w:t>25.</w:t>
      </w:r>
      <w:r w:rsidRPr="00D65A20">
        <w:rPr>
          <w:rFonts w:ascii="Times New Roman" w:hAnsi="Times New Roman"/>
          <w:color w:val="000000"/>
          <w:szCs w:val="22"/>
          <w:lang w:val="pt-BR" w:eastAsia="es-ES"/>
        </w:rPr>
        <w:tab/>
      </w:r>
      <w:r w:rsidRPr="00D65A20">
        <w:rPr>
          <w:rFonts w:ascii="Times New Roman" w:hAnsi="Times New Roman"/>
          <w:color w:val="000000"/>
          <w:szCs w:val="22"/>
          <w:u w:val="single"/>
          <w:lang w:val="pt-BR" w:eastAsia="es-ES"/>
        </w:rPr>
        <w:t>Normas Internacionais de Contabilidade para o Setor Público</w:t>
      </w:r>
    </w:p>
    <w:p w14:paraId="6E83492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926" w14:textId="439A2AEF"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pt-BR"/>
        </w:rPr>
      </w:pPr>
      <w:r w:rsidRPr="00D65A20">
        <w:rPr>
          <w:rFonts w:ascii="Times New Roman" w:eastAsia="Calibri" w:hAnsi="Times New Roman"/>
          <w:color w:val="000000"/>
          <w:szCs w:val="22"/>
          <w:lang w:val="pt-BR"/>
        </w:rPr>
        <w:t xml:space="preserve">Encarregar o Conselho Permanente de, por meio da CAAP, identificar as fontes de financiamento necessárias para o projeto “Implementação das Normas Internacionais de Contabilidade para o Setor Público (IPSAS)” na Secretaria-Geral, tão logo o novo </w:t>
      </w:r>
      <w:r w:rsidR="006E10EA" w:rsidRPr="00D65A20">
        <w:rPr>
          <w:rFonts w:ascii="Times New Roman" w:eastAsia="Calibri" w:hAnsi="Times New Roman"/>
          <w:color w:val="000000"/>
          <w:szCs w:val="22"/>
          <w:lang w:val="pt-BR"/>
        </w:rPr>
        <w:t>ERP</w:t>
      </w:r>
      <w:r w:rsidRPr="00D65A20">
        <w:rPr>
          <w:rFonts w:ascii="Times New Roman" w:eastAsia="Calibri" w:hAnsi="Times New Roman"/>
          <w:color w:val="000000"/>
          <w:szCs w:val="22"/>
          <w:lang w:val="pt-BR"/>
        </w:rPr>
        <w:t xml:space="preserve"> tenha sido implementado, e dentro de um prazo razoável.</w:t>
      </w:r>
    </w:p>
    <w:p w14:paraId="6E83492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92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lang w:val="pt-BR" w:eastAsia="es-ES"/>
        </w:rPr>
      </w:pPr>
      <w:r w:rsidRPr="00D65A20">
        <w:rPr>
          <w:rFonts w:ascii="Times New Roman" w:hAnsi="Times New Roman"/>
          <w:color w:val="000000"/>
          <w:szCs w:val="22"/>
          <w:lang w:val="pt-BR" w:eastAsia="es-ES"/>
        </w:rPr>
        <w:t>26.</w:t>
      </w:r>
      <w:r w:rsidRPr="00D65A20">
        <w:rPr>
          <w:rFonts w:ascii="Times New Roman" w:hAnsi="Times New Roman"/>
          <w:color w:val="000000"/>
          <w:szCs w:val="22"/>
          <w:lang w:val="pt-BR" w:eastAsia="es-ES"/>
        </w:rPr>
        <w:tab/>
      </w:r>
      <w:r w:rsidRPr="00D65A20">
        <w:rPr>
          <w:rFonts w:ascii="Times New Roman" w:hAnsi="Times New Roman"/>
          <w:color w:val="000000"/>
          <w:szCs w:val="22"/>
          <w:u w:val="single"/>
          <w:lang w:val="pt-BR" w:eastAsia="es-ES"/>
        </w:rPr>
        <w:t>Eficácia e eficiência</w:t>
      </w:r>
    </w:p>
    <w:p w14:paraId="6E83492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p>
    <w:p w14:paraId="6E83492A" w14:textId="0C6DD9C9" w:rsidR="00D230D1" w:rsidRPr="00D65A20" w:rsidRDefault="00D230D1" w:rsidP="00AA4399">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eastAsia="Calibri" w:hAnsi="Times New Roman"/>
          <w:b/>
          <w:szCs w:val="22"/>
          <w:lang w:val="pt-BR"/>
        </w:rPr>
      </w:pPr>
      <w:r w:rsidRPr="00D65A20">
        <w:rPr>
          <w:rFonts w:ascii="Times New Roman" w:eastAsia="Calibri" w:hAnsi="Times New Roman"/>
          <w:bCs/>
          <w:szCs w:val="22"/>
          <w:lang w:val="pt-BR"/>
        </w:rPr>
        <w:t xml:space="preserve">Solicitar à Secretaria-Geral que, no prazo de 60 dias após a conclusão dos períodos ordinários de sessões da Assembleia Geral, </w:t>
      </w:r>
      <w:r w:rsidR="006E10EA" w:rsidRPr="00D65A20">
        <w:rPr>
          <w:rFonts w:ascii="Times New Roman" w:eastAsia="Calibri" w:hAnsi="Times New Roman"/>
          <w:bCs/>
          <w:szCs w:val="22"/>
          <w:lang w:val="pt-BR"/>
        </w:rPr>
        <w:t xml:space="preserve">informe </w:t>
      </w:r>
      <w:r w:rsidRPr="00D65A20">
        <w:rPr>
          <w:rFonts w:ascii="Times New Roman" w:eastAsia="Calibri" w:hAnsi="Times New Roman"/>
          <w:bCs/>
          <w:szCs w:val="22"/>
          <w:lang w:val="pt-BR"/>
        </w:rPr>
        <w:t>os custos dos mandatos constantes das resoluções aprovadas, bem como seus efeitos sobre o orçamento-programa.</w:t>
      </w:r>
    </w:p>
    <w:p w14:paraId="6E83492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lang w:val="pt-BR"/>
        </w:rPr>
      </w:pPr>
    </w:p>
    <w:p w14:paraId="6E83492C" w14:textId="77777777" w:rsidR="00D230D1" w:rsidRPr="00D65A20" w:rsidRDefault="00D230D1" w:rsidP="00AA4399">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eastAsia="Calibri" w:hAnsi="Times New Roman"/>
          <w:szCs w:val="22"/>
          <w:lang w:val="pt-BR"/>
        </w:rPr>
      </w:pPr>
      <w:r w:rsidRPr="00D65A20">
        <w:rPr>
          <w:rFonts w:ascii="Times New Roman" w:eastAsia="Calibri" w:hAnsi="Times New Roman"/>
          <w:szCs w:val="22"/>
          <w:lang w:val="pt-BR"/>
        </w:rPr>
        <w:t>Solicitar à Secretaria-Geral que ajuste os recursos da Organização e sua estrutura organizacional aos mandatos.</w:t>
      </w:r>
    </w:p>
    <w:p w14:paraId="6E83492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p>
    <w:p w14:paraId="6E83492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lang w:val="pt-BR"/>
        </w:rPr>
      </w:pPr>
      <w:r w:rsidRPr="00D65A20">
        <w:rPr>
          <w:rFonts w:ascii="Times New Roman" w:hAnsi="Times New Roman"/>
          <w:color w:val="000000"/>
          <w:szCs w:val="22"/>
          <w:lang w:val="pt-BR"/>
        </w:rPr>
        <w:t>27.</w:t>
      </w:r>
      <w:r w:rsidRPr="00D65A20">
        <w:rPr>
          <w:rFonts w:ascii="Times New Roman" w:hAnsi="Times New Roman"/>
          <w:color w:val="000000"/>
          <w:szCs w:val="22"/>
          <w:lang w:val="pt-BR"/>
        </w:rPr>
        <w:tab/>
      </w:r>
      <w:r w:rsidRPr="00D65A20">
        <w:rPr>
          <w:rFonts w:ascii="Times New Roman" w:hAnsi="Times New Roman"/>
          <w:color w:val="000000"/>
          <w:szCs w:val="22"/>
          <w:u w:val="single"/>
          <w:lang w:val="pt-BR"/>
        </w:rPr>
        <w:t>Criação de novos mandatos</w:t>
      </w:r>
      <w:r w:rsidRPr="00D65A20">
        <w:rPr>
          <w:rFonts w:ascii="Times New Roman" w:hAnsi="Times New Roman"/>
          <w:color w:val="000000"/>
          <w:szCs w:val="22"/>
          <w:lang w:val="pt-BR"/>
        </w:rPr>
        <w:t xml:space="preserve"> </w:t>
      </w:r>
    </w:p>
    <w:p w14:paraId="6E83492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pt-BR"/>
        </w:rPr>
      </w:pPr>
    </w:p>
    <w:p w14:paraId="6E834930" w14:textId="77777777" w:rsidR="00D230D1" w:rsidRPr="00D65A20" w:rsidRDefault="00D230D1" w:rsidP="00AA4399">
      <w:pPr>
        <w:widowControl/>
        <w:numPr>
          <w:ilvl w:val="1"/>
          <w:numId w:val="5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bCs/>
          <w:szCs w:val="22"/>
          <w:lang w:val="pt-BR"/>
        </w:rPr>
      </w:pPr>
      <w:r w:rsidRPr="00D65A20">
        <w:rPr>
          <w:rFonts w:ascii="Times New Roman" w:eastAsia="Calibri" w:hAnsi="Times New Roman"/>
          <w:bCs/>
          <w:szCs w:val="22"/>
          <w:lang w:val="pt-BR"/>
        </w:rPr>
        <w:t>Encarregar o Conselho Permanente de, por meio da CAAP, considerar estabelecer um processo e uma prática de quadro normativo para que as comissões do Conselho Permanente e o CIDI analisem as implicações dos novos mandatos no orçamento-programa, e que o referido quadro seja concluído até junho de 2021.</w:t>
      </w:r>
    </w:p>
    <w:p w14:paraId="6E83493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pt-BR"/>
        </w:rPr>
      </w:pPr>
    </w:p>
    <w:p w14:paraId="6E834932" w14:textId="77777777" w:rsidR="00D230D1" w:rsidRPr="00D65A20" w:rsidRDefault="00D230D1" w:rsidP="00AA4399">
      <w:pPr>
        <w:widowControl/>
        <w:numPr>
          <w:ilvl w:val="1"/>
          <w:numId w:val="5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bCs/>
          <w:i/>
          <w:szCs w:val="22"/>
          <w:lang w:val="pt-BR"/>
        </w:rPr>
      </w:pPr>
      <w:r w:rsidRPr="00D65A20">
        <w:rPr>
          <w:rFonts w:ascii="Times New Roman" w:eastAsia="Calibri" w:hAnsi="Times New Roman"/>
          <w:bCs/>
          <w:szCs w:val="22"/>
          <w:lang w:val="pt-BR"/>
        </w:rPr>
        <w:t>Encarregar a Secretaria-Geral de apresentar a todas as comissões, após consideração da CAAP e aprovação do Conselho Permanente, um modelo-padrão a anexar-se a todos os projetos de resolução que incluam novos mandatos a serem considerados para a aprovação da Assembleia Geral. As consultas com os departamentos pertinentes e com a CAAP poderão responder às seguintes questões</w:t>
      </w:r>
      <w:r w:rsidRPr="00D65A20">
        <w:rPr>
          <w:rFonts w:ascii="Times New Roman" w:hAnsi="Times New Roman"/>
          <w:color w:val="000000"/>
          <w:szCs w:val="22"/>
          <w:lang w:val="pt-BR"/>
        </w:rPr>
        <w:t>:</w:t>
      </w:r>
    </w:p>
    <w:p w14:paraId="6E83493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pt-BR"/>
        </w:rPr>
      </w:pPr>
    </w:p>
    <w:p w14:paraId="6E834934" w14:textId="77777777" w:rsidR="00D230D1" w:rsidRPr="00D65A20" w:rsidRDefault="00D230D1" w:rsidP="00AA4399">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rPr>
          <w:rFonts w:ascii="Times New Roman" w:eastAsia="Calibri" w:hAnsi="Times New Roman"/>
          <w:bCs/>
          <w:szCs w:val="22"/>
          <w:lang w:val="pt-BR"/>
        </w:rPr>
      </w:pPr>
      <w:r w:rsidRPr="00D65A20">
        <w:rPr>
          <w:rFonts w:ascii="Times New Roman" w:eastAsia="Calibri" w:hAnsi="Times New Roman"/>
          <w:bCs/>
          <w:szCs w:val="22"/>
          <w:lang w:val="pt-BR"/>
        </w:rPr>
        <w:t>Como o mandato se encaixa na estrutura do Plano Estratégico</w:t>
      </w:r>
      <w:r w:rsidR="00594464" w:rsidRPr="00D65A20">
        <w:rPr>
          <w:rFonts w:ascii="Times New Roman" w:eastAsia="Calibri" w:hAnsi="Times New Roman"/>
          <w:bCs/>
          <w:szCs w:val="22"/>
          <w:lang w:val="pt-BR"/>
        </w:rPr>
        <w:t xml:space="preserve"> Integral da Organização</w:t>
      </w:r>
      <w:r w:rsidRPr="00D65A20">
        <w:rPr>
          <w:rFonts w:ascii="Times New Roman" w:eastAsia="Calibri" w:hAnsi="Times New Roman"/>
          <w:bCs/>
          <w:szCs w:val="22"/>
          <w:lang w:val="pt-BR"/>
        </w:rPr>
        <w:t>? Que indicadores serão utilizados para medir os resultados?</w:t>
      </w:r>
    </w:p>
    <w:p w14:paraId="6E83493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pt-BR"/>
        </w:rPr>
      </w:pPr>
    </w:p>
    <w:p w14:paraId="6E834936" w14:textId="77777777" w:rsidR="00D230D1" w:rsidRPr="00D65A20" w:rsidRDefault="00D230D1" w:rsidP="00AA4399">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rPr>
          <w:rFonts w:ascii="Times New Roman" w:eastAsia="Calibri" w:hAnsi="Times New Roman"/>
          <w:bCs/>
          <w:szCs w:val="22"/>
          <w:lang w:val="pt-BR"/>
        </w:rPr>
      </w:pPr>
      <w:r w:rsidRPr="00D65A20">
        <w:rPr>
          <w:rFonts w:ascii="Times New Roman" w:eastAsia="Calibri" w:hAnsi="Times New Roman"/>
          <w:bCs/>
          <w:szCs w:val="22"/>
          <w:lang w:val="pt-BR"/>
        </w:rPr>
        <w:t>Qual é o cronograma esperado (data de início/data de término estimadas) para o cumprimento das metas e dos objetivos do novo mandato?</w:t>
      </w:r>
    </w:p>
    <w:p w14:paraId="6E83493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pt-BR"/>
        </w:rPr>
      </w:pPr>
    </w:p>
    <w:p w14:paraId="6E834938" w14:textId="77777777" w:rsidR="00D230D1" w:rsidRPr="00D65A20" w:rsidRDefault="00D230D1" w:rsidP="00AA4399">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rPr>
          <w:rFonts w:ascii="Times New Roman" w:eastAsia="Calibri" w:hAnsi="Times New Roman"/>
          <w:bCs/>
          <w:szCs w:val="22"/>
          <w:lang w:val="pt-BR"/>
        </w:rPr>
      </w:pPr>
      <w:r w:rsidRPr="00D65A20">
        <w:rPr>
          <w:rFonts w:ascii="Times New Roman" w:eastAsia="Calibri" w:hAnsi="Times New Roman"/>
          <w:bCs/>
          <w:szCs w:val="22"/>
          <w:lang w:val="pt-BR"/>
        </w:rPr>
        <w:t>O mandato exigirá recursos do Fundo Ordinário ou de pessoal? Se sim:</w:t>
      </w:r>
    </w:p>
    <w:p w14:paraId="6E83493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pt-BR"/>
        </w:rPr>
      </w:pPr>
    </w:p>
    <w:p w14:paraId="6E83493A"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rPr>
          <w:rFonts w:ascii="Times New Roman" w:eastAsia="Calibri" w:hAnsi="Times New Roman"/>
          <w:bCs/>
          <w:szCs w:val="22"/>
          <w:lang w:val="pt-BR"/>
        </w:rPr>
      </w:pPr>
      <w:r w:rsidRPr="00D65A20">
        <w:rPr>
          <w:rFonts w:ascii="Times New Roman" w:eastAsia="Calibri" w:hAnsi="Times New Roman"/>
          <w:bCs/>
          <w:szCs w:val="22"/>
          <w:lang w:val="pt-BR"/>
        </w:rPr>
        <w:t>4.</w:t>
      </w:r>
      <w:r w:rsidRPr="00D65A20">
        <w:rPr>
          <w:rFonts w:ascii="Times New Roman" w:eastAsia="Calibri" w:hAnsi="Times New Roman"/>
          <w:bCs/>
          <w:szCs w:val="22"/>
          <w:lang w:val="pt-BR"/>
        </w:rPr>
        <w:tab/>
        <w:t>Quais são as implicações orçamentárias estimadas do mandato?</w:t>
      </w:r>
    </w:p>
    <w:p w14:paraId="6E83493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rPr>
          <w:rFonts w:ascii="Times New Roman" w:eastAsia="Calibri" w:hAnsi="Times New Roman"/>
          <w:bCs/>
          <w:szCs w:val="22"/>
          <w:lang w:val="pt-BR"/>
        </w:rPr>
      </w:pPr>
      <w:r w:rsidRPr="00D65A20">
        <w:rPr>
          <w:rFonts w:ascii="Times New Roman" w:eastAsia="Calibri" w:hAnsi="Times New Roman"/>
          <w:bCs/>
          <w:szCs w:val="22"/>
          <w:lang w:val="pt-BR"/>
        </w:rPr>
        <w:t>— Que nível de apoio de profissionais (quadro de pessoal e/ou CPRs) seria necessário para se cumprir o mandato?</w:t>
      </w:r>
    </w:p>
    <w:p w14:paraId="6E83493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rPr>
          <w:rFonts w:ascii="Times New Roman" w:eastAsia="Calibri" w:hAnsi="Times New Roman"/>
          <w:bCs/>
          <w:szCs w:val="22"/>
          <w:lang w:val="pt-BR"/>
        </w:rPr>
      </w:pPr>
      <w:r w:rsidRPr="00D65A20">
        <w:rPr>
          <w:rFonts w:ascii="Times New Roman" w:eastAsia="Calibri" w:hAnsi="Times New Roman"/>
          <w:bCs/>
          <w:szCs w:val="22"/>
          <w:lang w:val="pt-BR"/>
        </w:rPr>
        <w:lastRenderedPageBreak/>
        <w:t>— Seriam necessários recursos do Fundo Ordinário ou de fundos específicos para o cumprimento do mandato? Se sim, qual o valor estimado?</w:t>
      </w:r>
    </w:p>
    <w:p w14:paraId="6E83493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rPr>
          <w:rFonts w:ascii="Times New Roman" w:eastAsia="Calibri" w:hAnsi="Times New Roman"/>
          <w:bCs/>
          <w:szCs w:val="22"/>
          <w:lang w:val="pt-BR"/>
        </w:rPr>
      </w:pPr>
      <w:r w:rsidRPr="00D65A20">
        <w:rPr>
          <w:rFonts w:ascii="Times New Roman" w:eastAsia="Calibri" w:hAnsi="Times New Roman"/>
          <w:bCs/>
          <w:szCs w:val="22"/>
          <w:lang w:val="pt-BR"/>
        </w:rPr>
        <w:t xml:space="preserve">— Se possível, fornecer detalhes sobre a fonte de financiamento proposta para o mandato. </w:t>
      </w:r>
    </w:p>
    <w:p w14:paraId="6E83493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94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lang w:val="pt-BR" w:eastAsia="es-ES"/>
        </w:rPr>
      </w:pPr>
      <w:r w:rsidRPr="00D65A20">
        <w:rPr>
          <w:rFonts w:ascii="Times New Roman" w:hAnsi="Times New Roman"/>
          <w:color w:val="000000"/>
          <w:szCs w:val="22"/>
          <w:lang w:val="pt-BR" w:eastAsia="es-ES"/>
        </w:rPr>
        <w:t>28.</w:t>
      </w:r>
      <w:r w:rsidRPr="00D65A20">
        <w:rPr>
          <w:rFonts w:ascii="Times New Roman" w:hAnsi="Times New Roman"/>
          <w:color w:val="000000"/>
          <w:szCs w:val="22"/>
          <w:lang w:val="pt-BR" w:eastAsia="es-ES"/>
        </w:rPr>
        <w:tab/>
      </w:r>
      <w:r w:rsidRPr="00D65A20">
        <w:rPr>
          <w:rFonts w:ascii="Times New Roman" w:hAnsi="Times New Roman"/>
          <w:color w:val="000000"/>
          <w:szCs w:val="22"/>
          <w:u w:val="single"/>
          <w:lang w:val="pt-BR" w:eastAsia="es-ES"/>
        </w:rPr>
        <w:t>Prestação de contas e transparência</w:t>
      </w:r>
    </w:p>
    <w:p w14:paraId="6E83494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u w:val="single"/>
          <w:lang w:val="pt-BR"/>
        </w:rPr>
      </w:pPr>
    </w:p>
    <w:p w14:paraId="6E834942" w14:textId="77777777" w:rsidR="00D230D1" w:rsidRPr="00D65A20" w:rsidRDefault="00D230D1" w:rsidP="00AA4399">
      <w:pPr>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eastAsia="Calibri" w:hAnsi="Times New Roman"/>
          <w:color w:val="000000"/>
          <w:szCs w:val="22"/>
          <w:lang w:val="pt-BR"/>
        </w:rPr>
      </w:pPr>
      <w:r w:rsidRPr="00D65A20">
        <w:rPr>
          <w:rFonts w:ascii="Times New Roman" w:eastAsia="Calibri" w:hAnsi="Times New Roman"/>
          <w:color w:val="000000"/>
          <w:szCs w:val="22"/>
          <w:lang w:val="pt-BR"/>
        </w:rPr>
        <w:t xml:space="preserve">A Secretaria-Geral continuará </w:t>
      </w:r>
      <w:r w:rsidR="00AD58E6" w:rsidRPr="00D65A20">
        <w:rPr>
          <w:rFonts w:ascii="Times New Roman" w:eastAsia="Calibri" w:hAnsi="Times New Roman"/>
          <w:color w:val="000000"/>
          <w:szCs w:val="22"/>
          <w:lang w:val="pt-BR"/>
        </w:rPr>
        <w:t>colocando</w:t>
      </w:r>
      <w:r w:rsidRPr="00D65A20">
        <w:rPr>
          <w:rFonts w:ascii="Times New Roman" w:eastAsia="Calibri" w:hAnsi="Times New Roman"/>
          <w:color w:val="000000"/>
          <w:szCs w:val="22"/>
          <w:lang w:val="pt-BR"/>
        </w:rPr>
        <w:t xml:space="preserve"> à disposição do público, na página da OEA na internet, as seguintes informações atualizadas, em conformidade com seu ordenamento jurídico:</w:t>
      </w:r>
    </w:p>
    <w:p w14:paraId="6E83494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p>
    <w:p w14:paraId="6E834944" w14:textId="77777777" w:rsidR="00D230D1" w:rsidRPr="00D65A20" w:rsidRDefault="00D230D1" w:rsidP="00AA4399">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Organograma de cada unidade organizacional.</w:t>
      </w:r>
    </w:p>
    <w:p w14:paraId="6E83494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p>
    <w:p w14:paraId="6E834946" w14:textId="1762A3E8" w:rsidR="00D230D1" w:rsidRPr="00D65A20" w:rsidRDefault="00D230D1" w:rsidP="00AA4399">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 xml:space="preserve">Planos operacionais das unidades organizacionais da Secretaria-Geral, estabelecidos com base nas linhas estratégicas e objetivos do Plano Estratégico </w:t>
      </w:r>
      <w:r w:rsidR="006E10EA" w:rsidRPr="00D65A20">
        <w:rPr>
          <w:rFonts w:ascii="Times New Roman" w:eastAsia="Calibri" w:hAnsi="Times New Roman"/>
          <w:color w:val="000000"/>
          <w:szCs w:val="22"/>
          <w:lang w:val="pt-BR"/>
        </w:rPr>
        <w:t>Integral</w:t>
      </w:r>
      <w:r w:rsidR="00B97BFA" w:rsidRPr="00D65A20">
        <w:rPr>
          <w:rFonts w:ascii="Times New Roman" w:eastAsia="Calibri" w:hAnsi="Times New Roman"/>
          <w:color w:val="000000"/>
          <w:szCs w:val="22"/>
          <w:lang w:val="pt-BR"/>
        </w:rPr>
        <w:t xml:space="preserve"> da Organização</w:t>
      </w:r>
      <w:r w:rsidR="006E10EA" w:rsidRPr="00D65A20">
        <w:rPr>
          <w:rFonts w:ascii="Times New Roman" w:eastAsia="Calibri" w:hAnsi="Times New Roman"/>
          <w:color w:val="000000"/>
          <w:szCs w:val="22"/>
          <w:lang w:val="pt-BR"/>
        </w:rPr>
        <w:t xml:space="preserve"> </w:t>
      </w:r>
      <w:r w:rsidRPr="00D65A20">
        <w:rPr>
          <w:rFonts w:ascii="Times New Roman" w:eastAsia="Calibri" w:hAnsi="Times New Roman"/>
          <w:color w:val="000000"/>
          <w:szCs w:val="22"/>
          <w:lang w:val="pt-BR"/>
        </w:rPr>
        <w:t>aprovado mediante a</w:t>
      </w:r>
      <w:r w:rsidR="006E10EA" w:rsidRPr="00D65A20">
        <w:rPr>
          <w:rFonts w:ascii="Times New Roman" w:eastAsia="Calibri" w:hAnsi="Times New Roman"/>
          <w:color w:val="000000"/>
          <w:szCs w:val="22"/>
          <w:lang w:val="pt-BR"/>
        </w:rPr>
        <w:t>s</w:t>
      </w:r>
      <w:r w:rsidRPr="00D65A20">
        <w:rPr>
          <w:rFonts w:ascii="Times New Roman" w:eastAsia="Calibri" w:hAnsi="Times New Roman"/>
          <w:color w:val="000000"/>
          <w:szCs w:val="22"/>
          <w:lang w:val="pt-BR"/>
        </w:rPr>
        <w:t xml:space="preserve"> </w:t>
      </w:r>
      <w:r w:rsidR="006E10EA" w:rsidRPr="00D65A20">
        <w:rPr>
          <w:rFonts w:ascii="Times New Roman" w:eastAsia="Calibri" w:hAnsi="Times New Roman"/>
          <w:color w:val="000000"/>
          <w:szCs w:val="22"/>
          <w:lang w:val="pt-BR"/>
        </w:rPr>
        <w:t xml:space="preserve">resoluções </w:t>
      </w:r>
      <w:r w:rsidRPr="00D65A20">
        <w:rPr>
          <w:rFonts w:ascii="Times New Roman" w:eastAsia="Calibri" w:hAnsi="Times New Roman"/>
          <w:color w:val="000000"/>
          <w:szCs w:val="22"/>
          <w:lang w:val="pt-BR"/>
        </w:rPr>
        <w:t xml:space="preserve">AG/RES. 1 (LI-E/16) rev. 1 </w:t>
      </w:r>
      <w:r w:rsidRPr="00D65A20">
        <w:rPr>
          <w:rFonts w:ascii="Times New Roman" w:eastAsia="Calibri" w:hAnsi="Times New Roman"/>
          <w:szCs w:val="22"/>
          <w:lang w:val="pt-BR"/>
        </w:rPr>
        <w:t>e CP/RES. 1121 (2209/19)</w:t>
      </w:r>
      <w:r w:rsidR="00B732AB" w:rsidRPr="00D65A20">
        <w:rPr>
          <w:rFonts w:ascii="Times New Roman" w:eastAsia="Calibri" w:hAnsi="Times New Roman"/>
          <w:szCs w:val="22"/>
          <w:lang w:val="pt-BR"/>
        </w:rPr>
        <w:t>.</w:t>
      </w:r>
    </w:p>
    <w:p w14:paraId="6E834947" w14:textId="77777777" w:rsidR="00B732AB" w:rsidRPr="00D65A20" w:rsidRDefault="00B732AB" w:rsidP="0088603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p>
    <w:p w14:paraId="6E834948" w14:textId="77777777" w:rsidR="00D230D1" w:rsidRPr="00D65A20" w:rsidRDefault="00D230D1" w:rsidP="00AA4399">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Resultados de avaliações, monitoramentos e auditorias de programas e operações.</w:t>
      </w:r>
    </w:p>
    <w:p w14:paraId="6E83494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p>
    <w:p w14:paraId="6E83494A" w14:textId="77777777" w:rsidR="00D230D1" w:rsidRPr="00D65A20" w:rsidRDefault="00D230D1" w:rsidP="00AA4399">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r w:rsidRPr="00D65A20">
        <w:rPr>
          <w:rFonts w:ascii="Times New Roman" w:eastAsia="Calibri" w:hAnsi="Times New Roman"/>
          <w:color w:val="000000"/>
          <w:szCs w:val="22"/>
          <w:lang w:val="pt-BR"/>
        </w:rPr>
        <w:t>Estrutura de pessoal por unidade organizacional, incluindo, além da escala salarial e outros benefícios, os cargos vagos.</w:t>
      </w:r>
    </w:p>
    <w:p w14:paraId="6E83494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p>
    <w:p w14:paraId="6E83494C" w14:textId="77777777" w:rsidR="00D230D1" w:rsidRPr="00D65A20" w:rsidRDefault="00D230D1" w:rsidP="00AA4399">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color w:val="000000"/>
          <w:szCs w:val="22"/>
          <w:lang w:val="pt-BR"/>
        </w:rPr>
      </w:pPr>
      <w:r w:rsidRPr="00D65A20">
        <w:rPr>
          <w:rFonts w:ascii="Times New Roman" w:eastAsia="Calibri" w:hAnsi="Times New Roman"/>
          <w:color w:val="000000"/>
          <w:szCs w:val="22"/>
          <w:lang w:val="pt-BR"/>
        </w:rPr>
        <w:t>Contratações por resultados, tanto de consultores como de bens e serviços, realizadas nos termos das normas aplicáveis.</w:t>
      </w:r>
    </w:p>
    <w:p w14:paraId="6E83494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94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u w:val="single"/>
          <w:lang w:val="pt-BR" w:eastAsia="es-ES"/>
        </w:rPr>
      </w:pPr>
      <w:r w:rsidRPr="00D65A20">
        <w:rPr>
          <w:rFonts w:ascii="Times New Roman" w:hAnsi="Times New Roman"/>
          <w:color w:val="000000"/>
          <w:szCs w:val="22"/>
          <w:lang w:val="pt-BR" w:eastAsia="es-ES"/>
        </w:rPr>
        <w:t>29.</w:t>
      </w:r>
      <w:r w:rsidRPr="00D65A20">
        <w:rPr>
          <w:rFonts w:ascii="Times New Roman" w:hAnsi="Times New Roman"/>
          <w:color w:val="000000"/>
          <w:szCs w:val="22"/>
          <w:lang w:val="pt-BR" w:eastAsia="es-ES"/>
        </w:rPr>
        <w:tab/>
      </w:r>
      <w:r w:rsidRPr="00D65A20">
        <w:rPr>
          <w:rFonts w:ascii="Times New Roman" w:hAnsi="Times New Roman"/>
          <w:color w:val="000000"/>
          <w:szCs w:val="22"/>
          <w:u w:val="single"/>
          <w:lang w:val="pt-BR" w:eastAsia="es-ES"/>
        </w:rPr>
        <w:t>Recomendações da Junta de Auditores Externos</w:t>
      </w:r>
    </w:p>
    <w:p w14:paraId="6E83494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950" w14:textId="77777777" w:rsidR="00D230D1" w:rsidRPr="00D65A20" w:rsidRDefault="00D230D1" w:rsidP="00AA4399">
      <w:pPr>
        <w:widowControl/>
        <w:numPr>
          <w:ilvl w:val="2"/>
          <w:numId w:val="5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szCs w:val="22"/>
          <w:lang w:val="pt-BR"/>
        </w:rPr>
      </w:pPr>
      <w:r w:rsidRPr="00D65A20">
        <w:rPr>
          <w:rFonts w:ascii="Times New Roman" w:eastAsia="Calibri" w:hAnsi="Times New Roman"/>
          <w:szCs w:val="22"/>
          <w:lang w:val="pt-BR"/>
        </w:rPr>
        <w:t>Após a apresentação do Relatório Anual da Junta de Auditores Externos, a CAAP deverá preparar uma resposta formal por escrito às recomendações da Junta, a qual será encaminhada ao Conselho Permanente até 1º de março. O Conselho Permanente enviará a resposta aprovada à Junta de Auditores Externos até 31 de março.</w:t>
      </w:r>
    </w:p>
    <w:p w14:paraId="6E83495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p>
    <w:p w14:paraId="6E83495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color w:val="000000"/>
          <w:szCs w:val="22"/>
          <w:lang w:val="pt-BR"/>
        </w:rPr>
      </w:pPr>
      <w:r w:rsidRPr="00D65A20">
        <w:rPr>
          <w:rFonts w:ascii="Times New Roman" w:eastAsia="Calibri" w:hAnsi="Times New Roman"/>
          <w:szCs w:val="22"/>
          <w:lang w:val="pt-BR"/>
        </w:rPr>
        <w:t>b)</w:t>
      </w:r>
      <w:r w:rsidRPr="00D65A20">
        <w:rPr>
          <w:rFonts w:ascii="Times New Roman" w:eastAsia="Calibri" w:hAnsi="Times New Roman"/>
          <w:szCs w:val="22"/>
          <w:lang w:val="pt-BR"/>
        </w:rPr>
        <w:tab/>
        <w:t>A resposta será preparada em colaboração com a Secretaria-Geral e incluirá a situação atual, as medidas adotadas e as próximas medidas, além de identificar os responsáveis principais.</w:t>
      </w:r>
    </w:p>
    <w:p w14:paraId="6E83495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szCs w:val="22"/>
          <w:lang w:val="pt-BR"/>
        </w:rPr>
      </w:pPr>
    </w:p>
    <w:p w14:paraId="6E83495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u w:val="single"/>
          <w:lang w:val="pt-BR" w:eastAsia="es-ES"/>
        </w:rPr>
      </w:pPr>
      <w:r w:rsidRPr="00D65A20">
        <w:rPr>
          <w:rFonts w:ascii="Times New Roman" w:hAnsi="Times New Roman"/>
          <w:color w:val="000000"/>
          <w:szCs w:val="22"/>
          <w:lang w:val="pt-BR" w:eastAsia="es-ES"/>
        </w:rPr>
        <w:t>30.</w:t>
      </w:r>
      <w:r w:rsidRPr="00D65A20">
        <w:rPr>
          <w:rFonts w:ascii="Times New Roman" w:hAnsi="Times New Roman"/>
          <w:color w:val="000000"/>
          <w:szCs w:val="22"/>
          <w:lang w:val="pt-BR" w:eastAsia="es-ES"/>
        </w:rPr>
        <w:tab/>
      </w:r>
      <w:r w:rsidRPr="00D65A20">
        <w:rPr>
          <w:rFonts w:ascii="Times New Roman" w:hAnsi="Times New Roman"/>
          <w:color w:val="000000"/>
          <w:szCs w:val="22"/>
          <w:u w:val="single"/>
          <w:lang w:val="pt-BR" w:eastAsia="es-ES"/>
        </w:rPr>
        <w:t>Recomendações do Inspetor-Geral</w:t>
      </w:r>
    </w:p>
    <w:p w14:paraId="6E83495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pt-BR" w:eastAsia="es-ES"/>
        </w:rPr>
      </w:pPr>
    </w:p>
    <w:p w14:paraId="6E834956" w14:textId="77777777" w:rsidR="00D230D1" w:rsidRPr="00D65A20" w:rsidRDefault="00D230D1" w:rsidP="00AA4399">
      <w:pPr>
        <w:widowControl/>
        <w:numPr>
          <w:ilvl w:val="1"/>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color w:val="000000"/>
          <w:szCs w:val="22"/>
          <w:lang w:val="pt-BR"/>
        </w:rPr>
      </w:pPr>
      <w:r w:rsidRPr="00D65A20">
        <w:rPr>
          <w:rFonts w:ascii="Times New Roman" w:eastAsia="Calibri" w:hAnsi="Times New Roman"/>
          <w:szCs w:val="22"/>
          <w:lang w:val="pt-BR"/>
        </w:rPr>
        <w:t xml:space="preserve">Encarregar o Inspetor-Geral de continuar </w:t>
      </w:r>
      <w:r w:rsidR="00886039" w:rsidRPr="00D65A20">
        <w:rPr>
          <w:rFonts w:ascii="Times New Roman" w:eastAsia="Calibri" w:hAnsi="Times New Roman"/>
          <w:szCs w:val="22"/>
          <w:lang w:val="pt-BR"/>
        </w:rPr>
        <w:t>apresentando</w:t>
      </w:r>
      <w:r w:rsidRPr="00D65A20">
        <w:rPr>
          <w:rFonts w:ascii="Times New Roman" w:eastAsia="Calibri" w:hAnsi="Times New Roman"/>
          <w:szCs w:val="22"/>
          <w:lang w:val="pt-BR"/>
        </w:rPr>
        <w:t xml:space="preserve"> à CAAP trimestralmente uma análise do estado de implementação das recomendações feitas.</w:t>
      </w:r>
    </w:p>
    <w:p w14:paraId="6E83495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p>
    <w:p w14:paraId="6E834958" w14:textId="77777777" w:rsidR="00D230D1" w:rsidRPr="00D65A20" w:rsidRDefault="00D230D1" w:rsidP="00AA4399">
      <w:pPr>
        <w:widowControl/>
        <w:numPr>
          <w:ilvl w:val="1"/>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i/>
          <w:color w:val="000000"/>
          <w:szCs w:val="22"/>
          <w:lang w:val="pt-BR"/>
        </w:rPr>
      </w:pPr>
      <w:r w:rsidRPr="00D65A20">
        <w:rPr>
          <w:rFonts w:ascii="Times New Roman" w:eastAsia="Calibri" w:hAnsi="Times New Roman"/>
          <w:szCs w:val="22"/>
          <w:lang w:val="pt-BR"/>
        </w:rPr>
        <w:t xml:space="preserve">Encarregar a Secretaria-Geral de submeter à consideração da CAAP, em preparação para as discussões do orçamento-programa 2022, uma visão geral </w:t>
      </w:r>
      <w:r w:rsidRPr="00D65A20">
        <w:rPr>
          <w:rFonts w:ascii="Times New Roman" w:eastAsia="Calibri" w:hAnsi="Times New Roman"/>
          <w:szCs w:val="22"/>
          <w:lang w:val="pt-BR"/>
        </w:rPr>
        <w:lastRenderedPageBreak/>
        <w:t>das mudanças organizacionais propostas para fortalecer o Escritório do Inspetor-Geral e das necessidades de recursos relacionadas às mudanças propostas.</w:t>
      </w:r>
    </w:p>
    <w:p w14:paraId="6E83495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i/>
          <w:color w:val="000000"/>
          <w:szCs w:val="22"/>
          <w:lang w:val="pt-BR"/>
        </w:rPr>
      </w:pPr>
    </w:p>
    <w:p w14:paraId="6E83495A" w14:textId="77777777" w:rsidR="00D230D1" w:rsidRPr="00D65A20" w:rsidRDefault="00D230D1" w:rsidP="00AA4399">
      <w:pPr>
        <w:widowControl/>
        <w:numPr>
          <w:ilvl w:val="1"/>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b/>
          <w:color w:val="000000"/>
          <w:szCs w:val="22"/>
          <w:u w:val="single"/>
          <w:lang w:val="pt-BR" w:eastAsia="es-ES"/>
        </w:rPr>
      </w:pPr>
      <w:r w:rsidRPr="00D65A20">
        <w:rPr>
          <w:rFonts w:ascii="Times New Roman" w:eastAsia="Calibri" w:hAnsi="Times New Roman"/>
          <w:szCs w:val="22"/>
          <w:lang w:val="pt-BR"/>
        </w:rPr>
        <w:t>Encarregar a Secretaria-Geral de desenvolver com a Junta de Auditores Externos e submeter à consideração da CAAP, em preparação para as discussões do orçamento-programa 2022, opções para a criação de uma Comissão de Auditoria, conforme propôs o Inspetor-Geral, inclusive a estrutura e os custos a ela relacionados</w:t>
      </w:r>
      <w:r w:rsidRPr="00D65A20">
        <w:rPr>
          <w:rFonts w:ascii="Times New Roman" w:hAnsi="Times New Roman"/>
          <w:color w:val="000000"/>
          <w:szCs w:val="22"/>
          <w:lang w:val="pt-BR" w:eastAsia="es-ES"/>
        </w:rPr>
        <w:t>.</w:t>
      </w:r>
    </w:p>
    <w:p w14:paraId="6E83495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p>
    <w:p w14:paraId="6E83495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u w:val="single"/>
          <w:lang w:val="pt-BR" w:eastAsia="es-ES"/>
        </w:rPr>
      </w:pPr>
      <w:r w:rsidRPr="00D65A20">
        <w:rPr>
          <w:rFonts w:ascii="Times New Roman" w:hAnsi="Times New Roman"/>
          <w:color w:val="000000"/>
          <w:szCs w:val="22"/>
          <w:lang w:val="pt-BR" w:eastAsia="es-ES"/>
        </w:rPr>
        <w:t>31.</w:t>
      </w:r>
      <w:r w:rsidRPr="00D65A20">
        <w:rPr>
          <w:rFonts w:ascii="Times New Roman" w:hAnsi="Times New Roman"/>
          <w:color w:val="000000"/>
          <w:szCs w:val="22"/>
          <w:lang w:val="pt-BR" w:eastAsia="es-ES"/>
        </w:rPr>
        <w:tab/>
      </w:r>
      <w:r w:rsidRPr="00D65A20">
        <w:rPr>
          <w:rFonts w:ascii="Times New Roman" w:hAnsi="Times New Roman"/>
          <w:color w:val="000000"/>
          <w:szCs w:val="22"/>
          <w:u w:val="single"/>
          <w:lang w:val="pt-BR" w:eastAsia="es-ES"/>
        </w:rPr>
        <w:t>Ética/assédio</w:t>
      </w:r>
    </w:p>
    <w:p w14:paraId="6E83495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pt-BR" w:eastAsia="es-ES"/>
        </w:rPr>
      </w:pPr>
    </w:p>
    <w:p w14:paraId="6E83495E" w14:textId="481573DB"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eastAsia="Calibri" w:hAnsi="Times New Roman"/>
          <w:szCs w:val="22"/>
          <w:lang w:val="pt-BR"/>
        </w:rPr>
        <w:t xml:space="preserve">Encarregar o Escritório do Inspetor-Geral e </w:t>
      </w:r>
      <w:r w:rsidR="00886039" w:rsidRPr="00D65A20">
        <w:rPr>
          <w:rFonts w:ascii="Times New Roman" w:eastAsia="Calibri" w:hAnsi="Times New Roman"/>
          <w:szCs w:val="22"/>
          <w:lang w:val="pt-BR"/>
        </w:rPr>
        <w:t>a Ouvidoria</w:t>
      </w:r>
      <w:r w:rsidRPr="00D65A20">
        <w:rPr>
          <w:rFonts w:ascii="Times New Roman" w:eastAsia="Calibri" w:hAnsi="Times New Roman"/>
          <w:szCs w:val="22"/>
          <w:lang w:val="pt-BR"/>
        </w:rPr>
        <w:t xml:space="preserve"> a que apresentem aos Estados membros um relatório detalhado do número anual de casos — entre eles os de fraude, assédio e denúncia de ato ilícito praticado pelo empregador (</w:t>
      </w:r>
      <w:r w:rsidRPr="00D65A20">
        <w:rPr>
          <w:rFonts w:ascii="Times New Roman" w:eastAsia="Calibri" w:hAnsi="Times New Roman"/>
          <w:i/>
          <w:szCs w:val="22"/>
          <w:lang w:val="pt-BR"/>
        </w:rPr>
        <w:t>whistleblower</w:t>
      </w:r>
      <w:r w:rsidRPr="00D65A20">
        <w:rPr>
          <w:rFonts w:ascii="Times New Roman" w:eastAsia="Calibri" w:hAnsi="Times New Roman"/>
          <w:szCs w:val="22"/>
          <w:lang w:val="pt-BR"/>
        </w:rPr>
        <w:t xml:space="preserve">) — que tenham sido </w:t>
      </w:r>
      <w:r w:rsidR="006E10EA" w:rsidRPr="00D65A20">
        <w:rPr>
          <w:rFonts w:ascii="Times New Roman" w:eastAsia="Calibri" w:hAnsi="Times New Roman"/>
          <w:szCs w:val="22"/>
          <w:lang w:val="pt-BR"/>
        </w:rPr>
        <w:t>atendidos</w:t>
      </w:r>
      <w:r w:rsidRPr="00D65A20">
        <w:rPr>
          <w:rFonts w:ascii="Times New Roman" w:eastAsia="Calibri" w:hAnsi="Times New Roman"/>
          <w:szCs w:val="22"/>
          <w:lang w:val="pt-BR"/>
        </w:rPr>
        <w:t xml:space="preserve">, o tempo </w:t>
      </w:r>
      <w:r w:rsidR="006E10EA" w:rsidRPr="00D65A20">
        <w:rPr>
          <w:rFonts w:ascii="Times New Roman" w:eastAsia="Calibri" w:hAnsi="Times New Roman"/>
          <w:szCs w:val="22"/>
          <w:lang w:val="pt-BR"/>
        </w:rPr>
        <w:t>dedicado a</w:t>
      </w:r>
      <w:r w:rsidRPr="00D65A20">
        <w:rPr>
          <w:rFonts w:ascii="Times New Roman" w:eastAsia="Calibri" w:hAnsi="Times New Roman"/>
          <w:szCs w:val="22"/>
          <w:lang w:val="pt-BR"/>
        </w:rPr>
        <w:t xml:space="preserve"> cada processo dessas investigações e as medidas geralmente adotadas, bem como a identificação de possíveis deficiências e violações observadas na implementação das políticas da Organização sobre fraude, assédio e denunciantes e proteção a denunciantes.</w:t>
      </w:r>
    </w:p>
    <w:p w14:paraId="6E83495F" w14:textId="77777777" w:rsidR="00022A54" w:rsidRPr="00D65A20" w:rsidRDefault="00022A54"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6E83496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u w:val="single"/>
          <w:lang w:val="pt-BR" w:eastAsia="es-ES"/>
        </w:rPr>
      </w:pPr>
      <w:r w:rsidRPr="00D65A20">
        <w:rPr>
          <w:rFonts w:ascii="Times New Roman" w:hAnsi="Times New Roman"/>
          <w:color w:val="000000"/>
          <w:szCs w:val="22"/>
          <w:lang w:val="pt-BR" w:eastAsia="es-ES"/>
        </w:rPr>
        <w:t>32.</w:t>
      </w:r>
      <w:r w:rsidRPr="00D65A20">
        <w:rPr>
          <w:rFonts w:ascii="Times New Roman" w:hAnsi="Times New Roman"/>
          <w:color w:val="000000"/>
          <w:szCs w:val="22"/>
          <w:lang w:val="pt-BR" w:eastAsia="es-ES"/>
        </w:rPr>
        <w:tab/>
      </w:r>
      <w:r w:rsidRPr="00D65A20">
        <w:rPr>
          <w:rFonts w:ascii="Times New Roman" w:hAnsi="Times New Roman"/>
          <w:color w:val="000000"/>
          <w:szCs w:val="22"/>
          <w:u w:val="single"/>
          <w:lang w:val="pt-BR" w:eastAsia="es-ES"/>
        </w:rPr>
        <w:t>Estratégia de bens imóveis</w:t>
      </w:r>
    </w:p>
    <w:p w14:paraId="6E83496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szCs w:val="22"/>
          <w:u w:val="single"/>
          <w:lang w:val="pt-BR"/>
        </w:rPr>
      </w:pPr>
    </w:p>
    <w:p w14:paraId="6E834962" w14:textId="28EA1945" w:rsidR="00D230D1" w:rsidRPr="00D65A20" w:rsidRDefault="00D230D1" w:rsidP="00AA4399">
      <w:pPr>
        <w:widowControl/>
        <w:numPr>
          <w:ilvl w:val="1"/>
          <w:numId w:val="4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eastAsia="Arial Unicode MS" w:hAnsi="Times New Roman"/>
          <w:b/>
          <w:bCs/>
          <w:i/>
          <w:iCs/>
          <w:color w:val="000000"/>
          <w:szCs w:val="22"/>
          <w:lang w:val="pt-BR"/>
        </w:rPr>
      </w:pPr>
      <w:r w:rsidRPr="00D65A20">
        <w:rPr>
          <w:rFonts w:ascii="Times New Roman" w:eastAsia="Arial Unicode MS" w:hAnsi="Times New Roman"/>
          <w:bCs/>
          <w:szCs w:val="22"/>
          <w:lang w:val="pt-BR"/>
        </w:rPr>
        <w:t xml:space="preserve">Confirmar a decisão adotada pelo Conselho Permanente, em sua sessão de 13 de maio de 2020, de suspender o projeto de bens imóveis estabelecido na resolução AG/RES. 2911 (XLVII-O/17) para a venda do Edifício da Secretaria-Geral, localizado na F Street N.W., Washington, D. C., e </w:t>
      </w:r>
      <w:r w:rsidR="00496DDC" w:rsidRPr="00D65A20">
        <w:rPr>
          <w:rFonts w:ascii="Times New Roman" w:eastAsia="Arial Unicode MS" w:hAnsi="Times New Roman"/>
          <w:bCs/>
          <w:szCs w:val="22"/>
          <w:lang w:val="pt-BR"/>
        </w:rPr>
        <w:t xml:space="preserve">a </w:t>
      </w:r>
      <w:r w:rsidRPr="00D65A20">
        <w:rPr>
          <w:rFonts w:ascii="Times New Roman" w:eastAsia="Arial Unicode MS" w:hAnsi="Times New Roman"/>
          <w:bCs/>
          <w:szCs w:val="22"/>
          <w:lang w:val="pt-BR"/>
        </w:rPr>
        <w:t>construção de um novo edifício no terreno contíguo ao Edifício Principal (17th Street e C Street), além da reforma do Edifício Administrativo, localizado na Constitution Avenue NW.</w:t>
      </w:r>
    </w:p>
    <w:p w14:paraId="6E83496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pt-BR"/>
        </w:rPr>
      </w:pPr>
    </w:p>
    <w:p w14:paraId="6E834964" w14:textId="0843BB5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bCs/>
          <w:szCs w:val="22"/>
          <w:lang w:val="pt-BR"/>
        </w:rPr>
      </w:pPr>
      <w:r w:rsidRPr="00D65A20">
        <w:rPr>
          <w:rFonts w:ascii="Times New Roman" w:eastAsia="Calibri" w:hAnsi="Times New Roman"/>
          <w:bCs/>
          <w:szCs w:val="22"/>
          <w:lang w:val="pt-BR"/>
        </w:rPr>
        <w:t>b)</w:t>
      </w:r>
      <w:r w:rsidRPr="00D65A20">
        <w:rPr>
          <w:rFonts w:ascii="Times New Roman" w:eastAsia="Calibri" w:hAnsi="Times New Roman"/>
          <w:bCs/>
          <w:szCs w:val="22"/>
          <w:lang w:val="pt-BR"/>
        </w:rPr>
        <w:tab/>
        <w:t>Instruir a Secretaria</w:t>
      </w:r>
      <w:r w:rsidR="00732A4D" w:rsidRPr="00D65A20">
        <w:rPr>
          <w:rFonts w:ascii="Times New Roman" w:eastAsia="Calibri" w:hAnsi="Times New Roman"/>
          <w:bCs/>
          <w:szCs w:val="22"/>
          <w:lang w:val="pt-BR"/>
        </w:rPr>
        <w:t>-Geral</w:t>
      </w:r>
      <w:r w:rsidRPr="00D65A20">
        <w:rPr>
          <w:rFonts w:ascii="Times New Roman" w:eastAsia="Calibri" w:hAnsi="Times New Roman"/>
          <w:bCs/>
          <w:szCs w:val="22"/>
          <w:lang w:val="pt-BR"/>
        </w:rPr>
        <w:t xml:space="preserve"> a que, em estreita colaboração com a CAAP e no âmbito da Estratégia de Bens Imóveis, explore alternativas para o uso ideal dos bens imóveis da Organização e, para tanto, analise as possibilidades de obtenção dos recursos necessários para sua manutenção.</w:t>
      </w:r>
    </w:p>
    <w:p w14:paraId="6E83496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szCs w:val="22"/>
          <w:u w:val="single"/>
          <w:lang w:val="pt-BR"/>
        </w:rPr>
      </w:pPr>
    </w:p>
    <w:p w14:paraId="6E83496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iCs/>
          <w:color w:val="000000"/>
          <w:szCs w:val="22"/>
          <w:u w:val="single"/>
          <w:lang w:val="pt-BR" w:eastAsia="es-ES"/>
        </w:rPr>
      </w:pPr>
      <w:r w:rsidRPr="00D65A20">
        <w:rPr>
          <w:rFonts w:ascii="Times New Roman" w:hAnsi="Times New Roman"/>
          <w:color w:val="000000"/>
          <w:szCs w:val="22"/>
          <w:lang w:val="pt-BR" w:eastAsia="es-ES"/>
        </w:rPr>
        <w:t>33.</w:t>
      </w:r>
      <w:r w:rsidRPr="00D65A20">
        <w:rPr>
          <w:rFonts w:ascii="Times New Roman" w:hAnsi="Times New Roman"/>
          <w:color w:val="000000"/>
          <w:szCs w:val="22"/>
          <w:lang w:val="pt-BR" w:eastAsia="es-ES"/>
        </w:rPr>
        <w:tab/>
      </w:r>
      <w:r w:rsidRPr="00D65A20">
        <w:rPr>
          <w:rFonts w:ascii="Times New Roman" w:hAnsi="Times New Roman"/>
          <w:color w:val="000000"/>
          <w:szCs w:val="22"/>
          <w:u w:val="single"/>
          <w:lang w:val="pt-BR" w:eastAsia="es-ES"/>
        </w:rPr>
        <w:t>Implementação do Sistema de Planejamento de Recursos Institucionais (ERP)</w:t>
      </w:r>
    </w:p>
    <w:p w14:paraId="6E83496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iCs/>
          <w:szCs w:val="22"/>
          <w:lang w:val="pt-BR"/>
        </w:rPr>
      </w:pPr>
    </w:p>
    <w:p w14:paraId="6E83496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trike/>
          <w:szCs w:val="22"/>
          <w:lang w:val="pt-BR" w:eastAsia="en-CA"/>
        </w:rPr>
      </w:pPr>
      <w:r w:rsidRPr="00D65A20">
        <w:rPr>
          <w:rFonts w:ascii="Times New Roman" w:eastAsia="Calibri" w:hAnsi="Times New Roman"/>
          <w:szCs w:val="22"/>
          <w:lang w:val="pt-BR"/>
        </w:rPr>
        <w:t xml:space="preserve">Encarregar a Secretaria-Geral de continuar a implementação do sistema ERP, em cumprimento à resolução </w:t>
      </w:r>
      <w:hyperlink r:id="rId73" w:history="1">
        <w:r w:rsidRPr="00D65A20">
          <w:rPr>
            <w:rFonts w:ascii="Times New Roman" w:hAnsi="Times New Roman"/>
            <w:color w:val="0000FF"/>
            <w:szCs w:val="22"/>
            <w:u w:val="single"/>
            <w:lang w:val="pt-BR"/>
          </w:rPr>
          <w:t>CP/RES. 1155 (2290/20)</w:t>
        </w:r>
      </w:hyperlink>
      <w:r w:rsidRPr="00D65A20">
        <w:rPr>
          <w:rFonts w:ascii="Times New Roman" w:hAnsi="Times New Roman"/>
          <w:color w:val="000000"/>
          <w:szCs w:val="22"/>
          <w:lang w:val="pt-BR" w:eastAsia="es-ES"/>
        </w:rPr>
        <w:t>, e de apresentar</w:t>
      </w:r>
      <w:r w:rsidRPr="00D65A20">
        <w:rPr>
          <w:rFonts w:ascii="Times New Roman" w:eastAsia="Calibri" w:hAnsi="Times New Roman"/>
          <w:szCs w:val="22"/>
          <w:lang w:val="pt-BR"/>
        </w:rPr>
        <w:t xml:space="preserve"> mensalmente à CAAP os relatórios sobre seu progresso.</w:t>
      </w:r>
      <w:r w:rsidRPr="00D65A20">
        <w:rPr>
          <w:rFonts w:ascii="Times New Roman" w:eastAsia="Calibri" w:hAnsi="Times New Roman"/>
          <w:strike/>
          <w:szCs w:val="22"/>
          <w:lang w:val="pt-BR" w:eastAsia="en-CA"/>
        </w:rPr>
        <w:t xml:space="preserve"> </w:t>
      </w:r>
    </w:p>
    <w:p w14:paraId="6E83496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szCs w:val="22"/>
          <w:lang w:val="pt-BR"/>
        </w:rPr>
      </w:pPr>
    </w:p>
    <w:p w14:paraId="6E83496A"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noProof/>
          <w:szCs w:val="22"/>
          <w:lang w:val="pt-BR"/>
        </w:rPr>
        <w:sectPr w:rsidR="00D230D1" w:rsidRPr="00D65A20" w:rsidSect="0037138D">
          <w:footnotePr>
            <w:numRestart w:val="eachSect"/>
          </w:footnotePr>
          <w:type w:val="oddPage"/>
          <w:pgSz w:w="12240" w:h="15840"/>
          <w:pgMar w:top="2070" w:right="1570" w:bottom="1296" w:left="1699" w:header="1296" w:footer="1296" w:gutter="0"/>
          <w:pgNumType w:fmt="numberInDash"/>
          <w:cols w:space="720"/>
        </w:sectPr>
      </w:pPr>
    </w:p>
    <w:p w14:paraId="6E83496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noProof/>
          <w:szCs w:val="22"/>
          <w:lang w:val="pt-BR"/>
        </w:rPr>
      </w:pPr>
    </w:p>
    <w:p w14:paraId="6E83496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Calibri" w:hAnsi="Times New Roman"/>
          <w:noProof/>
          <w:szCs w:val="22"/>
          <w:lang w:val="pt-BR"/>
        </w:rPr>
      </w:pPr>
      <w:r w:rsidRPr="00D65A20">
        <w:rPr>
          <w:rFonts w:ascii="Times New Roman" w:eastAsia="Calibri" w:hAnsi="Times New Roman"/>
          <w:noProof/>
          <w:szCs w:val="22"/>
          <w:lang w:val="pt-BR"/>
        </w:rPr>
        <w:t>ANEXO I</w:t>
      </w:r>
    </w:p>
    <w:p w14:paraId="6E83496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noProof/>
          <w:szCs w:val="22"/>
          <w:lang w:val="pt-BR"/>
        </w:rPr>
      </w:pPr>
      <w:r w:rsidRPr="00D65A20">
        <w:rPr>
          <w:rFonts w:ascii="Times New Roman" w:eastAsia="Calibri" w:hAnsi="Times New Roman"/>
          <w:noProof/>
          <w:szCs w:val="22"/>
          <w:lang w:val="pt-BR" w:eastAsia="pt-BR"/>
        </w:rPr>
        <w:drawing>
          <wp:inline distT="0" distB="0" distL="0" distR="0" wp14:anchorId="6E834F41" wp14:editId="474ABAC2">
            <wp:extent cx="5695950" cy="6543675"/>
            <wp:effectExtent l="0" t="0" r="0"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695950" cy="6543675"/>
                    </a:xfrm>
                    <a:prstGeom prst="rect">
                      <a:avLst/>
                    </a:prstGeom>
                    <a:noFill/>
                    <a:ln>
                      <a:noFill/>
                    </a:ln>
                  </pic:spPr>
                </pic:pic>
              </a:graphicData>
            </a:graphic>
          </wp:inline>
        </w:drawing>
      </w:r>
    </w:p>
    <w:p w14:paraId="6E83496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Arial Unicode MS" w:hAnsi="Times New Roman"/>
          <w:color w:val="000000"/>
          <w:szCs w:val="22"/>
          <w:lang w:val="pt-BR" w:eastAsia="es-ES"/>
        </w:rPr>
        <w:sectPr w:rsidR="00D230D1" w:rsidRPr="00D65A20" w:rsidSect="0037138D">
          <w:footnotePr>
            <w:numRestart w:val="eachSect"/>
          </w:footnotePr>
          <w:type w:val="oddPage"/>
          <w:pgSz w:w="12240" w:h="15840"/>
          <w:pgMar w:top="2074" w:right="1570" w:bottom="1296" w:left="1699" w:header="1296" w:footer="1296" w:gutter="0"/>
          <w:pgNumType w:fmt="numberInDash"/>
          <w:cols w:space="720"/>
        </w:sectPr>
      </w:pPr>
    </w:p>
    <w:p w14:paraId="6E83496F" w14:textId="77777777" w:rsidR="00022A54" w:rsidRPr="00D65A20" w:rsidRDefault="00022A54"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Arial Unicode MS" w:hAnsi="Times New Roman"/>
          <w:color w:val="000000"/>
          <w:szCs w:val="22"/>
          <w:lang w:val="pt-BR" w:eastAsia="es-ES"/>
        </w:rPr>
        <w:sectPr w:rsidR="00022A54" w:rsidRPr="00D65A20" w:rsidSect="001157FD">
          <w:footerReference w:type="default" r:id="rId75"/>
          <w:footnotePr>
            <w:numRestart w:val="eachSect"/>
          </w:footnotePr>
          <w:type w:val="continuous"/>
          <w:pgSz w:w="12240" w:h="15840" w:code="1"/>
          <w:pgMar w:top="2160" w:right="1570" w:bottom="1296" w:left="1699" w:header="1260" w:footer="720" w:gutter="0"/>
          <w:pgNumType w:start="123"/>
          <w:cols w:space="720"/>
          <w:docGrid w:linePitch="360"/>
        </w:sectPr>
      </w:pPr>
    </w:p>
    <w:p w14:paraId="6E83497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Arial Unicode MS" w:hAnsi="Times New Roman"/>
          <w:color w:val="000000"/>
          <w:szCs w:val="22"/>
          <w:lang w:val="pt-BR" w:eastAsia="es-ES"/>
        </w:rPr>
      </w:pPr>
      <w:r w:rsidRPr="00D65A20">
        <w:rPr>
          <w:rFonts w:ascii="Times New Roman" w:eastAsia="Arial Unicode MS" w:hAnsi="Times New Roman"/>
          <w:color w:val="000000"/>
          <w:szCs w:val="22"/>
          <w:lang w:val="pt-BR" w:eastAsia="es-ES"/>
        </w:rPr>
        <w:lastRenderedPageBreak/>
        <w:t>ANEXO II</w:t>
      </w:r>
    </w:p>
    <w:p w14:paraId="6E83497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Arial Unicode MS" w:hAnsi="Times New Roman"/>
          <w:color w:val="000000"/>
          <w:szCs w:val="22"/>
          <w:lang w:val="pt-BR" w:eastAsia="es-ES"/>
        </w:rPr>
      </w:pPr>
    </w:p>
    <w:tbl>
      <w:tblPr>
        <w:tblW w:w="9927" w:type="dxa"/>
        <w:jc w:val="center"/>
        <w:tblCellMar>
          <w:left w:w="70" w:type="dxa"/>
          <w:right w:w="70" w:type="dxa"/>
        </w:tblCellMar>
        <w:tblLook w:val="04A0" w:firstRow="1" w:lastRow="0" w:firstColumn="1" w:lastColumn="0" w:noHBand="0" w:noVBand="1"/>
      </w:tblPr>
      <w:tblGrid>
        <w:gridCol w:w="1198"/>
        <w:gridCol w:w="5490"/>
        <w:gridCol w:w="1082"/>
        <w:gridCol w:w="2157"/>
      </w:tblGrid>
      <w:tr w:rsidR="00D230D1" w:rsidRPr="00D65A20" w14:paraId="6E834976" w14:textId="77777777" w:rsidTr="00022A54">
        <w:trPr>
          <w:trHeight w:val="583"/>
          <w:jc w:val="center"/>
        </w:trPr>
        <w:tc>
          <w:tcPr>
            <w:tcW w:w="1198" w:type="dxa"/>
            <w:tcBorders>
              <w:top w:val="single" w:sz="8" w:space="0" w:color="auto"/>
              <w:left w:val="single" w:sz="8" w:space="0" w:color="auto"/>
              <w:bottom w:val="single" w:sz="8" w:space="0" w:color="auto"/>
              <w:right w:val="single" w:sz="8" w:space="0" w:color="auto"/>
            </w:tcBorders>
            <w:vAlign w:val="center"/>
            <w:hideMark/>
          </w:tcPr>
          <w:p w14:paraId="6E83497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pt-BR" w:eastAsia="es-ES"/>
              </w:rPr>
            </w:pPr>
            <w:r w:rsidRPr="00D65A20">
              <w:rPr>
                <w:rFonts w:ascii="Times New Roman" w:eastAsia="Calibri" w:hAnsi="Times New Roman"/>
                <w:szCs w:val="22"/>
                <w:lang w:val="pt-BR"/>
              </w:rPr>
              <w:t>CARGOS</w:t>
            </w:r>
          </w:p>
        </w:tc>
        <w:tc>
          <w:tcPr>
            <w:tcW w:w="5490" w:type="dxa"/>
            <w:tcBorders>
              <w:top w:val="single" w:sz="8" w:space="0" w:color="auto"/>
              <w:left w:val="nil"/>
              <w:bottom w:val="single" w:sz="8" w:space="0" w:color="auto"/>
              <w:right w:val="single" w:sz="8" w:space="0" w:color="auto"/>
            </w:tcBorders>
            <w:vAlign w:val="center"/>
            <w:hideMark/>
          </w:tcPr>
          <w:p w14:paraId="6E83497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pt-BR" w:eastAsia="es-ES"/>
              </w:rPr>
            </w:pPr>
            <w:r w:rsidRPr="00D65A20">
              <w:rPr>
                <w:rFonts w:ascii="Times New Roman" w:eastAsia="Calibri" w:hAnsi="Times New Roman"/>
                <w:szCs w:val="22"/>
                <w:lang w:val="pt-BR"/>
              </w:rPr>
              <w:t>DESCRIÇÃO</w:t>
            </w:r>
          </w:p>
        </w:tc>
        <w:tc>
          <w:tcPr>
            <w:tcW w:w="1082" w:type="dxa"/>
            <w:tcBorders>
              <w:top w:val="single" w:sz="8" w:space="0" w:color="auto"/>
              <w:left w:val="nil"/>
              <w:bottom w:val="single" w:sz="8" w:space="0" w:color="auto"/>
              <w:right w:val="single" w:sz="8" w:space="0" w:color="auto"/>
            </w:tcBorders>
            <w:vAlign w:val="center"/>
            <w:hideMark/>
          </w:tcPr>
          <w:p w14:paraId="6E83497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pt-BR" w:eastAsia="es-ES"/>
              </w:rPr>
            </w:pPr>
            <w:r w:rsidRPr="00D65A20">
              <w:rPr>
                <w:rFonts w:ascii="Times New Roman" w:eastAsia="Calibri" w:hAnsi="Times New Roman"/>
                <w:szCs w:val="22"/>
                <w:lang w:val="pt-BR"/>
              </w:rPr>
              <w:t>NÍVEL</w:t>
            </w:r>
          </w:p>
        </w:tc>
        <w:tc>
          <w:tcPr>
            <w:tcW w:w="2157" w:type="dxa"/>
            <w:tcBorders>
              <w:top w:val="single" w:sz="8" w:space="0" w:color="auto"/>
              <w:left w:val="nil"/>
              <w:bottom w:val="single" w:sz="8" w:space="0" w:color="auto"/>
              <w:right w:val="single" w:sz="8" w:space="0" w:color="auto"/>
            </w:tcBorders>
            <w:vAlign w:val="center"/>
            <w:hideMark/>
          </w:tcPr>
          <w:p w14:paraId="6E83497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pt-BR" w:eastAsia="es-ES"/>
              </w:rPr>
            </w:pPr>
            <w:r w:rsidRPr="00D65A20">
              <w:rPr>
                <w:rFonts w:ascii="Times New Roman" w:eastAsia="Calibri" w:hAnsi="Times New Roman"/>
                <w:szCs w:val="22"/>
                <w:lang w:val="pt-BR"/>
              </w:rPr>
              <w:t>FONTE DE FINANCIAMENTO</w:t>
            </w:r>
          </w:p>
        </w:tc>
      </w:tr>
      <w:tr w:rsidR="00D230D1" w:rsidRPr="00D65A20" w14:paraId="6E83497B" w14:textId="77777777" w:rsidTr="00022A54">
        <w:trPr>
          <w:trHeight w:val="300"/>
          <w:jc w:val="center"/>
        </w:trPr>
        <w:tc>
          <w:tcPr>
            <w:tcW w:w="1198" w:type="dxa"/>
            <w:tcBorders>
              <w:top w:val="single" w:sz="4" w:space="0" w:color="auto"/>
              <w:left w:val="single" w:sz="4" w:space="0" w:color="auto"/>
              <w:bottom w:val="single" w:sz="4" w:space="0" w:color="auto"/>
              <w:right w:val="single" w:sz="4" w:space="0" w:color="auto"/>
            </w:tcBorders>
            <w:noWrap/>
            <w:vAlign w:val="bottom"/>
            <w:hideMark/>
          </w:tcPr>
          <w:p w14:paraId="6E83497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1</w:t>
            </w:r>
          </w:p>
        </w:tc>
        <w:tc>
          <w:tcPr>
            <w:tcW w:w="5490" w:type="dxa"/>
            <w:tcBorders>
              <w:top w:val="single" w:sz="4" w:space="0" w:color="auto"/>
              <w:left w:val="nil"/>
              <w:bottom w:val="single" w:sz="4" w:space="0" w:color="auto"/>
              <w:right w:val="single" w:sz="4" w:space="0" w:color="auto"/>
            </w:tcBorders>
            <w:hideMark/>
          </w:tcPr>
          <w:p w14:paraId="6E83497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r w:rsidRPr="00D65A20">
              <w:rPr>
                <w:rFonts w:ascii="Times New Roman" w:eastAsia="Calibri" w:hAnsi="Times New Roman"/>
                <w:szCs w:val="22"/>
                <w:lang w:val="pt-BR"/>
              </w:rPr>
              <w:t>Chefe de Gabinete do Secretário-Geral</w:t>
            </w:r>
          </w:p>
        </w:tc>
        <w:tc>
          <w:tcPr>
            <w:tcW w:w="1082" w:type="dxa"/>
            <w:tcBorders>
              <w:top w:val="single" w:sz="4" w:space="0" w:color="auto"/>
              <w:left w:val="nil"/>
              <w:bottom w:val="single" w:sz="4" w:space="0" w:color="auto"/>
              <w:right w:val="single" w:sz="4" w:space="0" w:color="auto"/>
            </w:tcBorders>
            <w:noWrap/>
            <w:vAlign w:val="bottom"/>
            <w:hideMark/>
          </w:tcPr>
          <w:p w14:paraId="6E83497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D01</w:t>
            </w:r>
          </w:p>
        </w:tc>
        <w:tc>
          <w:tcPr>
            <w:tcW w:w="2157" w:type="dxa"/>
            <w:tcBorders>
              <w:top w:val="single" w:sz="4" w:space="0" w:color="auto"/>
              <w:left w:val="nil"/>
              <w:bottom w:val="single" w:sz="4" w:space="0" w:color="auto"/>
              <w:right w:val="single" w:sz="4" w:space="0" w:color="auto"/>
            </w:tcBorders>
            <w:hideMark/>
          </w:tcPr>
          <w:p w14:paraId="6E83497A"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Fundo Ordinário</w:t>
            </w:r>
          </w:p>
        </w:tc>
      </w:tr>
      <w:tr w:rsidR="00D230D1" w:rsidRPr="00D65A20" w14:paraId="6E834980" w14:textId="77777777" w:rsidTr="00022A54">
        <w:trPr>
          <w:trHeight w:val="300"/>
          <w:jc w:val="center"/>
        </w:trPr>
        <w:tc>
          <w:tcPr>
            <w:tcW w:w="1198" w:type="dxa"/>
            <w:tcBorders>
              <w:top w:val="nil"/>
              <w:left w:val="single" w:sz="4" w:space="0" w:color="auto"/>
              <w:bottom w:val="single" w:sz="4" w:space="0" w:color="auto"/>
              <w:right w:val="single" w:sz="4" w:space="0" w:color="auto"/>
            </w:tcBorders>
            <w:noWrap/>
            <w:vAlign w:val="bottom"/>
            <w:hideMark/>
          </w:tcPr>
          <w:p w14:paraId="6E83497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1</w:t>
            </w:r>
          </w:p>
        </w:tc>
        <w:tc>
          <w:tcPr>
            <w:tcW w:w="5490" w:type="dxa"/>
            <w:tcBorders>
              <w:top w:val="nil"/>
              <w:left w:val="nil"/>
              <w:bottom w:val="single" w:sz="4" w:space="0" w:color="auto"/>
              <w:right w:val="single" w:sz="4" w:space="0" w:color="auto"/>
            </w:tcBorders>
            <w:hideMark/>
          </w:tcPr>
          <w:p w14:paraId="6E83497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r w:rsidRPr="00D65A20">
              <w:rPr>
                <w:rFonts w:ascii="Times New Roman" w:eastAsia="Calibri" w:hAnsi="Times New Roman"/>
                <w:szCs w:val="22"/>
                <w:lang w:val="pt-BR"/>
              </w:rPr>
              <w:t>Chefe de Gabinete do Secretário-Geral Adjunto</w:t>
            </w:r>
          </w:p>
        </w:tc>
        <w:tc>
          <w:tcPr>
            <w:tcW w:w="1082" w:type="dxa"/>
            <w:tcBorders>
              <w:top w:val="nil"/>
              <w:left w:val="nil"/>
              <w:bottom w:val="single" w:sz="4" w:space="0" w:color="auto"/>
              <w:right w:val="single" w:sz="4" w:space="0" w:color="auto"/>
            </w:tcBorders>
            <w:noWrap/>
            <w:vAlign w:val="bottom"/>
            <w:hideMark/>
          </w:tcPr>
          <w:p w14:paraId="6E83497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D01</w:t>
            </w:r>
          </w:p>
        </w:tc>
        <w:tc>
          <w:tcPr>
            <w:tcW w:w="2157" w:type="dxa"/>
            <w:tcBorders>
              <w:top w:val="nil"/>
              <w:left w:val="nil"/>
              <w:bottom w:val="single" w:sz="4" w:space="0" w:color="auto"/>
              <w:right w:val="single" w:sz="4" w:space="0" w:color="auto"/>
            </w:tcBorders>
            <w:hideMark/>
          </w:tcPr>
          <w:p w14:paraId="6E83497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Fundo Ordinário</w:t>
            </w:r>
          </w:p>
        </w:tc>
      </w:tr>
      <w:tr w:rsidR="00D230D1" w:rsidRPr="00D65A20" w14:paraId="6E834985" w14:textId="77777777" w:rsidTr="00022A54">
        <w:trPr>
          <w:trHeight w:val="656"/>
          <w:jc w:val="center"/>
        </w:trPr>
        <w:tc>
          <w:tcPr>
            <w:tcW w:w="1198" w:type="dxa"/>
            <w:tcBorders>
              <w:top w:val="nil"/>
              <w:left w:val="single" w:sz="4" w:space="0" w:color="auto"/>
              <w:bottom w:val="single" w:sz="4" w:space="0" w:color="auto"/>
              <w:right w:val="single" w:sz="4" w:space="0" w:color="auto"/>
            </w:tcBorders>
            <w:noWrap/>
            <w:vAlign w:val="bottom"/>
            <w:hideMark/>
          </w:tcPr>
          <w:p w14:paraId="6E83498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1</w:t>
            </w:r>
          </w:p>
        </w:tc>
        <w:tc>
          <w:tcPr>
            <w:tcW w:w="5490" w:type="dxa"/>
            <w:tcBorders>
              <w:top w:val="nil"/>
              <w:left w:val="nil"/>
              <w:bottom w:val="single" w:sz="4" w:space="0" w:color="auto"/>
              <w:right w:val="single" w:sz="4" w:space="0" w:color="auto"/>
            </w:tcBorders>
            <w:hideMark/>
          </w:tcPr>
          <w:p w14:paraId="6E83498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pt-BR" w:eastAsia="es-ES"/>
              </w:rPr>
            </w:pPr>
            <w:r w:rsidRPr="00D65A20">
              <w:rPr>
                <w:rFonts w:ascii="Times New Roman" w:eastAsia="Calibri" w:hAnsi="Times New Roman"/>
                <w:szCs w:val="22"/>
                <w:lang w:val="pt-BR"/>
              </w:rPr>
              <w:t>Assessor Estratégico de Desenvolvimento Organizacional e Gestão por Resultados</w:t>
            </w:r>
          </w:p>
        </w:tc>
        <w:tc>
          <w:tcPr>
            <w:tcW w:w="1082" w:type="dxa"/>
            <w:tcBorders>
              <w:top w:val="nil"/>
              <w:left w:val="nil"/>
              <w:bottom w:val="single" w:sz="4" w:space="0" w:color="auto"/>
              <w:right w:val="single" w:sz="4" w:space="0" w:color="auto"/>
            </w:tcBorders>
            <w:noWrap/>
            <w:vAlign w:val="center"/>
            <w:hideMark/>
          </w:tcPr>
          <w:p w14:paraId="6E83498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D02</w:t>
            </w:r>
          </w:p>
        </w:tc>
        <w:tc>
          <w:tcPr>
            <w:tcW w:w="2157" w:type="dxa"/>
            <w:tcBorders>
              <w:top w:val="nil"/>
              <w:left w:val="nil"/>
              <w:bottom w:val="single" w:sz="4" w:space="0" w:color="auto"/>
              <w:right w:val="single" w:sz="4" w:space="0" w:color="auto"/>
            </w:tcBorders>
            <w:vAlign w:val="center"/>
            <w:hideMark/>
          </w:tcPr>
          <w:p w14:paraId="6E83498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Fundo Ordinário</w:t>
            </w:r>
          </w:p>
        </w:tc>
      </w:tr>
      <w:tr w:rsidR="00D230D1" w:rsidRPr="00D65A20" w14:paraId="6E83498A" w14:textId="77777777" w:rsidTr="00022A54">
        <w:trPr>
          <w:trHeight w:val="300"/>
          <w:jc w:val="center"/>
        </w:trPr>
        <w:tc>
          <w:tcPr>
            <w:tcW w:w="1198" w:type="dxa"/>
            <w:tcBorders>
              <w:top w:val="nil"/>
              <w:left w:val="single" w:sz="4" w:space="0" w:color="auto"/>
              <w:bottom w:val="nil"/>
              <w:right w:val="nil"/>
            </w:tcBorders>
            <w:noWrap/>
            <w:vAlign w:val="bottom"/>
            <w:hideMark/>
          </w:tcPr>
          <w:p w14:paraId="6E83498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7</w:t>
            </w:r>
          </w:p>
        </w:tc>
        <w:tc>
          <w:tcPr>
            <w:tcW w:w="5490" w:type="dxa"/>
            <w:tcBorders>
              <w:top w:val="nil"/>
              <w:left w:val="single" w:sz="4" w:space="0" w:color="auto"/>
              <w:bottom w:val="nil"/>
              <w:right w:val="single" w:sz="4" w:space="0" w:color="auto"/>
            </w:tcBorders>
            <w:noWrap/>
            <w:hideMark/>
          </w:tcPr>
          <w:p w14:paraId="6E83498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59"/>
              <w:jc w:val="left"/>
              <w:rPr>
                <w:rFonts w:ascii="Times New Roman" w:eastAsia="Calibri" w:hAnsi="Times New Roman"/>
                <w:szCs w:val="22"/>
                <w:lang w:val="pt-BR"/>
              </w:rPr>
            </w:pPr>
            <w:r w:rsidRPr="00D65A20">
              <w:rPr>
                <w:rFonts w:ascii="Times New Roman" w:eastAsia="Calibri" w:hAnsi="Times New Roman"/>
                <w:szCs w:val="22"/>
                <w:lang w:val="pt-BR"/>
              </w:rPr>
              <w:t>Secretários</w:t>
            </w:r>
          </w:p>
        </w:tc>
        <w:tc>
          <w:tcPr>
            <w:tcW w:w="1082" w:type="dxa"/>
            <w:tcBorders>
              <w:top w:val="nil"/>
              <w:left w:val="nil"/>
              <w:bottom w:val="nil"/>
              <w:right w:val="single" w:sz="4" w:space="0" w:color="auto"/>
            </w:tcBorders>
            <w:noWrap/>
            <w:vAlign w:val="bottom"/>
            <w:hideMark/>
          </w:tcPr>
          <w:p w14:paraId="6E83498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D02</w:t>
            </w:r>
          </w:p>
        </w:tc>
        <w:tc>
          <w:tcPr>
            <w:tcW w:w="2157" w:type="dxa"/>
            <w:tcBorders>
              <w:top w:val="single" w:sz="4" w:space="0" w:color="auto"/>
              <w:left w:val="nil"/>
              <w:bottom w:val="single" w:sz="4" w:space="0" w:color="auto"/>
              <w:right w:val="single" w:sz="4" w:space="0" w:color="auto"/>
            </w:tcBorders>
            <w:hideMark/>
          </w:tcPr>
          <w:p w14:paraId="6E83498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Fundo Ordinário</w:t>
            </w:r>
          </w:p>
        </w:tc>
      </w:tr>
      <w:tr w:rsidR="00D230D1" w:rsidRPr="00D65A20" w14:paraId="6E83498F" w14:textId="77777777" w:rsidTr="00022A54">
        <w:trPr>
          <w:trHeight w:val="300"/>
          <w:jc w:val="center"/>
        </w:trPr>
        <w:tc>
          <w:tcPr>
            <w:tcW w:w="1198" w:type="dxa"/>
            <w:tcBorders>
              <w:top w:val="nil"/>
              <w:left w:val="single" w:sz="4" w:space="0" w:color="auto"/>
              <w:bottom w:val="nil"/>
              <w:right w:val="nil"/>
            </w:tcBorders>
            <w:noWrap/>
            <w:vAlign w:val="bottom"/>
          </w:tcPr>
          <w:p w14:paraId="6E83498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p>
        </w:tc>
        <w:tc>
          <w:tcPr>
            <w:tcW w:w="5490" w:type="dxa"/>
            <w:tcBorders>
              <w:top w:val="nil"/>
              <w:left w:val="single" w:sz="4" w:space="0" w:color="auto"/>
              <w:bottom w:val="nil"/>
              <w:right w:val="single" w:sz="4" w:space="0" w:color="auto"/>
            </w:tcBorders>
            <w:noWrap/>
            <w:hideMark/>
          </w:tcPr>
          <w:p w14:paraId="6E83498C" w14:textId="77777777" w:rsidR="00D230D1" w:rsidRPr="00D65A20" w:rsidRDefault="00D230D1" w:rsidP="00AA4399">
            <w:pPr>
              <w:widowControl/>
              <w:numPr>
                <w:ilvl w:val="0"/>
                <w:numId w:val="58"/>
              </w:numPr>
              <w:tabs>
                <w:tab w:val="clear" w:pos="720"/>
                <w:tab w:val="clear" w:pos="1440"/>
                <w:tab w:val="clear" w:pos="2160"/>
                <w:tab w:val="clear" w:pos="2880"/>
                <w:tab w:val="clear" w:pos="3600"/>
                <w:tab w:val="clear" w:pos="4320"/>
                <w:tab w:val="clear" w:pos="5760"/>
                <w:tab w:val="clear" w:pos="6480"/>
                <w:tab w:val="clear" w:pos="7200"/>
                <w:tab w:val="clear" w:pos="7920"/>
              </w:tabs>
              <w:ind w:right="59" w:hanging="571"/>
              <w:jc w:val="left"/>
              <w:rPr>
                <w:rFonts w:ascii="Times New Roman" w:eastAsia="Calibri" w:hAnsi="Times New Roman"/>
                <w:szCs w:val="22"/>
                <w:lang w:val="pt-BR"/>
              </w:rPr>
            </w:pPr>
            <w:r w:rsidRPr="00D65A20">
              <w:rPr>
                <w:rFonts w:ascii="Times New Roman" w:eastAsia="Calibri" w:hAnsi="Times New Roman"/>
                <w:szCs w:val="22"/>
                <w:lang w:val="pt-BR"/>
              </w:rPr>
              <w:t>Secretário Executivo de Desenvolvimento Integral</w:t>
            </w:r>
          </w:p>
        </w:tc>
        <w:tc>
          <w:tcPr>
            <w:tcW w:w="1082" w:type="dxa"/>
            <w:tcBorders>
              <w:top w:val="nil"/>
              <w:left w:val="nil"/>
              <w:bottom w:val="nil"/>
              <w:right w:val="single" w:sz="4" w:space="0" w:color="auto"/>
            </w:tcBorders>
            <w:noWrap/>
            <w:vAlign w:val="bottom"/>
          </w:tcPr>
          <w:p w14:paraId="6E83498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p>
        </w:tc>
        <w:tc>
          <w:tcPr>
            <w:tcW w:w="2157" w:type="dxa"/>
            <w:tcBorders>
              <w:top w:val="single" w:sz="4" w:space="0" w:color="auto"/>
              <w:left w:val="nil"/>
              <w:bottom w:val="single" w:sz="4" w:space="0" w:color="auto"/>
              <w:right w:val="single" w:sz="4" w:space="0" w:color="auto"/>
            </w:tcBorders>
            <w:hideMark/>
          </w:tcPr>
          <w:p w14:paraId="6E83498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Fundo Ordinário</w:t>
            </w:r>
          </w:p>
        </w:tc>
      </w:tr>
      <w:tr w:rsidR="00D230D1" w:rsidRPr="00D65A20" w14:paraId="6E834994" w14:textId="77777777" w:rsidTr="00022A54">
        <w:trPr>
          <w:trHeight w:val="300"/>
          <w:jc w:val="center"/>
        </w:trPr>
        <w:tc>
          <w:tcPr>
            <w:tcW w:w="1198" w:type="dxa"/>
            <w:tcBorders>
              <w:top w:val="nil"/>
              <w:left w:val="single" w:sz="4" w:space="0" w:color="auto"/>
              <w:bottom w:val="nil"/>
              <w:right w:val="nil"/>
            </w:tcBorders>
            <w:noWrap/>
            <w:vAlign w:val="bottom"/>
          </w:tcPr>
          <w:p w14:paraId="6E83499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p>
        </w:tc>
        <w:tc>
          <w:tcPr>
            <w:tcW w:w="5490" w:type="dxa"/>
            <w:tcBorders>
              <w:top w:val="nil"/>
              <w:left w:val="single" w:sz="4" w:space="0" w:color="auto"/>
              <w:bottom w:val="nil"/>
              <w:right w:val="single" w:sz="4" w:space="0" w:color="auto"/>
            </w:tcBorders>
            <w:noWrap/>
            <w:hideMark/>
          </w:tcPr>
          <w:p w14:paraId="6E834991" w14:textId="77777777" w:rsidR="00D230D1" w:rsidRPr="00D65A20" w:rsidRDefault="00D230D1" w:rsidP="00AA4399">
            <w:pPr>
              <w:widowControl/>
              <w:numPr>
                <w:ilvl w:val="0"/>
                <w:numId w:val="58"/>
              </w:numPr>
              <w:tabs>
                <w:tab w:val="clear" w:pos="720"/>
                <w:tab w:val="clear" w:pos="1440"/>
                <w:tab w:val="clear" w:pos="2160"/>
                <w:tab w:val="clear" w:pos="2880"/>
                <w:tab w:val="clear" w:pos="3600"/>
                <w:tab w:val="clear" w:pos="4320"/>
                <w:tab w:val="clear" w:pos="5760"/>
                <w:tab w:val="clear" w:pos="6480"/>
                <w:tab w:val="clear" w:pos="7200"/>
                <w:tab w:val="clear" w:pos="7920"/>
              </w:tabs>
              <w:ind w:left="149" w:right="59" w:firstLine="0"/>
              <w:jc w:val="left"/>
              <w:rPr>
                <w:rFonts w:ascii="Times New Roman" w:eastAsia="Calibri" w:hAnsi="Times New Roman"/>
                <w:szCs w:val="22"/>
                <w:lang w:val="pt-BR"/>
              </w:rPr>
            </w:pPr>
            <w:r w:rsidRPr="00D65A20">
              <w:rPr>
                <w:rFonts w:ascii="Times New Roman" w:eastAsia="Calibri" w:hAnsi="Times New Roman"/>
                <w:szCs w:val="22"/>
                <w:lang w:val="pt-BR"/>
              </w:rPr>
              <w:t>Secretário de Acesso a Direitos e Equidade</w:t>
            </w:r>
          </w:p>
        </w:tc>
        <w:tc>
          <w:tcPr>
            <w:tcW w:w="1082" w:type="dxa"/>
            <w:tcBorders>
              <w:top w:val="nil"/>
              <w:left w:val="nil"/>
              <w:bottom w:val="nil"/>
              <w:right w:val="single" w:sz="4" w:space="0" w:color="auto"/>
            </w:tcBorders>
            <w:noWrap/>
            <w:vAlign w:val="bottom"/>
          </w:tcPr>
          <w:p w14:paraId="6E83499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p>
        </w:tc>
        <w:tc>
          <w:tcPr>
            <w:tcW w:w="2157" w:type="dxa"/>
            <w:tcBorders>
              <w:top w:val="single" w:sz="4" w:space="0" w:color="auto"/>
              <w:left w:val="nil"/>
              <w:bottom w:val="single" w:sz="4" w:space="0" w:color="auto"/>
              <w:right w:val="single" w:sz="4" w:space="0" w:color="auto"/>
            </w:tcBorders>
            <w:hideMark/>
          </w:tcPr>
          <w:p w14:paraId="6E83499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Fundo Ordinário</w:t>
            </w:r>
          </w:p>
        </w:tc>
      </w:tr>
      <w:tr w:rsidR="00D230D1" w:rsidRPr="00D65A20" w14:paraId="6E834999" w14:textId="77777777" w:rsidTr="00022A54">
        <w:trPr>
          <w:trHeight w:val="300"/>
          <w:jc w:val="center"/>
        </w:trPr>
        <w:tc>
          <w:tcPr>
            <w:tcW w:w="1198" w:type="dxa"/>
            <w:tcBorders>
              <w:top w:val="nil"/>
              <w:left w:val="single" w:sz="4" w:space="0" w:color="auto"/>
              <w:bottom w:val="nil"/>
              <w:right w:val="nil"/>
            </w:tcBorders>
            <w:noWrap/>
            <w:vAlign w:val="bottom"/>
          </w:tcPr>
          <w:p w14:paraId="6E83499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p>
        </w:tc>
        <w:tc>
          <w:tcPr>
            <w:tcW w:w="5490" w:type="dxa"/>
            <w:tcBorders>
              <w:top w:val="nil"/>
              <w:left w:val="single" w:sz="4" w:space="0" w:color="auto"/>
              <w:bottom w:val="nil"/>
              <w:right w:val="single" w:sz="4" w:space="0" w:color="auto"/>
            </w:tcBorders>
            <w:noWrap/>
            <w:hideMark/>
          </w:tcPr>
          <w:p w14:paraId="6E834996" w14:textId="77777777" w:rsidR="00D230D1" w:rsidRPr="00D65A20" w:rsidRDefault="00D230D1" w:rsidP="00AA4399">
            <w:pPr>
              <w:widowControl/>
              <w:numPr>
                <w:ilvl w:val="0"/>
                <w:numId w:val="58"/>
              </w:numPr>
              <w:tabs>
                <w:tab w:val="clear" w:pos="720"/>
                <w:tab w:val="clear" w:pos="1440"/>
                <w:tab w:val="clear" w:pos="2160"/>
                <w:tab w:val="clear" w:pos="2880"/>
                <w:tab w:val="clear" w:pos="3600"/>
                <w:tab w:val="clear" w:pos="4320"/>
                <w:tab w:val="clear" w:pos="5760"/>
                <w:tab w:val="clear" w:pos="6480"/>
                <w:tab w:val="clear" w:pos="7200"/>
                <w:tab w:val="clear" w:pos="7920"/>
              </w:tabs>
              <w:ind w:left="149" w:right="59" w:firstLine="0"/>
              <w:jc w:val="left"/>
              <w:rPr>
                <w:rFonts w:ascii="Times New Roman" w:eastAsia="Calibri" w:hAnsi="Times New Roman"/>
                <w:szCs w:val="22"/>
                <w:lang w:val="pt-BR"/>
              </w:rPr>
            </w:pPr>
            <w:r w:rsidRPr="00D65A20">
              <w:rPr>
                <w:rFonts w:ascii="Times New Roman" w:eastAsia="Calibri" w:hAnsi="Times New Roman"/>
                <w:szCs w:val="22"/>
                <w:lang w:val="pt-BR"/>
              </w:rPr>
              <w:t>Secretário de Fortalecimento da Democracia</w:t>
            </w:r>
          </w:p>
        </w:tc>
        <w:tc>
          <w:tcPr>
            <w:tcW w:w="1082" w:type="dxa"/>
            <w:tcBorders>
              <w:top w:val="nil"/>
              <w:left w:val="nil"/>
              <w:bottom w:val="nil"/>
              <w:right w:val="single" w:sz="4" w:space="0" w:color="auto"/>
            </w:tcBorders>
            <w:noWrap/>
            <w:vAlign w:val="bottom"/>
          </w:tcPr>
          <w:p w14:paraId="6E83499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p>
        </w:tc>
        <w:tc>
          <w:tcPr>
            <w:tcW w:w="2157" w:type="dxa"/>
            <w:tcBorders>
              <w:top w:val="single" w:sz="4" w:space="0" w:color="auto"/>
              <w:left w:val="nil"/>
              <w:bottom w:val="single" w:sz="4" w:space="0" w:color="auto"/>
              <w:right w:val="single" w:sz="4" w:space="0" w:color="auto"/>
            </w:tcBorders>
            <w:hideMark/>
          </w:tcPr>
          <w:p w14:paraId="6E83499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Fundo Ordinário</w:t>
            </w:r>
          </w:p>
        </w:tc>
      </w:tr>
      <w:tr w:rsidR="00D230D1" w:rsidRPr="00D65A20" w14:paraId="6E83499E" w14:textId="77777777" w:rsidTr="00022A54">
        <w:trPr>
          <w:trHeight w:val="300"/>
          <w:jc w:val="center"/>
        </w:trPr>
        <w:tc>
          <w:tcPr>
            <w:tcW w:w="1198" w:type="dxa"/>
            <w:tcBorders>
              <w:top w:val="nil"/>
              <w:left w:val="single" w:sz="4" w:space="0" w:color="auto"/>
              <w:bottom w:val="nil"/>
              <w:right w:val="nil"/>
            </w:tcBorders>
            <w:noWrap/>
            <w:vAlign w:val="bottom"/>
          </w:tcPr>
          <w:p w14:paraId="6E83499A"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p>
        </w:tc>
        <w:tc>
          <w:tcPr>
            <w:tcW w:w="5490" w:type="dxa"/>
            <w:tcBorders>
              <w:top w:val="nil"/>
              <w:left w:val="single" w:sz="4" w:space="0" w:color="auto"/>
              <w:bottom w:val="nil"/>
              <w:right w:val="single" w:sz="4" w:space="0" w:color="auto"/>
            </w:tcBorders>
            <w:noWrap/>
            <w:hideMark/>
          </w:tcPr>
          <w:p w14:paraId="6E83499B" w14:textId="77777777" w:rsidR="00D230D1" w:rsidRPr="00D65A20" w:rsidRDefault="00D230D1" w:rsidP="00AA4399">
            <w:pPr>
              <w:widowControl/>
              <w:numPr>
                <w:ilvl w:val="0"/>
                <w:numId w:val="58"/>
              </w:numPr>
              <w:tabs>
                <w:tab w:val="clear" w:pos="720"/>
                <w:tab w:val="clear" w:pos="1440"/>
                <w:tab w:val="clear" w:pos="2160"/>
                <w:tab w:val="clear" w:pos="2880"/>
                <w:tab w:val="clear" w:pos="3600"/>
                <w:tab w:val="clear" w:pos="4320"/>
                <w:tab w:val="clear" w:pos="5760"/>
                <w:tab w:val="clear" w:pos="6480"/>
                <w:tab w:val="clear" w:pos="7200"/>
                <w:tab w:val="clear" w:pos="7920"/>
              </w:tabs>
              <w:ind w:left="149" w:right="59" w:firstLine="0"/>
              <w:jc w:val="left"/>
              <w:rPr>
                <w:rFonts w:ascii="Times New Roman" w:eastAsia="Calibri" w:hAnsi="Times New Roman"/>
                <w:szCs w:val="22"/>
                <w:lang w:val="pt-BR"/>
              </w:rPr>
            </w:pPr>
            <w:r w:rsidRPr="00D65A20">
              <w:rPr>
                <w:rFonts w:ascii="Times New Roman" w:eastAsia="Calibri" w:hAnsi="Times New Roman"/>
                <w:szCs w:val="22"/>
                <w:lang w:val="pt-BR"/>
              </w:rPr>
              <w:t>Secretário de Segurança Multidimensional</w:t>
            </w:r>
          </w:p>
        </w:tc>
        <w:tc>
          <w:tcPr>
            <w:tcW w:w="1082" w:type="dxa"/>
            <w:tcBorders>
              <w:top w:val="nil"/>
              <w:left w:val="nil"/>
              <w:bottom w:val="nil"/>
              <w:right w:val="single" w:sz="4" w:space="0" w:color="auto"/>
            </w:tcBorders>
            <w:noWrap/>
            <w:vAlign w:val="bottom"/>
          </w:tcPr>
          <w:p w14:paraId="6E83499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p>
        </w:tc>
        <w:tc>
          <w:tcPr>
            <w:tcW w:w="2157" w:type="dxa"/>
            <w:tcBorders>
              <w:top w:val="single" w:sz="4" w:space="0" w:color="auto"/>
              <w:left w:val="nil"/>
              <w:bottom w:val="single" w:sz="4" w:space="0" w:color="auto"/>
              <w:right w:val="single" w:sz="4" w:space="0" w:color="auto"/>
            </w:tcBorders>
            <w:hideMark/>
          </w:tcPr>
          <w:p w14:paraId="6E83499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Fundo Ordinário</w:t>
            </w:r>
          </w:p>
        </w:tc>
      </w:tr>
      <w:tr w:rsidR="00D230D1" w:rsidRPr="00D65A20" w14:paraId="6E8349A3" w14:textId="77777777" w:rsidTr="00022A54">
        <w:trPr>
          <w:trHeight w:val="300"/>
          <w:jc w:val="center"/>
        </w:trPr>
        <w:tc>
          <w:tcPr>
            <w:tcW w:w="1198" w:type="dxa"/>
            <w:tcBorders>
              <w:top w:val="nil"/>
              <w:left w:val="single" w:sz="4" w:space="0" w:color="auto"/>
              <w:bottom w:val="nil"/>
              <w:right w:val="nil"/>
            </w:tcBorders>
            <w:noWrap/>
            <w:vAlign w:val="bottom"/>
          </w:tcPr>
          <w:p w14:paraId="6E83499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p>
        </w:tc>
        <w:tc>
          <w:tcPr>
            <w:tcW w:w="5490" w:type="dxa"/>
            <w:tcBorders>
              <w:top w:val="nil"/>
              <w:left w:val="single" w:sz="4" w:space="0" w:color="auto"/>
              <w:bottom w:val="nil"/>
              <w:right w:val="single" w:sz="4" w:space="0" w:color="auto"/>
            </w:tcBorders>
            <w:noWrap/>
            <w:hideMark/>
          </w:tcPr>
          <w:p w14:paraId="6E8349A0" w14:textId="77777777" w:rsidR="00D230D1" w:rsidRPr="00D65A20" w:rsidRDefault="00D230D1" w:rsidP="00AA4399">
            <w:pPr>
              <w:widowControl/>
              <w:numPr>
                <w:ilvl w:val="0"/>
                <w:numId w:val="58"/>
              </w:numPr>
              <w:tabs>
                <w:tab w:val="clear" w:pos="720"/>
                <w:tab w:val="clear" w:pos="1440"/>
                <w:tab w:val="clear" w:pos="2160"/>
                <w:tab w:val="clear" w:pos="2880"/>
                <w:tab w:val="clear" w:pos="3600"/>
                <w:tab w:val="clear" w:pos="4320"/>
                <w:tab w:val="clear" w:pos="5760"/>
                <w:tab w:val="clear" w:pos="6480"/>
                <w:tab w:val="clear" w:pos="7200"/>
                <w:tab w:val="clear" w:pos="7920"/>
              </w:tabs>
              <w:ind w:left="149" w:right="59" w:firstLine="0"/>
              <w:jc w:val="left"/>
              <w:rPr>
                <w:rFonts w:ascii="Times New Roman" w:eastAsia="Calibri" w:hAnsi="Times New Roman"/>
                <w:szCs w:val="22"/>
                <w:lang w:val="pt-BR"/>
              </w:rPr>
            </w:pPr>
            <w:r w:rsidRPr="00D65A20">
              <w:rPr>
                <w:rFonts w:ascii="Times New Roman" w:eastAsia="Calibri" w:hAnsi="Times New Roman"/>
                <w:szCs w:val="22"/>
                <w:lang w:val="pt-BR"/>
              </w:rPr>
              <w:t>Secretário de Assuntos Hemisféricos</w:t>
            </w:r>
          </w:p>
        </w:tc>
        <w:tc>
          <w:tcPr>
            <w:tcW w:w="1082" w:type="dxa"/>
            <w:tcBorders>
              <w:top w:val="nil"/>
              <w:left w:val="nil"/>
              <w:bottom w:val="nil"/>
              <w:right w:val="single" w:sz="4" w:space="0" w:color="auto"/>
            </w:tcBorders>
            <w:noWrap/>
            <w:vAlign w:val="bottom"/>
          </w:tcPr>
          <w:p w14:paraId="6E8349A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p>
        </w:tc>
        <w:tc>
          <w:tcPr>
            <w:tcW w:w="2157" w:type="dxa"/>
            <w:tcBorders>
              <w:top w:val="single" w:sz="4" w:space="0" w:color="auto"/>
              <w:left w:val="nil"/>
              <w:bottom w:val="single" w:sz="4" w:space="0" w:color="auto"/>
              <w:right w:val="single" w:sz="4" w:space="0" w:color="auto"/>
            </w:tcBorders>
            <w:hideMark/>
          </w:tcPr>
          <w:p w14:paraId="6E8349A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Fundo Ordinário</w:t>
            </w:r>
          </w:p>
        </w:tc>
      </w:tr>
      <w:tr w:rsidR="00D230D1" w:rsidRPr="00D65A20" w14:paraId="6E8349A8" w14:textId="77777777" w:rsidTr="00022A54">
        <w:trPr>
          <w:trHeight w:val="300"/>
          <w:jc w:val="center"/>
        </w:trPr>
        <w:tc>
          <w:tcPr>
            <w:tcW w:w="1198" w:type="dxa"/>
            <w:tcBorders>
              <w:top w:val="nil"/>
              <w:left w:val="single" w:sz="4" w:space="0" w:color="auto"/>
              <w:bottom w:val="nil"/>
              <w:right w:val="nil"/>
            </w:tcBorders>
            <w:noWrap/>
            <w:vAlign w:val="bottom"/>
          </w:tcPr>
          <w:p w14:paraId="6E8349A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p>
        </w:tc>
        <w:tc>
          <w:tcPr>
            <w:tcW w:w="5490" w:type="dxa"/>
            <w:tcBorders>
              <w:top w:val="nil"/>
              <w:left w:val="single" w:sz="4" w:space="0" w:color="auto"/>
              <w:bottom w:val="nil"/>
              <w:right w:val="single" w:sz="4" w:space="0" w:color="auto"/>
            </w:tcBorders>
            <w:noWrap/>
            <w:hideMark/>
          </w:tcPr>
          <w:p w14:paraId="6E8349A5" w14:textId="77777777" w:rsidR="00D230D1" w:rsidRPr="00D65A20" w:rsidRDefault="00D230D1" w:rsidP="00AA4399">
            <w:pPr>
              <w:widowControl/>
              <w:numPr>
                <w:ilvl w:val="0"/>
                <w:numId w:val="58"/>
              </w:numPr>
              <w:tabs>
                <w:tab w:val="clear" w:pos="720"/>
                <w:tab w:val="clear" w:pos="1440"/>
                <w:tab w:val="clear" w:pos="2160"/>
                <w:tab w:val="clear" w:pos="2880"/>
                <w:tab w:val="clear" w:pos="3600"/>
                <w:tab w:val="clear" w:pos="4320"/>
                <w:tab w:val="clear" w:pos="5760"/>
                <w:tab w:val="clear" w:pos="6480"/>
                <w:tab w:val="clear" w:pos="7200"/>
                <w:tab w:val="clear" w:pos="7920"/>
              </w:tabs>
              <w:ind w:left="149" w:right="59" w:firstLine="0"/>
              <w:jc w:val="left"/>
              <w:rPr>
                <w:rFonts w:ascii="Times New Roman" w:eastAsia="Calibri" w:hAnsi="Times New Roman"/>
                <w:szCs w:val="22"/>
                <w:lang w:val="pt-BR"/>
              </w:rPr>
            </w:pPr>
            <w:r w:rsidRPr="00D65A20">
              <w:rPr>
                <w:rFonts w:ascii="Times New Roman" w:eastAsia="Calibri" w:hAnsi="Times New Roman"/>
                <w:szCs w:val="22"/>
                <w:lang w:val="pt-BR"/>
              </w:rPr>
              <w:t>Secretário de Assuntos Jurídicos</w:t>
            </w:r>
          </w:p>
        </w:tc>
        <w:tc>
          <w:tcPr>
            <w:tcW w:w="1082" w:type="dxa"/>
            <w:tcBorders>
              <w:top w:val="nil"/>
              <w:left w:val="nil"/>
              <w:bottom w:val="nil"/>
              <w:right w:val="single" w:sz="4" w:space="0" w:color="auto"/>
            </w:tcBorders>
            <w:noWrap/>
            <w:vAlign w:val="bottom"/>
          </w:tcPr>
          <w:p w14:paraId="6E8349A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p>
        </w:tc>
        <w:tc>
          <w:tcPr>
            <w:tcW w:w="2157" w:type="dxa"/>
            <w:tcBorders>
              <w:top w:val="single" w:sz="4" w:space="0" w:color="auto"/>
              <w:left w:val="nil"/>
              <w:bottom w:val="single" w:sz="4" w:space="0" w:color="auto"/>
              <w:right w:val="single" w:sz="4" w:space="0" w:color="auto"/>
            </w:tcBorders>
            <w:hideMark/>
          </w:tcPr>
          <w:p w14:paraId="6E8349A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Fundo Ordinário</w:t>
            </w:r>
          </w:p>
        </w:tc>
      </w:tr>
      <w:tr w:rsidR="00D230D1" w:rsidRPr="00D65A20" w14:paraId="6E8349AD" w14:textId="77777777" w:rsidTr="00022A54">
        <w:trPr>
          <w:trHeight w:val="300"/>
          <w:jc w:val="center"/>
        </w:trPr>
        <w:tc>
          <w:tcPr>
            <w:tcW w:w="1198" w:type="dxa"/>
            <w:tcBorders>
              <w:top w:val="nil"/>
              <w:left w:val="single" w:sz="4" w:space="0" w:color="auto"/>
              <w:bottom w:val="single" w:sz="4" w:space="0" w:color="auto"/>
              <w:right w:val="nil"/>
            </w:tcBorders>
            <w:noWrap/>
            <w:vAlign w:val="bottom"/>
          </w:tcPr>
          <w:p w14:paraId="6E8349A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p>
        </w:tc>
        <w:tc>
          <w:tcPr>
            <w:tcW w:w="5490" w:type="dxa"/>
            <w:tcBorders>
              <w:top w:val="nil"/>
              <w:left w:val="single" w:sz="4" w:space="0" w:color="auto"/>
              <w:bottom w:val="single" w:sz="4" w:space="0" w:color="auto"/>
              <w:right w:val="single" w:sz="4" w:space="0" w:color="auto"/>
            </w:tcBorders>
            <w:noWrap/>
            <w:hideMark/>
          </w:tcPr>
          <w:p w14:paraId="6E8349AA" w14:textId="77777777" w:rsidR="00D230D1" w:rsidRPr="00D65A20" w:rsidRDefault="00D230D1" w:rsidP="00AA4399">
            <w:pPr>
              <w:widowControl/>
              <w:numPr>
                <w:ilvl w:val="0"/>
                <w:numId w:val="58"/>
              </w:numPr>
              <w:tabs>
                <w:tab w:val="clear" w:pos="720"/>
                <w:tab w:val="clear" w:pos="1440"/>
                <w:tab w:val="clear" w:pos="2160"/>
                <w:tab w:val="clear" w:pos="2880"/>
                <w:tab w:val="clear" w:pos="3600"/>
                <w:tab w:val="clear" w:pos="4320"/>
                <w:tab w:val="clear" w:pos="5760"/>
                <w:tab w:val="clear" w:pos="6480"/>
                <w:tab w:val="clear" w:pos="7200"/>
                <w:tab w:val="clear" w:pos="7920"/>
              </w:tabs>
              <w:ind w:left="149" w:right="59" w:firstLine="0"/>
              <w:jc w:val="left"/>
              <w:rPr>
                <w:rFonts w:ascii="Times New Roman" w:eastAsia="Calibri" w:hAnsi="Times New Roman"/>
                <w:szCs w:val="22"/>
                <w:lang w:val="pt-BR"/>
              </w:rPr>
            </w:pPr>
            <w:r w:rsidRPr="00D65A20">
              <w:rPr>
                <w:rFonts w:ascii="Times New Roman" w:eastAsia="Calibri" w:hAnsi="Times New Roman"/>
                <w:szCs w:val="22"/>
                <w:lang w:val="pt-BR"/>
              </w:rPr>
              <w:t>Secretário de Administração e Finanças</w:t>
            </w:r>
          </w:p>
        </w:tc>
        <w:tc>
          <w:tcPr>
            <w:tcW w:w="1082" w:type="dxa"/>
            <w:tcBorders>
              <w:top w:val="nil"/>
              <w:left w:val="nil"/>
              <w:bottom w:val="single" w:sz="4" w:space="0" w:color="auto"/>
              <w:right w:val="single" w:sz="4" w:space="0" w:color="auto"/>
            </w:tcBorders>
            <w:noWrap/>
            <w:vAlign w:val="bottom"/>
          </w:tcPr>
          <w:p w14:paraId="6E8349A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p>
        </w:tc>
        <w:tc>
          <w:tcPr>
            <w:tcW w:w="2157" w:type="dxa"/>
            <w:tcBorders>
              <w:top w:val="single" w:sz="4" w:space="0" w:color="auto"/>
              <w:left w:val="nil"/>
              <w:bottom w:val="single" w:sz="4" w:space="0" w:color="auto"/>
              <w:right w:val="single" w:sz="4" w:space="0" w:color="auto"/>
            </w:tcBorders>
            <w:hideMark/>
          </w:tcPr>
          <w:p w14:paraId="6E8349A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Fundo Ordinário</w:t>
            </w:r>
          </w:p>
        </w:tc>
      </w:tr>
      <w:tr w:rsidR="00D230D1" w:rsidRPr="00D65A20" w14:paraId="6E8349B2" w14:textId="77777777" w:rsidTr="00022A54">
        <w:trPr>
          <w:trHeight w:val="333"/>
          <w:jc w:val="center"/>
        </w:trPr>
        <w:tc>
          <w:tcPr>
            <w:tcW w:w="1198" w:type="dxa"/>
            <w:tcBorders>
              <w:top w:val="single" w:sz="4" w:space="0" w:color="auto"/>
              <w:left w:val="single" w:sz="4" w:space="0" w:color="auto"/>
              <w:bottom w:val="nil"/>
              <w:right w:val="nil"/>
            </w:tcBorders>
            <w:noWrap/>
            <w:vAlign w:val="bottom"/>
            <w:hideMark/>
          </w:tcPr>
          <w:p w14:paraId="6E8349A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 2</w:t>
            </w:r>
          </w:p>
        </w:tc>
        <w:tc>
          <w:tcPr>
            <w:tcW w:w="5490" w:type="dxa"/>
            <w:tcBorders>
              <w:top w:val="single" w:sz="4" w:space="0" w:color="auto"/>
              <w:left w:val="single" w:sz="4" w:space="0" w:color="auto"/>
              <w:bottom w:val="nil"/>
              <w:right w:val="single" w:sz="4" w:space="0" w:color="auto"/>
            </w:tcBorders>
            <w:hideMark/>
          </w:tcPr>
          <w:p w14:paraId="6E8349A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pt-BR" w:eastAsia="es-ES"/>
              </w:rPr>
            </w:pPr>
            <w:r w:rsidRPr="00D65A20">
              <w:rPr>
                <w:rFonts w:ascii="Times New Roman" w:eastAsia="Calibri" w:hAnsi="Times New Roman"/>
                <w:szCs w:val="22"/>
                <w:lang w:val="pt-BR"/>
              </w:rPr>
              <w:t>Assessores do Secretário-Geral</w:t>
            </w:r>
          </w:p>
        </w:tc>
        <w:tc>
          <w:tcPr>
            <w:tcW w:w="1082" w:type="dxa"/>
            <w:tcBorders>
              <w:top w:val="single" w:sz="4" w:space="0" w:color="auto"/>
              <w:left w:val="nil"/>
              <w:bottom w:val="nil"/>
              <w:right w:val="single" w:sz="4" w:space="0" w:color="auto"/>
            </w:tcBorders>
            <w:noWrap/>
            <w:vAlign w:val="bottom"/>
            <w:hideMark/>
          </w:tcPr>
          <w:p w14:paraId="6E8349B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D01</w:t>
            </w:r>
          </w:p>
        </w:tc>
        <w:tc>
          <w:tcPr>
            <w:tcW w:w="2157" w:type="dxa"/>
            <w:tcBorders>
              <w:top w:val="single" w:sz="4" w:space="0" w:color="auto"/>
              <w:left w:val="nil"/>
              <w:bottom w:val="nil"/>
              <w:right w:val="single" w:sz="4" w:space="0" w:color="auto"/>
            </w:tcBorders>
            <w:hideMark/>
          </w:tcPr>
          <w:p w14:paraId="6E8349B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Fundo Ordinário</w:t>
            </w:r>
          </w:p>
        </w:tc>
      </w:tr>
      <w:tr w:rsidR="00D230D1" w:rsidRPr="00D65A20" w14:paraId="6E8349B7" w14:textId="77777777" w:rsidTr="00022A54">
        <w:trPr>
          <w:trHeight w:val="243"/>
          <w:jc w:val="center"/>
        </w:trPr>
        <w:tc>
          <w:tcPr>
            <w:tcW w:w="1198" w:type="dxa"/>
            <w:tcBorders>
              <w:top w:val="nil"/>
              <w:left w:val="single" w:sz="4" w:space="0" w:color="auto"/>
              <w:bottom w:val="single" w:sz="4" w:space="0" w:color="auto"/>
              <w:right w:val="nil"/>
            </w:tcBorders>
            <w:noWrap/>
            <w:vAlign w:val="bottom"/>
          </w:tcPr>
          <w:p w14:paraId="6E8349B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p>
        </w:tc>
        <w:tc>
          <w:tcPr>
            <w:tcW w:w="5490" w:type="dxa"/>
            <w:tcBorders>
              <w:top w:val="nil"/>
              <w:left w:val="single" w:sz="4" w:space="0" w:color="auto"/>
              <w:bottom w:val="single" w:sz="4" w:space="0" w:color="auto"/>
              <w:right w:val="single" w:sz="4" w:space="0" w:color="auto"/>
            </w:tcBorders>
          </w:tcPr>
          <w:p w14:paraId="6E8349B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tc>
        <w:tc>
          <w:tcPr>
            <w:tcW w:w="1082" w:type="dxa"/>
            <w:tcBorders>
              <w:top w:val="nil"/>
              <w:left w:val="nil"/>
              <w:bottom w:val="single" w:sz="4" w:space="0" w:color="auto"/>
              <w:right w:val="single" w:sz="4" w:space="0" w:color="auto"/>
            </w:tcBorders>
            <w:noWrap/>
            <w:vAlign w:val="bottom"/>
            <w:hideMark/>
          </w:tcPr>
          <w:p w14:paraId="6E8349B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P05</w:t>
            </w:r>
          </w:p>
        </w:tc>
        <w:tc>
          <w:tcPr>
            <w:tcW w:w="2157" w:type="dxa"/>
            <w:tcBorders>
              <w:top w:val="nil"/>
              <w:left w:val="nil"/>
              <w:bottom w:val="single" w:sz="4" w:space="0" w:color="auto"/>
              <w:right w:val="single" w:sz="4" w:space="0" w:color="auto"/>
            </w:tcBorders>
            <w:hideMark/>
          </w:tcPr>
          <w:p w14:paraId="6E8349B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Fundo Ordinário</w:t>
            </w:r>
          </w:p>
        </w:tc>
      </w:tr>
      <w:tr w:rsidR="00D230D1" w:rsidRPr="00D65A20" w14:paraId="6E8349BC" w14:textId="77777777" w:rsidTr="00022A54">
        <w:trPr>
          <w:trHeight w:val="360"/>
          <w:jc w:val="center"/>
        </w:trPr>
        <w:tc>
          <w:tcPr>
            <w:tcW w:w="1198" w:type="dxa"/>
            <w:tcBorders>
              <w:top w:val="single" w:sz="4" w:space="0" w:color="auto"/>
              <w:left w:val="single" w:sz="4" w:space="0" w:color="auto"/>
              <w:bottom w:val="single" w:sz="4" w:space="0" w:color="auto"/>
              <w:right w:val="nil"/>
            </w:tcBorders>
            <w:noWrap/>
            <w:vAlign w:val="bottom"/>
            <w:hideMark/>
          </w:tcPr>
          <w:p w14:paraId="6E8349B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1</w:t>
            </w:r>
          </w:p>
        </w:tc>
        <w:tc>
          <w:tcPr>
            <w:tcW w:w="5490" w:type="dxa"/>
            <w:tcBorders>
              <w:top w:val="single" w:sz="4" w:space="0" w:color="auto"/>
              <w:left w:val="single" w:sz="4" w:space="0" w:color="auto"/>
              <w:bottom w:val="single" w:sz="4" w:space="0" w:color="auto"/>
              <w:right w:val="single" w:sz="4" w:space="0" w:color="auto"/>
            </w:tcBorders>
            <w:hideMark/>
          </w:tcPr>
          <w:p w14:paraId="6E8349B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r w:rsidRPr="00D65A20">
              <w:rPr>
                <w:rFonts w:ascii="Times New Roman" w:eastAsia="Calibri" w:hAnsi="Times New Roman"/>
                <w:szCs w:val="22"/>
                <w:lang w:val="pt-BR"/>
              </w:rPr>
              <w:t>Assessor do Secretário-Geral Adjunto</w:t>
            </w:r>
          </w:p>
        </w:tc>
        <w:tc>
          <w:tcPr>
            <w:tcW w:w="1082" w:type="dxa"/>
            <w:tcBorders>
              <w:top w:val="single" w:sz="4" w:space="0" w:color="auto"/>
              <w:left w:val="nil"/>
              <w:bottom w:val="single" w:sz="4" w:space="0" w:color="auto"/>
              <w:right w:val="single" w:sz="4" w:space="0" w:color="auto"/>
            </w:tcBorders>
            <w:noWrap/>
            <w:vAlign w:val="bottom"/>
            <w:hideMark/>
          </w:tcPr>
          <w:p w14:paraId="6E8349BA"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 xml:space="preserve">P04 </w:t>
            </w:r>
          </w:p>
        </w:tc>
        <w:tc>
          <w:tcPr>
            <w:tcW w:w="2157" w:type="dxa"/>
            <w:tcBorders>
              <w:top w:val="single" w:sz="4" w:space="0" w:color="auto"/>
              <w:left w:val="nil"/>
              <w:bottom w:val="single" w:sz="4" w:space="0" w:color="auto"/>
              <w:right w:val="single" w:sz="4" w:space="0" w:color="auto"/>
            </w:tcBorders>
            <w:hideMark/>
          </w:tcPr>
          <w:p w14:paraId="6E8349B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Fundo Ordinário</w:t>
            </w:r>
          </w:p>
        </w:tc>
      </w:tr>
      <w:tr w:rsidR="00D230D1" w:rsidRPr="00D65A20" w14:paraId="6E8349C1" w14:textId="77777777" w:rsidTr="00022A54">
        <w:trPr>
          <w:trHeight w:val="314"/>
          <w:jc w:val="center"/>
        </w:trPr>
        <w:tc>
          <w:tcPr>
            <w:tcW w:w="1198" w:type="dxa"/>
            <w:tcBorders>
              <w:top w:val="single" w:sz="4" w:space="0" w:color="auto"/>
              <w:left w:val="single" w:sz="4" w:space="0" w:color="auto"/>
              <w:bottom w:val="single" w:sz="4" w:space="0" w:color="auto"/>
              <w:right w:val="nil"/>
            </w:tcBorders>
            <w:noWrap/>
            <w:vAlign w:val="bottom"/>
            <w:hideMark/>
          </w:tcPr>
          <w:p w14:paraId="6E8349B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1</w:t>
            </w:r>
          </w:p>
        </w:tc>
        <w:tc>
          <w:tcPr>
            <w:tcW w:w="5490" w:type="dxa"/>
            <w:tcBorders>
              <w:top w:val="single" w:sz="4" w:space="0" w:color="auto"/>
              <w:left w:val="single" w:sz="4" w:space="0" w:color="auto"/>
              <w:bottom w:val="single" w:sz="4" w:space="0" w:color="auto"/>
              <w:right w:val="single" w:sz="4" w:space="0" w:color="auto"/>
            </w:tcBorders>
            <w:hideMark/>
          </w:tcPr>
          <w:p w14:paraId="6E8349B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r w:rsidRPr="00D65A20">
              <w:rPr>
                <w:rFonts w:ascii="Times New Roman" w:eastAsia="Calibri" w:hAnsi="Times New Roman"/>
                <w:szCs w:val="22"/>
                <w:lang w:val="pt-BR"/>
              </w:rPr>
              <w:t>Assistente executivo do Secretário-Geral</w:t>
            </w:r>
          </w:p>
        </w:tc>
        <w:tc>
          <w:tcPr>
            <w:tcW w:w="1082" w:type="dxa"/>
            <w:tcBorders>
              <w:top w:val="single" w:sz="4" w:space="0" w:color="auto"/>
              <w:left w:val="nil"/>
              <w:bottom w:val="single" w:sz="4" w:space="0" w:color="auto"/>
              <w:right w:val="single" w:sz="4" w:space="0" w:color="auto"/>
            </w:tcBorders>
            <w:noWrap/>
            <w:vAlign w:val="bottom"/>
            <w:hideMark/>
          </w:tcPr>
          <w:p w14:paraId="6E8349B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G07</w:t>
            </w:r>
          </w:p>
        </w:tc>
        <w:tc>
          <w:tcPr>
            <w:tcW w:w="2157" w:type="dxa"/>
            <w:tcBorders>
              <w:top w:val="single" w:sz="4" w:space="0" w:color="auto"/>
              <w:left w:val="nil"/>
              <w:bottom w:val="single" w:sz="4" w:space="0" w:color="auto"/>
              <w:right w:val="single" w:sz="4" w:space="0" w:color="auto"/>
            </w:tcBorders>
            <w:hideMark/>
          </w:tcPr>
          <w:p w14:paraId="6E8349C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Fundo Ordinário</w:t>
            </w:r>
          </w:p>
        </w:tc>
      </w:tr>
      <w:tr w:rsidR="00D230D1" w:rsidRPr="00D65A20" w14:paraId="6E8349C6" w14:textId="77777777" w:rsidTr="00022A54">
        <w:trPr>
          <w:trHeight w:val="296"/>
          <w:jc w:val="center"/>
        </w:trPr>
        <w:tc>
          <w:tcPr>
            <w:tcW w:w="1198" w:type="dxa"/>
            <w:tcBorders>
              <w:top w:val="single" w:sz="4" w:space="0" w:color="auto"/>
              <w:left w:val="single" w:sz="4" w:space="0" w:color="auto"/>
              <w:bottom w:val="single" w:sz="4" w:space="0" w:color="auto"/>
              <w:right w:val="nil"/>
            </w:tcBorders>
            <w:noWrap/>
            <w:vAlign w:val="bottom"/>
            <w:hideMark/>
          </w:tcPr>
          <w:p w14:paraId="6E8349C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1</w:t>
            </w:r>
          </w:p>
        </w:tc>
        <w:tc>
          <w:tcPr>
            <w:tcW w:w="5490" w:type="dxa"/>
            <w:tcBorders>
              <w:top w:val="single" w:sz="4" w:space="0" w:color="auto"/>
              <w:left w:val="single" w:sz="4" w:space="0" w:color="auto"/>
              <w:bottom w:val="single" w:sz="4" w:space="0" w:color="auto"/>
              <w:right w:val="single" w:sz="4" w:space="0" w:color="auto"/>
            </w:tcBorders>
            <w:hideMark/>
          </w:tcPr>
          <w:p w14:paraId="6E8349C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r w:rsidRPr="00D65A20">
              <w:rPr>
                <w:rFonts w:ascii="Times New Roman" w:eastAsia="Calibri" w:hAnsi="Times New Roman"/>
                <w:szCs w:val="22"/>
                <w:lang w:val="pt-BR"/>
              </w:rPr>
              <w:t>Assistente júnior do Secretário-Geral Adjunto</w:t>
            </w:r>
          </w:p>
        </w:tc>
        <w:tc>
          <w:tcPr>
            <w:tcW w:w="1082" w:type="dxa"/>
            <w:tcBorders>
              <w:top w:val="single" w:sz="4" w:space="0" w:color="auto"/>
              <w:left w:val="nil"/>
              <w:bottom w:val="single" w:sz="4" w:space="0" w:color="auto"/>
              <w:right w:val="single" w:sz="4" w:space="0" w:color="auto"/>
            </w:tcBorders>
            <w:noWrap/>
            <w:vAlign w:val="bottom"/>
            <w:hideMark/>
          </w:tcPr>
          <w:p w14:paraId="6E8349C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P02</w:t>
            </w:r>
          </w:p>
        </w:tc>
        <w:tc>
          <w:tcPr>
            <w:tcW w:w="2157" w:type="dxa"/>
            <w:tcBorders>
              <w:top w:val="single" w:sz="4" w:space="0" w:color="auto"/>
              <w:left w:val="nil"/>
              <w:bottom w:val="single" w:sz="4" w:space="0" w:color="auto"/>
              <w:right w:val="single" w:sz="4" w:space="0" w:color="auto"/>
            </w:tcBorders>
            <w:hideMark/>
          </w:tcPr>
          <w:p w14:paraId="6E8349C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Fundo Ordinário</w:t>
            </w:r>
          </w:p>
        </w:tc>
      </w:tr>
      <w:tr w:rsidR="00D230D1" w:rsidRPr="00D65A20" w14:paraId="6E8349CB" w14:textId="77777777" w:rsidTr="00022A54">
        <w:trPr>
          <w:trHeight w:val="300"/>
          <w:jc w:val="center"/>
        </w:trPr>
        <w:tc>
          <w:tcPr>
            <w:tcW w:w="1198" w:type="dxa"/>
            <w:tcBorders>
              <w:top w:val="single" w:sz="4" w:space="0" w:color="auto"/>
              <w:left w:val="single" w:sz="4" w:space="0" w:color="auto"/>
              <w:bottom w:val="single" w:sz="4" w:space="0" w:color="auto"/>
              <w:right w:val="nil"/>
            </w:tcBorders>
            <w:noWrap/>
            <w:vAlign w:val="bottom"/>
            <w:hideMark/>
          </w:tcPr>
          <w:p w14:paraId="6E8349C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1</w:t>
            </w:r>
          </w:p>
        </w:tc>
        <w:tc>
          <w:tcPr>
            <w:tcW w:w="5490" w:type="dxa"/>
            <w:tcBorders>
              <w:top w:val="single" w:sz="4" w:space="0" w:color="auto"/>
              <w:left w:val="single" w:sz="4" w:space="0" w:color="auto"/>
              <w:bottom w:val="single" w:sz="4" w:space="0" w:color="auto"/>
              <w:right w:val="single" w:sz="4" w:space="0" w:color="auto"/>
            </w:tcBorders>
            <w:hideMark/>
          </w:tcPr>
          <w:p w14:paraId="6E8349C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r w:rsidRPr="00D65A20">
              <w:rPr>
                <w:rFonts w:ascii="Times New Roman" w:eastAsia="Calibri" w:hAnsi="Times New Roman"/>
                <w:szCs w:val="22"/>
                <w:lang w:val="pt-BR"/>
              </w:rPr>
              <w:t>Escritório do Cerimonial</w:t>
            </w:r>
          </w:p>
        </w:tc>
        <w:tc>
          <w:tcPr>
            <w:tcW w:w="1082" w:type="dxa"/>
            <w:tcBorders>
              <w:top w:val="single" w:sz="4" w:space="0" w:color="auto"/>
              <w:left w:val="nil"/>
              <w:bottom w:val="single" w:sz="4" w:space="0" w:color="auto"/>
              <w:right w:val="single" w:sz="4" w:space="0" w:color="auto"/>
            </w:tcBorders>
            <w:noWrap/>
            <w:vAlign w:val="bottom"/>
            <w:hideMark/>
          </w:tcPr>
          <w:p w14:paraId="6E8349C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P05</w:t>
            </w:r>
          </w:p>
        </w:tc>
        <w:tc>
          <w:tcPr>
            <w:tcW w:w="2157" w:type="dxa"/>
            <w:tcBorders>
              <w:top w:val="single" w:sz="4" w:space="0" w:color="auto"/>
              <w:left w:val="nil"/>
              <w:bottom w:val="single" w:sz="4" w:space="0" w:color="auto"/>
              <w:right w:val="single" w:sz="4" w:space="0" w:color="auto"/>
            </w:tcBorders>
            <w:hideMark/>
          </w:tcPr>
          <w:p w14:paraId="6E8349CA"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Fundo Ordinário</w:t>
            </w:r>
          </w:p>
        </w:tc>
      </w:tr>
      <w:tr w:rsidR="00D230D1" w:rsidRPr="00D65A20" w14:paraId="6E8349D0" w14:textId="77777777" w:rsidTr="00022A54">
        <w:trPr>
          <w:trHeight w:val="300"/>
          <w:jc w:val="center"/>
        </w:trPr>
        <w:tc>
          <w:tcPr>
            <w:tcW w:w="1198" w:type="dxa"/>
            <w:tcBorders>
              <w:top w:val="single" w:sz="4" w:space="0" w:color="auto"/>
              <w:left w:val="single" w:sz="4" w:space="0" w:color="auto"/>
              <w:bottom w:val="single" w:sz="4" w:space="0" w:color="auto"/>
              <w:right w:val="nil"/>
            </w:tcBorders>
            <w:noWrap/>
            <w:vAlign w:val="bottom"/>
            <w:hideMark/>
          </w:tcPr>
          <w:p w14:paraId="6E8349C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1</w:t>
            </w:r>
          </w:p>
        </w:tc>
        <w:tc>
          <w:tcPr>
            <w:tcW w:w="5490" w:type="dxa"/>
            <w:tcBorders>
              <w:top w:val="single" w:sz="4" w:space="0" w:color="auto"/>
              <w:left w:val="single" w:sz="4" w:space="0" w:color="auto"/>
              <w:bottom w:val="single" w:sz="4" w:space="0" w:color="auto"/>
              <w:right w:val="single" w:sz="4" w:space="0" w:color="auto"/>
            </w:tcBorders>
            <w:hideMark/>
          </w:tcPr>
          <w:p w14:paraId="6E8349C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r w:rsidRPr="00D65A20">
              <w:rPr>
                <w:rFonts w:ascii="Times New Roman" w:eastAsia="Calibri" w:hAnsi="Times New Roman"/>
                <w:szCs w:val="22"/>
                <w:lang w:val="pt-BR"/>
              </w:rPr>
              <w:t>Diretor da CICAD</w:t>
            </w:r>
            <w:r w:rsidRPr="00D65A20">
              <w:rPr>
                <w:rFonts w:ascii="Times New Roman" w:eastAsia="Calibri" w:hAnsi="Times New Roman"/>
                <w:color w:val="000000"/>
                <w:szCs w:val="22"/>
                <w:u w:val="single"/>
                <w:vertAlign w:val="superscript"/>
                <w:lang w:val="pt-BR"/>
              </w:rPr>
              <w:footnoteReference w:id="54"/>
            </w:r>
            <w:r w:rsidRPr="00D65A20">
              <w:rPr>
                <w:rFonts w:ascii="Times New Roman" w:eastAsia="Calibri" w:hAnsi="Times New Roman"/>
                <w:color w:val="000000"/>
                <w:szCs w:val="22"/>
                <w:vertAlign w:val="superscript"/>
                <w:lang w:val="pt-BR"/>
              </w:rPr>
              <w:t>/</w:t>
            </w:r>
          </w:p>
        </w:tc>
        <w:tc>
          <w:tcPr>
            <w:tcW w:w="1082" w:type="dxa"/>
            <w:tcBorders>
              <w:top w:val="single" w:sz="4" w:space="0" w:color="auto"/>
              <w:left w:val="nil"/>
              <w:bottom w:val="single" w:sz="4" w:space="0" w:color="auto"/>
              <w:right w:val="single" w:sz="4" w:space="0" w:color="auto"/>
            </w:tcBorders>
            <w:noWrap/>
            <w:vAlign w:val="bottom"/>
            <w:hideMark/>
          </w:tcPr>
          <w:p w14:paraId="6E8349C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P05</w:t>
            </w:r>
          </w:p>
        </w:tc>
        <w:tc>
          <w:tcPr>
            <w:tcW w:w="2157" w:type="dxa"/>
            <w:tcBorders>
              <w:top w:val="single" w:sz="4" w:space="0" w:color="auto"/>
              <w:left w:val="nil"/>
              <w:bottom w:val="single" w:sz="4" w:space="0" w:color="auto"/>
              <w:right w:val="single" w:sz="4" w:space="0" w:color="auto"/>
            </w:tcBorders>
            <w:hideMark/>
          </w:tcPr>
          <w:p w14:paraId="6E8349C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Fundo Ordinário</w:t>
            </w:r>
          </w:p>
        </w:tc>
      </w:tr>
      <w:tr w:rsidR="00D230D1" w:rsidRPr="00D65A20" w14:paraId="6E8349D5" w14:textId="77777777" w:rsidTr="00022A54">
        <w:trPr>
          <w:trHeight w:val="305"/>
          <w:jc w:val="center"/>
        </w:trPr>
        <w:tc>
          <w:tcPr>
            <w:tcW w:w="1198" w:type="dxa"/>
            <w:tcBorders>
              <w:top w:val="single" w:sz="4" w:space="0" w:color="auto"/>
              <w:left w:val="single" w:sz="4" w:space="0" w:color="auto"/>
              <w:bottom w:val="single" w:sz="4" w:space="0" w:color="auto"/>
              <w:right w:val="nil"/>
            </w:tcBorders>
            <w:noWrap/>
            <w:vAlign w:val="bottom"/>
            <w:hideMark/>
          </w:tcPr>
          <w:p w14:paraId="6E8349D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pt-BR" w:eastAsia="es-ES"/>
              </w:rPr>
            </w:pPr>
            <w:r w:rsidRPr="00D65A20">
              <w:rPr>
                <w:rFonts w:ascii="Times New Roman" w:hAnsi="Times New Roman"/>
                <w:color w:val="000000"/>
                <w:szCs w:val="22"/>
                <w:lang w:val="pt-BR" w:eastAsia="es-ES"/>
              </w:rPr>
              <w:t>1</w:t>
            </w:r>
          </w:p>
        </w:tc>
        <w:tc>
          <w:tcPr>
            <w:tcW w:w="5490" w:type="dxa"/>
            <w:tcBorders>
              <w:top w:val="single" w:sz="4" w:space="0" w:color="auto"/>
              <w:left w:val="single" w:sz="4" w:space="0" w:color="auto"/>
              <w:bottom w:val="single" w:sz="4" w:space="0" w:color="auto"/>
              <w:right w:val="single" w:sz="4" w:space="0" w:color="auto"/>
            </w:tcBorders>
            <w:hideMark/>
          </w:tcPr>
          <w:p w14:paraId="6E8349D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r w:rsidRPr="00D65A20">
              <w:rPr>
                <w:rFonts w:ascii="Times New Roman" w:eastAsia="Calibri" w:hAnsi="Times New Roman"/>
                <w:szCs w:val="22"/>
                <w:lang w:val="pt-BR"/>
              </w:rPr>
              <w:t>Diretor do CICTE</w:t>
            </w:r>
            <w:r w:rsidRPr="00D65A20">
              <w:rPr>
                <w:rFonts w:ascii="Times New Roman" w:eastAsia="Calibri" w:hAnsi="Times New Roman"/>
                <w:szCs w:val="22"/>
                <w:vertAlign w:val="superscript"/>
                <w:lang w:val="pt-BR"/>
              </w:rPr>
              <w:footnoteReference w:id="55"/>
            </w:r>
            <w:r w:rsidRPr="00D65A20">
              <w:rPr>
                <w:rFonts w:ascii="Times New Roman" w:eastAsia="Calibri" w:hAnsi="Times New Roman"/>
                <w:szCs w:val="22"/>
                <w:vertAlign w:val="superscript"/>
                <w:lang w:val="pt-BR"/>
              </w:rPr>
              <w:t>/</w:t>
            </w:r>
          </w:p>
        </w:tc>
        <w:tc>
          <w:tcPr>
            <w:tcW w:w="1082" w:type="dxa"/>
            <w:tcBorders>
              <w:top w:val="single" w:sz="4" w:space="0" w:color="auto"/>
              <w:left w:val="nil"/>
              <w:bottom w:val="single" w:sz="4" w:space="0" w:color="auto"/>
              <w:right w:val="single" w:sz="4" w:space="0" w:color="auto"/>
            </w:tcBorders>
            <w:noWrap/>
            <w:vAlign w:val="bottom"/>
            <w:hideMark/>
          </w:tcPr>
          <w:p w14:paraId="6E8349D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pt-BR" w:eastAsia="es-ES"/>
              </w:rPr>
            </w:pPr>
            <w:r w:rsidRPr="00D65A20">
              <w:rPr>
                <w:rFonts w:ascii="Times New Roman" w:hAnsi="Times New Roman"/>
                <w:color w:val="000000"/>
                <w:szCs w:val="22"/>
                <w:lang w:val="pt-BR" w:eastAsia="es-ES"/>
              </w:rPr>
              <w:t>P05</w:t>
            </w:r>
          </w:p>
        </w:tc>
        <w:tc>
          <w:tcPr>
            <w:tcW w:w="2157" w:type="dxa"/>
            <w:tcBorders>
              <w:top w:val="single" w:sz="4" w:space="0" w:color="auto"/>
              <w:left w:val="nil"/>
              <w:bottom w:val="single" w:sz="4" w:space="0" w:color="auto"/>
              <w:right w:val="single" w:sz="4" w:space="0" w:color="auto"/>
            </w:tcBorders>
            <w:vAlign w:val="center"/>
            <w:hideMark/>
          </w:tcPr>
          <w:p w14:paraId="6E8349D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Fundo Ordinário</w:t>
            </w:r>
          </w:p>
        </w:tc>
      </w:tr>
      <w:tr w:rsidR="00D230D1" w:rsidRPr="00D65A20" w14:paraId="6E8349DB" w14:textId="77777777" w:rsidTr="00022A54">
        <w:trPr>
          <w:trHeight w:val="300"/>
          <w:jc w:val="center"/>
        </w:trPr>
        <w:tc>
          <w:tcPr>
            <w:tcW w:w="1198" w:type="dxa"/>
            <w:tcBorders>
              <w:top w:val="nil"/>
              <w:left w:val="nil"/>
              <w:bottom w:val="single" w:sz="4" w:space="0" w:color="auto"/>
              <w:right w:val="nil"/>
            </w:tcBorders>
            <w:noWrap/>
            <w:vAlign w:val="bottom"/>
          </w:tcPr>
          <w:p w14:paraId="6E8349D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p>
        </w:tc>
        <w:tc>
          <w:tcPr>
            <w:tcW w:w="5490" w:type="dxa"/>
            <w:tcBorders>
              <w:top w:val="nil"/>
              <w:left w:val="nil"/>
              <w:bottom w:val="single" w:sz="4" w:space="0" w:color="auto"/>
              <w:right w:val="nil"/>
            </w:tcBorders>
            <w:noWrap/>
            <w:vAlign w:val="bottom"/>
          </w:tcPr>
          <w:p w14:paraId="6E8349D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pt-BR" w:eastAsia="es-ES"/>
              </w:rPr>
            </w:pPr>
          </w:p>
          <w:p w14:paraId="6E8349D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pt-BR" w:eastAsia="es-ES"/>
              </w:rPr>
            </w:pPr>
            <w:r w:rsidRPr="00D65A20">
              <w:rPr>
                <w:rFonts w:ascii="Times New Roman" w:hAnsi="Times New Roman"/>
                <w:color w:val="000000"/>
                <w:szCs w:val="22"/>
                <w:lang w:val="pt-BR" w:eastAsia="es-ES"/>
              </w:rPr>
              <w:t>OUTROS CARGOS DE CONFIANÇA</w:t>
            </w:r>
          </w:p>
        </w:tc>
        <w:tc>
          <w:tcPr>
            <w:tcW w:w="1082" w:type="dxa"/>
            <w:tcBorders>
              <w:top w:val="nil"/>
              <w:left w:val="nil"/>
              <w:bottom w:val="single" w:sz="4" w:space="0" w:color="auto"/>
              <w:right w:val="nil"/>
            </w:tcBorders>
            <w:noWrap/>
            <w:vAlign w:val="bottom"/>
            <w:hideMark/>
          </w:tcPr>
          <w:p w14:paraId="6E8349D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20"/>
                <w:lang w:val="pt-BR"/>
              </w:rPr>
            </w:pPr>
          </w:p>
        </w:tc>
        <w:tc>
          <w:tcPr>
            <w:tcW w:w="2157" w:type="dxa"/>
            <w:tcBorders>
              <w:top w:val="nil"/>
              <w:left w:val="nil"/>
              <w:bottom w:val="single" w:sz="4" w:space="0" w:color="auto"/>
              <w:right w:val="nil"/>
            </w:tcBorders>
          </w:tcPr>
          <w:p w14:paraId="6E8349DA"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p>
        </w:tc>
      </w:tr>
      <w:tr w:rsidR="00D230D1" w:rsidRPr="00D65A20" w14:paraId="6E8349E0" w14:textId="77777777" w:rsidTr="00022A54">
        <w:trPr>
          <w:trHeight w:val="300"/>
          <w:jc w:val="center"/>
        </w:trPr>
        <w:tc>
          <w:tcPr>
            <w:tcW w:w="1198" w:type="dxa"/>
            <w:tcBorders>
              <w:top w:val="nil"/>
              <w:left w:val="single" w:sz="4" w:space="0" w:color="auto"/>
              <w:bottom w:val="single" w:sz="4" w:space="0" w:color="auto"/>
              <w:right w:val="single" w:sz="4" w:space="0" w:color="auto"/>
            </w:tcBorders>
            <w:noWrap/>
            <w:vAlign w:val="bottom"/>
            <w:hideMark/>
          </w:tcPr>
          <w:p w14:paraId="6E8349D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1</w:t>
            </w:r>
          </w:p>
        </w:tc>
        <w:tc>
          <w:tcPr>
            <w:tcW w:w="5490" w:type="dxa"/>
            <w:tcBorders>
              <w:top w:val="nil"/>
              <w:left w:val="nil"/>
              <w:bottom w:val="single" w:sz="4" w:space="0" w:color="auto"/>
              <w:right w:val="single" w:sz="4" w:space="0" w:color="auto"/>
            </w:tcBorders>
            <w:noWrap/>
            <w:hideMark/>
          </w:tcPr>
          <w:p w14:paraId="6E8349DD"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pt-BR" w:eastAsia="es-ES"/>
              </w:rPr>
            </w:pPr>
            <w:r w:rsidRPr="00D65A20">
              <w:rPr>
                <w:rFonts w:ascii="Times New Roman" w:eastAsia="Calibri" w:hAnsi="Times New Roman"/>
                <w:szCs w:val="22"/>
                <w:lang w:val="pt-BR"/>
              </w:rPr>
              <w:t>Assessor do Secretário-Geral</w:t>
            </w:r>
          </w:p>
        </w:tc>
        <w:tc>
          <w:tcPr>
            <w:tcW w:w="1082" w:type="dxa"/>
            <w:tcBorders>
              <w:top w:val="nil"/>
              <w:left w:val="nil"/>
              <w:bottom w:val="single" w:sz="4" w:space="0" w:color="auto"/>
              <w:right w:val="single" w:sz="4" w:space="0" w:color="auto"/>
            </w:tcBorders>
            <w:noWrap/>
            <w:vAlign w:val="bottom"/>
            <w:hideMark/>
          </w:tcPr>
          <w:p w14:paraId="6E8349D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P05</w:t>
            </w:r>
          </w:p>
        </w:tc>
        <w:tc>
          <w:tcPr>
            <w:tcW w:w="2157" w:type="dxa"/>
            <w:tcBorders>
              <w:top w:val="nil"/>
              <w:left w:val="nil"/>
              <w:bottom w:val="single" w:sz="4" w:space="0" w:color="auto"/>
              <w:right w:val="single" w:sz="4" w:space="0" w:color="auto"/>
            </w:tcBorders>
            <w:hideMark/>
          </w:tcPr>
          <w:p w14:paraId="6E8349D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Fundo Ordinário</w:t>
            </w:r>
          </w:p>
        </w:tc>
      </w:tr>
      <w:tr w:rsidR="00D230D1" w:rsidRPr="00D65A20" w14:paraId="6E8349E5" w14:textId="77777777" w:rsidTr="00022A54">
        <w:trPr>
          <w:trHeight w:val="300"/>
          <w:jc w:val="center"/>
        </w:trPr>
        <w:tc>
          <w:tcPr>
            <w:tcW w:w="1198" w:type="dxa"/>
            <w:tcBorders>
              <w:top w:val="nil"/>
              <w:left w:val="single" w:sz="4" w:space="0" w:color="auto"/>
              <w:bottom w:val="single" w:sz="4" w:space="0" w:color="auto"/>
              <w:right w:val="single" w:sz="4" w:space="0" w:color="auto"/>
            </w:tcBorders>
            <w:noWrap/>
            <w:vAlign w:val="bottom"/>
            <w:hideMark/>
          </w:tcPr>
          <w:p w14:paraId="6E8349E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2</w:t>
            </w:r>
          </w:p>
        </w:tc>
        <w:tc>
          <w:tcPr>
            <w:tcW w:w="5490" w:type="dxa"/>
            <w:tcBorders>
              <w:top w:val="nil"/>
              <w:left w:val="nil"/>
              <w:bottom w:val="single" w:sz="4" w:space="0" w:color="auto"/>
              <w:right w:val="single" w:sz="4" w:space="0" w:color="auto"/>
            </w:tcBorders>
            <w:noWrap/>
            <w:hideMark/>
          </w:tcPr>
          <w:p w14:paraId="6E8349E2"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pt-BR" w:eastAsia="es-ES"/>
              </w:rPr>
            </w:pPr>
            <w:r w:rsidRPr="00D65A20">
              <w:rPr>
                <w:rFonts w:ascii="Times New Roman" w:eastAsia="Calibri" w:hAnsi="Times New Roman"/>
                <w:szCs w:val="22"/>
                <w:lang w:val="pt-BR"/>
              </w:rPr>
              <w:t>Assessores do Secretário-Geral Adjunto</w:t>
            </w:r>
          </w:p>
        </w:tc>
        <w:tc>
          <w:tcPr>
            <w:tcW w:w="1082" w:type="dxa"/>
            <w:tcBorders>
              <w:top w:val="nil"/>
              <w:left w:val="nil"/>
              <w:bottom w:val="single" w:sz="4" w:space="0" w:color="auto"/>
              <w:right w:val="single" w:sz="4" w:space="0" w:color="auto"/>
            </w:tcBorders>
            <w:noWrap/>
            <w:vAlign w:val="bottom"/>
            <w:hideMark/>
          </w:tcPr>
          <w:p w14:paraId="6E8349E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P05</w:t>
            </w:r>
          </w:p>
        </w:tc>
        <w:tc>
          <w:tcPr>
            <w:tcW w:w="2157" w:type="dxa"/>
            <w:tcBorders>
              <w:top w:val="nil"/>
              <w:left w:val="nil"/>
              <w:bottom w:val="single" w:sz="4" w:space="0" w:color="auto"/>
              <w:right w:val="single" w:sz="4" w:space="0" w:color="auto"/>
            </w:tcBorders>
            <w:hideMark/>
          </w:tcPr>
          <w:p w14:paraId="6E8349E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Fundo Ordinário</w:t>
            </w:r>
          </w:p>
        </w:tc>
      </w:tr>
      <w:tr w:rsidR="00D230D1" w:rsidRPr="00D65A20" w14:paraId="6E8349EA" w14:textId="77777777" w:rsidTr="00022A54">
        <w:trPr>
          <w:trHeight w:val="152"/>
          <w:jc w:val="center"/>
        </w:trPr>
        <w:tc>
          <w:tcPr>
            <w:tcW w:w="1198" w:type="dxa"/>
            <w:tcBorders>
              <w:top w:val="single" w:sz="4" w:space="0" w:color="auto"/>
              <w:left w:val="nil"/>
              <w:bottom w:val="nil"/>
              <w:right w:val="nil"/>
            </w:tcBorders>
            <w:noWrap/>
            <w:vAlign w:val="bottom"/>
            <w:hideMark/>
          </w:tcPr>
          <w:p w14:paraId="6E8349E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20"/>
                <w:lang w:val="pt-BR"/>
              </w:rPr>
            </w:pPr>
          </w:p>
        </w:tc>
        <w:tc>
          <w:tcPr>
            <w:tcW w:w="5490" w:type="dxa"/>
            <w:tcBorders>
              <w:top w:val="single" w:sz="4" w:space="0" w:color="auto"/>
              <w:left w:val="nil"/>
              <w:bottom w:val="nil"/>
              <w:right w:val="nil"/>
            </w:tcBorders>
            <w:noWrap/>
            <w:vAlign w:val="bottom"/>
            <w:hideMark/>
          </w:tcPr>
          <w:p w14:paraId="6E8349E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20"/>
                <w:lang w:val="pt-BR"/>
              </w:rPr>
            </w:pPr>
          </w:p>
        </w:tc>
        <w:tc>
          <w:tcPr>
            <w:tcW w:w="1082" w:type="dxa"/>
            <w:tcBorders>
              <w:top w:val="single" w:sz="4" w:space="0" w:color="auto"/>
              <w:left w:val="nil"/>
              <w:bottom w:val="nil"/>
              <w:right w:val="nil"/>
            </w:tcBorders>
            <w:noWrap/>
            <w:vAlign w:val="bottom"/>
            <w:hideMark/>
          </w:tcPr>
          <w:p w14:paraId="6E8349E8"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20"/>
                <w:lang w:val="pt-BR"/>
              </w:rPr>
            </w:pPr>
          </w:p>
        </w:tc>
        <w:tc>
          <w:tcPr>
            <w:tcW w:w="2157" w:type="dxa"/>
            <w:tcBorders>
              <w:top w:val="single" w:sz="4" w:space="0" w:color="auto"/>
              <w:left w:val="nil"/>
              <w:bottom w:val="nil"/>
              <w:right w:val="nil"/>
            </w:tcBorders>
          </w:tcPr>
          <w:p w14:paraId="6E8349E9"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p>
        </w:tc>
      </w:tr>
      <w:tr w:rsidR="00D230D1" w:rsidRPr="00CA769E" w14:paraId="6E8349ED" w14:textId="77777777" w:rsidTr="00022A54">
        <w:trPr>
          <w:trHeight w:val="300"/>
          <w:jc w:val="center"/>
        </w:trPr>
        <w:tc>
          <w:tcPr>
            <w:tcW w:w="1198" w:type="dxa"/>
            <w:tcBorders>
              <w:top w:val="nil"/>
              <w:left w:val="nil"/>
              <w:bottom w:val="single" w:sz="4" w:space="0" w:color="auto"/>
              <w:right w:val="nil"/>
            </w:tcBorders>
            <w:noWrap/>
            <w:vAlign w:val="bottom"/>
            <w:hideMark/>
          </w:tcPr>
          <w:p w14:paraId="6E8349EB"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 w:val="20"/>
                <w:lang w:val="pt-BR"/>
              </w:rPr>
            </w:pPr>
          </w:p>
        </w:tc>
        <w:tc>
          <w:tcPr>
            <w:tcW w:w="8729" w:type="dxa"/>
            <w:gridSpan w:val="3"/>
            <w:tcBorders>
              <w:top w:val="nil"/>
              <w:left w:val="nil"/>
              <w:bottom w:val="single" w:sz="4" w:space="0" w:color="auto"/>
              <w:right w:val="nil"/>
            </w:tcBorders>
            <w:noWrap/>
            <w:vAlign w:val="bottom"/>
            <w:hideMark/>
          </w:tcPr>
          <w:p w14:paraId="6E8349EC"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bCs/>
                <w:color w:val="000000"/>
                <w:szCs w:val="22"/>
                <w:lang w:val="pt-BR" w:eastAsia="es-ES"/>
              </w:rPr>
              <w:t>FUNDOS ESPECÍFICOS</w:t>
            </w:r>
            <w:r w:rsidRPr="00D65A20">
              <w:rPr>
                <w:rFonts w:ascii="Times New Roman" w:hAnsi="Times New Roman"/>
                <w:b/>
                <w:color w:val="000000"/>
                <w:szCs w:val="22"/>
                <w:lang w:val="pt-BR" w:eastAsia="es-ES"/>
              </w:rPr>
              <w:t xml:space="preserve"> </w:t>
            </w:r>
            <w:r w:rsidRPr="00D65A20">
              <w:rPr>
                <w:rFonts w:ascii="Times New Roman" w:hAnsi="Times New Roman"/>
                <w:color w:val="000000"/>
                <w:szCs w:val="22"/>
                <w:lang w:val="pt-BR" w:eastAsia="es-ES"/>
              </w:rPr>
              <w:t>(</w:t>
            </w:r>
            <w:r w:rsidRPr="00D65A20">
              <w:rPr>
                <w:rFonts w:ascii="Times New Roman" w:eastAsia="Calibri" w:hAnsi="Times New Roman"/>
                <w:szCs w:val="22"/>
                <w:lang w:val="pt-BR"/>
              </w:rPr>
              <w:t>não incluídos na contagem dos cargos regulamentados</w:t>
            </w:r>
            <w:r w:rsidRPr="00D65A20">
              <w:rPr>
                <w:rFonts w:ascii="Times New Roman" w:hAnsi="Times New Roman"/>
                <w:color w:val="000000"/>
                <w:szCs w:val="22"/>
                <w:lang w:val="pt-BR" w:eastAsia="es-ES"/>
              </w:rPr>
              <w:t>)</w:t>
            </w:r>
          </w:p>
        </w:tc>
      </w:tr>
      <w:tr w:rsidR="00D230D1" w:rsidRPr="00D65A20" w14:paraId="6E8349F2" w14:textId="77777777" w:rsidTr="00022A54">
        <w:trPr>
          <w:trHeight w:val="300"/>
          <w:jc w:val="center"/>
        </w:trPr>
        <w:tc>
          <w:tcPr>
            <w:tcW w:w="1198" w:type="dxa"/>
            <w:tcBorders>
              <w:top w:val="nil"/>
              <w:left w:val="single" w:sz="4" w:space="0" w:color="auto"/>
              <w:bottom w:val="single" w:sz="4" w:space="0" w:color="auto"/>
              <w:right w:val="single" w:sz="4" w:space="0" w:color="auto"/>
            </w:tcBorders>
            <w:noWrap/>
            <w:vAlign w:val="bottom"/>
            <w:hideMark/>
          </w:tcPr>
          <w:p w14:paraId="6E8349EE"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1</w:t>
            </w:r>
          </w:p>
        </w:tc>
        <w:tc>
          <w:tcPr>
            <w:tcW w:w="5490" w:type="dxa"/>
            <w:tcBorders>
              <w:top w:val="nil"/>
              <w:left w:val="nil"/>
              <w:bottom w:val="single" w:sz="4" w:space="0" w:color="auto"/>
              <w:right w:val="single" w:sz="4" w:space="0" w:color="auto"/>
            </w:tcBorders>
            <w:noWrap/>
            <w:hideMark/>
          </w:tcPr>
          <w:p w14:paraId="6E8349EF"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pt-BR" w:eastAsia="es-ES"/>
              </w:rPr>
            </w:pPr>
            <w:r w:rsidRPr="00D65A20">
              <w:rPr>
                <w:rFonts w:ascii="Times New Roman" w:eastAsia="Calibri" w:hAnsi="Times New Roman"/>
                <w:szCs w:val="22"/>
                <w:lang w:val="pt-BR"/>
              </w:rPr>
              <w:t>Secretário-Tesoureiro do Fundo de Pensões</w:t>
            </w:r>
          </w:p>
        </w:tc>
        <w:tc>
          <w:tcPr>
            <w:tcW w:w="1082" w:type="dxa"/>
            <w:tcBorders>
              <w:top w:val="nil"/>
              <w:left w:val="nil"/>
              <w:bottom w:val="single" w:sz="4" w:space="0" w:color="auto"/>
              <w:right w:val="single" w:sz="4" w:space="0" w:color="auto"/>
            </w:tcBorders>
            <w:noWrap/>
            <w:vAlign w:val="bottom"/>
            <w:hideMark/>
          </w:tcPr>
          <w:p w14:paraId="6E8349F0"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D01</w:t>
            </w:r>
          </w:p>
        </w:tc>
        <w:tc>
          <w:tcPr>
            <w:tcW w:w="2157" w:type="dxa"/>
            <w:tcBorders>
              <w:top w:val="nil"/>
              <w:left w:val="nil"/>
              <w:bottom w:val="single" w:sz="4" w:space="0" w:color="auto"/>
              <w:right w:val="single" w:sz="4" w:space="0" w:color="auto"/>
            </w:tcBorders>
            <w:hideMark/>
          </w:tcPr>
          <w:p w14:paraId="6E8349F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pt-BR" w:eastAsia="es-ES"/>
              </w:rPr>
            </w:pPr>
            <w:r w:rsidRPr="00D65A20">
              <w:rPr>
                <w:rFonts w:ascii="Times New Roman" w:hAnsi="Times New Roman"/>
                <w:color w:val="000000"/>
                <w:szCs w:val="22"/>
                <w:lang w:val="pt-BR" w:eastAsia="es-ES"/>
              </w:rPr>
              <w:t>Fundos Específicos</w:t>
            </w:r>
          </w:p>
        </w:tc>
      </w:tr>
    </w:tbl>
    <w:p w14:paraId="6E8349F3"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pt-BR"/>
        </w:rPr>
      </w:pPr>
    </w:p>
    <w:p w14:paraId="6E8349F4"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pt-BR"/>
        </w:rPr>
      </w:pPr>
      <w:r w:rsidRPr="00D65A20">
        <w:rPr>
          <w:rFonts w:ascii="Times New Roman" w:eastAsia="Calibri" w:hAnsi="Times New Roman"/>
          <w:szCs w:val="22"/>
          <w:lang w:val="pt-BR"/>
        </w:rPr>
        <w:br w:type="page"/>
      </w:r>
    </w:p>
    <w:p w14:paraId="6E8349F5"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noProof/>
          <w:sz w:val="20"/>
          <w:lang w:val="pt-BR" w:eastAsia="es-ES"/>
        </w:rPr>
      </w:pPr>
      <w:r w:rsidRPr="00D65A20">
        <w:rPr>
          <w:rFonts w:ascii="Times New Roman" w:hAnsi="Times New Roman"/>
          <w:sz w:val="20"/>
          <w:lang w:val="pt-BR"/>
        </w:rPr>
        <w:lastRenderedPageBreak/>
        <w:t>NOTAS DE RODAPÉ</w:t>
      </w:r>
      <w:r w:rsidRPr="00D65A20">
        <w:rPr>
          <w:rFonts w:ascii="Times New Roman" w:eastAsia="Calibri" w:hAnsi="Times New Roman"/>
          <w:noProof/>
          <w:sz w:val="20"/>
          <w:lang w:val="pt-BR" w:eastAsia="es-ES"/>
        </w:rPr>
        <w:t xml:space="preserve"> </w:t>
      </w:r>
    </w:p>
    <w:p w14:paraId="6E8349F6"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noProof/>
          <w:sz w:val="20"/>
          <w:lang w:val="pt-BR" w:eastAsia="es-ES"/>
        </w:rPr>
      </w:pPr>
    </w:p>
    <w:p w14:paraId="6E8349F7"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noProof/>
          <w:sz w:val="20"/>
          <w:lang w:val="pt-BR" w:eastAsia="es-ES"/>
        </w:rPr>
      </w:pPr>
    </w:p>
    <w:p w14:paraId="6E8349F8" w14:textId="77777777" w:rsidR="0022168B" w:rsidRPr="00D65A20" w:rsidRDefault="00D230D1" w:rsidP="0022168B">
      <w:pPr>
        <w:widowControl/>
        <w:ind w:firstLine="720"/>
        <w:rPr>
          <w:rFonts w:ascii="Times New Roman" w:hAnsi="Times New Roman"/>
          <w:sz w:val="20"/>
          <w:lang w:val="pt-BR"/>
        </w:rPr>
      </w:pPr>
      <w:r w:rsidRPr="00D65A20">
        <w:rPr>
          <w:rFonts w:ascii="Times New Roman" w:hAnsi="Times New Roman"/>
          <w:sz w:val="20"/>
          <w:lang w:val="pt-BR"/>
        </w:rPr>
        <w:t>1.</w:t>
      </w:r>
      <w:r w:rsidRPr="00D65A20">
        <w:rPr>
          <w:rFonts w:ascii="Times New Roman" w:hAnsi="Times New Roman"/>
          <w:sz w:val="20"/>
          <w:lang w:val="pt-BR"/>
        </w:rPr>
        <w:tab/>
        <w:t>(...)</w:t>
      </w:r>
      <w:r w:rsidR="0022168B" w:rsidRPr="00D65A20">
        <w:rPr>
          <w:rFonts w:ascii="Times New Roman" w:hAnsi="Times New Roman"/>
          <w:sz w:val="20"/>
          <w:lang w:val="pt-BR"/>
        </w:rPr>
        <w:t xml:space="preserve">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6E8349F9" w14:textId="77777777" w:rsidR="0022168B" w:rsidRPr="00D65A20" w:rsidRDefault="0022168B" w:rsidP="0022168B">
      <w:pPr>
        <w:widowControl/>
        <w:rPr>
          <w:rFonts w:ascii="Times New Roman" w:hAnsi="Times New Roman"/>
          <w:sz w:val="20"/>
          <w:lang w:val="pt-BR"/>
        </w:rPr>
      </w:pPr>
    </w:p>
    <w:p w14:paraId="6E8349FA" w14:textId="77777777" w:rsidR="0022168B" w:rsidRPr="00D65A20" w:rsidRDefault="0022168B" w:rsidP="0022168B">
      <w:pPr>
        <w:widowControl/>
        <w:ind w:firstLine="720"/>
        <w:rPr>
          <w:rFonts w:ascii="Times New Roman" w:hAnsi="Times New Roman"/>
          <w:sz w:val="20"/>
          <w:lang w:val="pt-BR"/>
        </w:rPr>
      </w:pPr>
      <w:r w:rsidRPr="00D65A20">
        <w:rPr>
          <w:rFonts w:ascii="Times New Roman" w:hAnsi="Times New Roman"/>
          <w:sz w:val="20"/>
          <w:lang w:val="pt-BR"/>
        </w:rPr>
        <w:t xml:space="preserve">Antígua e Barbuda não apoiou a resolução CP/RES. 1124 (2217/19), de 9 de abril de 2019, cuja intenção era nomear o Senhor Gustavo Tarre como Representante da Assembleia Nacional junto à OEA, e não aceitou as credenciais das autoridades que pretendiam representar a República Bolivariana da Venezuela no Quadragésimo Nono e no Quinquagésimo Períodos Ordinários de Sessões da Assembleia Geral. </w:t>
      </w:r>
    </w:p>
    <w:p w14:paraId="6E8349FB" w14:textId="77777777" w:rsidR="0022168B" w:rsidRPr="00D65A20" w:rsidRDefault="0022168B" w:rsidP="0022168B">
      <w:pPr>
        <w:widowControl/>
        <w:rPr>
          <w:rFonts w:ascii="Times New Roman" w:hAnsi="Times New Roman"/>
          <w:sz w:val="20"/>
          <w:lang w:val="pt-BR"/>
        </w:rPr>
      </w:pPr>
    </w:p>
    <w:p w14:paraId="6E834A00" w14:textId="00E990FD" w:rsidR="00D230D1" w:rsidRPr="00D65A20" w:rsidRDefault="0022168B" w:rsidP="0022168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pt-BR"/>
        </w:rPr>
      </w:pPr>
      <w:r w:rsidRPr="00D65A20">
        <w:rPr>
          <w:rFonts w:ascii="Times New Roman" w:hAnsi="Times New Roman"/>
          <w:sz w:val="20"/>
          <w:lang w:val="pt-BR"/>
        </w:rPr>
        <w:t>Desse modo, Antígua e Barbuda informa a todos os Estados membros e à Secretaria-Geral da Organização dos Estados Americanos que, até novo aviso, assim como fez no Quadragésimo Nono Período Ordinário de Sessões da Assembleia Geral, não se considerará vinculado a nenhuma declaração ou resolução emanada do Quinquagésimo Período Ordinário de Sessões da Assembleia Geral, nem a quaisquer futuras declarações ou resoluções de qualquer Conselho ou órgão da Organização que incluam a participação de qualquer pessoa ou entidade pretensamente falando pela República Bolivariana da Venezuela ou agindo em seu nome, e nas quais se alcancem 18 votos com a participação de um pretenso representante da República Bolivariana da Venezuela</w:t>
      </w:r>
      <w:r w:rsidR="00D230D1" w:rsidRPr="00D65A20">
        <w:rPr>
          <w:rFonts w:ascii="Times New Roman" w:hAnsi="Times New Roman"/>
          <w:sz w:val="20"/>
          <w:lang w:val="pt-BR"/>
        </w:rPr>
        <w:t>.</w:t>
      </w:r>
    </w:p>
    <w:p w14:paraId="6E834A01" w14:textId="77777777" w:rsidR="00D230D1" w:rsidRPr="00D65A20" w:rsidRDefault="00D230D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 w:val="20"/>
          <w:lang w:val="pt-BR"/>
        </w:rPr>
      </w:pPr>
    </w:p>
    <w:p w14:paraId="6E834A02" w14:textId="4DECC783" w:rsidR="00440A50" w:rsidRPr="00767D31" w:rsidRDefault="00440A50" w:rsidP="00767D31">
      <w:pPr>
        <w:pStyle w:val="ListParagraph"/>
        <w:numPr>
          <w:ilvl w:val="0"/>
          <w:numId w:val="21"/>
        </w:numPr>
        <w:ind w:left="1440" w:hanging="720"/>
        <w:rPr>
          <w:rStyle w:val="FootnoteReference"/>
          <w:rFonts w:ascii="Times New Roman" w:hAnsi="Times New Roman"/>
          <w:sz w:val="20"/>
          <w:lang w:val="pt-BR"/>
        </w:rPr>
      </w:pPr>
      <w:r w:rsidRPr="00767D31">
        <w:rPr>
          <w:rFonts w:ascii="Times New Roman" w:hAnsi="Times New Roman"/>
          <w:sz w:val="20"/>
          <w:lang w:val="pt-BR"/>
        </w:rPr>
        <w:t>(...) Quinquagésimo Período Ordinário de Sessões da Assembleia Geral.</w:t>
      </w:r>
    </w:p>
    <w:p w14:paraId="6E834A03" w14:textId="77777777" w:rsidR="00440A50" w:rsidRPr="00D65A20" w:rsidRDefault="00440A50"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 w:val="20"/>
          <w:lang w:val="pt-BR"/>
        </w:rPr>
      </w:pPr>
    </w:p>
    <w:p w14:paraId="6E834A04" w14:textId="1B6BDAA8" w:rsidR="00EE6CD9" w:rsidRPr="00D65A20" w:rsidRDefault="00440A50"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jc w:val="left"/>
        <w:rPr>
          <w:rFonts w:ascii="Times New Roman" w:eastAsia="Calibri" w:hAnsi="Times New Roman"/>
          <w:szCs w:val="22"/>
          <w:lang w:val="pt-BR"/>
        </w:rPr>
      </w:pPr>
      <w:r w:rsidRPr="00D65A20">
        <w:rPr>
          <w:rFonts w:ascii="Times New Roman" w:hAnsi="Times New Roman"/>
          <w:sz w:val="20"/>
          <w:lang w:val="pt-BR"/>
        </w:rPr>
        <w:t>3</w:t>
      </w:r>
      <w:r w:rsidR="00D230D1" w:rsidRPr="00D65A20">
        <w:rPr>
          <w:rFonts w:ascii="Times New Roman" w:hAnsi="Times New Roman"/>
          <w:sz w:val="20"/>
          <w:lang w:val="pt-BR"/>
        </w:rPr>
        <w:t>.</w:t>
      </w:r>
      <w:r w:rsidR="00D230D1" w:rsidRPr="00D65A20">
        <w:rPr>
          <w:rFonts w:ascii="Times New Roman" w:hAnsi="Times New Roman"/>
          <w:sz w:val="20"/>
          <w:lang w:val="pt-BR"/>
        </w:rPr>
        <w:tab/>
      </w:r>
      <w:r w:rsidR="00D230D1" w:rsidRPr="00D65A20">
        <w:rPr>
          <w:rFonts w:ascii="Times New Roman" w:hAnsi="Times New Roman"/>
          <w:color w:val="000000"/>
          <w:sz w:val="20"/>
          <w:lang w:val="pt-BR"/>
        </w:rPr>
        <w:t>(...)</w:t>
      </w:r>
      <w:r w:rsidR="00D230D1" w:rsidRPr="00D65A20">
        <w:rPr>
          <w:rFonts w:ascii="Times New Roman" w:hAnsi="Times New Roman"/>
          <w:sz w:val="20"/>
          <w:lang w:val="pt-BR"/>
        </w:rPr>
        <w:t xml:space="preserve"> mediante um processo de concurso</w:t>
      </w:r>
      <w:r w:rsidR="00D230D1" w:rsidRPr="00D65A20">
        <w:rPr>
          <w:rFonts w:ascii="Times New Roman" w:eastAsia="Calibri" w:hAnsi="Times New Roman"/>
          <w:noProof/>
          <w:szCs w:val="22"/>
          <w:lang w:val="pt-BR" w:eastAsia="pt-BR"/>
        </w:rPr>
        <mc:AlternateContent>
          <mc:Choice Requires="wps">
            <w:drawing>
              <wp:anchor distT="0" distB="0" distL="114300" distR="114300" simplePos="0" relativeHeight="251659264" behindDoc="0" locked="1" layoutInCell="1" allowOverlap="1" wp14:anchorId="6E834F43" wp14:editId="18EB90FA">
                <wp:simplePos x="0" y="0"/>
                <wp:positionH relativeFrom="column">
                  <wp:posOffset>-110490</wp:posOffset>
                </wp:positionH>
                <wp:positionV relativeFrom="page">
                  <wp:posOffset>10144125</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txbx>
                        <w:txbxContent>
                          <w:p w14:paraId="6E835039" w14:textId="77777777" w:rsidR="004B5422" w:rsidRDefault="004B5422" w:rsidP="00D230D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AG08176P01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E834F43" id="Text Box 2" o:spid="_x0000_s1029" type="#_x0000_t202" style="position:absolute;left:0;text-align:left;margin-left:-8.7pt;margin-top:798.75pt;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MzyiQIAABcFAAAOAAAAZHJzL2Uyb0RvYy54bWysVMFu2zAMvQ/YPwi6r07ctE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" filled="f" stroked="f">
                <v:stroke joinstyle="round"/>
                <v:textbox>
                  <w:txbxContent>
                    <w:p w14:paraId="6E835039" w14:textId="77777777" w:rsidR="004B5422" w:rsidRDefault="004B5422" w:rsidP="00D230D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AG08176P01</w:t>
                      </w:r>
                      <w:r>
                        <w:rPr>
                          <w:rFonts w:ascii="Times New Roman" w:hAnsi="Times New Roman"/>
                          <w:sz w:val="18"/>
                        </w:rPr>
                        <w:fldChar w:fldCharType="end"/>
                      </w:r>
                    </w:p>
                  </w:txbxContent>
                </v:textbox>
                <w10:wrap anchory="page"/>
                <w10:anchorlock/>
              </v:shape>
            </w:pict>
          </mc:Fallback>
        </mc:AlternateContent>
      </w:r>
      <w:r w:rsidR="00EE6CD9" w:rsidRPr="00D65A20">
        <w:rPr>
          <w:rFonts w:ascii="Times New Roman" w:hAnsi="Times New Roman"/>
          <w:noProof/>
          <w:sz w:val="20"/>
          <w:lang w:val="pt-BR" w:eastAsia="pt-BR"/>
        </w:rPr>
        <mc:AlternateContent>
          <mc:Choice Requires="wps">
            <w:drawing>
              <wp:anchor distT="0" distB="0" distL="118745" distR="118745" simplePos="0" relativeHeight="251658240" behindDoc="0" locked="1" layoutInCell="1" allowOverlap="1" wp14:anchorId="6E834F45" wp14:editId="20257AE6">
                <wp:simplePos x="0" y="0"/>
                <wp:positionH relativeFrom="column">
                  <wp:posOffset>-339090</wp:posOffset>
                </wp:positionH>
                <wp:positionV relativeFrom="page">
                  <wp:posOffset>10134600</wp:posOffset>
                </wp:positionV>
                <wp:extent cx="338328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E83503A" w14:textId="77777777" w:rsidR="004B5422" w:rsidRPr="00817E32" w:rsidRDefault="004B5422">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CP43188S01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E834F45" id="Text Box 7" o:spid="_x0000_s1030" type="#_x0000_t202" style="position:absolute;left:0;text-align:left;margin-left:-26.7pt;margin-top:798pt;width:266.4pt;height:18pt;z-index:251658240;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" filled="f" stroked="f">
                <v:stroke joinstyle="round"/>
                <v:textbox>
                  <w:txbxContent>
                    <w:p w14:paraId="6E83503A" w14:textId="77777777" w:rsidR="004B5422" w:rsidRPr="00817E32" w:rsidRDefault="004B5422">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CP43188S01</w:t>
                      </w:r>
                      <w:r>
                        <w:rPr>
                          <w:rFonts w:ascii="Times New Roman" w:hAnsi="Times New Roman"/>
                          <w:sz w:val="18"/>
                        </w:rPr>
                        <w:fldChar w:fldCharType="end"/>
                      </w:r>
                    </w:p>
                  </w:txbxContent>
                </v:textbox>
                <w10:wrap anchory="page"/>
                <w10:anchorlock/>
              </v:shape>
            </w:pict>
          </mc:Fallback>
        </mc:AlternateContent>
      </w:r>
      <w:r w:rsidR="00EE6CD9" w:rsidRPr="00D65A20">
        <w:rPr>
          <w:rFonts w:ascii="Times New Roman" w:hAnsi="Times New Roman"/>
          <w:noProof/>
          <w:sz w:val="20"/>
          <w:lang w:val="pt-BR" w:eastAsia="pt-BR"/>
        </w:rPr>
        <mc:AlternateContent>
          <mc:Choice Requires="wps">
            <w:drawing>
              <wp:anchor distT="0" distB="0" distL="114300" distR="114300" simplePos="0" relativeHeight="251657216" behindDoc="0" locked="1" layoutInCell="1" allowOverlap="1" wp14:anchorId="6E834F47" wp14:editId="58E8863F">
                <wp:simplePos x="0" y="0"/>
                <wp:positionH relativeFrom="page">
                  <wp:posOffset>1016000</wp:posOffset>
                </wp:positionH>
                <wp:positionV relativeFrom="page">
                  <wp:posOffset>10888345</wp:posOffset>
                </wp:positionV>
                <wp:extent cx="3383280" cy="228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txbx>
                        <w:txbxContent>
                          <w:p w14:paraId="6E83503B" w14:textId="77777777" w:rsidR="004B5422" w:rsidRPr="00121922" w:rsidRDefault="004B5422">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CP43158S01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34F47" id="Text Box 8" o:spid="_x0000_s1031" type="#_x0000_t202" style="position:absolute;left:0;text-align:left;margin-left:80pt;margin-top:857.35pt;width:266.4pt;height: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YFIiQIAABc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" filled="f" stroked="f">
                <v:stroke joinstyle="round"/>
                <v:textbox>
                  <w:txbxContent>
                    <w:p w14:paraId="6E83503B" w14:textId="77777777" w:rsidR="004B5422" w:rsidRPr="00121922" w:rsidRDefault="004B5422">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CP43158S01</w:t>
                      </w:r>
                      <w:r>
                        <w:rPr>
                          <w:rFonts w:ascii="Times New Roman" w:hAnsi="Times New Roman"/>
                          <w:sz w:val="18"/>
                        </w:rPr>
                        <w:fldChar w:fldCharType="end"/>
                      </w:r>
                    </w:p>
                  </w:txbxContent>
                </v:textbox>
                <w10:wrap anchorx="page" anchory="page"/>
                <w10:anchorlock/>
              </v:shape>
            </w:pict>
          </mc:Fallback>
        </mc:AlternateContent>
      </w:r>
      <w:r w:rsidR="00EE6CD9" w:rsidRPr="00D65A20">
        <w:rPr>
          <w:rFonts w:ascii="Times New Roman" w:hAnsi="Times New Roman"/>
          <w:sz w:val="20"/>
          <w:lang w:val="pt-BR" w:eastAsia="es-ES"/>
        </w:rPr>
        <w:t>.</w:t>
      </w:r>
    </w:p>
    <w:p w14:paraId="6E834A05" w14:textId="77777777" w:rsidR="003F72BB" w:rsidRPr="00D65A20" w:rsidRDefault="003F72BB" w:rsidP="00AA4399">
      <w:pPr>
        <w:widowControl/>
        <w:rPr>
          <w:rFonts w:ascii="Times New Roman" w:hAnsi="Times New Roman"/>
          <w:sz w:val="20"/>
          <w:lang w:val="pt-BR"/>
        </w:rPr>
        <w:sectPr w:rsidR="003F72BB" w:rsidRPr="00D65A20" w:rsidSect="00EB546E">
          <w:footnotePr>
            <w:numRestart w:val="eachSect"/>
          </w:footnotePr>
          <w:type w:val="oddPage"/>
          <w:pgSz w:w="12240" w:h="15840" w:code="1"/>
          <w:pgMar w:top="2160" w:right="1570" w:bottom="1296" w:left="1699" w:header="1260" w:footer="720" w:gutter="0"/>
          <w:pgNumType w:fmt="numberInDash" w:start="121"/>
          <w:cols w:space="720"/>
          <w:docGrid w:linePitch="360"/>
        </w:sectPr>
      </w:pPr>
    </w:p>
    <w:p w14:paraId="049032E6" w14:textId="77777777" w:rsidR="004A6B17" w:rsidRPr="00D65A20" w:rsidRDefault="004A6B17" w:rsidP="004A6B17">
      <w:pPr>
        <w:widowControl/>
        <w:jc w:val="center"/>
        <w:rPr>
          <w:rStyle w:val="Heading1Char"/>
          <w:rFonts w:ascii="Times New Roman" w:eastAsia="Calibri" w:hAnsi="Times New Roman"/>
          <w:lang w:val="pt-BR"/>
        </w:rPr>
      </w:pPr>
      <w:bookmarkStart w:id="143" w:name="_Toc56526496"/>
      <w:bookmarkStart w:id="144" w:name="_Toc56526706"/>
      <w:bookmarkStart w:id="145" w:name="_Toc453852650"/>
      <w:bookmarkStart w:id="146" w:name="_Toc473029545"/>
      <w:r w:rsidRPr="00D65A20">
        <w:rPr>
          <w:rStyle w:val="Heading1Char"/>
          <w:rFonts w:ascii="Times New Roman" w:eastAsia="Calibri" w:hAnsi="Times New Roman"/>
          <w:lang w:val="pt-BR"/>
        </w:rPr>
        <w:lastRenderedPageBreak/>
        <w:t>AG/RES. 2958 (L-O/20)</w:t>
      </w:r>
      <w:bookmarkEnd w:id="143"/>
      <w:bookmarkEnd w:id="144"/>
    </w:p>
    <w:bookmarkEnd w:id="145"/>
    <w:bookmarkEnd w:id="146"/>
    <w:p w14:paraId="2AFD41C7" w14:textId="77777777" w:rsidR="004A6B17" w:rsidRPr="00D65A20" w:rsidRDefault="004A6B17" w:rsidP="004A6B17">
      <w:pPr>
        <w:widowControl/>
        <w:rPr>
          <w:rStyle w:val="Heading1Char"/>
          <w:rFonts w:ascii="Times New Roman" w:eastAsia="Calibri" w:hAnsi="Times New Roman"/>
          <w:lang w:val="pt-BR"/>
        </w:rPr>
      </w:pPr>
    </w:p>
    <w:p w14:paraId="50D126D0" w14:textId="77777777" w:rsidR="004A6B17" w:rsidRPr="00D65A20" w:rsidRDefault="004A6B17" w:rsidP="004A6B17">
      <w:pPr>
        <w:pStyle w:val="Heading1"/>
        <w:rPr>
          <w:lang w:val="pt-BR"/>
        </w:rPr>
      </w:pPr>
      <w:bookmarkStart w:id="147" w:name="_Toc56526497"/>
      <w:bookmarkStart w:id="148" w:name="_Toc56526707"/>
      <w:r w:rsidRPr="00D65A20">
        <w:rPr>
          <w:lang w:val="pt-BR"/>
        </w:rPr>
        <w:t>FORTALECIMENTO DA DEMOCRACIA</w:t>
      </w:r>
      <w:r w:rsidRPr="00D65A20">
        <w:rPr>
          <w:u w:val="single"/>
          <w:vertAlign w:val="superscript"/>
          <w:lang w:val="pt-BR"/>
        </w:rPr>
        <w:footnoteReference w:id="56"/>
      </w:r>
      <w:r w:rsidRPr="00D65A20">
        <w:rPr>
          <w:vertAlign w:val="superscript"/>
          <w:lang w:val="pt-BR"/>
        </w:rPr>
        <w:t>/</w:t>
      </w:r>
      <w:bookmarkEnd w:id="147"/>
      <w:bookmarkEnd w:id="148"/>
      <w:r w:rsidRPr="00D65A20">
        <w:rPr>
          <w:rStyle w:val="FootnoteReference"/>
          <w:u w:val="single"/>
          <w:vertAlign w:val="superscript"/>
          <w:lang w:val="pt-BR"/>
        </w:rPr>
        <w:footnoteReference w:id="57"/>
      </w:r>
      <w:r w:rsidRPr="00D65A20">
        <w:rPr>
          <w:vertAlign w:val="superscript"/>
          <w:lang w:val="pt-BR"/>
        </w:rPr>
        <w:t>/</w:t>
      </w:r>
    </w:p>
    <w:p w14:paraId="02CAEA42"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eastAsia="es-ES"/>
        </w:rPr>
      </w:pPr>
    </w:p>
    <w:p w14:paraId="3D89A0A5"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rPr>
          <w:rFonts w:ascii="Times New Roman" w:hAnsi="Times New Roman"/>
          <w:color w:val="000000"/>
          <w:szCs w:val="22"/>
          <w:lang w:val="pt-BR"/>
        </w:rPr>
      </w:pPr>
      <w:bookmarkStart w:id="149" w:name="_Toc56522569"/>
      <w:bookmarkStart w:id="150" w:name="_Toc56526498"/>
      <w:bookmarkStart w:id="151" w:name="_Toc56526708"/>
      <w:r w:rsidRPr="00D65A20">
        <w:rPr>
          <w:rFonts w:ascii="Times New Roman" w:hAnsi="Times New Roman"/>
          <w:color w:val="000000"/>
          <w:szCs w:val="22"/>
          <w:lang w:val="pt-BR"/>
        </w:rPr>
        <w:t>(</w:t>
      </w:r>
      <w:r w:rsidRPr="00D65A20">
        <w:rPr>
          <w:rFonts w:ascii="Times New Roman" w:hAnsi="Times New Roman"/>
          <w:szCs w:val="22"/>
          <w:lang w:val="pt-BR"/>
        </w:rPr>
        <w:t>Aprovada na quarta sessão plenária, realizada em 21 de outubro de 2020</w:t>
      </w:r>
      <w:r w:rsidRPr="00D65A20">
        <w:rPr>
          <w:rFonts w:ascii="Times New Roman" w:hAnsi="Times New Roman"/>
          <w:color w:val="000000"/>
          <w:szCs w:val="22"/>
          <w:lang w:val="pt-BR"/>
        </w:rPr>
        <w:t>)</w:t>
      </w:r>
      <w:bookmarkEnd w:id="149"/>
      <w:bookmarkEnd w:id="150"/>
      <w:bookmarkEnd w:id="151"/>
    </w:p>
    <w:p w14:paraId="63E4BC66"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pt-BR"/>
        </w:rPr>
      </w:pPr>
    </w:p>
    <w:p w14:paraId="591C7975"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pt-BR"/>
        </w:rPr>
      </w:pPr>
    </w:p>
    <w:p w14:paraId="346C66A1"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szCs w:val="22"/>
          <w:lang w:val="pt-BR"/>
        </w:rPr>
      </w:pPr>
      <w:r w:rsidRPr="00D65A20">
        <w:rPr>
          <w:rFonts w:ascii="Times New Roman" w:hAnsi="Times New Roman"/>
          <w:bCs/>
          <w:szCs w:val="22"/>
          <w:lang w:val="pt-BR"/>
        </w:rPr>
        <w:t>A ASSEMBLEIA GERAL,</w:t>
      </w:r>
    </w:p>
    <w:p w14:paraId="3DAA0242"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3E257AAA"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D65A20">
        <w:rPr>
          <w:rFonts w:ascii="Times New Roman" w:hAnsi="Times New Roman"/>
          <w:szCs w:val="22"/>
          <w:lang w:val="pt-BR"/>
        </w:rPr>
        <w:tab/>
        <w:t>REAFIRMANDO as normas e os princípios gerais do Direito Internacional e da Carta da Organização dos Estados Americanos (OEA);</w:t>
      </w:r>
    </w:p>
    <w:p w14:paraId="3EDF99AF"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2317A4D2"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D65A20">
        <w:rPr>
          <w:rFonts w:ascii="Times New Roman" w:hAnsi="Times New Roman"/>
          <w:szCs w:val="22"/>
          <w:lang w:val="pt-BR"/>
        </w:rPr>
        <w:tab/>
        <w:t>CONSCIENTE de que a Carta da OEA estabelece em seu preâmbulo “que a democracia representativa é condição indispensável para a estabilidade, a paz e o desenvolvimento da região” e proclama que um dos propósitos essenciais da Organização consiste em “[p]romover e consolidar a democracia representativa, respeitado o princípio da não intervenção”;</w:t>
      </w:r>
    </w:p>
    <w:p w14:paraId="5D1AC263"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6A02F59"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D65A20">
        <w:rPr>
          <w:rFonts w:ascii="Times New Roman" w:hAnsi="Times New Roman"/>
          <w:szCs w:val="22"/>
          <w:lang w:val="pt-BR"/>
        </w:rPr>
        <w:tab/>
        <w:t xml:space="preserve">RECORDANDO a resolução </w:t>
      </w:r>
      <w:r w:rsidRPr="00D65A20">
        <w:rPr>
          <w:rFonts w:ascii="Times New Roman" w:eastAsia="Calibri" w:hAnsi="Times New Roman"/>
          <w:bCs/>
          <w:color w:val="000000"/>
          <w:szCs w:val="22"/>
          <w:lang w:val="pt-BR" w:eastAsia="es-ES"/>
        </w:rPr>
        <w:t>AG/RES. 2931 (XLIX-O/19</w:t>
      </w:r>
      <w:r w:rsidRPr="00D65A20">
        <w:rPr>
          <w:rFonts w:ascii="Times New Roman" w:hAnsi="Times New Roman"/>
          <w:color w:val="000000"/>
          <w:szCs w:val="22"/>
          <w:lang w:val="pt-BR"/>
        </w:rPr>
        <w:t>)</w:t>
      </w:r>
      <w:r w:rsidRPr="00D65A20">
        <w:rPr>
          <w:rFonts w:ascii="Times New Roman" w:hAnsi="Times New Roman"/>
          <w:szCs w:val="22"/>
          <w:lang w:val="pt-BR"/>
        </w:rPr>
        <w:t xml:space="preserve"> e todas as resoluções anteriores aprovadas sobre esse tema;</w:t>
      </w:r>
    </w:p>
    <w:p w14:paraId="2A454BF0"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3F7F1187" w14:textId="287681A0"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D65A20">
        <w:rPr>
          <w:rFonts w:ascii="Times New Roman" w:hAnsi="Times New Roman"/>
          <w:szCs w:val="22"/>
          <w:lang w:val="pt-BR"/>
        </w:rPr>
        <w:tab/>
        <w:t>TENDO VISTO o “Relatório Anual do Conselho Permanente à Assembleia Geral, ju</w:t>
      </w:r>
      <w:r w:rsidR="00711755">
        <w:rPr>
          <w:rFonts w:ascii="Times New Roman" w:hAnsi="Times New Roman"/>
          <w:szCs w:val="22"/>
          <w:lang w:val="pt-BR"/>
        </w:rPr>
        <w:t>l</w:t>
      </w:r>
      <w:r w:rsidRPr="00D65A20">
        <w:rPr>
          <w:rFonts w:ascii="Times New Roman" w:hAnsi="Times New Roman"/>
          <w:szCs w:val="22"/>
          <w:lang w:val="pt-BR"/>
        </w:rPr>
        <w:t>ho 2019–junho 2020” (AG/doc.5691/20 add. 1), em particular a seção que se refere às atividades da Comissão de Assuntos Jurídicos e Políticos (CAJP); e</w:t>
      </w:r>
    </w:p>
    <w:p w14:paraId="08D02BA2"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3526932F"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D65A20">
        <w:rPr>
          <w:rFonts w:ascii="Times New Roman" w:hAnsi="Times New Roman"/>
          <w:szCs w:val="22"/>
          <w:lang w:val="pt-BR"/>
        </w:rPr>
        <w:tab/>
        <w:t>CONSIDERANDO que os programas, atividades e tarefas estabelecidas nas resoluções de competência da CAJP ajudam no cumprimento dos propósitos essenciais da OEA, consagrados em sua Carta,</w:t>
      </w:r>
    </w:p>
    <w:p w14:paraId="23E947CB"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477408CB"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pt-BR"/>
        </w:rPr>
      </w:pPr>
      <w:r w:rsidRPr="00D65A20">
        <w:rPr>
          <w:rFonts w:ascii="Times New Roman" w:hAnsi="Times New Roman"/>
          <w:szCs w:val="22"/>
          <w:lang w:val="pt-BR"/>
        </w:rPr>
        <w:t>I.  ATIVIDADES DA COMISSÃO DE ASSUNTOS JURÍDICOS E POLÍTICOS</w:t>
      </w:r>
    </w:p>
    <w:p w14:paraId="4982299D"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21834C05"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D65A20">
        <w:rPr>
          <w:rFonts w:ascii="Times New Roman" w:hAnsi="Times New Roman"/>
          <w:szCs w:val="22"/>
          <w:lang w:val="pt-BR"/>
        </w:rPr>
        <w:t>RESOLVE:</w:t>
      </w:r>
    </w:p>
    <w:p w14:paraId="45082971"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rPr>
          <w:rFonts w:ascii="Times New Roman" w:hAnsi="Times New Roman"/>
          <w:szCs w:val="22"/>
          <w:lang w:val="pt-BR"/>
        </w:rPr>
      </w:pPr>
    </w:p>
    <w:p w14:paraId="652AB4C8"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rPr>
          <w:rFonts w:ascii="Times New Roman" w:hAnsi="Times New Roman"/>
          <w:szCs w:val="22"/>
          <w:lang w:val="pt-BR"/>
        </w:rPr>
      </w:pPr>
      <w:r w:rsidRPr="00D65A20">
        <w:rPr>
          <w:rFonts w:ascii="Times New Roman" w:hAnsi="Times New Roman"/>
          <w:szCs w:val="22"/>
          <w:lang w:val="pt-BR"/>
        </w:rPr>
        <w:tab/>
        <w:t>1.</w:t>
      </w:r>
      <w:r w:rsidRPr="00D65A20">
        <w:rPr>
          <w:rFonts w:ascii="Times New Roman" w:hAnsi="Times New Roman"/>
          <w:szCs w:val="22"/>
          <w:lang w:val="pt-BR"/>
        </w:rPr>
        <w:tab/>
        <w:t>Encarregar o Conselho Permanente, a Secretaria-Geral e os demais órgãos compreendidos no artigo 53 da Carta da Organização dos Estados Americanos (OEA) de continuar trabalhando na implementação dos mandatos aplicáveis e vigentes constantes de resoluções anteriores da Assembleia Geral atribuídos à Comissão de Assuntos Jurídicos e Políticos (CAJP), salvo quando em determinada resolução se expresse o contrário.</w:t>
      </w:r>
    </w:p>
    <w:p w14:paraId="3266499A"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rPr>
          <w:rFonts w:ascii="Times New Roman" w:hAnsi="Times New Roman"/>
          <w:szCs w:val="22"/>
          <w:lang w:val="pt-BR"/>
        </w:rPr>
      </w:pPr>
    </w:p>
    <w:p w14:paraId="192276D5"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rPr>
          <w:rFonts w:ascii="Times New Roman" w:hAnsi="Times New Roman"/>
          <w:szCs w:val="22"/>
          <w:lang w:val="pt-BR"/>
        </w:rPr>
      </w:pPr>
      <w:r w:rsidRPr="00D65A20">
        <w:rPr>
          <w:rFonts w:ascii="Times New Roman" w:hAnsi="Times New Roman"/>
          <w:szCs w:val="22"/>
          <w:lang w:val="pt-BR"/>
        </w:rPr>
        <w:tab/>
        <w:t>2.</w:t>
      </w:r>
      <w:r w:rsidRPr="00D65A20">
        <w:rPr>
          <w:rFonts w:ascii="Times New Roman" w:hAnsi="Times New Roman"/>
          <w:szCs w:val="22"/>
          <w:lang w:val="pt-BR"/>
        </w:rPr>
        <w:tab/>
        <w:t>Exortar os Estados membros a que continuem contribuindo para a realização dos objetivos estabelecidos nessas resoluções mediante o desenvolvimento e a execução de atividades, a apresentação de relatórios, o intercâmbio de informações, a adoção de medidas e políticas, bem como a cooperação, o apoio e a assistência mútua; e encarregar a Secretaria-Geral de oferecer o apoio necessário para essa finalidade.</w:t>
      </w:r>
    </w:p>
    <w:p w14:paraId="5A3593B5"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trike/>
          <w:szCs w:val="22"/>
          <w:u w:val="single"/>
          <w:lang w:val="pt-BR"/>
        </w:rPr>
      </w:pPr>
      <w:r w:rsidRPr="00D65A20">
        <w:rPr>
          <w:rFonts w:ascii="Times New Roman" w:hAnsi="Times New Roman"/>
          <w:strike/>
          <w:szCs w:val="22"/>
          <w:u w:val="single"/>
          <w:lang w:val="pt-BR"/>
        </w:rPr>
        <w:br w:type="page"/>
      </w:r>
    </w:p>
    <w:p w14:paraId="547067C9"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pt-BR"/>
        </w:rPr>
      </w:pPr>
      <w:r w:rsidRPr="00D65A20">
        <w:rPr>
          <w:rFonts w:ascii="Times New Roman" w:hAnsi="Times New Roman"/>
          <w:szCs w:val="22"/>
          <w:lang w:val="pt-BR"/>
        </w:rPr>
        <w:lastRenderedPageBreak/>
        <w:t>i.</w:t>
      </w:r>
      <w:r w:rsidRPr="00D65A20">
        <w:rPr>
          <w:rFonts w:ascii="Times New Roman" w:hAnsi="Times New Roman"/>
          <w:szCs w:val="22"/>
          <w:lang w:val="pt-BR"/>
        </w:rPr>
        <w:tab/>
      </w:r>
      <w:r w:rsidRPr="00D65A20">
        <w:rPr>
          <w:rFonts w:ascii="Times New Roman" w:hAnsi="Times New Roman"/>
          <w:szCs w:val="22"/>
          <w:u w:val="single"/>
          <w:lang w:val="pt-BR"/>
        </w:rPr>
        <w:t xml:space="preserve">Fortalecimento e inovação da gestão pública nas Américas </w:t>
      </w:r>
    </w:p>
    <w:p w14:paraId="774A6C79"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F79646"/>
          <w:szCs w:val="22"/>
          <w:lang w:val="pt-BR"/>
        </w:rPr>
      </w:pPr>
    </w:p>
    <w:p w14:paraId="7D3051B8"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rPr>
          <w:rFonts w:ascii="Times New Roman" w:hAnsi="Times New Roman"/>
          <w:szCs w:val="22"/>
          <w:lang w:val="pt-BR"/>
        </w:rPr>
      </w:pPr>
      <w:r w:rsidRPr="00D65A20">
        <w:rPr>
          <w:rFonts w:ascii="Times New Roman" w:hAnsi="Times New Roman"/>
          <w:szCs w:val="22"/>
          <w:lang w:val="pt-BR"/>
        </w:rPr>
        <w:tab/>
        <w:t xml:space="preserve">CONSIDERANDO que a democracia é essencial para o desenvolvimento social, político e econômico dos povos das Américas, e que a gestão pública efetiva, </w:t>
      </w:r>
      <w:r w:rsidRPr="00D65A20">
        <w:rPr>
          <w:rFonts w:ascii="Times New Roman" w:hAnsi="Times New Roman"/>
          <w:bCs/>
          <w:szCs w:val="22"/>
          <w:lang w:val="pt-BR"/>
        </w:rPr>
        <w:t>a promoção da transparência, a abertura, a inclusão digital e o combate à corrupção</w:t>
      </w:r>
      <w:r w:rsidRPr="00D65A20">
        <w:rPr>
          <w:rFonts w:ascii="Times New Roman" w:hAnsi="Times New Roman"/>
          <w:szCs w:val="22"/>
          <w:lang w:val="pt-BR"/>
        </w:rPr>
        <w:t xml:space="preserve"> são componentes fundamentais do exercício pleno da democracia;</w:t>
      </w:r>
      <w:r w:rsidRPr="00D65A20">
        <w:rPr>
          <w:rFonts w:ascii="Times New Roman" w:hAnsi="Times New Roman"/>
          <w:i/>
          <w:szCs w:val="22"/>
          <w:lang w:val="pt-BR"/>
        </w:rPr>
        <w:t xml:space="preserve"> </w:t>
      </w:r>
    </w:p>
    <w:p w14:paraId="41BBF21C"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rPr>
      </w:pPr>
    </w:p>
    <w:p w14:paraId="6243F629"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rPr>
      </w:pPr>
      <w:r w:rsidRPr="00D65A20">
        <w:rPr>
          <w:rFonts w:ascii="Times New Roman" w:hAnsi="Times New Roman"/>
          <w:color w:val="000000"/>
          <w:szCs w:val="22"/>
          <w:lang w:val="pt-BR"/>
        </w:rPr>
        <w:t>DESTACANDO a importância de que as instituições públicas sejam transparentes e efetivas, e disponham de mecanismos de participação do cidadão e de prestação de contas;</w:t>
      </w:r>
    </w:p>
    <w:p w14:paraId="64476280"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rPr>
      </w:pPr>
    </w:p>
    <w:p w14:paraId="219AC003" w14:textId="7E1B1454"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i/>
          <w:color w:val="000000"/>
          <w:szCs w:val="22"/>
          <w:lang w:val="pt-BR"/>
        </w:rPr>
      </w:pPr>
      <w:r w:rsidRPr="00D65A20">
        <w:rPr>
          <w:rFonts w:ascii="Times New Roman" w:hAnsi="Times New Roman"/>
          <w:color w:val="000000"/>
          <w:szCs w:val="22"/>
          <w:lang w:val="pt-BR"/>
        </w:rPr>
        <w:t>REAFIRMANDO os compromissos acordados no Compromisso de Lima,</w:t>
      </w:r>
      <w:r w:rsidRPr="00D65A20">
        <w:rPr>
          <w:rFonts w:ascii="Times New Roman" w:hAnsi="Times New Roman"/>
          <w:szCs w:val="22"/>
          <w:u w:val="single"/>
          <w:vertAlign w:val="superscript"/>
          <w:lang w:val="pt-BR"/>
        </w:rPr>
        <w:footnoteReference w:id="58"/>
      </w:r>
      <w:r w:rsidRPr="00D65A20">
        <w:rPr>
          <w:rFonts w:ascii="Times New Roman" w:hAnsi="Times New Roman"/>
          <w:color w:val="000000"/>
          <w:szCs w:val="22"/>
          <w:vertAlign w:val="superscript"/>
          <w:lang w:val="pt-BR"/>
        </w:rPr>
        <w:t>/</w:t>
      </w:r>
      <w:r w:rsidRPr="00D65A20">
        <w:rPr>
          <w:rFonts w:ascii="Times New Roman" w:hAnsi="Times New Roman"/>
          <w:color w:val="000000"/>
          <w:szCs w:val="22"/>
          <w:lang w:val="pt-BR"/>
        </w:rPr>
        <w:t xml:space="preserve"> aprovado pelos Chefes de Estado e de Governo na Oitava Cúpula das Américas, realizada em Lima, Peru, em abril de 2018, em particular os que se referem ao fortalecimento das instituições democráticas, à promoção de políticas de integridade e transparência, ao governo aberto, ao governo digital, aos dados abertos, às contratações públicas, à equidade e à igualdade de gênero, ao empoderamento das mulheres e incluindo os diversos grupos em situação de vulnerabilidade na definição de medidas para fortalecer a governança e combater a corrupção [parágrafos 1º, 7º, 8º, 14, 17, 20, 27, 33 e 50 do Compromisso de Lima (CA-VIII.doc.1/18 rev. 1)], </w:t>
      </w:r>
      <w:r w:rsidRPr="00D65A20">
        <w:rPr>
          <w:rFonts w:ascii="Times New Roman" w:hAnsi="Times New Roman"/>
          <w:bCs/>
          <w:color w:val="000000"/>
          <w:szCs w:val="22"/>
          <w:lang w:val="pt-BR"/>
        </w:rPr>
        <w:t>e reconhecendo a importância de gerar sinergias entre os diferentes foros internacionais na matéria;</w:t>
      </w:r>
    </w:p>
    <w:p w14:paraId="48C50210"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i/>
          <w:color w:val="000000"/>
          <w:szCs w:val="22"/>
          <w:lang w:val="pt-BR"/>
        </w:rPr>
      </w:pPr>
    </w:p>
    <w:p w14:paraId="48ED0AE3"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b/>
          <w:color w:val="000000"/>
          <w:szCs w:val="22"/>
          <w:lang w:val="pt-BR"/>
        </w:rPr>
      </w:pPr>
      <w:r w:rsidRPr="00D65A20">
        <w:rPr>
          <w:rFonts w:ascii="Times New Roman" w:hAnsi="Times New Roman"/>
          <w:color w:val="000000"/>
          <w:szCs w:val="22"/>
          <w:lang w:val="pt-BR"/>
        </w:rPr>
        <w:t>RECONHECENDO a importância de que as atividades do Departamento de Gestão Pública Efetiva sejam desenvolvidas, quando seja pertinente, em coordenação com a Comissão Interamericana de Mulheres, à luz da promoção e proteção dos direitos da mulher e da equidade e igualdade de gênero;</w:t>
      </w:r>
      <w:r w:rsidRPr="00D65A20">
        <w:rPr>
          <w:rFonts w:ascii="Times New Roman" w:hAnsi="Times New Roman"/>
          <w:b/>
          <w:i/>
          <w:color w:val="000000"/>
          <w:szCs w:val="22"/>
          <w:lang w:val="pt-BR"/>
        </w:rPr>
        <w:t xml:space="preserve"> </w:t>
      </w:r>
    </w:p>
    <w:p w14:paraId="48C76F98"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rPr>
      </w:pPr>
    </w:p>
    <w:p w14:paraId="2610FED9"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rPr>
      </w:pPr>
      <w:r w:rsidRPr="00D65A20">
        <w:rPr>
          <w:rFonts w:ascii="Times New Roman" w:hAnsi="Times New Roman"/>
          <w:color w:val="000000"/>
          <w:szCs w:val="22"/>
          <w:lang w:val="pt-BR"/>
        </w:rPr>
        <w:t>REAFIRMANDO a importância da transparência na gestão pública e de uma cultura da legalidade como requisitos indispensáveis na luta contra a corrupção, bem como o compromisso dos Estados membros de continuar promovendo seu fortalecimento mediante medidas e ações para prevenir, detectar, punir e erradicar os atos de corrupção:</w:t>
      </w:r>
    </w:p>
    <w:p w14:paraId="750DA27F"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b/>
          <w:bCs/>
          <w:color w:val="000000"/>
          <w:szCs w:val="22"/>
          <w:lang w:val="pt-BR"/>
        </w:rPr>
      </w:pPr>
    </w:p>
    <w:p w14:paraId="271FCFE9"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bCs/>
          <w:color w:val="000000"/>
          <w:szCs w:val="22"/>
          <w:lang w:val="pt-BR"/>
        </w:rPr>
      </w:pPr>
      <w:r w:rsidRPr="00D65A20">
        <w:rPr>
          <w:rFonts w:ascii="Times New Roman" w:hAnsi="Times New Roman"/>
          <w:color w:val="000000"/>
          <w:szCs w:val="22"/>
          <w:lang w:val="pt-BR"/>
        </w:rPr>
        <w:t>CONSCIENTE dos impactos adversos da pandemia de covid-19 nos cidadãos da nossa região, em especial mulheres e meninas, e considerando que as tecnologias da informação e das comunicações (TICs) são uma ferramenta essencial para tornar eficaz a resposta dos Governos à crise causada pela pandemia de covid-19, facilitando a atenção e a acessibilidade aos cidadãos e o funcionamento das administrações públicas à distância; e</w:t>
      </w:r>
    </w:p>
    <w:p w14:paraId="0A77D52C"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rPr>
      </w:pPr>
    </w:p>
    <w:p w14:paraId="32399CF3"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rPr>
      </w:pPr>
      <w:r w:rsidRPr="00D65A20">
        <w:rPr>
          <w:rFonts w:ascii="Times New Roman" w:hAnsi="Times New Roman"/>
          <w:color w:val="000000"/>
          <w:szCs w:val="22"/>
          <w:lang w:val="pt-BR"/>
        </w:rPr>
        <w:t>CONSIDERANDO que os princípios do governo aberto — transparência, prestação de contas, colaboração e participação no âmbito público — são fundamentais para fortalecer a confiança dos cidadãos nos governos e fortalecer a democracia,</w:t>
      </w:r>
    </w:p>
    <w:p w14:paraId="6746F74F"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rPr>
      </w:pPr>
    </w:p>
    <w:p w14:paraId="288A7428"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rPr>
      </w:pPr>
      <w:r w:rsidRPr="00D65A20">
        <w:rPr>
          <w:rFonts w:ascii="Times New Roman" w:hAnsi="Times New Roman"/>
          <w:color w:val="000000"/>
          <w:szCs w:val="22"/>
          <w:lang w:val="pt-BR"/>
        </w:rPr>
        <w:t xml:space="preserve">RESOLVE: </w:t>
      </w:r>
    </w:p>
    <w:p w14:paraId="6296EFEE"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rPr>
      </w:pPr>
    </w:p>
    <w:p w14:paraId="537F6FA7"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rPr>
      </w:pPr>
      <w:r w:rsidRPr="00D65A20">
        <w:rPr>
          <w:rFonts w:ascii="Times New Roman" w:hAnsi="Times New Roman"/>
          <w:color w:val="000000"/>
          <w:szCs w:val="22"/>
          <w:lang w:val="pt-BR"/>
        </w:rPr>
        <w:t>1.</w:t>
      </w:r>
      <w:r w:rsidRPr="00D65A20">
        <w:rPr>
          <w:rFonts w:ascii="Times New Roman" w:hAnsi="Times New Roman"/>
          <w:color w:val="000000"/>
          <w:szCs w:val="22"/>
          <w:lang w:val="pt-BR"/>
        </w:rPr>
        <w:tab/>
        <w:t xml:space="preserve">Exortar os Estados membros a que promovam códigos de conduta com altos padrões de ética, probidade, transparência e integridade no setor público, apoiando os esforços de conscientização e capacitação sobre esses temas, e tomando como referência as recomendações </w:t>
      </w:r>
      <w:r w:rsidRPr="00D65A20">
        <w:rPr>
          <w:rFonts w:ascii="Times New Roman" w:hAnsi="Times New Roman"/>
          <w:color w:val="000000"/>
          <w:szCs w:val="22"/>
          <w:lang w:val="pt-BR"/>
        </w:rPr>
        <w:lastRenderedPageBreak/>
        <w:t>constantes das “Diretrizes para a Gestão das Políticas de Integridade nas Administrações Públicas das Américas”.</w:t>
      </w:r>
      <w:r w:rsidRPr="00D65A20">
        <w:rPr>
          <w:rFonts w:ascii="Times New Roman" w:hAnsi="Times New Roman"/>
          <w:i/>
          <w:color w:val="000000"/>
          <w:szCs w:val="22"/>
          <w:lang w:val="pt-BR"/>
        </w:rPr>
        <w:t xml:space="preserve"> </w:t>
      </w:r>
    </w:p>
    <w:p w14:paraId="5AEB2C9D"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rPr>
      </w:pPr>
    </w:p>
    <w:p w14:paraId="0B1B5FCD"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rPr>
      </w:pPr>
      <w:r w:rsidRPr="00D65A20">
        <w:rPr>
          <w:rFonts w:ascii="Times New Roman" w:hAnsi="Times New Roman"/>
          <w:color w:val="000000"/>
          <w:szCs w:val="22"/>
          <w:lang w:val="pt-BR"/>
        </w:rPr>
        <w:t>2.</w:t>
      </w:r>
      <w:r w:rsidRPr="00D65A20">
        <w:rPr>
          <w:rFonts w:ascii="Times New Roman" w:hAnsi="Times New Roman"/>
          <w:color w:val="000000"/>
          <w:szCs w:val="22"/>
          <w:lang w:val="pt-BR"/>
        </w:rPr>
        <w:tab/>
        <w:t>Encarregar a Secretaria-Geral de continuar apoiando os esforços dos Estados membros que o solicitem</w:t>
      </w:r>
      <w:r w:rsidRPr="00D65A20">
        <w:rPr>
          <w:rFonts w:ascii="Times New Roman" w:hAnsi="Times New Roman"/>
          <w:b/>
          <w:color w:val="000000"/>
          <w:szCs w:val="22"/>
          <w:lang w:val="pt-BR"/>
        </w:rPr>
        <w:t xml:space="preserve">, </w:t>
      </w:r>
      <w:r w:rsidRPr="00D65A20">
        <w:rPr>
          <w:rFonts w:ascii="Times New Roman" w:hAnsi="Times New Roman"/>
          <w:color w:val="000000"/>
          <w:szCs w:val="22"/>
          <w:lang w:val="pt-BR"/>
        </w:rPr>
        <w:t xml:space="preserve">inclusive por intermédio de sua Escola de Governo, para o fortalecimento institucional da administração pública, nacional e local, mediante programas de capacitação e formação destinados ao fortalecimento da governabilidade democrática e inclusiva, das práticas de transparência institucional, do acesso à justiça, da participação cidadã e da prestação de contas </w:t>
      </w:r>
      <w:r w:rsidRPr="00D65A20">
        <w:rPr>
          <w:rFonts w:ascii="Times New Roman" w:hAnsi="Times New Roman"/>
          <w:bCs/>
          <w:color w:val="000000"/>
          <w:szCs w:val="22"/>
          <w:lang w:val="pt-BR"/>
        </w:rPr>
        <w:t>aos cidadãos.</w:t>
      </w:r>
    </w:p>
    <w:p w14:paraId="3436EA01"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rPr>
      </w:pPr>
    </w:p>
    <w:p w14:paraId="39BBFA7C"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rPr>
      </w:pPr>
      <w:r w:rsidRPr="00D65A20">
        <w:rPr>
          <w:rFonts w:ascii="Times New Roman" w:hAnsi="Times New Roman"/>
          <w:color w:val="000000"/>
          <w:szCs w:val="22"/>
          <w:lang w:val="pt-BR"/>
        </w:rPr>
        <w:t>3.</w:t>
      </w:r>
      <w:r w:rsidRPr="00D65A20">
        <w:rPr>
          <w:rFonts w:ascii="Times New Roman" w:hAnsi="Times New Roman"/>
          <w:color w:val="000000"/>
          <w:szCs w:val="22"/>
          <w:lang w:val="pt-BR"/>
        </w:rPr>
        <w:tab/>
        <w:t xml:space="preserve">Encarregar a Secretaria-Geral de, por meio do Departamento de Gestão Pública Efetiva, continuar apoiando os Estados membros que o solicitem na implementação de políticas de governo aberto, governo digital, dados abertos, transparência fiscal, simplificação administrativa, orçamentos abertos, sistemas eletrônicos de compras e contratações públicas e registro público de fornecedores do Estado, levando em conta </w:t>
      </w:r>
      <w:r w:rsidRPr="00D65A20">
        <w:rPr>
          <w:rFonts w:ascii="Times New Roman" w:hAnsi="Times New Roman"/>
          <w:bCs/>
          <w:color w:val="000000"/>
          <w:szCs w:val="22"/>
          <w:lang w:val="pt-BR"/>
        </w:rPr>
        <w:t>que esses temas são fundamentais para a resposta e recuperação diante da crise causada pela pandemia de covid-19 e requerem</w:t>
      </w:r>
      <w:r w:rsidRPr="00D65A20">
        <w:rPr>
          <w:rFonts w:ascii="Times New Roman" w:hAnsi="Times New Roman"/>
          <w:color w:val="000000"/>
          <w:szCs w:val="22"/>
          <w:lang w:val="pt-BR"/>
        </w:rPr>
        <w:t xml:space="preserve"> a participação da sociedade civil e de outros atores sociais.</w:t>
      </w:r>
    </w:p>
    <w:p w14:paraId="7B8543E1"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rPr>
      </w:pPr>
    </w:p>
    <w:p w14:paraId="428A10F7"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b/>
          <w:bCs/>
          <w:color w:val="000000"/>
          <w:szCs w:val="22"/>
          <w:lang w:val="pt-BR"/>
        </w:rPr>
      </w:pPr>
      <w:r w:rsidRPr="00D65A20">
        <w:rPr>
          <w:rFonts w:ascii="Times New Roman" w:hAnsi="Times New Roman"/>
          <w:color w:val="000000"/>
          <w:szCs w:val="22"/>
          <w:lang w:val="pt-BR"/>
        </w:rPr>
        <w:t>4.</w:t>
      </w:r>
      <w:r w:rsidRPr="00D65A20">
        <w:rPr>
          <w:rFonts w:ascii="Times New Roman" w:hAnsi="Times New Roman"/>
          <w:color w:val="000000"/>
          <w:szCs w:val="22"/>
          <w:lang w:val="pt-BR"/>
        </w:rPr>
        <w:tab/>
        <w:t>Solicitar ao Departamento de Gestão Pública Efetiva que continue apoiando os esforços dos Estados membros para o fortalecimento da gestão pública efetiva mediante o intercâmbio de experiências por intermédio do Mecanismo de Cooperação Interamericana para a Gestão Pública Efetiva (MECIGEP).</w:t>
      </w:r>
    </w:p>
    <w:p w14:paraId="45B9A1E1"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rPr>
      </w:pPr>
    </w:p>
    <w:p w14:paraId="7D841FE2"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rPr>
      </w:pPr>
      <w:r w:rsidRPr="00D65A20">
        <w:rPr>
          <w:rFonts w:ascii="Times New Roman" w:hAnsi="Times New Roman"/>
          <w:color w:val="000000"/>
          <w:szCs w:val="22"/>
          <w:lang w:val="pt-BR"/>
        </w:rPr>
        <w:t>5.</w:t>
      </w:r>
      <w:r w:rsidRPr="00D65A20">
        <w:rPr>
          <w:rFonts w:ascii="Times New Roman" w:hAnsi="Times New Roman"/>
          <w:color w:val="000000"/>
          <w:szCs w:val="22"/>
          <w:lang w:val="pt-BR"/>
        </w:rPr>
        <w:tab/>
        <w:t>Solicitar ao Departamento de Gestão Pública Efetiva, na sua qualidade de Secretaria Técnica do MECIGEP, que desenvolva, em coordenação com a Secretaria Técnica do Mecanismos de Acompanhamento da Implementação da Convenção Interamericana contra a Corrupção (MESICIC), no âmbito de suas respectivas competências, medidas para facilitar a identificação de oportunidades e o oferecimento de cooperação técnica entre os Estados Partes no MESICIC que o solicitem, mediante o aproveitamento das capacidades do MECIGEP.</w:t>
      </w:r>
    </w:p>
    <w:p w14:paraId="50C81790"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rPr>
      </w:pPr>
    </w:p>
    <w:p w14:paraId="273CCFE6"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b/>
          <w:bCs/>
          <w:color w:val="000000"/>
          <w:szCs w:val="22"/>
          <w:lang w:val="pt-BR"/>
        </w:rPr>
      </w:pPr>
      <w:r w:rsidRPr="00D65A20">
        <w:rPr>
          <w:rFonts w:ascii="Times New Roman" w:hAnsi="Times New Roman"/>
          <w:color w:val="000000"/>
          <w:szCs w:val="22"/>
          <w:lang w:val="pt-BR"/>
        </w:rPr>
        <w:t>6.</w:t>
      </w:r>
      <w:r w:rsidRPr="00D65A20">
        <w:rPr>
          <w:rFonts w:ascii="Times New Roman" w:hAnsi="Times New Roman"/>
          <w:color w:val="000000"/>
          <w:szCs w:val="22"/>
          <w:lang w:val="pt-BR"/>
        </w:rPr>
        <w:tab/>
        <w:t>Exortar os Estados membros a que fortaleçam suas ações para aumentar a transparência e a inclusão em suas respostas à pandemia de covid-19, mediante a abertura de dados prioritários desagregados, conforme cada um dos Estados membros considere pertinente, bem como a participação de organizações</w:t>
      </w:r>
      <w:r w:rsidRPr="00D65A20">
        <w:rPr>
          <w:rFonts w:ascii="Times New Roman" w:hAnsi="Times New Roman"/>
          <w:b/>
          <w:color w:val="000000"/>
          <w:szCs w:val="22"/>
          <w:lang w:val="pt-BR"/>
        </w:rPr>
        <w:t xml:space="preserve"> </w:t>
      </w:r>
      <w:r w:rsidRPr="00D65A20">
        <w:rPr>
          <w:rFonts w:ascii="Times New Roman" w:hAnsi="Times New Roman"/>
          <w:color w:val="000000"/>
          <w:szCs w:val="22"/>
          <w:lang w:val="pt-BR"/>
        </w:rPr>
        <w:t>da sociedade civil e outros atores sociais na concepção, implementação e avaliação das respostas à pandemia.</w:t>
      </w:r>
    </w:p>
    <w:p w14:paraId="63006333"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rPr>
      </w:pPr>
    </w:p>
    <w:p w14:paraId="20EA81A8"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7.</w:t>
      </w:r>
      <w:r w:rsidRPr="00D65A20">
        <w:rPr>
          <w:rFonts w:ascii="Times New Roman" w:hAnsi="Times New Roman"/>
          <w:szCs w:val="22"/>
          <w:lang w:val="pt-BR"/>
        </w:rPr>
        <w:tab/>
        <w:t>Encarregar a Secretaria-Geral de, por intermédio do Departamento de Gestão Pública Efetiva, continuar apoiando os Estados membros que o solicitem na implementação dos princípios de governo aberto, transparência, prestação de contas, colaboração e participação cidadã na região.</w:t>
      </w:r>
      <w:r w:rsidRPr="00D65A20">
        <w:rPr>
          <w:rFonts w:ascii="Times New Roman" w:hAnsi="Times New Roman"/>
          <w:i/>
          <w:szCs w:val="22"/>
          <w:lang w:val="pt-BR"/>
        </w:rPr>
        <w:t xml:space="preserve"> </w:t>
      </w:r>
    </w:p>
    <w:p w14:paraId="5F7CD39C" w14:textId="77777777" w:rsidR="004A6B17" w:rsidRPr="00D65A20" w:rsidRDefault="004A6B17" w:rsidP="004A6B1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52CEEFBF" w14:textId="77777777" w:rsidR="004A6B17" w:rsidRPr="00D65A20" w:rsidRDefault="004A6B17" w:rsidP="004A6B1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8.</w:t>
      </w:r>
      <w:r w:rsidRPr="00D65A20">
        <w:rPr>
          <w:rFonts w:ascii="Times New Roman" w:hAnsi="Times New Roman"/>
          <w:szCs w:val="22"/>
          <w:lang w:val="pt-BR"/>
        </w:rPr>
        <w:tab/>
        <w:t>Solicitar à Secretaria-Geral que, por meio do Departamento de Gestão Pública Efetiva como Secretaria Técnica da Rede Interamericana de Compras Governamentais, continue promovendo as políticas necessárias para estabelecer as contratações públicas como uma área estratégica para alcançar os Objetivos de Desenvolvimento Sustentável (ODS) e o cumprimento da Agenda 2030, à luz das circunstâncias e capacidades nacionais.</w:t>
      </w:r>
    </w:p>
    <w:p w14:paraId="67D057B0"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3EC0EAF5" w14:textId="77777777" w:rsidR="004A6B17" w:rsidRPr="00D65A20" w:rsidRDefault="004A6B17" w:rsidP="004A6B1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9.</w:t>
      </w:r>
      <w:r w:rsidRPr="00D65A20">
        <w:rPr>
          <w:rFonts w:ascii="Times New Roman" w:hAnsi="Times New Roman"/>
          <w:szCs w:val="22"/>
          <w:lang w:val="pt-BR"/>
        </w:rPr>
        <w:tab/>
        <w:t xml:space="preserve">Instruir a Secretaria-Geral a que continue apoiando os esforços dos Estados membros no fortalecimento das capacidades dos compradores públicos como agentes fundamentais no projeto </w:t>
      </w:r>
      <w:r w:rsidRPr="00D65A20">
        <w:rPr>
          <w:rFonts w:ascii="Times New Roman" w:hAnsi="Times New Roman"/>
          <w:szCs w:val="22"/>
          <w:lang w:val="pt-BR"/>
        </w:rPr>
        <w:lastRenderedPageBreak/>
        <w:t>e implementação de políticas de compras públicas e na utilização de sistemas ou ferramentas tecnológicas de apoio às compras públicas, que lhes permitam cumprir suas funções com maior integridade, transparência, eficiência e inovação.</w:t>
      </w:r>
    </w:p>
    <w:p w14:paraId="0A0281B0"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1D35F7C2" w14:textId="77777777" w:rsidR="004A6B17" w:rsidRPr="00D65A20" w:rsidRDefault="004A6B17" w:rsidP="004A6B1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10.</w:t>
      </w:r>
      <w:r w:rsidRPr="00D65A20">
        <w:rPr>
          <w:rFonts w:ascii="Times New Roman" w:hAnsi="Times New Roman"/>
          <w:szCs w:val="22"/>
          <w:lang w:val="pt-BR"/>
        </w:rPr>
        <w:tab/>
        <w:t>Reconhecer que as compras e contratações governamentais constituem uma área crítica de apoio à prevenção e à luta contra a corrupção e se comprometer a realizar as ações necessárias para implementar e/ou fortalecer o uso de análise de dados e/ou novas tecnologias como ferramentas complementares, que permitam robustecer os mecanismos de transparência e eficiência de seus sistemas nacionais de contratação pública.</w:t>
      </w:r>
    </w:p>
    <w:p w14:paraId="3A6E9782"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3FB71B63"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u w:val="single"/>
          <w:lang w:val="pt-BR"/>
        </w:rPr>
      </w:pPr>
      <w:r w:rsidRPr="00D65A20">
        <w:rPr>
          <w:rFonts w:ascii="Times New Roman" w:hAnsi="Times New Roman"/>
          <w:szCs w:val="22"/>
          <w:lang w:val="pt-BR"/>
        </w:rPr>
        <w:t xml:space="preserve">ii. </w:t>
      </w:r>
      <w:r w:rsidRPr="00D65A20">
        <w:rPr>
          <w:rFonts w:ascii="Times New Roman" w:hAnsi="Times New Roman"/>
          <w:szCs w:val="22"/>
          <w:lang w:val="pt-BR"/>
        </w:rPr>
        <w:tab/>
      </w:r>
      <w:r w:rsidRPr="00D65A20">
        <w:rPr>
          <w:rFonts w:ascii="Times New Roman" w:hAnsi="Times New Roman"/>
          <w:szCs w:val="22"/>
          <w:u w:val="single"/>
          <w:lang w:val="pt-BR"/>
        </w:rPr>
        <w:t xml:space="preserve">Fortalecimento do cadastro e registro da propriedade nas Américas </w:t>
      </w:r>
      <w:r w:rsidRPr="00D65A20">
        <w:rPr>
          <w:rFonts w:ascii="Times New Roman" w:hAnsi="Times New Roman"/>
          <w:color w:val="000000"/>
          <w:szCs w:val="22"/>
          <w:u w:val="single"/>
          <w:lang w:val="pt-BR"/>
        </w:rPr>
        <w:t>frente à covid-19</w:t>
      </w:r>
    </w:p>
    <w:p w14:paraId="6EA2718A"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Arial Unicode MS" w:hAnsi="Times New Roman"/>
          <w:szCs w:val="22"/>
          <w:lang w:val="pt-BR"/>
        </w:rPr>
      </w:pPr>
    </w:p>
    <w:p w14:paraId="68EAAD65" w14:textId="77777777" w:rsidR="004A6B17" w:rsidRPr="00D65A20" w:rsidRDefault="004A6B17" w:rsidP="004A6B1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color w:val="000000"/>
          <w:szCs w:val="22"/>
          <w:lang w:val="pt-BR"/>
        </w:rPr>
      </w:pPr>
      <w:r w:rsidRPr="00D65A20">
        <w:rPr>
          <w:rFonts w:ascii="Times New Roman" w:hAnsi="Times New Roman"/>
          <w:bCs/>
          <w:szCs w:val="22"/>
          <w:lang w:val="pt-BR"/>
        </w:rPr>
        <w:t>CONSIDERANDO as seções “Fortalecimento do cadastro e do registro da propriedade nas Américas” das resoluções AG/RES. 2927 (XLVIII-O/18) e AG/RES. 2931 (XLIX-O/19), “Fortalecimento da democracia”, nas quais se encarrega a Secretaria-Geral de, mediante o Departamento de Gestão Pública Efetiva, continuar apoiando os esforços dos Estados membros que o solicitem</w:t>
      </w:r>
      <w:r w:rsidRPr="00D65A20">
        <w:rPr>
          <w:rFonts w:ascii="Times New Roman" w:hAnsi="Times New Roman"/>
          <w:b/>
          <w:bCs/>
          <w:szCs w:val="22"/>
          <w:lang w:val="pt-BR"/>
        </w:rPr>
        <w:t xml:space="preserve"> </w:t>
      </w:r>
      <w:r w:rsidRPr="00D65A20">
        <w:rPr>
          <w:rFonts w:ascii="Times New Roman" w:hAnsi="Times New Roman"/>
          <w:bCs/>
          <w:szCs w:val="22"/>
          <w:lang w:val="pt-BR"/>
        </w:rPr>
        <w:t>para o fortalecimento de sua gestão cadastral e de registro da propriedade, bem como o intercâmbio de experiências e boas práticas que promovam a agenda regional nessa matéria;</w:t>
      </w:r>
    </w:p>
    <w:p w14:paraId="0E0AFC0C" w14:textId="77777777" w:rsidR="004A6B17" w:rsidRPr="00D65A20" w:rsidRDefault="004A6B17" w:rsidP="004A6B1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rPr>
      </w:pPr>
    </w:p>
    <w:p w14:paraId="5674119B" w14:textId="77777777" w:rsidR="004A6B17" w:rsidRPr="00D65A20" w:rsidRDefault="004A6B17" w:rsidP="004A6B1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color w:val="000000"/>
          <w:szCs w:val="22"/>
          <w:lang w:val="pt-BR"/>
        </w:rPr>
      </w:pPr>
      <w:r w:rsidRPr="00D65A20">
        <w:rPr>
          <w:rFonts w:ascii="Times New Roman" w:hAnsi="Times New Roman"/>
          <w:bCs/>
          <w:szCs w:val="22"/>
          <w:lang w:val="pt-BR" w:eastAsia="es-UY"/>
        </w:rPr>
        <w:t>TOMANDO CONHECIMENTO dos efeitos multidimensionais da pandemia de covid-19, como, entre outros, a diminuição da economia local e os desafios que devem ser enfrentados na prestação de serviços aos cidadãos por parte da administração pública, entre eles, o cadastro e o registro da propriedade;</w:t>
      </w:r>
    </w:p>
    <w:p w14:paraId="3DD43875" w14:textId="77777777" w:rsidR="004A6B17" w:rsidRPr="00D65A20" w:rsidRDefault="004A6B17" w:rsidP="004A6B1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rPr>
      </w:pPr>
    </w:p>
    <w:p w14:paraId="1186AF7B" w14:textId="77777777" w:rsidR="004A6B17" w:rsidRPr="00D65A20" w:rsidRDefault="004A6B17" w:rsidP="004A6B1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color w:val="000000"/>
          <w:szCs w:val="22"/>
          <w:lang w:val="pt-BR"/>
        </w:rPr>
      </w:pPr>
      <w:r w:rsidRPr="00D65A20">
        <w:rPr>
          <w:rFonts w:ascii="Times New Roman" w:hAnsi="Times New Roman"/>
          <w:bCs/>
          <w:color w:val="000000"/>
          <w:szCs w:val="22"/>
          <w:lang w:val="pt-BR"/>
        </w:rPr>
        <w:t>TOMANDO NOTA do Relatório de Atividades da Rede Interamericana de Cadastro e Registro da Propriedade (RICRP), de 2019, apresentado em sua Quinta Conferência e Assembleia, em 9 de outubro de 2019, em Buenos Aires, Argentina, e na reunião da CAJP de 5 de dezembro de 2019, em Washington, D.C.; e</w:t>
      </w:r>
    </w:p>
    <w:p w14:paraId="7706C664"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pt-BR"/>
        </w:rPr>
      </w:pPr>
    </w:p>
    <w:p w14:paraId="59F5D9D2" w14:textId="2CBE0294"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color w:val="000000"/>
          <w:szCs w:val="22"/>
          <w:lang w:val="pt-BR"/>
        </w:rPr>
      </w:pPr>
      <w:r w:rsidRPr="00D65A20">
        <w:rPr>
          <w:rFonts w:ascii="Times New Roman" w:hAnsi="Times New Roman"/>
          <w:bCs/>
          <w:szCs w:val="22"/>
          <w:lang w:val="pt-BR"/>
        </w:rPr>
        <w:t>AGRADECENDO ao Governo da Argentina a realização da Quinta Conferência e Assembleia da RICRP, organizada em colaboração com o Banco Mundial e a Secretaria-Geral, bem como ao Peru o exercício da Presidência, e ao Chile, Costa Rica, Equador e República Dominicana a participação como países representantes na Comissão Executiva da RICRP em 2020,</w:t>
      </w:r>
    </w:p>
    <w:p w14:paraId="47B231EB" w14:textId="77777777" w:rsidR="004A6B17" w:rsidRPr="00D65A20" w:rsidRDefault="004A6B17" w:rsidP="004A6B1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1A31DC0A" w14:textId="77777777" w:rsidR="004A6B17" w:rsidRPr="00D65A20" w:rsidRDefault="004A6B17" w:rsidP="004A6B1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Cs/>
          <w:color w:val="000000"/>
          <w:szCs w:val="22"/>
          <w:lang w:val="pt-BR"/>
        </w:rPr>
      </w:pPr>
      <w:r w:rsidRPr="00D65A20">
        <w:rPr>
          <w:rFonts w:ascii="Times New Roman" w:hAnsi="Times New Roman"/>
          <w:bCs/>
          <w:color w:val="000000"/>
          <w:szCs w:val="22"/>
          <w:lang w:val="pt-BR"/>
        </w:rPr>
        <w:t>RESOLVE:</w:t>
      </w:r>
    </w:p>
    <w:p w14:paraId="05D3330B" w14:textId="77777777" w:rsidR="004A6B17" w:rsidRPr="00D65A20" w:rsidRDefault="004A6B17" w:rsidP="004A6B1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Cs/>
          <w:color w:val="000000"/>
          <w:szCs w:val="22"/>
          <w:lang w:val="pt-BR"/>
        </w:rPr>
      </w:pPr>
    </w:p>
    <w:p w14:paraId="1259E472"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bCs/>
          <w:szCs w:val="22"/>
          <w:lang w:val="pt-BR"/>
        </w:rPr>
      </w:pPr>
      <w:r w:rsidRPr="00D65A20">
        <w:rPr>
          <w:rFonts w:ascii="Times New Roman" w:hAnsi="Times New Roman"/>
          <w:bCs/>
          <w:szCs w:val="22"/>
          <w:lang w:val="pt-BR"/>
        </w:rPr>
        <w:t>1.</w:t>
      </w:r>
      <w:r w:rsidRPr="00D65A20">
        <w:rPr>
          <w:rFonts w:ascii="Times New Roman" w:hAnsi="Times New Roman"/>
          <w:bCs/>
          <w:szCs w:val="22"/>
          <w:lang w:val="pt-BR"/>
        </w:rPr>
        <w:tab/>
        <w:t xml:space="preserve">Encarregar a Secretaria-Geral, por intermédio do Departamento de Gestão Pública Efetiva (DGPE), de continuar prestando apoio como Secretaria Técnica da </w:t>
      </w:r>
      <w:r w:rsidRPr="00D65A20">
        <w:rPr>
          <w:rFonts w:ascii="Times New Roman" w:hAnsi="Times New Roman"/>
          <w:bCs/>
          <w:color w:val="000000"/>
          <w:szCs w:val="22"/>
          <w:lang w:val="pt-BR"/>
        </w:rPr>
        <w:t>Rede Interamericana de Cadastro e Registro da Propriedade</w:t>
      </w:r>
      <w:r w:rsidRPr="00D65A20">
        <w:rPr>
          <w:rFonts w:ascii="Times New Roman" w:hAnsi="Times New Roman"/>
          <w:bCs/>
          <w:szCs w:val="22"/>
          <w:lang w:val="pt-BR"/>
        </w:rPr>
        <w:t xml:space="preserve"> (RICRP), promovendo a organização de atividades, programas e projetos que permitam o fortalecimento da gestão do cadastro e do registro da propriedade frente à covid-19, bem como a formação de parcerias e a cooperação para sua consecução, incluindo a capacitação para as agências de cadastro e registro da propriedade da região, e o intercâmbio de experiências e conhecimentos entre estas, bem como o intercâmbio</w:t>
      </w:r>
      <w:r w:rsidRPr="00D65A20">
        <w:rPr>
          <w:rFonts w:ascii="Times New Roman" w:hAnsi="Times New Roman"/>
          <w:szCs w:val="22"/>
          <w:lang w:val="pt-BR"/>
        </w:rPr>
        <w:t xml:space="preserve"> de experiências na temática da atenção remota ao cidadão e da virtualização dos cadastros e registros.</w:t>
      </w:r>
    </w:p>
    <w:p w14:paraId="1D9DACC7"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pt-BR"/>
        </w:rPr>
      </w:pPr>
    </w:p>
    <w:p w14:paraId="44FA0D15" w14:textId="5FC97A93"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szCs w:val="22"/>
          <w:lang w:val="pt-BR"/>
        </w:rPr>
      </w:pPr>
      <w:r w:rsidRPr="00D65A20">
        <w:rPr>
          <w:rFonts w:ascii="Times New Roman" w:hAnsi="Times New Roman"/>
          <w:bCs/>
          <w:color w:val="000000"/>
          <w:szCs w:val="22"/>
          <w:lang w:val="pt-BR"/>
        </w:rPr>
        <w:t>2.</w:t>
      </w:r>
      <w:r w:rsidRPr="00D65A20">
        <w:rPr>
          <w:rFonts w:ascii="Times New Roman" w:hAnsi="Times New Roman"/>
          <w:bCs/>
          <w:color w:val="000000"/>
          <w:szCs w:val="22"/>
          <w:lang w:val="pt-BR"/>
        </w:rPr>
        <w:tab/>
        <w:t>Reafirmar a importância de aprofundar-se nos esforços e na promoção do intercâmbio de experiências entre agências nacionais de cadastro e registro para o avanço da gestão cadastral e registral, c</w:t>
      </w:r>
      <w:r w:rsidRPr="00D65A20">
        <w:rPr>
          <w:rFonts w:ascii="Times New Roman" w:hAnsi="Times New Roman"/>
          <w:bCs/>
          <w:szCs w:val="22"/>
          <w:lang w:val="pt-BR"/>
        </w:rPr>
        <w:t xml:space="preserve">onjuntamente ao esforço de </w:t>
      </w:r>
      <w:r w:rsidRPr="00D65A20">
        <w:rPr>
          <w:rFonts w:ascii="Times New Roman" w:hAnsi="Times New Roman"/>
          <w:szCs w:val="22"/>
          <w:lang w:val="pt-BR"/>
        </w:rPr>
        <w:t xml:space="preserve">aperfeiçoamento </w:t>
      </w:r>
      <w:r w:rsidRPr="00D65A20">
        <w:rPr>
          <w:rFonts w:ascii="Times New Roman" w:hAnsi="Times New Roman"/>
          <w:bCs/>
          <w:szCs w:val="22"/>
          <w:lang w:val="pt-BR"/>
        </w:rPr>
        <w:t xml:space="preserve">da base de dados territorial </w:t>
      </w:r>
      <w:r w:rsidRPr="00D65A20">
        <w:rPr>
          <w:rFonts w:ascii="Times New Roman" w:hAnsi="Times New Roman"/>
          <w:bCs/>
          <w:szCs w:val="22"/>
          <w:lang w:val="pt-BR"/>
        </w:rPr>
        <w:lastRenderedPageBreak/>
        <w:t xml:space="preserve">cadastral-registral, considerando a manutenção e a atualização constantes, tanto do cadastro como do registro na região; e exortar os Estados membros a que contribuam na geração de um guia regional de diretrizes </w:t>
      </w:r>
      <w:r w:rsidRPr="00D65A20">
        <w:rPr>
          <w:rFonts w:ascii="Times New Roman" w:hAnsi="Times New Roman"/>
          <w:szCs w:val="22"/>
          <w:lang w:val="pt-BR"/>
        </w:rPr>
        <w:t xml:space="preserve">para apoiar as referidas agências </w:t>
      </w:r>
      <w:r w:rsidR="00C64B4B" w:rsidRPr="00D65A20">
        <w:rPr>
          <w:rFonts w:ascii="Times New Roman" w:hAnsi="Times New Roman"/>
          <w:szCs w:val="22"/>
          <w:lang w:val="pt-BR"/>
        </w:rPr>
        <w:t xml:space="preserve">nacionais </w:t>
      </w:r>
      <w:r w:rsidRPr="00D65A20">
        <w:rPr>
          <w:rFonts w:ascii="Times New Roman" w:hAnsi="Times New Roman"/>
          <w:bCs/>
          <w:szCs w:val="22"/>
          <w:lang w:val="pt-BR"/>
        </w:rPr>
        <w:t>sobre formalização predial e cadastro urbano, e o DGPE a que preste seu apoio na realização desse guia.</w:t>
      </w:r>
    </w:p>
    <w:p w14:paraId="47D4C0B6"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pt-BR"/>
        </w:rPr>
      </w:pPr>
    </w:p>
    <w:p w14:paraId="47F1D70A"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bCs/>
          <w:szCs w:val="22"/>
          <w:lang w:val="pt-BR"/>
        </w:rPr>
      </w:pPr>
      <w:r w:rsidRPr="00D65A20">
        <w:rPr>
          <w:rFonts w:ascii="Times New Roman" w:hAnsi="Times New Roman"/>
          <w:bCs/>
          <w:color w:val="000000"/>
          <w:szCs w:val="22"/>
          <w:lang w:val="pt-BR"/>
        </w:rPr>
        <w:t>3.</w:t>
      </w:r>
      <w:r w:rsidRPr="00D65A20">
        <w:rPr>
          <w:rFonts w:ascii="Times New Roman" w:hAnsi="Times New Roman"/>
          <w:bCs/>
          <w:color w:val="000000"/>
          <w:szCs w:val="22"/>
          <w:lang w:val="pt-BR"/>
        </w:rPr>
        <w:tab/>
      </w:r>
      <w:r w:rsidRPr="00D65A20">
        <w:rPr>
          <w:rFonts w:ascii="Times New Roman" w:hAnsi="Times New Roman"/>
          <w:bCs/>
          <w:szCs w:val="22"/>
          <w:lang w:val="pt-BR"/>
        </w:rPr>
        <w:t>Exortar a participação das instituições de cadastro e registro dos Estados membros na formulação de iniciativas que atendam aos objetivos propostos nesta resolução, mediante o intercâmbio de experiências que fortaleçam a gestão de cadastro e registro frente à covid-19, encarregando o DGPE de fazer a pesquisa semestral de cadastro e registro da propriedade e de informar os resultados da pesquisa à CAJP.</w:t>
      </w:r>
    </w:p>
    <w:p w14:paraId="23D37B11"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pt-BR"/>
        </w:rPr>
      </w:pPr>
    </w:p>
    <w:p w14:paraId="03250C41" w14:textId="77777777" w:rsidR="004A6B17" w:rsidRPr="00D65A20" w:rsidRDefault="004A6B17" w:rsidP="004A6B1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bCs/>
          <w:szCs w:val="22"/>
          <w:lang w:val="pt-BR"/>
        </w:rPr>
      </w:pPr>
      <w:r w:rsidRPr="00D65A20">
        <w:rPr>
          <w:rFonts w:ascii="Times New Roman" w:hAnsi="Times New Roman"/>
          <w:color w:val="000000"/>
          <w:szCs w:val="22"/>
          <w:lang w:val="pt-BR"/>
        </w:rPr>
        <w:t>4.</w:t>
      </w:r>
      <w:r w:rsidRPr="00D65A20">
        <w:rPr>
          <w:rFonts w:ascii="Times New Roman" w:hAnsi="Times New Roman"/>
          <w:bCs/>
          <w:color w:val="000000"/>
          <w:szCs w:val="22"/>
          <w:lang w:val="pt-BR"/>
        </w:rPr>
        <w:tab/>
      </w:r>
      <w:r w:rsidRPr="00D65A20">
        <w:rPr>
          <w:rFonts w:ascii="Times New Roman" w:hAnsi="Times New Roman"/>
          <w:bCs/>
          <w:szCs w:val="22"/>
          <w:lang w:val="pt-BR"/>
        </w:rPr>
        <w:t>Reiterar o convite a todos os Estados membros para assistir à Sexta Conferência e Assembleia da RICRP, a realizar-se de forma virtual de 1</w:t>
      </w:r>
      <w:r w:rsidRPr="00D65A20">
        <w:rPr>
          <w:rFonts w:ascii="Times New Roman" w:hAnsi="Times New Roman"/>
          <w:bCs/>
          <w:szCs w:val="22"/>
          <w:vertAlign w:val="superscript"/>
          <w:lang w:val="pt-BR"/>
        </w:rPr>
        <w:t>o</w:t>
      </w:r>
      <w:r w:rsidRPr="00D65A20">
        <w:rPr>
          <w:rFonts w:ascii="Times New Roman" w:hAnsi="Times New Roman"/>
          <w:bCs/>
          <w:szCs w:val="22"/>
          <w:lang w:val="pt-BR"/>
        </w:rPr>
        <w:t xml:space="preserve"> a 4 de dezembro de 2020, com o apoio do Organismo de Formalização da Propriedade Informal do Peru (COFOPRI) como Presidente da RICRP.</w:t>
      </w:r>
    </w:p>
    <w:p w14:paraId="3F53BB42" w14:textId="77777777" w:rsidR="004A6B17" w:rsidRPr="00D65A20" w:rsidRDefault="004A6B17" w:rsidP="004A6B1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lang w:val="pt-BR"/>
        </w:rPr>
      </w:pPr>
    </w:p>
    <w:p w14:paraId="0A439BD0"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r w:rsidRPr="00D65A20">
        <w:rPr>
          <w:rFonts w:ascii="Times New Roman" w:hAnsi="Times New Roman"/>
          <w:szCs w:val="22"/>
          <w:lang w:val="pt-BR"/>
        </w:rPr>
        <w:t>iii.</w:t>
      </w:r>
      <w:r w:rsidRPr="00D65A20">
        <w:rPr>
          <w:rFonts w:ascii="Times New Roman" w:hAnsi="Times New Roman"/>
          <w:szCs w:val="22"/>
          <w:lang w:val="pt-BR"/>
        </w:rPr>
        <w:tab/>
      </w:r>
      <w:r w:rsidRPr="00D65A20">
        <w:rPr>
          <w:rFonts w:ascii="Times New Roman" w:hAnsi="Times New Roman"/>
          <w:color w:val="000000"/>
          <w:szCs w:val="22"/>
          <w:u w:val="single"/>
          <w:lang w:val="pt-BR"/>
        </w:rPr>
        <w:t>Direitos da criança e do adolescente</w:t>
      </w:r>
      <w:r w:rsidRPr="00D65A20">
        <w:rPr>
          <w:rFonts w:ascii="Times New Roman" w:hAnsi="Times New Roman"/>
          <w:color w:val="000000"/>
          <w:szCs w:val="22"/>
          <w:lang w:val="pt-BR"/>
        </w:rPr>
        <w:t xml:space="preserve"> </w:t>
      </w:r>
      <w:r w:rsidRPr="00D65A20">
        <w:rPr>
          <w:rFonts w:ascii="Times New Roman" w:hAnsi="Times New Roman"/>
          <w:szCs w:val="22"/>
          <w:u w:val="single"/>
          <w:vertAlign w:val="superscript"/>
          <w:lang w:val="pt-BR"/>
        </w:rPr>
        <w:footnoteReference w:id="59"/>
      </w:r>
      <w:r w:rsidRPr="00D65A20">
        <w:rPr>
          <w:rFonts w:ascii="Times New Roman" w:hAnsi="Times New Roman"/>
          <w:color w:val="000000"/>
          <w:szCs w:val="22"/>
          <w:vertAlign w:val="superscript"/>
          <w:lang w:val="pt-BR"/>
        </w:rPr>
        <w:t>/</w:t>
      </w:r>
    </w:p>
    <w:p w14:paraId="5EBD33F5"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1B7F1D17"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Arial Unicode MS" w:hAnsi="Times New Roman"/>
          <w:b/>
          <w:i/>
          <w:szCs w:val="22"/>
          <w:lang w:val="pt-BR"/>
        </w:rPr>
      </w:pPr>
      <w:r w:rsidRPr="00D65A20">
        <w:rPr>
          <w:rFonts w:ascii="Times New Roman" w:hAnsi="Times New Roman"/>
          <w:szCs w:val="22"/>
          <w:lang w:val="pt-BR"/>
        </w:rPr>
        <w:t>REAFIRMANDO que os princípios de participação ativa das crianças e adolescentes, de não discriminação e de seu interesse superior e seu direito à vida, à sobrevivência e ao desenvolvimento, bem como o exercício de emitir opinião sobre as decisões que lhes concernem e a experiência de serem escutados pelos adultos, estão consagrados na Convenção sobre os Direitos da Criança e são componentes básicos na construção de uma cidadania responsável;</w:t>
      </w:r>
      <w:r w:rsidRPr="00D65A20">
        <w:rPr>
          <w:rFonts w:ascii="Times New Roman" w:hAnsi="Times New Roman"/>
          <w:b/>
          <w:szCs w:val="22"/>
          <w:lang w:val="pt-BR"/>
        </w:rPr>
        <w:t xml:space="preserve"> </w:t>
      </w:r>
      <w:r w:rsidRPr="00D65A20">
        <w:rPr>
          <w:rFonts w:ascii="Times New Roman" w:hAnsi="Times New Roman"/>
          <w:szCs w:val="22"/>
          <w:lang w:val="pt-BR"/>
        </w:rPr>
        <w:t>e</w:t>
      </w:r>
    </w:p>
    <w:p w14:paraId="768BC216"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i/>
          <w:szCs w:val="22"/>
          <w:lang w:val="pt-BR"/>
        </w:rPr>
      </w:pPr>
    </w:p>
    <w:p w14:paraId="6AA1B1D0"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b/>
          <w:iCs/>
          <w:color w:val="000000"/>
          <w:szCs w:val="22"/>
          <w:lang w:val="pt-BR"/>
        </w:rPr>
      </w:pPr>
      <w:r w:rsidRPr="00D65A20">
        <w:rPr>
          <w:rFonts w:ascii="Times New Roman" w:hAnsi="Times New Roman"/>
          <w:iCs/>
          <w:color w:val="000000"/>
          <w:szCs w:val="22"/>
          <w:lang w:val="pt-BR"/>
        </w:rPr>
        <w:t xml:space="preserve">TOMANDO NOTA COM SATISFAÇÃO dos avanços que nesse </w:t>
      </w:r>
      <w:r w:rsidRPr="00D65A20">
        <w:rPr>
          <w:rFonts w:ascii="Times New Roman" w:hAnsi="Times New Roman"/>
          <w:color w:val="000000"/>
          <w:szCs w:val="22"/>
          <w:lang w:val="pt-BR"/>
        </w:rPr>
        <w:t xml:space="preserve">sentido o Instituto Interamericano da Criança e do Adolescente (IIN) obteve, dentre os quais se destaca a realização do Terceiro Fórum Pan-Americano de Crianças e Adolescentes (Cartagena, 2019); e das articulações que vêm sendo mantidas com a Comissão Interamericana de Direitos Humanos (CIDH) e a Corte Interamericana de Direitos Humanos para melhorar a comunicação desses organismos com a infância e a adolescência, </w:t>
      </w:r>
    </w:p>
    <w:p w14:paraId="582F6116"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Cs/>
          <w:color w:val="000000"/>
          <w:szCs w:val="22"/>
          <w:lang w:val="pt-BR"/>
        </w:rPr>
      </w:pPr>
    </w:p>
    <w:p w14:paraId="2CAC71BE"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r w:rsidRPr="00D65A20">
        <w:rPr>
          <w:rFonts w:ascii="Times New Roman" w:hAnsi="Times New Roman"/>
          <w:color w:val="000000"/>
          <w:szCs w:val="22"/>
          <w:lang w:val="pt-BR"/>
        </w:rPr>
        <w:t>RESOLVE:</w:t>
      </w:r>
    </w:p>
    <w:p w14:paraId="6E945D50"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Cs/>
          <w:color w:val="000000"/>
          <w:szCs w:val="22"/>
          <w:lang w:val="pt-BR"/>
        </w:rPr>
      </w:pPr>
    </w:p>
    <w:p w14:paraId="4CCCB75B"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Arial Unicode MS" w:hAnsi="Times New Roman"/>
          <w:b/>
          <w:i/>
          <w:szCs w:val="22"/>
          <w:lang w:val="pt-BR"/>
        </w:rPr>
      </w:pPr>
      <w:r w:rsidRPr="00D65A20">
        <w:rPr>
          <w:rFonts w:ascii="Times New Roman" w:hAnsi="Times New Roman"/>
          <w:iCs/>
          <w:color w:val="000000"/>
          <w:szCs w:val="22"/>
          <w:lang w:val="pt-BR"/>
        </w:rPr>
        <w:t>1.</w:t>
      </w:r>
      <w:r w:rsidRPr="00D65A20">
        <w:rPr>
          <w:rFonts w:ascii="Times New Roman" w:hAnsi="Times New Roman"/>
          <w:iCs/>
          <w:color w:val="000000"/>
          <w:szCs w:val="22"/>
          <w:lang w:val="pt-BR"/>
        </w:rPr>
        <w:tab/>
        <w:t xml:space="preserve">Reconhecer </w:t>
      </w:r>
      <w:r w:rsidRPr="00D65A20">
        <w:rPr>
          <w:rFonts w:ascii="Times New Roman" w:hAnsi="Times New Roman"/>
          <w:color w:val="000000"/>
          <w:szCs w:val="22"/>
          <w:lang w:val="pt-BR"/>
        </w:rPr>
        <w:t>a contribuição do trabalho que o Instituto Interamericano da Criança e do Adolescente (IIN) vem realizando a fim de promover a participação das crianças e adolescentes e o exercício de sua liberdade de buscar, receber e divulgar informações, e a fim de manter instâncias de diálogo intergeracional, exercitando uma convivência baseada em valores democráticos que respeitam a diversidade de opiniões e incentivam a igualdade, a equidade, a não violência,</w:t>
      </w:r>
      <w:r w:rsidRPr="00D65A20">
        <w:rPr>
          <w:rFonts w:ascii="Times New Roman" w:hAnsi="Times New Roman"/>
          <w:b/>
          <w:color w:val="000000"/>
          <w:szCs w:val="22"/>
          <w:lang w:val="pt-BR"/>
        </w:rPr>
        <w:t xml:space="preserve"> </w:t>
      </w:r>
      <w:r w:rsidRPr="00D65A20">
        <w:rPr>
          <w:rFonts w:ascii="Times New Roman" w:hAnsi="Times New Roman"/>
          <w:color w:val="000000"/>
          <w:szCs w:val="22"/>
          <w:lang w:val="pt-BR"/>
        </w:rPr>
        <w:t>a liberdade, a justiça e a solução pacífica de controvérsias.</w:t>
      </w:r>
    </w:p>
    <w:p w14:paraId="64A2EA1C"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rPr>
      </w:pPr>
    </w:p>
    <w:p w14:paraId="58FC1C05"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rPr>
      </w:pPr>
      <w:r w:rsidRPr="00D65A20">
        <w:rPr>
          <w:rFonts w:ascii="Times New Roman" w:hAnsi="Times New Roman"/>
          <w:bCs/>
          <w:color w:val="000000"/>
          <w:szCs w:val="22"/>
          <w:lang w:val="pt-BR"/>
        </w:rPr>
        <w:tab/>
        <w:t xml:space="preserve">2. </w:t>
      </w:r>
      <w:r w:rsidRPr="00D65A20">
        <w:rPr>
          <w:rFonts w:ascii="Times New Roman" w:hAnsi="Times New Roman"/>
          <w:bCs/>
          <w:color w:val="000000"/>
          <w:szCs w:val="22"/>
          <w:lang w:val="pt-BR"/>
        </w:rPr>
        <w:tab/>
        <w:t>Reafirmar a necessidade da criação de um entorno de respeito, diversidade e inclusão da identidade étnica e cultural de todas as crianças e adolescentes, o que constitui condição para a existência e a reprodução de uma dimensão pluralista da sociedade democrática.</w:t>
      </w:r>
      <w:r w:rsidRPr="00D65A20">
        <w:rPr>
          <w:rFonts w:ascii="Times New Roman" w:hAnsi="Times New Roman"/>
          <w:i/>
          <w:szCs w:val="22"/>
          <w:lang w:val="pt-BR"/>
        </w:rPr>
        <w:t xml:space="preserve"> </w:t>
      </w:r>
    </w:p>
    <w:p w14:paraId="5ACBE294"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rPr>
      </w:pPr>
    </w:p>
    <w:p w14:paraId="5AC01DC8"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b/>
          <w:color w:val="000000"/>
          <w:szCs w:val="22"/>
          <w:lang w:val="pt-BR"/>
        </w:rPr>
      </w:pPr>
      <w:r w:rsidRPr="00D65A20">
        <w:rPr>
          <w:rFonts w:ascii="Times New Roman" w:hAnsi="Times New Roman"/>
          <w:bCs/>
          <w:color w:val="000000"/>
          <w:szCs w:val="22"/>
          <w:lang w:val="pt-BR"/>
        </w:rPr>
        <w:lastRenderedPageBreak/>
        <w:t>3.</w:t>
      </w:r>
      <w:r w:rsidRPr="00D65A20">
        <w:rPr>
          <w:rFonts w:ascii="Times New Roman" w:hAnsi="Times New Roman"/>
          <w:bCs/>
          <w:color w:val="000000"/>
          <w:szCs w:val="22"/>
          <w:lang w:val="pt-BR"/>
        </w:rPr>
        <w:tab/>
      </w:r>
      <w:r w:rsidRPr="00D65A20">
        <w:rPr>
          <w:rFonts w:ascii="Times New Roman" w:hAnsi="Times New Roman"/>
          <w:iCs/>
          <w:color w:val="000000"/>
          <w:szCs w:val="22"/>
          <w:lang w:val="pt-BR"/>
        </w:rPr>
        <w:t xml:space="preserve">Acolher </w:t>
      </w:r>
      <w:r w:rsidRPr="00D65A20">
        <w:rPr>
          <w:rFonts w:ascii="Times New Roman" w:hAnsi="Times New Roman"/>
          <w:color w:val="000000"/>
          <w:szCs w:val="22"/>
          <w:lang w:val="pt-BR"/>
        </w:rPr>
        <w:t>com satisfação os avanços obtidos no mandato de ampliar e consolidar no interior da Organização dos Estados Americanos (OEA) instâncias de que participem crianças</w:t>
      </w:r>
      <w:r w:rsidRPr="00D65A20">
        <w:rPr>
          <w:rFonts w:ascii="Times New Roman" w:hAnsi="Times New Roman"/>
          <w:b/>
          <w:color w:val="000000"/>
          <w:szCs w:val="22"/>
          <w:lang w:val="pt-BR"/>
        </w:rPr>
        <w:t xml:space="preserve"> </w:t>
      </w:r>
      <w:r w:rsidRPr="00D65A20">
        <w:rPr>
          <w:rFonts w:ascii="Times New Roman" w:hAnsi="Times New Roman"/>
          <w:color w:val="000000"/>
          <w:szCs w:val="22"/>
          <w:lang w:val="pt-BR"/>
        </w:rPr>
        <w:t>e adolescentes, e incentivar a que se continue trabalhando nesse sentido.</w:t>
      </w:r>
      <w:r w:rsidRPr="00D65A20">
        <w:rPr>
          <w:rFonts w:ascii="Times New Roman" w:hAnsi="Times New Roman"/>
          <w:b/>
          <w:i/>
          <w:szCs w:val="22"/>
          <w:lang w:val="pt-BR"/>
        </w:rPr>
        <w:t xml:space="preserve"> </w:t>
      </w:r>
    </w:p>
    <w:p w14:paraId="17436F94"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color w:val="000000"/>
          <w:szCs w:val="22"/>
          <w:lang w:val="pt-BR"/>
        </w:rPr>
      </w:pPr>
    </w:p>
    <w:p w14:paraId="111C4627"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ind w:left="708" w:hanging="708"/>
        <w:rPr>
          <w:rFonts w:ascii="Times New Roman" w:hAnsi="Times New Roman"/>
          <w:szCs w:val="22"/>
          <w:lang w:val="pt-BR"/>
        </w:rPr>
      </w:pPr>
      <w:r w:rsidRPr="00D65A20">
        <w:rPr>
          <w:rFonts w:ascii="Times New Roman" w:hAnsi="Times New Roman"/>
          <w:color w:val="000000"/>
          <w:szCs w:val="22"/>
          <w:lang w:val="pt-BR"/>
        </w:rPr>
        <w:t>iv.</w:t>
      </w:r>
      <w:r w:rsidRPr="00D65A20">
        <w:rPr>
          <w:rFonts w:ascii="Times New Roman" w:hAnsi="Times New Roman"/>
          <w:b/>
          <w:color w:val="000000"/>
          <w:szCs w:val="22"/>
          <w:lang w:val="pt-BR"/>
        </w:rPr>
        <w:tab/>
      </w:r>
      <w:r w:rsidRPr="00D65A20">
        <w:rPr>
          <w:rFonts w:ascii="Times New Roman" w:hAnsi="Times New Roman"/>
          <w:szCs w:val="22"/>
          <w:u w:val="single"/>
          <w:lang w:val="pt-BR"/>
        </w:rPr>
        <w:t>Reunião de Ministros da Justiça ou de Outros Ministros ou Procuradores-Gerais das Américas</w:t>
      </w:r>
      <w:r w:rsidRPr="00D65A20">
        <w:rPr>
          <w:rFonts w:ascii="Times New Roman" w:hAnsi="Times New Roman"/>
          <w:szCs w:val="22"/>
          <w:lang w:val="pt-BR"/>
        </w:rPr>
        <w:t xml:space="preserve"> </w:t>
      </w:r>
    </w:p>
    <w:p w14:paraId="04BC014A"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jc w:val="left"/>
        <w:rPr>
          <w:rFonts w:ascii="Times New Roman" w:hAnsi="Times New Roman"/>
          <w:szCs w:val="22"/>
          <w:lang w:val="pt-BR"/>
        </w:rPr>
      </w:pPr>
    </w:p>
    <w:p w14:paraId="3B8A336C" w14:textId="66469B1A"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ind w:firstLine="720"/>
        <w:rPr>
          <w:rFonts w:ascii="Times New Roman" w:hAnsi="Times New Roman"/>
          <w:szCs w:val="22"/>
          <w:lang w:val="pt-BR"/>
        </w:rPr>
      </w:pPr>
      <w:r w:rsidRPr="00D65A20">
        <w:rPr>
          <w:rFonts w:ascii="Times New Roman" w:hAnsi="Times New Roman"/>
          <w:szCs w:val="22"/>
          <w:lang w:val="pt-BR"/>
        </w:rPr>
        <w:t xml:space="preserve">TENDO PRESENTE que a cooperação entre as autoridades com responsabilidades em matéria de justiça é uma das áreas prioritárias da OEA e que a Reunião de Ministros da Justiça ou de Outros Ministros ou Procuradores-Gerais das Américas (REMJA) se consolidou como foro político e técnico hemisférico em matéria de justiça e cooperação jurídica internacional, cooperação essa que é essencial para o desenvolvimento dos sistemas de justiça e a consolidação do Estado de Direito na região; e que, nas Cúpulas das Américas, os Chefes de Estado e de Governo têm apoiado o trabalho realizado no âmbito do processo REMJA e a implementação de suas conclusões e recomendações; </w:t>
      </w:r>
    </w:p>
    <w:p w14:paraId="3FE39146"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rPr>
          <w:rFonts w:ascii="Times New Roman" w:hAnsi="Times New Roman"/>
          <w:szCs w:val="22"/>
          <w:lang w:val="pt-BR"/>
        </w:rPr>
      </w:pPr>
    </w:p>
    <w:p w14:paraId="1848F882"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TOMANDO NOTA COM SATISFAÇÃO das “Conclusões e Recomendações da REMJA-X” aprovadas por consenso na sessão plenária realizada em 16 de outubro de 2015, no âmbito da última Reunião de Ministros da Justiça ou de Outros Ministros ou Procuradores-Gerais das Américas (REMJA-X), realizada em Bogotá, Colômbia, em 15 e 16 de outubro de 2015; e</w:t>
      </w:r>
    </w:p>
    <w:p w14:paraId="4272510B"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369BE737"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RECORDANDO que a REMJA-X acordou alterar a disposição 5</w:t>
      </w:r>
      <w:r w:rsidRPr="00D65A20">
        <w:rPr>
          <w:rFonts w:ascii="Times New Roman" w:hAnsi="Times New Roman"/>
          <w:szCs w:val="22"/>
          <w:vertAlign w:val="superscript"/>
          <w:lang w:val="pt-BR"/>
        </w:rPr>
        <w:t>a</w:t>
      </w:r>
      <w:r w:rsidRPr="00D65A20">
        <w:rPr>
          <w:rFonts w:ascii="Times New Roman" w:hAnsi="Times New Roman"/>
          <w:szCs w:val="22"/>
          <w:lang w:val="pt-BR"/>
        </w:rPr>
        <w:t xml:space="preserve"> do “Documento de Washington” para dispor que “Salvo circunstâncias excepcionais, as REMJA serão realizadas a cada dois anos”,</w:t>
      </w:r>
    </w:p>
    <w:p w14:paraId="1602091E"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7247918"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rPr>
          <w:rFonts w:ascii="Times New Roman" w:hAnsi="Times New Roman"/>
          <w:szCs w:val="22"/>
          <w:lang w:val="pt-BR"/>
        </w:rPr>
      </w:pPr>
      <w:r w:rsidRPr="00D65A20">
        <w:rPr>
          <w:rFonts w:ascii="Times New Roman" w:hAnsi="Times New Roman"/>
          <w:szCs w:val="22"/>
          <w:lang w:val="pt-BR"/>
        </w:rPr>
        <w:t>RESOLVE:</w:t>
      </w:r>
    </w:p>
    <w:p w14:paraId="7D468C92"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rPr>
      </w:pPr>
    </w:p>
    <w:p w14:paraId="168BAABD"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1.</w:t>
      </w:r>
      <w:r w:rsidRPr="00D65A20">
        <w:rPr>
          <w:rFonts w:ascii="Times New Roman" w:hAnsi="Times New Roman"/>
          <w:szCs w:val="22"/>
          <w:lang w:val="pt-BR"/>
        </w:rPr>
        <w:tab/>
        <w:t>Expressar sua satisfação com os avanços obtidos — com o apoio do Departamento de Cooperação Jurídica da Secretaria de Assuntos Jurídicos, na sua qualidade de Secretaria Técnica da Reunião de Ministros da Justiça ou de Outros Ministros ou Procuradores-Gerais das Américas (REMJA) — na execução dos mandatos constantes das “Conclusões e Recomendações da REMJA-X” (REMJA-X/doc.2/15 rev. 2), incluindo a realização das oficinas regionais de treinamento para juízes e procuradores em matéria de crime cibernético.</w:t>
      </w:r>
    </w:p>
    <w:p w14:paraId="0721C524"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lang w:val="pt-BR"/>
        </w:rPr>
      </w:pPr>
    </w:p>
    <w:p w14:paraId="3594BD90"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szCs w:val="22"/>
          <w:lang w:val="pt-BR"/>
        </w:rPr>
      </w:pPr>
      <w:r w:rsidRPr="00D65A20">
        <w:rPr>
          <w:rFonts w:ascii="Times New Roman" w:hAnsi="Times New Roman"/>
          <w:szCs w:val="22"/>
          <w:lang w:val="pt-BR"/>
        </w:rPr>
        <w:t>2.</w:t>
      </w:r>
      <w:r w:rsidRPr="00D65A20">
        <w:rPr>
          <w:rFonts w:ascii="Times New Roman" w:hAnsi="Times New Roman"/>
          <w:szCs w:val="22"/>
          <w:lang w:val="pt-BR"/>
        </w:rPr>
        <w:tab/>
        <w:t>Dispor, levando em conta que a REMJA-X foi realizada cinco anos atrás e que a REMJA-XI não foi realizada devido a circunstâncias excepcionais, conforme a disposição 5</w:t>
      </w:r>
      <w:r w:rsidRPr="00D65A20">
        <w:rPr>
          <w:rFonts w:ascii="Times New Roman" w:hAnsi="Times New Roman"/>
          <w:szCs w:val="22"/>
          <w:vertAlign w:val="superscript"/>
          <w:lang w:val="pt-BR"/>
        </w:rPr>
        <w:t>a</w:t>
      </w:r>
      <w:r w:rsidRPr="00D65A20">
        <w:rPr>
          <w:rFonts w:ascii="Times New Roman" w:hAnsi="Times New Roman"/>
          <w:szCs w:val="22"/>
          <w:lang w:val="pt-BR"/>
        </w:rPr>
        <w:t xml:space="preserve"> do Documento de Washington, que a REMJA-XI seja convocada oportunamente, sujeito à disponibilidade de recursos financeiros no orçamento-programa da Organização e de outros recursos, bem como às circunstâncias que decorram da pandemia de covid-19.</w:t>
      </w:r>
    </w:p>
    <w:p w14:paraId="2638FBBB"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b/>
          <w:szCs w:val="22"/>
          <w:lang w:val="pt-BR"/>
        </w:rPr>
      </w:pPr>
    </w:p>
    <w:p w14:paraId="731DF42C"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rPr>
      </w:pPr>
      <w:r w:rsidRPr="00D65A20">
        <w:rPr>
          <w:rFonts w:ascii="Times New Roman" w:hAnsi="Times New Roman"/>
          <w:szCs w:val="22"/>
          <w:lang w:val="pt-BR"/>
        </w:rPr>
        <w:t>3.</w:t>
      </w:r>
      <w:r w:rsidRPr="00D65A20">
        <w:rPr>
          <w:rFonts w:ascii="Times New Roman" w:hAnsi="Times New Roman"/>
          <w:szCs w:val="22"/>
          <w:lang w:val="pt-BR"/>
        </w:rPr>
        <w:tab/>
        <w:t xml:space="preserve">Recomendar à Presidência da REMJA que, com o apoio da Secretaria Técnica e de acordo com as disposições 6, 7, </w:t>
      </w:r>
      <w:r w:rsidRPr="00D65A20">
        <w:rPr>
          <w:rFonts w:ascii="Times New Roman" w:hAnsi="Times New Roman"/>
          <w:szCs w:val="22"/>
          <w:u w:val="single"/>
          <w:lang w:val="pt-BR"/>
        </w:rPr>
        <w:t>c</w:t>
      </w:r>
      <w:r w:rsidRPr="00D65A20">
        <w:rPr>
          <w:rFonts w:ascii="Times New Roman" w:hAnsi="Times New Roman"/>
          <w:szCs w:val="22"/>
          <w:lang w:val="pt-BR"/>
        </w:rPr>
        <w:t>, e 8 do Documento de Washington, que rege o processo REMJA, convoque, com suficiente antecedência, a primeira reunião preparatória da REMJA-XI, a fim de que peritos dos Ministérios da Justiça ou outros Ministérios, Promotorias ou Procuradorias-Gerais das Américas formulem recomendações para fortalecer o processo REMJA, bem como possíveis temas relacionados à justiça, de importância hemisférica, que possam ser discutidos na REMJA-XI.</w:t>
      </w:r>
    </w:p>
    <w:p w14:paraId="5F2D2183"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rPr>
      </w:pPr>
    </w:p>
    <w:p w14:paraId="616B7D39"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color w:val="000000"/>
          <w:szCs w:val="22"/>
          <w:lang w:val="pt-BR"/>
        </w:rPr>
      </w:pPr>
      <w:r w:rsidRPr="00D65A20">
        <w:rPr>
          <w:rFonts w:ascii="Times New Roman" w:hAnsi="Times New Roman"/>
          <w:szCs w:val="22"/>
          <w:lang w:val="pt-BR"/>
        </w:rPr>
        <w:t>4.</w:t>
      </w:r>
      <w:r w:rsidRPr="00D65A20">
        <w:rPr>
          <w:rFonts w:ascii="Times New Roman" w:hAnsi="Times New Roman"/>
          <w:szCs w:val="22"/>
          <w:lang w:val="pt-BR"/>
        </w:rPr>
        <w:tab/>
        <w:t xml:space="preserve">Encarregar a Secretaria Técnica da REMJA de continuar prestando apoio, assessoria jurídica e assistência técnica à REMJA, a seus grupos de trabalho e suas reuniões técnicas; </w:t>
      </w:r>
      <w:r w:rsidRPr="00D65A20">
        <w:rPr>
          <w:rFonts w:ascii="Times New Roman" w:hAnsi="Times New Roman"/>
          <w:szCs w:val="22"/>
          <w:lang w:val="pt-BR"/>
        </w:rPr>
        <w:lastRenderedPageBreak/>
        <w:t>elaborando documentos e estudos para apoiar o acompanhamento e a implementação de suas recomendações; executando seus programas, projetos e atividades de cooperação técnica em desenvolvimento; administrando e mantendo as redes sob sua responsabilidade criadas no âmbito da REMJA; realizando gestões para obter recursos para o financiamento das atividades da REMJA; fortalecendo a coordenação e a colaboração com as secretarias de outros organismos, entidades ou mecanismos de cooperação internacional nas matérias de que a REMJA se ocupa; e considerando o cumprimento das demais funções que lhe atribui o Documento de Washington</w:t>
      </w:r>
      <w:r w:rsidRPr="00D65A20">
        <w:rPr>
          <w:rFonts w:ascii="Times New Roman" w:hAnsi="Times New Roman"/>
          <w:b/>
          <w:szCs w:val="22"/>
          <w:lang w:val="pt-BR"/>
        </w:rPr>
        <w:t>.</w:t>
      </w:r>
    </w:p>
    <w:p w14:paraId="73AFDD5A"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3CCBCA3E"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pt-BR"/>
        </w:rPr>
      </w:pPr>
      <w:r w:rsidRPr="00D65A20">
        <w:rPr>
          <w:rFonts w:ascii="Times New Roman" w:hAnsi="Times New Roman"/>
          <w:szCs w:val="22"/>
          <w:lang w:val="pt-BR"/>
        </w:rPr>
        <w:t xml:space="preserve">v. </w:t>
      </w:r>
      <w:r w:rsidRPr="00D65A20">
        <w:rPr>
          <w:rFonts w:ascii="Times New Roman" w:hAnsi="Times New Roman"/>
          <w:szCs w:val="22"/>
          <w:lang w:val="pt-BR"/>
        </w:rPr>
        <w:tab/>
      </w:r>
      <w:r w:rsidRPr="00D65A20">
        <w:rPr>
          <w:rFonts w:ascii="Times New Roman" w:hAnsi="Times New Roman"/>
          <w:szCs w:val="22"/>
          <w:u w:val="single"/>
          <w:lang w:val="pt-BR"/>
        </w:rPr>
        <w:t>Acompanhamento da Carta Democrática Interamericana</w:t>
      </w:r>
    </w:p>
    <w:p w14:paraId="711A92CC"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pt-BR"/>
        </w:rPr>
      </w:pPr>
    </w:p>
    <w:p w14:paraId="237E99FE"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pt-BR"/>
        </w:rPr>
      </w:pPr>
      <w:r w:rsidRPr="00D65A20">
        <w:rPr>
          <w:rFonts w:ascii="Times New Roman" w:hAnsi="Times New Roman"/>
          <w:szCs w:val="22"/>
          <w:lang w:val="pt-BR"/>
        </w:rPr>
        <w:tab/>
        <w:t>COMPARTILHANDO a convicção de que a democracia é uma das mais valiosas conquistas de nossa região e que a transmissão pacífica do poder por vias constitucionais e com apego aos preceitos constitucionais de cada um de nossos Estados é produto de um processo contínuo e irreversível em que a região não admite interrupções nem retrocessos;</w:t>
      </w:r>
    </w:p>
    <w:p w14:paraId="4AE65EBE"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02CD8514"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0"/>
        <w:rPr>
          <w:rFonts w:ascii="Times New Roman" w:eastAsia="Calibri" w:hAnsi="Times New Roman"/>
          <w:bCs/>
          <w:iCs/>
          <w:szCs w:val="22"/>
          <w:lang w:val="pt-BR"/>
        </w:rPr>
      </w:pPr>
      <w:r w:rsidRPr="00D65A20">
        <w:rPr>
          <w:rFonts w:ascii="Times New Roman" w:hAnsi="Times New Roman"/>
          <w:szCs w:val="22"/>
          <w:lang w:val="pt-BR"/>
        </w:rPr>
        <w:t>TENDO EM VISTA que a Carta da Organização dos Estados Americanos estabelece que “a democracia representativa é condição indispensável para a estabilidade, a paz e o desenvolvimento da região”, e que um dos propósitos da OEA é “[p]romover e consolidar a democracia representativa, respeitado o princípio da não intervenção”;</w:t>
      </w:r>
    </w:p>
    <w:p w14:paraId="217712E1"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701C0792"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0"/>
        <w:rPr>
          <w:rFonts w:ascii="Times New Roman" w:hAnsi="Times New Roman"/>
          <w:bCs/>
          <w:szCs w:val="22"/>
          <w:lang w:val="pt-BR"/>
        </w:rPr>
      </w:pPr>
      <w:r w:rsidRPr="00D65A20">
        <w:rPr>
          <w:rFonts w:ascii="Times New Roman" w:hAnsi="Times New Roman"/>
          <w:szCs w:val="22"/>
          <w:lang w:val="pt-BR"/>
        </w:rPr>
        <w:t>REAFIRMANDO que “são elementos essenciais da democracia representativa, entre outros, o respeito aos direitos humanos e às liberdades fundamentais, o acesso ao poder e seu exercício com sujeição ao Estado de Direito, a celebração de eleições periódicas, livres, justas e baseadas no sufrágio universal e secreto como expressão da soberania do povo, o regime pluralista de partidos e organizações políticas, e a separação e independência dos poderes públicos”;</w:t>
      </w:r>
    </w:p>
    <w:p w14:paraId="7E5B67F8"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13B07FB8"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0"/>
        <w:rPr>
          <w:rFonts w:ascii="Times New Roman" w:hAnsi="Times New Roman"/>
          <w:b/>
          <w:szCs w:val="22"/>
          <w:lang w:val="pt-BR"/>
        </w:rPr>
      </w:pPr>
      <w:r w:rsidRPr="00D65A20">
        <w:rPr>
          <w:rFonts w:ascii="Times New Roman" w:hAnsi="Times New Roman"/>
          <w:szCs w:val="22"/>
          <w:lang w:val="pt-BR"/>
        </w:rPr>
        <w:t>RECONHECENDO que a democracia, a ordem constitucional e o Estado de Direito são condições necessárias para alcançar o respeito irrestrito às liberdades fundamentais e a plena vigência dos direitos humanos durante a emergência causada pelo novo coronavírus SARS-CoV-2 (causador da covid-19), e que o fortalecimento das instituições democráticas é fundamental para dar uma resposta efetiva e oportuna aos cidadãos diante da pandemia de covid-19;</w:t>
      </w:r>
    </w:p>
    <w:p w14:paraId="75207B99"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lang w:val="pt-BR"/>
        </w:rPr>
      </w:pPr>
    </w:p>
    <w:p w14:paraId="7A32A0E7"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i/>
          <w:szCs w:val="22"/>
          <w:lang w:val="pt-BR"/>
        </w:rPr>
      </w:pPr>
      <w:r w:rsidRPr="00D65A20">
        <w:rPr>
          <w:rFonts w:ascii="Times New Roman" w:hAnsi="Times New Roman"/>
          <w:bCs/>
          <w:szCs w:val="22"/>
          <w:lang w:val="pt-BR"/>
        </w:rPr>
        <w:t>CONVENCIDA de que uma resposta integral aos enormes desafios impostos aos nossos Estados membros pela pandemia de covid-19 deveria, necessariamente, ser implementada no estrito respeito aos compromissos e princípios democráticos consagrados na Carta Democrática Interamericana,</w:t>
      </w:r>
      <w:r w:rsidRPr="00D65A20">
        <w:rPr>
          <w:rFonts w:ascii="Times New Roman" w:hAnsi="Times New Roman"/>
          <w:b/>
          <w:bCs/>
          <w:szCs w:val="22"/>
          <w:lang w:val="pt-BR"/>
        </w:rPr>
        <w:t xml:space="preserve"> </w:t>
      </w:r>
      <w:r w:rsidRPr="00D65A20">
        <w:rPr>
          <w:rFonts w:ascii="Times New Roman" w:hAnsi="Times New Roman"/>
          <w:bCs/>
          <w:szCs w:val="22"/>
          <w:lang w:val="pt-BR"/>
        </w:rPr>
        <w:t>incluindo a participação plena e equânime das mulheres nas estruturas políticas dos seus países</w:t>
      </w:r>
      <w:r w:rsidRPr="00D65A20">
        <w:rPr>
          <w:rFonts w:ascii="Times New Roman" w:hAnsi="Times New Roman"/>
          <w:b/>
          <w:szCs w:val="22"/>
          <w:lang w:val="pt-BR"/>
        </w:rPr>
        <w:t>;</w:t>
      </w:r>
    </w:p>
    <w:p w14:paraId="0353B5BB"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lang w:val="pt-BR"/>
        </w:rPr>
      </w:pPr>
    </w:p>
    <w:p w14:paraId="3D6F8B7E"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0"/>
        <w:rPr>
          <w:rFonts w:ascii="Times New Roman" w:hAnsi="Times New Roman"/>
          <w:szCs w:val="22"/>
          <w:vertAlign w:val="subscript"/>
          <w:lang w:val="pt-BR"/>
        </w:rPr>
      </w:pPr>
      <w:r w:rsidRPr="00D65A20">
        <w:rPr>
          <w:rFonts w:ascii="Times New Roman" w:hAnsi="Times New Roman"/>
          <w:szCs w:val="22"/>
          <w:lang w:val="pt-BR"/>
        </w:rPr>
        <w:t>TOMANDO NOTA do documento “Carta Democrática Interamericana: Guia de ação política para enfrentar a pandemia de covid-19”, publicado pela Secretaria Geral.</w:t>
      </w:r>
    </w:p>
    <w:p w14:paraId="7B474254"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77C89463" w14:textId="0C759B2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0"/>
        <w:rPr>
          <w:rFonts w:ascii="Times New Roman" w:hAnsi="Times New Roman"/>
          <w:bCs/>
          <w:szCs w:val="22"/>
          <w:vertAlign w:val="subscript"/>
          <w:lang w:val="pt-BR"/>
        </w:rPr>
      </w:pPr>
      <w:r w:rsidRPr="00D65A20">
        <w:rPr>
          <w:rFonts w:ascii="Times New Roman" w:hAnsi="Times New Roman"/>
          <w:szCs w:val="22"/>
          <w:lang w:val="pt-BR"/>
        </w:rPr>
        <w:t xml:space="preserve">DESTACANDO que o ano de 2021 marca o Vigésimo Aniversário da </w:t>
      </w:r>
      <w:r w:rsidRPr="00D65A20">
        <w:rPr>
          <w:rFonts w:ascii="Times New Roman" w:hAnsi="Times New Roman"/>
          <w:szCs w:val="22"/>
          <w:shd w:val="clear" w:color="auto" w:fill="FFFFFF"/>
          <w:lang w:val="pt-BR"/>
        </w:rPr>
        <w:t>Adoção por Aclamação da Carta Democrática Interamericana n</w:t>
      </w:r>
      <w:r w:rsidR="00277F9E" w:rsidRPr="00D65A20">
        <w:rPr>
          <w:rFonts w:ascii="Times New Roman" w:hAnsi="Times New Roman"/>
          <w:szCs w:val="22"/>
          <w:shd w:val="clear" w:color="auto" w:fill="FFFFFF"/>
          <w:lang w:val="pt-BR"/>
        </w:rPr>
        <w:t>o período extraordinário de sessões d</w:t>
      </w:r>
      <w:r w:rsidRPr="00D65A20">
        <w:rPr>
          <w:rFonts w:ascii="Times New Roman" w:hAnsi="Times New Roman"/>
          <w:szCs w:val="22"/>
          <w:shd w:val="clear" w:color="auto" w:fill="FFFFFF"/>
          <w:lang w:val="pt-BR"/>
        </w:rPr>
        <w:t>a Assembleia Geral da OEA realizad</w:t>
      </w:r>
      <w:r w:rsidR="00277F9E" w:rsidRPr="00D65A20">
        <w:rPr>
          <w:rFonts w:ascii="Times New Roman" w:hAnsi="Times New Roman"/>
          <w:szCs w:val="22"/>
          <w:shd w:val="clear" w:color="auto" w:fill="FFFFFF"/>
          <w:lang w:val="pt-BR"/>
        </w:rPr>
        <w:t>o</w:t>
      </w:r>
      <w:r w:rsidRPr="00D65A20">
        <w:rPr>
          <w:rFonts w:ascii="Times New Roman" w:hAnsi="Times New Roman"/>
          <w:szCs w:val="22"/>
          <w:shd w:val="clear" w:color="auto" w:fill="FFFFFF"/>
          <w:lang w:val="pt-BR"/>
        </w:rPr>
        <w:t> </w:t>
      </w:r>
      <w:r w:rsidRPr="00D65A20">
        <w:rPr>
          <w:rFonts w:ascii="Times New Roman" w:hAnsi="Times New Roman"/>
          <w:szCs w:val="22"/>
          <w:lang w:val="pt-BR"/>
        </w:rPr>
        <w:t>em 11 de setembro de 2001; e</w:t>
      </w:r>
    </w:p>
    <w:p w14:paraId="64F18E2D"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lang w:val="pt-BR"/>
        </w:rPr>
      </w:pPr>
    </w:p>
    <w:p w14:paraId="21E84A10"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0"/>
        <w:rPr>
          <w:rFonts w:ascii="Times New Roman" w:hAnsi="Times New Roman"/>
          <w:bCs/>
          <w:szCs w:val="22"/>
          <w:lang w:val="pt-BR"/>
        </w:rPr>
      </w:pPr>
      <w:r w:rsidRPr="00D65A20">
        <w:rPr>
          <w:rFonts w:ascii="Times New Roman" w:hAnsi="Times New Roman"/>
          <w:szCs w:val="22"/>
          <w:lang w:val="pt-BR"/>
        </w:rPr>
        <w:t>REAFIRMANDO todos os mandatos constantes da resolução AG/RES. 2835 (XLIV-O/14), “Promoção e fortalecimento da democracia: Acompanhamento da Carta Democrática Interamericana”,</w:t>
      </w:r>
    </w:p>
    <w:p w14:paraId="035C1FE4"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r w:rsidRPr="00D65A20">
        <w:rPr>
          <w:rFonts w:ascii="Times New Roman" w:hAnsi="Times New Roman"/>
          <w:szCs w:val="22"/>
          <w:lang w:val="pt-BR"/>
        </w:rPr>
        <w:lastRenderedPageBreak/>
        <w:t>RESOLVE:</w:t>
      </w:r>
    </w:p>
    <w:p w14:paraId="00402DF9"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39304927"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szCs w:val="22"/>
          <w:lang w:val="pt-BR"/>
        </w:rPr>
      </w:pPr>
      <w:r w:rsidRPr="00D65A20">
        <w:rPr>
          <w:rFonts w:ascii="Times New Roman" w:hAnsi="Times New Roman"/>
          <w:szCs w:val="22"/>
          <w:lang w:val="pt-BR"/>
        </w:rPr>
        <w:t>1.</w:t>
      </w:r>
      <w:r w:rsidRPr="00D65A20">
        <w:rPr>
          <w:rFonts w:ascii="Times New Roman" w:hAnsi="Times New Roman"/>
          <w:szCs w:val="22"/>
          <w:lang w:val="pt-BR"/>
        </w:rPr>
        <w:tab/>
        <w:t>Reafirmar a obrigação dos Estados membros da Organização dos Estados Americanos (OEA) de promover e defender a democracia na região, como condição essencial para o desenvolvimento social, político e econômico dos povos da América</w:t>
      </w:r>
      <w:r w:rsidRPr="00D65A20">
        <w:rPr>
          <w:rFonts w:ascii="Times New Roman" w:hAnsi="Times New Roman"/>
          <w:i/>
          <w:szCs w:val="22"/>
          <w:lang w:val="pt-BR"/>
        </w:rPr>
        <w:t>.</w:t>
      </w:r>
    </w:p>
    <w:p w14:paraId="0C7330A5"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3A1DD2C7"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szCs w:val="22"/>
          <w:lang w:val="pt-BR"/>
        </w:rPr>
      </w:pPr>
      <w:r w:rsidRPr="00D65A20">
        <w:rPr>
          <w:rFonts w:ascii="Times New Roman" w:hAnsi="Times New Roman"/>
          <w:szCs w:val="22"/>
          <w:lang w:val="pt-BR"/>
        </w:rPr>
        <w:t>2.</w:t>
      </w:r>
      <w:r w:rsidRPr="00D65A20">
        <w:rPr>
          <w:rFonts w:ascii="Times New Roman" w:hAnsi="Times New Roman"/>
          <w:szCs w:val="22"/>
          <w:lang w:val="pt-BR"/>
        </w:rPr>
        <w:tab/>
        <w:t>Continuar promovendo o fortalecimento das instituições, valores, práticas e governabilidade democráticos, o combate à corrupção, a consolidação do Estado de Direito, a consecução do pleno gozo e exercício efetivo dos direitos humanos, bem como a redução da pobreza, da desigualdade e da exclusão social, mediante ações de cooperação entre os Estados membros nesses campos.</w:t>
      </w:r>
    </w:p>
    <w:p w14:paraId="252BF5E9"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2285A86A"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3.</w:t>
      </w:r>
      <w:r w:rsidRPr="00D65A20">
        <w:rPr>
          <w:rFonts w:ascii="Times New Roman" w:hAnsi="Times New Roman"/>
          <w:szCs w:val="22"/>
          <w:lang w:val="pt-BR"/>
        </w:rPr>
        <w:tab/>
        <w:t>Solicitar à Secretaria-Geral que continue ministrando programas de capacitação para promover os princípios, os valores e as práticas da cultura democrática, de acordo com os artigos 26 e 27 da Carta Democrática Interamericana, bem como para aperfeiçoar o conhecimento e promover a prática desse instrumento interamericano nos países do Hemisfério que assim o solicitem.</w:t>
      </w:r>
    </w:p>
    <w:p w14:paraId="7C9AA9E5"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5474A9A8"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lang w:val="pt-BR"/>
        </w:rPr>
      </w:pPr>
      <w:r w:rsidRPr="00D65A20">
        <w:rPr>
          <w:rFonts w:ascii="Times New Roman" w:hAnsi="Times New Roman"/>
          <w:color w:val="000000"/>
          <w:szCs w:val="22"/>
          <w:lang w:val="pt-BR"/>
        </w:rPr>
        <w:t>4.</w:t>
      </w:r>
      <w:r w:rsidRPr="00D65A20">
        <w:rPr>
          <w:rFonts w:ascii="Times New Roman" w:hAnsi="Times New Roman"/>
          <w:color w:val="000000"/>
          <w:szCs w:val="22"/>
          <w:lang w:val="pt-BR"/>
        </w:rPr>
        <w:tab/>
      </w:r>
      <w:r w:rsidRPr="00D65A20">
        <w:rPr>
          <w:rFonts w:ascii="Times New Roman" w:hAnsi="Times New Roman"/>
          <w:szCs w:val="22"/>
          <w:lang w:val="pt-BR"/>
        </w:rPr>
        <w:t>Reafirmar a vigência da Carta Democrática Interamericana como instrumento de promoção e defesa dos valores e princípios da democracia representativa na região, e encarregar o Conselho Permanente de promover a realização de uma sessão extraordinária para preparar a comemoração do Vigésimo Aniversário da Adoção da Carta Democrática Interamericana, com ênfase em uma reflexão sobre esse instrumento frente aos novos desafios, e de informar o Quinquagésimo Primeiro Período Ordinário de Sessões da Assembleia Geral sobre os resultados dessa sessão extraordinária.</w:t>
      </w:r>
    </w:p>
    <w:p w14:paraId="1A9D686D"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szCs w:val="22"/>
          <w:lang w:val="pt-BR"/>
        </w:rPr>
      </w:pPr>
    </w:p>
    <w:p w14:paraId="23BBE1A2" w14:textId="7CA2EEEC"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i/>
          <w:szCs w:val="22"/>
          <w:lang w:val="pt-BR"/>
        </w:rPr>
      </w:pPr>
      <w:r w:rsidRPr="00D65A20">
        <w:rPr>
          <w:rFonts w:ascii="Times New Roman" w:hAnsi="Times New Roman"/>
          <w:szCs w:val="22"/>
          <w:lang w:val="pt-BR"/>
        </w:rPr>
        <w:t>5.</w:t>
      </w:r>
      <w:r w:rsidR="003627D4">
        <w:rPr>
          <w:rFonts w:ascii="Times New Roman" w:hAnsi="Times New Roman"/>
          <w:szCs w:val="22"/>
          <w:lang w:val="pt-BR"/>
        </w:rPr>
        <w:tab/>
      </w:r>
      <w:r w:rsidRPr="00D65A20">
        <w:rPr>
          <w:rFonts w:ascii="Times New Roman" w:hAnsi="Times New Roman"/>
          <w:bCs/>
          <w:szCs w:val="22"/>
          <w:lang w:val="pt-BR"/>
        </w:rPr>
        <w:t>Solicitar à CAJP que colabore com a Comissão sobre Gestão de Cúpulas Interamericanas e Participação da Sociedade Civil nas Atividades da OEA a fim de ajudar a organizar, em coordenação com a Secretaria de Cúpulas das Américas, uma sessão especial conjunta no primeiro trimestre de 2021 sobre “Resiliência democrática, o papel da Carta Democrática Interamericana e o processo de Cúpulas”, com o objetivo de compartilhar possíveis recomendações para consideração com o Grupo de Revisão da Implementação de Cúpulas, antes da Nona Cúpula das Américas.</w:t>
      </w:r>
    </w:p>
    <w:p w14:paraId="79CBDAFD"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i/>
          <w:szCs w:val="22"/>
          <w:lang w:val="pt-BR"/>
        </w:rPr>
      </w:pPr>
    </w:p>
    <w:p w14:paraId="1C9D25A1" w14:textId="74AF1AC5"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lang w:val="pt-BR"/>
        </w:rPr>
      </w:pPr>
      <w:r w:rsidRPr="00D65A20">
        <w:rPr>
          <w:rFonts w:ascii="Times New Roman" w:hAnsi="Times New Roman"/>
          <w:szCs w:val="22"/>
          <w:lang w:val="pt-BR"/>
        </w:rPr>
        <w:t>6.</w:t>
      </w:r>
      <w:r w:rsidRPr="00D65A20">
        <w:rPr>
          <w:rFonts w:ascii="Times New Roman" w:hAnsi="Times New Roman"/>
          <w:b/>
          <w:szCs w:val="22"/>
          <w:lang w:val="pt-BR"/>
        </w:rPr>
        <w:tab/>
      </w:r>
      <w:r w:rsidRPr="00D65A20">
        <w:rPr>
          <w:rFonts w:ascii="Times New Roman" w:hAnsi="Times New Roman"/>
          <w:szCs w:val="22"/>
          <w:lang w:val="pt-BR"/>
        </w:rPr>
        <w:t>Promover a participação política das mulheres, inclusive como líderes eleitas, peritas técnicas em eleições, líderes engajadas da sociedade civil e eleitoras bem-informadas.</w:t>
      </w:r>
    </w:p>
    <w:p w14:paraId="53B965EE"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0A885081"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color w:val="000000"/>
          <w:szCs w:val="22"/>
          <w:u w:val="single"/>
          <w:lang w:val="pt-BR"/>
        </w:rPr>
      </w:pPr>
      <w:r w:rsidRPr="00D65A20">
        <w:rPr>
          <w:rFonts w:ascii="Times New Roman" w:eastAsia="Arial Unicode MS" w:hAnsi="Times New Roman"/>
          <w:szCs w:val="22"/>
          <w:lang w:val="pt-BR"/>
        </w:rPr>
        <w:t xml:space="preserve">vi. </w:t>
      </w:r>
      <w:r w:rsidRPr="00D65A20">
        <w:rPr>
          <w:rFonts w:ascii="Times New Roman" w:eastAsia="Arial Unicode MS" w:hAnsi="Times New Roman"/>
          <w:szCs w:val="22"/>
          <w:lang w:val="pt-BR"/>
        </w:rPr>
        <w:tab/>
      </w:r>
      <w:r w:rsidRPr="00D65A20">
        <w:rPr>
          <w:rFonts w:ascii="Times New Roman" w:hAnsi="Times New Roman"/>
          <w:color w:val="000000"/>
          <w:szCs w:val="22"/>
          <w:u w:val="single"/>
          <w:lang w:val="pt-BR"/>
        </w:rPr>
        <w:t>Acompanhamento da Convenção Interamericana contra a Corrupção e do Programa Interamericano de Cooperação para Combater a Corrupção</w:t>
      </w:r>
    </w:p>
    <w:p w14:paraId="2A850DB3"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lang w:val="pt-BR"/>
        </w:rPr>
      </w:pPr>
    </w:p>
    <w:p w14:paraId="4D6B65A4" w14:textId="71322A4F"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color w:val="000000"/>
          <w:szCs w:val="22"/>
          <w:lang w:val="pt-BR"/>
        </w:rPr>
        <w:t>LEVANDO EM CONTA o compromisso dos Estados membros com a prevenção e o combate da corrupção, disposto no Plano Estratégico Integral da Organização e nos mandatos emanados das Cúpulas das Américas, em especial os constantes do Compromisso de Lima: “Governabilidade democrática frente à corrupção”</w:t>
      </w:r>
      <w:r w:rsidR="006A3719" w:rsidRPr="006A3719">
        <w:rPr>
          <w:rFonts w:ascii="Times New Roman" w:hAnsi="Times New Roman"/>
          <w:szCs w:val="22"/>
          <w:u w:val="single"/>
          <w:vertAlign w:val="superscript"/>
          <w:lang w:val="pt-BR"/>
        </w:rPr>
        <w:footnoteReference w:id="60"/>
      </w:r>
      <w:r w:rsidR="006A3719" w:rsidRPr="006A3719">
        <w:rPr>
          <w:rFonts w:ascii="Times New Roman" w:hAnsi="Times New Roman"/>
          <w:color w:val="000000"/>
          <w:szCs w:val="22"/>
          <w:vertAlign w:val="superscript"/>
          <w:lang w:val="pt-BR"/>
        </w:rPr>
        <w:t>/</w:t>
      </w:r>
      <w:r w:rsidRPr="00D65A20">
        <w:rPr>
          <w:rFonts w:ascii="Times New Roman" w:hAnsi="Times New Roman"/>
          <w:color w:val="000000"/>
          <w:szCs w:val="22"/>
          <w:lang w:val="pt-BR"/>
        </w:rPr>
        <w:t>, aprovado em Lima, Peru, em abril de 2018, relacionados à Convenção Interamericana contra a Corrupção e seu Mecanismo de Acompanhamento (MESICIC); bem como no Programa Interamericano de Cooperação para Combater a Corrupção [AG/RES. 2275 (XXXVII-O/07)] e nas “Recomendações da Quarta Reunião da Conferência dos Estados Partes no MESICIC” (MESICIC/CEP-IV/doc.2/15 rev. 1),</w:t>
      </w:r>
    </w:p>
    <w:p w14:paraId="752B3081"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D65A20">
        <w:rPr>
          <w:rFonts w:ascii="Times New Roman" w:hAnsi="Times New Roman"/>
          <w:color w:val="000000"/>
          <w:szCs w:val="22"/>
          <w:lang w:val="pt-BR"/>
        </w:rPr>
        <w:lastRenderedPageBreak/>
        <w:t>RESOLVE:</w:t>
      </w:r>
    </w:p>
    <w:p w14:paraId="14F0B855"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71DC44E8"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rPr>
      </w:pPr>
      <w:bookmarkStart w:id="152" w:name="_Hlk37839102"/>
      <w:r w:rsidRPr="00D65A20">
        <w:rPr>
          <w:rFonts w:ascii="Times New Roman" w:hAnsi="Times New Roman"/>
          <w:color w:val="000000"/>
          <w:szCs w:val="22"/>
          <w:lang w:val="pt-BR"/>
        </w:rPr>
        <w:t>1.</w:t>
      </w:r>
      <w:r w:rsidRPr="00D65A20">
        <w:rPr>
          <w:rFonts w:ascii="Times New Roman" w:hAnsi="Times New Roman"/>
          <w:b/>
          <w:color w:val="000000"/>
          <w:szCs w:val="22"/>
          <w:lang w:val="pt-BR"/>
        </w:rPr>
        <w:tab/>
      </w:r>
      <w:r w:rsidRPr="00D65A20">
        <w:rPr>
          <w:rFonts w:ascii="Times New Roman" w:hAnsi="Times New Roman"/>
          <w:color w:val="000000"/>
          <w:szCs w:val="22"/>
          <w:lang w:val="pt-BR"/>
        </w:rPr>
        <w:t xml:space="preserve">Reafirmar o compromisso dos Estados membros de prevenir e enfrentar a corrupção de maneira decidida e promover a transparência na gestão pública e na relação público-privada, a prestação de contas, bem como seguir avançando na implementação efetiva das recomendações do Mecanismo de Acompanhamento da Implementação da Convenção Interamericana contra a Corrupção (MESICIC). </w:t>
      </w:r>
    </w:p>
    <w:bookmarkEnd w:id="152"/>
    <w:p w14:paraId="2A4C62AE"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4F72845A"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color w:val="000000"/>
          <w:szCs w:val="22"/>
          <w:lang w:val="pt-BR"/>
        </w:rPr>
      </w:pPr>
      <w:r w:rsidRPr="00D65A20">
        <w:rPr>
          <w:rFonts w:ascii="Times New Roman" w:hAnsi="Times New Roman"/>
          <w:color w:val="000000"/>
          <w:szCs w:val="22"/>
          <w:lang w:val="pt-BR"/>
        </w:rPr>
        <w:t>2.</w:t>
      </w:r>
      <w:r w:rsidRPr="00D65A20">
        <w:rPr>
          <w:rFonts w:ascii="Times New Roman" w:hAnsi="Times New Roman"/>
          <w:color w:val="000000"/>
          <w:szCs w:val="22"/>
          <w:lang w:val="pt-BR"/>
        </w:rPr>
        <w:tab/>
        <w:t>Expressar sua satisfação com a culminação bem-sucedida da Quinta Rodada de Análise da Comissão de Peritos do MESICIC, em sua Trigésima Quarta Reunião, realizada na sede da OEA, em Washington D.C, em março do corrente ano, bem como com a aprovação por parte do mesmo, nessa reunião, do Relatório Hemisférico da Quinta Rodada de Análise da Comissão de Peritos do MESICIC e das decisões necessárias para dar início à Sexta Rodada de Análise.</w:t>
      </w:r>
    </w:p>
    <w:p w14:paraId="774C540C"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rPr>
      </w:pPr>
    </w:p>
    <w:p w14:paraId="46414B04"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bCs/>
          <w:color w:val="000000"/>
          <w:szCs w:val="22"/>
          <w:lang w:val="pt-BR"/>
        </w:rPr>
      </w:pPr>
      <w:r w:rsidRPr="00D65A20">
        <w:rPr>
          <w:rFonts w:ascii="Times New Roman" w:hAnsi="Times New Roman"/>
          <w:color w:val="000000"/>
          <w:szCs w:val="22"/>
          <w:lang w:val="pt-BR"/>
        </w:rPr>
        <w:t>3.</w:t>
      </w:r>
      <w:r w:rsidRPr="00D65A20">
        <w:rPr>
          <w:rFonts w:ascii="Times New Roman" w:hAnsi="Times New Roman"/>
          <w:color w:val="000000"/>
          <w:szCs w:val="22"/>
          <w:lang w:val="pt-BR"/>
        </w:rPr>
        <w:tab/>
        <w:t>Encarregar o Departamento de Cooperação Jurídica da Secretaria de Assuntos Jurídicos, na qualidade de Secretaria Técnica do MESICIC, de continuar executando os mandatos constantes das “Recomendações da Quarta Reunião da Conferência dos Estados Partes no MESICIC” de acordo com os recursos alocados no orçamento-programa da Organização e outros recursos.</w:t>
      </w:r>
      <w:bookmarkStart w:id="153" w:name="_Hlk37840805"/>
    </w:p>
    <w:bookmarkEnd w:id="153"/>
    <w:p w14:paraId="51E7BFA1"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42AF61E6"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rPr>
      </w:pPr>
      <w:r w:rsidRPr="00D65A20">
        <w:rPr>
          <w:rFonts w:ascii="Times New Roman" w:hAnsi="Times New Roman"/>
          <w:color w:val="000000"/>
          <w:szCs w:val="22"/>
          <w:lang w:val="pt-BR"/>
        </w:rPr>
        <w:t>4.</w:t>
      </w:r>
      <w:r w:rsidRPr="00D65A20">
        <w:rPr>
          <w:rFonts w:ascii="Times New Roman" w:hAnsi="Times New Roman"/>
          <w:color w:val="000000"/>
          <w:szCs w:val="22"/>
          <w:lang w:val="pt-BR"/>
        </w:rPr>
        <w:tab/>
        <w:t>Encarregar também a Secretaria Técnica do MESICIC de continuar, no âmbito de suas competências, entre outras atividades, prestando apoio técnico e assessoria jurídica à Conferência dos Estados Partes e sua Comissão de Peritos e facilitando o intercâmbio de boas práticas e a cooperação, com vistas à consecução dos objetivos da Convenção Interamericana contra a Corrupção; continuar também prestando apoio técnico, conforme seja necessário, ao Programa Interamericano de Cooperação para Combater a Corrupção, mantendo o Portal Anticorrupção das Américas e realizando as gestões para obter recursos para o financiamento das atividades de cooperação regional, inclusive a cooperação jurídica contra a corrupção.</w:t>
      </w:r>
    </w:p>
    <w:p w14:paraId="5D4B894C"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35DF1329"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rPr>
      </w:pPr>
      <w:r w:rsidRPr="00D65A20">
        <w:rPr>
          <w:rFonts w:ascii="Times New Roman" w:hAnsi="Times New Roman"/>
          <w:szCs w:val="22"/>
          <w:lang w:val="pt-BR"/>
        </w:rPr>
        <w:t>5.</w:t>
      </w:r>
      <w:r w:rsidRPr="00D65A20">
        <w:rPr>
          <w:rFonts w:ascii="Times New Roman" w:hAnsi="Times New Roman"/>
          <w:szCs w:val="22"/>
          <w:lang w:val="pt-BR"/>
        </w:rPr>
        <w:tab/>
      </w:r>
      <w:r w:rsidRPr="00D65A20">
        <w:rPr>
          <w:rFonts w:ascii="Times New Roman" w:hAnsi="Times New Roman"/>
          <w:color w:val="000000"/>
          <w:szCs w:val="22"/>
          <w:lang w:val="pt-BR"/>
        </w:rPr>
        <w:t>Instar igualmente a Secretaria Técnica do MESICIC a que continue fortalecendo a coordenação e a colaboração com as secretarias de outros organismos, entidades e mecanismos de cooperação internacional nessa matéria, promovendo sinergias e uma cultura anticorrupção e cumprindo as demais funções que lhe são atribuídas no Documento de Buenos Aires e nos regulamentos da Conferência dos Estados Partes no MESICIC e de sua Comissão de Peritos.</w:t>
      </w:r>
    </w:p>
    <w:p w14:paraId="49EECA9C"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68DF9DC8"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bCs/>
          <w:color w:val="000000"/>
          <w:szCs w:val="22"/>
          <w:lang w:val="pt-BR"/>
        </w:rPr>
      </w:pPr>
      <w:r w:rsidRPr="00D65A20">
        <w:rPr>
          <w:rFonts w:ascii="Times New Roman" w:hAnsi="Times New Roman"/>
          <w:color w:val="000000"/>
          <w:szCs w:val="22"/>
          <w:lang w:val="pt-BR"/>
        </w:rPr>
        <w:t xml:space="preserve">6. </w:t>
      </w:r>
      <w:r w:rsidRPr="00D65A20">
        <w:rPr>
          <w:rFonts w:ascii="Times New Roman" w:hAnsi="Times New Roman"/>
          <w:color w:val="000000"/>
          <w:szCs w:val="22"/>
          <w:lang w:val="pt-BR"/>
        </w:rPr>
        <w:tab/>
        <w:t xml:space="preserve">Solicitar à </w:t>
      </w:r>
      <w:bookmarkStart w:id="154" w:name="_Hlk45724329"/>
      <w:r w:rsidRPr="00D65A20">
        <w:rPr>
          <w:rFonts w:ascii="Times New Roman" w:hAnsi="Times New Roman"/>
          <w:color w:val="000000"/>
          <w:szCs w:val="22"/>
          <w:lang w:val="pt-BR"/>
        </w:rPr>
        <w:t xml:space="preserve">Secretaria Técnica do MESICIC </w:t>
      </w:r>
      <w:bookmarkEnd w:id="154"/>
      <w:r w:rsidRPr="00D65A20">
        <w:rPr>
          <w:rFonts w:ascii="Times New Roman" w:hAnsi="Times New Roman"/>
          <w:color w:val="000000"/>
          <w:szCs w:val="22"/>
          <w:lang w:val="pt-BR"/>
        </w:rPr>
        <w:t xml:space="preserve">que, em coordenação com o </w:t>
      </w:r>
      <w:bookmarkStart w:id="155" w:name="_Hlk45724218"/>
      <w:r w:rsidRPr="00D65A20">
        <w:rPr>
          <w:rFonts w:ascii="Times New Roman" w:hAnsi="Times New Roman"/>
          <w:color w:val="000000"/>
          <w:szCs w:val="22"/>
          <w:lang w:val="pt-BR"/>
        </w:rPr>
        <w:t xml:space="preserve">Departamento para a Gestão Pública </w:t>
      </w:r>
      <w:bookmarkEnd w:id="155"/>
      <w:r w:rsidRPr="00D65A20">
        <w:rPr>
          <w:rFonts w:ascii="Times New Roman" w:hAnsi="Times New Roman"/>
          <w:color w:val="000000"/>
          <w:szCs w:val="22"/>
          <w:lang w:val="pt-BR"/>
        </w:rPr>
        <w:t xml:space="preserve">Efetiva, no âmbito de suas respectivas competências, </w:t>
      </w:r>
      <w:r w:rsidRPr="00D65A20">
        <w:rPr>
          <w:rFonts w:ascii="Times New Roman" w:hAnsi="Times New Roman"/>
          <w:bCs/>
          <w:color w:val="000000"/>
          <w:szCs w:val="22"/>
          <w:lang w:val="pt-BR"/>
        </w:rPr>
        <w:t>continue desenvolvendo medidas</w:t>
      </w:r>
      <w:r w:rsidRPr="00D65A20">
        <w:rPr>
          <w:rFonts w:ascii="Times New Roman" w:hAnsi="Times New Roman"/>
          <w:color w:val="000000"/>
          <w:szCs w:val="22"/>
          <w:lang w:val="pt-BR"/>
        </w:rPr>
        <w:t xml:space="preserve"> para facilitar a identificação de oportunidades e o oferecimento de cooperação técnica entre os Estados Partes que assim o solicitem, por meio do aproveitamento das capacidades do MECIGEP</w:t>
      </w:r>
      <w:bookmarkStart w:id="156" w:name="_Hlk46322039"/>
      <w:r w:rsidRPr="00D65A20">
        <w:rPr>
          <w:rFonts w:ascii="Times New Roman" w:hAnsi="Times New Roman"/>
          <w:bCs/>
          <w:color w:val="000000"/>
          <w:szCs w:val="22"/>
          <w:lang w:val="pt-BR"/>
        </w:rPr>
        <w:t>.</w:t>
      </w:r>
    </w:p>
    <w:p w14:paraId="65B4FD10"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bCs/>
          <w:color w:val="000000"/>
          <w:szCs w:val="22"/>
          <w:lang w:val="pt-BR"/>
        </w:rPr>
      </w:pPr>
    </w:p>
    <w:p w14:paraId="6B5D2EDE"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rPr>
      </w:pPr>
      <w:r w:rsidRPr="00D65A20">
        <w:rPr>
          <w:rFonts w:ascii="Times New Roman" w:hAnsi="Times New Roman"/>
          <w:color w:val="000000"/>
          <w:szCs w:val="22"/>
          <w:lang w:val="pt-BR"/>
        </w:rPr>
        <w:t>7.</w:t>
      </w:r>
      <w:r w:rsidRPr="00D65A20">
        <w:rPr>
          <w:rFonts w:ascii="Times New Roman" w:hAnsi="Times New Roman"/>
          <w:color w:val="000000"/>
          <w:szCs w:val="22"/>
          <w:lang w:val="pt-BR"/>
        </w:rPr>
        <w:tab/>
        <w:t>Tomar nota das contribuições efetuadas pela Secretaria Técnica do MESICIC, em coordenação com o Departamento para a Gestão Pública Efetiva, que tem a seu cargo a Secretaria Técnica do MECIGEP, na identificação de oportunidades para o oferecimento de cooperação técnica aos Estados Partes no MESICIC, em matéria de transparência na contratação pública e oferecimento de programas de capacitação em prevenção e combate à corrupção</w:t>
      </w:r>
      <w:bookmarkEnd w:id="156"/>
      <w:r w:rsidRPr="00D65A20">
        <w:rPr>
          <w:rFonts w:ascii="Times New Roman" w:hAnsi="Times New Roman"/>
          <w:color w:val="000000"/>
          <w:szCs w:val="22"/>
          <w:lang w:val="pt-BR"/>
        </w:rPr>
        <w:t>.</w:t>
      </w:r>
    </w:p>
    <w:p w14:paraId="70DBF59A"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416A17FF" w14:textId="11B4E194"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rPr>
      </w:pPr>
      <w:r w:rsidRPr="00D65A20">
        <w:rPr>
          <w:rFonts w:ascii="Times New Roman" w:hAnsi="Times New Roman"/>
          <w:color w:val="000000"/>
          <w:szCs w:val="22"/>
          <w:lang w:val="pt-BR"/>
        </w:rPr>
        <w:t>8.</w:t>
      </w:r>
      <w:r w:rsidRPr="00D65A20">
        <w:rPr>
          <w:rFonts w:ascii="Times New Roman" w:hAnsi="Times New Roman"/>
          <w:color w:val="000000"/>
          <w:szCs w:val="22"/>
          <w:lang w:val="pt-BR"/>
        </w:rPr>
        <w:tab/>
        <w:t xml:space="preserve">Solicitar que o MESICIC, no âmbito de suas competências e de acordo com os recursos alocados no orçamento-programa da Organização e outros recursos, continue </w:t>
      </w:r>
      <w:r w:rsidRPr="00D65A20">
        <w:rPr>
          <w:rFonts w:ascii="Times New Roman" w:hAnsi="Times New Roman"/>
          <w:color w:val="000000"/>
          <w:szCs w:val="22"/>
          <w:lang w:val="pt-BR"/>
        </w:rPr>
        <w:lastRenderedPageBreak/>
        <w:t>implementando os mandatos que lhe são atribuídos no Compromisso de Lima: “Governabilidade democrática frente à corrupção”,</w:t>
      </w:r>
      <w:r w:rsidRPr="006A3719">
        <w:rPr>
          <w:rFonts w:ascii="Times New Roman" w:hAnsi="Times New Roman"/>
          <w:szCs w:val="22"/>
          <w:u w:val="single"/>
          <w:vertAlign w:val="superscript"/>
          <w:lang w:val="pt-BR"/>
        </w:rPr>
        <w:footnoteReference w:id="61"/>
      </w:r>
      <w:r w:rsidR="006A3719">
        <w:rPr>
          <w:rFonts w:ascii="Times New Roman" w:hAnsi="Times New Roman"/>
          <w:color w:val="000000"/>
          <w:szCs w:val="22"/>
          <w:vertAlign w:val="superscript"/>
          <w:lang w:val="pt-BR"/>
        </w:rPr>
        <w:t>/</w:t>
      </w:r>
      <w:r w:rsidRPr="00D65A20">
        <w:rPr>
          <w:rFonts w:ascii="Times New Roman" w:hAnsi="Times New Roman"/>
          <w:color w:val="000000"/>
          <w:szCs w:val="22"/>
          <w:vertAlign w:val="superscript"/>
          <w:lang w:val="pt-BR"/>
        </w:rPr>
        <w:t xml:space="preserve"> </w:t>
      </w:r>
      <w:r w:rsidRPr="00D65A20">
        <w:rPr>
          <w:rFonts w:ascii="Times New Roman" w:hAnsi="Times New Roman"/>
          <w:color w:val="000000"/>
          <w:szCs w:val="22"/>
          <w:lang w:val="pt-BR"/>
        </w:rPr>
        <w:t>emanado da Oitava Cúpula das Américas, realizada em Lima, Peru, em abril de 2018, e informe o Conselho Permanente, por intermédio da Presidência da Comissão de Peritos do MESICIC, sobre os avanços nessa implementação, antes do Quinquagésimo Primeiro Período Ordinário de Sessões da Assembleia Geral.</w:t>
      </w:r>
    </w:p>
    <w:p w14:paraId="1E275FA4"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678CCD6C" w14:textId="07548BBC"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rPr>
      </w:pPr>
      <w:r w:rsidRPr="00D65A20">
        <w:rPr>
          <w:rFonts w:ascii="Times New Roman" w:hAnsi="Times New Roman"/>
          <w:color w:val="000000"/>
          <w:szCs w:val="22"/>
          <w:lang w:val="pt-BR"/>
        </w:rPr>
        <w:t>9.</w:t>
      </w:r>
      <w:r w:rsidRPr="00D65A20">
        <w:rPr>
          <w:rFonts w:ascii="Times New Roman" w:hAnsi="Times New Roman"/>
          <w:b/>
          <w:color w:val="000000"/>
          <w:szCs w:val="22"/>
          <w:lang w:val="pt-BR"/>
        </w:rPr>
        <w:tab/>
      </w:r>
      <w:r w:rsidRPr="00D65A20">
        <w:rPr>
          <w:rFonts w:ascii="Times New Roman" w:hAnsi="Times New Roman"/>
          <w:color w:val="000000"/>
          <w:szCs w:val="22"/>
          <w:lang w:val="pt-BR"/>
        </w:rPr>
        <w:t>Reconhecer</w:t>
      </w:r>
      <w:r w:rsidRPr="00D65A20">
        <w:rPr>
          <w:rFonts w:ascii="Times New Roman" w:hAnsi="Times New Roman"/>
          <w:b/>
          <w:color w:val="000000"/>
          <w:szCs w:val="22"/>
          <w:lang w:val="pt-BR"/>
        </w:rPr>
        <w:t xml:space="preserve"> </w:t>
      </w:r>
      <w:r w:rsidRPr="00D65A20">
        <w:rPr>
          <w:rFonts w:ascii="Times New Roman" w:hAnsi="Times New Roman"/>
          <w:color w:val="000000"/>
          <w:szCs w:val="22"/>
          <w:lang w:val="pt-BR"/>
        </w:rPr>
        <w:t xml:space="preserve">os avanços efetuados pelo MESICIC na implementação dos mandatos mencionados no parágrafo 8, em particular a consideração de uma proposta de indicadores para combater a impunidade nos atos de corrupção e o aumento de atividades de promoção de sinergias com outros mecanismos internacionais anticorrupção, como os da Organização das Nações Unidas, do Grupo de Estados contra a Corrupção (GRECO) </w:t>
      </w:r>
      <w:r w:rsidR="00107305" w:rsidRPr="00D65A20">
        <w:rPr>
          <w:rFonts w:ascii="Times New Roman" w:hAnsi="Times New Roman"/>
          <w:color w:val="000000"/>
          <w:szCs w:val="22"/>
          <w:lang w:val="pt-BR"/>
        </w:rPr>
        <w:t xml:space="preserve">do </w:t>
      </w:r>
      <w:r w:rsidRPr="00D65A20">
        <w:rPr>
          <w:rFonts w:ascii="Times New Roman" w:hAnsi="Times New Roman"/>
          <w:color w:val="000000"/>
          <w:szCs w:val="22"/>
          <w:lang w:val="pt-BR"/>
        </w:rPr>
        <w:t xml:space="preserve">Conselho da Europa, do Grupo de Trabalho Anticorrupção do G20 e da Organização para Cooperação e Desenvolvimento Econômico (OCDE). </w:t>
      </w:r>
    </w:p>
    <w:p w14:paraId="1FB1A6F1"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7D5E24F1"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color w:val="000000"/>
          <w:szCs w:val="22"/>
          <w:lang w:val="pt-BR"/>
        </w:rPr>
      </w:pPr>
      <w:r w:rsidRPr="00D65A20">
        <w:rPr>
          <w:rFonts w:ascii="Times New Roman" w:hAnsi="Times New Roman"/>
          <w:color w:val="000000"/>
          <w:szCs w:val="22"/>
          <w:lang w:val="pt-BR"/>
        </w:rPr>
        <w:t>10.</w:t>
      </w:r>
      <w:r w:rsidRPr="00D65A20">
        <w:rPr>
          <w:rFonts w:ascii="Times New Roman" w:hAnsi="Times New Roman"/>
          <w:color w:val="000000"/>
          <w:szCs w:val="22"/>
          <w:lang w:val="pt-BR"/>
        </w:rPr>
        <w:tab/>
        <w:t xml:space="preserve">Instar os Estados membros a que adotem medidas efetivas </w:t>
      </w:r>
      <w:r w:rsidRPr="00D65A20">
        <w:rPr>
          <w:rFonts w:ascii="Times New Roman" w:eastAsia="Arial Unicode MS" w:hAnsi="Times New Roman"/>
          <w:color w:val="000000"/>
          <w:szCs w:val="22"/>
          <w:lang w:val="pt-BR"/>
        </w:rPr>
        <w:t>para a recuperação de ativos</w:t>
      </w:r>
      <w:r w:rsidRPr="00D65A20">
        <w:rPr>
          <w:rFonts w:ascii="Times New Roman" w:hAnsi="Times New Roman"/>
          <w:color w:val="000000"/>
          <w:szCs w:val="22"/>
          <w:lang w:val="pt-BR"/>
        </w:rPr>
        <w:t xml:space="preserve"> roubados </w:t>
      </w:r>
      <w:r w:rsidRPr="00D65A20">
        <w:rPr>
          <w:rFonts w:ascii="Times New Roman" w:eastAsia="Arial Unicode MS" w:hAnsi="Times New Roman"/>
          <w:color w:val="000000"/>
          <w:szCs w:val="22"/>
          <w:lang w:val="pt-BR"/>
        </w:rPr>
        <w:t>e contra a elisão fiscal, bem como para combater a evasão fiscal,</w:t>
      </w:r>
      <w:r w:rsidRPr="00D65A20">
        <w:rPr>
          <w:rFonts w:ascii="Times New Roman" w:hAnsi="Times New Roman"/>
          <w:color w:val="000000"/>
          <w:szCs w:val="22"/>
          <w:lang w:val="pt-BR"/>
        </w:rPr>
        <w:t xml:space="preserve"> a lavagem de ativos </w:t>
      </w:r>
      <w:r w:rsidRPr="00D65A20">
        <w:rPr>
          <w:rFonts w:ascii="Times New Roman" w:eastAsia="Arial Unicode MS" w:hAnsi="Times New Roman"/>
          <w:color w:val="000000"/>
          <w:szCs w:val="22"/>
          <w:lang w:val="pt-BR"/>
        </w:rPr>
        <w:t>e os fluxos financeiros ilícitos</w:t>
      </w:r>
      <w:r w:rsidRPr="00D65A20">
        <w:rPr>
          <w:rFonts w:ascii="Times New Roman" w:hAnsi="Times New Roman"/>
          <w:color w:val="000000"/>
          <w:szCs w:val="22"/>
          <w:lang w:val="pt-BR"/>
        </w:rPr>
        <w:t xml:space="preserve"> resultantes da corrupção </w:t>
      </w:r>
      <w:r w:rsidRPr="00D65A20">
        <w:rPr>
          <w:rFonts w:ascii="Times New Roman" w:eastAsia="Arial Unicode MS" w:hAnsi="Times New Roman"/>
          <w:color w:val="000000"/>
          <w:szCs w:val="22"/>
          <w:lang w:val="pt-BR"/>
        </w:rPr>
        <w:t>e para a identificação de beneficiários finais</w:t>
      </w:r>
      <w:r w:rsidRPr="00D65A20">
        <w:rPr>
          <w:rFonts w:ascii="Times New Roman" w:hAnsi="Times New Roman"/>
          <w:color w:val="000000"/>
          <w:szCs w:val="22"/>
          <w:lang w:val="pt-BR"/>
        </w:rPr>
        <w:t>.</w:t>
      </w:r>
    </w:p>
    <w:p w14:paraId="1FBC3700"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1296C1CF" w14:textId="518166A4"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szCs w:val="22"/>
          <w:lang w:val="pt-BR"/>
        </w:rPr>
      </w:pPr>
      <w:r w:rsidRPr="00D65A20">
        <w:rPr>
          <w:rFonts w:ascii="Times New Roman" w:hAnsi="Times New Roman"/>
          <w:color w:val="000000"/>
          <w:szCs w:val="22"/>
          <w:lang w:val="pt-BR"/>
        </w:rPr>
        <w:tab/>
        <w:t>11.</w:t>
      </w:r>
      <w:r w:rsidRPr="00D65A20">
        <w:rPr>
          <w:rFonts w:ascii="Times New Roman" w:hAnsi="Times New Roman"/>
          <w:color w:val="000000"/>
          <w:szCs w:val="22"/>
          <w:lang w:val="pt-BR"/>
        </w:rPr>
        <w:tab/>
        <w:t>Incentivar os Estados membros e os Observadores Permanentes a que cooperem e apoiem o financiamento do MESICIC com o objetivo de assegurar o cumprimento de seus objetivos, reconhecendo as dificuldades que um déficit no orçamento da OEA pode representar para o trabalho do MESICIC.</w:t>
      </w:r>
    </w:p>
    <w:p w14:paraId="3C95EEA0"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5EF05474" w14:textId="77777777" w:rsidR="004A6B17" w:rsidRPr="00D65A20" w:rsidRDefault="004A6B17" w:rsidP="003627D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aps/>
          <w:szCs w:val="22"/>
          <w:lang w:val="pt-BR"/>
        </w:rPr>
      </w:pPr>
      <w:r w:rsidRPr="00D65A20">
        <w:rPr>
          <w:rFonts w:ascii="Times New Roman" w:hAnsi="Times New Roman"/>
          <w:szCs w:val="22"/>
          <w:lang w:val="pt-BR"/>
        </w:rPr>
        <w:t>vii.</w:t>
      </w:r>
      <w:r w:rsidRPr="00D65A20">
        <w:rPr>
          <w:rFonts w:ascii="Times New Roman" w:hAnsi="Times New Roman"/>
          <w:szCs w:val="22"/>
          <w:lang w:val="pt-BR"/>
        </w:rPr>
        <w:tab/>
      </w:r>
      <w:r w:rsidRPr="00D65A20">
        <w:rPr>
          <w:rFonts w:ascii="Times New Roman" w:hAnsi="Times New Roman"/>
          <w:bCs/>
          <w:szCs w:val="22"/>
          <w:u w:val="single"/>
          <w:lang w:val="pt-BR"/>
        </w:rPr>
        <w:t>Comissão Internacional contra a Impunidade em El Salvador (CICIES)</w:t>
      </w:r>
    </w:p>
    <w:p w14:paraId="44E4C84C" w14:textId="77777777" w:rsidR="004A6B17" w:rsidRPr="00D65A20" w:rsidRDefault="004A6B17" w:rsidP="004A6B17">
      <w:pPr>
        <w:widowControl/>
        <w:tabs>
          <w:tab w:val="clear" w:pos="1440"/>
          <w:tab w:val="clear" w:pos="2160"/>
          <w:tab w:val="clear" w:pos="2880"/>
          <w:tab w:val="clear" w:pos="3600"/>
          <w:tab w:val="clear" w:pos="4320"/>
          <w:tab w:val="clear" w:pos="5760"/>
          <w:tab w:val="clear" w:pos="6480"/>
          <w:tab w:val="clear" w:pos="7200"/>
          <w:tab w:val="clear" w:pos="7920"/>
        </w:tabs>
        <w:snapToGrid w:val="0"/>
        <w:ind w:right="61"/>
        <w:rPr>
          <w:rFonts w:ascii="Times New Roman" w:hAnsi="Times New Roman"/>
          <w:szCs w:val="22"/>
          <w:lang w:val="pt-BR"/>
        </w:rPr>
      </w:pPr>
    </w:p>
    <w:p w14:paraId="17E4E381" w14:textId="77777777" w:rsidR="004A6B17" w:rsidRPr="00D65A20" w:rsidRDefault="004A6B17" w:rsidP="004A6B17">
      <w:pPr>
        <w:widowControl/>
        <w:tabs>
          <w:tab w:val="clear" w:pos="1440"/>
          <w:tab w:val="clear" w:pos="2160"/>
          <w:tab w:val="clear" w:pos="2880"/>
          <w:tab w:val="clear" w:pos="3600"/>
          <w:tab w:val="clear" w:pos="4320"/>
          <w:tab w:val="clear" w:pos="5760"/>
          <w:tab w:val="clear" w:pos="6480"/>
          <w:tab w:val="clear" w:pos="7200"/>
          <w:tab w:val="clear" w:pos="7920"/>
        </w:tabs>
        <w:snapToGrid w:val="0"/>
        <w:ind w:right="58" w:firstLine="706"/>
        <w:rPr>
          <w:rFonts w:ascii="Times New Roman" w:hAnsi="Times New Roman"/>
          <w:szCs w:val="22"/>
          <w:lang w:val="pt-BR"/>
        </w:rPr>
      </w:pPr>
      <w:r w:rsidRPr="00D65A20">
        <w:rPr>
          <w:rFonts w:ascii="Times New Roman" w:hAnsi="Times New Roman"/>
          <w:szCs w:val="22"/>
          <w:lang w:val="pt-BR"/>
        </w:rPr>
        <w:t>LEVANDO EM CONTA a significativa contribuição das diversas missões especiais da OEA enviadas a diversos Estados membros da Organização, sobretudo em tempos de pandemia;</w:t>
      </w:r>
    </w:p>
    <w:p w14:paraId="42F881D0" w14:textId="77777777" w:rsidR="004A6B17" w:rsidRPr="00D65A20" w:rsidRDefault="004A6B17" w:rsidP="004A6B17">
      <w:pPr>
        <w:widowControl/>
        <w:tabs>
          <w:tab w:val="clear" w:pos="1440"/>
          <w:tab w:val="clear" w:pos="2160"/>
          <w:tab w:val="clear" w:pos="2880"/>
          <w:tab w:val="clear" w:pos="3600"/>
          <w:tab w:val="clear" w:pos="4320"/>
          <w:tab w:val="clear" w:pos="5760"/>
          <w:tab w:val="clear" w:pos="6480"/>
          <w:tab w:val="clear" w:pos="7200"/>
          <w:tab w:val="clear" w:pos="7920"/>
        </w:tabs>
        <w:snapToGrid w:val="0"/>
        <w:ind w:right="58"/>
        <w:rPr>
          <w:rFonts w:ascii="Times New Roman" w:hAnsi="Times New Roman"/>
          <w:szCs w:val="22"/>
          <w:lang w:val="pt-BR"/>
        </w:rPr>
      </w:pPr>
    </w:p>
    <w:p w14:paraId="5298DA02" w14:textId="77777777" w:rsidR="004A6B17" w:rsidRPr="00D65A20" w:rsidRDefault="004A6B17" w:rsidP="004A6B17">
      <w:pPr>
        <w:widowControl/>
        <w:tabs>
          <w:tab w:val="clear" w:pos="1440"/>
          <w:tab w:val="clear" w:pos="2160"/>
          <w:tab w:val="clear" w:pos="2880"/>
          <w:tab w:val="clear" w:pos="3600"/>
          <w:tab w:val="clear" w:pos="4320"/>
          <w:tab w:val="clear" w:pos="5760"/>
          <w:tab w:val="clear" w:pos="6480"/>
          <w:tab w:val="clear" w:pos="7200"/>
          <w:tab w:val="clear" w:pos="7920"/>
        </w:tabs>
        <w:snapToGrid w:val="0"/>
        <w:ind w:right="58"/>
        <w:rPr>
          <w:rFonts w:ascii="Times New Roman" w:hAnsi="Times New Roman"/>
          <w:szCs w:val="22"/>
          <w:lang w:val="pt-BR"/>
        </w:rPr>
      </w:pPr>
      <w:r w:rsidRPr="00D65A20">
        <w:rPr>
          <w:rFonts w:ascii="Times New Roman" w:hAnsi="Times New Roman"/>
          <w:szCs w:val="22"/>
          <w:lang w:val="pt-BR"/>
        </w:rPr>
        <w:tab/>
        <w:t>RESGATANDO a importância da luta contra a corrupção no Hemisfério e os diversos esforços que os países estão realizando para erradicar esse flagelo de nossas sociedades;</w:t>
      </w:r>
    </w:p>
    <w:p w14:paraId="4CF06993" w14:textId="77777777" w:rsidR="004A6B17" w:rsidRPr="00D65A20" w:rsidRDefault="004A6B17" w:rsidP="004A6B17">
      <w:pPr>
        <w:widowControl/>
        <w:tabs>
          <w:tab w:val="clear" w:pos="1440"/>
          <w:tab w:val="clear" w:pos="2160"/>
          <w:tab w:val="clear" w:pos="2880"/>
          <w:tab w:val="clear" w:pos="3600"/>
          <w:tab w:val="clear" w:pos="4320"/>
          <w:tab w:val="clear" w:pos="5760"/>
          <w:tab w:val="clear" w:pos="6480"/>
          <w:tab w:val="clear" w:pos="7200"/>
          <w:tab w:val="clear" w:pos="7920"/>
        </w:tabs>
        <w:snapToGrid w:val="0"/>
        <w:ind w:right="58"/>
        <w:rPr>
          <w:rFonts w:ascii="Times New Roman" w:hAnsi="Times New Roman"/>
          <w:szCs w:val="22"/>
          <w:lang w:val="pt-BR"/>
        </w:rPr>
      </w:pPr>
    </w:p>
    <w:p w14:paraId="3E0F06FE" w14:textId="77777777" w:rsidR="004A6B17" w:rsidRPr="00D65A20" w:rsidRDefault="004A6B17" w:rsidP="004A6B17">
      <w:pPr>
        <w:widowControl/>
        <w:tabs>
          <w:tab w:val="clear" w:pos="1440"/>
          <w:tab w:val="clear" w:pos="2160"/>
          <w:tab w:val="clear" w:pos="2880"/>
          <w:tab w:val="clear" w:pos="3600"/>
          <w:tab w:val="clear" w:pos="4320"/>
          <w:tab w:val="clear" w:pos="5760"/>
          <w:tab w:val="clear" w:pos="6480"/>
          <w:tab w:val="clear" w:pos="7200"/>
          <w:tab w:val="clear" w:pos="7920"/>
        </w:tabs>
        <w:snapToGrid w:val="0"/>
        <w:ind w:right="58"/>
        <w:rPr>
          <w:rFonts w:ascii="Times New Roman" w:hAnsi="Times New Roman"/>
          <w:szCs w:val="22"/>
          <w:lang w:val="pt-BR"/>
        </w:rPr>
      </w:pPr>
      <w:r w:rsidRPr="00D65A20">
        <w:rPr>
          <w:rFonts w:ascii="Times New Roman" w:hAnsi="Times New Roman"/>
          <w:szCs w:val="22"/>
          <w:lang w:val="pt-BR"/>
        </w:rPr>
        <w:tab/>
        <w:t>CONSIDERANDO que o artigo II.1 da Convenção Interamericana contra a Corrupção estabelece o propósito de “promover e fortalecer o desenvolvimento, por cada um dos Estados Partes, dos mecanismos necessários para prevenir, detectar, punir e erradicar a corrupção”;</w:t>
      </w:r>
    </w:p>
    <w:p w14:paraId="618C08E6" w14:textId="77777777" w:rsidR="004A6B17" w:rsidRPr="00D65A20" w:rsidRDefault="004A6B17" w:rsidP="004A6B17">
      <w:pPr>
        <w:widowControl/>
        <w:tabs>
          <w:tab w:val="clear" w:pos="1440"/>
          <w:tab w:val="clear" w:pos="2160"/>
          <w:tab w:val="clear" w:pos="2880"/>
          <w:tab w:val="clear" w:pos="3600"/>
          <w:tab w:val="clear" w:pos="4320"/>
          <w:tab w:val="clear" w:pos="5760"/>
          <w:tab w:val="clear" w:pos="6480"/>
          <w:tab w:val="clear" w:pos="7200"/>
          <w:tab w:val="clear" w:pos="7920"/>
        </w:tabs>
        <w:snapToGrid w:val="0"/>
        <w:ind w:right="58"/>
        <w:rPr>
          <w:rFonts w:ascii="Times New Roman" w:hAnsi="Times New Roman"/>
          <w:szCs w:val="22"/>
          <w:lang w:val="pt-BR"/>
        </w:rPr>
      </w:pPr>
    </w:p>
    <w:p w14:paraId="543E5C76" w14:textId="6E35508A" w:rsidR="004A6B17" w:rsidRPr="00D65A20" w:rsidRDefault="004A6B17" w:rsidP="004A6B17">
      <w:pPr>
        <w:widowControl/>
        <w:tabs>
          <w:tab w:val="clear" w:pos="1440"/>
          <w:tab w:val="clear" w:pos="2160"/>
          <w:tab w:val="clear" w:pos="2880"/>
          <w:tab w:val="clear" w:pos="3600"/>
          <w:tab w:val="clear" w:pos="4320"/>
          <w:tab w:val="clear" w:pos="5760"/>
          <w:tab w:val="clear" w:pos="6480"/>
          <w:tab w:val="clear" w:pos="7200"/>
          <w:tab w:val="clear" w:pos="7920"/>
        </w:tabs>
        <w:snapToGrid w:val="0"/>
        <w:ind w:right="58"/>
        <w:rPr>
          <w:rFonts w:ascii="Times New Roman" w:hAnsi="Times New Roman"/>
          <w:szCs w:val="22"/>
          <w:lang w:val="pt-BR"/>
        </w:rPr>
      </w:pPr>
      <w:r w:rsidRPr="00D65A20">
        <w:rPr>
          <w:rFonts w:ascii="Times New Roman" w:hAnsi="Times New Roman"/>
          <w:szCs w:val="22"/>
          <w:lang w:val="pt-BR"/>
        </w:rPr>
        <w:tab/>
        <w:t>DESTACANDO a criação da Comissão Internacional contra a Impunidade em El Salvador (CICIES), produto do acordo assinado entre o Governo da República de El Salvador e a Secretaria-Geral em 20 de setembro de 2019; e</w:t>
      </w:r>
    </w:p>
    <w:p w14:paraId="776DECD6" w14:textId="77777777" w:rsidR="004A6B17" w:rsidRPr="00D65A20" w:rsidRDefault="004A6B17" w:rsidP="004A6B17">
      <w:pPr>
        <w:widowControl/>
        <w:tabs>
          <w:tab w:val="clear" w:pos="1440"/>
          <w:tab w:val="clear" w:pos="2160"/>
          <w:tab w:val="clear" w:pos="2880"/>
          <w:tab w:val="clear" w:pos="3600"/>
          <w:tab w:val="clear" w:pos="4320"/>
          <w:tab w:val="clear" w:pos="5760"/>
          <w:tab w:val="clear" w:pos="6480"/>
          <w:tab w:val="clear" w:pos="7200"/>
          <w:tab w:val="clear" w:pos="7920"/>
        </w:tabs>
        <w:snapToGrid w:val="0"/>
        <w:ind w:right="58"/>
        <w:rPr>
          <w:rFonts w:ascii="Times New Roman" w:hAnsi="Times New Roman"/>
          <w:szCs w:val="22"/>
          <w:lang w:val="pt-BR"/>
        </w:rPr>
      </w:pPr>
    </w:p>
    <w:p w14:paraId="4F23C301" w14:textId="77777777" w:rsidR="004A6B17" w:rsidRPr="00D65A20" w:rsidRDefault="004A6B17" w:rsidP="004A6B17">
      <w:pPr>
        <w:widowControl/>
        <w:tabs>
          <w:tab w:val="clear" w:pos="1440"/>
          <w:tab w:val="clear" w:pos="2160"/>
          <w:tab w:val="clear" w:pos="2880"/>
          <w:tab w:val="clear" w:pos="3600"/>
          <w:tab w:val="clear" w:pos="4320"/>
          <w:tab w:val="clear" w:pos="5760"/>
          <w:tab w:val="clear" w:pos="6480"/>
          <w:tab w:val="clear" w:pos="7200"/>
          <w:tab w:val="clear" w:pos="7920"/>
        </w:tabs>
        <w:snapToGrid w:val="0"/>
        <w:ind w:right="58"/>
        <w:rPr>
          <w:rFonts w:ascii="Times New Roman" w:hAnsi="Times New Roman"/>
          <w:szCs w:val="22"/>
          <w:lang w:val="pt-BR"/>
        </w:rPr>
      </w:pPr>
      <w:r w:rsidRPr="00D65A20">
        <w:rPr>
          <w:rFonts w:ascii="Times New Roman" w:hAnsi="Times New Roman"/>
          <w:szCs w:val="22"/>
          <w:lang w:val="pt-BR"/>
        </w:rPr>
        <w:tab/>
        <w:t>CONSIDERANDO a necessidade de garantir o completo e adequado funcionamento da CICIES, com caráter autônomo, independente, neutro e transparente, a fim de alcançar os objetivos de acompanhar e fortalecer as capacidades do Governo de El Salvador e suas instituições na luta contra a corrupção,</w:t>
      </w:r>
    </w:p>
    <w:p w14:paraId="29FCE18B"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754F8F12" w14:textId="77777777" w:rsidR="00B36B09" w:rsidRDefault="00B36B09"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r>
        <w:rPr>
          <w:rFonts w:ascii="Times New Roman" w:hAnsi="Times New Roman"/>
          <w:szCs w:val="22"/>
          <w:lang w:val="pt-BR"/>
        </w:rPr>
        <w:br w:type="page"/>
      </w:r>
    </w:p>
    <w:p w14:paraId="656565B7" w14:textId="1450A82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r w:rsidRPr="00D65A20">
        <w:rPr>
          <w:rFonts w:ascii="Times New Roman" w:hAnsi="Times New Roman"/>
          <w:szCs w:val="22"/>
          <w:lang w:val="pt-BR"/>
        </w:rPr>
        <w:lastRenderedPageBreak/>
        <w:t>RESOLVE:</w:t>
      </w:r>
    </w:p>
    <w:p w14:paraId="7DFBFD9C" w14:textId="77777777" w:rsidR="004A6B17" w:rsidRPr="00D65A20" w:rsidRDefault="004A6B17" w:rsidP="004A6B17">
      <w:pPr>
        <w:widowControl/>
        <w:tabs>
          <w:tab w:val="clear" w:pos="1440"/>
          <w:tab w:val="clear" w:pos="2160"/>
          <w:tab w:val="clear" w:pos="2880"/>
          <w:tab w:val="clear" w:pos="3600"/>
          <w:tab w:val="clear" w:pos="4320"/>
          <w:tab w:val="clear" w:pos="5760"/>
          <w:tab w:val="clear" w:pos="6480"/>
          <w:tab w:val="clear" w:pos="7200"/>
          <w:tab w:val="clear" w:pos="7920"/>
        </w:tabs>
        <w:snapToGrid w:val="0"/>
        <w:ind w:right="61"/>
        <w:rPr>
          <w:rFonts w:ascii="Times New Roman" w:hAnsi="Times New Roman"/>
          <w:szCs w:val="22"/>
          <w:lang w:val="pt-BR"/>
        </w:rPr>
      </w:pPr>
    </w:p>
    <w:p w14:paraId="473D4B99" w14:textId="77777777" w:rsidR="004A6B17" w:rsidRPr="00D65A20" w:rsidRDefault="004A6B17" w:rsidP="004A6B17">
      <w:pPr>
        <w:widowControl/>
        <w:tabs>
          <w:tab w:val="clear" w:pos="1440"/>
          <w:tab w:val="clear" w:pos="2160"/>
          <w:tab w:val="clear" w:pos="2880"/>
          <w:tab w:val="clear" w:pos="3600"/>
          <w:tab w:val="clear" w:pos="4320"/>
          <w:tab w:val="clear" w:pos="5760"/>
          <w:tab w:val="clear" w:pos="6480"/>
          <w:tab w:val="clear" w:pos="7200"/>
          <w:tab w:val="clear" w:pos="7920"/>
        </w:tabs>
        <w:snapToGrid w:val="0"/>
        <w:ind w:right="58"/>
        <w:rPr>
          <w:rFonts w:ascii="Times New Roman" w:hAnsi="Times New Roman"/>
          <w:szCs w:val="22"/>
          <w:lang w:val="pt-BR"/>
        </w:rPr>
      </w:pPr>
      <w:r w:rsidRPr="00D65A20">
        <w:rPr>
          <w:rFonts w:ascii="Times New Roman" w:hAnsi="Times New Roman"/>
          <w:szCs w:val="22"/>
          <w:lang w:val="pt-BR"/>
        </w:rPr>
        <w:tab/>
        <w:t>1.</w:t>
      </w:r>
      <w:r w:rsidRPr="00D65A20">
        <w:rPr>
          <w:rFonts w:ascii="Times New Roman" w:hAnsi="Times New Roman"/>
          <w:szCs w:val="22"/>
          <w:lang w:val="pt-BR"/>
        </w:rPr>
        <w:tab/>
        <w:t>Reconhecer o desempenho das diversas missões especiais da OEA e o papel decisivo que cumpriram em seus propósitos de contribuir para a obtenção da estabilidade, paz, segurança, diálogo e desenvolvimento dos povos das Américas.</w:t>
      </w:r>
    </w:p>
    <w:p w14:paraId="158A053A" w14:textId="77777777" w:rsidR="004A6B17" w:rsidRPr="00D65A20" w:rsidRDefault="004A6B17" w:rsidP="004A6B17">
      <w:pPr>
        <w:widowControl/>
        <w:tabs>
          <w:tab w:val="clear" w:pos="1440"/>
          <w:tab w:val="clear" w:pos="2160"/>
          <w:tab w:val="clear" w:pos="2880"/>
          <w:tab w:val="clear" w:pos="3600"/>
          <w:tab w:val="clear" w:pos="4320"/>
          <w:tab w:val="clear" w:pos="5760"/>
          <w:tab w:val="clear" w:pos="6480"/>
          <w:tab w:val="clear" w:pos="7200"/>
          <w:tab w:val="clear" w:pos="7920"/>
        </w:tabs>
        <w:snapToGrid w:val="0"/>
        <w:ind w:right="58"/>
        <w:rPr>
          <w:rFonts w:ascii="Times New Roman" w:hAnsi="Times New Roman"/>
          <w:szCs w:val="22"/>
          <w:lang w:val="pt-BR"/>
        </w:rPr>
      </w:pPr>
    </w:p>
    <w:p w14:paraId="6AF730F9" w14:textId="3D4B1C34" w:rsidR="004A6B17" w:rsidRPr="00D65A20" w:rsidRDefault="004A6B17" w:rsidP="004A6B17">
      <w:pPr>
        <w:widowControl/>
        <w:tabs>
          <w:tab w:val="clear" w:pos="1440"/>
          <w:tab w:val="clear" w:pos="2160"/>
          <w:tab w:val="clear" w:pos="2880"/>
          <w:tab w:val="clear" w:pos="3600"/>
          <w:tab w:val="clear" w:pos="4320"/>
          <w:tab w:val="clear" w:pos="5760"/>
          <w:tab w:val="clear" w:pos="6480"/>
          <w:tab w:val="clear" w:pos="7200"/>
          <w:tab w:val="clear" w:pos="7920"/>
        </w:tabs>
        <w:snapToGrid w:val="0"/>
        <w:ind w:right="58"/>
        <w:rPr>
          <w:rFonts w:ascii="Times New Roman" w:hAnsi="Times New Roman"/>
          <w:szCs w:val="22"/>
          <w:lang w:val="pt-BR"/>
        </w:rPr>
      </w:pPr>
      <w:r w:rsidRPr="00D65A20">
        <w:rPr>
          <w:rFonts w:ascii="Times New Roman" w:hAnsi="Times New Roman"/>
          <w:szCs w:val="22"/>
          <w:lang w:val="pt-BR"/>
        </w:rPr>
        <w:tab/>
        <w:t>2.</w:t>
      </w:r>
      <w:r w:rsidRPr="00D65A20">
        <w:rPr>
          <w:rFonts w:ascii="Times New Roman" w:hAnsi="Times New Roman"/>
          <w:szCs w:val="22"/>
          <w:lang w:val="pt-BR"/>
        </w:rPr>
        <w:tab/>
        <w:t>Apoiar e impulsionar o trabalho que a Comissão Internacional contra a Impunidade em El Salvador (CICIES) vem realizando a fim de apoiar tecnicamente o Governo de El Salvador e suas instituições em seus esforços de lutar contra os casos de corrupção no país.</w:t>
      </w:r>
    </w:p>
    <w:p w14:paraId="281EB56C" w14:textId="77777777" w:rsidR="004A6B17" w:rsidRPr="00D65A20" w:rsidRDefault="004A6B17" w:rsidP="004A6B17">
      <w:pPr>
        <w:widowControl/>
        <w:tabs>
          <w:tab w:val="clear" w:pos="1440"/>
          <w:tab w:val="clear" w:pos="2160"/>
          <w:tab w:val="clear" w:pos="2880"/>
          <w:tab w:val="clear" w:pos="3600"/>
          <w:tab w:val="clear" w:pos="4320"/>
          <w:tab w:val="clear" w:pos="5760"/>
          <w:tab w:val="clear" w:pos="6480"/>
          <w:tab w:val="clear" w:pos="7200"/>
          <w:tab w:val="clear" w:pos="7920"/>
        </w:tabs>
        <w:snapToGrid w:val="0"/>
        <w:ind w:right="58"/>
        <w:rPr>
          <w:rFonts w:ascii="Times New Roman" w:hAnsi="Times New Roman"/>
          <w:szCs w:val="22"/>
          <w:lang w:val="pt-BR"/>
        </w:rPr>
      </w:pPr>
    </w:p>
    <w:p w14:paraId="3D22B88A" w14:textId="77777777" w:rsidR="004A6B17" w:rsidRPr="00D65A20" w:rsidRDefault="004A6B17" w:rsidP="004A6B17">
      <w:pPr>
        <w:widowControl/>
        <w:tabs>
          <w:tab w:val="clear" w:pos="1440"/>
          <w:tab w:val="clear" w:pos="2160"/>
          <w:tab w:val="clear" w:pos="2880"/>
          <w:tab w:val="clear" w:pos="3600"/>
          <w:tab w:val="clear" w:pos="4320"/>
          <w:tab w:val="clear" w:pos="5760"/>
          <w:tab w:val="clear" w:pos="6480"/>
          <w:tab w:val="clear" w:pos="7200"/>
          <w:tab w:val="clear" w:pos="7920"/>
        </w:tabs>
        <w:snapToGrid w:val="0"/>
        <w:ind w:right="58"/>
        <w:rPr>
          <w:rFonts w:ascii="Times New Roman" w:hAnsi="Times New Roman"/>
          <w:szCs w:val="22"/>
          <w:lang w:val="pt-BR"/>
        </w:rPr>
      </w:pPr>
      <w:r w:rsidRPr="00D65A20">
        <w:rPr>
          <w:rFonts w:ascii="Times New Roman" w:hAnsi="Times New Roman"/>
          <w:szCs w:val="22"/>
          <w:lang w:val="pt-BR"/>
        </w:rPr>
        <w:tab/>
        <w:t>3.</w:t>
      </w:r>
      <w:r w:rsidRPr="00D65A20">
        <w:rPr>
          <w:rFonts w:ascii="Times New Roman" w:hAnsi="Times New Roman"/>
          <w:szCs w:val="22"/>
          <w:lang w:val="pt-BR"/>
        </w:rPr>
        <w:tab/>
        <w:t>Convidar os Estados membros e os Estados observadores a apoiar economicamente o trabalho realizado pela CICIES, assegurando o financiamento que lhe permita cumprir suas metas e objetivos.</w:t>
      </w:r>
    </w:p>
    <w:p w14:paraId="780E6AD5" w14:textId="77777777" w:rsidR="004A6B17" w:rsidRPr="00D65A20" w:rsidRDefault="004A6B17" w:rsidP="004A6B17">
      <w:pPr>
        <w:widowControl/>
        <w:tabs>
          <w:tab w:val="clear" w:pos="1440"/>
          <w:tab w:val="clear" w:pos="2160"/>
          <w:tab w:val="clear" w:pos="2880"/>
          <w:tab w:val="clear" w:pos="3600"/>
          <w:tab w:val="clear" w:pos="4320"/>
          <w:tab w:val="clear" w:pos="5760"/>
          <w:tab w:val="clear" w:pos="6480"/>
          <w:tab w:val="clear" w:pos="7200"/>
          <w:tab w:val="clear" w:pos="7920"/>
        </w:tabs>
        <w:snapToGrid w:val="0"/>
        <w:ind w:right="58"/>
        <w:rPr>
          <w:rFonts w:ascii="Times New Roman" w:hAnsi="Times New Roman"/>
          <w:b/>
          <w:szCs w:val="22"/>
          <w:lang w:val="pt-BR"/>
        </w:rPr>
      </w:pPr>
    </w:p>
    <w:p w14:paraId="5C257260" w14:textId="77777777" w:rsidR="004A6B17" w:rsidRPr="00D65A20" w:rsidRDefault="004A6B17" w:rsidP="004A6B17">
      <w:pPr>
        <w:widowControl/>
        <w:tabs>
          <w:tab w:val="clear" w:pos="1440"/>
          <w:tab w:val="clear" w:pos="2160"/>
          <w:tab w:val="clear" w:pos="2880"/>
          <w:tab w:val="clear" w:pos="3600"/>
          <w:tab w:val="clear" w:pos="4320"/>
          <w:tab w:val="clear" w:pos="5760"/>
          <w:tab w:val="clear" w:pos="6480"/>
          <w:tab w:val="clear" w:pos="7200"/>
          <w:tab w:val="clear" w:pos="7920"/>
        </w:tabs>
        <w:snapToGrid w:val="0"/>
        <w:ind w:right="58"/>
        <w:rPr>
          <w:rFonts w:ascii="Times New Roman" w:hAnsi="Times New Roman"/>
          <w:szCs w:val="22"/>
          <w:lang w:val="pt-BR"/>
        </w:rPr>
      </w:pPr>
      <w:r w:rsidRPr="00D65A20">
        <w:rPr>
          <w:rFonts w:ascii="Times New Roman" w:hAnsi="Times New Roman"/>
          <w:szCs w:val="22"/>
          <w:lang w:val="pt-BR"/>
        </w:rPr>
        <w:tab/>
        <w:t>4.</w:t>
      </w:r>
      <w:r w:rsidRPr="00D65A20">
        <w:rPr>
          <w:rFonts w:ascii="Times New Roman" w:hAnsi="Times New Roman"/>
          <w:szCs w:val="22"/>
          <w:lang w:val="pt-BR"/>
        </w:rPr>
        <w:tab/>
        <w:t>Encarregar a Secretaria-Geral de continuar apoiando o trabalho da CICIES até a consecução das metas propostas no acordo celebrado com a República de El Salvador.</w:t>
      </w:r>
    </w:p>
    <w:p w14:paraId="23A1B69A"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highlight w:val="yellow"/>
          <w:lang w:val="pt-BR"/>
        </w:rPr>
      </w:pPr>
    </w:p>
    <w:p w14:paraId="0DE6F0BD" w14:textId="77777777" w:rsidR="004A6B17" w:rsidRPr="00D65A20" w:rsidRDefault="004A6B17" w:rsidP="004A6B17">
      <w:pPr>
        <w:widowControl/>
        <w:rPr>
          <w:rFonts w:ascii="Times New Roman" w:hAnsi="Times New Roman"/>
          <w:szCs w:val="22"/>
          <w:u w:val="single"/>
          <w:lang w:val="pt-BR"/>
        </w:rPr>
      </w:pPr>
      <w:r w:rsidRPr="00D65A20">
        <w:rPr>
          <w:rFonts w:ascii="Times New Roman" w:hAnsi="Times New Roman"/>
          <w:szCs w:val="22"/>
          <w:lang w:val="pt-BR"/>
        </w:rPr>
        <w:t>viii.</w:t>
      </w:r>
      <w:r w:rsidRPr="00D65A20">
        <w:rPr>
          <w:rFonts w:ascii="Times New Roman" w:hAnsi="Times New Roman"/>
          <w:szCs w:val="22"/>
          <w:lang w:val="pt-BR"/>
        </w:rPr>
        <w:tab/>
      </w:r>
      <w:r w:rsidRPr="00D65A20">
        <w:rPr>
          <w:rFonts w:ascii="Times New Roman" w:hAnsi="Times New Roman"/>
          <w:szCs w:val="22"/>
          <w:u w:val="single"/>
          <w:lang w:val="pt-BR"/>
        </w:rPr>
        <w:t>Governo digital, aberto e transparente</w:t>
      </w:r>
    </w:p>
    <w:p w14:paraId="6FAE3E60" w14:textId="77777777" w:rsidR="004A6B17" w:rsidRPr="00D65A20" w:rsidRDefault="004A6B17" w:rsidP="004A6B17">
      <w:pPr>
        <w:widowControl/>
        <w:rPr>
          <w:rFonts w:ascii="Times New Roman" w:hAnsi="Times New Roman"/>
          <w:szCs w:val="22"/>
          <w:lang w:val="pt-BR"/>
        </w:rPr>
      </w:pPr>
    </w:p>
    <w:p w14:paraId="0A9BE02A" w14:textId="77777777" w:rsidR="004A6B17" w:rsidRPr="00D65A20" w:rsidRDefault="004A6B17" w:rsidP="004A6B17">
      <w:pPr>
        <w:widowControl/>
        <w:rPr>
          <w:rFonts w:ascii="Times New Roman" w:hAnsi="Times New Roman"/>
          <w:szCs w:val="22"/>
          <w:lang w:val="pt-BR"/>
        </w:rPr>
      </w:pPr>
      <w:r w:rsidRPr="00D65A20">
        <w:rPr>
          <w:rFonts w:ascii="Times New Roman" w:hAnsi="Times New Roman"/>
          <w:szCs w:val="22"/>
          <w:lang w:val="pt-BR"/>
        </w:rPr>
        <w:tab/>
        <w:t>RECONHECENDO o Compromisso de Buenos Aires da Décima Terceira Assembleia Anual da Rede de Governo Eletrônico da América Latina e do Caribe (Rede GEALC), reconhecida como Rede Interamericana de Governo Digital segundo a resolução AG/RES. 2931 (XLIX-O/19), realizada em 30 de outubro de 2019 na Cidade Autônoma de Buenos Aires, República Argentina, em particular no que se refere a “fomentar a participação de todos os Estados membros da OEA na Rede GEALC”;</w:t>
      </w:r>
    </w:p>
    <w:p w14:paraId="18F36554"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4C831896"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szCs w:val="22"/>
          <w:lang w:val="pt-BR"/>
        </w:rPr>
      </w:pPr>
      <w:r w:rsidRPr="00D65A20">
        <w:rPr>
          <w:rFonts w:ascii="Times New Roman" w:hAnsi="Times New Roman"/>
          <w:szCs w:val="22"/>
          <w:lang w:val="pt-BR"/>
        </w:rPr>
        <w:t>LEVANDO EM CONTA que fortalecer a democracia é uma tarefa permanente com a qual nossos Estados se comprometem diariamente e que os dados abertos são uma ferramenta fundamental para promover a transparência e combater a corrupção sob uma perspectiva do direito de acesso à informação e prestação de contas, que ajudam os cidadãos a ter um maior conhecimento sobre os assuntos públicos que lhes permita participar de maneira informada na formulação, desenvolvimento e implementação de políticas públicas, e que, mediante a resolução AG/RES. 2931 (XLIX-O/19), foi aprovado o Programa Interamericano de Dados Abertos para combater a corrupção;</w:t>
      </w:r>
      <w:r w:rsidRPr="00D65A20">
        <w:rPr>
          <w:rFonts w:ascii="Times New Roman" w:hAnsi="Times New Roman"/>
          <w:szCs w:val="22"/>
          <w:u w:val="single"/>
          <w:vertAlign w:val="superscript"/>
          <w:lang w:val="pt-BR"/>
        </w:rPr>
        <w:footnoteReference w:id="62"/>
      </w:r>
      <w:r w:rsidRPr="00D65A20">
        <w:rPr>
          <w:rFonts w:ascii="Times New Roman" w:hAnsi="Times New Roman"/>
          <w:szCs w:val="22"/>
          <w:vertAlign w:val="superscript"/>
          <w:lang w:val="pt-BR"/>
        </w:rPr>
        <w:t>/</w:t>
      </w:r>
    </w:p>
    <w:p w14:paraId="5C5320DC" w14:textId="77777777" w:rsidR="004A6B17" w:rsidRPr="00D65A20" w:rsidRDefault="004A6B17" w:rsidP="004A6B17">
      <w:pPr>
        <w:widowControl/>
        <w:tabs>
          <w:tab w:val="clear" w:pos="1440"/>
          <w:tab w:val="clear" w:pos="2160"/>
          <w:tab w:val="clear" w:pos="2880"/>
          <w:tab w:val="clear" w:pos="3600"/>
          <w:tab w:val="clear" w:pos="4320"/>
          <w:tab w:val="clear" w:pos="5760"/>
          <w:tab w:val="clear" w:pos="6480"/>
          <w:tab w:val="clear" w:pos="7200"/>
          <w:tab w:val="clear" w:pos="7920"/>
        </w:tabs>
        <w:snapToGrid w:val="0"/>
        <w:ind w:right="61"/>
        <w:rPr>
          <w:rFonts w:ascii="Times New Roman" w:hAnsi="Times New Roman"/>
          <w:bCs/>
          <w:szCs w:val="22"/>
          <w:lang w:val="pt-BR"/>
        </w:rPr>
      </w:pPr>
    </w:p>
    <w:p w14:paraId="7C20871D" w14:textId="77777777" w:rsidR="004A6B17" w:rsidRPr="00D65A20" w:rsidRDefault="004A6B17" w:rsidP="004A6B17">
      <w:pPr>
        <w:widowControl/>
        <w:tabs>
          <w:tab w:val="clear" w:pos="1440"/>
          <w:tab w:val="clear" w:pos="2160"/>
          <w:tab w:val="clear" w:pos="2880"/>
          <w:tab w:val="clear" w:pos="3600"/>
          <w:tab w:val="clear" w:pos="4320"/>
          <w:tab w:val="clear" w:pos="5760"/>
          <w:tab w:val="clear" w:pos="6480"/>
          <w:tab w:val="clear" w:pos="7200"/>
          <w:tab w:val="clear" w:pos="7920"/>
        </w:tabs>
        <w:snapToGrid w:val="0"/>
        <w:ind w:right="61"/>
        <w:rPr>
          <w:rFonts w:ascii="Times New Roman" w:hAnsi="Times New Roman"/>
          <w:bCs/>
          <w:szCs w:val="22"/>
          <w:lang w:val="pt-BR"/>
        </w:rPr>
      </w:pPr>
      <w:r w:rsidRPr="00D65A20">
        <w:rPr>
          <w:rFonts w:ascii="Times New Roman" w:hAnsi="Times New Roman"/>
          <w:bCs/>
          <w:szCs w:val="22"/>
          <w:lang w:val="pt-BR"/>
        </w:rPr>
        <w:tab/>
        <w:t>RECONHECENDO que a pandemia de covid-19 veio abalar muitas certezas das nossas sociedades e aceitando que toda crise implica uma excepcionalidade, que se instaura com o objetivo de restabelecer uma ordem que proporcione segurança pública, respostas e cuidados à cidadania, sendo esse o risco e a oportunidade das democracias. Reconhecendo, ademais, que a prevenção e atenção à covid-19 requer dos Estados respostas integrais que materializem a transparência, a colaboração e a prestação de contas, em um ambiente de governança digital acelerada;</w:t>
      </w:r>
    </w:p>
    <w:p w14:paraId="06EC52A8" w14:textId="77777777" w:rsidR="004A6B17" w:rsidRPr="00D65A20" w:rsidRDefault="004A6B17" w:rsidP="004A6B17">
      <w:pPr>
        <w:widowControl/>
        <w:tabs>
          <w:tab w:val="clear" w:pos="1440"/>
          <w:tab w:val="clear" w:pos="2160"/>
          <w:tab w:val="clear" w:pos="2880"/>
          <w:tab w:val="clear" w:pos="3600"/>
          <w:tab w:val="clear" w:pos="4320"/>
          <w:tab w:val="clear" w:pos="5760"/>
          <w:tab w:val="clear" w:pos="6480"/>
          <w:tab w:val="clear" w:pos="7200"/>
          <w:tab w:val="clear" w:pos="7920"/>
        </w:tabs>
        <w:snapToGrid w:val="0"/>
        <w:ind w:right="61"/>
        <w:rPr>
          <w:rFonts w:ascii="Times New Roman" w:hAnsi="Times New Roman"/>
          <w:bCs/>
          <w:szCs w:val="22"/>
          <w:lang w:val="pt-BR"/>
        </w:rPr>
      </w:pPr>
    </w:p>
    <w:p w14:paraId="332BB8E5" w14:textId="77777777" w:rsidR="004A6B17" w:rsidRPr="00D65A20" w:rsidRDefault="004A6B17" w:rsidP="004A6B17">
      <w:pPr>
        <w:widowControl/>
        <w:tabs>
          <w:tab w:val="clear" w:pos="1440"/>
          <w:tab w:val="clear" w:pos="2160"/>
          <w:tab w:val="clear" w:pos="2880"/>
          <w:tab w:val="clear" w:pos="3600"/>
          <w:tab w:val="clear" w:pos="4320"/>
          <w:tab w:val="clear" w:pos="5760"/>
          <w:tab w:val="clear" w:pos="6480"/>
          <w:tab w:val="clear" w:pos="7200"/>
          <w:tab w:val="clear" w:pos="7920"/>
        </w:tabs>
        <w:snapToGrid w:val="0"/>
        <w:ind w:right="61"/>
        <w:rPr>
          <w:rFonts w:ascii="Times New Roman" w:hAnsi="Times New Roman"/>
          <w:bCs/>
          <w:szCs w:val="22"/>
          <w:lang w:val="pt-BR"/>
        </w:rPr>
      </w:pPr>
      <w:r w:rsidRPr="00D65A20">
        <w:rPr>
          <w:rFonts w:ascii="Times New Roman" w:hAnsi="Times New Roman"/>
          <w:bCs/>
          <w:szCs w:val="22"/>
          <w:lang w:val="pt-BR"/>
        </w:rPr>
        <w:tab/>
        <w:t>AFIRMANDO que, em momentos de crise, a transparência e a prestação de contas são princípios fundamentais para gerar confiança e que o acesso à informação, complementado pela abertura de dados públicos sobre processos e políticas de atenção à pandemia de covid-19, casos afetados e testes realizados, orçamentos, compras e contratações, são ações importantes para fortalecer a confiança e a relação Estado-cidadãos, combater a corrupção e produzir evidências que resultem em intervenções públicas mais efetivas para uma recuperação integral;</w:t>
      </w:r>
    </w:p>
    <w:p w14:paraId="35CCD1F4" w14:textId="77777777" w:rsidR="004A6B17" w:rsidRPr="00D65A20" w:rsidRDefault="004A6B17" w:rsidP="004A6B17">
      <w:pPr>
        <w:widowControl/>
        <w:tabs>
          <w:tab w:val="clear" w:pos="1440"/>
          <w:tab w:val="clear" w:pos="2160"/>
          <w:tab w:val="clear" w:pos="2880"/>
          <w:tab w:val="clear" w:pos="3600"/>
          <w:tab w:val="clear" w:pos="4320"/>
          <w:tab w:val="clear" w:pos="5760"/>
          <w:tab w:val="clear" w:pos="6480"/>
          <w:tab w:val="clear" w:pos="7200"/>
          <w:tab w:val="clear" w:pos="7920"/>
        </w:tabs>
        <w:snapToGrid w:val="0"/>
        <w:ind w:right="61"/>
        <w:rPr>
          <w:rFonts w:ascii="Times New Roman" w:hAnsi="Times New Roman"/>
          <w:bCs/>
          <w:szCs w:val="22"/>
          <w:lang w:val="pt-BR"/>
        </w:rPr>
      </w:pPr>
      <w:r w:rsidRPr="00D65A20">
        <w:rPr>
          <w:rFonts w:ascii="Times New Roman" w:hAnsi="Times New Roman"/>
          <w:szCs w:val="22"/>
          <w:lang w:val="pt-BR"/>
        </w:rPr>
        <w:lastRenderedPageBreak/>
        <w:tab/>
        <w:t>CONVENCIDA de que a digitalização e a simplificação de trâmites e serviços vinculados direta e indiretamente à pandemia de covid-19 se tornam um imperativo para valorizar as ferramentas do Estado, promover a inovação na gestão e facilitar a colaboração multissetorial, a fim de assegurar prestações efetivas mediante procedimentos seguros e transparentes que garantam o exercício de direitos cidadãos;</w:t>
      </w:r>
      <w:r w:rsidRPr="00D65A20">
        <w:rPr>
          <w:rFonts w:ascii="Times New Roman" w:hAnsi="Times New Roman"/>
          <w:szCs w:val="22"/>
          <w:lang w:val="pt-BR" w:eastAsia="es-MX"/>
        </w:rPr>
        <w:t xml:space="preserve"> e</w:t>
      </w:r>
    </w:p>
    <w:p w14:paraId="0D9F4713" w14:textId="77777777" w:rsidR="004A6B17" w:rsidRPr="00D65A20" w:rsidRDefault="004A6B17" w:rsidP="004A6B17">
      <w:pPr>
        <w:widowControl/>
        <w:tabs>
          <w:tab w:val="clear" w:pos="1440"/>
          <w:tab w:val="clear" w:pos="2160"/>
          <w:tab w:val="clear" w:pos="2880"/>
          <w:tab w:val="clear" w:pos="3600"/>
          <w:tab w:val="clear" w:pos="4320"/>
          <w:tab w:val="clear" w:pos="5760"/>
          <w:tab w:val="clear" w:pos="6480"/>
          <w:tab w:val="clear" w:pos="7200"/>
          <w:tab w:val="clear" w:pos="7920"/>
        </w:tabs>
        <w:snapToGrid w:val="0"/>
        <w:ind w:right="61"/>
        <w:rPr>
          <w:rFonts w:ascii="Times New Roman" w:hAnsi="Times New Roman"/>
          <w:szCs w:val="22"/>
          <w:lang w:val="pt-BR"/>
        </w:rPr>
      </w:pPr>
    </w:p>
    <w:p w14:paraId="327657AE" w14:textId="77777777" w:rsidR="004A6B17" w:rsidRPr="00D65A20" w:rsidRDefault="004A6B17" w:rsidP="004A6B17">
      <w:pPr>
        <w:widowControl/>
        <w:tabs>
          <w:tab w:val="clear" w:pos="1440"/>
          <w:tab w:val="clear" w:pos="2160"/>
          <w:tab w:val="clear" w:pos="2880"/>
          <w:tab w:val="clear" w:pos="3600"/>
          <w:tab w:val="clear" w:pos="4320"/>
          <w:tab w:val="clear" w:pos="5760"/>
          <w:tab w:val="clear" w:pos="6480"/>
          <w:tab w:val="clear" w:pos="7200"/>
          <w:tab w:val="clear" w:pos="7920"/>
        </w:tabs>
        <w:snapToGrid w:val="0"/>
        <w:ind w:right="61"/>
        <w:rPr>
          <w:rFonts w:ascii="Times New Roman" w:hAnsi="Times New Roman"/>
          <w:bCs/>
          <w:szCs w:val="22"/>
          <w:lang w:val="pt-BR"/>
        </w:rPr>
      </w:pPr>
      <w:r w:rsidRPr="00D65A20">
        <w:rPr>
          <w:rFonts w:ascii="Times New Roman" w:hAnsi="Times New Roman"/>
          <w:szCs w:val="22"/>
          <w:lang w:val="pt-BR"/>
        </w:rPr>
        <w:tab/>
        <w:t xml:space="preserve">LEVANDO EM CONTA que a pandemia de covid-19 que o mundo enfrenta em 2020 não somente provocou uma crise sanitária com fortes impactos econômicos, sociais e culturais, mas redefiniu o papel do Estado nas sociedades democráticas e gerou a oportunidade de fazer do governo aberto e do governo digital ferramentas para a verdadeira inclusão e para o fortalecimento da democracia, </w:t>
      </w:r>
    </w:p>
    <w:p w14:paraId="010E7566" w14:textId="77777777" w:rsidR="004A6B17" w:rsidRPr="00D65A20" w:rsidRDefault="004A6B17" w:rsidP="004A6B17">
      <w:pPr>
        <w:widowControl/>
        <w:rPr>
          <w:rFonts w:ascii="Times New Roman" w:hAnsi="Times New Roman"/>
          <w:szCs w:val="22"/>
          <w:lang w:val="pt-BR"/>
        </w:rPr>
      </w:pPr>
    </w:p>
    <w:p w14:paraId="22BA6C99" w14:textId="77777777" w:rsidR="004A6B17" w:rsidRPr="00D65A20" w:rsidRDefault="004A6B17" w:rsidP="004A6B17">
      <w:pPr>
        <w:widowControl/>
        <w:rPr>
          <w:rFonts w:ascii="Times New Roman" w:hAnsi="Times New Roman"/>
          <w:szCs w:val="22"/>
          <w:lang w:val="pt-BR"/>
        </w:rPr>
      </w:pPr>
      <w:r w:rsidRPr="00D65A20">
        <w:rPr>
          <w:rFonts w:ascii="Times New Roman" w:hAnsi="Times New Roman"/>
          <w:szCs w:val="22"/>
          <w:lang w:val="pt-BR"/>
        </w:rPr>
        <w:t>RESOLVE:</w:t>
      </w:r>
    </w:p>
    <w:p w14:paraId="64E4F94E" w14:textId="77777777" w:rsidR="004A6B17" w:rsidRPr="00D65A20" w:rsidRDefault="004A6B17" w:rsidP="004A6B17">
      <w:pPr>
        <w:widowControl/>
        <w:rPr>
          <w:rFonts w:ascii="Times New Roman" w:hAnsi="Times New Roman"/>
          <w:szCs w:val="22"/>
          <w:lang w:val="pt-BR"/>
        </w:rPr>
      </w:pPr>
    </w:p>
    <w:p w14:paraId="3F3D14DE"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1.</w:t>
      </w:r>
      <w:r w:rsidRPr="00D65A20">
        <w:rPr>
          <w:rFonts w:ascii="Times New Roman" w:hAnsi="Times New Roman"/>
          <w:szCs w:val="22"/>
          <w:lang w:val="pt-BR"/>
        </w:rPr>
        <w:tab/>
        <w:t>Convidar os Estados membros a participar da Rede de Governo Aberto Eletrônico da América Latina e do Caribe (Rede GEALC), como una Rede Interamericana de Governo Digital.</w:t>
      </w:r>
    </w:p>
    <w:p w14:paraId="25565D9E"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7D524F7C"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hAnsi="Times New Roman"/>
          <w:szCs w:val="22"/>
          <w:lang w:val="pt-BR"/>
        </w:rPr>
        <w:t>2.</w:t>
      </w:r>
      <w:r w:rsidRPr="00D65A20">
        <w:rPr>
          <w:rFonts w:ascii="Times New Roman" w:hAnsi="Times New Roman"/>
          <w:szCs w:val="22"/>
          <w:lang w:val="pt-BR"/>
        </w:rPr>
        <w:tab/>
        <w:t xml:space="preserve">Instruir a Secretaria-Geral a que, por intermédio do Departamento de Gestão Pública Efetiva (DGPE), fortaleça a Rede GEALC como um mecanismo de cooperação técnica horizontal sistemática por cujo intermédio se promovam, multipliquem, fortaleçam e dinamizem os intercâmbios destinados a desenvolver, difundir e implementar as melhores práticas de governo eletrônico nas Américas, e que promova as políticas e o uso das tecnologias digitais a fim de impulsionar a transparência, a participação e prestação de contas, a acessibilidade, os serviços digitais focados na cidadania, a redução da burocracia e a simplificação de trâmites. </w:t>
      </w:r>
    </w:p>
    <w:p w14:paraId="59C04720"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lang w:val="pt-BR"/>
        </w:rPr>
      </w:pPr>
    </w:p>
    <w:p w14:paraId="407572DD"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szCs w:val="22"/>
          <w:lang w:val="pt-BR"/>
        </w:rPr>
      </w:pPr>
      <w:r w:rsidRPr="00D65A20">
        <w:rPr>
          <w:rFonts w:ascii="Times New Roman" w:hAnsi="Times New Roman"/>
          <w:szCs w:val="22"/>
          <w:lang w:val="pt-BR"/>
        </w:rPr>
        <w:t>3.</w:t>
      </w:r>
      <w:r w:rsidRPr="00D65A20">
        <w:rPr>
          <w:rFonts w:ascii="Times New Roman" w:hAnsi="Times New Roman"/>
          <w:b/>
          <w:szCs w:val="22"/>
          <w:lang w:val="pt-BR"/>
        </w:rPr>
        <w:tab/>
      </w:r>
      <w:r w:rsidRPr="00D65A20">
        <w:rPr>
          <w:rFonts w:ascii="Times New Roman" w:hAnsi="Times New Roman"/>
          <w:szCs w:val="22"/>
          <w:lang w:val="pt-BR"/>
        </w:rPr>
        <w:t>Solicitar à Secretaria-Geral que, por intermédio do DGPE, promova, entre outras iniciativas, a capacitação e intercâmbios regionais em matéria de governo aberto, governo digital e inovação na gestão pública e preste apoio técnico aos países que assim o solicitarem, com o objetivo de implementar soluções de participação digital cidadã — “e-participação” — que conduzam a uma governança digital mais transparente, efetiva, criativa, inovadora, responsável e que atenda às necessidades da sociedade.</w:t>
      </w:r>
      <w:r w:rsidRPr="00D65A20">
        <w:rPr>
          <w:rFonts w:ascii="Times New Roman" w:hAnsi="Times New Roman"/>
          <w:i/>
          <w:szCs w:val="22"/>
          <w:lang w:val="pt-BR"/>
        </w:rPr>
        <w:t xml:space="preserve"> </w:t>
      </w:r>
    </w:p>
    <w:p w14:paraId="74C452C3"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2AA7F1CF" w14:textId="0585D6CD"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i/>
          <w:szCs w:val="22"/>
          <w:lang w:val="pt-BR"/>
        </w:rPr>
      </w:pPr>
      <w:r w:rsidRPr="00D65A20">
        <w:rPr>
          <w:rFonts w:ascii="Times New Roman" w:hAnsi="Times New Roman"/>
          <w:szCs w:val="22"/>
          <w:lang w:val="pt-BR"/>
        </w:rPr>
        <w:t>4.</w:t>
      </w:r>
      <w:r w:rsidRPr="00D65A20">
        <w:rPr>
          <w:rFonts w:ascii="Times New Roman" w:hAnsi="Times New Roman"/>
          <w:szCs w:val="22"/>
          <w:lang w:val="pt-BR"/>
        </w:rPr>
        <w:tab/>
        <w:t>Instar a Secretaria-Geral a que, por intermédio do DGPE, preste assessoria, acompanhamento,</w:t>
      </w:r>
      <w:r w:rsidRPr="00D65A20">
        <w:rPr>
          <w:rFonts w:ascii="Times New Roman" w:hAnsi="Times New Roman"/>
          <w:b/>
          <w:szCs w:val="22"/>
          <w:lang w:val="pt-BR"/>
        </w:rPr>
        <w:t xml:space="preserve"> </w:t>
      </w:r>
      <w:r w:rsidRPr="00D65A20">
        <w:rPr>
          <w:rFonts w:ascii="Times New Roman" w:hAnsi="Times New Roman"/>
          <w:szCs w:val="22"/>
          <w:lang w:val="pt-BR"/>
        </w:rPr>
        <w:t>apoio técnico e, caso seja pertinente, gestão de fundos destinados a combater a corrupção</w:t>
      </w:r>
      <w:r w:rsidRPr="00D65A20">
        <w:rPr>
          <w:rFonts w:ascii="Times New Roman" w:hAnsi="Times New Roman"/>
          <w:b/>
          <w:szCs w:val="22"/>
          <w:lang w:val="pt-BR"/>
        </w:rPr>
        <w:t xml:space="preserve"> </w:t>
      </w:r>
      <w:r w:rsidRPr="00D65A20">
        <w:rPr>
          <w:rFonts w:ascii="Times New Roman" w:hAnsi="Times New Roman"/>
          <w:szCs w:val="22"/>
          <w:lang w:val="pt-BR"/>
        </w:rPr>
        <w:t>aos países que assim o solicitarem, para a implementação gradual</w:t>
      </w:r>
      <w:r w:rsidRPr="00D65A20">
        <w:rPr>
          <w:rFonts w:ascii="Times New Roman" w:hAnsi="Times New Roman"/>
          <w:b/>
          <w:szCs w:val="22"/>
          <w:lang w:val="pt-BR"/>
        </w:rPr>
        <w:t xml:space="preserve"> </w:t>
      </w:r>
      <w:r w:rsidRPr="00D65A20">
        <w:rPr>
          <w:rFonts w:ascii="Times New Roman" w:hAnsi="Times New Roman"/>
          <w:szCs w:val="22"/>
          <w:lang w:val="pt-BR"/>
        </w:rPr>
        <w:t>do Programa Interamericano de Dados Abertos, aprovado mediante a AG/RES. 2931 (XLIX-O/19), cujo propósito é fortalecer as políticas de abertura de informação e aumentar a capacidade dos governos e dos cidadãos na prevenção e no combate à corrupção com dados abertos.</w:t>
      </w:r>
      <w:r w:rsidRPr="00D65A20">
        <w:rPr>
          <w:rFonts w:ascii="Times New Roman" w:hAnsi="Times New Roman"/>
          <w:i/>
          <w:szCs w:val="22"/>
          <w:lang w:val="pt-BR"/>
        </w:rPr>
        <w:t xml:space="preserve"> </w:t>
      </w:r>
    </w:p>
    <w:p w14:paraId="07F46C7E"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lang w:val="pt-BR"/>
        </w:rPr>
      </w:pPr>
    </w:p>
    <w:p w14:paraId="46F2CC87" w14:textId="77777777" w:rsidR="004A6B17" w:rsidRPr="00D65A20" w:rsidRDefault="004A6B17" w:rsidP="004A6B17">
      <w:pPr>
        <w:widowControl/>
        <w:tabs>
          <w:tab w:val="clear" w:pos="1440"/>
          <w:tab w:val="clear" w:pos="2160"/>
          <w:tab w:val="clear" w:pos="2880"/>
          <w:tab w:val="clear" w:pos="3600"/>
          <w:tab w:val="clear" w:pos="4320"/>
          <w:tab w:val="clear" w:pos="5760"/>
          <w:tab w:val="clear" w:pos="6480"/>
          <w:tab w:val="clear" w:pos="7200"/>
          <w:tab w:val="clear" w:pos="7920"/>
        </w:tabs>
        <w:snapToGrid w:val="0"/>
        <w:rPr>
          <w:rFonts w:ascii="Times New Roman" w:hAnsi="Times New Roman"/>
          <w:szCs w:val="22"/>
          <w:lang w:val="pt-BR"/>
        </w:rPr>
      </w:pPr>
      <w:r w:rsidRPr="00D65A20">
        <w:rPr>
          <w:rFonts w:ascii="Times New Roman" w:hAnsi="Times New Roman"/>
          <w:szCs w:val="22"/>
          <w:lang w:val="pt-BR"/>
        </w:rPr>
        <w:tab/>
        <w:t>5.</w:t>
      </w:r>
      <w:r w:rsidRPr="00D65A20">
        <w:rPr>
          <w:rFonts w:ascii="Times New Roman" w:hAnsi="Times New Roman"/>
          <w:szCs w:val="22"/>
          <w:lang w:val="pt-BR"/>
        </w:rPr>
        <w:tab/>
        <w:t>Fortalecer, na estrutura da OEA, o DGPE e incentivar outras iniciativas sobre a mesma temática, como, por exemplo, a Parceria para Governo Aberto, que constituem espaços valiosos de coordenação e diálogo regional em matéria de governo aberto para a identificação de oportunidades de colaboração futura em projetos de fortalecimento da democracia.</w:t>
      </w:r>
    </w:p>
    <w:p w14:paraId="6B9D3E11" w14:textId="77777777" w:rsidR="004A6B17" w:rsidRPr="00D65A20" w:rsidRDefault="004A6B17" w:rsidP="004A6B17">
      <w:pPr>
        <w:widowControl/>
        <w:tabs>
          <w:tab w:val="clear" w:pos="1440"/>
          <w:tab w:val="clear" w:pos="2160"/>
          <w:tab w:val="clear" w:pos="2880"/>
          <w:tab w:val="clear" w:pos="3600"/>
          <w:tab w:val="clear" w:pos="4320"/>
          <w:tab w:val="clear" w:pos="5760"/>
          <w:tab w:val="clear" w:pos="6480"/>
          <w:tab w:val="clear" w:pos="7200"/>
          <w:tab w:val="clear" w:pos="7920"/>
        </w:tabs>
        <w:snapToGrid w:val="0"/>
        <w:ind w:right="58"/>
        <w:rPr>
          <w:rFonts w:ascii="Times New Roman" w:hAnsi="Times New Roman"/>
          <w:b/>
          <w:szCs w:val="22"/>
          <w:lang w:val="pt-BR"/>
        </w:rPr>
      </w:pPr>
    </w:p>
    <w:p w14:paraId="0A630904"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58" w:firstLine="720"/>
        <w:rPr>
          <w:rFonts w:ascii="Times New Roman" w:hAnsi="Times New Roman"/>
          <w:b/>
          <w:szCs w:val="22"/>
          <w:lang w:val="pt-BR"/>
        </w:rPr>
      </w:pPr>
      <w:r w:rsidRPr="00D65A20">
        <w:rPr>
          <w:rFonts w:ascii="Times New Roman" w:hAnsi="Times New Roman"/>
          <w:szCs w:val="22"/>
          <w:lang w:val="pt-BR"/>
        </w:rPr>
        <w:t>6.</w:t>
      </w:r>
      <w:r w:rsidRPr="00D65A20">
        <w:rPr>
          <w:rFonts w:ascii="Times New Roman" w:hAnsi="Times New Roman"/>
          <w:szCs w:val="22"/>
          <w:lang w:val="pt-BR"/>
        </w:rPr>
        <w:tab/>
        <w:t>Instar a Secretaria-Geral a que, por intermédio do DGPE como Secretaria Técnica da Rede GEALC, impulsione ações voltadas à promoção do acesso à informação pública, da transformação digital e da participação digital cidadã (“e-participação”) nos Estados membros frente aos efeitos da pandemia de covid-19.</w:t>
      </w:r>
    </w:p>
    <w:p w14:paraId="6532A371"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58" w:firstLine="720"/>
        <w:rPr>
          <w:rFonts w:ascii="Times New Roman" w:hAnsi="Times New Roman"/>
          <w:szCs w:val="22"/>
          <w:lang w:val="pt-BR"/>
        </w:rPr>
      </w:pPr>
      <w:r w:rsidRPr="00D65A20">
        <w:rPr>
          <w:rFonts w:ascii="Times New Roman" w:hAnsi="Times New Roman"/>
          <w:szCs w:val="22"/>
          <w:lang w:val="pt-BR"/>
        </w:rPr>
        <w:lastRenderedPageBreak/>
        <w:t>7.</w:t>
      </w:r>
      <w:r w:rsidRPr="00D65A20">
        <w:rPr>
          <w:rFonts w:ascii="Times New Roman" w:hAnsi="Times New Roman"/>
          <w:szCs w:val="22"/>
          <w:lang w:val="pt-BR"/>
        </w:rPr>
        <w:tab/>
        <w:t>Fazer um apelo aos Estados membros a que trabalhem para criar um padrão de dados regional sobre as diferentes dimensões de política pública afetadas, direta e indiretamente, pela pandemia de covid-19, a fim de gerar evidências públicas, que possam ser sistematizadas e comparadas entre os países da região, que acompanhem os avanços nacionais e os projetos de colaboração interestatal, considerando os diferentes marcos jurídicos dos países participantes; e continuar gerando oportunidades de diálogo e intercâmbio de melhores práticas e experiências, inclusive aquelas que contemplem uma perspectiva de gênero e requeiram a participação igualitária das mulheres na tomada de decisões na resposta à pandemia de covid-19, e aproveitar ao máximo os princípios de governo aberto.</w:t>
      </w:r>
      <w:r w:rsidRPr="00D65A20">
        <w:rPr>
          <w:rFonts w:ascii="Times New Roman" w:hAnsi="Times New Roman"/>
          <w:szCs w:val="22"/>
          <w:u w:val="single"/>
          <w:vertAlign w:val="superscript"/>
          <w:lang w:val="pt-BR"/>
        </w:rPr>
        <w:footnoteReference w:id="63"/>
      </w:r>
      <w:r w:rsidRPr="00D65A20">
        <w:rPr>
          <w:rFonts w:ascii="Times New Roman" w:hAnsi="Times New Roman"/>
          <w:szCs w:val="22"/>
          <w:vertAlign w:val="superscript"/>
          <w:lang w:val="pt-BR"/>
        </w:rPr>
        <w:t>/</w:t>
      </w:r>
    </w:p>
    <w:p w14:paraId="62B509EE"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564ACE2B"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u w:val="single"/>
          <w:lang w:val="pt-BR"/>
        </w:rPr>
      </w:pPr>
      <w:r w:rsidRPr="00D65A20">
        <w:rPr>
          <w:rFonts w:ascii="Times New Roman" w:hAnsi="Times New Roman"/>
          <w:szCs w:val="22"/>
          <w:lang w:val="pt-BR"/>
        </w:rPr>
        <w:t xml:space="preserve">ix. </w:t>
      </w:r>
      <w:r w:rsidRPr="00D65A20">
        <w:rPr>
          <w:rFonts w:ascii="Times New Roman" w:hAnsi="Times New Roman"/>
          <w:szCs w:val="22"/>
          <w:lang w:val="pt-BR"/>
        </w:rPr>
        <w:tab/>
      </w:r>
      <w:r w:rsidRPr="00D65A20">
        <w:rPr>
          <w:rFonts w:ascii="Times New Roman" w:hAnsi="Times New Roman"/>
          <w:szCs w:val="22"/>
          <w:u w:val="single"/>
          <w:lang w:val="pt-BR" w:eastAsia="es-ES"/>
        </w:rPr>
        <w:t>Fortalecimento</w:t>
      </w:r>
      <w:r w:rsidRPr="00D65A20">
        <w:rPr>
          <w:rFonts w:ascii="Times New Roman" w:hAnsi="Times New Roman"/>
          <w:szCs w:val="22"/>
          <w:u w:val="single"/>
          <w:lang w:val="pt-BR"/>
        </w:rPr>
        <w:t xml:space="preserve"> das atividades do Programa Interamericano de Facilitadores Judiciais</w:t>
      </w:r>
    </w:p>
    <w:p w14:paraId="0ED4383E"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7E7E5638"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CONSIDERANDO que os serviços de facilitadores judiciais impulsionados pelo Programa Interamericano de Facilitadores Judiciais (PIFJ) são mecanismos de participação cidadã para a prevenção e a resolução de conflitos, que ampliam o acesso à justiça para a população em condição de vulnerabilidade na Argentina, Costa Rica, El Salvador, Guatemala, Honduras, Nicarágua, Panamá e Paraguai, inclusive em circunstâncias excepcionais de crise; e</w:t>
      </w:r>
    </w:p>
    <w:p w14:paraId="4FBEAF49"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157509E"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RECORDANDO a resolução AG/RES. 2931 (XLIX-O/19), que reconhece o importante papel que o PIFJ desempenha para levar a justiça às populações mais vulneráveis do Hemisfério,</w:t>
      </w:r>
    </w:p>
    <w:p w14:paraId="6DBCBA14"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lang w:val="pt-BR"/>
        </w:rPr>
      </w:pPr>
    </w:p>
    <w:p w14:paraId="7C3B74B1"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D65A20">
        <w:rPr>
          <w:rFonts w:ascii="Times New Roman" w:hAnsi="Times New Roman"/>
          <w:szCs w:val="22"/>
          <w:lang w:val="pt-BR"/>
        </w:rPr>
        <w:t>RESOLVE:</w:t>
      </w:r>
    </w:p>
    <w:p w14:paraId="0FF8AC01"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lang w:val="pt-BR"/>
        </w:rPr>
      </w:pPr>
    </w:p>
    <w:p w14:paraId="51EB6606"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1.</w:t>
      </w:r>
      <w:r w:rsidRPr="00D65A20">
        <w:rPr>
          <w:rFonts w:ascii="Times New Roman" w:hAnsi="Times New Roman"/>
          <w:b/>
          <w:szCs w:val="22"/>
          <w:lang w:val="pt-BR"/>
        </w:rPr>
        <w:tab/>
      </w:r>
      <w:r w:rsidRPr="00D65A20">
        <w:rPr>
          <w:rFonts w:ascii="Times New Roman" w:hAnsi="Times New Roman"/>
          <w:szCs w:val="22"/>
          <w:lang w:val="pt-BR"/>
        </w:rPr>
        <w:t>Reconhecer o trabalho dos facilitadores judiciais que, ao longo da pandemia de covid-19, continuaram suas atividades de facilitação e redução dos conflitos em suas comunidades, bem como o trabalho realizado pelo Programa Interamericano de Facilitadores Judiciais (PIFJ) para a promoção no âmbito nacional e regional do papel do facilitador judicial para empoderar, informar e acompanhar os membros de suas comunidades durante estados de emergência.</w:t>
      </w:r>
    </w:p>
    <w:p w14:paraId="4EB5CED8"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2FCD0611"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2.</w:t>
      </w:r>
      <w:r w:rsidRPr="00D65A20">
        <w:rPr>
          <w:rFonts w:ascii="Times New Roman" w:hAnsi="Times New Roman"/>
          <w:szCs w:val="22"/>
          <w:lang w:val="pt-BR"/>
        </w:rPr>
        <w:tab/>
        <w:t>Tomar nota dos compromissos alcançados na Declaração de San José assinada em 24 de setembro de 2019 pela Costa Rica, El Salvador, Guatemala, Nicarágua e Panamá no âmbito do Primeiro Encontro Interamericano do Serviço Nacional de Facilitadores Judiciais.</w:t>
      </w:r>
    </w:p>
    <w:p w14:paraId="676E8C98"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17149BEE"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3.</w:t>
      </w:r>
      <w:r w:rsidRPr="00D65A20">
        <w:rPr>
          <w:rFonts w:ascii="Times New Roman" w:hAnsi="Times New Roman"/>
          <w:szCs w:val="22"/>
          <w:lang w:val="pt-BR"/>
        </w:rPr>
        <w:tab/>
        <w:t>Fortalecer o PIFJ com vistas a encontrar mecanismos que assegurem a institucionalização da figura do facilitador e da facilitadora judicial nos países correspondentes e sua sustentabilidade, inclusive o estabelecimento de alianças estratégicas com as instituições acadêmicas, entidades nacionais e locais, entre outros, com a finalidade de obter o desenvolvimento de capacidades e o fortalecimento das aptidões dos facilitadores judiciais nos Estados beneficiários.</w:t>
      </w:r>
    </w:p>
    <w:p w14:paraId="0CAEC4D8"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27C23B9B"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 xml:space="preserve">4. </w:t>
      </w:r>
      <w:r w:rsidRPr="00D65A20">
        <w:rPr>
          <w:rFonts w:ascii="Times New Roman" w:hAnsi="Times New Roman"/>
          <w:szCs w:val="22"/>
          <w:lang w:val="pt-BR"/>
        </w:rPr>
        <w:tab/>
        <w:t>Instar a Secretaria-Geral a que continue apoiando os Estados membros beneficiários do PIFJ no fortalecimento da provisão do Serviço de Facilitadores Judiciais durante a pandemia de covid-19 e em sua etapa posterior, e a que continue apoiando os Estados membros que solicitem estabelecer o Serviço e formar os operadores por intermédio do PIFJ, buscando a consecução de fundos específicos e apoiando os esforços de arrecadação de contribuições voluntárias para consolidar e expandir os serviços do PIFJ.</w:t>
      </w:r>
    </w:p>
    <w:p w14:paraId="729A0CF8"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pt-BR"/>
        </w:rPr>
      </w:pPr>
      <w:r w:rsidRPr="00D65A20">
        <w:rPr>
          <w:rFonts w:ascii="Times New Roman" w:hAnsi="Times New Roman"/>
          <w:szCs w:val="22"/>
          <w:lang w:val="pt-BR"/>
        </w:rPr>
        <w:lastRenderedPageBreak/>
        <w:t xml:space="preserve">x. </w:t>
      </w:r>
      <w:r w:rsidRPr="00D65A20">
        <w:rPr>
          <w:rFonts w:ascii="Times New Roman" w:hAnsi="Times New Roman"/>
          <w:szCs w:val="22"/>
          <w:lang w:val="pt-BR"/>
        </w:rPr>
        <w:tab/>
      </w:r>
      <w:r w:rsidRPr="00D65A20">
        <w:rPr>
          <w:rFonts w:ascii="Times New Roman" w:hAnsi="Times New Roman"/>
          <w:szCs w:val="22"/>
          <w:u w:val="single"/>
          <w:lang w:val="pt-BR"/>
        </w:rPr>
        <w:t>Cooperação técnica e missões de observação eleitoral</w:t>
      </w:r>
    </w:p>
    <w:p w14:paraId="1AF06D59"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149FAE80"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ENFATIZANDO a contribuição fundamental da OEA para o fortalecimento e o desenvolvimento dos processos e sistemas eleitorais nos Estados membros por meio de missões de observação eleitoral da OEA e cooperação técnica em matéria eleitoral, conforme solicitado pelos Estados membros e coerente com a Carta Democrática Interamericana e com a Declaração de Princípios para Observação Internacional de Eleições e Código de Conduta para Observadores Eleitorais Internacionais;</w:t>
      </w:r>
    </w:p>
    <w:p w14:paraId="4CF61CB2"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18B7BB59"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D65A20">
        <w:rPr>
          <w:rFonts w:ascii="Times New Roman" w:hAnsi="Times New Roman"/>
          <w:szCs w:val="22"/>
          <w:lang w:val="pt-BR"/>
        </w:rPr>
        <w:tab/>
        <w:t>RECONHECENDO a equipe do Departamento de Cooperação e Observação Eleitoral, cujo profissionalismo e dedicação permitiram à OEA manter a implantação de missões de observação eleitoral durante a pandemia de covid-19;</w:t>
      </w:r>
    </w:p>
    <w:p w14:paraId="5B9B0146"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48CC041"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D65A20">
        <w:rPr>
          <w:rFonts w:ascii="Times New Roman" w:hAnsi="Times New Roman"/>
          <w:szCs w:val="22"/>
          <w:lang w:val="pt-BR"/>
        </w:rPr>
        <w:tab/>
        <w:t>TOMANDO NOTA do documento “Guia para a organização de eleições em tempos de pandemia”, publicado pela Secretaria-Geral;</w:t>
      </w:r>
    </w:p>
    <w:p w14:paraId="06B8780D"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DE2368E" w14:textId="082E525C"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D65A20">
        <w:rPr>
          <w:rFonts w:ascii="Times New Roman" w:hAnsi="Times New Roman"/>
          <w:szCs w:val="22"/>
          <w:lang w:val="pt-BR"/>
        </w:rPr>
        <w:tab/>
        <w:t>RECORDANDO a resolução AG/RES. 2905 (XLVII-O/17), “Fortalecimento da democracia”,</w:t>
      </w:r>
      <w:r w:rsidR="002171A5" w:rsidRPr="00D65A20">
        <w:rPr>
          <w:rFonts w:ascii="Times New Roman" w:hAnsi="Times New Roman"/>
          <w:szCs w:val="22"/>
          <w:lang w:val="pt-BR"/>
        </w:rPr>
        <w:t xml:space="preserve"> </w:t>
      </w:r>
      <w:r w:rsidRPr="00D65A20">
        <w:rPr>
          <w:rFonts w:ascii="Times New Roman" w:hAnsi="Times New Roman"/>
          <w:szCs w:val="22"/>
          <w:lang w:val="pt-BR"/>
        </w:rPr>
        <w:t>mediante a qual se levantam as restrições que impedem o Fundo Regular da Organização de ser utilizado para a cobertura de custos relacionados às missões de observação eleitoral; e</w:t>
      </w:r>
    </w:p>
    <w:p w14:paraId="1A53C965"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1B61D912"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D65A20">
        <w:rPr>
          <w:rFonts w:ascii="Times New Roman" w:hAnsi="Times New Roman"/>
          <w:szCs w:val="22"/>
          <w:lang w:val="pt-BR"/>
        </w:rPr>
        <w:tab/>
        <w:t>REAFIRMANDO todos os mandatos constantes da seção xi, “Cooperação técnica e missões de observação eleitoral” da resolução AG/RES. 2931 (XLIX-O/19), “Promoção e fortalecimento da democracia”,</w:t>
      </w:r>
    </w:p>
    <w:p w14:paraId="13D155EB"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0D9CBB2"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D65A20">
        <w:rPr>
          <w:rFonts w:ascii="Times New Roman" w:hAnsi="Times New Roman"/>
          <w:szCs w:val="22"/>
          <w:lang w:val="pt-BR"/>
        </w:rPr>
        <w:t>RESOLVE:</w:t>
      </w:r>
    </w:p>
    <w:p w14:paraId="1E6855C4"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23AEFB79"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D65A20">
        <w:rPr>
          <w:rFonts w:ascii="Times New Roman" w:hAnsi="Times New Roman"/>
          <w:b/>
          <w:szCs w:val="22"/>
          <w:lang w:val="pt-BR"/>
        </w:rPr>
        <w:tab/>
      </w:r>
      <w:r w:rsidRPr="00D65A20">
        <w:rPr>
          <w:rFonts w:ascii="Times New Roman" w:hAnsi="Times New Roman"/>
          <w:szCs w:val="22"/>
          <w:lang w:val="pt-BR"/>
        </w:rPr>
        <w:t>1.</w:t>
      </w:r>
      <w:r w:rsidRPr="00D65A20">
        <w:rPr>
          <w:rFonts w:ascii="Times New Roman" w:hAnsi="Times New Roman"/>
          <w:szCs w:val="22"/>
          <w:lang w:val="pt-BR"/>
        </w:rPr>
        <w:tab/>
        <w:t>Solicitar à Secretaria-Geral que continue divulgando as medidas constantes do “Guia de organização das eleições em tempos de pandemia” aos Estados membros que assim solicitarem.</w:t>
      </w:r>
    </w:p>
    <w:p w14:paraId="0AF21E70"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05865B20" w14:textId="106E1E6F"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D65A20">
        <w:rPr>
          <w:rFonts w:ascii="Times New Roman" w:hAnsi="Times New Roman"/>
          <w:szCs w:val="22"/>
          <w:lang w:val="pt-BR"/>
        </w:rPr>
        <w:tab/>
        <w:t>2.</w:t>
      </w:r>
      <w:r w:rsidRPr="00D65A20">
        <w:rPr>
          <w:rFonts w:ascii="Times New Roman" w:hAnsi="Times New Roman"/>
          <w:szCs w:val="22"/>
          <w:lang w:val="pt-BR"/>
        </w:rPr>
        <w:tab/>
        <w:t xml:space="preserve">Convidar os doadores a que continuem oferecendo apoio à implantação de missões de observação eleitoral e </w:t>
      </w:r>
      <w:r w:rsidR="00891BD7" w:rsidRPr="00D65A20">
        <w:rPr>
          <w:rFonts w:ascii="Times New Roman" w:hAnsi="Times New Roman"/>
          <w:szCs w:val="22"/>
          <w:lang w:val="pt-BR"/>
        </w:rPr>
        <w:t>à</w:t>
      </w:r>
      <w:r w:rsidRPr="00D65A20">
        <w:rPr>
          <w:rFonts w:ascii="Times New Roman" w:hAnsi="Times New Roman"/>
          <w:szCs w:val="22"/>
          <w:lang w:val="pt-BR"/>
        </w:rPr>
        <w:t xml:space="preserve"> implementação das recomendações constantes dos relatórios das referidas missões.</w:t>
      </w:r>
    </w:p>
    <w:p w14:paraId="0E628317"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744BC020"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szCs w:val="22"/>
          <w:lang w:val="pt-BR"/>
        </w:rPr>
      </w:pPr>
      <w:r w:rsidRPr="00D65A20">
        <w:rPr>
          <w:rFonts w:ascii="Times New Roman" w:hAnsi="Times New Roman"/>
          <w:szCs w:val="22"/>
          <w:lang w:val="pt-BR"/>
        </w:rPr>
        <w:tab/>
        <w:t>3.</w:t>
      </w:r>
      <w:r w:rsidRPr="00D65A20">
        <w:rPr>
          <w:rFonts w:ascii="Times New Roman" w:hAnsi="Times New Roman"/>
          <w:szCs w:val="22"/>
          <w:lang w:val="pt-BR"/>
        </w:rPr>
        <w:tab/>
        <w:t xml:space="preserve">Instruir a Secretaria-Geral a que continue em seus esforços de angariar fundos para garantir a sustentabilidade financeira das missões de observação eleitoral, </w:t>
      </w:r>
      <w:r w:rsidRPr="00D65A20">
        <w:rPr>
          <w:rFonts w:ascii="Times New Roman" w:hAnsi="Times New Roman"/>
          <w:color w:val="000000"/>
          <w:szCs w:val="22"/>
          <w:lang w:val="pt-BR"/>
        </w:rPr>
        <w:t>e a que continue fortalecendo, nesse contexto, os princípios de racionalidade, transparência, austeridade e prestação de contas.</w:t>
      </w:r>
    </w:p>
    <w:p w14:paraId="1916835D"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0FBA4474"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r w:rsidRPr="00D65A20">
        <w:rPr>
          <w:rFonts w:ascii="Times New Roman" w:hAnsi="Times New Roman"/>
          <w:szCs w:val="22"/>
          <w:lang w:val="pt-BR"/>
        </w:rPr>
        <w:t>xi.</w:t>
      </w:r>
      <w:r w:rsidRPr="00D65A20">
        <w:rPr>
          <w:rFonts w:ascii="Times New Roman" w:hAnsi="Times New Roman"/>
          <w:szCs w:val="22"/>
          <w:lang w:val="pt-BR"/>
        </w:rPr>
        <w:tab/>
      </w:r>
      <w:r w:rsidRPr="00D65A20">
        <w:rPr>
          <w:rFonts w:ascii="Times New Roman" w:hAnsi="Times New Roman"/>
          <w:szCs w:val="22"/>
          <w:u w:val="single"/>
          <w:lang w:val="pt-BR"/>
        </w:rPr>
        <w:t>Acesso à informação pública e proteção de dados pessoais</w:t>
      </w:r>
      <w:r w:rsidRPr="00D65A20">
        <w:rPr>
          <w:rFonts w:ascii="Times New Roman" w:hAnsi="Times New Roman"/>
          <w:szCs w:val="22"/>
          <w:lang w:val="pt-BR"/>
        </w:rPr>
        <w:t xml:space="preserve"> </w:t>
      </w:r>
    </w:p>
    <w:p w14:paraId="77E0DC6C"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
          <w:szCs w:val="22"/>
          <w:lang w:val="pt-BR"/>
        </w:rPr>
      </w:pPr>
    </w:p>
    <w:p w14:paraId="0875039D" w14:textId="47A44285"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17" w:firstLine="719"/>
        <w:rPr>
          <w:rFonts w:ascii="Times New Roman" w:hAnsi="Times New Roman"/>
          <w:bCs/>
          <w:color w:val="000000"/>
          <w:szCs w:val="22"/>
          <w:lang w:val="pt-BR" w:eastAsia="pt-BR"/>
        </w:rPr>
      </w:pPr>
      <w:r w:rsidRPr="00D65A20">
        <w:rPr>
          <w:rFonts w:ascii="Times New Roman" w:hAnsi="Times New Roman"/>
          <w:bCs/>
          <w:color w:val="000000"/>
          <w:szCs w:val="22"/>
          <w:lang w:val="pt-BR" w:eastAsia="pt-BR"/>
        </w:rPr>
        <w:t>RECORDANDO os mandatos das resoluções anteriores da Assembleia Geral sobre acesso à informação pública e proteção de dados pessoais, e, em especial, os decorrentes da resolução AG/RES.</w:t>
      </w:r>
      <w:r w:rsidR="009D0A16">
        <w:rPr>
          <w:rFonts w:ascii="Times New Roman" w:hAnsi="Times New Roman"/>
          <w:bCs/>
          <w:color w:val="000000"/>
          <w:szCs w:val="22"/>
          <w:lang w:val="pt-BR" w:eastAsia="pt-BR"/>
        </w:rPr>
        <w:t xml:space="preserve"> </w:t>
      </w:r>
      <w:r w:rsidRPr="00D65A20">
        <w:rPr>
          <w:rFonts w:ascii="Times New Roman" w:hAnsi="Times New Roman"/>
          <w:bCs/>
          <w:color w:val="000000"/>
          <w:szCs w:val="22"/>
          <w:lang w:val="pt-BR" w:eastAsia="pt-BR"/>
        </w:rPr>
        <w:t>2905 (XLVII-O/17), “Fortalecimento da democracia”;</w:t>
      </w:r>
    </w:p>
    <w:p w14:paraId="0C185290" w14:textId="77777777" w:rsidR="004A6B17" w:rsidRPr="00D65A20" w:rsidRDefault="004A6B17" w:rsidP="009D0A16">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17"/>
        <w:rPr>
          <w:rFonts w:ascii="Times New Roman" w:hAnsi="Times New Roman"/>
          <w:b/>
          <w:szCs w:val="22"/>
          <w:lang w:val="pt-BR"/>
        </w:rPr>
      </w:pPr>
    </w:p>
    <w:p w14:paraId="1C241E74"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17" w:firstLine="719"/>
        <w:rPr>
          <w:rFonts w:ascii="Times New Roman" w:hAnsi="Times New Roman"/>
          <w:i/>
          <w:szCs w:val="22"/>
          <w:lang w:val="pt-BR"/>
        </w:rPr>
      </w:pPr>
      <w:r w:rsidRPr="00D65A20">
        <w:rPr>
          <w:rFonts w:ascii="Times New Roman" w:hAnsi="Times New Roman"/>
          <w:szCs w:val="22"/>
          <w:lang w:val="pt-BR"/>
        </w:rPr>
        <w:t xml:space="preserve">CONSIDERANDO que a Assembleia da Rede de Transparência e Acesso à Informação (RTA), reunida em 12 de novembro de 2019 na Cidade do México, declarou, em seu Décimo Oitavo Encontro, que a garantia do acesso à informação pública é um eixo fundamental em um </w:t>
      </w:r>
      <w:r w:rsidRPr="00D65A20">
        <w:rPr>
          <w:rFonts w:ascii="Times New Roman" w:hAnsi="Times New Roman"/>
          <w:szCs w:val="22"/>
          <w:lang w:val="pt-BR"/>
        </w:rPr>
        <w:lastRenderedPageBreak/>
        <w:t>Estado democrático, que propicia a controladoria social, a prestação de contas responsável e o fomento da participação cidadã para o exercício da boa governança, e que, em vista disso, destacou que é essencial que os Estados contem com organismos garantidores do acesso à informação pública e promotores da transparência, dotados de independência e recursos que facilitem a abertura da gestão pública, a fim de fortalecer a confiança dos cidadãos nas instituições;</w:t>
      </w:r>
    </w:p>
    <w:p w14:paraId="30B10E33"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17"/>
        <w:rPr>
          <w:rFonts w:ascii="Times New Roman" w:hAnsi="Times New Roman"/>
          <w:b/>
          <w:szCs w:val="22"/>
          <w:lang w:val="pt-BR"/>
        </w:rPr>
      </w:pPr>
    </w:p>
    <w:p w14:paraId="137A8E00"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19"/>
        <w:rPr>
          <w:rFonts w:ascii="Times New Roman" w:hAnsi="Times New Roman"/>
          <w:i/>
          <w:szCs w:val="22"/>
          <w:lang w:val="pt-BR"/>
        </w:rPr>
      </w:pPr>
      <w:r w:rsidRPr="00D65A20">
        <w:rPr>
          <w:rFonts w:ascii="Times New Roman" w:hAnsi="Times New Roman"/>
          <w:szCs w:val="22"/>
          <w:lang w:val="pt-BR"/>
        </w:rPr>
        <w:t>CONSIDERANDO que em 2017 a Assembleia Geral, mediante a resolução AG/RES. 2905 (XLVII-O/17), solicitou ao Departamento de Direito Internacional que, em consulta com os pontos focais do Programa Interamericano de Acesso à Informação Pública dos Estados membros e levando em conta as contribuições da sociedade civil, identificasse as áreas temáticas em que se julgava necessária a atualização ou a ampliação da Lei Modelo Interamericana sobre Acesso à Informação Pública e enviasse os resultados à Comissão Jurídica Interamericana (CJI) para seu desenvolvimento; e</w:t>
      </w:r>
    </w:p>
    <w:p w14:paraId="5FA656D0"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pt-BR"/>
        </w:rPr>
      </w:pPr>
    </w:p>
    <w:p w14:paraId="0B5D47FA"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19"/>
        <w:rPr>
          <w:rFonts w:ascii="Times New Roman" w:hAnsi="Times New Roman"/>
          <w:szCs w:val="22"/>
          <w:lang w:val="pt-BR"/>
        </w:rPr>
      </w:pPr>
      <w:r w:rsidRPr="00D65A20">
        <w:rPr>
          <w:rFonts w:ascii="Times New Roman" w:hAnsi="Times New Roman"/>
          <w:szCs w:val="22"/>
          <w:lang w:val="pt-BR"/>
        </w:rPr>
        <w:t xml:space="preserve">LEVANDO EM CONTA que o Departamento de Direito Internacional, após realizar as referidas consultas, elaborou e submeteu à CJI um anteprojeto de Lei Modelo 2.0; e que a CJI, após considerar o anteprojeto, decidiu, mediante a resolução CJI/RES.255 (XCVI-O/20), de 6 de março de 2020, aprovar a “Proposta de Lei Modelo Interamericana 2.0 sobre Acesso à Informação Pública” (CJI/doc.607/20) e transmiti-la à Assembleia Geral para seu devido conhecimento, consideração e aprovação, </w:t>
      </w:r>
    </w:p>
    <w:p w14:paraId="149EF034"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lang w:val="pt-BR"/>
        </w:rPr>
      </w:pPr>
    </w:p>
    <w:p w14:paraId="3071BF14"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D65A20">
        <w:rPr>
          <w:rFonts w:ascii="Times New Roman" w:hAnsi="Times New Roman"/>
          <w:szCs w:val="22"/>
          <w:lang w:val="pt-BR"/>
        </w:rPr>
        <w:t>RESOLVE:</w:t>
      </w:r>
    </w:p>
    <w:p w14:paraId="16BC20FC"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4A4A184C"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17" w:firstLine="782"/>
        <w:rPr>
          <w:rFonts w:ascii="Times New Roman" w:hAnsi="Times New Roman"/>
          <w:i/>
          <w:szCs w:val="22"/>
          <w:lang w:val="pt-BR"/>
        </w:rPr>
      </w:pPr>
      <w:r w:rsidRPr="00D65A20">
        <w:rPr>
          <w:rFonts w:ascii="Times New Roman" w:hAnsi="Times New Roman"/>
          <w:szCs w:val="22"/>
          <w:lang w:val="pt-BR"/>
        </w:rPr>
        <w:t>1.</w:t>
      </w:r>
      <w:r w:rsidRPr="00D65A20">
        <w:rPr>
          <w:rFonts w:ascii="Times New Roman" w:hAnsi="Times New Roman"/>
          <w:szCs w:val="22"/>
          <w:lang w:val="pt-BR"/>
        </w:rPr>
        <w:tab/>
        <w:t>Instar os governos da região a que apoiem os organismos especializados no acesso à informação e à transparência e a que consolidem as políticas públicas que fomentam a democracia participativa mediante o exercício eficaz desse direito do cidadão.</w:t>
      </w:r>
    </w:p>
    <w:p w14:paraId="1792F0A8"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7B2716B9"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17" w:firstLine="782"/>
        <w:rPr>
          <w:rFonts w:ascii="Times New Roman" w:hAnsi="Times New Roman"/>
          <w:i/>
          <w:szCs w:val="22"/>
          <w:lang w:val="pt-BR"/>
        </w:rPr>
      </w:pPr>
      <w:r w:rsidRPr="00D65A20">
        <w:rPr>
          <w:rFonts w:ascii="Times New Roman" w:hAnsi="Times New Roman"/>
          <w:szCs w:val="22"/>
          <w:lang w:val="pt-BR"/>
        </w:rPr>
        <w:t>2.</w:t>
      </w:r>
      <w:r w:rsidRPr="00D65A20">
        <w:rPr>
          <w:rFonts w:ascii="Times New Roman" w:hAnsi="Times New Roman"/>
          <w:szCs w:val="22"/>
          <w:lang w:val="pt-BR"/>
        </w:rPr>
        <w:tab/>
        <w:t>Instar os governos nacionais da região a que trabalhem em conjunto com os governos locais a fim de que os princípios básicos que dão conteúdo ao direito de acesso à informação pública sejam uniformes em todo o território, independentemente do local onde o direito seja exercido, sem que isso implique uma violação das autonomias locais (provinciais, estaduais ou municipais), uma vez que o acesso à informação pública é um direito humano, como estabelecido pela Corte Interamericana de Direitos Humanos.</w:t>
      </w:r>
    </w:p>
    <w:p w14:paraId="259FB22B"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7A82D1F1"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17" w:firstLine="782"/>
        <w:rPr>
          <w:rFonts w:ascii="Times New Roman" w:hAnsi="Times New Roman"/>
          <w:i/>
          <w:szCs w:val="22"/>
          <w:lang w:val="pt-BR"/>
        </w:rPr>
      </w:pPr>
      <w:r w:rsidRPr="00D65A20">
        <w:rPr>
          <w:rFonts w:ascii="Times New Roman" w:hAnsi="Times New Roman"/>
          <w:szCs w:val="22"/>
          <w:lang w:val="pt-BR"/>
        </w:rPr>
        <w:t>3.</w:t>
      </w:r>
      <w:r w:rsidRPr="00D65A20">
        <w:rPr>
          <w:rFonts w:ascii="Times New Roman" w:hAnsi="Times New Roman"/>
          <w:szCs w:val="22"/>
          <w:lang w:val="pt-BR"/>
        </w:rPr>
        <w:tab/>
        <w:t>Instar os governos da região a que, embora haja necessidade de tomar medidas para conter a atual emergência sanitária, se deve considerar a natureza do direito humano que reveste o acesso à informação pública, a fim de que não sejam implementadas medidas que na prática anulem absolutamente o exercício desse direito, mas que, atendendo ao interesse e à ordem públicos, sejam promovidas ações de transparência em matéria de acesso à informação pública durante a emergência sanitária e, em particular, aquelas relacionadas com a pandemia de covid-19 e a proteção de outros direitos, como os ligados à saúde, ao trabalho, à educação, entre outros.</w:t>
      </w:r>
    </w:p>
    <w:p w14:paraId="07BCFED8"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lang w:val="pt-BR"/>
        </w:rPr>
      </w:pPr>
    </w:p>
    <w:p w14:paraId="78895458"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lang w:val="pt-BR"/>
        </w:rPr>
      </w:pPr>
      <w:r w:rsidRPr="00D65A20">
        <w:rPr>
          <w:rFonts w:ascii="Times New Roman" w:hAnsi="Times New Roman"/>
          <w:szCs w:val="22"/>
          <w:lang w:val="pt-BR"/>
        </w:rPr>
        <w:t>4.</w:t>
      </w:r>
      <w:r w:rsidRPr="00D65A20">
        <w:rPr>
          <w:rFonts w:ascii="Times New Roman" w:hAnsi="Times New Roman"/>
          <w:szCs w:val="22"/>
          <w:lang w:val="pt-BR"/>
        </w:rPr>
        <w:tab/>
        <w:t xml:space="preserve">Aprovar a Lei Modelo Interamericana 2.0 sobre Acesso à Informação Pública e solicitar à Comissão Jurídica Interamericana e ao Departamento de Direito Internacional, na qualidade de Secretaria Técnica daquele órgão, que deem à referida lei a mais ampla divulgação possível entre as diversas partes interessadas, e que continuem apoiando os esforços dos Estados </w:t>
      </w:r>
      <w:r w:rsidRPr="00D65A20">
        <w:rPr>
          <w:rFonts w:ascii="Times New Roman" w:hAnsi="Times New Roman"/>
          <w:szCs w:val="22"/>
          <w:lang w:val="pt-BR"/>
        </w:rPr>
        <w:lastRenderedPageBreak/>
        <w:t>membros que assim o solicitem na adoção ou adaptação da legislação adequada para garantir o acesso à informação pública, tomando como referência a Lei Modelo Interamericana 2.0.</w:t>
      </w:r>
      <w:r w:rsidRPr="00D65A20">
        <w:rPr>
          <w:rFonts w:ascii="Times New Roman" w:hAnsi="Times New Roman"/>
          <w:szCs w:val="22"/>
          <w:u w:val="single"/>
          <w:vertAlign w:val="superscript"/>
          <w:lang w:val="pt-BR"/>
        </w:rPr>
        <w:footnoteReference w:id="64"/>
      </w:r>
      <w:r w:rsidRPr="00D65A20">
        <w:rPr>
          <w:rFonts w:ascii="Times New Roman" w:hAnsi="Times New Roman"/>
          <w:szCs w:val="22"/>
          <w:vertAlign w:val="superscript"/>
          <w:lang w:val="pt-BR"/>
        </w:rPr>
        <w:t>/</w:t>
      </w:r>
    </w:p>
    <w:p w14:paraId="4775B6CB"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09F26949"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33BDB956"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pt-BR"/>
        </w:rPr>
      </w:pPr>
      <w:r w:rsidRPr="00D65A20">
        <w:rPr>
          <w:rFonts w:ascii="Times New Roman" w:hAnsi="Times New Roman"/>
          <w:szCs w:val="22"/>
          <w:lang w:val="pt-BR"/>
        </w:rPr>
        <w:t>II. ACOMPANHAMENTO E RELATÓRIOS</w:t>
      </w:r>
    </w:p>
    <w:p w14:paraId="107BEB57"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7D002CF0"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r w:rsidRPr="00D65A20">
        <w:rPr>
          <w:rFonts w:ascii="Times New Roman" w:hAnsi="Times New Roman"/>
          <w:szCs w:val="22"/>
          <w:lang w:val="pt-BR"/>
        </w:rPr>
        <w:t>RESOLVE:</w:t>
      </w:r>
    </w:p>
    <w:p w14:paraId="0AC8E635"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58342BD6"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1.</w:t>
      </w:r>
      <w:r w:rsidRPr="00D65A20">
        <w:rPr>
          <w:rFonts w:ascii="Times New Roman" w:hAnsi="Times New Roman"/>
          <w:szCs w:val="22"/>
          <w:lang w:val="pt-BR"/>
        </w:rPr>
        <w:tab/>
        <w:t>Encarregar a Secretaria-Geral de, por intermédio das áreas responsáveis pelo acompanhamento e pela execução de atividades relacionadas ao objeto desta resolução, apresentar oportunamente o plano das atividades que serão realizadas no período 2020–2021 para consultas ou para a supervisão adequada por parte dos Estados membros.</w:t>
      </w:r>
    </w:p>
    <w:p w14:paraId="64828D80"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7F7B62C1"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2.</w:t>
      </w:r>
      <w:r w:rsidRPr="00D65A20">
        <w:rPr>
          <w:rFonts w:ascii="Times New Roman" w:hAnsi="Times New Roman"/>
          <w:szCs w:val="22"/>
          <w:lang w:val="pt-BR"/>
        </w:rPr>
        <w:tab/>
        <w:t>Solicitar ao Conselho Permanente que informe a Assembleia Geral, em seu Quinquagésimo Primeiro Período Ordinário de Sessões, sobre a implementação desta resolução. A execução das atividades previstas nesta resolução estará sujeita à disponibilidade de recursos financeiros alocados no orçamento-programa da Organização e de outros recursos.</w:t>
      </w:r>
    </w:p>
    <w:p w14:paraId="3B887E99" w14:textId="77777777" w:rsidR="004A6B17" w:rsidRPr="00D65A20" w:rsidRDefault="004A6B17" w:rsidP="004A6B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r w:rsidRPr="00D65A20">
        <w:rPr>
          <w:rFonts w:ascii="Times New Roman" w:hAnsi="Times New Roman"/>
          <w:szCs w:val="22"/>
          <w:lang w:val="pt-BR"/>
        </w:rPr>
        <w:br w:type="page"/>
      </w:r>
    </w:p>
    <w:p w14:paraId="6E834B2C" w14:textId="77777777" w:rsidR="00627A19" w:rsidRPr="00D65A20" w:rsidRDefault="00627A19"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sz w:val="20"/>
          <w:lang w:val="pt-BR"/>
        </w:rPr>
      </w:pPr>
      <w:r w:rsidRPr="00D65A20">
        <w:rPr>
          <w:rFonts w:ascii="Times New Roman" w:hAnsi="Times New Roman"/>
          <w:sz w:val="20"/>
          <w:lang w:val="pt-BR"/>
        </w:rPr>
        <w:lastRenderedPageBreak/>
        <w:t>NOTAS DE RODAPÉ</w:t>
      </w:r>
    </w:p>
    <w:p w14:paraId="6E834B2D" w14:textId="77777777" w:rsidR="00627A19" w:rsidRPr="00D65A20" w:rsidRDefault="00627A19"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 w:val="20"/>
          <w:lang w:val="pt-BR"/>
        </w:rPr>
      </w:pPr>
    </w:p>
    <w:p w14:paraId="6E834B2E" w14:textId="77777777" w:rsidR="00627A19" w:rsidRPr="00D65A20" w:rsidRDefault="00627A19"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 w:val="20"/>
          <w:lang w:val="pt-BR"/>
        </w:rPr>
      </w:pPr>
    </w:p>
    <w:p w14:paraId="6E834B2F" w14:textId="77777777" w:rsidR="0022168B" w:rsidRPr="00D65A20" w:rsidRDefault="00627A19" w:rsidP="0022168B">
      <w:pPr>
        <w:widowControl/>
        <w:ind w:firstLine="720"/>
        <w:rPr>
          <w:rFonts w:ascii="Times New Roman" w:hAnsi="Times New Roman"/>
          <w:sz w:val="20"/>
          <w:lang w:val="pt-BR"/>
        </w:rPr>
      </w:pPr>
      <w:r w:rsidRPr="00D65A20">
        <w:rPr>
          <w:rFonts w:ascii="Times New Roman" w:hAnsi="Times New Roman"/>
          <w:sz w:val="20"/>
          <w:lang w:val="pt-BR"/>
        </w:rPr>
        <w:t>1.</w:t>
      </w:r>
      <w:r w:rsidRPr="00D65A20">
        <w:rPr>
          <w:rFonts w:ascii="Times New Roman" w:hAnsi="Times New Roman"/>
          <w:sz w:val="20"/>
          <w:lang w:val="pt-BR"/>
        </w:rPr>
        <w:tab/>
        <w:t>(...)</w:t>
      </w:r>
      <w:r w:rsidR="0022168B" w:rsidRPr="00D65A20">
        <w:rPr>
          <w:rFonts w:ascii="Times New Roman" w:hAnsi="Times New Roman"/>
          <w:sz w:val="20"/>
          <w:lang w:val="pt-BR"/>
        </w:rPr>
        <w:t xml:space="preserve">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6E834B30" w14:textId="77777777" w:rsidR="0022168B" w:rsidRPr="00D65A20" w:rsidRDefault="0022168B" w:rsidP="0022168B">
      <w:pPr>
        <w:widowControl/>
        <w:rPr>
          <w:rFonts w:ascii="Times New Roman" w:hAnsi="Times New Roman"/>
          <w:sz w:val="20"/>
          <w:lang w:val="pt-BR"/>
        </w:rPr>
      </w:pPr>
    </w:p>
    <w:p w14:paraId="6E834B31" w14:textId="77777777" w:rsidR="0022168B" w:rsidRPr="00D65A20" w:rsidRDefault="0022168B" w:rsidP="0022168B">
      <w:pPr>
        <w:widowControl/>
        <w:ind w:firstLine="720"/>
        <w:rPr>
          <w:rFonts w:ascii="Times New Roman" w:hAnsi="Times New Roman"/>
          <w:sz w:val="20"/>
          <w:lang w:val="pt-BR"/>
        </w:rPr>
      </w:pPr>
      <w:r w:rsidRPr="00D65A20">
        <w:rPr>
          <w:rFonts w:ascii="Times New Roman" w:hAnsi="Times New Roman"/>
          <w:sz w:val="20"/>
          <w:lang w:val="pt-BR"/>
        </w:rPr>
        <w:t xml:space="preserve">Antígua e Barbuda não apoiou a resolução CP/RES. 1124 (2217/19), de 9 de abril de 2019, cuja intenção era nomear o Senhor Gustavo Tarre como Representante da Assembleia Nacional junto à OEA, e não aceitou as credenciais das autoridades que pretendiam representar a República Bolivariana da Venezuela no Quadragésimo Nono e no Quinquagésimo Períodos Ordinários de Sessões da Assembleia Geral. </w:t>
      </w:r>
    </w:p>
    <w:p w14:paraId="6E834B32" w14:textId="77777777" w:rsidR="0022168B" w:rsidRPr="00D65A20" w:rsidRDefault="0022168B" w:rsidP="0022168B">
      <w:pPr>
        <w:widowControl/>
        <w:rPr>
          <w:rFonts w:ascii="Times New Roman" w:hAnsi="Times New Roman"/>
          <w:sz w:val="20"/>
          <w:lang w:val="pt-BR"/>
        </w:rPr>
      </w:pPr>
    </w:p>
    <w:p w14:paraId="6E834B37" w14:textId="25929FAA" w:rsidR="00627A19" w:rsidRPr="00D65A20" w:rsidRDefault="0022168B" w:rsidP="0022168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pt-BR"/>
        </w:rPr>
      </w:pPr>
      <w:r w:rsidRPr="00D65A20">
        <w:rPr>
          <w:rFonts w:ascii="Times New Roman" w:hAnsi="Times New Roman"/>
          <w:sz w:val="20"/>
          <w:lang w:val="pt-BR"/>
        </w:rPr>
        <w:t>Desse modo, Antígua e Barbuda informa a todos os Estados membros e à Secretaria-Geral da Organização dos Estados Americanos que, até novo aviso, assim como fez no Quadragésimo Nono Período Ordinário de Sessões da Assembleia Geral, não se considerará vinculado a nenhuma declaração ou resolução emanada do Quinquagésimo Período Ordinário de Sessões da Assembleia Geral, nem a quaisquer futuras declarações ou resoluções de qualquer Conselho ou órgão da Organização que incluam a participação de qualquer pessoa ou entidade pretensamente falando pela República Bolivariana da Venezuela ou agindo em seu nome, e nas quais se alcancem 18 votos com a participação de um pretenso representante da República Bolivariana da Venezuela</w:t>
      </w:r>
      <w:r w:rsidR="00627A19" w:rsidRPr="00D65A20">
        <w:rPr>
          <w:rFonts w:ascii="Times New Roman" w:hAnsi="Times New Roman"/>
          <w:sz w:val="20"/>
          <w:lang w:val="pt-BR"/>
        </w:rPr>
        <w:t>.</w:t>
      </w:r>
    </w:p>
    <w:p w14:paraId="6E834B38" w14:textId="77777777" w:rsidR="00627A19" w:rsidRPr="00D65A20" w:rsidRDefault="00627A19"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pt-BR"/>
        </w:rPr>
      </w:pPr>
    </w:p>
    <w:p w14:paraId="6E834B39" w14:textId="105CC14A" w:rsidR="00440A50" w:rsidRPr="003627D4" w:rsidRDefault="00440A50" w:rsidP="009D0A16">
      <w:pPr>
        <w:pStyle w:val="ListParagraph"/>
        <w:numPr>
          <w:ilvl w:val="0"/>
          <w:numId w:val="21"/>
        </w:numPr>
        <w:ind w:left="1440" w:hanging="720"/>
        <w:rPr>
          <w:rStyle w:val="FootnoteReference"/>
          <w:rFonts w:ascii="Times New Roman" w:hAnsi="Times New Roman"/>
          <w:sz w:val="20"/>
          <w:lang w:val="pt-BR"/>
        </w:rPr>
      </w:pPr>
      <w:r w:rsidRPr="003627D4">
        <w:rPr>
          <w:rFonts w:ascii="Times New Roman" w:hAnsi="Times New Roman"/>
          <w:sz w:val="20"/>
          <w:lang w:val="pt-BR"/>
        </w:rPr>
        <w:t>(...) Quinquagésimo Período Ordinário de Sessões da Assembleia Geral.</w:t>
      </w:r>
    </w:p>
    <w:p w14:paraId="6E834B3A" w14:textId="77777777" w:rsidR="00440A50" w:rsidRPr="00D65A20" w:rsidRDefault="00440A50"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pt-BR"/>
        </w:rPr>
      </w:pPr>
    </w:p>
    <w:p w14:paraId="6E834B3B" w14:textId="050408AA" w:rsidR="00627A19" w:rsidRPr="00D65A20" w:rsidRDefault="00440A50"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pt-BR"/>
        </w:rPr>
      </w:pPr>
      <w:r w:rsidRPr="00D65A20">
        <w:rPr>
          <w:rFonts w:ascii="Times New Roman" w:hAnsi="Times New Roman"/>
          <w:sz w:val="20"/>
          <w:lang w:val="pt-BR"/>
        </w:rPr>
        <w:t>3</w:t>
      </w:r>
      <w:r w:rsidR="00627A19" w:rsidRPr="00D65A20">
        <w:rPr>
          <w:rFonts w:ascii="Times New Roman" w:hAnsi="Times New Roman"/>
          <w:sz w:val="20"/>
          <w:lang w:val="pt-BR"/>
        </w:rPr>
        <w:t>.</w:t>
      </w:r>
      <w:r w:rsidR="00627A19" w:rsidRPr="00D65A20">
        <w:rPr>
          <w:rFonts w:ascii="Times New Roman" w:hAnsi="Times New Roman"/>
          <w:sz w:val="20"/>
          <w:lang w:val="pt-BR"/>
        </w:rPr>
        <w:tab/>
        <w:t>(...) “Governabilidade Democrática frente à Corrupção”, nem outros documentos, declarações, comunicados ou resoluções que emanem dessa Cúpula, por não haver participado de sua negociação.</w:t>
      </w:r>
    </w:p>
    <w:p w14:paraId="6E834B3C" w14:textId="77777777" w:rsidR="00627A19" w:rsidRPr="00D65A20" w:rsidRDefault="00627A19"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pt-BR"/>
        </w:rPr>
      </w:pPr>
    </w:p>
    <w:p w14:paraId="6E834B3D" w14:textId="06CD1550" w:rsidR="00627A19" w:rsidRPr="00D65A20" w:rsidRDefault="00440A50"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pt-BR"/>
        </w:rPr>
      </w:pPr>
      <w:r w:rsidRPr="00D65A20">
        <w:rPr>
          <w:rFonts w:ascii="Times New Roman" w:hAnsi="Times New Roman"/>
          <w:sz w:val="20"/>
          <w:lang w:val="pt-BR"/>
        </w:rPr>
        <w:t>4</w:t>
      </w:r>
      <w:r w:rsidR="00627A19" w:rsidRPr="00D65A20">
        <w:rPr>
          <w:rFonts w:ascii="Times New Roman" w:hAnsi="Times New Roman"/>
          <w:sz w:val="20"/>
          <w:lang w:val="pt-BR"/>
        </w:rPr>
        <w:t>.</w:t>
      </w:r>
      <w:r w:rsidR="00627A19" w:rsidRPr="00D65A20">
        <w:rPr>
          <w:rFonts w:ascii="Times New Roman" w:hAnsi="Times New Roman"/>
          <w:sz w:val="20"/>
          <w:lang w:val="pt-BR"/>
        </w:rPr>
        <w:tab/>
        <w:t>(...) para promover a realização progressiva dos direitos econômicos, sociais e culturais. Além disso, a Convenção sobre os Direitos da Criança não cria o “direito à sobrevivência e ao desenvolvimento”, mas sim uma obrigação de que “os Estados Partes assegurarão ao máximo a sobrevivência e o desenvolvimento da criança”.</w:t>
      </w:r>
    </w:p>
    <w:p w14:paraId="6E834B3E" w14:textId="77777777" w:rsidR="00627A19" w:rsidRPr="00D65A20" w:rsidRDefault="00627A19"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pt-BR"/>
        </w:rPr>
      </w:pPr>
    </w:p>
    <w:p w14:paraId="6E834B3F" w14:textId="04B75058" w:rsidR="00627A19" w:rsidRPr="00D65A20" w:rsidRDefault="00440A50"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pt-BR"/>
        </w:rPr>
      </w:pPr>
      <w:r w:rsidRPr="00D65A20">
        <w:rPr>
          <w:rFonts w:ascii="Times New Roman" w:hAnsi="Times New Roman"/>
          <w:sz w:val="20"/>
          <w:lang w:val="pt-BR"/>
        </w:rPr>
        <w:t>7</w:t>
      </w:r>
      <w:r w:rsidR="00627A19" w:rsidRPr="00D65A20">
        <w:rPr>
          <w:rFonts w:ascii="Times New Roman" w:hAnsi="Times New Roman"/>
          <w:sz w:val="20"/>
          <w:lang w:val="pt-BR"/>
        </w:rPr>
        <w:t>.</w:t>
      </w:r>
      <w:r w:rsidR="00627A19" w:rsidRPr="00D65A20">
        <w:rPr>
          <w:rFonts w:ascii="Times New Roman" w:hAnsi="Times New Roman"/>
          <w:sz w:val="20"/>
          <w:lang w:val="pt-BR"/>
        </w:rPr>
        <w:tab/>
        <w:t>(...) receber e transmitir informações.</w:t>
      </w:r>
    </w:p>
    <w:p w14:paraId="6E834B40" w14:textId="77777777" w:rsidR="00627A19" w:rsidRPr="00D65A20" w:rsidRDefault="00627A19"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pt-BR"/>
        </w:rPr>
      </w:pPr>
    </w:p>
    <w:p w14:paraId="6E834B41" w14:textId="0791EEE1" w:rsidR="00627A19" w:rsidRPr="00D65A20" w:rsidRDefault="00440A50"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pt-BR"/>
        </w:rPr>
      </w:pPr>
      <w:r w:rsidRPr="00D65A20">
        <w:rPr>
          <w:rFonts w:ascii="Times New Roman" w:hAnsi="Times New Roman"/>
          <w:sz w:val="20"/>
          <w:lang w:val="pt-BR"/>
        </w:rPr>
        <w:t>8</w:t>
      </w:r>
      <w:r w:rsidR="00627A19" w:rsidRPr="00D65A20">
        <w:rPr>
          <w:rFonts w:ascii="Times New Roman" w:hAnsi="Times New Roman"/>
          <w:sz w:val="20"/>
          <w:lang w:val="pt-BR"/>
        </w:rPr>
        <w:t>.</w:t>
      </w:r>
      <w:r w:rsidR="00627A19" w:rsidRPr="00D65A20">
        <w:rPr>
          <w:rFonts w:ascii="Times New Roman" w:hAnsi="Times New Roman"/>
          <w:sz w:val="20"/>
          <w:lang w:val="pt-BR"/>
        </w:rPr>
        <w:tab/>
        <w:t>(...) os Estados Unidos o fazem promovendo a igualdade de oportunidades para todos.</w:t>
      </w:r>
    </w:p>
    <w:p w14:paraId="6E834B42" w14:textId="77777777" w:rsidR="00627A19" w:rsidRPr="00D65A20" w:rsidRDefault="00627A19"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pt-BR"/>
        </w:rPr>
      </w:pPr>
    </w:p>
    <w:p w14:paraId="6E834B43" w14:textId="37FEF075" w:rsidR="00627A19" w:rsidRPr="00D65A20" w:rsidRDefault="00440A50"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4"/>
          <w:szCs w:val="24"/>
          <w:lang w:val="pt-BR"/>
        </w:rPr>
      </w:pPr>
      <w:r w:rsidRPr="00D65A20">
        <w:rPr>
          <w:rFonts w:ascii="Times New Roman" w:hAnsi="Times New Roman"/>
          <w:sz w:val="20"/>
          <w:lang w:val="pt-BR"/>
        </w:rPr>
        <w:t>9</w:t>
      </w:r>
      <w:r w:rsidR="00627A19" w:rsidRPr="00D65A20">
        <w:rPr>
          <w:rFonts w:ascii="Times New Roman" w:hAnsi="Times New Roman"/>
          <w:sz w:val="20"/>
          <w:lang w:val="pt-BR"/>
        </w:rPr>
        <w:t>.</w:t>
      </w:r>
      <w:r w:rsidR="00627A19" w:rsidRPr="00D65A20">
        <w:rPr>
          <w:rFonts w:ascii="Times New Roman" w:hAnsi="Times New Roman"/>
          <w:sz w:val="20"/>
          <w:lang w:val="pt-BR"/>
        </w:rPr>
        <w:tab/>
        <w:t>(...) constituem um elemento essencial da transparência</w:t>
      </w:r>
      <w:r w:rsidR="00005A3B" w:rsidRPr="00D65A20">
        <w:rPr>
          <w:rFonts w:ascii="Times New Roman" w:hAnsi="Times New Roman"/>
          <w:sz w:val="20"/>
          <w:lang w:val="pt-BR"/>
        </w:rPr>
        <w:t>, cuja</w:t>
      </w:r>
      <w:r w:rsidR="00627A19" w:rsidRPr="00D65A20">
        <w:rPr>
          <w:rFonts w:ascii="Times New Roman" w:hAnsi="Times New Roman"/>
          <w:sz w:val="20"/>
          <w:lang w:val="pt-BR"/>
        </w:rPr>
        <w:t xml:space="preserve"> importância deve ser enfatizada. No entanto, não existe o direito de acesso à informação no âmbito do Direito </w:t>
      </w:r>
      <w:r w:rsidR="00005A3B" w:rsidRPr="00D65A20">
        <w:rPr>
          <w:rFonts w:ascii="Times New Roman" w:hAnsi="Times New Roman"/>
          <w:sz w:val="20"/>
          <w:lang w:val="pt-BR"/>
        </w:rPr>
        <w:t>internacional dos direitos humanos</w:t>
      </w:r>
      <w:r w:rsidR="00627A19" w:rsidRPr="00D65A20">
        <w:rPr>
          <w:rFonts w:ascii="Times New Roman" w:hAnsi="Times New Roman"/>
          <w:sz w:val="20"/>
          <w:lang w:val="pt-BR"/>
        </w:rPr>
        <w:t>. Além disso, os Estados Unidos se preocupam com alguns detalhes da Lei Modelo Interamericana 2.0 sobre Acesso à Informação Pública, como o fato de se subestimarem consideravelmente as dificuldades práticas da implementação de um programa de acesso à informação, podendo, desse modo, sobrecarregar os sistemas administrativos a tal ponto que minaria o objetivo de obter maior transparência; as disposições um tanto vagas que propõem a aplicação da Lei Modelo não apenas a entidades governamentais, mas também a entidades privadas</w:t>
      </w:r>
      <w:r w:rsidR="00005A3B" w:rsidRPr="00D65A20">
        <w:rPr>
          <w:rFonts w:ascii="Times New Roman" w:hAnsi="Times New Roman"/>
          <w:sz w:val="20"/>
          <w:lang w:val="pt-BR"/>
        </w:rPr>
        <w:t xml:space="preserve"> —</w:t>
      </w:r>
      <w:r w:rsidR="00627A19" w:rsidRPr="00D65A20">
        <w:rPr>
          <w:rFonts w:ascii="Times New Roman" w:hAnsi="Times New Roman"/>
          <w:sz w:val="20"/>
          <w:lang w:val="pt-BR"/>
        </w:rPr>
        <w:t xml:space="preserve"> como os partidos políticos, sindicatos e ONGs, na medida em que recebem fundos públicos</w:t>
      </w:r>
      <w:r w:rsidR="00005A3B" w:rsidRPr="00D65A20">
        <w:rPr>
          <w:rFonts w:ascii="Times New Roman" w:hAnsi="Times New Roman"/>
          <w:sz w:val="20"/>
          <w:lang w:val="pt-BR"/>
        </w:rPr>
        <w:t xml:space="preserve"> —</w:t>
      </w:r>
      <w:r w:rsidR="00627A19" w:rsidRPr="00D65A20">
        <w:rPr>
          <w:rFonts w:ascii="Times New Roman" w:hAnsi="Times New Roman"/>
          <w:sz w:val="20"/>
          <w:lang w:val="pt-BR"/>
        </w:rPr>
        <w:t>, por gerarem receio em uma região onde há diversos países com um histórico complicado no que diz respeito ao espaço de funcionamento da sociedade civil, onde a implementação pode gerar preocupação referente à privacidade e liberdade de expressão, entre outros temas; e vários ajustes que podem ser necessários em outros aspectos da Lei Modelo 2.0, como no que diz respeito ao escopo da autoridade do órgão garantidor e ao que pode ser isento de divulgação, para alcançar o equilíbrio adequado entre a transparência e a proteção de interesses legítimos do governo e de terceiros.</w:t>
      </w:r>
      <w:r w:rsidR="00627A19" w:rsidRPr="00D65A20">
        <w:rPr>
          <w:rFonts w:ascii="Times New Roman" w:hAnsi="Times New Roman"/>
          <w:sz w:val="24"/>
          <w:szCs w:val="24"/>
          <w:lang w:val="pt-BR"/>
        </w:rPr>
        <w:t xml:space="preserve"> </w:t>
      </w:r>
    </w:p>
    <w:p w14:paraId="6E834B44" w14:textId="77777777" w:rsidR="003F72BB" w:rsidRPr="00D65A20" w:rsidRDefault="003F72BB" w:rsidP="00AA4399">
      <w:pPr>
        <w:widowControl/>
        <w:outlineLvl w:val="0"/>
        <w:rPr>
          <w:rFonts w:ascii="Times New Roman" w:hAnsi="Times New Roman"/>
          <w:szCs w:val="22"/>
          <w:lang w:val="pt-BR"/>
        </w:rPr>
      </w:pPr>
    </w:p>
    <w:p w14:paraId="6E834B45" w14:textId="77777777" w:rsidR="00851442" w:rsidRPr="00D65A20" w:rsidRDefault="00851442" w:rsidP="00AA4399">
      <w:pPr>
        <w:widowControl/>
        <w:rPr>
          <w:rFonts w:ascii="Times New Roman" w:hAnsi="Times New Roman"/>
          <w:sz w:val="20"/>
          <w:lang w:val="pt-BR"/>
        </w:rPr>
        <w:sectPr w:rsidR="00851442" w:rsidRPr="00D65A20" w:rsidSect="0037138D">
          <w:headerReference w:type="default" r:id="rId76"/>
          <w:footerReference w:type="default" r:id="rId77"/>
          <w:headerReference w:type="first" r:id="rId78"/>
          <w:footnotePr>
            <w:numRestart w:val="eachSect"/>
          </w:footnotePr>
          <w:type w:val="oddPage"/>
          <w:pgSz w:w="12240" w:h="15840" w:code="1"/>
          <w:pgMar w:top="2160" w:right="1570" w:bottom="1296" w:left="1699" w:header="1260" w:footer="720" w:gutter="0"/>
          <w:pgNumType w:fmt="numberInDash"/>
          <w:cols w:space="720"/>
          <w:docGrid w:linePitch="360"/>
        </w:sectPr>
      </w:pPr>
    </w:p>
    <w:p w14:paraId="6E834B46" w14:textId="77777777" w:rsidR="00A544BF" w:rsidRPr="00D65A20" w:rsidRDefault="00851442" w:rsidP="00AA4399">
      <w:pPr>
        <w:widowControl/>
        <w:jc w:val="center"/>
        <w:rPr>
          <w:rStyle w:val="Heading1Char"/>
          <w:rFonts w:ascii="Times New Roman" w:eastAsia="Calibri" w:hAnsi="Times New Roman"/>
          <w:lang w:val="pt-BR"/>
        </w:rPr>
      </w:pPr>
      <w:bookmarkStart w:id="157" w:name="_Toc56526499"/>
      <w:bookmarkStart w:id="158" w:name="_Toc56526709"/>
      <w:r w:rsidRPr="00D65A20">
        <w:rPr>
          <w:rStyle w:val="Heading1Char"/>
          <w:rFonts w:ascii="Times New Roman" w:eastAsia="Calibri" w:hAnsi="Times New Roman"/>
          <w:lang w:val="pt-BR"/>
        </w:rPr>
        <w:lastRenderedPageBreak/>
        <w:t>AG/RES. 2959 (L-O/20)</w:t>
      </w:r>
      <w:bookmarkEnd w:id="157"/>
      <w:bookmarkEnd w:id="158"/>
    </w:p>
    <w:p w14:paraId="6E834B47" w14:textId="77777777" w:rsidR="00A544BF" w:rsidRPr="00D65A20" w:rsidRDefault="00A544BF" w:rsidP="00AA4399">
      <w:pPr>
        <w:widowControl/>
        <w:jc w:val="center"/>
        <w:rPr>
          <w:rStyle w:val="Heading1Char"/>
          <w:rFonts w:ascii="Times New Roman" w:eastAsia="Calibri" w:hAnsi="Times New Roman"/>
          <w:lang w:val="pt-BR"/>
        </w:rPr>
      </w:pPr>
    </w:p>
    <w:p w14:paraId="6E834B48" w14:textId="77777777" w:rsidR="00EC5CCF" w:rsidRPr="00D65A20" w:rsidRDefault="00EC5CCF" w:rsidP="00A544BF">
      <w:pPr>
        <w:pStyle w:val="Heading1"/>
        <w:rPr>
          <w:lang w:val="pt-BR"/>
        </w:rPr>
      </w:pPr>
      <w:bookmarkStart w:id="159" w:name="_Toc56526500"/>
      <w:bookmarkStart w:id="160" w:name="_Toc56526710"/>
      <w:r w:rsidRPr="00D65A20">
        <w:rPr>
          <w:lang w:val="pt-BR"/>
        </w:rPr>
        <w:t>DIREITO INTERNACIONAL</w:t>
      </w:r>
      <w:r w:rsidRPr="00D65A20">
        <w:rPr>
          <w:u w:val="single"/>
          <w:vertAlign w:val="superscript"/>
          <w:lang w:val="pt-BR"/>
        </w:rPr>
        <w:footnoteReference w:id="65"/>
      </w:r>
      <w:r w:rsidRPr="00D65A20">
        <w:rPr>
          <w:vertAlign w:val="superscript"/>
          <w:lang w:val="pt-BR"/>
        </w:rPr>
        <w:t>/</w:t>
      </w:r>
      <w:bookmarkEnd w:id="159"/>
      <w:bookmarkEnd w:id="160"/>
      <w:r w:rsidR="00714959" w:rsidRPr="00D65A20">
        <w:rPr>
          <w:rStyle w:val="FootnoteReference"/>
          <w:u w:val="single"/>
          <w:vertAlign w:val="superscript"/>
          <w:lang w:val="pt-BR"/>
        </w:rPr>
        <w:footnoteReference w:id="66"/>
      </w:r>
      <w:r w:rsidR="00714959" w:rsidRPr="00D65A20">
        <w:rPr>
          <w:vertAlign w:val="superscript"/>
          <w:lang w:val="pt-BR"/>
        </w:rPr>
        <w:t>/</w:t>
      </w:r>
    </w:p>
    <w:p w14:paraId="6E834B49"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eastAsia="es-ES"/>
        </w:rPr>
      </w:pPr>
    </w:p>
    <w:p w14:paraId="6E834B4A"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rPr>
          <w:rFonts w:ascii="Times New Roman" w:hAnsi="Times New Roman"/>
          <w:color w:val="000000"/>
          <w:szCs w:val="22"/>
          <w:lang w:val="pt-BR"/>
        </w:rPr>
      </w:pPr>
      <w:bookmarkStart w:id="161" w:name="_Toc56522572"/>
      <w:bookmarkStart w:id="162" w:name="_Toc56526501"/>
      <w:bookmarkStart w:id="163" w:name="_Toc56526711"/>
      <w:r w:rsidRPr="00D65A20">
        <w:rPr>
          <w:rFonts w:ascii="Times New Roman" w:eastAsia="Calibri" w:hAnsi="Times New Roman"/>
          <w:bCs/>
          <w:color w:val="000000"/>
          <w:szCs w:val="22"/>
          <w:lang w:val="pt-BR" w:eastAsia="es-ES"/>
        </w:rPr>
        <w:t>(</w:t>
      </w:r>
      <w:r w:rsidRPr="00D65A20">
        <w:rPr>
          <w:rFonts w:ascii="Times New Roman" w:hAnsi="Times New Roman"/>
          <w:szCs w:val="22"/>
          <w:lang w:val="pt-BR"/>
        </w:rPr>
        <w:t>Aprovada na quarta sessão plenária, realizada em 21 de outubro de 2020</w:t>
      </w:r>
      <w:r w:rsidRPr="00D65A20">
        <w:rPr>
          <w:rFonts w:ascii="Times New Roman" w:eastAsia="Calibri" w:hAnsi="Times New Roman"/>
          <w:bCs/>
          <w:color w:val="000000"/>
          <w:szCs w:val="22"/>
          <w:lang w:val="pt-BR" w:eastAsia="es-ES"/>
        </w:rPr>
        <w:t>)</w:t>
      </w:r>
      <w:bookmarkEnd w:id="161"/>
      <w:bookmarkEnd w:id="162"/>
      <w:bookmarkEnd w:id="163"/>
    </w:p>
    <w:p w14:paraId="6E834B4B"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pt-BR"/>
        </w:rPr>
      </w:pPr>
    </w:p>
    <w:p w14:paraId="6E834B4C"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pt-BR"/>
        </w:rPr>
      </w:pPr>
    </w:p>
    <w:p w14:paraId="6E834B4D"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Cs/>
          <w:szCs w:val="22"/>
          <w:lang w:val="pt-BR"/>
        </w:rPr>
      </w:pPr>
      <w:r w:rsidRPr="00D65A20">
        <w:rPr>
          <w:rFonts w:ascii="Times New Roman" w:hAnsi="Times New Roman"/>
          <w:bCs/>
          <w:szCs w:val="22"/>
          <w:lang w:val="pt-BR"/>
        </w:rPr>
        <w:t>A ASSEMBLEIA GERAL,</w:t>
      </w:r>
    </w:p>
    <w:p w14:paraId="6E834B4E"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pt-BR"/>
        </w:rPr>
      </w:pPr>
    </w:p>
    <w:p w14:paraId="6E834B4F" w14:textId="72AA449C"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i/>
          <w:szCs w:val="22"/>
          <w:lang w:val="pt-BR"/>
        </w:rPr>
      </w:pPr>
      <w:r w:rsidRPr="00D65A20">
        <w:rPr>
          <w:rFonts w:ascii="Times New Roman" w:hAnsi="Times New Roman"/>
          <w:bCs/>
          <w:szCs w:val="22"/>
          <w:lang w:val="pt-BR"/>
        </w:rPr>
        <w:tab/>
      </w:r>
      <w:r w:rsidRPr="00D65A20">
        <w:rPr>
          <w:rFonts w:ascii="Times New Roman" w:hAnsi="Times New Roman"/>
          <w:szCs w:val="22"/>
          <w:lang w:val="pt-BR"/>
        </w:rPr>
        <w:t>RECORDANDO a resoluç</w:t>
      </w:r>
      <w:r w:rsidR="00795C30" w:rsidRPr="00D65A20">
        <w:rPr>
          <w:rFonts w:ascii="Times New Roman" w:hAnsi="Times New Roman"/>
          <w:szCs w:val="22"/>
          <w:lang w:val="pt-BR"/>
        </w:rPr>
        <w:t>ão</w:t>
      </w:r>
      <w:r w:rsidRPr="00D65A20">
        <w:rPr>
          <w:rFonts w:ascii="Times New Roman" w:hAnsi="Times New Roman"/>
          <w:szCs w:val="22"/>
          <w:lang w:val="pt-BR"/>
        </w:rPr>
        <w:t xml:space="preserve"> AG/RES. 2930 (XLIX-O/19) e todas as resoluções anteriores aprovadas sobre esse tema; e</w:t>
      </w:r>
    </w:p>
    <w:p w14:paraId="6E834B50"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pt-BR"/>
        </w:rPr>
      </w:pPr>
    </w:p>
    <w:p w14:paraId="6E834B51" w14:textId="0916FD63"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i/>
          <w:szCs w:val="22"/>
          <w:lang w:val="pt-BR"/>
        </w:rPr>
      </w:pPr>
      <w:r w:rsidRPr="00D65A20">
        <w:rPr>
          <w:rFonts w:ascii="Times New Roman" w:hAnsi="Times New Roman"/>
          <w:bCs/>
          <w:szCs w:val="22"/>
          <w:lang w:val="pt-BR"/>
        </w:rPr>
        <w:tab/>
      </w:r>
      <w:r w:rsidRPr="00D65A20">
        <w:rPr>
          <w:rFonts w:ascii="Times New Roman" w:hAnsi="Times New Roman"/>
          <w:szCs w:val="22"/>
          <w:lang w:val="pt-BR"/>
        </w:rPr>
        <w:t xml:space="preserve">TENDO VISTO o “Relatório Anual do Conselho Permanente à Assembleia Geral </w:t>
      </w:r>
      <w:r w:rsidRPr="00D65A20">
        <w:rPr>
          <w:rFonts w:ascii="Times New Roman" w:hAnsi="Times New Roman"/>
          <w:bCs/>
          <w:szCs w:val="22"/>
          <w:lang w:val="pt-BR"/>
        </w:rPr>
        <w:t>ju</w:t>
      </w:r>
      <w:r w:rsidR="002248A3" w:rsidRPr="00D65A20">
        <w:rPr>
          <w:rFonts w:ascii="Times New Roman" w:hAnsi="Times New Roman"/>
          <w:bCs/>
          <w:szCs w:val="22"/>
          <w:lang w:val="pt-BR"/>
        </w:rPr>
        <w:t>l</w:t>
      </w:r>
      <w:r w:rsidRPr="00D65A20">
        <w:rPr>
          <w:rFonts w:ascii="Times New Roman" w:hAnsi="Times New Roman"/>
          <w:bCs/>
          <w:szCs w:val="22"/>
          <w:lang w:val="pt-BR"/>
        </w:rPr>
        <w:t>ho 2019–outubro 2020</w:t>
      </w:r>
      <w:r w:rsidRPr="00D65A20">
        <w:rPr>
          <w:rFonts w:ascii="Times New Roman" w:hAnsi="Times New Roman"/>
          <w:szCs w:val="22"/>
          <w:lang w:val="pt-BR"/>
        </w:rPr>
        <w:t>” (AG/doc.5649/20 add. 1), em especial a seção referente às atividades da Comissão de Assuntos Jurídicos e Políticos</w:t>
      </w:r>
      <w:r w:rsidR="002248A3" w:rsidRPr="00D65A20">
        <w:rPr>
          <w:rFonts w:ascii="Times New Roman" w:hAnsi="Times New Roman"/>
          <w:szCs w:val="22"/>
          <w:lang w:val="pt-BR"/>
        </w:rPr>
        <w:t xml:space="preserve"> (CAJP)</w:t>
      </w:r>
      <w:r w:rsidRPr="00D65A20">
        <w:rPr>
          <w:rFonts w:ascii="Times New Roman" w:hAnsi="Times New Roman"/>
          <w:szCs w:val="22"/>
          <w:lang w:val="pt-BR"/>
        </w:rPr>
        <w:t>,</w:t>
      </w:r>
    </w:p>
    <w:p w14:paraId="6E834B52"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pt-BR"/>
        </w:rPr>
      </w:pPr>
    </w:p>
    <w:p w14:paraId="6E834B53" w14:textId="1597F78F"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pt-BR"/>
        </w:rPr>
      </w:pPr>
      <w:r w:rsidRPr="00D65A20">
        <w:rPr>
          <w:rFonts w:ascii="Times New Roman" w:hAnsi="Times New Roman"/>
          <w:bCs/>
          <w:szCs w:val="22"/>
          <w:lang w:val="pt-BR"/>
        </w:rPr>
        <w:tab/>
      </w:r>
      <w:r w:rsidRPr="00D65A20">
        <w:rPr>
          <w:rFonts w:ascii="Times New Roman" w:hAnsi="Times New Roman"/>
          <w:szCs w:val="22"/>
          <w:lang w:val="pt-BR"/>
        </w:rPr>
        <w:t xml:space="preserve">I. </w:t>
      </w:r>
      <w:r w:rsidR="009D0A16">
        <w:rPr>
          <w:rFonts w:ascii="Times New Roman" w:hAnsi="Times New Roman"/>
          <w:szCs w:val="22"/>
          <w:lang w:val="pt-BR"/>
        </w:rPr>
        <w:t xml:space="preserve"> </w:t>
      </w:r>
      <w:r w:rsidRPr="00D65A20">
        <w:rPr>
          <w:rFonts w:ascii="Times New Roman" w:hAnsi="Times New Roman"/>
          <w:szCs w:val="22"/>
          <w:lang w:val="pt-BR"/>
        </w:rPr>
        <w:t>ATIVIDADES DA COMISSÃO DE ASSUNTOS JURÍDICOS E POLÍTICOS</w:t>
      </w:r>
    </w:p>
    <w:p w14:paraId="6E834B54"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B55"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pt-BR"/>
        </w:rPr>
      </w:pPr>
      <w:r w:rsidRPr="00D65A20">
        <w:rPr>
          <w:rFonts w:ascii="Times New Roman" w:hAnsi="Times New Roman"/>
          <w:szCs w:val="22"/>
          <w:lang w:val="pt-BR"/>
        </w:rPr>
        <w:t>RESOLVE:</w:t>
      </w:r>
    </w:p>
    <w:p w14:paraId="6E834B56"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pt-BR"/>
        </w:rPr>
      </w:pPr>
    </w:p>
    <w:p w14:paraId="6E834B57"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i/>
          <w:szCs w:val="22"/>
          <w:lang w:val="pt-BR"/>
        </w:rPr>
      </w:pPr>
      <w:r w:rsidRPr="00D65A20">
        <w:rPr>
          <w:rFonts w:ascii="Times New Roman" w:hAnsi="Times New Roman"/>
          <w:bCs/>
          <w:szCs w:val="22"/>
          <w:lang w:val="pt-BR"/>
        </w:rPr>
        <w:tab/>
      </w:r>
      <w:r w:rsidRPr="00D65A20">
        <w:rPr>
          <w:rFonts w:ascii="Times New Roman" w:hAnsi="Times New Roman"/>
          <w:szCs w:val="22"/>
          <w:lang w:val="pt-BR"/>
        </w:rPr>
        <w:t>1.</w:t>
      </w:r>
      <w:r w:rsidRPr="00D65A20">
        <w:rPr>
          <w:rFonts w:ascii="Times New Roman" w:hAnsi="Times New Roman"/>
          <w:szCs w:val="22"/>
          <w:lang w:val="pt-BR"/>
        </w:rPr>
        <w:tab/>
        <w:t>Encarregar o Conselho Permanente, a Secretaria-Geral e os demais órgãos compreendidos no artigo 53 da Carta da Organização dos Estados Americanos de continuar trabalhando na implementação dos mandatos aplicáveis e vigentes constantes de resoluções anteriores da Assembleia Geral atribuídas à Comissão de Assuntos Jurídicos e Políticos (CAJP), salvo se em determinada resolução for expresso o contrário.</w:t>
      </w:r>
    </w:p>
    <w:p w14:paraId="6E834B58"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i/>
          <w:szCs w:val="22"/>
          <w:lang w:val="pt-BR"/>
        </w:rPr>
      </w:pPr>
    </w:p>
    <w:p w14:paraId="6E834B59"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D65A20">
        <w:rPr>
          <w:rFonts w:ascii="Times New Roman" w:hAnsi="Times New Roman"/>
          <w:bCs/>
          <w:szCs w:val="22"/>
          <w:lang w:val="pt-BR"/>
        </w:rPr>
        <w:tab/>
      </w:r>
      <w:r w:rsidRPr="00D65A20">
        <w:rPr>
          <w:rFonts w:ascii="Times New Roman" w:hAnsi="Times New Roman"/>
          <w:szCs w:val="22"/>
          <w:lang w:val="pt-BR"/>
        </w:rPr>
        <w:t>2.</w:t>
      </w:r>
      <w:r w:rsidRPr="00D65A20">
        <w:rPr>
          <w:rFonts w:ascii="Times New Roman" w:hAnsi="Times New Roman"/>
          <w:szCs w:val="22"/>
          <w:lang w:val="pt-BR"/>
        </w:rPr>
        <w:tab/>
        <w:t>Exortar os Estados membros a que continuem contribuindo para a consecução dos objetivos dispostos nessas resoluções e incumbir a Secretaria-Geral de oferecer a colaboração necessária para essa finalidade.</w:t>
      </w:r>
    </w:p>
    <w:p w14:paraId="6E834B5A"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6E834B5B"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eastAsia="pt-BR"/>
        </w:rPr>
      </w:pPr>
      <w:r w:rsidRPr="00D65A20">
        <w:rPr>
          <w:rFonts w:ascii="Times New Roman" w:hAnsi="Times New Roman"/>
          <w:color w:val="000000"/>
          <w:szCs w:val="22"/>
          <w:lang w:val="pt-BR"/>
        </w:rPr>
        <w:t xml:space="preserve">i. </w:t>
      </w:r>
      <w:r w:rsidRPr="00D65A20">
        <w:rPr>
          <w:rFonts w:ascii="Times New Roman" w:hAnsi="Times New Roman"/>
          <w:color w:val="000000"/>
          <w:szCs w:val="22"/>
          <w:lang w:val="pt-BR"/>
        </w:rPr>
        <w:tab/>
      </w:r>
      <w:r w:rsidRPr="00D65A20">
        <w:rPr>
          <w:rFonts w:ascii="Times New Roman" w:hAnsi="Times New Roman"/>
          <w:color w:val="000000"/>
          <w:szCs w:val="22"/>
          <w:u w:val="single"/>
          <w:lang w:val="pt-BR"/>
        </w:rPr>
        <w:t>Programa Interamericano para o Desenvolvimento do Direito Internacional</w:t>
      </w:r>
      <w:r w:rsidRPr="00D65A20">
        <w:rPr>
          <w:rFonts w:ascii="Times New Roman" w:hAnsi="Times New Roman"/>
          <w:szCs w:val="22"/>
          <w:lang w:val="pt-BR" w:eastAsia="pt-BR"/>
        </w:rPr>
        <w:t xml:space="preserve"> </w:t>
      </w:r>
    </w:p>
    <w:p w14:paraId="6E834B5C" w14:textId="77777777" w:rsidR="00EC5CCF" w:rsidRPr="00D65A20" w:rsidRDefault="00EC5CCF" w:rsidP="00AA4399">
      <w:pPr>
        <w:widowControl/>
        <w:rPr>
          <w:rFonts w:ascii="Times New Roman" w:hAnsi="Times New Roman"/>
          <w:b/>
          <w:color w:val="000000"/>
          <w:szCs w:val="22"/>
          <w:lang w:val="pt-BR"/>
        </w:rPr>
      </w:pPr>
    </w:p>
    <w:p w14:paraId="6E834B5D" w14:textId="6B4413F5"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r w:rsidRPr="00D65A20">
        <w:rPr>
          <w:rFonts w:ascii="Times New Roman" w:hAnsi="Times New Roman"/>
          <w:color w:val="000000"/>
          <w:szCs w:val="22"/>
          <w:lang w:val="pt-BR"/>
        </w:rPr>
        <w:tab/>
        <w:t xml:space="preserve">LEVANDO EM CONTA o relatório que o Departamento de Direito Internacional da Secretaria de Assuntos Jurídicos, no âmbito do Programa Interamericano para o Desenvolvimento do Direito Internacional, adotado mediante a resolução AG/RES. 1471 (XXVII-O/97) e atualizado mediante a resolução AG/RES. 2660 (XLI-O/11), apresentou à CAJP em sua reunião de 30 de janeiro de 2020, dando conta das atividades realizadas sobre a promoção e difusão do </w:t>
      </w:r>
      <w:r w:rsidR="00795C30" w:rsidRPr="00D65A20">
        <w:rPr>
          <w:rFonts w:ascii="Times New Roman" w:hAnsi="Times New Roman"/>
          <w:color w:val="000000"/>
          <w:szCs w:val="22"/>
          <w:lang w:val="pt-BR"/>
        </w:rPr>
        <w:t xml:space="preserve">Direito </w:t>
      </w:r>
      <w:r w:rsidR="005A4B8F" w:rsidRPr="00D65A20">
        <w:rPr>
          <w:rFonts w:ascii="Times New Roman" w:hAnsi="Times New Roman"/>
          <w:color w:val="000000"/>
          <w:szCs w:val="22"/>
          <w:lang w:val="pt-BR"/>
        </w:rPr>
        <w:t>i</w:t>
      </w:r>
      <w:r w:rsidR="00795C30" w:rsidRPr="00D65A20">
        <w:rPr>
          <w:rFonts w:ascii="Times New Roman" w:hAnsi="Times New Roman"/>
          <w:color w:val="000000"/>
          <w:szCs w:val="22"/>
          <w:lang w:val="pt-BR"/>
        </w:rPr>
        <w:t>nternacional</w:t>
      </w:r>
      <w:r w:rsidRPr="00D65A20">
        <w:rPr>
          <w:rFonts w:ascii="Times New Roman" w:hAnsi="Times New Roman"/>
          <w:color w:val="000000"/>
          <w:szCs w:val="22"/>
          <w:lang w:val="pt-BR"/>
        </w:rPr>
        <w:t xml:space="preserve"> entre os Estados membros, em colaboração com os organismos e associações que atuam nesse âmbito; e</w:t>
      </w:r>
    </w:p>
    <w:p w14:paraId="6E834B5E"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6E834B5F" w14:textId="2DBEA15B"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rPr>
      </w:pPr>
      <w:r w:rsidRPr="00D65A20">
        <w:rPr>
          <w:rFonts w:ascii="Times New Roman" w:hAnsi="Times New Roman"/>
          <w:szCs w:val="22"/>
          <w:lang w:val="pt-BR"/>
        </w:rPr>
        <w:t xml:space="preserve">REAFIRMANDO a aplicabilidade do Direito </w:t>
      </w:r>
      <w:r w:rsidR="005A4B8F" w:rsidRPr="00D65A20">
        <w:rPr>
          <w:rFonts w:ascii="Times New Roman" w:hAnsi="Times New Roman"/>
          <w:szCs w:val="22"/>
          <w:lang w:val="pt-BR"/>
        </w:rPr>
        <w:t>i</w:t>
      </w:r>
      <w:r w:rsidRPr="00D65A20">
        <w:rPr>
          <w:rFonts w:ascii="Times New Roman" w:hAnsi="Times New Roman"/>
          <w:szCs w:val="22"/>
          <w:lang w:val="pt-BR"/>
        </w:rPr>
        <w:t>nternacional no ciberespaço e a importância da implementação das normas voluntárias não vinculantes para a conduta responsável do Estado no ciberespaço</w:t>
      </w:r>
      <w:r w:rsidR="00C22422" w:rsidRPr="00D65A20">
        <w:rPr>
          <w:rFonts w:ascii="Times New Roman" w:hAnsi="Times New Roman"/>
          <w:szCs w:val="22"/>
          <w:lang w:val="pt-BR"/>
        </w:rPr>
        <w:t xml:space="preserve">, como descritas </w:t>
      </w:r>
      <w:r w:rsidRPr="00D65A20">
        <w:rPr>
          <w:rFonts w:ascii="Times New Roman" w:hAnsi="Times New Roman"/>
          <w:szCs w:val="22"/>
          <w:lang w:val="pt-BR"/>
        </w:rPr>
        <w:t>nos relatórios de consenso do Grupo de Peritos Governa</w:t>
      </w:r>
      <w:r w:rsidRPr="00D65A20">
        <w:rPr>
          <w:rFonts w:ascii="Times New Roman" w:hAnsi="Times New Roman"/>
          <w:color w:val="000000"/>
          <w:szCs w:val="22"/>
          <w:lang w:val="pt-BR"/>
        </w:rPr>
        <w:t xml:space="preserve">mentais das </w:t>
      </w:r>
      <w:r w:rsidRPr="00D65A20">
        <w:rPr>
          <w:rFonts w:ascii="Times New Roman" w:hAnsi="Times New Roman"/>
          <w:color w:val="000000"/>
          <w:szCs w:val="22"/>
          <w:lang w:val="pt-BR"/>
        </w:rPr>
        <w:lastRenderedPageBreak/>
        <w:t>Nações Unidas sobre os Avanços na Esfera das Informações e das Telecomunicações no Contexto da Segurança Internacional,</w:t>
      </w:r>
    </w:p>
    <w:p w14:paraId="6E834B60" w14:textId="77777777" w:rsidR="00C22422" w:rsidRPr="00D65A20" w:rsidRDefault="00C22422"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pt-BR"/>
        </w:rPr>
      </w:pPr>
    </w:p>
    <w:p w14:paraId="6E834B61"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pt-BR"/>
        </w:rPr>
      </w:pPr>
      <w:r w:rsidRPr="00D65A20">
        <w:rPr>
          <w:rFonts w:ascii="Times New Roman" w:hAnsi="Times New Roman"/>
          <w:color w:val="000000"/>
          <w:szCs w:val="22"/>
          <w:lang w:val="pt-BR"/>
        </w:rPr>
        <w:t>RESOLVE:</w:t>
      </w:r>
    </w:p>
    <w:p w14:paraId="6E834B62"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rPr>
      </w:pPr>
    </w:p>
    <w:p w14:paraId="6E834B63" w14:textId="256724C5"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bCs/>
          <w:i/>
          <w:szCs w:val="22"/>
          <w:lang w:val="pt-BR"/>
        </w:rPr>
      </w:pPr>
      <w:r w:rsidRPr="00D65A20">
        <w:rPr>
          <w:rFonts w:ascii="Times New Roman" w:hAnsi="Times New Roman"/>
          <w:color w:val="000000"/>
          <w:szCs w:val="22"/>
          <w:lang w:val="pt-BR"/>
        </w:rPr>
        <w:t>1.</w:t>
      </w:r>
      <w:r w:rsidRPr="00D65A20">
        <w:rPr>
          <w:rFonts w:ascii="Times New Roman" w:hAnsi="Times New Roman"/>
          <w:color w:val="000000"/>
          <w:szCs w:val="22"/>
          <w:lang w:val="pt-BR"/>
        </w:rPr>
        <w:tab/>
        <w:t xml:space="preserve">Expressar seu reconhecimento pelo trabalho do Departamento de Direito Internacional na promoção, estudo e divulgação de instrumentos jurídicos e solicitar-lhe que continue executando as ações constantes do Programa Interamericano para o Desenvolvimento do Direito Internacional e que informe a CAJP sobre o tema a cada dois anos. </w:t>
      </w:r>
    </w:p>
    <w:p w14:paraId="6E834B64"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rPr>
      </w:pPr>
    </w:p>
    <w:p w14:paraId="6E834B65"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bCs/>
          <w:i/>
          <w:szCs w:val="22"/>
          <w:lang w:val="pt-BR"/>
        </w:rPr>
      </w:pPr>
      <w:r w:rsidRPr="00D65A20">
        <w:rPr>
          <w:rFonts w:ascii="Times New Roman" w:hAnsi="Times New Roman"/>
          <w:color w:val="000000"/>
          <w:szCs w:val="22"/>
          <w:lang w:val="pt-BR"/>
        </w:rPr>
        <w:t>2.</w:t>
      </w:r>
      <w:r w:rsidRPr="00D65A20">
        <w:rPr>
          <w:rFonts w:ascii="Times New Roman" w:hAnsi="Times New Roman"/>
          <w:color w:val="000000"/>
          <w:szCs w:val="22"/>
          <w:lang w:val="pt-BR"/>
        </w:rPr>
        <w:tab/>
        <w:t xml:space="preserve">Encarregar o Departamento de Direito Internacional de explorar, juntamente com os Estados membros, os meios técnicos para avançar na harmonização de normas na esfera do Direito </w:t>
      </w:r>
      <w:r w:rsidR="005A4B8F" w:rsidRPr="00D65A20">
        <w:rPr>
          <w:rFonts w:ascii="Times New Roman" w:hAnsi="Times New Roman"/>
          <w:color w:val="000000"/>
          <w:szCs w:val="22"/>
          <w:lang w:val="pt-BR"/>
        </w:rPr>
        <w:t>internacional privado</w:t>
      </w:r>
      <w:r w:rsidRPr="00D65A20">
        <w:rPr>
          <w:rFonts w:ascii="Times New Roman" w:hAnsi="Times New Roman"/>
          <w:color w:val="000000"/>
          <w:szCs w:val="22"/>
          <w:lang w:val="pt-BR"/>
        </w:rPr>
        <w:t xml:space="preserve">, </w:t>
      </w:r>
      <w:r w:rsidRPr="00D65A20">
        <w:rPr>
          <w:rFonts w:ascii="Times New Roman" w:hAnsi="Times New Roman"/>
          <w:bCs/>
          <w:color w:val="000000"/>
          <w:szCs w:val="22"/>
          <w:lang w:val="pt-BR"/>
        </w:rPr>
        <w:t xml:space="preserve">levando em consideração as atividades previstas no Programa Interamericano de Desenvolvimento do Direito Internacional e, ao fazê-lo, solicitar a colaboração de outros atores interessados em promover e aplicar o Direito </w:t>
      </w:r>
      <w:r w:rsidR="005A4B8F" w:rsidRPr="00D65A20">
        <w:rPr>
          <w:rFonts w:ascii="Times New Roman" w:hAnsi="Times New Roman"/>
          <w:bCs/>
          <w:color w:val="000000"/>
          <w:szCs w:val="22"/>
          <w:lang w:val="pt-BR"/>
        </w:rPr>
        <w:t xml:space="preserve">internacional privado </w:t>
      </w:r>
      <w:r w:rsidRPr="00D65A20">
        <w:rPr>
          <w:rFonts w:ascii="Times New Roman" w:hAnsi="Times New Roman"/>
          <w:bCs/>
          <w:color w:val="000000"/>
          <w:szCs w:val="22"/>
          <w:lang w:val="pt-BR"/>
        </w:rPr>
        <w:t xml:space="preserve">como ferramenta de cooperação, com o objetivo de reativar a economia, fortalecer as pequenas empresas, resolver conflitos entre particulares e </w:t>
      </w:r>
      <w:r w:rsidRPr="00D65A20">
        <w:rPr>
          <w:rFonts w:ascii="Times New Roman" w:hAnsi="Times New Roman"/>
          <w:color w:val="000000"/>
          <w:szCs w:val="22"/>
          <w:lang w:val="pt-BR"/>
        </w:rPr>
        <w:t>proporcionar segurança jurídica às atividades transfronteiriças privadas de todas as pessoas do Hemisfério.</w:t>
      </w:r>
    </w:p>
    <w:p w14:paraId="6E834B66"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rPr>
      </w:pPr>
    </w:p>
    <w:p w14:paraId="6E834B67"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bCs/>
          <w:i/>
          <w:szCs w:val="22"/>
          <w:lang w:val="pt-BR"/>
        </w:rPr>
      </w:pPr>
      <w:r w:rsidRPr="00D65A20">
        <w:rPr>
          <w:rFonts w:ascii="Times New Roman" w:hAnsi="Times New Roman"/>
          <w:color w:val="000000"/>
          <w:szCs w:val="22"/>
          <w:lang w:val="pt-BR"/>
        </w:rPr>
        <w:t>3.</w:t>
      </w:r>
      <w:r w:rsidRPr="00D65A20">
        <w:rPr>
          <w:rFonts w:ascii="Times New Roman" w:hAnsi="Times New Roman"/>
          <w:color w:val="000000"/>
          <w:szCs w:val="22"/>
          <w:lang w:val="pt-BR"/>
        </w:rPr>
        <w:tab/>
      </w:r>
      <w:r w:rsidRPr="00D65A20">
        <w:rPr>
          <w:rFonts w:ascii="Times New Roman" w:hAnsi="Times New Roman"/>
          <w:bCs/>
          <w:color w:val="000000"/>
          <w:szCs w:val="22"/>
          <w:lang w:val="pt-BR"/>
        </w:rPr>
        <w:t xml:space="preserve">Solicitar ao Conselho Permanente a realização de uma sessão extraordinária, em data a ser oportunamente definida, em Washington, D.C., para promover o estudo do </w:t>
      </w:r>
      <w:r w:rsidR="00587830" w:rsidRPr="00D65A20">
        <w:rPr>
          <w:rFonts w:ascii="Times New Roman" w:hAnsi="Times New Roman"/>
          <w:bCs/>
          <w:color w:val="000000"/>
          <w:szCs w:val="22"/>
          <w:lang w:val="pt-BR"/>
        </w:rPr>
        <w:t xml:space="preserve">Direito </w:t>
      </w:r>
      <w:r w:rsidR="005A4B8F" w:rsidRPr="00D65A20">
        <w:rPr>
          <w:rFonts w:ascii="Times New Roman" w:hAnsi="Times New Roman"/>
          <w:bCs/>
          <w:color w:val="000000"/>
          <w:szCs w:val="22"/>
          <w:lang w:val="pt-BR"/>
        </w:rPr>
        <w:t>internacional privado</w:t>
      </w:r>
      <w:r w:rsidRPr="00D65A20">
        <w:rPr>
          <w:rFonts w:ascii="Times New Roman" w:hAnsi="Times New Roman"/>
          <w:bCs/>
          <w:color w:val="000000"/>
          <w:szCs w:val="22"/>
          <w:lang w:val="pt-BR"/>
        </w:rPr>
        <w:t xml:space="preserve"> nas Américas, com a eventual participação de organizações que se dediquem a esse tema, a serem convidadas mediante consenso entre os Estados membros.</w:t>
      </w:r>
    </w:p>
    <w:p w14:paraId="6E834B68"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bCs/>
          <w:color w:val="000000"/>
          <w:szCs w:val="22"/>
          <w:lang w:val="pt-BR"/>
        </w:rPr>
      </w:pPr>
    </w:p>
    <w:p w14:paraId="6E834B69"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bCs/>
          <w:i/>
          <w:szCs w:val="22"/>
          <w:lang w:val="pt-BR"/>
        </w:rPr>
      </w:pPr>
      <w:r w:rsidRPr="00D65A20">
        <w:rPr>
          <w:rFonts w:ascii="Times New Roman" w:hAnsi="Times New Roman"/>
          <w:color w:val="000000"/>
          <w:szCs w:val="22"/>
          <w:lang w:val="pt-BR"/>
        </w:rPr>
        <w:t>4.</w:t>
      </w:r>
      <w:r w:rsidRPr="00D65A20">
        <w:rPr>
          <w:rFonts w:ascii="Times New Roman" w:hAnsi="Times New Roman"/>
          <w:color w:val="000000"/>
          <w:szCs w:val="22"/>
          <w:lang w:val="pt-BR"/>
        </w:rPr>
        <w:tab/>
        <w:t xml:space="preserve">Solicitar ao Departamento de Direito Internacional que promova a formação técnica, a cooperação e o intercâmbio de </w:t>
      </w:r>
      <w:r w:rsidRPr="00D65A20">
        <w:rPr>
          <w:rFonts w:ascii="Times New Roman" w:hAnsi="Times New Roman"/>
          <w:bCs/>
          <w:color w:val="000000"/>
          <w:szCs w:val="22"/>
          <w:lang w:val="pt-BR"/>
        </w:rPr>
        <w:t>conhecimentos com os Ministérios das Relações Exteriores e Desenvolvimento Internacional dos Estados membros, quando procedente, por via remota, com base nas boas práticas internacionais, a convite do Estado membro interessado.</w:t>
      </w:r>
    </w:p>
    <w:p w14:paraId="6E834B6A"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bCs/>
          <w:color w:val="000000"/>
          <w:szCs w:val="22"/>
          <w:lang w:val="pt-BR"/>
        </w:rPr>
      </w:pPr>
    </w:p>
    <w:p w14:paraId="6E834B6B" w14:textId="4FDF4049"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bCs/>
          <w:color w:val="000000"/>
          <w:szCs w:val="22"/>
          <w:lang w:val="pt-BR"/>
        </w:rPr>
      </w:pPr>
      <w:r w:rsidRPr="00D65A20">
        <w:rPr>
          <w:rFonts w:ascii="Times New Roman" w:hAnsi="Times New Roman"/>
          <w:color w:val="000000"/>
          <w:szCs w:val="22"/>
          <w:lang w:val="pt-BR"/>
        </w:rPr>
        <w:t>5.</w:t>
      </w:r>
      <w:r w:rsidRPr="00D65A20">
        <w:rPr>
          <w:rFonts w:ascii="Times New Roman" w:hAnsi="Times New Roman"/>
          <w:color w:val="000000"/>
          <w:szCs w:val="22"/>
          <w:lang w:val="pt-BR"/>
        </w:rPr>
        <w:tab/>
      </w:r>
      <w:r w:rsidRPr="00D65A20">
        <w:rPr>
          <w:rFonts w:ascii="Times New Roman" w:hAnsi="Times New Roman"/>
          <w:szCs w:val="22"/>
          <w:lang w:val="pt-BR"/>
        </w:rPr>
        <w:t>Encarregar a CAJP</w:t>
      </w:r>
      <w:r w:rsidR="00750701" w:rsidRPr="00D65A20">
        <w:rPr>
          <w:rFonts w:ascii="Times New Roman" w:hAnsi="Times New Roman"/>
          <w:szCs w:val="22"/>
          <w:lang w:val="pt-BR"/>
        </w:rPr>
        <w:t xml:space="preserve"> de</w:t>
      </w:r>
      <w:r w:rsidRPr="00D65A20">
        <w:rPr>
          <w:rFonts w:ascii="Times New Roman" w:hAnsi="Times New Roman"/>
          <w:szCs w:val="22"/>
          <w:lang w:val="pt-BR"/>
        </w:rPr>
        <w:t xml:space="preserve">, antes do Quinquagésimo Segundo Período Ordinário de Sessões </w:t>
      </w:r>
      <w:r w:rsidRPr="00D65A20">
        <w:rPr>
          <w:rFonts w:ascii="Times New Roman" w:hAnsi="Times New Roman"/>
          <w:color w:val="000000"/>
          <w:szCs w:val="22"/>
          <w:lang w:val="pt-BR"/>
        </w:rPr>
        <w:t xml:space="preserve">da </w:t>
      </w:r>
      <w:r w:rsidRPr="00D65A20">
        <w:rPr>
          <w:rFonts w:ascii="Times New Roman" w:hAnsi="Times New Roman"/>
          <w:szCs w:val="22"/>
          <w:lang w:val="pt-BR"/>
        </w:rPr>
        <w:t xml:space="preserve">Assembleia Geral, </w:t>
      </w:r>
      <w:r w:rsidR="00750701" w:rsidRPr="00D65A20">
        <w:rPr>
          <w:rFonts w:ascii="Times New Roman" w:hAnsi="Times New Roman"/>
          <w:szCs w:val="22"/>
          <w:lang w:val="pt-BR"/>
        </w:rPr>
        <w:t xml:space="preserve">fazer uma </w:t>
      </w:r>
      <w:r w:rsidR="004C2449" w:rsidRPr="00D65A20">
        <w:rPr>
          <w:rFonts w:ascii="Times New Roman" w:hAnsi="Times New Roman"/>
          <w:szCs w:val="22"/>
          <w:lang w:val="pt-BR"/>
        </w:rPr>
        <w:t>sessão</w:t>
      </w:r>
      <w:r w:rsidRPr="00D65A20">
        <w:rPr>
          <w:rFonts w:ascii="Times New Roman" w:hAnsi="Times New Roman"/>
          <w:szCs w:val="22"/>
          <w:lang w:val="pt-BR"/>
        </w:rPr>
        <w:t xml:space="preserve"> de reflexão coletiva sobre os princípios do Direito </w:t>
      </w:r>
      <w:r w:rsidR="00EA1CB2" w:rsidRPr="00D65A20">
        <w:rPr>
          <w:rFonts w:ascii="Times New Roman" w:hAnsi="Times New Roman"/>
          <w:szCs w:val="22"/>
          <w:lang w:val="pt-BR"/>
        </w:rPr>
        <w:t>i</w:t>
      </w:r>
      <w:r w:rsidRPr="00D65A20">
        <w:rPr>
          <w:rFonts w:ascii="Times New Roman" w:hAnsi="Times New Roman"/>
          <w:szCs w:val="22"/>
          <w:lang w:val="pt-BR"/>
        </w:rPr>
        <w:t xml:space="preserve">nternacional em que se baseia o Sistema Interamericano, como quadro normativo que rege o trabalho da </w:t>
      </w:r>
      <w:r w:rsidR="002248A3" w:rsidRPr="00D65A20">
        <w:rPr>
          <w:rFonts w:ascii="Times New Roman" w:hAnsi="Times New Roman"/>
          <w:szCs w:val="22"/>
          <w:lang w:val="pt-BR"/>
        </w:rPr>
        <w:t>Organização dos Estados Americanos (</w:t>
      </w:r>
      <w:r w:rsidRPr="00D65A20">
        <w:rPr>
          <w:rFonts w:ascii="Times New Roman" w:hAnsi="Times New Roman"/>
          <w:szCs w:val="22"/>
          <w:lang w:val="pt-BR"/>
        </w:rPr>
        <w:t>OEA</w:t>
      </w:r>
      <w:r w:rsidR="002248A3" w:rsidRPr="00D65A20">
        <w:rPr>
          <w:rFonts w:ascii="Times New Roman" w:hAnsi="Times New Roman"/>
          <w:szCs w:val="22"/>
          <w:lang w:val="pt-BR"/>
        </w:rPr>
        <w:t>)</w:t>
      </w:r>
      <w:r w:rsidRPr="00D65A20">
        <w:rPr>
          <w:rFonts w:ascii="Times New Roman" w:hAnsi="Times New Roman"/>
          <w:szCs w:val="22"/>
          <w:lang w:val="pt-BR"/>
        </w:rPr>
        <w:t xml:space="preserve"> e as relações entre os Estados membros</w:t>
      </w:r>
      <w:r w:rsidR="00750701" w:rsidRPr="00D65A20">
        <w:rPr>
          <w:rFonts w:ascii="Times New Roman" w:hAnsi="Times New Roman"/>
          <w:szCs w:val="22"/>
          <w:lang w:val="pt-BR"/>
        </w:rPr>
        <w:t>,</w:t>
      </w:r>
      <w:r w:rsidRPr="00D65A20">
        <w:rPr>
          <w:rFonts w:ascii="Times New Roman" w:hAnsi="Times New Roman"/>
          <w:szCs w:val="22"/>
          <w:lang w:val="pt-BR"/>
        </w:rPr>
        <w:t xml:space="preserve"> e encarregar o </w:t>
      </w:r>
      <w:r w:rsidRPr="00D65A20">
        <w:rPr>
          <w:rFonts w:ascii="Times New Roman" w:hAnsi="Times New Roman"/>
          <w:color w:val="000000"/>
          <w:szCs w:val="22"/>
          <w:lang w:val="pt-BR"/>
        </w:rPr>
        <w:t xml:space="preserve">Departamento de Direito Internacional </w:t>
      </w:r>
      <w:r w:rsidRPr="00D65A20">
        <w:rPr>
          <w:rFonts w:ascii="Times New Roman" w:hAnsi="Times New Roman"/>
          <w:szCs w:val="22"/>
          <w:lang w:val="pt-BR"/>
        </w:rPr>
        <w:t>de preparar posteriormente um relatório sobre suas principais conclusões para apresentação à Comissão Jurídica Interamericana (CJI).</w:t>
      </w:r>
    </w:p>
    <w:p w14:paraId="6E834B6C"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bCs/>
          <w:color w:val="000000"/>
          <w:szCs w:val="22"/>
          <w:lang w:val="pt-BR"/>
        </w:rPr>
      </w:pPr>
    </w:p>
    <w:p w14:paraId="6E834B6D" w14:textId="4DE5598E"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bCs/>
          <w:color w:val="000000"/>
          <w:szCs w:val="22"/>
          <w:lang w:val="pt-BR"/>
        </w:rPr>
        <w:t>6.</w:t>
      </w:r>
      <w:r w:rsidRPr="00D65A20">
        <w:rPr>
          <w:rFonts w:ascii="Times New Roman" w:hAnsi="Times New Roman"/>
          <w:bCs/>
          <w:color w:val="000000"/>
          <w:szCs w:val="22"/>
          <w:lang w:val="pt-BR"/>
        </w:rPr>
        <w:tab/>
      </w:r>
      <w:r w:rsidRPr="00D65A20">
        <w:rPr>
          <w:rFonts w:ascii="Times New Roman" w:hAnsi="Times New Roman"/>
          <w:szCs w:val="22"/>
          <w:lang w:val="pt-BR"/>
        </w:rPr>
        <w:t xml:space="preserve">Encarregar a CAJP de, antes do Quinquagésimo Segundo Período Ordinário de Sessões da Assembleia Geral, </w:t>
      </w:r>
      <w:r w:rsidR="00750701" w:rsidRPr="00D65A20">
        <w:rPr>
          <w:rFonts w:ascii="Times New Roman" w:hAnsi="Times New Roman"/>
          <w:szCs w:val="22"/>
          <w:lang w:val="pt-BR"/>
        </w:rPr>
        <w:t xml:space="preserve">fazer uma </w:t>
      </w:r>
      <w:r w:rsidR="004C2449" w:rsidRPr="00D65A20">
        <w:rPr>
          <w:rFonts w:ascii="Times New Roman" w:hAnsi="Times New Roman"/>
          <w:szCs w:val="22"/>
          <w:lang w:val="pt-BR"/>
        </w:rPr>
        <w:t>sessão</w:t>
      </w:r>
      <w:r w:rsidRPr="00D65A20">
        <w:rPr>
          <w:rFonts w:ascii="Times New Roman" w:hAnsi="Times New Roman"/>
          <w:szCs w:val="22"/>
          <w:lang w:val="pt-BR"/>
        </w:rPr>
        <w:t xml:space="preserve"> </w:t>
      </w:r>
      <w:r w:rsidR="00750701" w:rsidRPr="00D65A20">
        <w:rPr>
          <w:rFonts w:ascii="Times New Roman" w:hAnsi="Times New Roman"/>
          <w:szCs w:val="22"/>
          <w:lang w:val="pt-BR"/>
        </w:rPr>
        <w:t>de</w:t>
      </w:r>
      <w:r w:rsidRPr="00D65A20">
        <w:rPr>
          <w:rFonts w:ascii="Times New Roman" w:hAnsi="Times New Roman"/>
          <w:szCs w:val="22"/>
          <w:lang w:val="pt-BR"/>
        </w:rPr>
        <w:t xml:space="preserve"> reflexão coletiva sobre o fortalecimento do regime de responsabilidades no uso das tecnologias da informação e da</w:t>
      </w:r>
      <w:r w:rsidR="00587830" w:rsidRPr="00D65A20">
        <w:rPr>
          <w:rFonts w:ascii="Times New Roman" w:hAnsi="Times New Roman"/>
          <w:szCs w:val="22"/>
          <w:lang w:val="pt-BR"/>
        </w:rPr>
        <w:t>s</w:t>
      </w:r>
      <w:r w:rsidRPr="00D65A20">
        <w:rPr>
          <w:rFonts w:ascii="Times New Roman" w:hAnsi="Times New Roman"/>
          <w:szCs w:val="22"/>
          <w:lang w:val="pt-BR"/>
        </w:rPr>
        <w:t xml:space="preserve"> comunicaç</w:t>
      </w:r>
      <w:r w:rsidR="00587830" w:rsidRPr="00D65A20">
        <w:rPr>
          <w:rFonts w:ascii="Times New Roman" w:hAnsi="Times New Roman"/>
          <w:szCs w:val="22"/>
          <w:lang w:val="pt-BR"/>
        </w:rPr>
        <w:t>ões</w:t>
      </w:r>
      <w:r w:rsidRPr="00D65A20">
        <w:rPr>
          <w:rFonts w:ascii="Times New Roman" w:hAnsi="Times New Roman"/>
          <w:szCs w:val="22"/>
          <w:lang w:val="pt-BR"/>
        </w:rPr>
        <w:t xml:space="preserve"> (TIC</w:t>
      </w:r>
      <w:r w:rsidR="005A4B51" w:rsidRPr="00D65A20">
        <w:rPr>
          <w:rFonts w:ascii="Times New Roman" w:hAnsi="Times New Roman"/>
          <w:szCs w:val="22"/>
          <w:lang w:val="pt-BR"/>
        </w:rPr>
        <w:t>s</w:t>
      </w:r>
      <w:r w:rsidRPr="00D65A20">
        <w:rPr>
          <w:rFonts w:ascii="Times New Roman" w:hAnsi="Times New Roman"/>
          <w:szCs w:val="22"/>
          <w:lang w:val="pt-BR"/>
        </w:rPr>
        <w:t xml:space="preserve">), e encarregar o </w:t>
      </w:r>
      <w:r w:rsidRPr="00D65A20">
        <w:rPr>
          <w:rFonts w:ascii="Times New Roman" w:hAnsi="Times New Roman"/>
          <w:bCs/>
          <w:color w:val="000000"/>
          <w:szCs w:val="22"/>
          <w:lang w:val="pt-BR"/>
        </w:rPr>
        <w:t>Departamento de Direito Internacional d</w:t>
      </w:r>
      <w:r w:rsidRPr="00D65A20">
        <w:rPr>
          <w:rFonts w:ascii="Times New Roman" w:hAnsi="Times New Roman"/>
          <w:szCs w:val="22"/>
          <w:lang w:val="pt-BR"/>
        </w:rPr>
        <w:t>e elaborar posteriormente um relatório sobre os seus principais resultados para oferecê-los à CJI.</w:t>
      </w:r>
    </w:p>
    <w:p w14:paraId="6E834B6E"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B6F" w14:textId="2D6C2AA2"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7.</w:t>
      </w:r>
      <w:r w:rsidRPr="00D65A20">
        <w:rPr>
          <w:rFonts w:ascii="Times New Roman" w:hAnsi="Times New Roman"/>
          <w:szCs w:val="22"/>
          <w:lang w:val="pt-BR"/>
        </w:rPr>
        <w:tab/>
        <w:t xml:space="preserve">Encarregar a CAJP de, antes do Quinquagésimo Primeiro Período Ordinário de Sessões da Assembleia Geral, </w:t>
      </w:r>
      <w:r w:rsidR="00750701" w:rsidRPr="00D65A20">
        <w:rPr>
          <w:rFonts w:ascii="Times New Roman" w:hAnsi="Times New Roman"/>
          <w:szCs w:val="22"/>
          <w:lang w:val="pt-BR"/>
        </w:rPr>
        <w:t xml:space="preserve">fazer uma </w:t>
      </w:r>
      <w:r w:rsidR="004C2449" w:rsidRPr="00D65A20">
        <w:rPr>
          <w:rFonts w:ascii="Times New Roman" w:hAnsi="Times New Roman"/>
          <w:szCs w:val="22"/>
          <w:lang w:val="pt-BR"/>
        </w:rPr>
        <w:t>sessão</w:t>
      </w:r>
      <w:r w:rsidRPr="00D65A20">
        <w:rPr>
          <w:rFonts w:ascii="Times New Roman" w:hAnsi="Times New Roman"/>
          <w:szCs w:val="22"/>
          <w:lang w:val="pt-BR"/>
        </w:rPr>
        <w:t xml:space="preserve"> </w:t>
      </w:r>
      <w:r w:rsidR="00750701" w:rsidRPr="00D65A20">
        <w:rPr>
          <w:rFonts w:ascii="Times New Roman" w:hAnsi="Times New Roman"/>
          <w:szCs w:val="22"/>
          <w:lang w:val="pt-BR"/>
        </w:rPr>
        <w:t xml:space="preserve">de </w:t>
      </w:r>
      <w:r w:rsidRPr="00D65A20">
        <w:rPr>
          <w:rFonts w:ascii="Times New Roman" w:hAnsi="Times New Roman"/>
          <w:szCs w:val="22"/>
          <w:lang w:val="pt-BR"/>
        </w:rPr>
        <w:t xml:space="preserve">reflexão coletiva sobre a excepcionalidade do uso da força no contexto interamericano e encarregar o </w:t>
      </w:r>
      <w:r w:rsidRPr="00D65A20">
        <w:rPr>
          <w:rFonts w:ascii="Times New Roman" w:hAnsi="Times New Roman"/>
          <w:bCs/>
          <w:color w:val="000000"/>
          <w:szCs w:val="22"/>
          <w:lang w:val="pt-BR"/>
        </w:rPr>
        <w:t>Departamento de Direito Internacional d</w:t>
      </w:r>
      <w:r w:rsidRPr="00D65A20">
        <w:rPr>
          <w:rFonts w:ascii="Times New Roman" w:hAnsi="Times New Roman"/>
          <w:szCs w:val="22"/>
          <w:lang w:val="pt-BR"/>
        </w:rPr>
        <w:t>e elaborar posteriormente um relatório dos seus principais resultados para oferecê-los à CJI.</w:t>
      </w:r>
    </w:p>
    <w:p w14:paraId="6E834B70"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B71" w14:textId="7C148C6B"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lastRenderedPageBreak/>
        <w:t>8.</w:t>
      </w:r>
      <w:r w:rsidRPr="00D65A20">
        <w:rPr>
          <w:rFonts w:ascii="Times New Roman" w:hAnsi="Times New Roman"/>
          <w:szCs w:val="22"/>
          <w:lang w:val="pt-BR"/>
        </w:rPr>
        <w:tab/>
        <w:t xml:space="preserve">Encarregar a CAJP de, antes do Quinquagésimo Primeiro Período Ordinário de Sessões da Assembleia Geral, </w:t>
      </w:r>
      <w:r w:rsidR="00750701" w:rsidRPr="00D65A20">
        <w:rPr>
          <w:rFonts w:ascii="Times New Roman" w:hAnsi="Times New Roman"/>
          <w:szCs w:val="22"/>
          <w:lang w:val="pt-BR"/>
        </w:rPr>
        <w:t xml:space="preserve">fazer uma </w:t>
      </w:r>
      <w:r w:rsidR="004C2449" w:rsidRPr="00D65A20">
        <w:rPr>
          <w:rFonts w:ascii="Times New Roman" w:hAnsi="Times New Roman"/>
          <w:szCs w:val="22"/>
          <w:lang w:val="pt-BR"/>
        </w:rPr>
        <w:t>sessão</w:t>
      </w:r>
      <w:r w:rsidR="00750701" w:rsidRPr="00D65A20">
        <w:rPr>
          <w:rFonts w:ascii="Times New Roman" w:hAnsi="Times New Roman"/>
          <w:szCs w:val="22"/>
          <w:lang w:val="pt-BR"/>
        </w:rPr>
        <w:t xml:space="preserve"> de</w:t>
      </w:r>
      <w:r w:rsidRPr="00D65A20">
        <w:rPr>
          <w:rFonts w:ascii="Times New Roman" w:hAnsi="Times New Roman"/>
          <w:szCs w:val="22"/>
          <w:lang w:val="pt-BR"/>
        </w:rPr>
        <w:t xml:space="preserve"> reflexão coletiva sobre a inviolabilidade das sedes diplomáticas como princípio das relações internacionais e a sua relação com a figura do asilo diplomático</w:t>
      </w:r>
      <w:r w:rsidR="00750701" w:rsidRPr="00D65A20">
        <w:rPr>
          <w:rFonts w:ascii="Times New Roman" w:hAnsi="Times New Roman"/>
          <w:szCs w:val="22"/>
          <w:lang w:val="pt-BR"/>
        </w:rPr>
        <w:t>,</w:t>
      </w:r>
      <w:r w:rsidRPr="00D65A20">
        <w:rPr>
          <w:rFonts w:ascii="Times New Roman" w:hAnsi="Times New Roman"/>
          <w:szCs w:val="22"/>
          <w:lang w:val="pt-BR"/>
        </w:rPr>
        <w:t xml:space="preserve"> e encarregar o </w:t>
      </w:r>
      <w:r w:rsidRPr="00D65A20">
        <w:rPr>
          <w:rFonts w:ascii="Times New Roman" w:hAnsi="Times New Roman"/>
          <w:bCs/>
          <w:color w:val="000000"/>
          <w:szCs w:val="22"/>
          <w:lang w:val="pt-BR"/>
        </w:rPr>
        <w:t>Departamento de Direito Internacional de</w:t>
      </w:r>
      <w:r w:rsidRPr="00D65A20">
        <w:rPr>
          <w:rFonts w:ascii="Times New Roman" w:hAnsi="Times New Roman"/>
          <w:szCs w:val="22"/>
          <w:lang w:val="pt-BR"/>
        </w:rPr>
        <w:t xml:space="preserve"> elaborar posteriormente um relatório dos seus principais resultados para oferecê-los à CJI.</w:t>
      </w:r>
      <w:r w:rsidRPr="00D65A20">
        <w:rPr>
          <w:rFonts w:ascii="Times New Roman" w:hAnsi="Times New Roman"/>
          <w:szCs w:val="22"/>
          <w:u w:val="single"/>
          <w:vertAlign w:val="superscript"/>
          <w:lang w:val="pt-BR"/>
        </w:rPr>
        <w:footnoteReference w:id="67"/>
      </w:r>
      <w:r w:rsidRPr="00D65A20">
        <w:rPr>
          <w:rFonts w:ascii="Times New Roman" w:hAnsi="Times New Roman"/>
          <w:szCs w:val="22"/>
          <w:vertAlign w:val="superscript"/>
          <w:lang w:val="pt-BR"/>
        </w:rPr>
        <w:t>/</w:t>
      </w:r>
    </w:p>
    <w:p w14:paraId="6E834B72"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6E834B73"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bCs/>
          <w:i/>
          <w:szCs w:val="22"/>
          <w:lang w:val="pt-BR"/>
        </w:rPr>
      </w:pPr>
      <w:r w:rsidRPr="00D65A20">
        <w:rPr>
          <w:rFonts w:ascii="Times New Roman" w:hAnsi="Times New Roman"/>
          <w:bCs/>
          <w:color w:val="000000"/>
          <w:szCs w:val="22"/>
          <w:lang w:val="pt-BR"/>
        </w:rPr>
        <w:t>9.</w:t>
      </w:r>
      <w:r w:rsidRPr="00D65A20">
        <w:rPr>
          <w:rFonts w:ascii="Times New Roman" w:hAnsi="Times New Roman"/>
          <w:bCs/>
          <w:color w:val="000000"/>
          <w:szCs w:val="22"/>
          <w:lang w:val="pt-BR"/>
        </w:rPr>
        <w:tab/>
        <w:t xml:space="preserve">Promover entre </w:t>
      </w:r>
      <w:r w:rsidRPr="00D65A20">
        <w:rPr>
          <w:rFonts w:ascii="Times New Roman" w:hAnsi="Times New Roman"/>
          <w:szCs w:val="22"/>
          <w:lang w:val="pt-BR"/>
        </w:rPr>
        <w:t>os</w:t>
      </w:r>
      <w:r w:rsidRPr="00D65A20">
        <w:rPr>
          <w:rFonts w:ascii="Times New Roman" w:hAnsi="Times New Roman"/>
          <w:bCs/>
          <w:color w:val="000000"/>
          <w:szCs w:val="22"/>
          <w:lang w:val="pt-BR"/>
        </w:rPr>
        <w:t xml:space="preserve"> Estados membros e Observadores Permanentes a </w:t>
      </w:r>
      <w:r w:rsidR="00587830" w:rsidRPr="00D65A20">
        <w:rPr>
          <w:rFonts w:ascii="Times New Roman" w:hAnsi="Times New Roman"/>
          <w:bCs/>
          <w:color w:val="000000"/>
          <w:szCs w:val="22"/>
          <w:lang w:val="pt-BR"/>
        </w:rPr>
        <w:t>celebração</w:t>
      </w:r>
      <w:r w:rsidRPr="00D65A20">
        <w:rPr>
          <w:rFonts w:ascii="Times New Roman" w:hAnsi="Times New Roman"/>
          <w:bCs/>
          <w:color w:val="000000"/>
          <w:szCs w:val="22"/>
          <w:lang w:val="pt-BR"/>
        </w:rPr>
        <w:t xml:space="preserve">, em 2021, do </w:t>
      </w:r>
      <w:r w:rsidR="00587830" w:rsidRPr="00D65A20">
        <w:rPr>
          <w:rFonts w:ascii="Times New Roman" w:hAnsi="Times New Roman"/>
          <w:bCs/>
          <w:color w:val="000000"/>
          <w:szCs w:val="22"/>
          <w:lang w:val="pt-BR"/>
        </w:rPr>
        <w:t xml:space="preserve">sexagésimo aniversário </w:t>
      </w:r>
      <w:r w:rsidRPr="00D65A20">
        <w:rPr>
          <w:rFonts w:ascii="Times New Roman" w:hAnsi="Times New Roman"/>
          <w:bCs/>
          <w:color w:val="000000"/>
          <w:szCs w:val="22"/>
          <w:lang w:val="pt-BR"/>
        </w:rPr>
        <w:t>da Convenção de Viena sobre Relações Diplomáticas, de 1961</w:t>
      </w:r>
      <w:r w:rsidRPr="00D65A20">
        <w:rPr>
          <w:rFonts w:ascii="Times New Roman" w:hAnsi="Times New Roman"/>
          <w:color w:val="000000"/>
          <w:szCs w:val="22"/>
          <w:lang w:val="pt-BR"/>
        </w:rPr>
        <w:t>.</w:t>
      </w:r>
    </w:p>
    <w:p w14:paraId="6E834B74"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pt-BR"/>
        </w:rPr>
      </w:pPr>
    </w:p>
    <w:p w14:paraId="6E834B75"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Cs/>
          <w:color w:val="000000"/>
          <w:szCs w:val="22"/>
          <w:u w:val="single"/>
          <w:lang w:val="pt-BR"/>
        </w:rPr>
      </w:pPr>
      <w:r w:rsidRPr="00D65A20">
        <w:rPr>
          <w:rFonts w:ascii="Times New Roman" w:hAnsi="Times New Roman"/>
          <w:bCs/>
          <w:color w:val="000000"/>
          <w:szCs w:val="22"/>
          <w:lang w:val="pt-BR"/>
        </w:rPr>
        <w:t>ii.</w:t>
      </w:r>
      <w:r w:rsidRPr="00D65A20">
        <w:rPr>
          <w:rFonts w:ascii="Times New Roman" w:hAnsi="Times New Roman"/>
          <w:bCs/>
          <w:color w:val="000000"/>
          <w:szCs w:val="22"/>
          <w:lang w:val="pt-BR"/>
        </w:rPr>
        <w:tab/>
      </w:r>
      <w:r w:rsidRPr="00D65A20">
        <w:rPr>
          <w:rFonts w:ascii="Times New Roman" w:hAnsi="Times New Roman"/>
          <w:color w:val="000000"/>
          <w:szCs w:val="22"/>
          <w:u w:val="single"/>
          <w:lang w:val="pt-BR"/>
        </w:rPr>
        <w:t>Comissão Jurídica Interamericana</w:t>
      </w:r>
    </w:p>
    <w:p w14:paraId="6E834B76"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6E834B77"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bCs/>
          <w:i/>
          <w:szCs w:val="22"/>
          <w:lang w:val="pt-BR"/>
        </w:rPr>
      </w:pPr>
      <w:r w:rsidRPr="00D65A20">
        <w:rPr>
          <w:rFonts w:ascii="Times New Roman" w:hAnsi="Times New Roman"/>
          <w:bCs/>
          <w:color w:val="000000"/>
          <w:szCs w:val="22"/>
          <w:lang w:val="pt-BR"/>
        </w:rPr>
        <w:t>CONSIDERANDO</w:t>
      </w:r>
      <w:r w:rsidRPr="00D65A20">
        <w:rPr>
          <w:rFonts w:ascii="Times New Roman" w:hAnsi="Times New Roman"/>
          <w:color w:val="000000"/>
          <w:szCs w:val="22"/>
          <w:lang w:val="pt-BR"/>
        </w:rPr>
        <w:t xml:space="preserve"> as observações e recomendações dos Estados membros sobre o Relatório Anual da Comissão Jurídica Interamericana</w:t>
      </w:r>
      <w:r w:rsidR="002248A3" w:rsidRPr="00D65A20">
        <w:rPr>
          <w:rFonts w:ascii="Times New Roman" w:hAnsi="Times New Roman"/>
          <w:color w:val="000000"/>
          <w:szCs w:val="22"/>
          <w:lang w:val="pt-BR"/>
        </w:rPr>
        <w:t xml:space="preserve"> (CJI)</w:t>
      </w:r>
      <w:r w:rsidRPr="00D65A20">
        <w:rPr>
          <w:rFonts w:ascii="Times New Roman" w:hAnsi="Times New Roman"/>
          <w:color w:val="000000"/>
          <w:szCs w:val="22"/>
          <w:lang w:val="pt-BR"/>
        </w:rPr>
        <w:t xml:space="preserve"> </w:t>
      </w:r>
      <w:r w:rsidR="00E57DC2" w:rsidRPr="00D65A20">
        <w:rPr>
          <w:rFonts w:ascii="Times New Roman" w:hAnsi="Times New Roman"/>
          <w:color w:val="000000"/>
          <w:szCs w:val="22"/>
          <w:lang w:val="pt-BR"/>
        </w:rPr>
        <w:t xml:space="preserve">à Assembleia Geral em seu Quinquagésimo Período Ordinário de Sessões </w:t>
      </w:r>
      <w:r w:rsidRPr="00D65A20">
        <w:rPr>
          <w:rFonts w:ascii="Times New Roman" w:hAnsi="Times New Roman"/>
          <w:color w:val="000000"/>
          <w:szCs w:val="22"/>
          <w:lang w:val="pt-BR"/>
        </w:rPr>
        <w:t>(CP/doc.5600/20); e</w:t>
      </w:r>
    </w:p>
    <w:p w14:paraId="6E834B78"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6E834B79" w14:textId="1399A64A"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pt-BR"/>
        </w:rPr>
      </w:pPr>
      <w:r w:rsidRPr="00D65A20">
        <w:rPr>
          <w:rFonts w:ascii="Times New Roman" w:eastAsia="Calibri" w:hAnsi="Times New Roman"/>
          <w:color w:val="000000"/>
          <w:szCs w:val="22"/>
          <w:lang w:val="pt-BR"/>
        </w:rPr>
        <w:t xml:space="preserve">LEVANDO EM CONTA que, no seu Nonagésimo Sétimo Período Ordinário de Sessões, realizado em agosto de 2020, a </w:t>
      </w:r>
      <w:r w:rsidR="002248A3" w:rsidRPr="00D65A20">
        <w:rPr>
          <w:rFonts w:ascii="Times New Roman" w:eastAsia="Calibri" w:hAnsi="Times New Roman"/>
          <w:color w:val="000000"/>
          <w:szCs w:val="22"/>
          <w:lang w:val="pt-BR"/>
        </w:rPr>
        <w:t>CJI</w:t>
      </w:r>
      <w:r w:rsidRPr="00D65A20">
        <w:rPr>
          <w:rFonts w:ascii="Times New Roman" w:eastAsia="Calibri" w:hAnsi="Times New Roman"/>
          <w:color w:val="000000"/>
          <w:szCs w:val="22"/>
          <w:lang w:val="pt-BR"/>
        </w:rPr>
        <w:t xml:space="preserve"> aprovou as “Diretrizes da Comissão Jurídica Interamericana para os acordos vinculantes e não vinculantes” (CJI/doc.614/20 rev.1 corr.1) e as encaminhou à Assembleia Geral para o seu devido conhecimento e consideração, bem como o relatório “Direito Internacional e </w:t>
      </w:r>
      <w:r w:rsidR="00FA2C37" w:rsidRPr="00D65A20">
        <w:rPr>
          <w:rFonts w:ascii="Times New Roman" w:eastAsia="Calibri" w:hAnsi="Times New Roman"/>
          <w:color w:val="000000"/>
          <w:szCs w:val="22"/>
          <w:lang w:val="pt-BR"/>
        </w:rPr>
        <w:t xml:space="preserve">Operações Cibernéticas </w:t>
      </w:r>
      <w:r w:rsidRPr="00D65A20">
        <w:rPr>
          <w:rFonts w:ascii="Times New Roman" w:eastAsia="Calibri" w:hAnsi="Times New Roman"/>
          <w:color w:val="000000"/>
          <w:szCs w:val="22"/>
          <w:lang w:val="pt-BR"/>
        </w:rPr>
        <w:t xml:space="preserve">do Estado: Melhoria da </w:t>
      </w:r>
      <w:r w:rsidR="00FA2C37" w:rsidRPr="00D65A20">
        <w:rPr>
          <w:rFonts w:ascii="Times New Roman" w:eastAsia="Calibri" w:hAnsi="Times New Roman"/>
          <w:color w:val="000000"/>
          <w:szCs w:val="22"/>
          <w:lang w:val="pt-BR"/>
        </w:rPr>
        <w:t>Transparência</w:t>
      </w:r>
      <w:r w:rsidRPr="00D65A20">
        <w:rPr>
          <w:rFonts w:ascii="Times New Roman" w:eastAsia="Calibri" w:hAnsi="Times New Roman"/>
          <w:color w:val="000000"/>
          <w:szCs w:val="22"/>
          <w:lang w:val="pt-BR"/>
        </w:rPr>
        <w:t xml:space="preserve">” (CJI/doc.615/20), recomendando à Assembleia Geral a aprovação da declaração constante da resolução </w:t>
      </w:r>
      <w:r w:rsidR="00EA1CB2" w:rsidRPr="00D65A20">
        <w:rPr>
          <w:rFonts w:ascii="Times New Roman" w:eastAsia="Calibri" w:hAnsi="Times New Roman"/>
          <w:color w:val="000000"/>
          <w:szCs w:val="22"/>
          <w:lang w:val="pt-BR"/>
        </w:rPr>
        <w:t>CJI/</w:t>
      </w:r>
      <w:r w:rsidR="00947E4B" w:rsidRPr="00D65A20">
        <w:rPr>
          <w:rFonts w:ascii="Times New Roman" w:eastAsia="Calibri" w:hAnsi="Times New Roman"/>
          <w:color w:val="000000"/>
          <w:szCs w:val="22"/>
          <w:lang w:val="pt-BR"/>
        </w:rPr>
        <w:t xml:space="preserve">RES. </w:t>
      </w:r>
      <w:r w:rsidR="00EA1CB2" w:rsidRPr="00D65A20">
        <w:rPr>
          <w:rFonts w:ascii="Times New Roman" w:eastAsia="Calibri" w:hAnsi="Times New Roman"/>
          <w:color w:val="000000"/>
          <w:szCs w:val="22"/>
          <w:lang w:val="pt-BR"/>
        </w:rPr>
        <w:t>260 (XCVII-O720), “Direito i</w:t>
      </w:r>
      <w:r w:rsidRPr="00D65A20">
        <w:rPr>
          <w:rFonts w:ascii="Times New Roman" w:eastAsia="Calibri" w:hAnsi="Times New Roman"/>
          <w:color w:val="000000"/>
          <w:szCs w:val="22"/>
          <w:lang w:val="pt-BR"/>
        </w:rPr>
        <w:t>nternacional e operações cibernéticas do Estado”,</w:t>
      </w:r>
    </w:p>
    <w:p w14:paraId="6E834B7A"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i/>
          <w:szCs w:val="22"/>
          <w:lang w:val="pt-BR"/>
        </w:rPr>
      </w:pPr>
    </w:p>
    <w:p w14:paraId="6E834B7B"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olor w:val="000000"/>
          <w:szCs w:val="22"/>
          <w:lang w:val="pt-BR"/>
        </w:rPr>
      </w:pPr>
      <w:r w:rsidRPr="00D65A20">
        <w:rPr>
          <w:rFonts w:ascii="Times New Roman" w:hAnsi="Times New Roman"/>
          <w:color w:val="000000"/>
          <w:szCs w:val="22"/>
          <w:lang w:val="pt-BR"/>
        </w:rPr>
        <w:t>RESOLVE:</w:t>
      </w:r>
    </w:p>
    <w:p w14:paraId="6E834B7C"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6E834B7D" w14:textId="5A880123"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bCs/>
          <w:i/>
          <w:szCs w:val="22"/>
          <w:lang w:val="pt-BR"/>
        </w:rPr>
      </w:pPr>
      <w:r w:rsidRPr="00D65A20">
        <w:rPr>
          <w:rFonts w:ascii="Times New Roman" w:hAnsi="Times New Roman"/>
          <w:color w:val="000000"/>
          <w:szCs w:val="22"/>
          <w:lang w:val="pt-BR"/>
        </w:rPr>
        <w:t>1.</w:t>
      </w:r>
      <w:r w:rsidRPr="00D65A20">
        <w:rPr>
          <w:rFonts w:ascii="Times New Roman" w:hAnsi="Times New Roman"/>
          <w:color w:val="000000"/>
          <w:szCs w:val="22"/>
          <w:lang w:val="pt-BR"/>
        </w:rPr>
        <w:tab/>
      </w:r>
      <w:r w:rsidR="002248A3" w:rsidRPr="00D65A20">
        <w:rPr>
          <w:rFonts w:ascii="Times New Roman" w:hAnsi="Times New Roman"/>
          <w:color w:val="000000"/>
          <w:szCs w:val="22"/>
          <w:lang w:val="pt-BR"/>
        </w:rPr>
        <w:t xml:space="preserve">Acolher com satisfação </w:t>
      </w:r>
      <w:r w:rsidRPr="00D65A20">
        <w:rPr>
          <w:rFonts w:ascii="Times New Roman" w:hAnsi="Times New Roman"/>
          <w:color w:val="000000"/>
          <w:szCs w:val="22"/>
          <w:lang w:val="pt-BR"/>
        </w:rPr>
        <w:t xml:space="preserve">a divulgação feita pela Secretaria Técnica da CJI do “Guia </w:t>
      </w:r>
      <w:r w:rsidR="002248A3" w:rsidRPr="00D65A20">
        <w:rPr>
          <w:rFonts w:ascii="Times New Roman" w:hAnsi="Times New Roman"/>
          <w:color w:val="000000"/>
          <w:szCs w:val="22"/>
          <w:lang w:val="pt-BR"/>
        </w:rPr>
        <w:t>relativo a</w:t>
      </w:r>
      <w:r w:rsidRPr="00D65A20">
        <w:rPr>
          <w:rFonts w:ascii="Times New Roman" w:hAnsi="Times New Roman"/>
          <w:color w:val="000000"/>
          <w:szCs w:val="22"/>
          <w:lang w:val="pt-BR"/>
        </w:rPr>
        <w:t xml:space="preserve">o </w:t>
      </w:r>
      <w:r w:rsidR="00FA2C37" w:rsidRPr="00D65A20">
        <w:rPr>
          <w:rFonts w:ascii="Times New Roman" w:hAnsi="Times New Roman"/>
          <w:color w:val="000000"/>
          <w:szCs w:val="22"/>
          <w:lang w:val="pt-BR"/>
        </w:rPr>
        <w:t xml:space="preserve">direito aplicável aos contratos comerciais internacionais </w:t>
      </w:r>
      <w:r w:rsidRPr="00D65A20">
        <w:rPr>
          <w:rFonts w:ascii="Times New Roman" w:hAnsi="Times New Roman"/>
          <w:color w:val="000000"/>
          <w:szCs w:val="22"/>
          <w:lang w:val="pt-BR"/>
        </w:rPr>
        <w:t>nas Américas” entre os Estados membros e instá-la a manter seu conteúdo atualizado, a fim de consolidá-lo como uma ferramenta a serviço dos Estados membros.</w:t>
      </w:r>
    </w:p>
    <w:p w14:paraId="6E834B7E"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color w:val="000000"/>
          <w:szCs w:val="22"/>
          <w:lang w:val="pt-BR"/>
        </w:rPr>
      </w:pPr>
    </w:p>
    <w:p w14:paraId="6E834B7F"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bCs/>
          <w:i/>
          <w:szCs w:val="22"/>
          <w:lang w:val="pt-BR"/>
        </w:rPr>
      </w:pPr>
      <w:r w:rsidRPr="00D65A20">
        <w:rPr>
          <w:rFonts w:ascii="Times New Roman" w:hAnsi="Times New Roman"/>
          <w:color w:val="000000"/>
          <w:szCs w:val="22"/>
          <w:lang w:val="pt-BR"/>
        </w:rPr>
        <w:t>2.</w:t>
      </w:r>
      <w:r w:rsidRPr="00D65A20">
        <w:rPr>
          <w:rFonts w:ascii="Times New Roman" w:hAnsi="Times New Roman"/>
          <w:color w:val="000000"/>
          <w:szCs w:val="22"/>
          <w:lang w:val="pt-BR"/>
        </w:rPr>
        <w:tab/>
        <w:t xml:space="preserve">Tomar nota das “Diretrizes da Comissão Jurídica Interamericana para os acordos vinculantes e não vinculantes” e solicitar ao Departamento de Direito Internacional que reúna opiniões dos Estados membros para divulgação com essas </w:t>
      </w:r>
      <w:r w:rsidR="00FA2C37" w:rsidRPr="00D65A20">
        <w:rPr>
          <w:rFonts w:ascii="Times New Roman" w:hAnsi="Times New Roman"/>
          <w:color w:val="000000"/>
          <w:szCs w:val="22"/>
          <w:lang w:val="pt-BR"/>
        </w:rPr>
        <w:t>d</w:t>
      </w:r>
      <w:r w:rsidRPr="00D65A20">
        <w:rPr>
          <w:rFonts w:ascii="Times New Roman" w:hAnsi="Times New Roman"/>
          <w:color w:val="000000"/>
          <w:szCs w:val="22"/>
          <w:lang w:val="pt-BR"/>
        </w:rPr>
        <w:t xml:space="preserve">iretrizes, e tomar nota do </w:t>
      </w:r>
      <w:r w:rsidR="00FA2C37" w:rsidRPr="00D65A20">
        <w:rPr>
          <w:rFonts w:ascii="Times New Roman" w:hAnsi="Times New Roman"/>
          <w:color w:val="000000"/>
          <w:szCs w:val="22"/>
          <w:lang w:val="pt-BR"/>
        </w:rPr>
        <w:t>r</w:t>
      </w:r>
      <w:r w:rsidRPr="00D65A20">
        <w:rPr>
          <w:rFonts w:ascii="Times New Roman" w:hAnsi="Times New Roman"/>
          <w:color w:val="000000"/>
          <w:szCs w:val="22"/>
          <w:lang w:val="pt-BR"/>
        </w:rPr>
        <w:t xml:space="preserve">elatório da CJI sobre “Direito Internacional e </w:t>
      </w:r>
      <w:r w:rsidR="00FA2C37" w:rsidRPr="00D65A20">
        <w:rPr>
          <w:rFonts w:ascii="Times New Roman" w:hAnsi="Times New Roman"/>
          <w:color w:val="000000"/>
          <w:szCs w:val="22"/>
          <w:lang w:val="pt-BR"/>
        </w:rPr>
        <w:t xml:space="preserve">Operações Cibernéticas </w:t>
      </w:r>
      <w:r w:rsidRPr="00D65A20">
        <w:rPr>
          <w:rFonts w:ascii="Times New Roman" w:hAnsi="Times New Roman"/>
          <w:color w:val="000000"/>
          <w:szCs w:val="22"/>
          <w:lang w:val="pt-BR"/>
        </w:rPr>
        <w:t xml:space="preserve">do Estado: Melhoria da </w:t>
      </w:r>
      <w:r w:rsidR="00FA2C37" w:rsidRPr="00D65A20">
        <w:rPr>
          <w:rFonts w:ascii="Times New Roman" w:hAnsi="Times New Roman"/>
          <w:color w:val="000000"/>
          <w:szCs w:val="22"/>
          <w:lang w:val="pt-BR"/>
        </w:rPr>
        <w:t>Transparência</w:t>
      </w:r>
      <w:r w:rsidRPr="00D65A20">
        <w:rPr>
          <w:rFonts w:ascii="Times New Roman" w:hAnsi="Times New Roman"/>
          <w:color w:val="000000"/>
          <w:szCs w:val="22"/>
          <w:lang w:val="pt-BR"/>
        </w:rPr>
        <w:t>”, e solicitar à sua Secretaria Técnica, o Departamento de Direito Internacional, que os divulgue da maneira mais ampla possível.</w:t>
      </w:r>
      <w:r w:rsidRPr="00D65A20">
        <w:rPr>
          <w:rFonts w:ascii="Times New Roman" w:hAnsi="Times New Roman"/>
          <w:szCs w:val="22"/>
          <w:u w:val="single"/>
          <w:vertAlign w:val="superscript"/>
          <w:lang w:val="pt-BR"/>
        </w:rPr>
        <w:footnoteReference w:id="68"/>
      </w:r>
      <w:r w:rsidRPr="00D65A20">
        <w:rPr>
          <w:rFonts w:ascii="Times New Roman" w:hAnsi="Times New Roman"/>
          <w:szCs w:val="22"/>
          <w:vertAlign w:val="superscript"/>
          <w:lang w:val="pt-BR"/>
        </w:rPr>
        <w:t>/</w:t>
      </w:r>
    </w:p>
    <w:p w14:paraId="6E834B80"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color w:val="000000"/>
          <w:szCs w:val="22"/>
          <w:lang w:val="pt-BR"/>
        </w:rPr>
      </w:pPr>
    </w:p>
    <w:p w14:paraId="6E834B81" w14:textId="2EA08B0F"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rPr>
      </w:pPr>
      <w:r w:rsidRPr="00D65A20">
        <w:rPr>
          <w:rFonts w:ascii="Times New Roman" w:hAnsi="Times New Roman"/>
          <w:color w:val="000000"/>
          <w:szCs w:val="22"/>
          <w:lang w:val="pt-BR"/>
        </w:rPr>
        <w:t>3.</w:t>
      </w:r>
      <w:r w:rsidRPr="00D65A20">
        <w:rPr>
          <w:rFonts w:ascii="Times New Roman" w:hAnsi="Times New Roman"/>
          <w:color w:val="000000"/>
          <w:szCs w:val="22"/>
          <w:lang w:val="pt-BR"/>
        </w:rPr>
        <w:tab/>
        <w:t>Reiterar à CJI a solicitação de continuar avançando no desenvolvimento de sua agenda</w:t>
      </w:r>
      <w:r w:rsidR="00FA2C37" w:rsidRPr="00D65A20">
        <w:rPr>
          <w:rFonts w:ascii="Times New Roman" w:hAnsi="Times New Roman"/>
          <w:color w:val="000000"/>
          <w:szCs w:val="22"/>
          <w:lang w:val="pt-BR"/>
        </w:rPr>
        <w:t>, como</w:t>
      </w:r>
      <w:r w:rsidRPr="00D65A20">
        <w:rPr>
          <w:rFonts w:ascii="Times New Roman" w:hAnsi="Times New Roman"/>
          <w:color w:val="000000"/>
          <w:szCs w:val="22"/>
          <w:lang w:val="pt-BR"/>
        </w:rPr>
        <w:t xml:space="preserve"> previsto na resolução CJI/RES. 257 (XCV</w:t>
      </w:r>
      <w:r w:rsidR="002248A3" w:rsidRPr="00D65A20">
        <w:rPr>
          <w:rFonts w:ascii="Times New Roman" w:hAnsi="Times New Roman"/>
          <w:color w:val="000000"/>
          <w:szCs w:val="22"/>
          <w:lang w:val="pt-BR"/>
        </w:rPr>
        <w:t>I</w:t>
      </w:r>
      <w:r w:rsidRPr="00D65A20">
        <w:rPr>
          <w:rFonts w:ascii="Times New Roman" w:hAnsi="Times New Roman"/>
          <w:color w:val="000000"/>
          <w:szCs w:val="22"/>
          <w:lang w:val="pt-BR"/>
        </w:rPr>
        <w:t>I</w:t>
      </w:r>
      <w:r w:rsidR="002248A3" w:rsidRPr="00D65A20">
        <w:rPr>
          <w:rFonts w:ascii="Times New Roman" w:hAnsi="Times New Roman"/>
          <w:color w:val="000000"/>
          <w:szCs w:val="22"/>
          <w:lang w:val="pt-BR"/>
        </w:rPr>
        <w:t>-</w:t>
      </w:r>
      <w:r w:rsidRPr="00D65A20">
        <w:rPr>
          <w:rFonts w:ascii="Times New Roman" w:hAnsi="Times New Roman"/>
          <w:color w:val="000000"/>
          <w:szCs w:val="22"/>
          <w:lang w:val="pt-BR"/>
        </w:rPr>
        <w:t>O/20).</w:t>
      </w:r>
    </w:p>
    <w:p w14:paraId="6E834B82"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color w:val="000000"/>
          <w:szCs w:val="22"/>
          <w:lang w:val="pt-BR"/>
        </w:rPr>
      </w:pPr>
    </w:p>
    <w:p w14:paraId="6E834B83"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bCs/>
          <w:i/>
          <w:szCs w:val="22"/>
          <w:lang w:val="pt-BR"/>
        </w:rPr>
      </w:pPr>
      <w:r w:rsidRPr="00D65A20">
        <w:rPr>
          <w:rFonts w:ascii="Times New Roman" w:hAnsi="Times New Roman"/>
          <w:color w:val="000000"/>
          <w:szCs w:val="22"/>
          <w:lang w:val="pt-BR"/>
        </w:rPr>
        <w:t>4.</w:t>
      </w:r>
      <w:r w:rsidRPr="00D65A20">
        <w:rPr>
          <w:rFonts w:ascii="Times New Roman" w:hAnsi="Times New Roman"/>
          <w:color w:val="000000"/>
          <w:szCs w:val="22"/>
          <w:lang w:val="pt-BR"/>
        </w:rPr>
        <w:tab/>
      </w:r>
      <w:r w:rsidRPr="00D65A20">
        <w:rPr>
          <w:rFonts w:ascii="Times New Roman" w:hAnsi="Times New Roman"/>
          <w:szCs w:val="22"/>
          <w:lang w:val="pt-BR"/>
        </w:rPr>
        <w:t>Reiterar o convite</w:t>
      </w:r>
      <w:r w:rsidRPr="00D65A20">
        <w:rPr>
          <w:rFonts w:ascii="Times New Roman" w:hAnsi="Times New Roman"/>
          <w:b/>
          <w:szCs w:val="22"/>
          <w:lang w:val="pt-BR"/>
        </w:rPr>
        <w:t xml:space="preserve"> </w:t>
      </w:r>
      <w:r w:rsidRPr="00D65A20">
        <w:rPr>
          <w:rFonts w:ascii="Times New Roman" w:hAnsi="Times New Roman"/>
          <w:szCs w:val="22"/>
          <w:lang w:val="pt-BR"/>
        </w:rPr>
        <w:t xml:space="preserve">aos Estados membros a que ofereçam comentários, </w:t>
      </w:r>
      <w:r w:rsidRPr="00D65A20">
        <w:rPr>
          <w:rFonts w:ascii="Times New Roman" w:hAnsi="Times New Roman"/>
          <w:color w:val="000000"/>
          <w:szCs w:val="22"/>
          <w:lang w:val="pt-BR"/>
        </w:rPr>
        <w:t>de maneira oportuna, sobre os pedidos de informações da CJI, com vistas a facilitar a elaboração dos relatórios sobre os temas de</w:t>
      </w:r>
      <w:r w:rsidRPr="00D65A20">
        <w:rPr>
          <w:rFonts w:ascii="Times New Roman" w:hAnsi="Times New Roman"/>
          <w:szCs w:val="22"/>
          <w:lang w:val="pt-BR"/>
        </w:rPr>
        <w:t xml:space="preserve"> responsabilidade da Comissão.</w:t>
      </w:r>
    </w:p>
    <w:p w14:paraId="6E834B84"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6E834B85" w14:textId="51A9FACC"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bCs/>
          <w:i/>
          <w:szCs w:val="22"/>
          <w:lang w:val="pt-BR"/>
        </w:rPr>
      </w:pPr>
      <w:r w:rsidRPr="00D65A20">
        <w:rPr>
          <w:rFonts w:ascii="Times New Roman" w:hAnsi="Times New Roman"/>
          <w:color w:val="000000"/>
          <w:szCs w:val="22"/>
          <w:lang w:val="pt-BR"/>
        </w:rPr>
        <w:lastRenderedPageBreak/>
        <w:t>5.</w:t>
      </w:r>
      <w:r w:rsidRPr="00D65A20">
        <w:rPr>
          <w:rFonts w:ascii="Times New Roman" w:hAnsi="Times New Roman"/>
          <w:color w:val="000000"/>
          <w:szCs w:val="22"/>
          <w:lang w:val="pt-BR"/>
        </w:rPr>
        <w:tab/>
        <w:t>Reconhecer a necessidade de avançar no fortalecimento administrativo e orçamentário da CJI, a fim de assegurar o cumprimento de seus objetivos, em particular sua função consultiva, bem como de seu papel acadêmico mediante o curso d</w:t>
      </w:r>
      <w:r w:rsidR="00EA1CB2" w:rsidRPr="00D65A20">
        <w:rPr>
          <w:rFonts w:ascii="Times New Roman" w:hAnsi="Times New Roman"/>
          <w:color w:val="000000"/>
          <w:szCs w:val="22"/>
          <w:lang w:val="pt-BR"/>
        </w:rPr>
        <w:t>e Direito i</w:t>
      </w:r>
      <w:r w:rsidRPr="00D65A20">
        <w:rPr>
          <w:rFonts w:ascii="Times New Roman" w:hAnsi="Times New Roman"/>
          <w:color w:val="000000"/>
          <w:szCs w:val="22"/>
          <w:lang w:val="pt-BR"/>
        </w:rPr>
        <w:t>nternacional organizado anualmente no Rio de Janeiro. Nesse sentido, reiterar à Secretaria-Geral, em conformidade com os recursos existentes,</w:t>
      </w:r>
      <w:r w:rsidR="00FE38D8" w:rsidRPr="00D65A20">
        <w:rPr>
          <w:rFonts w:ascii="Times New Roman" w:hAnsi="Times New Roman"/>
          <w:color w:val="000000"/>
          <w:szCs w:val="22"/>
          <w:lang w:val="pt-BR"/>
        </w:rPr>
        <w:t xml:space="preserve"> o pedido de elaboração de</w:t>
      </w:r>
      <w:r w:rsidR="004C2449" w:rsidRPr="00D65A20">
        <w:rPr>
          <w:rFonts w:ascii="Times New Roman" w:hAnsi="Times New Roman"/>
          <w:color w:val="000000"/>
          <w:szCs w:val="22"/>
          <w:lang w:val="pt-BR"/>
        </w:rPr>
        <w:t xml:space="preserve"> </w:t>
      </w:r>
      <w:r w:rsidRPr="00D65A20">
        <w:rPr>
          <w:rFonts w:ascii="Times New Roman" w:hAnsi="Times New Roman"/>
          <w:color w:val="000000"/>
          <w:szCs w:val="22"/>
          <w:lang w:val="pt-BR"/>
        </w:rPr>
        <w:t>um estudo, a ser distribuído o quanto antes possível aos Estados membros, sobre o eventual restabelecimento do cargo de Secretário Executivo, a criação de outro equivalente ou meios alternativos para o reforço administrativo e orçamentário da CJI.</w:t>
      </w:r>
    </w:p>
    <w:p w14:paraId="6E834B86"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color w:val="000000"/>
          <w:szCs w:val="22"/>
          <w:lang w:val="pt-BR"/>
        </w:rPr>
      </w:pPr>
    </w:p>
    <w:p w14:paraId="6E834B87" w14:textId="500B4F84"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bCs/>
          <w:i/>
          <w:szCs w:val="22"/>
          <w:lang w:val="pt-BR"/>
        </w:rPr>
      </w:pPr>
      <w:r w:rsidRPr="00D65A20">
        <w:rPr>
          <w:rFonts w:ascii="Times New Roman" w:hAnsi="Times New Roman"/>
          <w:color w:val="000000"/>
          <w:szCs w:val="22"/>
          <w:lang w:val="pt-BR"/>
        </w:rPr>
        <w:t>6.</w:t>
      </w:r>
      <w:r w:rsidRPr="00D65A20">
        <w:rPr>
          <w:rFonts w:ascii="Times New Roman" w:hAnsi="Times New Roman"/>
          <w:color w:val="000000"/>
          <w:szCs w:val="22"/>
          <w:lang w:val="pt-BR"/>
        </w:rPr>
        <w:tab/>
        <w:t xml:space="preserve">Solicitar à CJI que consolide a colaboração que mantém com a Comissão de Direito Internacional da Organização das Nações Unidas, com as academias diplomáticas e as consultorias jurídicas das chancelarias dos Estados membros, bem como com </w:t>
      </w:r>
      <w:r w:rsidR="00523713" w:rsidRPr="00D65A20">
        <w:rPr>
          <w:rFonts w:ascii="Times New Roman" w:hAnsi="Times New Roman"/>
          <w:color w:val="000000"/>
          <w:szCs w:val="22"/>
          <w:lang w:val="pt-BR"/>
        </w:rPr>
        <w:t>o setor acadêmico</w:t>
      </w:r>
      <w:r w:rsidRPr="00D65A20">
        <w:rPr>
          <w:rFonts w:ascii="Times New Roman" w:hAnsi="Times New Roman"/>
          <w:color w:val="000000"/>
          <w:szCs w:val="22"/>
          <w:lang w:val="pt-BR"/>
        </w:rPr>
        <w:t xml:space="preserve"> e a sociedade civil, que lhe permita atender aos seus objetivos, tendo em conta as possibilidades financeiras dos Estados e levando em consideração os desafios materiais para conter a </w:t>
      </w:r>
      <w:r w:rsidR="00877D54" w:rsidRPr="00D65A20">
        <w:rPr>
          <w:rFonts w:ascii="Times New Roman" w:hAnsi="Times New Roman"/>
          <w:color w:val="000000"/>
          <w:szCs w:val="22"/>
          <w:lang w:val="pt-BR"/>
        </w:rPr>
        <w:t>pandemia de</w:t>
      </w:r>
      <w:r w:rsidRPr="00D65A20">
        <w:rPr>
          <w:rFonts w:ascii="Times New Roman" w:hAnsi="Times New Roman"/>
          <w:color w:val="000000"/>
          <w:szCs w:val="22"/>
          <w:lang w:val="pt-BR"/>
        </w:rPr>
        <w:t xml:space="preserve"> </w:t>
      </w:r>
      <w:r w:rsidR="00877D54" w:rsidRPr="00D65A20">
        <w:rPr>
          <w:rFonts w:ascii="Times New Roman" w:hAnsi="Times New Roman"/>
          <w:color w:val="000000"/>
          <w:szCs w:val="22"/>
          <w:lang w:val="pt-BR"/>
        </w:rPr>
        <w:t>covid</w:t>
      </w:r>
      <w:r w:rsidRPr="00D65A20">
        <w:rPr>
          <w:rFonts w:ascii="Times New Roman" w:hAnsi="Times New Roman"/>
          <w:color w:val="000000"/>
          <w:szCs w:val="22"/>
          <w:lang w:val="pt-BR"/>
        </w:rPr>
        <w:t>-19; e destacar a importância de melhorar a colaboração da CJI com os escritórios, assessorias e consultorias jurídicas das chancelarias dos Estados membros, inclusive com respeito à busca de opiniões dos Estados membros sobre os desenvolvimentos da CJI.</w:t>
      </w:r>
    </w:p>
    <w:p w14:paraId="6E834B88"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color w:val="000000"/>
          <w:szCs w:val="22"/>
          <w:lang w:val="pt-BR"/>
        </w:rPr>
      </w:pPr>
    </w:p>
    <w:p w14:paraId="6E834B89"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color w:val="000000"/>
          <w:szCs w:val="22"/>
          <w:lang w:val="pt-BR"/>
        </w:rPr>
      </w:pPr>
      <w:r w:rsidRPr="00D65A20">
        <w:rPr>
          <w:rFonts w:ascii="Times New Roman" w:hAnsi="Times New Roman"/>
          <w:color w:val="000000"/>
          <w:szCs w:val="22"/>
          <w:lang w:val="pt-BR"/>
        </w:rPr>
        <w:t>7.</w:t>
      </w:r>
      <w:r w:rsidRPr="00D65A20">
        <w:rPr>
          <w:rFonts w:ascii="Times New Roman" w:hAnsi="Times New Roman"/>
          <w:color w:val="000000"/>
          <w:szCs w:val="22"/>
          <w:lang w:val="pt-BR"/>
        </w:rPr>
        <w:tab/>
        <w:t>Incentivar a comunicação entre o Conselho Permanente e a CJI para que esta última possa exercer sua função consultiva, com pleno respeito a sua autonomia e dimensão técnica, contribuindo para as decisões da Organização e promovendo o exercício harmonioso das competências entre os órgãos do Sistema Interamericano.</w:t>
      </w:r>
      <w:r w:rsidRPr="00D65A20">
        <w:rPr>
          <w:rFonts w:ascii="Times New Roman" w:hAnsi="Times New Roman"/>
          <w:b/>
          <w:i/>
          <w:szCs w:val="22"/>
          <w:lang w:val="pt-BR"/>
        </w:rPr>
        <w:t xml:space="preserve"> </w:t>
      </w:r>
    </w:p>
    <w:p w14:paraId="6E834B8A"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color w:val="000000"/>
          <w:szCs w:val="22"/>
          <w:lang w:val="pt-BR"/>
        </w:rPr>
      </w:pPr>
    </w:p>
    <w:p w14:paraId="6E834B8B"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bCs/>
          <w:i/>
          <w:szCs w:val="22"/>
          <w:lang w:val="pt-BR"/>
        </w:rPr>
      </w:pPr>
      <w:r w:rsidRPr="00D65A20">
        <w:rPr>
          <w:rFonts w:ascii="Times New Roman" w:hAnsi="Times New Roman"/>
          <w:color w:val="000000"/>
          <w:szCs w:val="22"/>
          <w:lang w:val="pt-BR"/>
        </w:rPr>
        <w:t>8.</w:t>
      </w:r>
      <w:r w:rsidRPr="00D65A20">
        <w:rPr>
          <w:rFonts w:ascii="Times New Roman" w:hAnsi="Times New Roman"/>
          <w:color w:val="000000"/>
          <w:szCs w:val="22"/>
          <w:lang w:val="pt-BR"/>
        </w:rPr>
        <w:tab/>
        <w:t>Solicitar à CJI que promova e estude as áreas da ciência jurídica que facilitem a cooperação internacional no Sistema Interamericano em benefício das sociedades do Hemisfério.</w:t>
      </w:r>
      <w:r w:rsidRPr="00D65A20">
        <w:rPr>
          <w:rFonts w:ascii="Times New Roman" w:hAnsi="Times New Roman"/>
          <w:i/>
          <w:szCs w:val="22"/>
          <w:lang w:val="pt-BR"/>
        </w:rPr>
        <w:t xml:space="preserve"> </w:t>
      </w:r>
    </w:p>
    <w:p w14:paraId="6E834B8C"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color w:val="000000"/>
          <w:szCs w:val="22"/>
          <w:lang w:val="pt-BR"/>
        </w:rPr>
      </w:pPr>
    </w:p>
    <w:p w14:paraId="6E834B8D" w14:textId="5CF660EE"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bCs/>
          <w:i/>
          <w:szCs w:val="22"/>
          <w:lang w:val="pt-BR"/>
        </w:rPr>
      </w:pPr>
      <w:r w:rsidRPr="00D65A20">
        <w:rPr>
          <w:rFonts w:ascii="Times New Roman" w:hAnsi="Times New Roman"/>
          <w:color w:val="000000"/>
          <w:szCs w:val="22"/>
          <w:lang w:val="pt-BR"/>
        </w:rPr>
        <w:t>9.</w:t>
      </w:r>
      <w:r w:rsidRPr="00D65A20">
        <w:rPr>
          <w:rFonts w:ascii="Times New Roman" w:hAnsi="Times New Roman"/>
          <w:color w:val="000000"/>
          <w:szCs w:val="22"/>
          <w:lang w:val="pt-BR"/>
        </w:rPr>
        <w:tab/>
        <w:t>Solicitar à CJI que examine a estrutura jurídica interamericana cuja aplicação poderia, além das legislações nacionais, fortalecer a resiliência social e econômica dos nossos países no âmbito da pandemia d</w:t>
      </w:r>
      <w:r w:rsidR="005A4B51" w:rsidRPr="00D65A20">
        <w:rPr>
          <w:rFonts w:ascii="Times New Roman" w:hAnsi="Times New Roman"/>
          <w:color w:val="000000"/>
          <w:szCs w:val="22"/>
          <w:lang w:val="pt-BR"/>
        </w:rPr>
        <w:t>e</w:t>
      </w:r>
      <w:r w:rsidRPr="00D65A20">
        <w:rPr>
          <w:rFonts w:ascii="Times New Roman" w:hAnsi="Times New Roman"/>
          <w:color w:val="000000"/>
          <w:szCs w:val="22"/>
          <w:lang w:val="pt-BR"/>
        </w:rPr>
        <w:t xml:space="preserve"> </w:t>
      </w:r>
      <w:r w:rsidR="005A4B51" w:rsidRPr="00D65A20">
        <w:rPr>
          <w:rFonts w:ascii="Times New Roman" w:hAnsi="Times New Roman"/>
          <w:color w:val="000000"/>
          <w:szCs w:val="22"/>
          <w:lang w:val="pt-BR"/>
        </w:rPr>
        <w:t>covid</w:t>
      </w:r>
      <w:r w:rsidRPr="00D65A20">
        <w:rPr>
          <w:rFonts w:ascii="Times New Roman" w:hAnsi="Times New Roman"/>
          <w:color w:val="000000"/>
          <w:szCs w:val="22"/>
          <w:lang w:val="pt-BR"/>
        </w:rPr>
        <w:t>-19 e dos seus efeitos posteriores, a fim de poder dispor das suas considerações, idealmente antes do Quinquagésimo Primeiro Período Ordinário de Sessões da Assembleia Geral, em 2021.</w:t>
      </w:r>
      <w:r w:rsidRPr="00D65A20">
        <w:rPr>
          <w:rFonts w:ascii="Times New Roman" w:hAnsi="Times New Roman"/>
          <w:i/>
          <w:szCs w:val="22"/>
          <w:lang w:val="pt-BR"/>
        </w:rPr>
        <w:t xml:space="preserve"> </w:t>
      </w:r>
    </w:p>
    <w:p w14:paraId="6E834B8E"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6E834B8F"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pt-BR"/>
        </w:rPr>
      </w:pPr>
      <w:r w:rsidRPr="00D65A20">
        <w:rPr>
          <w:rFonts w:ascii="Times New Roman" w:hAnsi="Times New Roman"/>
          <w:color w:val="000000"/>
          <w:szCs w:val="22"/>
          <w:lang w:val="pt-BR"/>
        </w:rPr>
        <w:t>iii.</w:t>
      </w:r>
      <w:r w:rsidRPr="00D65A20">
        <w:rPr>
          <w:rFonts w:ascii="Times New Roman" w:hAnsi="Times New Roman"/>
          <w:color w:val="000000"/>
          <w:szCs w:val="22"/>
          <w:lang w:val="pt-BR"/>
        </w:rPr>
        <w:tab/>
      </w:r>
      <w:r w:rsidRPr="00D65A20">
        <w:rPr>
          <w:rFonts w:ascii="Times New Roman" w:hAnsi="Times New Roman"/>
          <w:color w:val="000000"/>
          <w:szCs w:val="22"/>
          <w:u w:val="single"/>
          <w:lang w:val="pt-BR"/>
        </w:rPr>
        <w:t xml:space="preserve">Promoção e respeito do Direito </w:t>
      </w:r>
      <w:r w:rsidR="00EA1CB2" w:rsidRPr="00D65A20">
        <w:rPr>
          <w:rFonts w:ascii="Times New Roman" w:hAnsi="Times New Roman"/>
          <w:color w:val="000000"/>
          <w:szCs w:val="22"/>
          <w:u w:val="single"/>
          <w:lang w:val="pt-BR"/>
        </w:rPr>
        <w:t>internacional humanitário</w:t>
      </w:r>
      <w:r w:rsidR="00EA1CB2" w:rsidRPr="00D65A20">
        <w:rPr>
          <w:rFonts w:ascii="Times New Roman" w:hAnsi="Times New Roman"/>
          <w:color w:val="000000"/>
          <w:szCs w:val="22"/>
          <w:lang w:val="pt-BR"/>
        </w:rPr>
        <w:t xml:space="preserve"> </w:t>
      </w:r>
    </w:p>
    <w:p w14:paraId="6E834B90"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pt-BR"/>
        </w:rPr>
      </w:pPr>
    </w:p>
    <w:p w14:paraId="6E834B91"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i/>
          <w:szCs w:val="22"/>
          <w:lang w:val="pt-BR"/>
        </w:rPr>
      </w:pPr>
      <w:r w:rsidRPr="00D65A20">
        <w:rPr>
          <w:rFonts w:ascii="Times New Roman" w:hAnsi="Times New Roman"/>
          <w:color w:val="000000"/>
          <w:szCs w:val="22"/>
          <w:lang w:val="pt-BR"/>
        </w:rPr>
        <w:tab/>
        <w:t xml:space="preserve">RECONHECENDO que muitos Estados podem ter programas sólidos para a implementação efetiva do Direito </w:t>
      </w:r>
      <w:r w:rsidR="00897E98" w:rsidRPr="00D65A20">
        <w:rPr>
          <w:rFonts w:ascii="Times New Roman" w:hAnsi="Times New Roman"/>
          <w:color w:val="000000"/>
          <w:szCs w:val="22"/>
          <w:lang w:val="pt-BR"/>
        </w:rPr>
        <w:t xml:space="preserve">internacional humanitário </w:t>
      </w:r>
      <w:r w:rsidRPr="00D65A20">
        <w:rPr>
          <w:rFonts w:ascii="Times New Roman" w:hAnsi="Times New Roman"/>
          <w:color w:val="000000"/>
          <w:szCs w:val="22"/>
          <w:lang w:val="pt-BR"/>
        </w:rPr>
        <w:t>por parte de suas forças armadas;</w:t>
      </w:r>
    </w:p>
    <w:p w14:paraId="6E834B92"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6E834B93"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lang w:val="pt-BR"/>
        </w:rPr>
      </w:pPr>
      <w:r w:rsidRPr="00D65A20">
        <w:rPr>
          <w:rFonts w:ascii="Times New Roman" w:hAnsi="Times New Roman"/>
          <w:color w:val="000000"/>
          <w:szCs w:val="22"/>
          <w:lang w:val="pt-BR"/>
        </w:rPr>
        <w:t xml:space="preserve">EXPRESSANDO CONSTERNAÇÃO pelo fato de, em diversos lugares do mundo, persistirem violações ao Direito </w:t>
      </w:r>
      <w:r w:rsidR="00D05FA3" w:rsidRPr="00D65A20">
        <w:rPr>
          <w:rFonts w:ascii="Times New Roman" w:hAnsi="Times New Roman"/>
          <w:color w:val="000000"/>
          <w:szCs w:val="22"/>
          <w:lang w:val="pt-BR"/>
        </w:rPr>
        <w:t>internacional humanitário</w:t>
      </w:r>
      <w:r w:rsidRPr="00D65A20">
        <w:rPr>
          <w:rFonts w:ascii="Times New Roman" w:hAnsi="Times New Roman"/>
          <w:color w:val="000000"/>
          <w:szCs w:val="22"/>
          <w:lang w:val="pt-BR"/>
        </w:rPr>
        <w:t>, que causam sofrimento às vítimas dos conflitos armados, particularmente à população civil, e pelos desafios representados pelas consequências humanitárias que ocorrem atualmente no contexto dos conflitos armados;</w:t>
      </w:r>
      <w:r w:rsidRPr="00D65A20">
        <w:rPr>
          <w:rFonts w:ascii="Times New Roman" w:hAnsi="Times New Roman"/>
          <w:i/>
          <w:szCs w:val="22"/>
          <w:lang w:val="pt-BR"/>
        </w:rPr>
        <w:t xml:space="preserve"> </w:t>
      </w:r>
    </w:p>
    <w:p w14:paraId="6E834B94"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i/>
          <w:szCs w:val="22"/>
          <w:lang w:val="pt-BR"/>
        </w:rPr>
      </w:pPr>
    </w:p>
    <w:p w14:paraId="6E834B95"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bCs/>
          <w:i/>
          <w:szCs w:val="22"/>
          <w:lang w:val="pt-BR"/>
        </w:rPr>
      </w:pPr>
      <w:r w:rsidRPr="00D65A20">
        <w:rPr>
          <w:rFonts w:ascii="Times New Roman" w:hAnsi="Times New Roman"/>
          <w:color w:val="000000"/>
          <w:szCs w:val="22"/>
          <w:lang w:val="pt-BR"/>
        </w:rPr>
        <w:t xml:space="preserve">SUBLINHANDO que em 2019 se comemorou o Septuagésimo Aniversário da Adoção das Convenções de Genebra, de 1949; saudando a sua ratificação universal; e convidando os Estados a que considerem ratificar tratados relevantes de Direito </w:t>
      </w:r>
      <w:r w:rsidR="00D05FA3" w:rsidRPr="00D65A20">
        <w:rPr>
          <w:rFonts w:ascii="Times New Roman" w:hAnsi="Times New Roman"/>
          <w:color w:val="000000"/>
          <w:szCs w:val="22"/>
          <w:lang w:val="pt-BR"/>
        </w:rPr>
        <w:t>internacional humanitário</w:t>
      </w:r>
      <w:r w:rsidRPr="00D65A20">
        <w:rPr>
          <w:rFonts w:ascii="Times New Roman" w:hAnsi="Times New Roman"/>
          <w:color w:val="000000"/>
          <w:szCs w:val="22"/>
          <w:lang w:val="pt-BR"/>
        </w:rPr>
        <w:t>;</w:t>
      </w:r>
      <w:r w:rsidRPr="00D65A20">
        <w:rPr>
          <w:rFonts w:ascii="Times New Roman" w:hAnsi="Times New Roman"/>
          <w:i/>
          <w:szCs w:val="22"/>
          <w:lang w:val="pt-BR"/>
        </w:rPr>
        <w:t xml:space="preserve"> </w:t>
      </w:r>
    </w:p>
    <w:p w14:paraId="6E834B96"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6E834B97"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lang w:val="pt-BR"/>
        </w:rPr>
      </w:pPr>
      <w:r w:rsidRPr="00D65A20">
        <w:rPr>
          <w:rFonts w:ascii="Times New Roman" w:hAnsi="Times New Roman"/>
          <w:color w:val="000000"/>
          <w:szCs w:val="22"/>
          <w:lang w:val="pt-BR"/>
        </w:rPr>
        <w:t xml:space="preserve">RECORDANDO que a obrigação de respeitar e fazer respeitar, em todas as circunstâncias, o Direito </w:t>
      </w:r>
      <w:r w:rsidR="00D05FA3" w:rsidRPr="00D65A20">
        <w:rPr>
          <w:rFonts w:ascii="Times New Roman" w:hAnsi="Times New Roman"/>
          <w:color w:val="000000"/>
          <w:szCs w:val="22"/>
          <w:lang w:val="pt-BR"/>
        </w:rPr>
        <w:t>internacional humanitário</w:t>
      </w:r>
      <w:r w:rsidRPr="00D65A20">
        <w:rPr>
          <w:rFonts w:ascii="Times New Roman" w:hAnsi="Times New Roman"/>
          <w:color w:val="000000"/>
          <w:szCs w:val="22"/>
          <w:lang w:val="pt-BR"/>
        </w:rPr>
        <w:t xml:space="preserve">, tanto o convencional como o consuetudinário, incumbe a todos os </w:t>
      </w:r>
      <w:r w:rsidRPr="00D65A20">
        <w:rPr>
          <w:rFonts w:ascii="Times New Roman" w:hAnsi="Times New Roman"/>
          <w:color w:val="000000"/>
          <w:szCs w:val="22"/>
          <w:lang w:val="pt-BR"/>
        </w:rPr>
        <w:lastRenderedPageBreak/>
        <w:t>Estados Partes nas quatro Convenções de Genebra, de 1949, universalmente reconhecidas, da mesma forma que aos Estados que são Partes em algum de seus três Protocolos adicionais;</w:t>
      </w:r>
      <w:r w:rsidRPr="00D65A20">
        <w:rPr>
          <w:rFonts w:ascii="Times New Roman" w:hAnsi="Times New Roman"/>
          <w:szCs w:val="22"/>
          <w:u w:val="single"/>
          <w:vertAlign w:val="superscript"/>
          <w:lang w:val="pt-BR"/>
        </w:rPr>
        <w:footnoteReference w:id="69"/>
      </w:r>
      <w:r w:rsidRPr="00D65A20">
        <w:rPr>
          <w:rFonts w:ascii="Times New Roman" w:hAnsi="Times New Roman"/>
          <w:szCs w:val="22"/>
          <w:vertAlign w:val="superscript"/>
          <w:lang w:val="pt-BR"/>
        </w:rPr>
        <w:t>/</w:t>
      </w:r>
      <w:r w:rsidRPr="00D65A20">
        <w:rPr>
          <w:rFonts w:ascii="Times New Roman" w:hAnsi="Times New Roman"/>
          <w:i/>
          <w:szCs w:val="22"/>
          <w:lang w:val="pt-BR"/>
        </w:rPr>
        <w:t xml:space="preserve"> </w:t>
      </w:r>
    </w:p>
    <w:p w14:paraId="6E834B98" w14:textId="77777777" w:rsidR="00D05FA3" w:rsidRPr="00D65A20" w:rsidRDefault="00D05FA3" w:rsidP="009D0A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i/>
          <w:szCs w:val="22"/>
          <w:lang w:val="pt-BR"/>
        </w:rPr>
      </w:pPr>
    </w:p>
    <w:p w14:paraId="6E834B99"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Cs/>
          <w:i/>
          <w:szCs w:val="22"/>
          <w:lang w:val="pt-BR"/>
        </w:rPr>
      </w:pPr>
      <w:r w:rsidRPr="00D65A20">
        <w:rPr>
          <w:rFonts w:ascii="Times New Roman" w:hAnsi="Times New Roman"/>
          <w:color w:val="000000"/>
          <w:szCs w:val="22"/>
          <w:lang w:val="pt-BR"/>
        </w:rPr>
        <w:t xml:space="preserve">REAFIRMANDO que, para isso, é necessário fortalecer a implementação do Direito </w:t>
      </w:r>
      <w:r w:rsidR="00D05FA3" w:rsidRPr="00D65A20">
        <w:rPr>
          <w:rFonts w:ascii="Times New Roman" w:hAnsi="Times New Roman"/>
          <w:color w:val="000000"/>
          <w:szCs w:val="22"/>
          <w:lang w:val="pt-BR"/>
        </w:rPr>
        <w:t>internacional humanitário</w:t>
      </w:r>
      <w:r w:rsidRPr="00D65A20">
        <w:rPr>
          <w:rFonts w:ascii="Times New Roman" w:hAnsi="Times New Roman"/>
          <w:color w:val="000000"/>
          <w:szCs w:val="22"/>
          <w:lang w:val="pt-BR"/>
        </w:rPr>
        <w:t xml:space="preserve">, impulsionando sua aceitação universal, sua mais ampla divulgação e a adoção de medidas internas para sua devida aplicação, inclusive por meio da adequação da legislação nacional e, quando aplicável, mediante a imposição de sanções penais aos que o infrinjam de maneira grave; e </w:t>
      </w:r>
    </w:p>
    <w:p w14:paraId="6E834B9A"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6E834B9B"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bCs/>
          <w:i/>
          <w:szCs w:val="22"/>
          <w:lang w:val="pt-BR"/>
        </w:rPr>
      </w:pPr>
      <w:r w:rsidRPr="00D65A20">
        <w:rPr>
          <w:rFonts w:ascii="Times New Roman" w:hAnsi="Times New Roman"/>
          <w:color w:val="000000"/>
          <w:szCs w:val="22"/>
          <w:lang w:val="pt-BR"/>
        </w:rPr>
        <w:t xml:space="preserve">DESTACANDO o mandato e o papel do Comitê Internacional da Cruz Vermelha (CICV), como instituição neutra, imparcial e independente, de proteger e prestar assistência às vítimas dos conflitos armados e de outras situações de violência, bem como de promover e divulgar o respeito do Direito </w:t>
      </w:r>
      <w:r w:rsidR="00D05FA3" w:rsidRPr="00D65A20">
        <w:rPr>
          <w:rFonts w:ascii="Times New Roman" w:hAnsi="Times New Roman"/>
          <w:color w:val="000000"/>
          <w:szCs w:val="22"/>
          <w:lang w:val="pt-BR"/>
        </w:rPr>
        <w:t>internacional humanitário</w:t>
      </w:r>
      <w:r w:rsidRPr="00D65A20">
        <w:rPr>
          <w:rFonts w:ascii="Times New Roman" w:hAnsi="Times New Roman"/>
          <w:color w:val="000000"/>
          <w:szCs w:val="22"/>
          <w:lang w:val="pt-BR"/>
        </w:rPr>
        <w:t xml:space="preserve">, conferidos pelas quatro Convenções de Genebra, de 1949, e pelo Estatuto do Movimento Internacional da Cruz Vermelha e </w:t>
      </w:r>
      <w:r w:rsidR="00897E98" w:rsidRPr="00D65A20">
        <w:rPr>
          <w:rFonts w:ascii="Times New Roman" w:hAnsi="Times New Roman"/>
          <w:color w:val="000000"/>
          <w:szCs w:val="22"/>
          <w:lang w:val="pt-BR"/>
        </w:rPr>
        <w:t>d</w:t>
      </w:r>
      <w:r w:rsidRPr="00D65A20">
        <w:rPr>
          <w:rFonts w:ascii="Times New Roman" w:hAnsi="Times New Roman"/>
          <w:color w:val="000000"/>
          <w:szCs w:val="22"/>
          <w:lang w:val="pt-BR"/>
        </w:rPr>
        <w:t>o Crescente Vermelho,</w:t>
      </w:r>
    </w:p>
    <w:p w14:paraId="6E834B9C"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pt-BR"/>
        </w:rPr>
      </w:pPr>
    </w:p>
    <w:p w14:paraId="6E834B9D"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pt-BR"/>
        </w:rPr>
      </w:pPr>
      <w:r w:rsidRPr="00D65A20">
        <w:rPr>
          <w:rFonts w:ascii="Times New Roman" w:hAnsi="Times New Roman"/>
          <w:color w:val="000000"/>
          <w:szCs w:val="22"/>
          <w:lang w:val="pt-BR"/>
        </w:rPr>
        <w:t>RESOLVE:</w:t>
      </w:r>
    </w:p>
    <w:p w14:paraId="6E834B9E"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6E834B9F"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bCs/>
          <w:i/>
          <w:szCs w:val="22"/>
          <w:lang w:val="pt-BR"/>
        </w:rPr>
      </w:pPr>
      <w:r w:rsidRPr="00D65A20">
        <w:rPr>
          <w:rFonts w:ascii="Times New Roman" w:hAnsi="Times New Roman"/>
          <w:color w:val="000000"/>
          <w:szCs w:val="22"/>
          <w:lang w:val="pt-BR"/>
        </w:rPr>
        <w:t>1.</w:t>
      </w:r>
      <w:r w:rsidRPr="00D65A20">
        <w:rPr>
          <w:rFonts w:ascii="Times New Roman" w:hAnsi="Times New Roman"/>
          <w:color w:val="000000"/>
          <w:szCs w:val="22"/>
          <w:lang w:val="pt-BR"/>
        </w:rPr>
        <w:tab/>
        <w:t xml:space="preserve">Instar os Estados membros e as partes envolvidas em conflitos armados a que respeitem e cumpram suas obrigações segundo o Direito </w:t>
      </w:r>
      <w:r w:rsidR="00D05FA3" w:rsidRPr="00D65A20">
        <w:rPr>
          <w:rFonts w:ascii="Times New Roman" w:hAnsi="Times New Roman"/>
          <w:color w:val="000000"/>
          <w:szCs w:val="22"/>
          <w:lang w:val="pt-BR"/>
        </w:rPr>
        <w:t>internacional humanitário</w:t>
      </w:r>
      <w:r w:rsidRPr="00D65A20">
        <w:rPr>
          <w:rFonts w:ascii="Times New Roman" w:hAnsi="Times New Roman"/>
          <w:color w:val="000000"/>
          <w:szCs w:val="22"/>
          <w:lang w:val="pt-BR"/>
        </w:rPr>
        <w:t>.</w:t>
      </w:r>
      <w:r w:rsidRPr="00D65A20">
        <w:rPr>
          <w:rFonts w:ascii="Times New Roman" w:hAnsi="Times New Roman"/>
          <w:i/>
          <w:szCs w:val="22"/>
          <w:lang w:val="pt-BR"/>
        </w:rPr>
        <w:t xml:space="preserve"> </w:t>
      </w:r>
    </w:p>
    <w:p w14:paraId="6E834BA0"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6E834BA1"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eastAsia="pt-BR"/>
        </w:rPr>
      </w:pPr>
      <w:r w:rsidRPr="00D65A20">
        <w:rPr>
          <w:rFonts w:ascii="Times New Roman" w:hAnsi="Times New Roman"/>
          <w:color w:val="000000"/>
          <w:szCs w:val="22"/>
          <w:lang w:val="pt-BR"/>
        </w:rPr>
        <w:t>2.</w:t>
      </w:r>
      <w:r w:rsidRPr="00D65A20">
        <w:rPr>
          <w:rFonts w:ascii="Times New Roman" w:hAnsi="Times New Roman"/>
          <w:color w:val="000000"/>
          <w:szCs w:val="22"/>
          <w:lang w:val="pt-BR"/>
        </w:rPr>
        <w:tab/>
      </w:r>
      <w:r w:rsidRPr="00D65A20">
        <w:rPr>
          <w:rFonts w:ascii="Times New Roman" w:hAnsi="Times New Roman"/>
          <w:bCs/>
          <w:color w:val="000000"/>
          <w:szCs w:val="22"/>
          <w:lang w:val="pt-BR"/>
        </w:rPr>
        <w:t>Convidar</w:t>
      </w:r>
      <w:r w:rsidRPr="00D65A20">
        <w:rPr>
          <w:rFonts w:ascii="Times New Roman" w:hAnsi="Times New Roman"/>
          <w:color w:val="000000"/>
          <w:szCs w:val="22"/>
          <w:lang w:val="pt-BR"/>
        </w:rPr>
        <w:t xml:space="preserve"> os Estados membros a que considerem ratificar os tratados relacionados com o Direito </w:t>
      </w:r>
      <w:r w:rsidR="00D05FA3" w:rsidRPr="00D65A20">
        <w:rPr>
          <w:rFonts w:ascii="Times New Roman" w:hAnsi="Times New Roman"/>
          <w:color w:val="000000"/>
          <w:szCs w:val="22"/>
          <w:lang w:val="pt-BR"/>
        </w:rPr>
        <w:t>internacional humanitário</w:t>
      </w:r>
      <w:r w:rsidRPr="00D65A20">
        <w:rPr>
          <w:rFonts w:ascii="Times New Roman" w:hAnsi="Times New Roman"/>
          <w:color w:val="000000"/>
          <w:szCs w:val="22"/>
          <w:lang w:val="pt-BR"/>
        </w:rPr>
        <w:t xml:space="preserve">, inclusive aqueles sobre a proibição ou </w:t>
      </w:r>
      <w:r w:rsidR="00897E98" w:rsidRPr="00D65A20">
        <w:rPr>
          <w:rFonts w:ascii="Times New Roman" w:hAnsi="Times New Roman"/>
          <w:color w:val="000000"/>
          <w:szCs w:val="22"/>
          <w:lang w:val="pt-BR"/>
        </w:rPr>
        <w:t xml:space="preserve">a </w:t>
      </w:r>
      <w:r w:rsidRPr="00D65A20">
        <w:rPr>
          <w:rFonts w:ascii="Times New Roman" w:hAnsi="Times New Roman"/>
          <w:color w:val="000000"/>
          <w:szCs w:val="22"/>
          <w:lang w:val="pt-BR"/>
        </w:rPr>
        <w:t>restrição no uso de certas armas, ou a eles aderir, e, conforme seja aplicável, adotar as medidas legislativas necessárias para prevenir as condutas proibidas por esses e outros tratados, em particular no que se refere à destruição de armas, à limpeza de áreas contaminadas por resíduos explosivos, ao devido atendimento às vítimas, ao controle do comércio de armas e à proibição de armas nucleares.</w:t>
      </w:r>
      <w:r w:rsidRPr="00D65A20">
        <w:rPr>
          <w:rFonts w:ascii="Times New Roman" w:hAnsi="Times New Roman"/>
          <w:szCs w:val="22"/>
          <w:u w:val="single"/>
          <w:vertAlign w:val="superscript"/>
          <w:lang w:val="pt-BR"/>
        </w:rPr>
        <w:footnoteReference w:id="70"/>
      </w:r>
      <w:r w:rsidRPr="00D65A20">
        <w:rPr>
          <w:rFonts w:ascii="Times New Roman" w:hAnsi="Times New Roman"/>
          <w:szCs w:val="22"/>
          <w:vertAlign w:val="superscript"/>
          <w:lang w:val="pt-BR"/>
        </w:rPr>
        <w:t>/</w:t>
      </w:r>
      <w:r w:rsidRPr="00D65A20">
        <w:rPr>
          <w:rFonts w:ascii="Times New Roman" w:hAnsi="Times New Roman"/>
          <w:szCs w:val="22"/>
          <w:u w:val="single"/>
          <w:vertAlign w:val="superscript"/>
          <w:lang w:val="pt-BR"/>
        </w:rPr>
        <w:t xml:space="preserve"> </w:t>
      </w:r>
      <w:r w:rsidRPr="00D65A20">
        <w:rPr>
          <w:rFonts w:ascii="Times New Roman" w:hAnsi="Times New Roman"/>
          <w:szCs w:val="22"/>
          <w:u w:val="single"/>
          <w:vertAlign w:val="superscript"/>
          <w:lang w:val="pt-BR"/>
        </w:rPr>
        <w:footnoteReference w:id="71"/>
      </w:r>
      <w:r w:rsidRPr="00D65A20">
        <w:rPr>
          <w:rFonts w:ascii="Times New Roman" w:hAnsi="Times New Roman"/>
          <w:szCs w:val="22"/>
          <w:vertAlign w:val="superscript"/>
          <w:lang w:val="pt-BR"/>
        </w:rPr>
        <w:t>/</w:t>
      </w:r>
      <w:r w:rsidRPr="00D65A20">
        <w:rPr>
          <w:rFonts w:ascii="Times New Roman" w:hAnsi="Times New Roman"/>
          <w:szCs w:val="22"/>
          <w:lang w:val="pt-BR" w:eastAsia="pt-BR"/>
        </w:rPr>
        <w:t xml:space="preserve"> </w:t>
      </w:r>
    </w:p>
    <w:p w14:paraId="6E834BA2"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6E834BA3"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bCs/>
          <w:i/>
          <w:szCs w:val="22"/>
          <w:lang w:val="pt-BR"/>
        </w:rPr>
      </w:pPr>
      <w:r w:rsidRPr="00D65A20">
        <w:rPr>
          <w:rFonts w:ascii="Times New Roman" w:hAnsi="Times New Roman"/>
          <w:color w:val="000000"/>
          <w:szCs w:val="22"/>
          <w:lang w:val="pt-BR"/>
        </w:rPr>
        <w:t>3.</w:t>
      </w:r>
      <w:r w:rsidRPr="00D65A20">
        <w:rPr>
          <w:rFonts w:ascii="Times New Roman" w:hAnsi="Times New Roman"/>
          <w:color w:val="000000"/>
          <w:szCs w:val="22"/>
          <w:lang w:val="pt-BR"/>
        </w:rPr>
        <w:tab/>
        <w:t xml:space="preserve">Exortar os Estados membros a que considerem integrar o Direito </w:t>
      </w:r>
      <w:r w:rsidR="00D05FA3" w:rsidRPr="00D65A20">
        <w:rPr>
          <w:rFonts w:ascii="Times New Roman" w:hAnsi="Times New Roman"/>
          <w:color w:val="000000"/>
          <w:szCs w:val="22"/>
          <w:lang w:val="pt-BR"/>
        </w:rPr>
        <w:t>internacional humanitário</w:t>
      </w:r>
      <w:r w:rsidRPr="00D65A20">
        <w:rPr>
          <w:rFonts w:ascii="Times New Roman" w:hAnsi="Times New Roman"/>
          <w:color w:val="000000"/>
          <w:szCs w:val="22"/>
          <w:lang w:val="pt-BR"/>
        </w:rPr>
        <w:t xml:space="preserve"> na doutrina, nos procedimentos, no treinamento, no equipamento, nos mecanismos de controle e na formação das forças armadas e de segurança.</w:t>
      </w:r>
      <w:r w:rsidRPr="00D65A20">
        <w:rPr>
          <w:rFonts w:ascii="Times New Roman" w:hAnsi="Times New Roman"/>
          <w:i/>
          <w:szCs w:val="22"/>
          <w:lang w:val="pt-BR"/>
        </w:rPr>
        <w:t xml:space="preserve"> </w:t>
      </w:r>
    </w:p>
    <w:p w14:paraId="6E834BA4"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6E834BA5"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bCs/>
          <w:i/>
          <w:szCs w:val="22"/>
          <w:lang w:val="pt-BR"/>
        </w:rPr>
      </w:pPr>
      <w:r w:rsidRPr="00D65A20">
        <w:rPr>
          <w:rFonts w:ascii="Times New Roman" w:hAnsi="Times New Roman"/>
          <w:color w:val="000000"/>
          <w:szCs w:val="22"/>
          <w:lang w:val="pt-BR"/>
        </w:rPr>
        <w:t>4.</w:t>
      </w:r>
      <w:r w:rsidRPr="00D65A20">
        <w:rPr>
          <w:rFonts w:ascii="Times New Roman" w:hAnsi="Times New Roman"/>
          <w:color w:val="000000"/>
          <w:szCs w:val="22"/>
          <w:lang w:val="pt-BR"/>
        </w:rPr>
        <w:tab/>
        <w:t xml:space="preserve">Instar os Estados membros a que contribuam ativamente para o acompanhamento efetivo das resoluções adotadas na Trigésima Terceira Conferência Internacional da Cruz Vermelha e do Crescente Vermelho, realizada em Genebra, Suíça, de 9 a 12 de dezembro de 2019, e em particular da resolução “Deixar claro o DIH: Um roteiro para a melhor implementação do Direito </w:t>
      </w:r>
      <w:r w:rsidR="00D05FA3" w:rsidRPr="00D65A20">
        <w:rPr>
          <w:rFonts w:ascii="Times New Roman" w:hAnsi="Times New Roman"/>
          <w:color w:val="000000"/>
          <w:szCs w:val="22"/>
          <w:lang w:val="pt-BR"/>
        </w:rPr>
        <w:t xml:space="preserve">internacional humanitário </w:t>
      </w:r>
      <w:r w:rsidRPr="00D65A20">
        <w:rPr>
          <w:rFonts w:ascii="Times New Roman" w:hAnsi="Times New Roman"/>
          <w:color w:val="000000"/>
          <w:szCs w:val="22"/>
          <w:lang w:val="pt-BR"/>
        </w:rPr>
        <w:t xml:space="preserve">(DIH) em nível nacional”, que recomenda medidas para uma implementação mais eficaz do Direito </w:t>
      </w:r>
      <w:r w:rsidR="00D05FA3" w:rsidRPr="00D65A20">
        <w:rPr>
          <w:rFonts w:ascii="Times New Roman" w:hAnsi="Times New Roman"/>
          <w:color w:val="000000"/>
          <w:szCs w:val="22"/>
          <w:lang w:val="pt-BR"/>
        </w:rPr>
        <w:t xml:space="preserve">internacional humanitário </w:t>
      </w:r>
      <w:r w:rsidRPr="00D65A20">
        <w:rPr>
          <w:rFonts w:ascii="Times New Roman" w:hAnsi="Times New Roman"/>
          <w:color w:val="000000"/>
          <w:szCs w:val="22"/>
          <w:lang w:val="pt-BR"/>
        </w:rPr>
        <w:t>em nível nacional, bem como das promessas voluntárias, para os Estados que as tenham feito no âmbito do referido fórum internacional.</w:t>
      </w:r>
    </w:p>
    <w:p w14:paraId="6E834BA6"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6E834BA7"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bCs/>
          <w:i/>
          <w:szCs w:val="22"/>
          <w:lang w:val="pt-BR"/>
        </w:rPr>
      </w:pPr>
      <w:r w:rsidRPr="00D65A20">
        <w:rPr>
          <w:rFonts w:ascii="Times New Roman" w:hAnsi="Times New Roman"/>
          <w:color w:val="000000"/>
          <w:szCs w:val="22"/>
          <w:lang w:val="pt-BR"/>
        </w:rPr>
        <w:lastRenderedPageBreak/>
        <w:t>5.</w:t>
      </w:r>
      <w:r w:rsidRPr="00D65A20">
        <w:rPr>
          <w:rFonts w:ascii="Times New Roman" w:hAnsi="Times New Roman"/>
          <w:color w:val="000000"/>
          <w:szCs w:val="22"/>
          <w:lang w:val="pt-BR"/>
        </w:rPr>
        <w:tab/>
        <w:t xml:space="preserve">Convidar os Estados membros a que continuem apoiando o trabalho dos comitês ou comissões ou outros arranjos institucionais nacionais responsáveis pela aplicação e divulgação do Direito </w:t>
      </w:r>
      <w:r w:rsidR="00D05FA3" w:rsidRPr="00D65A20">
        <w:rPr>
          <w:rFonts w:ascii="Times New Roman" w:hAnsi="Times New Roman"/>
          <w:color w:val="000000"/>
          <w:szCs w:val="22"/>
          <w:lang w:val="pt-BR"/>
        </w:rPr>
        <w:t xml:space="preserve">internacional humanitário </w:t>
      </w:r>
      <w:r w:rsidRPr="00D65A20">
        <w:rPr>
          <w:rFonts w:ascii="Times New Roman" w:hAnsi="Times New Roman"/>
          <w:color w:val="000000"/>
          <w:szCs w:val="22"/>
          <w:lang w:val="pt-BR"/>
        </w:rPr>
        <w:t xml:space="preserve">e organismos afins que assessoram e assistem as autoridades nacionais na implementação, no desenvolvimento e na divulgação do conhecimento do Direito </w:t>
      </w:r>
      <w:r w:rsidR="00D05FA3" w:rsidRPr="00D65A20">
        <w:rPr>
          <w:rFonts w:ascii="Times New Roman" w:hAnsi="Times New Roman"/>
          <w:color w:val="000000"/>
          <w:szCs w:val="22"/>
          <w:lang w:val="pt-BR"/>
        </w:rPr>
        <w:t>internacional humanitário</w:t>
      </w:r>
      <w:r w:rsidRPr="00D65A20">
        <w:rPr>
          <w:rFonts w:ascii="Times New Roman" w:hAnsi="Times New Roman"/>
          <w:color w:val="000000"/>
          <w:szCs w:val="22"/>
          <w:lang w:val="pt-BR"/>
        </w:rPr>
        <w:t>; e incentivar os Estados</w:t>
      </w:r>
      <w:r w:rsidR="00357439" w:rsidRPr="00D65A20">
        <w:rPr>
          <w:rFonts w:ascii="Times New Roman" w:hAnsi="Times New Roman"/>
          <w:color w:val="000000"/>
          <w:szCs w:val="22"/>
          <w:lang w:val="pt-BR"/>
        </w:rPr>
        <w:t xml:space="preserve"> membros</w:t>
      </w:r>
      <w:r w:rsidRPr="00D65A20">
        <w:rPr>
          <w:rFonts w:ascii="Times New Roman" w:hAnsi="Times New Roman"/>
          <w:color w:val="000000"/>
          <w:szCs w:val="22"/>
          <w:lang w:val="pt-BR"/>
        </w:rPr>
        <w:t xml:space="preserve"> que ainda não o tenham feito a que considerem criar uma entidade desse tipo e fomentar sua cooperação com organismos afins em nível internacional, regional e transregional, nomeadamente mediante o intercâmbio de informações e boas práticas</w:t>
      </w:r>
      <w:r w:rsidRPr="00D65A20">
        <w:rPr>
          <w:rFonts w:ascii="Times New Roman" w:hAnsi="Times New Roman"/>
          <w:b/>
          <w:color w:val="000000"/>
          <w:szCs w:val="22"/>
          <w:lang w:val="pt-BR"/>
        </w:rPr>
        <w:t>.</w:t>
      </w:r>
    </w:p>
    <w:p w14:paraId="6E834BA8"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color w:val="000000"/>
          <w:szCs w:val="22"/>
          <w:lang w:val="pt-BR"/>
        </w:rPr>
      </w:pPr>
    </w:p>
    <w:p w14:paraId="6E834BA9" w14:textId="2A2B75FA"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rPr>
      </w:pPr>
      <w:r w:rsidRPr="00D65A20">
        <w:rPr>
          <w:rFonts w:ascii="Times New Roman" w:hAnsi="Times New Roman"/>
          <w:color w:val="000000"/>
          <w:szCs w:val="22"/>
          <w:lang w:val="pt-BR"/>
        </w:rPr>
        <w:t>6.</w:t>
      </w:r>
      <w:r w:rsidRPr="00D65A20">
        <w:rPr>
          <w:rFonts w:ascii="Times New Roman" w:hAnsi="Times New Roman"/>
          <w:color w:val="000000"/>
          <w:szCs w:val="22"/>
          <w:lang w:val="pt-BR"/>
        </w:rPr>
        <w:tab/>
      </w:r>
      <w:r w:rsidRPr="00D65A20">
        <w:rPr>
          <w:rFonts w:ascii="Times New Roman" w:hAnsi="Times New Roman"/>
          <w:bCs/>
          <w:snapToGrid w:val="0"/>
          <w:szCs w:val="22"/>
          <w:lang w:val="pt-BR" w:eastAsia="es-ES_tradnl"/>
        </w:rPr>
        <w:t xml:space="preserve">Incentivar os Estados membros a que façam o acompanhamento da </w:t>
      </w:r>
      <w:r w:rsidR="000420FB" w:rsidRPr="00D65A20">
        <w:rPr>
          <w:rFonts w:ascii="Times New Roman" w:hAnsi="Times New Roman"/>
          <w:bCs/>
          <w:snapToGrid w:val="0"/>
          <w:szCs w:val="22"/>
          <w:lang w:val="pt-BR" w:eastAsia="es-ES_tradnl"/>
        </w:rPr>
        <w:t>Reunião Regional das Comissões Nacionais de Direito Internacional Humanitário das Américas e Órgãos Afins</w:t>
      </w:r>
      <w:r w:rsidRPr="00D65A20">
        <w:rPr>
          <w:rFonts w:ascii="Times New Roman" w:hAnsi="Times New Roman"/>
          <w:bCs/>
          <w:snapToGrid w:val="0"/>
          <w:szCs w:val="22"/>
          <w:lang w:val="pt-BR" w:eastAsia="es-ES_tradnl"/>
        </w:rPr>
        <w:t>, a ser realizada no primeiro semestre de 2021, com o patrocínio do Equador</w:t>
      </w:r>
      <w:r w:rsidRPr="00D65A20">
        <w:rPr>
          <w:rFonts w:ascii="Times New Roman" w:hAnsi="Times New Roman"/>
          <w:color w:val="000000"/>
          <w:szCs w:val="22"/>
          <w:lang w:val="pt-BR"/>
        </w:rPr>
        <w:t>.</w:t>
      </w:r>
    </w:p>
    <w:p w14:paraId="6E834BAA"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6E834BAB"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rPr>
      </w:pPr>
      <w:r w:rsidRPr="00D65A20">
        <w:rPr>
          <w:rFonts w:ascii="Times New Roman" w:hAnsi="Times New Roman"/>
          <w:color w:val="000000"/>
          <w:szCs w:val="22"/>
          <w:lang w:val="pt-BR"/>
        </w:rPr>
        <w:t>7.</w:t>
      </w:r>
      <w:r w:rsidRPr="00D65A20">
        <w:rPr>
          <w:rFonts w:ascii="Times New Roman" w:hAnsi="Times New Roman"/>
          <w:color w:val="000000"/>
          <w:szCs w:val="22"/>
          <w:lang w:val="pt-BR"/>
        </w:rPr>
        <w:tab/>
        <w:t>Convidar os Estados membros a que considerem aceitar a competência da Comissão Internacional Humanitária de Pesquisa na averiguação de reclamações, de acordo com o autorizado pelo artigo 90 do Protocolo I adicional das Convenções de Genebra, de 1949, relativo à proteção das vítimas dos conflitos armados internacionais.</w:t>
      </w:r>
    </w:p>
    <w:p w14:paraId="6E834BAC"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6E834BAD"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rPr>
      </w:pPr>
      <w:r w:rsidRPr="00D65A20">
        <w:rPr>
          <w:rFonts w:ascii="Times New Roman" w:hAnsi="Times New Roman"/>
          <w:color w:val="000000"/>
          <w:szCs w:val="22"/>
          <w:lang w:val="pt-BR"/>
        </w:rPr>
        <w:t>8.</w:t>
      </w:r>
      <w:r w:rsidRPr="00D65A20">
        <w:rPr>
          <w:rFonts w:ascii="Times New Roman" w:hAnsi="Times New Roman"/>
          <w:color w:val="000000"/>
          <w:szCs w:val="22"/>
          <w:lang w:val="pt-BR"/>
        </w:rPr>
        <w:tab/>
        <w:t xml:space="preserve">Expressar </w:t>
      </w:r>
      <w:r w:rsidR="00523713" w:rsidRPr="00D65A20">
        <w:rPr>
          <w:rFonts w:ascii="Times New Roman" w:hAnsi="Times New Roman"/>
          <w:color w:val="000000"/>
          <w:szCs w:val="22"/>
          <w:lang w:val="pt-BR"/>
        </w:rPr>
        <w:t xml:space="preserve">sua </w:t>
      </w:r>
      <w:r w:rsidRPr="00D65A20">
        <w:rPr>
          <w:rFonts w:ascii="Times New Roman" w:hAnsi="Times New Roman"/>
          <w:color w:val="000000"/>
          <w:szCs w:val="22"/>
          <w:lang w:val="pt-BR"/>
        </w:rPr>
        <w:t xml:space="preserve">satisfação pela cooperação entre a OEA e o Comitê Internacional da Cruz Vermelha (CICV) no âmbito da promoção do respeito do Direito </w:t>
      </w:r>
      <w:r w:rsidR="00D05FA3" w:rsidRPr="00D65A20">
        <w:rPr>
          <w:rFonts w:ascii="Times New Roman" w:hAnsi="Times New Roman"/>
          <w:color w:val="000000"/>
          <w:szCs w:val="22"/>
          <w:lang w:val="pt-BR"/>
        </w:rPr>
        <w:t xml:space="preserve">internacional humanitário </w:t>
      </w:r>
      <w:r w:rsidRPr="00D65A20">
        <w:rPr>
          <w:rFonts w:ascii="Times New Roman" w:hAnsi="Times New Roman"/>
          <w:color w:val="000000"/>
          <w:szCs w:val="22"/>
          <w:lang w:val="pt-BR"/>
        </w:rPr>
        <w:t xml:space="preserve">e dos princípios que o regem, e instar a Secretaria-Geral a que continue fortalecendo essa cooperação, e encarregar o Conselho Permanente de realizar, no primeiro semestre de 2021, uma sessão extraordinária sobre temas de atualidade do Direito </w:t>
      </w:r>
      <w:r w:rsidR="00D05FA3" w:rsidRPr="00D65A20">
        <w:rPr>
          <w:rFonts w:ascii="Times New Roman" w:hAnsi="Times New Roman"/>
          <w:color w:val="000000"/>
          <w:szCs w:val="22"/>
          <w:lang w:val="pt-BR"/>
        </w:rPr>
        <w:t>internacional humanitário</w:t>
      </w:r>
      <w:r w:rsidR="002B74CE" w:rsidRPr="00D65A20">
        <w:rPr>
          <w:rFonts w:ascii="Times New Roman" w:hAnsi="Times New Roman"/>
          <w:color w:val="000000"/>
          <w:szCs w:val="22"/>
          <w:lang w:val="pt-BR"/>
        </w:rPr>
        <w:t xml:space="preserve"> como</w:t>
      </w:r>
      <w:r w:rsidRPr="00D65A20">
        <w:rPr>
          <w:rFonts w:ascii="Times New Roman" w:hAnsi="Times New Roman"/>
          <w:color w:val="000000"/>
          <w:szCs w:val="22"/>
          <w:lang w:val="pt-BR"/>
        </w:rPr>
        <w:t>, entre outros, a aplicabilidade dessas normas à questão das armas autônomas letais.</w:t>
      </w:r>
      <w:r w:rsidRPr="00D65A20">
        <w:rPr>
          <w:rFonts w:ascii="Times New Roman" w:hAnsi="Times New Roman"/>
          <w:szCs w:val="22"/>
          <w:u w:val="single"/>
          <w:vertAlign w:val="superscript"/>
          <w:lang w:val="pt-BR"/>
        </w:rPr>
        <w:t xml:space="preserve"> </w:t>
      </w:r>
      <w:r w:rsidRPr="00D65A20">
        <w:rPr>
          <w:rFonts w:ascii="Times New Roman" w:hAnsi="Times New Roman"/>
          <w:szCs w:val="22"/>
          <w:u w:val="single"/>
          <w:vertAlign w:val="superscript"/>
          <w:lang w:val="pt-BR"/>
        </w:rPr>
        <w:footnoteReference w:id="72"/>
      </w:r>
      <w:r w:rsidRPr="00D65A20">
        <w:rPr>
          <w:rFonts w:ascii="Times New Roman" w:hAnsi="Times New Roman"/>
          <w:szCs w:val="22"/>
          <w:vertAlign w:val="superscript"/>
          <w:lang w:val="pt-BR"/>
        </w:rPr>
        <w:t>/</w:t>
      </w:r>
      <w:r w:rsidRPr="00D65A20">
        <w:rPr>
          <w:rFonts w:ascii="Times New Roman" w:hAnsi="Times New Roman"/>
          <w:color w:val="000000"/>
          <w:szCs w:val="22"/>
          <w:lang w:val="pt-BR"/>
        </w:rPr>
        <w:t xml:space="preserve"> </w:t>
      </w:r>
    </w:p>
    <w:p w14:paraId="6E834BAE"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color w:val="000000"/>
          <w:szCs w:val="22"/>
          <w:lang w:val="pt-BR"/>
        </w:rPr>
      </w:pPr>
    </w:p>
    <w:p w14:paraId="6E834BAF"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rPr>
      </w:pPr>
      <w:r w:rsidRPr="00D65A20">
        <w:rPr>
          <w:rFonts w:ascii="Times New Roman" w:hAnsi="Times New Roman"/>
          <w:color w:val="000000"/>
          <w:szCs w:val="22"/>
          <w:lang w:val="pt-BR"/>
        </w:rPr>
        <w:t>9.</w:t>
      </w:r>
      <w:r w:rsidRPr="00D65A20">
        <w:rPr>
          <w:rFonts w:ascii="Times New Roman" w:hAnsi="Times New Roman"/>
          <w:color w:val="000000"/>
          <w:szCs w:val="22"/>
          <w:lang w:val="pt-BR"/>
        </w:rPr>
        <w:tab/>
        <w:t xml:space="preserve">Solicitar à Secretaria-Geral que, por intermédio do Departamento de Direito Internacional e em coordenação com o CICV, organize, no âmbito da CAJP, um curso destinado aos Estados membros, aos funcionários da OEA e ao público em geral, com o objetivo de promover o conhecimento e o respeito do Direito </w:t>
      </w:r>
      <w:r w:rsidR="00D05FA3" w:rsidRPr="00D65A20">
        <w:rPr>
          <w:rFonts w:ascii="Times New Roman" w:hAnsi="Times New Roman"/>
          <w:color w:val="000000"/>
          <w:szCs w:val="22"/>
          <w:lang w:val="pt-BR"/>
        </w:rPr>
        <w:t xml:space="preserve">internacional humanitário </w:t>
      </w:r>
      <w:r w:rsidRPr="00D65A20">
        <w:rPr>
          <w:rFonts w:ascii="Times New Roman" w:hAnsi="Times New Roman"/>
          <w:color w:val="000000"/>
          <w:szCs w:val="22"/>
          <w:lang w:val="pt-BR"/>
        </w:rPr>
        <w:t>e dos instrumentos regionais correlatos, inclusive as medidas para sua efetiva implementação.</w:t>
      </w:r>
    </w:p>
    <w:p w14:paraId="6E834BB0"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6E834BB1"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6E834BB2"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pt-BR"/>
        </w:rPr>
      </w:pPr>
      <w:r w:rsidRPr="00D65A20">
        <w:rPr>
          <w:rFonts w:ascii="Times New Roman" w:hAnsi="Times New Roman"/>
          <w:szCs w:val="22"/>
          <w:lang w:val="pt-BR"/>
        </w:rPr>
        <w:t>II. ACOMPANHAMENTO E RELATÓRIOS</w:t>
      </w:r>
    </w:p>
    <w:p w14:paraId="6E834BB3"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6E834BB4"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r w:rsidRPr="00D65A20">
        <w:rPr>
          <w:rFonts w:ascii="Times New Roman" w:hAnsi="Times New Roman"/>
          <w:szCs w:val="22"/>
          <w:lang w:val="pt-BR"/>
        </w:rPr>
        <w:t>RESOLVE:</w:t>
      </w:r>
    </w:p>
    <w:p w14:paraId="6E834BB5"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6E834BB6" w14:textId="5A385F13"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rPr>
      </w:pPr>
      <w:r w:rsidRPr="00D65A20">
        <w:rPr>
          <w:rFonts w:ascii="Times New Roman" w:hAnsi="Times New Roman"/>
          <w:szCs w:val="22"/>
          <w:lang w:val="pt-BR"/>
        </w:rPr>
        <w:t>1.</w:t>
      </w:r>
      <w:r w:rsidRPr="00D65A20">
        <w:rPr>
          <w:rFonts w:ascii="Times New Roman" w:hAnsi="Times New Roman"/>
          <w:b/>
          <w:szCs w:val="22"/>
          <w:lang w:val="pt-BR"/>
        </w:rPr>
        <w:tab/>
      </w:r>
      <w:r w:rsidRPr="00D65A20">
        <w:rPr>
          <w:rFonts w:ascii="Times New Roman" w:hAnsi="Times New Roman"/>
          <w:color w:val="000000"/>
          <w:szCs w:val="22"/>
          <w:lang w:val="pt-BR" w:eastAsia="es-ES"/>
        </w:rPr>
        <w:t>Instruir a S</w:t>
      </w:r>
      <w:r w:rsidRPr="00D65A20">
        <w:rPr>
          <w:rFonts w:ascii="Times New Roman" w:hAnsi="Times New Roman"/>
          <w:szCs w:val="22"/>
          <w:lang w:val="pt-BR" w:eastAsia="es-ES"/>
        </w:rPr>
        <w:t>ecretaria-Geral</w:t>
      </w:r>
      <w:r w:rsidR="00523713" w:rsidRPr="00D65A20">
        <w:rPr>
          <w:rFonts w:ascii="Times New Roman" w:hAnsi="Times New Roman"/>
          <w:szCs w:val="22"/>
          <w:lang w:val="pt-BR" w:eastAsia="es-ES"/>
        </w:rPr>
        <w:t xml:space="preserve"> a que</w:t>
      </w:r>
      <w:r w:rsidRPr="00D65A20">
        <w:rPr>
          <w:rFonts w:ascii="Times New Roman" w:hAnsi="Times New Roman"/>
          <w:szCs w:val="22"/>
          <w:lang w:val="pt-BR" w:eastAsia="es-ES"/>
        </w:rPr>
        <w:t xml:space="preserve">, por intermédio das áreas responsáveis pelo acompanhamento e execução de atividades relativas ao objeto da presente resolução, apresente oportunamente o plano de atividades </w:t>
      </w:r>
      <w:r w:rsidRPr="00D65A20">
        <w:rPr>
          <w:rFonts w:ascii="Times New Roman" w:hAnsi="Times New Roman"/>
          <w:color w:val="000000"/>
          <w:szCs w:val="22"/>
          <w:lang w:val="pt-BR" w:eastAsia="es-ES"/>
        </w:rPr>
        <w:t>que serão realizadas no período 2020</w:t>
      </w:r>
      <w:r w:rsidR="006E49F7" w:rsidRPr="00D65A20">
        <w:rPr>
          <w:rFonts w:ascii="Times New Roman" w:hAnsi="Times New Roman"/>
          <w:color w:val="000000"/>
          <w:szCs w:val="22"/>
          <w:lang w:val="pt-BR" w:eastAsia="es-ES"/>
        </w:rPr>
        <w:t>–</w:t>
      </w:r>
      <w:r w:rsidRPr="00D65A20">
        <w:rPr>
          <w:rFonts w:ascii="Times New Roman" w:hAnsi="Times New Roman"/>
          <w:color w:val="000000"/>
          <w:szCs w:val="22"/>
          <w:lang w:val="pt-BR" w:eastAsia="es-ES"/>
        </w:rPr>
        <w:t>2021 para consultas ou para a devida supervisão dos Estados membros</w:t>
      </w:r>
      <w:r w:rsidRPr="00D65A20">
        <w:rPr>
          <w:rFonts w:ascii="Times New Roman" w:hAnsi="Times New Roman"/>
          <w:szCs w:val="22"/>
          <w:lang w:val="pt-BR"/>
        </w:rPr>
        <w:t xml:space="preserve">. </w:t>
      </w:r>
    </w:p>
    <w:p w14:paraId="6E834BB7"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E834BB8"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2.</w:t>
      </w:r>
      <w:r w:rsidRPr="00D65A20">
        <w:rPr>
          <w:rFonts w:ascii="Times New Roman" w:hAnsi="Times New Roman"/>
          <w:szCs w:val="22"/>
          <w:lang w:val="pt-BR"/>
        </w:rPr>
        <w:tab/>
        <w:t xml:space="preserve">Solicitar ao Conselho Permanente que informe a Assembleia Geral, em seu </w:t>
      </w:r>
      <w:r w:rsidRPr="00D65A20">
        <w:rPr>
          <w:rFonts w:ascii="Times New Roman" w:hAnsi="Times New Roman"/>
          <w:bCs/>
          <w:szCs w:val="22"/>
          <w:lang w:val="pt-BR"/>
        </w:rPr>
        <w:t>Quinquagésimo</w:t>
      </w:r>
      <w:r w:rsidRPr="00D65A20">
        <w:rPr>
          <w:rFonts w:ascii="Times New Roman" w:hAnsi="Times New Roman"/>
          <w:szCs w:val="22"/>
          <w:lang w:val="pt-BR"/>
        </w:rPr>
        <w:t xml:space="preserve"> Primeiro Período Ordinário de Sessões, sobre a implementação desta resolução. A execução das atividades previstas nesta resolução estará sujeita à disponibilidade de recursos financeiros no orçamento-programa da Organização e de outros recursos.</w:t>
      </w:r>
    </w:p>
    <w:p w14:paraId="6E834BB9" w14:textId="77777777" w:rsidR="00EC5CCF" w:rsidRPr="00D65A20" w:rsidRDefault="00EC5CCF" w:rsidP="001A24B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pt-BR"/>
        </w:rPr>
      </w:pPr>
      <w:r w:rsidRPr="00D65A20">
        <w:rPr>
          <w:rFonts w:ascii="Times New Roman" w:hAnsi="Times New Roman"/>
          <w:szCs w:val="22"/>
          <w:lang w:val="pt-BR"/>
        </w:rPr>
        <w:br w:type="page"/>
      </w:r>
      <w:r w:rsidRPr="00D65A20">
        <w:rPr>
          <w:rFonts w:ascii="Times New Roman" w:hAnsi="Times New Roman"/>
          <w:sz w:val="20"/>
          <w:lang w:val="pt-BR"/>
        </w:rPr>
        <w:lastRenderedPageBreak/>
        <w:t>NOTAS DE RODAPÉ</w:t>
      </w:r>
    </w:p>
    <w:p w14:paraId="6E834BBA"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2"/>
        <w:rPr>
          <w:rFonts w:ascii="Times New Roman" w:hAnsi="Times New Roman"/>
          <w:sz w:val="20"/>
          <w:lang w:val="pt-BR"/>
        </w:rPr>
      </w:pPr>
    </w:p>
    <w:p w14:paraId="6E834BBB" w14:textId="77777777" w:rsidR="00EC5CCF" w:rsidRPr="00D65A20" w:rsidRDefault="00EC5CC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2"/>
        <w:rPr>
          <w:rFonts w:ascii="Times New Roman" w:hAnsi="Times New Roman"/>
          <w:sz w:val="20"/>
          <w:lang w:val="pt-BR"/>
        </w:rPr>
      </w:pPr>
    </w:p>
    <w:p w14:paraId="6E834BBC" w14:textId="77777777" w:rsidR="00005A3B" w:rsidRPr="00D65A20" w:rsidRDefault="00EC5CCF" w:rsidP="00005A3B">
      <w:pPr>
        <w:widowControl/>
        <w:ind w:firstLine="720"/>
        <w:rPr>
          <w:rFonts w:ascii="Times New Roman" w:hAnsi="Times New Roman"/>
          <w:sz w:val="20"/>
          <w:lang w:val="pt-BR"/>
        </w:rPr>
      </w:pPr>
      <w:r w:rsidRPr="00D65A20">
        <w:rPr>
          <w:rFonts w:ascii="Times New Roman" w:hAnsi="Times New Roman"/>
          <w:sz w:val="20"/>
          <w:lang w:val="pt-BR"/>
        </w:rPr>
        <w:t>1.</w:t>
      </w:r>
      <w:r w:rsidRPr="00D65A20">
        <w:rPr>
          <w:rFonts w:ascii="Times New Roman" w:hAnsi="Times New Roman"/>
          <w:sz w:val="20"/>
          <w:lang w:val="pt-BR"/>
        </w:rPr>
        <w:tab/>
        <w:t>(...)</w:t>
      </w:r>
      <w:r w:rsidR="00005A3B" w:rsidRPr="00D65A20">
        <w:rPr>
          <w:rFonts w:ascii="Times New Roman" w:hAnsi="Times New Roman"/>
          <w:sz w:val="20"/>
          <w:lang w:val="pt-BR"/>
        </w:rPr>
        <w:t xml:space="preserve">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6E834BBD" w14:textId="77777777" w:rsidR="00005A3B" w:rsidRPr="00D65A20" w:rsidRDefault="00005A3B" w:rsidP="00005A3B">
      <w:pPr>
        <w:widowControl/>
        <w:rPr>
          <w:rFonts w:ascii="Times New Roman" w:hAnsi="Times New Roman"/>
          <w:sz w:val="20"/>
          <w:lang w:val="pt-BR"/>
        </w:rPr>
      </w:pPr>
    </w:p>
    <w:p w14:paraId="6E834BBE" w14:textId="77777777" w:rsidR="00005A3B" w:rsidRPr="00D65A20" w:rsidRDefault="00005A3B" w:rsidP="00005A3B">
      <w:pPr>
        <w:widowControl/>
        <w:ind w:firstLine="720"/>
        <w:rPr>
          <w:rFonts w:ascii="Times New Roman" w:hAnsi="Times New Roman"/>
          <w:sz w:val="20"/>
          <w:lang w:val="pt-BR"/>
        </w:rPr>
      </w:pPr>
      <w:r w:rsidRPr="00D65A20">
        <w:rPr>
          <w:rFonts w:ascii="Times New Roman" w:hAnsi="Times New Roman"/>
          <w:sz w:val="20"/>
          <w:lang w:val="pt-BR"/>
        </w:rPr>
        <w:t xml:space="preserve">Antígua e Barbuda não apoiou a resolução CP/RES. 1124 (2217/19), de 9 de abril de 2019, cuja intenção era nomear o Senhor Gustavo Tarre como Representante da Assembleia Nacional junto à OEA, e não aceitou as credenciais das autoridades que pretendiam representar a República Bolivariana da Venezuela no Quadragésimo Nono e no Quinquagésimo Períodos Ordinários de Sessões da Assembleia Geral. </w:t>
      </w:r>
    </w:p>
    <w:p w14:paraId="6E834BBF" w14:textId="77777777" w:rsidR="00005A3B" w:rsidRPr="00D65A20" w:rsidRDefault="00005A3B" w:rsidP="00005A3B">
      <w:pPr>
        <w:widowControl/>
        <w:rPr>
          <w:rFonts w:ascii="Times New Roman" w:hAnsi="Times New Roman"/>
          <w:sz w:val="20"/>
          <w:lang w:val="pt-BR"/>
        </w:rPr>
      </w:pPr>
    </w:p>
    <w:p w14:paraId="6E834BC4" w14:textId="62D8EC5C" w:rsidR="00EC5CCF" w:rsidRPr="00D65A20" w:rsidRDefault="00005A3B" w:rsidP="00005A3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pt-BR"/>
        </w:rPr>
      </w:pPr>
      <w:r w:rsidRPr="00D65A20">
        <w:rPr>
          <w:rFonts w:ascii="Times New Roman" w:hAnsi="Times New Roman"/>
          <w:sz w:val="20"/>
          <w:lang w:val="pt-BR"/>
        </w:rPr>
        <w:t>Desse modo, Antígua e Barbuda informa a todos os Estados membros e à Secretaria-Geral da Organização dos Estados Americanos que, até novo aviso, assim como fez no Quadragésimo Nono Período Ordinário de Sessões da Assembleia Geral, não se considerará vinculado a nenhuma declaração ou resolução emanada do Quinquagésimo Período Ordinário de Sessões da Assembleia Geral, nem a quaisquer futuras declarações ou resoluções de qualquer Conselho ou órgão da Organização que incluam a participação de qualquer pessoa ou entidade pretensamente falando pela República Bolivariana da Venezuela ou agindo em seu nome, e nas quais se alcancem 18 votos com a participação de um pretenso representante da República Bolivariana da Venezuela</w:t>
      </w:r>
      <w:r w:rsidR="00EC5CCF" w:rsidRPr="00D65A20">
        <w:rPr>
          <w:rFonts w:ascii="Times New Roman" w:hAnsi="Times New Roman"/>
          <w:sz w:val="20"/>
          <w:lang w:val="pt-BR"/>
        </w:rPr>
        <w:t>.</w:t>
      </w:r>
    </w:p>
    <w:p w14:paraId="6E834BC5" w14:textId="77777777" w:rsidR="00EC5CCF" w:rsidRPr="00D65A20" w:rsidRDefault="00EC5CCF" w:rsidP="00AA4399">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pt-BR"/>
        </w:rPr>
      </w:pPr>
    </w:p>
    <w:p w14:paraId="6E834BC6" w14:textId="04FD0D20" w:rsidR="00440A50" w:rsidRPr="00D65A20" w:rsidRDefault="00440A50" w:rsidP="00440A50">
      <w:pPr>
        <w:rPr>
          <w:rStyle w:val="FootnoteReference"/>
          <w:rFonts w:ascii="Times New Roman" w:hAnsi="Times New Roman"/>
          <w:sz w:val="20"/>
          <w:lang w:val="pt-BR"/>
        </w:rPr>
      </w:pPr>
      <w:r w:rsidRPr="00D65A20">
        <w:rPr>
          <w:rFonts w:ascii="Times New Roman" w:hAnsi="Times New Roman"/>
          <w:sz w:val="20"/>
          <w:lang w:val="pt-BR"/>
        </w:rPr>
        <w:tab/>
        <w:t>2.</w:t>
      </w:r>
      <w:r w:rsidR="007B686E">
        <w:rPr>
          <w:rFonts w:ascii="Times New Roman" w:hAnsi="Times New Roman"/>
          <w:sz w:val="20"/>
          <w:lang w:val="pt-BR"/>
        </w:rPr>
        <w:tab/>
      </w:r>
      <w:r w:rsidRPr="00D65A20">
        <w:rPr>
          <w:rFonts w:ascii="Times New Roman" w:hAnsi="Times New Roman"/>
          <w:sz w:val="20"/>
          <w:lang w:val="pt-BR"/>
        </w:rPr>
        <w:t>(...) Quinquagésimo Período Ordinário de Sessões da Assembleia Geral.</w:t>
      </w:r>
    </w:p>
    <w:p w14:paraId="6E834BC7" w14:textId="77777777" w:rsidR="00440A50" w:rsidRPr="00D65A20" w:rsidRDefault="00440A50" w:rsidP="00AA4399">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pt-BR"/>
        </w:rPr>
      </w:pPr>
    </w:p>
    <w:p w14:paraId="6E834BC8" w14:textId="36F06A0D" w:rsidR="00EC5CCF" w:rsidRPr="00D65A20" w:rsidRDefault="00EC5CCF" w:rsidP="00AA4399">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shd w:val="clear" w:color="auto" w:fill="FFFFFF"/>
          <w:lang w:val="pt-BR"/>
        </w:rPr>
      </w:pPr>
      <w:r w:rsidRPr="00D65A20">
        <w:rPr>
          <w:rFonts w:ascii="Times New Roman" w:hAnsi="Times New Roman"/>
          <w:sz w:val="20"/>
          <w:lang w:val="pt-BR"/>
        </w:rPr>
        <w:tab/>
      </w:r>
      <w:r w:rsidR="00440A50" w:rsidRPr="00D65A20">
        <w:rPr>
          <w:rFonts w:ascii="Times New Roman" w:hAnsi="Times New Roman"/>
          <w:sz w:val="20"/>
          <w:lang w:val="pt-BR"/>
        </w:rPr>
        <w:t>3</w:t>
      </w:r>
      <w:r w:rsidRPr="00D65A20">
        <w:rPr>
          <w:rFonts w:ascii="Times New Roman" w:hAnsi="Times New Roman"/>
          <w:sz w:val="20"/>
          <w:lang w:val="pt-BR"/>
        </w:rPr>
        <w:t>.</w:t>
      </w:r>
      <w:r w:rsidRPr="00D65A20">
        <w:rPr>
          <w:rFonts w:ascii="Times New Roman" w:hAnsi="Times New Roman"/>
          <w:sz w:val="20"/>
          <w:lang w:val="pt-BR"/>
        </w:rPr>
        <w:tab/>
        <w:t>(...) Em circunstâncias raras e excepcionais, os Estados Unidos oferecem refúgio ou proteção temporária em suas missões diplomáticas a pessoas que enfrentam perigo grave e iminente. A concessão de asilo não é reconhecida como uma função diplomática nos termos da Convenção de Viena sobre Relações Diplomáticas ou do Direito internacional consuetudinário. A utilização de embaixadas como refúgios para o asilo de cidadãos do país anfitrião pode gerar acusações de violação das disposições da Convenção que proíbem o pessoal diplomático de interferir nos assuntos internos do país anfitrião e de utilizar as instalações da embaixada de qualquer forma incompatível com as suas funções</w:t>
      </w:r>
      <w:r w:rsidRPr="00D65A20">
        <w:rPr>
          <w:rFonts w:ascii="Times New Roman" w:hAnsi="Times New Roman"/>
          <w:sz w:val="20"/>
          <w:shd w:val="clear" w:color="auto" w:fill="FFFFFF"/>
          <w:lang w:val="pt-BR"/>
        </w:rPr>
        <w:t>.</w:t>
      </w:r>
    </w:p>
    <w:p w14:paraId="6E834BC9" w14:textId="77777777" w:rsidR="00EC5CCF" w:rsidRPr="00D65A20" w:rsidRDefault="00EC5CCF" w:rsidP="00AA4399">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shd w:val="clear" w:color="auto" w:fill="FFFFFF"/>
          <w:lang w:val="pt-BR"/>
        </w:rPr>
      </w:pPr>
    </w:p>
    <w:p w14:paraId="6E834BCA" w14:textId="40214C64" w:rsidR="00EC5CCF" w:rsidRPr="00D65A20" w:rsidRDefault="00EC5CCF" w:rsidP="00AA4399">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pt-BR"/>
        </w:rPr>
      </w:pPr>
      <w:r w:rsidRPr="00D65A20">
        <w:rPr>
          <w:rFonts w:ascii="Times New Roman" w:hAnsi="Times New Roman"/>
          <w:sz w:val="20"/>
          <w:shd w:val="clear" w:color="auto" w:fill="FFFFFF"/>
          <w:lang w:val="pt-BR"/>
        </w:rPr>
        <w:tab/>
      </w:r>
      <w:r w:rsidR="00440A50" w:rsidRPr="00D65A20">
        <w:rPr>
          <w:rFonts w:ascii="Times New Roman" w:hAnsi="Times New Roman"/>
          <w:sz w:val="20"/>
          <w:shd w:val="clear" w:color="auto" w:fill="FFFFFF"/>
          <w:lang w:val="pt-BR"/>
        </w:rPr>
        <w:t>4</w:t>
      </w:r>
      <w:r w:rsidRPr="00D65A20">
        <w:rPr>
          <w:rFonts w:ascii="Times New Roman" w:hAnsi="Times New Roman"/>
          <w:sz w:val="20"/>
          <w:shd w:val="clear" w:color="auto" w:fill="FFFFFF"/>
          <w:lang w:val="pt-BR"/>
        </w:rPr>
        <w:t>.</w:t>
      </w:r>
      <w:r w:rsidRPr="00D65A20">
        <w:rPr>
          <w:rFonts w:ascii="Times New Roman" w:hAnsi="Times New Roman"/>
          <w:sz w:val="20"/>
          <w:shd w:val="clear" w:color="auto" w:fill="FFFFFF"/>
          <w:lang w:val="pt-BR"/>
        </w:rPr>
        <w:tab/>
        <w:t xml:space="preserve">(...) </w:t>
      </w:r>
      <w:r w:rsidRPr="00D65A20">
        <w:rPr>
          <w:rFonts w:ascii="Times New Roman" w:hAnsi="Times New Roman"/>
          <w:sz w:val="20"/>
          <w:lang w:val="pt-BR"/>
        </w:rPr>
        <w:t>necessariamente a opinião dos Estados membros ou da Organização de modo mais geral. Os Estados Unidos ainda observam com decepção que as Diretrizes para os Acordos Vinculantes e Não Vinculantes foram produzidas pela CJI sem uma oportunidade adequada para a contribuição dos Estados membros. É importante que os pedidos de informação feitos pela CJI aos Estados membros deem a estes tempo suficiente para consideração e resposta, especialmente quando se referem a um projeto como as Diretrizes, que envolve questões sobre as quais as opiniões e práticas estatais são de importância central.</w:t>
      </w:r>
    </w:p>
    <w:p w14:paraId="6E834BCB" w14:textId="77777777" w:rsidR="00EC5CCF" w:rsidRPr="00D65A20" w:rsidRDefault="00EC5CCF" w:rsidP="00AA4399">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pt-BR"/>
        </w:rPr>
      </w:pPr>
    </w:p>
    <w:p w14:paraId="6E834BCC" w14:textId="36718D1C" w:rsidR="00EC5CCF" w:rsidRPr="00D65A20" w:rsidRDefault="00EC5CCF" w:rsidP="00AA4399">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pt-BR"/>
        </w:rPr>
      </w:pPr>
      <w:r w:rsidRPr="00D65A20">
        <w:rPr>
          <w:rFonts w:ascii="Times New Roman" w:hAnsi="Times New Roman"/>
          <w:sz w:val="20"/>
          <w:lang w:val="pt-BR"/>
        </w:rPr>
        <w:tab/>
      </w:r>
      <w:r w:rsidR="00440A50" w:rsidRPr="00D65A20">
        <w:rPr>
          <w:rFonts w:ascii="Times New Roman" w:hAnsi="Times New Roman"/>
          <w:sz w:val="20"/>
          <w:lang w:val="pt-BR"/>
        </w:rPr>
        <w:t>5</w:t>
      </w:r>
      <w:r w:rsidRPr="00D65A20">
        <w:rPr>
          <w:rFonts w:ascii="Times New Roman" w:hAnsi="Times New Roman"/>
          <w:sz w:val="20"/>
          <w:lang w:val="pt-BR"/>
        </w:rPr>
        <w:t>.</w:t>
      </w:r>
      <w:r w:rsidRPr="00D65A20">
        <w:rPr>
          <w:rFonts w:ascii="Times New Roman" w:hAnsi="Times New Roman"/>
          <w:sz w:val="20"/>
          <w:lang w:val="pt-BR"/>
        </w:rPr>
        <w:tab/>
        <w:t xml:space="preserve">(...) o Direito </w:t>
      </w:r>
      <w:r w:rsidR="002B74CE" w:rsidRPr="00D65A20">
        <w:rPr>
          <w:rFonts w:ascii="Times New Roman" w:hAnsi="Times New Roman"/>
          <w:sz w:val="20"/>
          <w:lang w:val="pt-BR"/>
        </w:rPr>
        <w:t xml:space="preserve">internacional humanitário </w:t>
      </w:r>
      <w:r w:rsidRPr="00D65A20">
        <w:rPr>
          <w:rFonts w:ascii="Times New Roman" w:hAnsi="Times New Roman"/>
          <w:sz w:val="20"/>
          <w:lang w:val="pt-BR"/>
        </w:rPr>
        <w:t>em todas as circunstâncias, mas sim que os Estados Partes nas Convenções de Genebra e seus Protocolos Adicionais têm a obrigação de respeitar e fazer respeitar aquelas convenções e protocolos adicionais nos quais são partes.</w:t>
      </w:r>
    </w:p>
    <w:p w14:paraId="6E834BCD" w14:textId="77777777" w:rsidR="00EC5CCF" w:rsidRPr="00D65A20" w:rsidRDefault="00EC5CCF" w:rsidP="00AA4399">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pt-BR"/>
        </w:rPr>
      </w:pPr>
    </w:p>
    <w:p w14:paraId="6E834BCE" w14:textId="3D3F2E88" w:rsidR="00EC5CCF" w:rsidRPr="00D65A20" w:rsidRDefault="00EC5CCF" w:rsidP="00AA4399">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 w:val="20"/>
          <w:lang w:val="pt-BR"/>
        </w:rPr>
      </w:pPr>
      <w:r w:rsidRPr="00D65A20">
        <w:rPr>
          <w:rFonts w:ascii="Times New Roman" w:hAnsi="Times New Roman"/>
          <w:sz w:val="20"/>
          <w:lang w:val="pt-BR"/>
        </w:rPr>
        <w:tab/>
      </w:r>
      <w:r w:rsidR="00440A50" w:rsidRPr="00D65A20">
        <w:rPr>
          <w:rFonts w:ascii="Times New Roman" w:hAnsi="Times New Roman"/>
          <w:sz w:val="20"/>
          <w:lang w:val="pt-BR"/>
        </w:rPr>
        <w:t>6</w:t>
      </w:r>
      <w:r w:rsidRPr="00D65A20">
        <w:rPr>
          <w:rFonts w:ascii="Times New Roman" w:hAnsi="Times New Roman"/>
          <w:sz w:val="20"/>
          <w:lang w:val="pt-BR"/>
        </w:rPr>
        <w:t>.</w:t>
      </w:r>
      <w:r w:rsidRPr="00D65A20">
        <w:rPr>
          <w:rFonts w:ascii="Times New Roman" w:hAnsi="Times New Roman"/>
          <w:sz w:val="20"/>
          <w:lang w:val="pt-BR"/>
        </w:rPr>
        <w:tab/>
        <w:t xml:space="preserve">(...) </w:t>
      </w:r>
      <w:r w:rsidRPr="00D65A20">
        <w:rPr>
          <w:rFonts w:ascii="Times New Roman" w:hAnsi="Times New Roman"/>
          <w:color w:val="000000"/>
          <w:sz w:val="20"/>
          <w:lang w:val="pt-BR"/>
        </w:rPr>
        <w:t>como Estado Parte no Tratado sobre a Não Proliferação das Armas Nucleares (TNP) e continua apoiando o Tratado como pedra angular do regime mundial de desarmamento e não proliferação nuclear, inclusive pedindo que se busquem mais avanços concretos para o desarmamento nuclear. Ao Canadá continua preocupando a possibilidade de que o Tratado sobre a Proibição das Armas Nucleares (TPAN) solape a primazia do TNP e o seu processo de revisão e mine os esforços voltados para a universalização do TNP. O Canadá também é Estado Parte da Convenção sobre as Armas Biológicas e da Convenção sobre as Armas Químicas e aplica e apoia plenamente, entre outras, a Resolução 1540 do Conselho de Segurança das Nações Unidas.</w:t>
      </w:r>
    </w:p>
    <w:p w14:paraId="6E834BCF" w14:textId="77777777" w:rsidR="00EC5CCF" w:rsidRPr="00D65A20" w:rsidRDefault="00EC5CCF" w:rsidP="00AA4399">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 w:val="20"/>
          <w:lang w:val="pt-BR"/>
        </w:rPr>
      </w:pPr>
    </w:p>
    <w:p w14:paraId="6E834BD0" w14:textId="742DDC07" w:rsidR="00EC5CCF" w:rsidRPr="00D65A20" w:rsidRDefault="00EC5CCF" w:rsidP="00AA4399">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pt-BR"/>
        </w:rPr>
      </w:pPr>
      <w:r w:rsidRPr="00D65A20">
        <w:rPr>
          <w:rFonts w:ascii="Times New Roman" w:hAnsi="Times New Roman"/>
          <w:color w:val="000000"/>
          <w:sz w:val="20"/>
          <w:lang w:val="pt-BR"/>
        </w:rPr>
        <w:lastRenderedPageBreak/>
        <w:tab/>
      </w:r>
      <w:r w:rsidR="00440A50" w:rsidRPr="00D65A20">
        <w:rPr>
          <w:rFonts w:ascii="Times New Roman" w:hAnsi="Times New Roman"/>
          <w:color w:val="000000"/>
          <w:sz w:val="20"/>
          <w:lang w:val="pt-BR"/>
        </w:rPr>
        <w:t>7</w:t>
      </w:r>
      <w:r w:rsidRPr="00D65A20">
        <w:rPr>
          <w:rFonts w:ascii="Times New Roman" w:hAnsi="Times New Roman"/>
          <w:color w:val="000000"/>
          <w:sz w:val="20"/>
          <w:lang w:val="pt-BR"/>
        </w:rPr>
        <w:t>.</w:t>
      </w:r>
      <w:r w:rsidRPr="00D65A20">
        <w:rPr>
          <w:rFonts w:ascii="Times New Roman" w:hAnsi="Times New Roman"/>
          <w:color w:val="000000"/>
          <w:sz w:val="20"/>
          <w:lang w:val="pt-BR"/>
        </w:rPr>
        <w:tab/>
        <w:t xml:space="preserve">(...) </w:t>
      </w:r>
      <w:r w:rsidRPr="00D65A20">
        <w:rPr>
          <w:rFonts w:ascii="Times New Roman" w:hAnsi="Times New Roman"/>
          <w:sz w:val="20"/>
          <w:lang w:val="pt-BR"/>
        </w:rPr>
        <w:t xml:space="preserve">no artigo VI do TNP. Nenhum Estado que possui armas nucleares ou que depende dessas armas para sua segurança apoia </w:t>
      </w:r>
      <w:r w:rsidR="0031686E" w:rsidRPr="00D65A20">
        <w:rPr>
          <w:rFonts w:ascii="Times New Roman" w:hAnsi="Times New Roman"/>
          <w:sz w:val="20"/>
          <w:lang w:val="pt-BR"/>
        </w:rPr>
        <w:t>o TPAN</w:t>
      </w:r>
      <w:r w:rsidRPr="00D65A20">
        <w:rPr>
          <w:rFonts w:ascii="Times New Roman" w:hAnsi="Times New Roman"/>
          <w:sz w:val="20"/>
          <w:lang w:val="pt-BR"/>
        </w:rPr>
        <w:t>. E esse tratado não resultará na eliminação de uma única arma nuclear, não aumentará a segurança de nenhum Estado, nem contribuirá de forma tangível para a paz e a segurança na realidade geopolítica do século XXI. Em vez disso, prejudicará os esforços legítimos voltados a fazer avançar a causa do desarmamento nuclear. Esse tratado ignora os atuais desafios de segurança que tornam necessária a dissuasão nuclear e arrisca solapar os esforços que estão sendo envidados para abordar os desafios de proliferação e segurança global. Nós também queremos alcançar um ambiente de segurança que torne possível esse progresso e também queremos obter um progresso maior e mais rápido no que se refere ao desarmamento nuclear, mas o TPAN não é a resposta. Medidas eficazes e verificáveis de controle de armas e desarmamento provaram ser as ferramentas apropriadas para limitar os riscos nucleares e prevenir a guerra nuclear. O TPAN não pode substituir o TNP como padrão de referência mundial para a não proliferação nuclear, o desarmamento nuclear e os usos pacíficos da energia nuclear. Reiteramos nosso contínuo compromisso com a melhor abordagem refletida no TNP, incluindo suas disposições para o desarmamento, e reafirmamos nossa determinação de salvaguardar e seguir promovendo sua autoridade, universalidade e eficácia. Os Estados Unidos convidam todos os Estados a apoiarem a busca dos EUA de uma “nova era de controle de armas” enquanto procuramos engajar a Rússia e a China para limitar todas as ogivas nucleares e fortalecer a verificação, bem como participar de outros diálogos que facilitem o progresso no desarmamento nuclear. Nesse sentido, saudamos a participação dos Estados regionais na iniciativa de Criação de um Ambiente Propício ao Desarmamento Nuclear (CEND).</w:t>
      </w:r>
    </w:p>
    <w:p w14:paraId="6E834BD1" w14:textId="77777777" w:rsidR="00EC5CCF" w:rsidRPr="00D65A20" w:rsidRDefault="00EC5CCF" w:rsidP="00AA4399">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pt-BR"/>
        </w:rPr>
      </w:pPr>
    </w:p>
    <w:p w14:paraId="6E834BD2" w14:textId="5AD0A4D9" w:rsidR="00EC5CCF" w:rsidRPr="00D65A20" w:rsidRDefault="00EC5CCF" w:rsidP="00AA4399">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shd w:val="clear" w:color="auto" w:fill="FFFFFF"/>
          <w:lang w:val="pt-BR"/>
        </w:rPr>
      </w:pPr>
      <w:r w:rsidRPr="00D65A20">
        <w:rPr>
          <w:rFonts w:ascii="Times New Roman" w:hAnsi="Times New Roman"/>
          <w:sz w:val="20"/>
          <w:lang w:val="pt-BR"/>
        </w:rPr>
        <w:tab/>
      </w:r>
      <w:r w:rsidR="00440A50" w:rsidRPr="00D65A20">
        <w:rPr>
          <w:rFonts w:ascii="Times New Roman" w:hAnsi="Times New Roman"/>
          <w:sz w:val="20"/>
          <w:lang w:val="pt-BR"/>
        </w:rPr>
        <w:t>8</w:t>
      </w:r>
      <w:r w:rsidRPr="00D65A20">
        <w:rPr>
          <w:rFonts w:ascii="Times New Roman" w:hAnsi="Times New Roman"/>
          <w:sz w:val="20"/>
          <w:lang w:val="pt-BR"/>
        </w:rPr>
        <w:t>.</w:t>
      </w:r>
      <w:r w:rsidRPr="00D65A20">
        <w:rPr>
          <w:rFonts w:ascii="Times New Roman" w:hAnsi="Times New Roman"/>
          <w:sz w:val="20"/>
          <w:lang w:val="pt-BR"/>
        </w:rPr>
        <w:tab/>
        <w:t>(...) Sistemas de Armas Autônomas Letais, convocado pelas Altas Partes Contratantes da Convenção sobre Certas Armas Convencionais, oferece um modelo adequado para lidar com o tema das tecnologias emergentes na área dos sistemas de armas autônomas letais no contexto dos objetivos e propósitos da Convenção, que procura encontrar um equilíbrio entre a necessidade militar e as considerações humanitárias.</w:t>
      </w:r>
    </w:p>
    <w:p w14:paraId="6E834BD3" w14:textId="77777777" w:rsidR="00851442" w:rsidRPr="00D65A20" w:rsidRDefault="00851442" w:rsidP="00AA4399">
      <w:pPr>
        <w:widowControl/>
        <w:jc w:val="center"/>
        <w:outlineLvl w:val="0"/>
        <w:rPr>
          <w:rFonts w:ascii="Times New Roman" w:hAnsi="Times New Roman"/>
          <w:sz w:val="20"/>
          <w:lang w:val="pt-BR"/>
        </w:rPr>
      </w:pPr>
      <w:bookmarkStart w:id="164" w:name="_Toc56522573"/>
      <w:bookmarkStart w:id="165" w:name="_Toc56526502"/>
      <w:bookmarkStart w:id="166" w:name="_Toc56526712"/>
      <w:r w:rsidRPr="00D65A20">
        <w:rPr>
          <w:rFonts w:ascii="Times New Roman" w:hAnsi="Times New Roman"/>
          <w:sz w:val="20"/>
          <w:lang w:val="pt-BR"/>
        </w:rPr>
        <w:t>.</w:t>
      </w:r>
      <w:bookmarkEnd w:id="164"/>
      <w:bookmarkEnd w:id="165"/>
      <w:bookmarkEnd w:id="166"/>
    </w:p>
    <w:p w14:paraId="6E834BD4" w14:textId="77777777" w:rsidR="00316FC5" w:rsidRPr="00D65A20" w:rsidRDefault="00316FC5" w:rsidP="00AA4399">
      <w:pPr>
        <w:widowControl/>
        <w:rPr>
          <w:rFonts w:ascii="Times New Roman" w:hAnsi="Times New Roman"/>
          <w:sz w:val="20"/>
          <w:lang w:val="pt-BR"/>
        </w:rPr>
        <w:sectPr w:rsidR="00316FC5" w:rsidRPr="00D65A20" w:rsidSect="0037138D">
          <w:headerReference w:type="default" r:id="rId79"/>
          <w:footerReference w:type="default" r:id="rId80"/>
          <w:footnotePr>
            <w:numRestart w:val="eachSect"/>
          </w:footnotePr>
          <w:type w:val="oddPage"/>
          <w:pgSz w:w="12240" w:h="15840" w:code="1"/>
          <w:pgMar w:top="2160" w:right="1570" w:bottom="1296" w:left="1699" w:header="1260" w:footer="720" w:gutter="0"/>
          <w:pgNumType w:fmt="numberInDash"/>
          <w:cols w:space="720"/>
          <w:docGrid w:linePitch="360"/>
        </w:sectPr>
      </w:pPr>
    </w:p>
    <w:p w14:paraId="6E834BD5" w14:textId="77777777" w:rsidR="00A544BF" w:rsidRPr="00D65A20" w:rsidRDefault="00316FC5" w:rsidP="00AA4399">
      <w:pPr>
        <w:widowControl/>
        <w:jc w:val="center"/>
        <w:rPr>
          <w:rStyle w:val="Heading1Char"/>
          <w:rFonts w:ascii="Times New Roman" w:eastAsia="Calibri" w:hAnsi="Times New Roman"/>
          <w:lang w:val="pt-BR"/>
        </w:rPr>
      </w:pPr>
      <w:bookmarkStart w:id="167" w:name="_Toc56526503"/>
      <w:bookmarkStart w:id="168" w:name="_Toc56526713"/>
      <w:r w:rsidRPr="00D65A20">
        <w:rPr>
          <w:rStyle w:val="Heading1Char"/>
          <w:rFonts w:ascii="Times New Roman" w:eastAsia="Calibri" w:hAnsi="Times New Roman"/>
          <w:lang w:val="pt-BR"/>
        </w:rPr>
        <w:lastRenderedPageBreak/>
        <w:t>AG/RES. 2960 (L-O/20)</w:t>
      </w:r>
      <w:bookmarkEnd w:id="167"/>
      <w:bookmarkEnd w:id="168"/>
    </w:p>
    <w:p w14:paraId="6E834BD6" w14:textId="77777777" w:rsidR="00A544BF" w:rsidRPr="00D65A20" w:rsidRDefault="00A544BF" w:rsidP="00AA4399">
      <w:pPr>
        <w:widowControl/>
        <w:jc w:val="center"/>
        <w:rPr>
          <w:rStyle w:val="Heading1Char"/>
          <w:rFonts w:ascii="Times New Roman" w:eastAsia="Calibri" w:hAnsi="Times New Roman"/>
          <w:lang w:val="pt-BR"/>
        </w:rPr>
      </w:pPr>
    </w:p>
    <w:p w14:paraId="6E834BD7" w14:textId="77777777" w:rsidR="00EC5CCF" w:rsidRPr="00D65A20" w:rsidRDefault="00EC5CCF" w:rsidP="00A544BF">
      <w:pPr>
        <w:pStyle w:val="Heading1"/>
        <w:rPr>
          <w:lang w:val="pt-BR"/>
        </w:rPr>
      </w:pPr>
      <w:bookmarkStart w:id="169" w:name="_Toc56526504"/>
      <w:bookmarkStart w:id="170" w:name="_Toc56526714"/>
      <w:r w:rsidRPr="00D65A20">
        <w:rPr>
          <w:lang w:val="pt-BR"/>
        </w:rPr>
        <w:t>FORTALECIMENTO DA PARTICIPAÇÃO DOS OBSERVADORES PERMANENTES NAS ATIVIDADES DA ORGANIZAÇÃO DOS ESTADOS AMERICANOS</w:t>
      </w:r>
      <w:r w:rsidRPr="00D65A20">
        <w:rPr>
          <w:u w:val="single"/>
          <w:vertAlign w:val="superscript"/>
          <w:lang w:val="pt-BR"/>
        </w:rPr>
        <w:footnoteReference w:id="73"/>
      </w:r>
      <w:r w:rsidRPr="00D65A20">
        <w:rPr>
          <w:vertAlign w:val="superscript"/>
          <w:lang w:val="pt-BR"/>
        </w:rPr>
        <w:t>/</w:t>
      </w:r>
      <w:bookmarkEnd w:id="169"/>
      <w:bookmarkEnd w:id="170"/>
      <w:r w:rsidR="00714959" w:rsidRPr="00D65A20">
        <w:rPr>
          <w:rStyle w:val="FootnoteReference"/>
          <w:u w:val="single"/>
          <w:vertAlign w:val="superscript"/>
          <w:lang w:val="pt-BR"/>
        </w:rPr>
        <w:footnoteReference w:id="74"/>
      </w:r>
      <w:r w:rsidR="00714959" w:rsidRPr="00D65A20">
        <w:rPr>
          <w:vertAlign w:val="superscript"/>
          <w:lang w:val="pt-BR"/>
        </w:rPr>
        <w:t>/</w:t>
      </w:r>
    </w:p>
    <w:p w14:paraId="6E834BD8" w14:textId="77777777" w:rsidR="00EC5CCF" w:rsidRPr="00D65A20" w:rsidRDefault="00EC5CCF" w:rsidP="00AA4399">
      <w:pPr>
        <w:widowControl/>
        <w:rPr>
          <w:rFonts w:ascii="Times New Roman" w:hAnsi="Times New Roman"/>
          <w:szCs w:val="22"/>
          <w:lang w:val="pt-BR"/>
        </w:rPr>
      </w:pPr>
    </w:p>
    <w:p w14:paraId="6E834BD9" w14:textId="77777777" w:rsidR="00EC5CCF" w:rsidRPr="00D65A20" w:rsidRDefault="00EC5CCF" w:rsidP="00AA4399">
      <w:pPr>
        <w:widowControl/>
        <w:jc w:val="center"/>
        <w:rPr>
          <w:rFonts w:ascii="Times New Roman" w:hAnsi="Times New Roman"/>
          <w:noProof/>
          <w:szCs w:val="22"/>
          <w:lang w:val="pt-BR"/>
        </w:rPr>
      </w:pPr>
      <w:r w:rsidRPr="00D65A20">
        <w:rPr>
          <w:rFonts w:ascii="Times New Roman" w:hAnsi="Times New Roman"/>
          <w:noProof/>
          <w:szCs w:val="22"/>
          <w:lang w:val="pt-BR"/>
        </w:rPr>
        <w:t>(</w:t>
      </w:r>
      <w:r w:rsidRPr="00D65A20">
        <w:rPr>
          <w:rFonts w:ascii="Times New Roman" w:hAnsi="Times New Roman"/>
          <w:szCs w:val="22"/>
          <w:lang w:val="pt-BR"/>
        </w:rPr>
        <w:t>Aprovada na quarta sessão plenária, realizada em 21 de outubro de 2020</w:t>
      </w:r>
      <w:r w:rsidRPr="00D65A20">
        <w:rPr>
          <w:rFonts w:ascii="Times New Roman" w:hAnsi="Times New Roman"/>
          <w:noProof/>
          <w:szCs w:val="22"/>
          <w:lang w:val="pt-BR"/>
        </w:rPr>
        <w:t>)</w:t>
      </w:r>
    </w:p>
    <w:p w14:paraId="6E834BDA" w14:textId="77777777" w:rsidR="00EC5CCF" w:rsidRPr="00D65A20" w:rsidRDefault="00EC5CCF" w:rsidP="00AA4399">
      <w:pPr>
        <w:widowControl/>
        <w:rPr>
          <w:rFonts w:ascii="Times New Roman" w:hAnsi="Times New Roman"/>
          <w:szCs w:val="22"/>
          <w:lang w:val="pt-BR"/>
        </w:rPr>
      </w:pPr>
    </w:p>
    <w:p w14:paraId="6E834BDB" w14:textId="77777777" w:rsidR="00EC5CCF" w:rsidRPr="00D65A20" w:rsidRDefault="00EC5CCF" w:rsidP="00AA4399">
      <w:pPr>
        <w:widowControl/>
        <w:rPr>
          <w:rFonts w:ascii="Times New Roman" w:hAnsi="Times New Roman"/>
          <w:szCs w:val="22"/>
          <w:lang w:val="pt-BR"/>
        </w:rPr>
      </w:pPr>
    </w:p>
    <w:p w14:paraId="6E834BDC" w14:textId="77777777" w:rsidR="00EC5CCF" w:rsidRPr="00D65A20" w:rsidRDefault="00EC5CCF" w:rsidP="00AA4399">
      <w:pPr>
        <w:widowControl/>
        <w:rPr>
          <w:rFonts w:ascii="Times New Roman" w:hAnsi="Times New Roman"/>
          <w:szCs w:val="22"/>
          <w:lang w:val="pt-BR"/>
        </w:rPr>
      </w:pPr>
      <w:r w:rsidRPr="00D65A20">
        <w:rPr>
          <w:rFonts w:ascii="Times New Roman" w:hAnsi="Times New Roman"/>
          <w:szCs w:val="22"/>
          <w:lang w:val="pt-BR"/>
        </w:rPr>
        <w:tab/>
        <w:t>A ASSEMBLEIA GERAL,</w:t>
      </w:r>
    </w:p>
    <w:p w14:paraId="6E834BDD" w14:textId="77777777" w:rsidR="00EC5CCF" w:rsidRPr="00D65A20" w:rsidRDefault="00EC5CCF" w:rsidP="00AA4399">
      <w:pPr>
        <w:widowControl/>
        <w:rPr>
          <w:rFonts w:ascii="Times New Roman" w:hAnsi="Times New Roman"/>
          <w:szCs w:val="22"/>
          <w:lang w:val="pt-BR"/>
        </w:rPr>
      </w:pPr>
    </w:p>
    <w:p w14:paraId="6E834BDE" w14:textId="77777777" w:rsidR="00EC5CCF" w:rsidRPr="00D65A20" w:rsidRDefault="00EC5CCF" w:rsidP="00AA4399">
      <w:pPr>
        <w:widowControl/>
        <w:rPr>
          <w:rFonts w:ascii="Times New Roman" w:hAnsi="Times New Roman"/>
          <w:lang w:val="pt-BR"/>
        </w:rPr>
      </w:pPr>
      <w:r w:rsidRPr="00D65A20">
        <w:rPr>
          <w:rFonts w:ascii="Times New Roman" w:hAnsi="Times New Roman"/>
          <w:lang w:val="pt-BR"/>
        </w:rPr>
        <w:tab/>
        <w:t>CONSIDERANDO o aumento do número de países que receberam a condição de Observador Permanente desde a resolução AG/RES. 50 (I-O/71), aprovada no Primeiro Período Ordinário de Sessões em abril de 1971;</w:t>
      </w:r>
    </w:p>
    <w:p w14:paraId="6E834BDF" w14:textId="77777777" w:rsidR="00EC5CCF" w:rsidRPr="00D65A20" w:rsidRDefault="00EC5CCF" w:rsidP="00AA4399">
      <w:pPr>
        <w:widowControl/>
        <w:rPr>
          <w:rFonts w:ascii="Times New Roman" w:hAnsi="Times New Roman"/>
          <w:lang w:val="pt-BR"/>
        </w:rPr>
      </w:pPr>
    </w:p>
    <w:p w14:paraId="6E834BE0" w14:textId="77777777" w:rsidR="00EC5CCF" w:rsidRPr="00D65A20" w:rsidRDefault="00EC5CCF" w:rsidP="00AA4399">
      <w:pPr>
        <w:widowControl/>
        <w:rPr>
          <w:rFonts w:ascii="Times New Roman" w:hAnsi="Times New Roman"/>
          <w:lang w:val="pt-BR"/>
        </w:rPr>
      </w:pPr>
      <w:r w:rsidRPr="00D65A20">
        <w:rPr>
          <w:rFonts w:ascii="Times New Roman" w:hAnsi="Times New Roman"/>
          <w:lang w:val="pt-BR"/>
        </w:rPr>
        <w:tab/>
        <w:t xml:space="preserve">LEMBRANDO as resoluções do Conselho Permanente CP/RES. 52 (61/72), CP/RES. 407 (573/84) e CP/RES. 619 (978/94), que estabeleceram, revisaram e mantiveram, respectivamente, os critérios e procedimentos para a concessão da condição de Observador Permanente a países que não pertencem à </w:t>
      </w:r>
      <w:r w:rsidR="00523713" w:rsidRPr="00D65A20">
        <w:rPr>
          <w:rFonts w:ascii="Times New Roman" w:hAnsi="Times New Roman"/>
          <w:lang w:val="pt-BR"/>
        </w:rPr>
        <w:t>Organização dos Estados Americanos (</w:t>
      </w:r>
      <w:r w:rsidRPr="00D65A20">
        <w:rPr>
          <w:rFonts w:ascii="Times New Roman" w:hAnsi="Times New Roman"/>
          <w:lang w:val="pt-BR"/>
        </w:rPr>
        <w:t>OEA</w:t>
      </w:r>
      <w:r w:rsidR="00523713" w:rsidRPr="00D65A20">
        <w:rPr>
          <w:rFonts w:ascii="Times New Roman" w:hAnsi="Times New Roman"/>
          <w:lang w:val="pt-BR"/>
        </w:rPr>
        <w:t>)</w:t>
      </w:r>
      <w:r w:rsidRPr="00D65A20">
        <w:rPr>
          <w:rFonts w:ascii="Times New Roman" w:hAnsi="Times New Roman"/>
          <w:lang w:val="pt-BR"/>
        </w:rPr>
        <w:t>, e a CP/RES. 68 (69/72), que definiu a presença e a participação de Observadores Permanentes nas reuniões do Conselho Permanente e das suas comissões;</w:t>
      </w:r>
    </w:p>
    <w:p w14:paraId="6E834BE1" w14:textId="77777777" w:rsidR="00EC5CCF" w:rsidRPr="00D65A20" w:rsidRDefault="00EC5CCF" w:rsidP="00AA4399">
      <w:pPr>
        <w:widowControl/>
        <w:rPr>
          <w:rFonts w:ascii="Times New Roman" w:hAnsi="Times New Roman"/>
          <w:lang w:val="pt-BR"/>
        </w:rPr>
      </w:pPr>
    </w:p>
    <w:p w14:paraId="6E834BE2" w14:textId="77777777" w:rsidR="00EC5CCF" w:rsidRPr="00D65A20" w:rsidRDefault="00EC5CCF" w:rsidP="00AA4399">
      <w:pPr>
        <w:widowControl/>
        <w:rPr>
          <w:rFonts w:ascii="Times New Roman" w:hAnsi="Times New Roman"/>
          <w:lang w:val="pt-BR"/>
        </w:rPr>
      </w:pPr>
      <w:r w:rsidRPr="00D65A20">
        <w:rPr>
          <w:rFonts w:ascii="Times New Roman" w:hAnsi="Times New Roman"/>
          <w:lang w:val="pt-BR"/>
        </w:rPr>
        <w:tab/>
        <w:t xml:space="preserve">ACOLHENDO com satisfação a aprovação, em 27 de setembro de 2018, da resolução CP/RES. 1112 (2184/18), que tem por objetivo o fortalecimento do diálogo sobre a cooperação entre os Estados membros e os Observadores Permanentes no Conselho Permanente e a promoção de parcerias com Observadores Permanentes como parceiros estratégicos da OEA; </w:t>
      </w:r>
    </w:p>
    <w:p w14:paraId="6E834BE3" w14:textId="77777777" w:rsidR="00EC5CCF" w:rsidRPr="00D65A20" w:rsidRDefault="00EC5CCF" w:rsidP="00AA4399">
      <w:pPr>
        <w:widowControl/>
        <w:rPr>
          <w:rFonts w:ascii="Times New Roman" w:hAnsi="Times New Roman"/>
          <w:lang w:val="pt-BR"/>
        </w:rPr>
      </w:pPr>
    </w:p>
    <w:p w14:paraId="6E834BE4" w14:textId="1D60F5AA" w:rsidR="00EC5CCF" w:rsidRPr="00D65A20" w:rsidRDefault="00EC5CCF" w:rsidP="00AA4399">
      <w:pPr>
        <w:widowControl/>
        <w:rPr>
          <w:rFonts w:ascii="Times New Roman" w:hAnsi="Times New Roman"/>
          <w:lang w:val="pt-BR"/>
        </w:rPr>
      </w:pPr>
      <w:r w:rsidRPr="00D65A20">
        <w:rPr>
          <w:rFonts w:ascii="Times New Roman" w:hAnsi="Times New Roman"/>
          <w:lang w:val="pt-BR"/>
        </w:rPr>
        <w:tab/>
        <w:t>TOMANDO NOTA do crescente interesse e da participação dos Observadores Permanentes nas atividades da Organização relatados pelo Departamento de Relações Externas e Institucionais da Secretaria-Geral e pelo Relatório aos Observadores Permanentes 2018</w:t>
      </w:r>
      <w:r w:rsidR="00895E37" w:rsidRPr="00D65A20">
        <w:rPr>
          <w:rFonts w:ascii="Times New Roman" w:hAnsi="Times New Roman"/>
          <w:lang w:val="pt-BR"/>
        </w:rPr>
        <w:t>–</w:t>
      </w:r>
      <w:r w:rsidRPr="00D65A20">
        <w:rPr>
          <w:rFonts w:ascii="Times New Roman" w:hAnsi="Times New Roman"/>
          <w:lang w:val="pt-BR"/>
        </w:rPr>
        <w:t>2019</w:t>
      </w:r>
      <w:r w:rsidR="00895E37" w:rsidRPr="00D65A20">
        <w:rPr>
          <w:rFonts w:ascii="Times New Roman" w:hAnsi="Times New Roman"/>
          <w:lang w:val="pt-BR"/>
        </w:rPr>
        <w:t>, “</w:t>
      </w:r>
      <w:r w:rsidRPr="00D65A20">
        <w:rPr>
          <w:rFonts w:ascii="Times New Roman" w:hAnsi="Times New Roman"/>
          <w:lang w:val="pt-BR"/>
        </w:rPr>
        <w:t xml:space="preserve">Parceria para </w:t>
      </w:r>
      <w:r w:rsidR="00523713" w:rsidRPr="00D65A20">
        <w:rPr>
          <w:rFonts w:ascii="Times New Roman" w:hAnsi="Times New Roman"/>
          <w:lang w:val="pt-BR"/>
        </w:rPr>
        <w:t>Fortalecer o</w:t>
      </w:r>
      <w:r w:rsidRPr="00D65A20">
        <w:rPr>
          <w:rFonts w:ascii="Times New Roman" w:hAnsi="Times New Roman"/>
          <w:lang w:val="pt-BR"/>
        </w:rPr>
        <w:t xml:space="preserve"> Multilateralismo Hemisférico</w:t>
      </w:r>
      <w:r w:rsidR="00895E37" w:rsidRPr="00D65A20">
        <w:rPr>
          <w:rFonts w:ascii="Times New Roman" w:hAnsi="Times New Roman"/>
          <w:lang w:val="pt-BR"/>
        </w:rPr>
        <w:t>”</w:t>
      </w:r>
      <w:r w:rsidR="00AB59EC" w:rsidRPr="00D65A20">
        <w:rPr>
          <w:rFonts w:ascii="Times New Roman" w:hAnsi="Times New Roman"/>
          <w:lang w:val="pt-BR"/>
        </w:rPr>
        <w:t xml:space="preserve"> (disponível somente em inglês)</w:t>
      </w:r>
      <w:r w:rsidRPr="00D65A20">
        <w:rPr>
          <w:rFonts w:ascii="Times New Roman" w:hAnsi="Times New Roman"/>
          <w:lang w:val="pt-BR"/>
        </w:rPr>
        <w:t xml:space="preserve">, que reconheceu os Observadores Permanentes como parceiros estratégicos e vitais, em particular a partir de 2005, mediante o financiamento de projetos, o compartilhamento de conhecimentos e o intercâmbio de informações e boas práticas; </w:t>
      </w:r>
    </w:p>
    <w:p w14:paraId="6E834BE5" w14:textId="77777777" w:rsidR="00EC5CCF" w:rsidRPr="00D65A20" w:rsidRDefault="00EC5CCF" w:rsidP="00AA4399">
      <w:pPr>
        <w:widowControl/>
        <w:rPr>
          <w:rFonts w:ascii="Times New Roman" w:hAnsi="Times New Roman"/>
          <w:lang w:val="pt-BR"/>
        </w:rPr>
      </w:pPr>
    </w:p>
    <w:p w14:paraId="6E834BE6" w14:textId="77777777" w:rsidR="00EC5CCF" w:rsidRPr="00D65A20" w:rsidRDefault="00EC5CCF" w:rsidP="00AA4399">
      <w:pPr>
        <w:widowControl/>
        <w:rPr>
          <w:rFonts w:ascii="Times New Roman" w:hAnsi="Times New Roman"/>
          <w:lang w:val="pt-BR"/>
        </w:rPr>
      </w:pPr>
      <w:r w:rsidRPr="00D65A20">
        <w:rPr>
          <w:rFonts w:ascii="Times New Roman" w:hAnsi="Times New Roman"/>
          <w:lang w:val="pt-BR"/>
        </w:rPr>
        <w:tab/>
        <w:t>CONSCIENTE do apelo feito pelo Secretário-Geral no Relatório aos Observadores Permanentes 2018</w:t>
      </w:r>
      <w:r w:rsidR="008D5E83" w:rsidRPr="00D65A20">
        <w:rPr>
          <w:rFonts w:ascii="Times New Roman" w:hAnsi="Times New Roman"/>
          <w:lang w:val="pt-BR"/>
        </w:rPr>
        <w:t>–</w:t>
      </w:r>
      <w:r w:rsidRPr="00D65A20">
        <w:rPr>
          <w:rFonts w:ascii="Times New Roman" w:hAnsi="Times New Roman"/>
          <w:lang w:val="pt-BR"/>
        </w:rPr>
        <w:t>2019 para que intensifiquem a cooperação e a comunicação, não apenas na nossa região, mas em todas as regiões do mundo;</w:t>
      </w:r>
    </w:p>
    <w:p w14:paraId="6E834BE7" w14:textId="77777777" w:rsidR="00EC5CCF" w:rsidRPr="00D65A20" w:rsidRDefault="00EC5CCF" w:rsidP="00AA4399">
      <w:pPr>
        <w:widowControl/>
        <w:rPr>
          <w:rFonts w:ascii="Times New Roman" w:hAnsi="Times New Roman"/>
          <w:lang w:val="pt-BR"/>
        </w:rPr>
      </w:pPr>
    </w:p>
    <w:p w14:paraId="6E834BE8" w14:textId="2BBD386D" w:rsidR="00EC5CCF" w:rsidRPr="00D65A20" w:rsidRDefault="00EC5CCF" w:rsidP="00AA4399">
      <w:pPr>
        <w:widowControl/>
        <w:rPr>
          <w:rFonts w:ascii="Times New Roman" w:hAnsi="Times New Roman"/>
          <w:lang w:val="pt-BR"/>
        </w:rPr>
      </w:pPr>
      <w:r w:rsidRPr="00D65A20">
        <w:rPr>
          <w:rFonts w:ascii="Times New Roman" w:hAnsi="Times New Roman"/>
          <w:lang w:val="pt-BR"/>
        </w:rPr>
        <w:tab/>
        <w:t>CONVENCIDA da necessidade de fortalecer a cooperação e a colaboração com os Observadores Permanentes nos quatro pilares da Organização para o enfrentamento dos desafios da covid-19 no Hemisfério com vistas a abordar vulnerabilidades e construir resiliência nestes tempos de crise; e</w:t>
      </w:r>
    </w:p>
    <w:p w14:paraId="6E834BE9" w14:textId="77777777" w:rsidR="00EC5CCF" w:rsidRPr="00D65A20" w:rsidRDefault="00EC5CCF" w:rsidP="00AA4399">
      <w:pPr>
        <w:widowControl/>
        <w:rPr>
          <w:rFonts w:ascii="Times New Roman" w:hAnsi="Times New Roman"/>
          <w:lang w:val="pt-BR"/>
        </w:rPr>
      </w:pPr>
    </w:p>
    <w:p w14:paraId="6E834BEA" w14:textId="77777777" w:rsidR="00EC5CCF" w:rsidRPr="00D65A20" w:rsidRDefault="00EC5CCF" w:rsidP="00AA4399">
      <w:pPr>
        <w:widowControl/>
        <w:rPr>
          <w:rFonts w:ascii="Times New Roman" w:hAnsi="Times New Roman"/>
          <w:lang w:val="pt-BR"/>
        </w:rPr>
      </w:pPr>
      <w:r w:rsidRPr="00D65A20">
        <w:rPr>
          <w:rFonts w:ascii="Times New Roman" w:hAnsi="Times New Roman"/>
          <w:lang w:val="pt-BR"/>
        </w:rPr>
        <w:lastRenderedPageBreak/>
        <w:tab/>
        <w:t>COMPROMETIDA com o fortalecimento, neste Quinquagésimo Período Ordinário de Sessões, da participação dos Observadores Permanentes nas atividades da OEA,</w:t>
      </w:r>
    </w:p>
    <w:p w14:paraId="6E834BEB" w14:textId="77777777" w:rsidR="008D5E83" w:rsidRPr="00D65A20" w:rsidRDefault="008D5E83" w:rsidP="00AA4399">
      <w:pPr>
        <w:widowControl/>
        <w:rPr>
          <w:rFonts w:ascii="Times New Roman" w:hAnsi="Times New Roman"/>
          <w:szCs w:val="22"/>
          <w:lang w:val="pt-BR"/>
        </w:rPr>
      </w:pPr>
    </w:p>
    <w:p w14:paraId="6E834BEC" w14:textId="77777777" w:rsidR="00EC5CCF" w:rsidRPr="00D65A20" w:rsidRDefault="00EC5CCF" w:rsidP="008D5E83">
      <w:pPr>
        <w:widowControl/>
        <w:jc w:val="left"/>
        <w:rPr>
          <w:rFonts w:ascii="Times New Roman" w:hAnsi="Times New Roman"/>
          <w:szCs w:val="22"/>
          <w:lang w:val="pt-BR"/>
        </w:rPr>
      </w:pPr>
      <w:r w:rsidRPr="00D65A20">
        <w:rPr>
          <w:rFonts w:ascii="Times New Roman" w:hAnsi="Times New Roman"/>
          <w:szCs w:val="22"/>
          <w:lang w:val="pt-BR"/>
        </w:rPr>
        <w:t>RESOLVE:</w:t>
      </w:r>
    </w:p>
    <w:p w14:paraId="6E834BED" w14:textId="77777777" w:rsidR="00EC5CCF" w:rsidRPr="00D65A20" w:rsidRDefault="00EC5CCF" w:rsidP="00AA4399">
      <w:pPr>
        <w:widowControl/>
        <w:rPr>
          <w:rFonts w:ascii="Times New Roman" w:hAnsi="Times New Roman"/>
          <w:szCs w:val="22"/>
          <w:lang w:val="pt-BR"/>
        </w:rPr>
      </w:pPr>
    </w:p>
    <w:p w14:paraId="6E834BEE" w14:textId="77777777" w:rsidR="00EC5CCF" w:rsidRPr="00D65A20" w:rsidRDefault="00EC5CCF" w:rsidP="00AA4399">
      <w:pPr>
        <w:widowControl/>
        <w:rPr>
          <w:rFonts w:ascii="Times New Roman" w:hAnsi="Times New Roman"/>
          <w:lang w:val="pt-BR"/>
        </w:rPr>
      </w:pPr>
      <w:r w:rsidRPr="00D65A20">
        <w:rPr>
          <w:rFonts w:ascii="Times New Roman" w:hAnsi="Times New Roman"/>
          <w:lang w:val="pt-BR"/>
        </w:rPr>
        <w:tab/>
        <w:t>1.</w:t>
      </w:r>
      <w:r w:rsidRPr="00D65A20">
        <w:rPr>
          <w:rFonts w:ascii="Times New Roman" w:hAnsi="Times New Roman"/>
          <w:lang w:val="pt-BR"/>
        </w:rPr>
        <w:tab/>
        <w:t xml:space="preserve">Agradecer aos Observadores Permanentes, como reconhecidos parceiros estratégicos da </w:t>
      </w:r>
      <w:r w:rsidR="00523713" w:rsidRPr="00D65A20">
        <w:rPr>
          <w:rFonts w:ascii="Times New Roman" w:hAnsi="Times New Roman"/>
          <w:lang w:val="pt-BR"/>
        </w:rPr>
        <w:t>Organização dos Estados Americanos (</w:t>
      </w:r>
      <w:r w:rsidRPr="00D65A20">
        <w:rPr>
          <w:rFonts w:ascii="Times New Roman" w:hAnsi="Times New Roman"/>
          <w:lang w:val="pt-BR"/>
        </w:rPr>
        <w:t>OEA</w:t>
      </w:r>
      <w:r w:rsidR="00523713" w:rsidRPr="00D65A20">
        <w:rPr>
          <w:rFonts w:ascii="Times New Roman" w:hAnsi="Times New Roman"/>
          <w:lang w:val="pt-BR"/>
        </w:rPr>
        <w:t>)</w:t>
      </w:r>
      <w:r w:rsidRPr="00D65A20">
        <w:rPr>
          <w:rFonts w:ascii="Times New Roman" w:hAnsi="Times New Roman"/>
          <w:lang w:val="pt-BR"/>
        </w:rPr>
        <w:t xml:space="preserve">, </w:t>
      </w:r>
      <w:r w:rsidR="008D5E83" w:rsidRPr="00D65A20">
        <w:rPr>
          <w:rFonts w:ascii="Times New Roman" w:hAnsi="Times New Roman"/>
          <w:lang w:val="pt-BR"/>
        </w:rPr>
        <w:t xml:space="preserve">as </w:t>
      </w:r>
      <w:r w:rsidRPr="00D65A20">
        <w:rPr>
          <w:rFonts w:ascii="Times New Roman" w:hAnsi="Times New Roman"/>
          <w:lang w:val="pt-BR"/>
        </w:rPr>
        <w:t xml:space="preserve">suas contribuições contínuas de fundos específicos e conhecimentos técnicos, e </w:t>
      </w:r>
      <w:r w:rsidR="008D5E83" w:rsidRPr="00D65A20">
        <w:rPr>
          <w:rFonts w:ascii="Times New Roman" w:hAnsi="Times New Roman"/>
          <w:lang w:val="pt-BR"/>
        </w:rPr>
        <w:t xml:space="preserve">o </w:t>
      </w:r>
      <w:r w:rsidRPr="00D65A20">
        <w:rPr>
          <w:rFonts w:ascii="Times New Roman" w:hAnsi="Times New Roman"/>
          <w:lang w:val="pt-BR"/>
        </w:rPr>
        <w:t xml:space="preserve">intercâmbio de informações e boas práticas </w:t>
      </w:r>
      <w:r w:rsidR="008D5E83" w:rsidRPr="00D65A20">
        <w:rPr>
          <w:rFonts w:ascii="Times New Roman" w:hAnsi="Times New Roman"/>
          <w:lang w:val="pt-BR"/>
        </w:rPr>
        <w:t xml:space="preserve">a fim de </w:t>
      </w:r>
      <w:r w:rsidRPr="00D65A20">
        <w:rPr>
          <w:rFonts w:ascii="Times New Roman" w:hAnsi="Times New Roman"/>
          <w:lang w:val="pt-BR"/>
        </w:rPr>
        <w:t>fortalecer os programas da Organização nos pilares d</w:t>
      </w:r>
      <w:r w:rsidR="008D5E83" w:rsidRPr="00D65A20">
        <w:rPr>
          <w:rFonts w:ascii="Times New Roman" w:hAnsi="Times New Roman"/>
          <w:lang w:val="pt-BR"/>
        </w:rPr>
        <w:t>e</w:t>
      </w:r>
      <w:r w:rsidRPr="00D65A20">
        <w:rPr>
          <w:rFonts w:ascii="Times New Roman" w:hAnsi="Times New Roman"/>
          <w:lang w:val="pt-BR"/>
        </w:rPr>
        <w:t xml:space="preserve"> democracia, direitos humanos, desenvolvimento integral e segurança multidimensional.</w:t>
      </w:r>
    </w:p>
    <w:p w14:paraId="6E834BEF" w14:textId="77777777" w:rsidR="00EC5CCF" w:rsidRPr="00D65A20" w:rsidRDefault="00EC5CCF" w:rsidP="00AA4399">
      <w:pPr>
        <w:widowControl/>
        <w:rPr>
          <w:rFonts w:ascii="Times New Roman" w:hAnsi="Times New Roman"/>
          <w:szCs w:val="22"/>
          <w:lang w:val="pt-BR"/>
        </w:rPr>
      </w:pPr>
    </w:p>
    <w:p w14:paraId="6E834BF0" w14:textId="77777777" w:rsidR="00EC5CCF" w:rsidRPr="00D65A20" w:rsidRDefault="00EC5CCF" w:rsidP="00AA4399">
      <w:pPr>
        <w:widowControl/>
        <w:rPr>
          <w:rFonts w:ascii="Times New Roman" w:hAnsi="Times New Roman"/>
          <w:lang w:val="pt-BR"/>
        </w:rPr>
      </w:pPr>
      <w:r w:rsidRPr="00D65A20">
        <w:rPr>
          <w:rFonts w:ascii="Times New Roman" w:hAnsi="Times New Roman"/>
          <w:lang w:val="pt-BR"/>
        </w:rPr>
        <w:tab/>
        <w:t>2.</w:t>
      </w:r>
      <w:r w:rsidRPr="00D65A20">
        <w:rPr>
          <w:rFonts w:ascii="Times New Roman" w:hAnsi="Times New Roman"/>
          <w:lang w:val="pt-BR"/>
        </w:rPr>
        <w:tab/>
        <w:t>Reiterar a sua gratidão aos Observadores Permanentes pela assistência prestada aos Estados membros diante dos desafios da covid-19.</w:t>
      </w:r>
    </w:p>
    <w:p w14:paraId="6E834BF1" w14:textId="77777777" w:rsidR="00EC5CCF" w:rsidRPr="00D65A20" w:rsidRDefault="00EC5CCF" w:rsidP="00AA4399">
      <w:pPr>
        <w:widowControl/>
        <w:rPr>
          <w:rFonts w:ascii="Times New Roman" w:hAnsi="Times New Roman"/>
          <w:szCs w:val="22"/>
          <w:lang w:val="pt-BR"/>
        </w:rPr>
      </w:pPr>
    </w:p>
    <w:p w14:paraId="6E834BF2" w14:textId="77777777" w:rsidR="00EC5CCF" w:rsidRPr="00D65A20" w:rsidRDefault="00EC5CCF" w:rsidP="00AA4399">
      <w:pPr>
        <w:widowControl/>
        <w:rPr>
          <w:rFonts w:ascii="Times New Roman" w:hAnsi="Times New Roman"/>
          <w:lang w:val="pt-BR"/>
        </w:rPr>
      </w:pPr>
      <w:r w:rsidRPr="00D65A20">
        <w:rPr>
          <w:rFonts w:ascii="Times New Roman" w:hAnsi="Times New Roman"/>
          <w:lang w:val="pt-BR"/>
        </w:rPr>
        <w:tab/>
        <w:t>3.</w:t>
      </w:r>
      <w:r w:rsidRPr="00D65A20">
        <w:rPr>
          <w:rFonts w:ascii="Times New Roman" w:hAnsi="Times New Roman"/>
          <w:lang w:val="pt-BR"/>
        </w:rPr>
        <w:tab/>
        <w:t>Fortalecer o diálogo dos Chefes de Delegação, do Secretário-Geral e do Secretário-Geral Adjunto com os Chefes de Delegação dos Observadores Permanentes no Quinquagésimo Primeiro Período Ordinário de Sessões a ser realizado em 2021.</w:t>
      </w:r>
    </w:p>
    <w:p w14:paraId="6E834BF3" w14:textId="77777777" w:rsidR="00EC5CCF" w:rsidRPr="00D65A20" w:rsidRDefault="00EC5CCF" w:rsidP="00AA4399">
      <w:pPr>
        <w:widowControl/>
        <w:rPr>
          <w:rFonts w:ascii="Times New Roman" w:hAnsi="Times New Roman"/>
          <w:szCs w:val="22"/>
          <w:lang w:val="pt-BR"/>
        </w:rPr>
      </w:pPr>
    </w:p>
    <w:p w14:paraId="6E834BF4" w14:textId="152A73E2" w:rsidR="00EC5CCF" w:rsidRPr="00D65A20" w:rsidRDefault="00EC5CCF" w:rsidP="00AA4399">
      <w:pPr>
        <w:widowControl/>
        <w:rPr>
          <w:rFonts w:ascii="Times New Roman" w:hAnsi="Times New Roman"/>
          <w:lang w:val="pt-BR"/>
        </w:rPr>
      </w:pPr>
      <w:r w:rsidRPr="00D65A20">
        <w:rPr>
          <w:rFonts w:ascii="Times New Roman" w:hAnsi="Times New Roman"/>
          <w:lang w:val="pt-BR"/>
        </w:rPr>
        <w:tab/>
        <w:t>4.</w:t>
      </w:r>
      <w:r w:rsidRPr="00D65A20">
        <w:rPr>
          <w:rFonts w:ascii="Times New Roman" w:hAnsi="Times New Roman"/>
          <w:lang w:val="pt-BR"/>
        </w:rPr>
        <w:tab/>
        <w:t xml:space="preserve">Encarregar a Secretaria-Geral de tomar as medidas administrativas necessárias para incluir o Diálogo dos Chefes de Delegação, do Secretário-Geral e do Secretário-Geral Adjunto com os Chefes de Delegação dos Observadores Permanentes no projeto de </w:t>
      </w:r>
      <w:r w:rsidR="00523713" w:rsidRPr="00D65A20">
        <w:rPr>
          <w:rFonts w:ascii="Times New Roman" w:hAnsi="Times New Roman"/>
          <w:lang w:val="pt-BR"/>
        </w:rPr>
        <w:t xml:space="preserve">calendário </w:t>
      </w:r>
      <w:r w:rsidRPr="00D65A20">
        <w:rPr>
          <w:rFonts w:ascii="Times New Roman" w:hAnsi="Times New Roman"/>
          <w:lang w:val="pt-BR"/>
        </w:rPr>
        <w:t>como atividade prévia ao início dos períodos ordinários de sessões da Assembleia Geral a partir de 2021 e informar os Estados membros sobre o apoio técnico e financeiro prestado à OEA pelos Observadores Permanentes.</w:t>
      </w:r>
    </w:p>
    <w:p w14:paraId="6E834BF5" w14:textId="77777777" w:rsidR="00EC5CCF" w:rsidRPr="00D65A20" w:rsidRDefault="00EC5CCF" w:rsidP="00AA4399">
      <w:pPr>
        <w:widowControl/>
        <w:jc w:val="left"/>
        <w:rPr>
          <w:rFonts w:ascii="Times New Roman" w:hAnsi="Times New Roman"/>
          <w:lang w:val="pt-BR"/>
        </w:rPr>
      </w:pPr>
      <w:r w:rsidRPr="00D65A20">
        <w:rPr>
          <w:rFonts w:ascii="Times New Roman" w:hAnsi="Times New Roman"/>
          <w:lang w:val="pt-BR"/>
        </w:rPr>
        <w:br w:type="page"/>
      </w:r>
    </w:p>
    <w:p w14:paraId="6E834BF6" w14:textId="77777777" w:rsidR="00EC5CCF" w:rsidRPr="00D65A20" w:rsidRDefault="00EC5CCF" w:rsidP="00AA4399">
      <w:pPr>
        <w:widowControl/>
        <w:jc w:val="center"/>
        <w:rPr>
          <w:rFonts w:ascii="Times New Roman" w:hAnsi="Times New Roman"/>
          <w:bCs/>
          <w:sz w:val="20"/>
          <w:lang w:val="pt-BR"/>
        </w:rPr>
      </w:pPr>
      <w:r w:rsidRPr="00D65A20">
        <w:rPr>
          <w:rFonts w:ascii="Times New Roman" w:hAnsi="Times New Roman"/>
          <w:sz w:val="20"/>
          <w:lang w:val="pt-BR"/>
        </w:rPr>
        <w:lastRenderedPageBreak/>
        <w:t>NOTA</w:t>
      </w:r>
      <w:r w:rsidR="00523713" w:rsidRPr="00D65A20">
        <w:rPr>
          <w:rFonts w:ascii="Times New Roman" w:hAnsi="Times New Roman"/>
          <w:sz w:val="20"/>
          <w:lang w:val="pt-BR"/>
        </w:rPr>
        <w:t>S</w:t>
      </w:r>
      <w:r w:rsidRPr="00D65A20">
        <w:rPr>
          <w:rFonts w:ascii="Times New Roman" w:hAnsi="Times New Roman"/>
          <w:sz w:val="20"/>
          <w:lang w:val="pt-BR"/>
        </w:rPr>
        <w:t xml:space="preserve"> DE RODAPÉ</w:t>
      </w:r>
    </w:p>
    <w:p w14:paraId="6E834BF7" w14:textId="77777777" w:rsidR="00EC5CCF" w:rsidRPr="00D65A20" w:rsidRDefault="00EC5CCF" w:rsidP="00AA4399">
      <w:pPr>
        <w:widowControl/>
        <w:rPr>
          <w:rFonts w:ascii="Times New Roman" w:hAnsi="Times New Roman"/>
          <w:bCs/>
          <w:sz w:val="20"/>
          <w:lang w:val="pt-BR"/>
        </w:rPr>
      </w:pPr>
    </w:p>
    <w:p w14:paraId="6E834BF8" w14:textId="77777777" w:rsidR="00EC5CCF" w:rsidRPr="00D65A20" w:rsidRDefault="00EC5CCF" w:rsidP="00AA4399">
      <w:pPr>
        <w:widowControl/>
        <w:rPr>
          <w:rFonts w:ascii="Times New Roman" w:hAnsi="Times New Roman"/>
          <w:bCs/>
          <w:sz w:val="20"/>
          <w:lang w:val="pt-BR"/>
        </w:rPr>
      </w:pPr>
    </w:p>
    <w:p w14:paraId="6E834BF9" w14:textId="77777777" w:rsidR="00B2405A" w:rsidRPr="00D65A20" w:rsidRDefault="00EC5CCF" w:rsidP="00B2405A">
      <w:pPr>
        <w:widowControl/>
        <w:ind w:firstLine="720"/>
        <w:rPr>
          <w:rFonts w:ascii="Times New Roman" w:hAnsi="Times New Roman"/>
          <w:sz w:val="20"/>
          <w:lang w:val="pt-BR"/>
        </w:rPr>
      </w:pPr>
      <w:r w:rsidRPr="00D65A20">
        <w:rPr>
          <w:rFonts w:ascii="Times New Roman" w:hAnsi="Times New Roman"/>
          <w:sz w:val="20"/>
          <w:lang w:val="pt-BR"/>
        </w:rPr>
        <w:t>1.</w:t>
      </w:r>
      <w:r w:rsidRPr="00D65A20">
        <w:rPr>
          <w:rFonts w:ascii="Times New Roman" w:hAnsi="Times New Roman"/>
          <w:sz w:val="20"/>
          <w:lang w:val="pt-BR"/>
        </w:rPr>
        <w:tab/>
        <w:t>(...)</w:t>
      </w:r>
      <w:r w:rsidR="00B2405A" w:rsidRPr="00D65A20">
        <w:rPr>
          <w:rFonts w:ascii="Times New Roman" w:hAnsi="Times New Roman"/>
          <w:sz w:val="20"/>
          <w:lang w:val="pt-BR"/>
        </w:rPr>
        <w:t xml:space="preserve">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6E834BFA" w14:textId="77777777" w:rsidR="00B2405A" w:rsidRPr="00D65A20" w:rsidRDefault="00B2405A" w:rsidP="00B2405A">
      <w:pPr>
        <w:widowControl/>
        <w:rPr>
          <w:rFonts w:ascii="Times New Roman" w:hAnsi="Times New Roman"/>
          <w:sz w:val="20"/>
          <w:lang w:val="pt-BR"/>
        </w:rPr>
      </w:pPr>
    </w:p>
    <w:p w14:paraId="6E834BFB" w14:textId="77777777" w:rsidR="00B2405A" w:rsidRPr="00D65A20" w:rsidRDefault="00B2405A" w:rsidP="00B2405A">
      <w:pPr>
        <w:widowControl/>
        <w:ind w:firstLine="720"/>
        <w:rPr>
          <w:rFonts w:ascii="Times New Roman" w:hAnsi="Times New Roman"/>
          <w:sz w:val="20"/>
          <w:lang w:val="pt-BR"/>
        </w:rPr>
      </w:pPr>
      <w:r w:rsidRPr="00D65A20">
        <w:rPr>
          <w:rFonts w:ascii="Times New Roman" w:hAnsi="Times New Roman"/>
          <w:sz w:val="20"/>
          <w:lang w:val="pt-BR"/>
        </w:rPr>
        <w:t xml:space="preserve">Antígua e Barbuda não apoiou a resolução CP/RES. 1124 (2217/19), de 9 de abril de 2019, cuja intenção era nomear o Senhor Gustavo Tarre como Representante da Assembleia Nacional junto à OEA, e não aceitou as credenciais das autoridades que pretendiam representar a República Bolivariana da Venezuela no Quadragésimo Nono e no Quinquagésimo Períodos Ordinários de Sessões da Assembleia Geral. </w:t>
      </w:r>
    </w:p>
    <w:p w14:paraId="6E834BFC" w14:textId="77777777" w:rsidR="00B2405A" w:rsidRPr="00D65A20" w:rsidRDefault="00B2405A" w:rsidP="00B2405A">
      <w:pPr>
        <w:widowControl/>
        <w:rPr>
          <w:rFonts w:ascii="Times New Roman" w:hAnsi="Times New Roman"/>
          <w:sz w:val="20"/>
          <w:lang w:val="pt-BR"/>
        </w:rPr>
      </w:pPr>
    </w:p>
    <w:p w14:paraId="6E834C01" w14:textId="20FDADA9" w:rsidR="00EC5CCF" w:rsidRPr="00D65A20" w:rsidRDefault="00B2405A" w:rsidP="00B2405A">
      <w:pPr>
        <w:widowControl/>
        <w:ind w:firstLine="720"/>
        <w:rPr>
          <w:rFonts w:ascii="Times New Roman" w:hAnsi="Times New Roman"/>
          <w:sz w:val="20"/>
          <w:lang w:val="pt-BR"/>
        </w:rPr>
      </w:pPr>
      <w:r w:rsidRPr="00D65A20">
        <w:rPr>
          <w:rFonts w:ascii="Times New Roman" w:hAnsi="Times New Roman"/>
          <w:sz w:val="20"/>
          <w:lang w:val="pt-BR"/>
        </w:rPr>
        <w:t>Desse modo, Antígua e Barbuda informa a todos os Estados membros e à Secretaria-Geral da Organização dos Estados Americanos que, até novo aviso, assim como fez no Quadragésimo Nono Período Ordinário de Sessões da Assembleia Geral, não se considerará vinculado a nenhuma declaração ou resolução emanada do Quinquagésimo Período Ordinário de Sessões da Assembleia Geral, nem a quaisquer futuras declarações ou resoluções de qualquer Conselho ou órgão da Organização que incluam a participação de qualquer pessoa ou entidade pretensamente falando pela República Bolivariana da Venezuela ou agindo em seu nome, e nas quais se alcancem 18 votos com a participação de um pretenso representante da República Bolivariana da Venezuela</w:t>
      </w:r>
      <w:r w:rsidR="00EC5CCF" w:rsidRPr="00D65A20">
        <w:rPr>
          <w:rFonts w:ascii="Times New Roman" w:hAnsi="Times New Roman"/>
          <w:sz w:val="20"/>
          <w:lang w:val="pt-BR"/>
        </w:rPr>
        <w:t>.</w:t>
      </w:r>
    </w:p>
    <w:p w14:paraId="6E834C03" w14:textId="77777777" w:rsidR="00316FC5" w:rsidRPr="00D65A20" w:rsidRDefault="00316FC5" w:rsidP="00AA4399">
      <w:pPr>
        <w:widowControl/>
        <w:rPr>
          <w:rFonts w:ascii="Times New Roman" w:hAnsi="Times New Roman"/>
          <w:noProof/>
          <w:sz w:val="24"/>
          <w:szCs w:val="24"/>
          <w:lang w:val="pt-BR"/>
        </w:rPr>
      </w:pPr>
    </w:p>
    <w:p w14:paraId="6E834C04" w14:textId="799993AA" w:rsidR="00440A50" w:rsidRPr="00D65A20" w:rsidRDefault="00440A50" w:rsidP="00440A50">
      <w:pPr>
        <w:rPr>
          <w:rStyle w:val="FootnoteReference"/>
          <w:rFonts w:ascii="Times New Roman" w:hAnsi="Times New Roman"/>
          <w:sz w:val="20"/>
          <w:lang w:val="pt-BR"/>
        </w:rPr>
      </w:pPr>
      <w:r w:rsidRPr="00D65A20">
        <w:rPr>
          <w:rFonts w:ascii="Times New Roman" w:hAnsi="Times New Roman"/>
          <w:sz w:val="20"/>
          <w:lang w:val="pt-BR"/>
        </w:rPr>
        <w:tab/>
        <w:t xml:space="preserve">2. </w:t>
      </w:r>
      <w:r w:rsidR="007B686E">
        <w:rPr>
          <w:rFonts w:ascii="Times New Roman" w:hAnsi="Times New Roman"/>
          <w:sz w:val="20"/>
          <w:lang w:val="pt-BR"/>
        </w:rPr>
        <w:tab/>
      </w:r>
      <w:r w:rsidRPr="00D65A20">
        <w:rPr>
          <w:rFonts w:ascii="Times New Roman" w:hAnsi="Times New Roman"/>
          <w:sz w:val="20"/>
          <w:lang w:val="pt-BR"/>
        </w:rPr>
        <w:t>(...) Quinquagésimo Período Ordinário de Sessões da Assembleia Geral.</w:t>
      </w:r>
    </w:p>
    <w:p w14:paraId="6E834C05" w14:textId="77777777" w:rsidR="00110CF1" w:rsidRPr="00D65A20" w:rsidRDefault="00110CF1"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lang w:val="pt-BR"/>
        </w:rPr>
        <w:sectPr w:rsidR="00110CF1" w:rsidRPr="00D65A20" w:rsidSect="00E8396E">
          <w:headerReference w:type="default" r:id="rId81"/>
          <w:footerReference w:type="default" r:id="rId82"/>
          <w:footnotePr>
            <w:numRestart w:val="eachSect"/>
          </w:footnotePr>
          <w:type w:val="oddPage"/>
          <w:pgSz w:w="12240" w:h="15840" w:code="1"/>
          <w:pgMar w:top="2160" w:right="1570" w:bottom="1296" w:left="1699" w:header="1260" w:footer="720" w:gutter="0"/>
          <w:pgNumType w:fmt="numberInDash"/>
          <w:cols w:space="720"/>
          <w:docGrid w:linePitch="360"/>
        </w:sectPr>
      </w:pPr>
    </w:p>
    <w:p w14:paraId="26879B09" w14:textId="77777777" w:rsidR="000933AA" w:rsidRPr="00D65A20" w:rsidRDefault="000933AA" w:rsidP="000933AA">
      <w:pPr>
        <w:pStyle w:val="Heading1"/>
        <w:rPr>
          <w:rFonts w:eastAsia="Calibri"/>
          <w:lang w:val="pt-BR"/>
        </w:rPr>
      </w:pPr>
      <w:bookmarkStart w:id="171" w:name="_Toc56526505"/>
      <w:bookmarkStart w:id="172" w:name="_Toc56526715"/>
      <w:bookmarkStart w:id="173" w:name="_Toc56526506"/>
      <w:bookmarkStart w:id="174" w:name="_Toc56526716"/>
      <w:r w:rsidRPr="00D65A20">
        <w:rPr>
          <w:rFonts w:eastAsia="Calibri"/>
          <w:lang w:val="pt-BR"/>
        </w:rPr>
        <w:lastRenderedPageBreak/>
        <w:t>AG/RES. 2961 (L-O/20)</w:t>
      </w:r>
      <w:bookmarkEnd w:id="171"/>
      <w:bookmarkEnd w:id="172"/>
    </w:p>
    <w:p w14:paraId="3FCEEE34" w14:textId="77777777" w:rsidR="000933AA" w:rsidRPr="00D65A20" w:rsidRDefault="000933AA" w:rsidP="000933AA">
      <w:pPr>
        <w:pStyle w:val="Heading1"/>
        <w:rPr>
          <w:lang w:val="pt-BR"/>
        </w:rPr>
      </w:pPr>
    </w:p>
    <w:p w14:paraId="57EE5966" w14:textId="5428E466" w:rsidR="000933AA" w:rsidRPr="00D65A20" w:rsidRDefault="000933AA" w:rsidP="000933AA">
      <w:pPr>
        <w:pStyle w:val="Heading1"/>
        <w:rPr>
          <w:lang w:val="pt-BR"/>
        </w:rPr>
      </w:pPr>
      <w:r w:rsidRPr="00D65A20">
        <w:rPr>
          <w:lang w:val="pt-BR"/>
        </w:rPr>
        <w:t>PROMOÇÃO E PROTEÇÃO DOS DIREITOS HUMANOS</w:t>
      </w:r>
      <w:r w:rsidRPr="007B686E">
        <w:rPr>
          <w:u w:val="single"/>
          <w:vertAlign w:val="superscript"/>
          <w:lang w:val="pt-BR"/>
        </w:rPr>
        <w:footnoteReference w:id="75"/>
      </w:r>
      <w:r w:rsidRPr="00D65A20">
        <w:rPr>
          <w:vertAlign w:val="superscript"/>
          <w:lang w:val="pt-BR"/>
        </w:rPr>
        <w:t>/</w:t>
      </w:r>
      <w:r w:rsidRPr="007B686E">
        <w:rPr>
          <w:u w:val="single"/>
          <w:vertAlign w:val="superscript"/>
          <w:lang w:val="pt-BR"/>
        </w:rPr>
        <w:footnoteReference w:id="76"/>
      </w:r>
      <w:r w:rsidRPr="00D65A20">
        <w:rPr>
          <w:vertAlign w:val="superscript"/>
          <w:lang w:val="pt-BR"/>
        </w:rPr>
        <w:t>/</w:t>
      </w:r>
      <w:bookmarkEnd w:id="173"/>
      <w:bookmarkEnd w:id="174"/>
      <w:r w:rsidRPr="00D65A20">
        <w:rPr>
          <w:rStyle w:val="FootnoteReference"/>
          <w:u w:val="single"/>
          <w:vertAlign w:val="superscript"/>
          <w:lang w:val="pt-BR"/>
        </w:rPr>
        <w:footnoteReference w:id="77"/>
      </w:r>
      <w:r w:rsidRPr="00D65A20">
        <w:rPr>
          <w:vertAlign w:val="superscript"/>
          <w:lang w:val="pt-BR"/>
        </w:rPr>
        <w:t>/</w:t>
      </w:r>
    </w:p>
    <w:p w14:paraId="6DE875DE"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eastAsia="es-ES"/>
        </w:rPr>
      </w:pPr>
    </w:p>
    <w:p w14:paraId="09FEC15C"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pt-BR" w:eastAsia="es-ES"/>
        </w:rPr>
      </w:pPr>
      <w:r w:rsidRPr="00D65A20">
        <w:rPr>
          <w:rFonts w:ascii="Times New Roman" w:hAnsi="Times New Roman"/>
          <w:szCs w:val="22"/>
          <w:lang w:val="pt-BR" w:eastAsia="es-ES"/>
        </w:rPr>
        <w:t>(</w:t>
      </w:r>
      <w:r w:rsidRPr="00D65A20">
        <w:rPr>
          <w:rFonts w:ascii="Times New Roman" w:hAnsi="Times New Roman"/>
          <w:szCs w:val="22"/>
          <w:lang w:val="pt-BR"/>
        </w:rPr>
        <w:t>Aprovada na quarta sessão plenária, realizada em 21 de outubro de 2020)</w:t>
      </w:r>
    </w:p>
    <w:p w14:paraId="0D4C95B4"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outlineLvl w:val="0"/>
        <w:rPr>
          <w:rFonts w:ascii="Times New Roman" w:eastAsia="Calibri" w:hAnsi="Times New Roman"/>
          <w:bCs/>
          <w:color w:val="000000"/>
          <w:szCs w:val="22"/>
          <w:lang w:val="pt-BR"/>
        </w:rPr>
      </w:pPr>
    </w:p>
    <w:p w14:paraId="4E17E578"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pt-BR"/>
        </w:rPr>
      </w:pPr>
    </w:p>
    <w:p w14:paraId="05CB0696"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58" w:firstLine="720"/>
        <w:rPr>
          <w:rFonts w:ascii="Times New Roman" w:hAnsi="Times New Roman"/>
          <w:bCs/>
          <w:szCs w:val="22"/>
          <w:lang w:val="pt-BR" w:eastAsia="es-ES"/>
        </w:rPr>
      </w:pPr>
      <w:r w:rsidRPr="00D65A20">
        <w:rPr>
          <w:rFonts w:ascii="Times New Roman" w:hAnsi="Times New Roman"/>
          <w:szCs w:val="22"/>
          <w:lang w:val="pt-BR" w:eastAsia="es-ES"/>
        </w:rPr>
        <w:t>A ASSEMBLEIA GERAL,</w:t>
      </w:r>
    </w:p>
    <w:p w14:paraId="58C861BC"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58"/>
        <w:rPr>
          <w:rFonts w:ascii="Times New Roman" w:hAnsi="Times New Roman"/>
          <w:szCs w:val="22"/>
          <w:lang w:val="pt-BR" w:eastAsia="es-ES"/>
        </w:rPr>
      </w:pPr>
    </w:p>
    <w:p w14:paraId="1A5A60CF"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58"/>
        <w:rPr>
          <w:rFonts w:ascii="Times New Roman" w:hAnsi="Times New Roman"/>
          <w:szCs w:val="22"/>
          <w:lang w:val="pt-BR"/>
        </w:rPr>
      </w:pPr>
      <w:r w:rsidRPr="00D65A20">
        <w:rPr>
          <w:rFonts w:ascii="Times New Roman" w:hAnsi="Times New Roman"/>
          <w:szCs w:val="22"/>
          <w:lang w:val="pt-BR" w:eastAsia="es-ES"/>
        </w:rPr>
        <w:tab/>
        <w:t xml:space="preserve">REAFIRMANDO as normas e princípios gerais do Direito internacional e da Carta da Organização dos Estados Americanos, </w:t>
      </w:r>
      <w:r w:rsidRPr="00D65A20">
        <w:rPr>
          <w:rFonts w:ascii="Times New Roman" w:hAnsi="Times New Roman"/>
          <w:bCs/>
          <w:szCs w:val="22"/>
          <w:lang w:val="pt-BR" w:eastAsia="es-ES"/>
        </w:rPr>
        <w:t>do Direito internacional dos direitos humanos e do Direito internacional humanitário,</w:t>
      </w:r>
      <w:r w:rsidRPr="00D65A20">
        <w:rPr>
          <w:rFonts w:ascii="Times New Roman" w:hAnsi="Times New Roman"/>
          <w:szCs w:val="22"/>
          <w:lang w:val="pt-BR" w:eastAsia="es-ES"/>
        </w:rPr>
        <w:t xml:space="preserve"> bem como os </w:t>
      </w:r>
      <w:r w:rsidRPr="00D65A20">
        <w:rPr>
          <w:rFonts w:ascii="Times New Roman" w:hAnsi="Times New Roman"/>
          <w:bCs/>
          <w:szCs w:val="22"/>
          <w:lang w:val="pt-BR" w:eastAsia="es-ES"/>
        </w:rPr>
        <w:t>direitos consagrados na Declaração Americana dos Direitos e Deveres do Homem, na Convenção Americana sobre Direitos Humanos, quando seja pertinente, e nos demais instrumentos interamericanos vinculantes na matéria, e o importante papel dos órgãos do sistema interamericano de direitos humanos na promoção e proteção dos direitos humanos nas Américas;</w:t>
      </w:r>
    </w:p>
    <w:p w14:paraId="1840B42D"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58"/>
        <w:rPr>
          <w:rFonts w:ascii="Times New Roman" w:hAnsi="Times New Roman"/>
          <w:szCs w:val="22"/>
          <w:lang w:val="pt-BR"/>
        </w:rPr>
      </w:pPr>
    </w:p>
    <w:p w14:paraId="054CE710"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58"/>
        <w:rPr>
          <w:rFonts w:ascii="Times New Roman" w:hAnsi="Times New Roman"/>
          <w:bCs/>
          <w:i/>
          <w:szCs w:val="22"/>
          <w:lang w:val="pt-BR" w:eastAsia="es-ES"/>
        </w:rPr>
      </w:pPr>
      <w:r w:rsidRPr="00D65A20">
        <w:rPr>
          <w:rFonts w:ascii="Times New Roman" w:hAnsi="Times New Roman"/>
          <w:szCs w:val="22"/>
          <w:lang w:val="pt-BR" w:eastAsia="es-ES"/>
        </w:rPr>
        <w:tab/>
        <w:t xml:space="preserve">RECORDANDO as declarações AG/DEC. 71 (XLIII-O/13) e AG/DEC. 89 (XLVI-O/16), bem como a resolução </w:t>
      </w:r>
      <w:r w:rsidRPr="00D65A20">
        <w:rPr>
          <w:rFonts w:ascii="Times New Roman" w:eastAsia="Calibri" w:hAnsi="Times New Roman"/>
          <w:bCs/>
          <w:color w:val="000000"/>
          <w:szCs w:val="22"/>
          <w:lang w:val="pt-BR" w:eastAsia="es-ES"/>
        </w:rPr>
        <w:t>AG/RES. 2941 (XLIX-O/19</w:t>
      </w:r>
      <w:r w:rsidRPr="00D65A20">
        <w:rPr>
          <w:rFonts w:ascii="Times New Roman" w:hAnsi="Times New Roman"/>
          <w:color w:val="000000"/>
          <w:szCs w:val="22"/>
          <w:lang w:val="pt-BR"/>
        </w:rPr>
        <w:t xml:space="preserve">) e </w:t>
      </w:r>
      <w:r w:rsidRPr="00D65A20">
        <w:rPr>
          <w:rFonts w:ascii="Times New Roman" w:hAnsi="Times New Roman"/>
          <w:szCs w:val="22"/>
          <w:lang w:val="pt-BR" w:eastAsia="es-ES"/>
        </w:rPr>
        <w:t>todas as resoluções anteriores aprovadas sobre esse tema;</w:t>
      </w:r>
    </w:p>
    <w:p w14:paraId="7248F394"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58"/>
        <w:rPr>
          <w:rFonts w:ascii="Times New Roman" w:hAnsi="Times New Roman"/>
          <w:i/>
          <w:szCs w:val="22"/>
          <w:lang w:val="pt-BR"/>
        </w:rPr>
      </w:pPr>
    </w:p>
    <w:p w14:paraId="73B55964" w14:textId="477F76B5"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58" w:firstLine="720"/>
        <w:rPr>
          <w:rFonts w:ascii="Times New Roman" w:hAnsi="Times New Roman"/>
          <w:bCs/>
          <w:i/>
          <w:szCs w:val="22"/>
          <w:lang w:val="pt-BR" w:eastAsia="es-ES"/>
        </w:rPr>
      </w:pPr>
      <w:r w:rsidRPr="00D65A20">
        <w:rPr>
          <w:rFonts w:ascii="Times New Roman" w:hAnsi="Times New Roman"/>
          <w:szCs w:val="22"/>
          <w:lang w:val="pt-BR"/>
        </w:rPr>
        <w:t>TENDO VISTO o “Relatório Anual do Conselho Permanente à Assembleia Geral ju</w:t>
      </w:r>
      <w:r w:rsidR="001F6D1D">
        <w:rPr>
          <w:rFonts w:ascii="Times New Roman" w:hAnsi="Times New Roman"/>
          <w:szCs w:val="22"/>
          <w:lang w:val="pt-BR"/>
        </w:rPr>
        <w:t>l</w:t>
      </w:r>
      <w:r w:rsidRPr="00D65A20">
        <w:rPr>
          <w:rFonts w:ascii="Times New Roman" w:hAnsi="Times New Roman"/>
          <w:szCs w:val="22"/>
          <w:lang w:val="pt-BR"/>
        </w:rPr>
        <w:t>ho 2019–outubro 2020” (AG/doc.</w:t>
      </w:r>
      <w:r w:rsidRPr="00D65A20">
        <w:rPr>
          <w:rFonts w:ascii="Times New Roman" w:hAnsi="Times New Roman"/>
          <w:color w:val="000000"/>
          <w:szCs w:val="22"/>
          <w:lang w:val="pt-BR"/>
        </w:rPr>
        <w:t xml:space="preserve"> 5691/</w:t>
      </w:r>
      <w:r w:rsidRPr="00D65A20">
        <w:rPr>
          <w:rFonts w:ascii="Times New Roman" w:hAnsi="Times New Roman"/>
          <w:szCs w:val="22"/>
          <w:lang w:val="pt-BR"/>
        </w:rPr>
        <w:t>20 add. 1), em especial a seção referente às atividades da Comissão de Assuntos Jurídicos e Políticos (CAJP);</w:t>
      </w:r>
    </w:p>
    <w:p w14:paraId="0F334F70"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Cs/>
          <w:szCs w:val="22"/>
          <w:lang w:val="pt-BR"/>
        </w:rPr>
      </w:pPr>
    </w:p>
    <w:p w14:paraId="3E7B23C6"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58" w:firstLine="720"/>
        <w:rPr>
          <w:rFonts w:ascii="Times New Roman" w:hAnsi="Times New Roman"/>
          <w:szCs w:val="22"/>
          <w:lang w:val="pt-BR"/>
        </w:rPr>
      </w:pPr>
      <w:r w:rsidRPr="00D65A20">
        <w:rPr>
          <w:rFonts w:ascii="Times New Roman" w:hAnsi="Times New Roman"/>
          <w:szCs w:val="22"/>
          <w:lang w:val="pt-BR"/>
        </w:rPr>
        <w:t xml:space="preserve">CONSIDERANDO </w:t>
      </w:r>
      <w:r w:rsidRPr="00D65A20">
        <w:rPr>
          <w:rFonts w:ascii="Times New Roman" w:hAnsi="Times New Roman"/>
          <w:szCs w:val="22"/>
          <w:lang w:val="pt-BR" w:eastAsia="es-ES"/>
        </w:rPr>
        <w:t>que os programas, atividades e tarefas estabelecidas nas resoluções de competência da CAJP contribuem para o cumprimento dos propósitos essenciais da Organização dos Estados Americanos (OEA) consagrados em sua Carta;</w:t>
      </w:r>
    </w:p>
    <w:p w14:paraId="15184397"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5EE5B778"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eastAsia="pt-BR"/>
        </w:rPr>
      </w:pPr>
      <w:r w:rsidRPr="00D65A20">
        <w:rPr>
          <w:rFonts w:ascii="Times New Roman" w:hAnsi="Times New Roman"/>
          <w:szCs w:val="22"/>
          <w:lang w:val="pt-BR"/>
        </w:rPr>
        <w:t xml:space="preserve">i. </w:t>
      </w:r>
      <w:r w:rsidRPr="00D65A20">
        <w:rPr>
          <w:rFonts w:ascii="Times New Roman" w:hAnsi="Times New Roman"/>
          <w:szCs w:val="22"/>
          <w:lang w:val="pt-BR"/>
        </w:rPr>
        <w:tab/>
      </w:r>
      <w:r w:rsidRPr="00D65A20">
        <w:rPr>
          <w:rFonts w:ascii="Times New Roman" w:hAnsi="Times New Roman"/>
          <w:szCs w:val="22"/>
          <w:u w:val="single"/>
          <w:lang w:val="pt-BR"/>
        </w:rPr>
        <w:t>Proteção</w:t>
      </w:r>
      <w:r w:rsidRPr="00D65A20">
        <w:rPr>
          <w:rFonts w:ascii="Times New Roman" w:hAnsi="Times New Roman"/>
          <w:color w:val="000000"/>
          <w:szCs w:val="22"/>
          <w:u w:val="single"/>
          <w:lang w:val="pt-BR" w:eastAsia="es-MX"/>
        </w:rPr>
        <w:t xml:space="preserve"> dos direitos humanos frente à pandemia de covid-19</w:t>
      </w:r>
      <w:r w:rsidRPr="00D65A20">
        <w:rPr>
          <w:rFonts w:ascii="Times New Roman" w:hAnsi="Times New Roman"/>
          <w:color w:val="000000"/>
          <w:szCs w:val="22"/>
          <w:lang w:val="pt-BR" w:eastAsia="es-MX"/>
        </w:rPr>
        <w:t xml:space="preserve"> </w:t>
      </w:r>
      <w:r w:rsidRPr="00D65A20">
        <w:rPr>
          <w:rFonts w:ascii="Times New Roman" w:eastAsia="Calibri" w:hAnsi="Times New Roman"/>
          <w:szCs w:val="22"/>
          <w:u w:val="single"/>
          <w:vertAlign w:val="superscript"/>
          <w:lang w:val="pt-BR" w:eastAsia="es-ES"/>
        </w:rPr>
        <w:footnoteReference w:id="78"/>
      </w:r>
      <w:r w:rsidRPr="00D65A20">
        <w:rPr>
          <w:rFonts w:ascii="Times New Roman" w:eastAsia="Calibri" w:hAnsi="Times New Roman"/>
          <w:color w:val="000000"/>
          <w:szCs w:val="22"/>
          <w:vertAlign w:val="superscript"/>
          <w:lang w:val="pt-BR" w:eastAsia="es-ES"/>
        </w:rPr>
        <w:t>/</w:t>
      </w:r>
      <w:r w:rsidRPr="00D65A20">
        <w:rPr>
          <w:rFonts w:ascii="Times New Roman" w:hAnsi="Times New Roman"/>
          <w:szCs w:val="22"/>
          <w:lang w:val="pt-BR" w:eastAsia="pt-BR"/>
        </w:rPr>
        <w:t xml:space="preserve"> </w:t>
      </w:r>
    </w:p>
    <w:p w14:paraId="2DBC589A"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hAnsi="Times New Roman"/>
          <w:b/>
          <w:color w:val="000000"/>
          <w:szCs w:val="22"/>
          <w:lang w:val="pt-BR" w:eastAsia="es-MX"/>
        </w:rPr>
      </w:pPr>
    </w:p>
    <w:p w14:paraId="2D9FD5E7" w14:textId="7BE06FBB"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eastAsia="es-MX"/>
        </w:rPr>
      </w:pPr>
      <w:r w:rsidRPr="00D65A20">
        <w:rPr>
          <w:rFonts w:ascii="Times New Roman" w:hAnsi="Times New Roman"/>
          <w:color w:val="000000"/>
          <w:szCs w:val="22"/>
          <w:lang w:val="pt-BR" w:eastAsia="es-MX"/>
        </w:rPr>
        <w:t xml:space="preserve">RECONHECENDO as resoluções 1/2020 e 4/2020 da Comissão Interamericana de Direitos Humanos (CIDH), relativas às normas e recomendações de orientação aos Estados </w:t>
      </w:r>
      <w:r w:rsidR="001F6D1D">
        <w:rPr>
          <w:rFonts w:ascii="Times New Roman" w:hAnsi="Times New Roman"/>
          <w:color w:val="000000"/>
          <w:szCs w:val="22"/>
          <w:lang w:val="pt-BR" w:eastAsia="es-MX"/>
        </w:rPr>
        <w:t xml:space="preserve">membros </w:t>
      </w:r>
      <w:r w:rsidRPr="00D65A20">
        <w:rPr>
          <w:rFonts w:ascii="Times New Roman" w:hAnsi="Times New Roman"/>
          <w:color w:val="000000"/>
          <w:szCs w:val="22"/>
          <w:lang w:val="pt-BR" w:eastAsia="es-MX"/>
        </w:rPr>
        <w:t>quanto às medidas para o atendimento e a contenção da pandemia de covid-19 e às diretrizes sobre os direitos humanos das pessoas com covid-19, bem como</w:t>
      </w:r>
      <w:r w:rsidRPr="00D65A20">
        <w:rPr>
          <w:rFonts w:ascii="Times New Roman" w:hAnsi="Times New Roman"/>
          <w:bCs/>
          <w:szCs w:val="22"/>
          <w:lang w:val="pt-BR"/>
        </w:rPr>
        <w:t xml:space="preserve"> a resolução CP/RES. 1151 (2280/20) do Conselho Permanente;</w:t>
      </w:r>
    </w:p>
    <w:p w14:paraId="67DDBD1B"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b/>
          <w:color w:val="000000"/>
          <w:szCs w:val="22"/>
          <w:lang w:val="pt-BR" w:eastAsia="es-MX"/>
        </w:rPr>
      </w:pPr>
    </w:p>
    <w:p w14:paraId="40ACABDF"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bCs/>
          <w:szCs w:val="22"/>
          <w:lang w:val="pt-BR"/>
        </w:rPr>
      </w:pPr>
      <w:r w:rsidRPr="00D65A20">
        <w:rPr>
          <w:rFonts w:ascii="Times New Roman" w:hAnsi="Times New Roman"/>
          <w:color w:val="000000"/>
          <w:szCs w:val="22"/>
          <w:lang w:val="pt-BR" w:eastAsia="es-MX"/>
        </w:rPr>
        <w:t xml:space="preserve">RESSALTANDO os desafios dos Estados das Américas na implementação das medidas urgentes e necessárias para </w:t>
      </w:r>
      <w:r w:rsidRPr="00D65A20">
        <w:rPr>
          <w:rFonts w:ascii="Times New Roman" w:hAnsi="Times New Roman"/>
          <w:szCs w:val="22"/>
          <w:lang w:val="pt-BR"/>
        </w:rPr>
        <w:t xml:space="preserve">atender à emergência produzida pela covid-19 e </w:t>
      </w:r>
      <w:r w:rsidRPr="00D65A20">
        <w:rPr>
          <w:rFonts w:ascii="Times New Roman" w:hAnsi="Times New Roman"/>
          <w:color w:val="000000"/>
          <w:szCs w:val="22"/>
          <w:lang w:val="pt-BR" w:eastAsia="es-MX"/>
        </w:rPr>
        <w:t>renovando</w:t>
      </w:r>
      <w:r w:rsidRPr="00D65A20">
        <w:rPr>
          <w:rFonts w:ascii="Times New Roman" w:hAnsi="Times New Roman"/>
          <w:bCs/>
          <w:szCs w:val="22"/>
          <w:lang w:val="pt-BR"/>
        </w:rPr>
        <w:t xml:space="preserve"> a sua convicção sobre a necessidade de ajuste dessas medidas, em particular das que implicam restrições a </w:t>
      </w:r>
      <w:r w:rsidRPr="00D65A20">
        <w:rPr>
          <w:rFonts w:ascii="Times New Roman" w:hAnsi="Times New Roman"/>
          <w:bCs/>
          <w:szCs w:val="22"/>
          <w:lang w:val="pt-BR"/>
        </w:rPr>
        <w:lastRenderedPageBreak/>
        <w:t xml:space="preserve">direitos ou garantias, aos princípios de legalidade, necessidade, proporcionalidade e temporalidade, de acordo com as suas obrigações do Direito internacional dos direitos humanos aplicáveis; </w:t>
      </w:r>
    </w:p>
    <w:p w14:paraId="3B4A558A" w14:textId="77777777" w:rsidR="000933AA" w:rsidRPr="00D65A20" w:rsidRDefault="000933AA" w:rsidP="007B686E">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bCs/>
          <w:szCs w:val="22"/>
          <w:lang w:val="pt-BR"/>
        </w:rPr>
      </w:pPr>
    </w:p>
    <w:p w14:paraId="2DC06C92"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b/>
          <w:color w:val="000000"/>
          <w:szCs w:val="22"/>
          <w:lang w:val="pt-BR" w:eastAsia="es-MX"/>
        </w:rPr>
      </w:pPr>
      <w:r w:rsidRPr="00D65A20">
        <w:rPr>
          <w:rFonts w:ascii="Times New Roman" w:hAnsi="Times New Roman"/>
          <w:color w:val="000000"/>
          <w:szCs w:val="22"/>
          <w:lang w:val="pt-BR"/>
        </w:rPr>
        <w:t>CONSIDERANDO que a pandemia gera impactos diferenciados e intersecionais sobre o gozo dos direitos econômicos, sociais, culturais e ambientais (DESCA) para todos os setores da população, em particular para as pessoas e os membros de populações em situação especial de vulnerabilidade e/ou historicamente discriminados, entre os quais as mulheres e meninas;</w:t>
      </w:r>
      <w:r w:rsidRPr="00D65A20">
        <w:rPr>
          <w:rFonts w:ascii="Times New Roman" w:hAnsi="Times New Roman"/>
          <w:i/>
          <w:szCs w:val="22"/>
          <w:lang w:val="pt-BR"/>
        </w:rPr>
        <w:t xml:space="preserve"> </w:t>
      </w:r>
    </w:p>
    <w:p w14:paraId="4A11E3EC" w14:textId="4BF84ED4"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b/>
          <w:color w:val="000000"/>
          <w:szCs w:val="22"/>
          <w:lang w:val="pt-BR" w:eastAsia="es-MX"/>
        </w:rPr>
      </w:pPr>
    </w:p>
    <w:p w14:paraId="2B61A822"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b/>
          <w:color w:val="000000"/>
          <w:szCs w:val="22"/>
          <w:lang w:val="pt-BR" w:eastAsia="es-MX"/>
        </w:rPr>
      </w:pPr>
      <w:r w:rsidRPr="00D65A20">
        <w:rPr>
          <w:rFonts w:ascii="Times New Roman" w:hAnsi="Times New Roman"/>
          <w:color w:val="000000"/>
          <w:szCs w:val="22"/>
          <w:lang w:val="pt-BR"/>
        </w:rPr>
        <w:t>DESTACANDO que a saúde é um bem público que deve ser protegido por todos os Estados e que os direitos humanos relacionados com a saúde devem incluir a importância dos serviços de saúde oportunos e apropriados, bem como os elementos essenciais e inter-relacionados de disponibilidade, acessibilidade, aceitabilidade e qualidade dos serviços, bens e instalações de saúde, incluindo os medicamentos e os benefícios do progresso científico nessa área, em condições de igualdade e não discriminação;</w:t>
      </w:r>
      <w:r w:rsidRPr="00D65A20">
        <w:rPr>
          <w:rFonts w:ascii="Times New Roman" w:hAnsi="Times New Roman"/>
          <w:color w:val="000000"/>
          <w:szCs w:val="22"/>
          <w:lang w:val="pt-BR" w:eastAsia="es-MX"/>
        </w:rPr>
        <w:t xml:space="preserve"> e </w:t>
      </w:r>
    </w:p>
    <w:p w14:paraId="5C7BDA32"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b/>
          <w:color w:val="000000"/>
          <w:szCs w:val="22"/>
          <w:lang w:val="pt-BR" w:eastAsia="es-MX"/>
        </w:rPr>
      </w:pPr>
      <w:r w:rsidRPr="00D65A20">
        <w:rPr>
          <w:rFonts w:ascii="Times New Roman" w:hAnsi="Times New Roman"/>
          <w:b/>
          <w:color w:val="000000"/>
          <w:szCs w:val="22"/>
          <w:lang w:val="pt-BR" w:eastAsia="es-MX"/>
        </w:rPr>
        <w:t xml:space="preserve"> </w:t>
      </w:r>
    </w:p>
    <w:p w14:paraId="166E92B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b/>
          <w:color w:val="000000"/>
          <w:szCs w:val="22"/>
          <w:lang w:val="pt-BR" w:eastAsia="es-MX"/>
        </w:rPr>
      </w:pPr>
      <w:r w:rsidRPr="00D65A20">
        <w:rPr>
          <w:rFonts w:ascii="Times New Roman" w:hAnsi="Times New Roman"/>
          <w:color w:val="000000"/>
          <w:szCs w:val="22"/>
          <w:lang w:val="pt-BR"/>
        </w:rPr>
        <w:t>RESSALTANDO que toda pessoa com covid-19 tem direito ao mais alto nível de saúde e pode experimentar impactos negativos e limitações de outros DESCA, devendo-se, nesse contexto, evitar a todo custo os impactos negativos ou as restrições na esfera dos seus direitos econômicos, sociais, culturais e ambientais, tendo-se em conta que certos grupos em situação de vulnerabilidade estão expostos a um impacto diferenciado derivado da covid-19,</w:t>
      </w:r>
    </w:p>
    <w:p w14:paraId="2AFE8B09"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b/>
          <w:color w:val="000000"/>
          <w:szCs w:val="22"/>
          <w:lang w:val="pt-BR" w:eastAsia="es-MX"/>
        </w:rPr>
      </w:pPr>
    </w:p>
    <w:p w14:paraId="02289FFB"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eastAsia="es-MX"/>
        </w:rPr>
      </w:pPr>
      <w:r w:rsidRPr="00D65A20">
        <w:rPr>
          <w:rFonts w:ascii="Times New Roman" w:hAnsi="Times New Roman"/>
          <w:color w:val="000000"/>
          <w:szCs w:val="22"/>
          <w:lang w:val="pt-BR" w:eastAsia="es-MX"/>
        </w:rPr>
        <w:t xml:space="preserve">RESOLVE: </w:t>
      </w:r>
    </w:p>
    <w:p w14:paraId="6B8E0D2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b/>
          <w:color w:val="000000"/>
          <w:szCs w:val="22"/>
          <w:lang w:val="pt-BR" w:eastAsia="es-MX"/>
        </w:rPr>
      </w:pPr>
    </w:p>
    <w:p w14:paraId="439AF752"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eastAsia="es-MX"/>
        </w:rPr>
      </w:pPr>
      <w:r w:rsidRPr="00D65A20">
        <w:rPr>
          <w:rFonts w:ascii="Times New Roman" w:hAnsi="Times New Roman"/>
          <w:color w:val="000000"/>
          <w:szCs w:val="22"/>
          <w:lang w:val="pt-BR" w:eastAsia="es-MX"/>
        </w:rPr>
        <w:t xml:space="preserve">1. </w:t>
      </w:r>
      <w:r w:rsidRPr="00D65A20">
        <w:rPr>
          <w:rFonts w:ascii="Times New Roman" w:hAnsi="Times New Roman"/>
          <w:color w:val="000000"/>
          <w:szCs w:val="22"/>
          <w:lang w:val="pt-BR" w:eastAsia="es-MX"/>
        </w:rPr>
        <w:tab/>
      </w:r>
      <w:r w:rsidRPr="00D65A20">
        <w:rPr>
          <w:rFonts w:ascii="Times New Roman" w:hAnsi="Times New Roman"/>
          <w:color w:val="000000"/>
          <w:szCs w:val="22"/>
          <w:lang w:val="pt-BR"/>
        </w:rPr>
        <w:t>Incluir nas medidas para promover o gozo dos direitos e a preservação da saúde o enfoque de direitos humanos e da perspectiva de gênero a fim de enfrentar a pandemia e as suas consequências com atendimento diferenciado a pessoas e membros de populações em especial situação de vulnerabilidade e/ou historicamente discriminadas</w:t>
      </w:r>
      <w:r w:rsidRPr="00D65A20">
        <w:rPr>
          <w:rFonts w:ascii="Times New Roman" w:hAnsi="Times New Roman"/>
          <w:color w:val="000000"/>
          <w:szCs w:val="22"/>
          <w:lang w:val="pt-BR" w:eastAsia="es-MX"/>
        </w:rPr>
        <w:t>.</w:t>
      </w:r>
    </w:p>
    <w:p w14:paraId="2B0EDC15"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b/>
          <w:color w:val="000000"/>
          <w:szCs w:val="22"/>
          <w:lang w:val="pt-BR" w:eastAsia="es-MX"/>
        </w:rPr>
      </w:pPr>
    </w:p>
    <w:p w14:paraId="741DDC8E"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b/>
          <w:color w:val="000000"/>
          <w:szCs w:val="22"/>
          <w:lang w:val="pt-BR" w:eastAsia="es-MX"/>
        </w:rPr>
      </w:pPr>
      <w:r w:rsidRPr="00D65A20">
        <w:rPr>
          <w:rFonts w:ascii="Times New Roman" w:hAnsi="Times New Roman"/>
          <w:color w:val="000000"/>
          <w:szCs w:val="22"/>
          <w:lang w:val="pt-BR" w:eastAsia="es-MX"/>
        </w:rPr>
        <w:t xml:space="preserve">2. </w:t>
      </w:r>
      <w:r w:rsidRPr="00D65A20">
        <w:rPr>
          <w:rFonts w:ascii="Times New Roman" w:hAnsi="Times New Roman"/>
          <w:color w:val="000000"/>
          <w:szCs w:val="22"/>
          <w:lang w:val="pt-BR" w:eastAsia="es-MX"/>
        </w:rPr>
        <w:tab/>
        <w:t>Promover e proteger o gozo e o exercício dos direitos humanos e a proteção do direito à saúde das pessoas com covid-19 de maneira consistente com os princípios de igualdade e não discriminação.</w:t>
      </w:r>
      <w:r w:rsidRPr="00D65A20">
        <w:rPr>
          <w:rFonts w:ascii="Times New Roman" w:hAnsi="Times New Roman"/>
          <w:i/>
          <w:szCs w:val="22"/>
          <w:lang w:val="pt-BR"/>
        </w:rPr>
        <w:t xml:space="preserve"> </w:t>
      </w:r>
    </w:p>
    <w:p w14:paraId="38A32601"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color w:val="000000"/>
          <w:szCs w:val="22"/>
          <w:lang w:val="pt-BR" w:eastAsia="es-MX"/>
        </w:rPr>
      </w:pPr>
    </w:p>
    <w:p w14:paraId="65F5B5EC"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color w:val="000000"/>
          <w:szCs w:val="22"/>
          <w:lang w:val="pt-BR" w:eastAsia="es-MX"/>
        </w:rPr>
        <w:t>3.</w:t>
      </w:r>
      <w:r w:rsidRPr="00D65A20">
        <w:rPr>
          <w:rFonts w:ascii="Times New Roman" w:hAnsi="Times New Roman"/>
          <w:color w:val="000000"/>
          <w:szCs w:val="22"/>
          <w:lang w:val="pt-BR" w:eastAsia="es-MX"/>
        </w:rPr>
        <w:tab/>
        <w:t xml:space="preserve">Promover o intercâmbio técnico e de cooperação regional </w:t>
      </w:r>
      <w:r w:rsidRPr="00D65A20">
        <w:rPr>
          <w:rFonts w:ascii="Times New Roman" w:hAnsi="Times New Roman"/>
          <w:color w:val="000000"/>
          <w:szCs w:val="22"/>
          <w:lang w:val="pt-BR"/>
        </w:rPr>
        <w:t>que inclua boas práticas dos Estados nas medidas adotadas no contexto da pandemia com enfoque de direitos humanos e perspectiva de gênero</w:t>
      </w:r>
      <w:r w:rsidRPr="00D65A20">
        <w:rPr>
          <w:rFonts w:ascii="Times New Roman" w:hAnsi="Times New Roman"/>
          <w:color w:val="000000"/>
          <w:szCs w:val="22"/>
          <w:lang w:val="pt-BR" w:eastAsia="es-MX"/>
        </w:rPr>
        <w:t xml:space="preserve"> para melhorar a resposta epidemiológica de forma efetiva e humana, </w:t>
      </w:r>
      <w:r w:rsidRPr="00D65A20">
        <w:rPr>
          <w:rFonts w:ascii="Times New Roman" w:hAnsi="Times New Roman"/>
          <w:bCs/>
          <w:szCs w:val="22"/>
          <w:lang w:val="pt-BR"/>
        </w:rPr>
        <w:t>inclusive na busca e na promoção da acessibilidade, de forma participativa, transparente, sem discriminação e com a mais ampla cobertura possível no nível geográfico, a medicamentos, tratamentos, vacinas, bens de qualidade, serviços, informação e conhecimentos ou aplicações tecnológico-científicas desenvolvidas para o atendimento preventivo, curativo, paliativo, de reabilitação ou cuidado das pessoas com covid-19.</w:t>
      </w:r>
    </w:p>
    <w:p w14:paraId="1E511C77"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28BDD321" w14:textId="77777777" w:rsidR="000933AA" w:rsidRPr="00D65A20" w:rsidRDefault="000933AA" w:rsidP="000933AA">
      <w:pPr>
        <w:widowControl/>
        <w:tabs>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eastAsia="Calibri" w:hAnsi="Times New Roman"/>
          <w:bCs/>
          <w:szCs w:val="22"/>
          <w:lang w:val="pt-BR"/>
        </w:rPr>
      </w:pPr>
      <w:r w:rsidRPr="00D65A20">
        <w:rPr>
          <w:rFonts w:ascii="Times New Roman" w:eastAsia="Calibri" w:hAnsi="Times New Roman"/>
          <w:bCs/>
          <w:szCs w:val="22"/>
          <w:lang w:val="pt-BR"/>
        </w:rPr>
        <w:t>ii.</w:t>
      </w:r>
      <w:r w:rsidRPr="00D65A20">
        <w:rPr>
          <w:rFonts w:ascii="Times New Roman" w:eastAsia="Calibri" w:hAnsi="Times New Roman"/>
          <w:bCs/>
          <w:szCs w:val="22"/>
          <w:lang w:val="pt-BR"/>
        </w:rPr>
        <w:tab/>
      </w:r>
      <w:r w:rsidRPr="00D65A20">
        <w:rPr>
          <w:rFonts w:ascii="Times New Roman" w:eastAsia="Calibri" w:hAnsi="Times New Roman"/>
          <w:bCs/>
          <w:szCs w:val="22"/>
          <w:u w:val="single"/>
          <w:lang w:val="pt-BR"/>
        </w:rPr>
        <w:t>Paridade de gênero na composição da Corte Interamericana de Direitos Humanos</w:t>
      </w:r>
    </w:p>
    <w:p w14:paraId="155960EC"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20E7FF99" w14:textId="6EEF0F4B"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4"/>
          <w:szCs w:val="24"/>
          <w:lang w:val="pt-BR"/>
        </w:rPr>
      </w:pPr>
      <w:r w:rsidRPr="00D65A20">
        <w:rPr>
          <w:rFonts w:ascii="Times New Roman" w:hAnsi="Times New Roman"/>
          <w:color w:val="000000"/>
          <w:szCs w:val="22"/>
          <w:lang w:val="pt-BR"/>
        </w:rPr>
        <w:t xml:space="preserve">TENDO EM VISTA a seção sobre “Integração equilibrada de gênero e com representatividade geográfica e dos diferentes sistemas jurídicos” da resolução </w:t>
      </w:r>
      <w:r w:rsidRPr="00D65A20">
        <w:rPr>
          <w:rFonts w:ascii="Times New Roman" w:hAnsi="Times New Roman"/>
          <w:szCs w:val="22"/>
          <w:lang w:val="pt-BR"/>
        </w:rPr>
        <w:t>AG/RES. 2941 (XLIX-O/19), “Promoção e proteção dos direitos humanos”, de 28 de junho de 2019, e a resolução CP/RES.</w:t>
      </w:r>
      <w:r w:rsidRPr="00D65A20">
        <w:rPr>
          <w:rFonts w:ascii="Times New Roman" w:eastAsia="Calibri" w:hAnsi="Times New Roman"/>
          <w:szCs w:val="22"/>
          <w:lang w:val="pt-BR"/>
        </w:rPr>
        <w:t xml:space="preserve"> 1149 (2278/20), “Representação e participação das mulheres na OEA”, do Conselho Permanente de 12 de março de </w:t>
      </w:r>
      <w:r w:rsidR="00E34A5E" w:rsidRPr="00D65A20">
        <w:rPr>
          <w:rFonts w:ascii="Times New Roman" w:eastAsia="Calibri" w:hAnsi="Times New Roman"/>
          <w:szCs w:val="22"/>
          <w:lang w:val="pt-BR"/>
        </w:rPr>
        <w:t>2020;</w:t>
      </w:r>
      <w:r w:rsidRPr="00D65A20">
        <w:rPr>
          <w:rFonts w:ascii="Times New Roman" w:eastAsia="Calibri" w:hAnsi="Times New Roman"/>
          <w:szCs w:val="22"/>
          <w:lang w:val="pt-BR"/>
        </w:rPr>
        <w:t xml:space="preserve"> e</w:t>
      </w:r>
    </w:p>
    <w:p w14:paraId="231F3948"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rPr>
      </w:pPr>
      <w:r w:rsidRPr="00D65A20">
        <w:rPr>
          <w:rFonts w:ascii="Times New Roman" w:hAnsi="Times New Roman"/>
          <w:color w:val="000000"/>
          <w:szCs w:val="22"/>
          <w:lang w:val="pt-BR"/>
        </w:rPr>
        <w:lastRenderedPageBreak/>
        <w:t>RECONHECENDO que, desde a instalação da Corte Interamericana de Direitos Humanos, em 1979, dos 39 juízes que a integraram somente cinco foram mulheres e que, em sua composição atual, a Corte conta com apenas uma mulher,</w:t>
      </w:r>
    </w:p>
    <w:p w14:paraId="7FE548A8"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eastAsia="Calibri" w:hAnsi="Times New Roman"/>
          <w:b/>
          <w:sz w:val="24"/>
          <w:szCs w:val="24"/>
          <w:lang w:val="pt-BR"/>
        </w:rPr>
      </w:pPr>
    </w:p>
    <w:p w14:paraId="1A215C81"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eastAsia="Calibri" w:hAnsi="Times New Roman"/>
          <w:sz w:val="24"/>
          <w:szCs w:val="24"/>
          <w:lang w:val="pt-BR"/>
        </w:rPr>
      </w:pPr>
      <w:r w:rsidRPr="00D65A20">
        <w:rPr>
          <w:rFonts w:ascii="Times New Roman" w:eastAsia="Calibri" w:hAnsi="Times New Roman"/>
          <w:szCs w:val="22"/>
          <w:lang w:val="pt-BR"/>
        </w:rPr>
        <w:t>RESOLVE:</w:t>
      </w:r>
    </w:p>
    <w:p w14:paraId="0CE683ED"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eastAsia="Calibri" w:hAnsi="Times New Roman"/>
          <w:sz w:val="24"/>
          <w:szCs w:val="24"/>
          <w:lang w:val="pt-BR"/>
        </w:rPr>
      </w:pPr>
    </w:p>
    <w:p w14:paraId="025FE462"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Arial Unicode MS" w:hAnsi="Times New Roman"/>
          <w:color w:val="000000"/>
          <w:sz w:val="24"/>
          <w:szCs w:val="24"/>
          <w:lang w:val="pt-BR"/>
        </w:rPr>
      </w:pPr>
      <w:r w:rsidRPr="00D65A20">
        <w:rPr>
          <w:rFonts w:ascii="Times New Roman" w:hAnsi="Times New Roman"/>
          <w:color w:val="000000"/>
          <w:szCs w:val="22"/>
          <w:lang w:val="pt-BR"/>
        </w:rPr>
        <w:t>1.</w:t>
      </w:r>
      <w:r w:rsidRPr="00D65A20">
        <w:rPr>
          <w:rFonts w:ascii="Times New Roman" w:hAnsi="Times New Roman"/>
          <w:color w:val="000000"/>
          <w:szCs w:val="22"/>
          <w:lang w:val="pt-BR"/>
        </w:rPr>
        <w:tab/>
        <w:t>Instar os Estados membros a que, nos processos de indicação e seleção de juízes/as da Corte Interamericana de Direitos Humanos, se procure alcançar a paridade na composição da Corte, promovendo mais indicações de candidatas mulheres, e a que se consolide também uma representatividade geográfica regional, bem como um adequado equilíbrio dos sistemas jurídicos do Hemisfério, garantindo que se cumpram os requisitos de independência, imparcialidade e reconhecida competência em matéria de direitos humanos.</w:t>
      </w:r>
      <w:r w:rsidRPr="00D65A20">
        <w:rPr>
          <w:rFonts w:ascii="Times New Roman" w:hAnsi="Times New Roman"/>
          <w:i/>
          <w:szCs w:val="22"/>
          <w:lang w:val="pt-BR"/>
        </w:rPr>
        <w:t xml:space="preserve"> </w:t>
      </w:r>
    </w:p>
    <w:p w14:paraId="33C92971"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pt-BR" w:eastAsia="es-ES_tradnl"/>
        </w:rPr>
      </w:pPr>
    </w:p>
    <w:p w14:paraId="4747A37A"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eastAsia="Calibri" w:hAnsi="Times New Roman"/>
          <w:color w:val="000000"/>
          <w:szCs w:val="22"/>
          <w:lang w:val="pt-BR"/>
        </w:rPr>
      </w:pPr>
      <w:r w:rsidRPr="00D65A20">
        <w:rPr>
          <w:rFonts w:ascii="Times New Roman" w:eastAsia="Calibri" w:hAnsi="Times New Roman"/>
          <w:szCs w:val="22"/>
          <w:lang w:val="pt-BR"/>
        </w:rPr>
        <w:t>iii.</w:t>
      </w:r>
      <w:r w:rsidRPr="00D65A20">
        <w:rPr>
          <w:rFonts w:ascii="Times New Roman" w:eastAsia="Calibri" w:hAnsi="Times New Roman"/>
          <w:szCs w:val="22"/>
          <w:lang w:val="pt-BR"/>
        </w:rPr>
        <w:tab/>
      </w:r>
      <w:r w:rsidRPr="00D65A20">
        <w:rPr>
          <w:rFonts w:ascii="Times New Roman" w:eastAsia="Calibri" w:hAnsi="Times New Roman"/>
          <w:bCs/>
          <w:szCs w:val="22"/>
          <w:u w:val="single"/>
          <w:lang w:val="pt-BR"/>
        </w:rPr>
        <w:t>Erradicação da apatridia na América</w:t>
      </w:r>
      <w:r w:rsidRPr="00D65A20">
        <w:rPr>
          <w:rFonts w:ascii="Times New Roman" w:eastAsia="Calibri" w:hAnsi="Times New Roman"/>
          <w:color w:val="000000"/>
          <w:szCs w:val="22"/>
          <w:lang w:val="pt-BR" w:eastAsia="ar-SA"/>
        </w:rPr>
        <w:t xml:space="preserve"> </w:t>
      </w:r>
    </w:p>
    <w:p w14:paraId="22575E7B"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bCs/>
          <w:szCs w:val="22"/>
          <w:lang w:val="pt-BR"/>
        </w:rPr>
      </w:pPr>
    </w:p>
    <w:p w14:paraId="0CD0626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Cs/>
          <w:szCs w:val="22"/>
          <w:lang w:val="pt-BR"/>
        </w:rPr>
      </w:pPr>
      <w:r w:rsidRPr="00D65A20">
        <w:rPr>
          <w:rFonts w:ascii="Times New Roman" w:hAnsi="Times New Roman"/>
          <w:bCs/>
          <w:szCs w:val="22"/>
          <w:lang w:val="pt-BR"/>
        </w:rPr>
        <w:t>RECORDANDO a importância do direito de toda pessoa a uma nacionalidade no continente americano, reconhecido no artigo XIX da Declaração Americana dos Direitos e Deveres do Homem e no artigo 20 da Convenção Americana sobre Direitos Humanos, e que a apatridia é um grave problema humanitário que deve ser erradicado;</w:t>
      </w:r>
    </w:p>
    <w:p w14:paraId="315B314E"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pt-BR"/>
        </w:rPr>
      </w:pPr>
    </w:p>
    <w:p w14:paraId="127F3FCD" w14:textId="6088010D"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Cs/>
          <w:szCs w:val="22"/>
          <w:lang w:val="pt-BR"/>
        </w:rPr>
      </w:pPr>
      <w:r w:rsidRPr="00D65A20">
        <w:rPr>
          <w:rFonts w:ascii="Times New Roman" w:hAnsi="Times New Roman"/>
          <w:bCs/>
          <w:szCs w:val="22"/>
          <w:lang w:val="pt-BR"/>
        </w:rPr>
        <w:t>CONSIDERANDO os objetivos e metas da Agenda 2030 para o Desenvolvimento Sustentável pertinentes ao direito à nacionalidade e à prevenção e erradicação da apatridia, como o Objetivo 16, Promover sociedades justas, pacíficas e inclusivas, que inclui a meta 16.9, “fornecer identidade legal para todos, incluindo o registro de nascimento”; o Objetivo 5, Alcançar a igualdade de gênero e empoderar todas as mulheres e meninas, que inclui a meta 5.1, “acabar com todas as formas de discriminação contra todas as mulheres e meninas em toda parte”; e o Objetivo 10, Reduzir a desigualdade dentro dos países e entre eles, que inclui a meta 10.3</w:t>
      </w:r>
      <w:r w:rsidR="00D31E1A" w:rsidRPr="00D65A20">
        <w:rPr>
          <w:rFonts w:ascii="Times New Roman" w:hAnsi="Times New Roman"/>
          <w:bCs/>
          <w:szCs w:val="22"/>
          <w:lang w:val="pt-BR"/>
        </w:rPr>
        <w:t>,</w:t>
      </w:r>
      <w:r w:rsidRPr="00D65A20">
        <w:rPr>
          <w:rFonts w:ascii="Times New Roman" w:hAnsi="Times New Roman"/>
          <w:bCs/>
          <w:szCs w:val="22"/>
          <w:lang w:val="pt-BR"/>
        </w:rPr>
        <w:t xml:space="preserve"> “garantir a igualdade de oportunidades e reduzir as desigualdades de resultados, inclusive por meio da eliminação de leis, políticas e práticas discriminatórias”; e</w:t>
      </w:r>
    </w:p>
    <w:p w14:paraId="36BF535F"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pt-BR"/>
        </w:rPr>
      </w:pPr>
    </w:p>
    <w:p w14:paraId="64EE2A51"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szCs w:val="22"/>
          <w:lang w:val="pt-BR"/>
        </w:rPr>
      </w:pPr>
      <w:r w:rsidRPr="00D65A20">
        <w:rPr>
          <w:rFonts w:ascii="Times New Roman" w:hAnsi="Times New Roman"/>
          <w:bCs/>
          <w:szCs w:val="22"/>
          <w:lang w:val="pt-BR"/>
        </w:rPr>
        <w:t xml:space="preserve">RESSALTANDO a vigência do Plano de Ação Mundial para Acabar com a Apatridia (2014–2024), o Plano de Ação do Brasil: </w:t>
      </w:r>
      <w:r w:rsidRPr="00D65A20">
        <w:rPr>
          <w:rFonts w:ascii="Times New Roman" w:hAnsi="Times New Roman"/>
          <w:color w:val="000000"/>
          <w:szCs w:val="22"/>
          <w:lang w:val="pt-BR" w:eastAsia="es-MX"/>
        </w:rPr>
        <w:t>Um Roteiro Comum para Fortalecer a Proteção e Promover Soluções Duradouras para as Pessoas Refugiadas, Deslocadas e Apátridas na América Latina e no Caribe em um Marco de Cooperação e Solidariedade (“Plano de Ação do Brasil”)</w:t>
      </w:r>
      <w:r w:rsidRPr="00D65A20">
        <w:rPr>
          <w:rFonts w:ascii="Times New Roman" w:hAnsi="Times New Roman"/>
          <w:bCs/>
          <w:szCs w:val="22"/>
          <w:lang w:val="pt-BR"/>
        </w:rPr>
        <w:t xml:space="preserve"> de 2014</w:t>
      </w:r>
      <w:r w:rsidRPr="00D65A20">
        <w:rPr>
          <w:rFonts w:ascii="Times New Roman" w:hAnsi="Times New Roman"/>
          <w:color w:val="000000"/>
          <w:szCs w:val="22"/>
          <w:lang w:val="pt-BR" w:eastAsia="es-MX"/>
        </w:rPr>
        <w:t xml:space="preserve"> </w:t>
      </w:r>
      <w:r w:rsidRPr="00D65A20">
        <w:rPr>
          <w:rFonts w:ascii="Times New Roman" w:hAnsi="Times New Roman"/>
          <w:bCs/>
          <w:szCs w:val="22"/>
          <w:lang w:val="pt-BR"/>
        </w:rPr>
        <w:t xml:space="preserve">e os valiosos compromissos adotados pelos Estados membros no âmbito do Segmento de Alto Nível sobre Apatridia, realizado em Genebra, Suíça, em outubro de 2019, com o propósito de avaliar os resultados da campanha mundial </w:t>
      </w:r>
      <w:r w:rsidRPr="00D65A20">
        <w:rPr>
          <w:rFonts w:ascii="Times New Roman" w:hAnsi="Times New Roman"/>
          <w:szCs w:val="22"/>
          <w:lang w:val="pt-BR"/>
        </w:rPr>
        <w:t xml:space="preserve">#IBelong </w:t>
      </w:r>
      <w:r w:rsidRPr="00D65A20">
        <w:rPr>
          <w:rFonts w:ascii="Times New Roman" w:hAnsi="Times New Roman"/>
          <w:bCs/>
          <w:szCs w:val="22"/>
          <w:lang w:val="pt-BR"/>
        </w:rPr>
        <w:t>e identificar os desafios e ações para o cumprimento de suas metas a cinco anos de sua adoção,</w:t>
      </w:r>
    </w:p>
    <w:p w14:paraId="1FDA5838"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pt-BR"/>
        </w:rPr>
      </w:pPr>
    </w:p>
    <w:p w14:paraId="16771A50"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pt-BR"/>
        </w:rPr>
      </w:pPr>
      <w:r w:rsidRPr="00D65A20">
        <w:rPr>
          <w:rFonts w:ascii="Times New Roman" w:hAnsi="Times New Roman"/>
          <w:bCs/>
          <w:szCs w:val="22"/>
          <w:lang w:val="pt-BR"/>
        </w:rPr>
        <w:t>RESOLVE:</w:t>
      </w:r>
    </w:p>
    <w:p w14:paraId="72392ADA"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pt-BR"/>
        </w:rPr>
      </w:pPr>
    </w:p>
    <w:p w14:paraId="162DEB74"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Cs/>
          <w:szCs w:val="22"/>
          <w:lang w:val="pt-BR"/>
        </w:rPr>
      </w:pPr>
      <w:r w:rsidRPr="00D65A20">
        <w:rPr>
          <w:rFonts w:ascii="Times New Roman" w:hAnsi="Times New Roman"/>
          <w:bCs/>
          <w:szCs w:val="22"/>
          <w:lang w:val="pt-BR"/>
        </w:rPr>
        <w:t>1.</w:t>
      </w:r>
      <w:r w:rsidRPr="00D65A20">
        <w:rPr>
          <w:rFonts w:ascii="Times New Roman" w:hAnsi="Times New Roman"/>
          <w:bCs/>
          <w:szCs w:val="22"/>
          <w:lang w:val="pt-BR"/>
        </w:rPr>
        <w:tab/>
        <w:t>Reafirmar o compromisso dos Estados membros com a prevenção e a erradicação da apatridia na América e convidá-los a que continuem a implementar as ações previstas no Plano de Ação Mundial para Acabar com a Apatridia (2014–2024) e no Plano de Ação do Brasil de 2014, e a apoiar a campanha mundial #Ibelong para a eliminação da apatridia em 2024, liderada pelo Alto Comissariado das Nações Unidas para Refugiados (ACNUR), bem como os compromissos e iniciativas adotados no âmbito do Segmento de Alto Nível sobre Apatridia, realizado em 2019.</w:t>
      </w:r>
    </w:p>
    <w:p w14:paraId="7AAE7729"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pt-BR"/>
        </w:rPr>
      </w:pPr>
    </w:p>
    <w:p w14:paraId="121E5EAD"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Cs/>
          <w:szCs w:val="22"/>
          <w:lang w:val="pt-BR"/>
        </w:rPr>
      </w:pPr>
      <w:r w:rsidRPr="00D65A20">
        <w:rPr>
          <w:rFonts w:ascii="Times New Roman" w:hAnsi="Times New Roman"/>
          <w:bCs/>
          <w:szCs w:val="22"/>
          <w:lang w:val="pt-BR"/>
        </w:rPr>
        <w:lastRenderedPageBreak/>
        <w:t>2.</w:t>
      </w:r>
      <w:r w:rsidRPr="00D65A20">
        <w:rPr>
          <w:rFonts w:ascii="Times New Roman" w:hAnsi="Times New Roman"/>
          <w:bCs/>
          <w:szCs w:val="22"/>
          <w:lang w:val="pt-BR"/>
        </w:rPr>
        <w:tab/>
        <w:t>Convidar os Estados membros que ainda não o tenham feito a que considerem ratificar as convenções internacionais sobre apatridia, ou a elas aderir, conforme seja conveniente, e a que adotem ou modifiquem suas normas internas, segundo o caso, a fim de estabelecer procedimentos justos e eficientes para a determinação da apatridia e a concessão de facilidades para a naturalização das pessoas apátridas, de acordo com a legislação interna de cada país e o Direito internacional.</w:t>
      </w:r>
    </w:p>
    <w:p w14:paraId="3222D336"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pt-BR"/>
        </w:rPr>
      </w:pPr>
    </w:p>
    <w:p w14:paraId="7D0D9994"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Cs/>
          <w:szCs w:val="22"/>
          <w:lang w:val="pt-BR"/>
        </w:rPr>
      </w:pPr>
      <w:r w:rsidRPr="00D65A20">
        <w:rPr>
          <w:rFonts w:ascii="Times New Roman" w:hAnsi="Times New Roman"/>
          <w:bCs/>
          <w:szCs w:val="22"/>
          <w:lang w:val="pt-BR"/>
        </w:rPr>
        <w:t>3.</w:t>
      </w:r>
      <w:r w:rsidRPr="00D65A20">
        <w:rPr>
          <w:rFonts w:ascii="Times New Roman" w:hAnsi="Times New Roman"/>
          <w:bCs/>
          <w:szCs w:val="22"/>
          <w:lang w:val="pt-BR"/>
        </w:rPr>
        <w:tab/>
        <w:t>Exortar os Estados membros que ainda não o tenham feito a que eliminem a discriminação de gênero do regime jurídico relativo à nacionalidade; desenvolvam salvaguardas apropriadas para prevenir os casos de apatridia, em especial os que envolvam crianças, adolescentes e grupos em situação de vulnerabilidade; promovam o registro universal de nascimentos, incrementando os esforços, quando necessário, para o registro de nascimentos ocorridos em zonas de fronteira, territórios indígenas e zonas rurais de difícil acesso; e resolvam os casos de apatridia existentes,</w:t>
      </w:r>
      <w:r w:rsidRPr="00D65A20">
        <w:rPr>
          <w:rFonts w:ascii="Times New Roman" w:hAnsi="Times New Roman"/>
          <w:b/>
          <w:bCs/>
          <w:szCs w:val="22"/>
          <w:lang w:val="pt-BR"/>
        </w:rPr>
        <w:t xml:space="preserve"> </w:t>
      </w:r>
      <w:r w:rsidRPr="00D65A20">
        <w:rPr>
          <w:rFonts w:ascii="Times New Roman" w:hAnsi="Times New Roman"/>
          <w:szCs w:val="22"/>
          <w:lang w:val="pt-BR"/>
        </w:rPr>
        <w:t>em conformidade</w:t>
      </w:r>
      <w:r w:rsidRPr="00D65A20">
        <w:rPr>
          <w:rFonts w:ascii="Times New Roman" w:hAnsi="Times New Roman"/>
          <w:bCs/>
          <w:szCs w:val="22"/>
          <w:lang w:val="pt-BR"/>
        </w:rPr>
        <w:t xml:space="preserve"> com os respectivos compromissos e obrigações internacionais em matéria de direitos, especialmente em situações originadas na negação e na privação arbitrárias da nacionalidade.</w:t>
      </w:r>
    </w:p>
    <w:p w14:paraId="0DC9B03D"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0D7AD62D"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eastAsia="pt-BR"/>
        </w:rPr>
      </w:pPr>
      <w:r w:rsidRPr="00D65A20">
        <w:rPr>
          <w:rFonts w:ascii="Times New Roman" w:hAnsi="Times New Roman"/>
          <w:szCs w:val="22"/>
          <w:lang w:val="pt-BR"/>
        </w:rPr>
        <w:t xml:space="preserve">iv. </w:t>
      </w:r>
      <w:r w:rsidRPr="00D65A20">
        <w:rPr>
          <w:rFonts w:ascii="Times New Roman" w:hAnsi="Times New Roman"/>
          <w:szCs w:val="22"/>
          <w:lang w:val="pt-BR"/>
        </w:rPr>
        <w:tab/>
      </w:r>
      <w:r w:rsidRPr="00D65A20">
        <w:rPr>
          <w:rFonts w:ascii="Times New Roman" w:hAnsi="Times New Roman"/>
          <w:szCs w:val="22"/>
          <w:u w:val="single"/>
          <w:lang w:val="pt-BR"/>
        </w:rPr>
        <w:t>Registro civil universal e direito à identidade</w:t>
      </w:r>
      <w:r w:rsidRPr="00D65A20">
        <w:rPr>
          <w:rFonts w:ascii="Times New Roman" w:hAnsi="Times New Roman"/>
          <w:szCs w:val="22"/>
          <w:lang w:val="pt-BR"/>
        </w:rPr>
        <w:t xml:space="preserve"> </w:t>
      </w:r>
      <w:r w:rsidRPr="00D65A20">
        <w:rPr>
          <w:rFonts w:ascii="Times New Roman" w:eastAsia="Calibri" w:hAnsi="Times New Roman"/>
          <w:szCs w:val="22"/>
          <w:u w:val="single"/>
          <w:vertAlign w:val="superscript"/>
          <w:lang w:val="pt-BR" w:eastAsia="es-ES"/>
        </w:rPr>
        <w:footnoteReference w:id="79"/>
      </w:r>
      <w:r w:rsidRPr="00D65A20">
        <w:rPr>
          <w:rFonts w:ascii="Times New Roman" w:eastAsia="Calibri" w:hAnsi="Times New Roman"/>
          <w:color w:val="000000"/>
          <w:szCs w:val="22"/>
          <w:vertAlign w:val="superscript"/>
          <w:lang w:val="pt-BR" w:eastAsia="es-ES"/>
        </w:rPr>
        <w:t>/</w:t>
      </w:r>
    </w:p>
    <w:p w14:paraId="3C7730CC" w14:textId="77777777" w:rsidR="000933AA" w:rsidRPr="00D65A20" w:rsidRDefault="000933AA" w:rsidP="000933AA">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lang w:val="pt-BR"/>
        </w:rPr>
      </w:pPr>
    </w:p>
    <w:p w14:paraId="4397E1A5"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 xml:space="preserve">CONSIDERANDO que o reconhecimento da identidade das pessoas facilita o exercício dos direitos ao nome, à nacionalidade, à inscrição no registro civil, às relações familiares e à personalidade jurídica, entre outros direitos reconhecidos em instrumentos internacionais como a Declaração Americana dos Direitos e Deveres do Homem e a Convenção Americana sobre Direitos Humanos, e entendendo que o exercício desses direitos é essencial para a consolidação de toda sociedade democrática; </w:t>
      </w:r>
    </w:p>
    <w:p w14:paraId="34B8411F"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1BA7155C" w14:textId="17B1840F"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CONSIDERANDO TAMBÉM que a Agenda para o Desenvolvimento Sustentável 2030, em seu Objetivo 16: Promover sociedades justas, pacíficas e inclusivas, prevê uma meta específica relativa ao registro de nascimentos. A Meta 16.9 propõe “[a]té 2030, fornecer identidade legal para todos, incluindo o registro de nascimento”;</w:t>
      </w:r>
    </w:p>
    <w:p w14:paraId="73EB2EC1"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lang w:val="pt-BR"/>
        </w:rPr>
      </w:pPr>
    </w:p>
    <w:p w14:paraId="206D9521"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 xml:space="preserve">RECONHECENDO o trabalho realizado pelo Programa de Universalização da Identidade Civil nas Américas (PUICA) em apoio aos esforços dos Estados membros para diminuir o sub-registro de nascimentos na região e o pleno reconhecimento do direito à identidade; e </w:t>
      </w:r>
    </w:p>
    <w:p w14:paraId="26FEE5F0"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1BC7DE97"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REAFIRMANDO o esforço e o compromisso dos Estados membros para fortalecer seus sistemas de registro civil e assegurar uma identidade legal para todos, e os compromissos e iniciativas adotados no marco do Segmento de Alto Nível sobre Apatridia, realizado em 2019, inclusive os compromissos apresentados pelo Conselho Latino-Americano e do Caribe de Registro Civil, Identidade e Estatísticas Vitais (CLARCIEV) no referido Segmento, bem como na Declaração de Santiago sobre Inovação e Cooperação para Fechar Lacunas em Identidade Civil de 2019,</w:t>
      </w:r>
    </w:p>
    <w:p w14:paraId="5DB2F562"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357CA916"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D65A20">
        <w:rPr>
          <w:rFonts w:ascii="Times New Roman" w:hAnsi="Times New Roman"/>
          <w:szCs w:val="22"/>
          <w:lang w:val="pt-BR"/>
        </w:rPr>
        <w:t>RESOLVE:</w:t>
      </w:r>
    </w:p>
    <w:p w14:paraId="0A6F8DD5"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74A0D9E0"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1.</w:t>
      </w:r>
      <w:r w:rsidRPr="00D65A20">
        <w:rPr>
          <w:rFonts w:ascii="Times New Roman" w:hAnsi="Times New Roman"/>
          <w:szCs w:val="22"/>
          <w:lang w:val="pt-BR"/>
        </w:rPr>
        <w:tab/>
        <w:t xml:space="preserve">Encarregar a Secretaria-Geral de, por meio de seu Programa de Universalização da Identidade Civil nas Américas (PUICA) e do Conselho Latino-Americano e do Caribe de Registro </w:t>
      </w:r>
      <w:r w:rsidRPr="00D65A20">
        <w:rPr>
          <w:rFonts w:ascii="Times New Roman" w:hAnsi="Times New Roman"/>
          <w:szCs w:val="22"/>
          <w:lang w:val="pt-BR"/>
        </w:rPr>
        <w:lastRenderedPageBreak/>
        <w:t xml:space="preserve">Civil, Identidade e Estatísticas Vitais (CLARCIEV), continuar proporcionando assistência aos Estados membros que o solicitarem para o fortalecimento de seus sistemas de registro civil, a fim de promover a proteção e a garantia do direito à identidade, do registro universal de nascimento, óbito e demais atos do estado civil e a interconexão entre os sistemas de registro e os sistemas de identidade nacional, com vistas a </w:t>
      </w:r>
      <w:r w:rsidRPr="00D65A20">
        <w:rPr>
          <w:rFonts w:ascii="Times New Roman" w:hAnsi="Times New Roman"/>
          <w:bCs/>
          <w:szCs w:val="22"/>
          <w:lang w:val="pt-BR"/>
        </w:rPr>
        <w:t>assegurar</w:t>
      </w:r>
      <w:r w:rsidRPr="00D65A20">
        <w:rPr>
          <w:rFonts w:ascii="Times New Roman" w:hAnsi="Times New Roman"/>
          <w:szCs w:val="22"/>
          <w:lang w:val="pt-BR"/>
        </w:rPr>
        <w:t xml:space="preserve"> uma identidade legal para todos e, assim, fortalecer a proteção de todos os direitos humanos, especialmente dos direitos das populações em condição de vulnerabilidade, deslocadas e/ou historicamente discriminadas, bem como prevenir e erradicar a apatridia e permitir o acesso universal e equitativo a serviços públicos essenciais.</w:t>
      </w:r>
    </w:p>
    <w:p w14:paraId="59D35ABD"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1C4CE1F3" w14:textId="77777777" w:rsidR="000933AA" w:rsidRPr="00D65A20" w:rsidRDefault="000933AA" w:rsidP="000933AA">
      <w:pPr>
        <w:widowControl/>
        <w:ind w:firstLine="720"/>
        <w:rPr>
          <w:rFonts w:ascii="Times New Roman" w:hAnsi="Times New Roman"/>
          <w:szCs w:val="22"/>
          <w:lang w:val="pt-BR"/>
        </w:rPr>
      </w:pPr>
      <w:r w:rsidRPr="00D65A20">
        <w:rPr>
          <w:rFonts w:ascii="Times New Roman" w:hAnsi="Times New Roman"/>
          <w:szCs w:val="22"/>
          <w:lang w:val="pt-BR"/>
        </w:rPr>
        <w:t>2.</w:t>
      </w:r>
      <w:r w:rsidRPr="00D65A20">
        <w:rPr>
          <w:rFonts w:ascii="Times New Roman" w:hAnsi="Times New Roman"/>
          <w:szCs w:val="22"/>
          <w:lang w:val="pt-BR"/>
        </w:rPr>
        <w:tab/>
        <w:t>Instar todos os Estados membros a que, de acordo com sua legislação nacional, promovam o acesso de todas as pessoas a documentos de identidade, mediante a implementação de sistemas efetivos e interoperáveis de registro civil, de identificação e de estatísticas vitais, incluindo procedimentos simplificados, gratuitos e não discriminatórios, que respeitem a diversidade cultural, dispensando-se cuidado especial à proteção das informações pessoais e aplicando-se um enfoque integrado e diferenciado de gênero, idade e direitos.</w:t>
      </w:r>
    </w:p>
    <w:p w14:paraId="4C84E039"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209AC659"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u w:val="single"/>
          <w:lang w:val="pt-BR"/>
        </w:rPr>
      </w:pPr>
      <w:r w:rsidRPr="00D65A20">
        <w:rPr>
          <w:rFonts w:ascii="Times New Roman" w:hAnsi="Times New Roman"/>
          <w:szCs w:val="22"/>
          <w:lang w:val="pt-BR"/>
        </w:rPr>
        <w:t>v.</w:t>
      </w:r>
      <w:r w:rsidRPr="00D65A20">
        <w:rPr>
          <w:rFonts w:ascii="Times New Roman" w:hAnsi="Times New Roman"/>
          <w:szCs w:val="22"/>
          <w:lang w:val="pt-BR"/>
        </w:rPr>
        <w:tab/>
      </w:r>
      <w:r w:rsidRPr="00D65A20">
        <w:rPr>
          <w:rFonts w:ascii="Times New Roman" w:hAnsi="Times New Roman"/>
          <w:szCs w:val="22"/>
          <w:u w:val="single"/>
          <w:lang w:val="pt-BR"/>
        </w:rPr>
        <w:t>Defensoras e defensores de direitos humanos</w:t>
      </w:r>
    </w:p>
    <w:p w14:paraId="6CB7FD6D"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982282B"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CONSIDERANDO a histórica preocupação dos Estados membros com as situações que impedem ou dificultam as tarefas das defensoras e defensores dos direitos humanos nos planos nacional e regional nas Américas [AG/RES. 1671 (XXIX-O/99)]; o dever dos Estados de respeitar, proteger e garantir os direitos humanos de todas as pessoas, entre os quais o direito a defender e promover os direitos humanos; e o importante e legítimo trabalho realizado por todas as pessoas, grupos e comunidades que, de forma não violenta, se manifestam, expressam sua opinião, denunciam publicamente abusos e violações de direitos humanos, educam sobre os direitos, buscam a justiça, a verdade, a prestação de contas e a reparação e a não repetição das violações de direitos, ou que exercem qualquer outra atividade de promoção de direitos humanos [AG/RES. 2908 (XLVII-O/17)],</w:t>
      </w:r>
    </w:p>
    <w:p w14:paraId="414BF747"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1A5A29B9"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D65A20">
        <w:rPr>
          <w:rFonts w:ascii="Times New Roman" w:hAnsi="Times New Roman"/>
          <w:szCs w:val="22"/>
          <w:lang w:val="pt-BR"/>
        </w:rPr>
        <w:t>RESOLVE:</w:t>
      </w:r>
    </w:p>
    <w:p w14:paraId="0FFF6A4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549C4DD4"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i/>
          <w:szCs w:val="22"/>
          <w:lang w:val="pt-BR"/>
        </w:rPr>
      </w:pPr>
      <w:r w:rsidRPr="00D65A20">
        <w:rPr>
          <w:rFonts w:ascii="Times New Roman" w:hAnsi="Times New Roman"/>
          <w:szCs w:val="22"/>
          <w:lang w:val="pt-BR"/>
        </w:rPr>
        <w:t>1.</w:t>
      </w:r>
      <w:r w:rsidRPr="00D65A20">
        <w:rPr>
          <w:rFonts w:ascii="Times New Roman" w:hAnsi="Times New Roman"/>
          <w:szCs w:val="22"/>
          <w:lang w:val="pt-BR"/>
        </w:rPr>
        <w:tab/>
        <w:t xml:space="preserve">Reconhecer a tarefa que as pessoas defensoras de direitos humanos desenvolvem nos planos local, nacional e regional, e sua valiosa contribuição para a promoção, o respeito e a proteção dos direitos humanos. </w:t>
      </w:r>
    </w:p>
    <w:p w14:paraId="0B628E6B"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5EFE4E86" w14:textId="77777777" w:rsidR="000933AA" w:rsidRPr="00D65A20" w:rsidRDefault="000933AA" w:rsidP="000933AA">
      <w:pPr>
        <w:widowControl/>
        <w:ind w:firstLine="720"/>
        <w:rPr>
          <w:rFonts w:ascii="Times New Roman" w:hAnsi="Times New Roman"/>
          <w:szCs w:val="22"/>
          <w:lang w:val="pt-BR"/>
        </w:rPr>
      </w:pPr>
      <w:r w:rsidRPr="00D65A20">
        <w:rPr>
          <w:rFonts w:ascii="Times New Roman" w:hAnsi="Times New Roman"/>
          <w:szCs w:val="22"/>
          <w:lang w:val="pt-BR"/>
        </w:rPr>
        <w:t>2.</w:t>
      </w:r>
      <w:r w:rsidRPr="00D65A20">
        <w:rPr>
          <w:rFonts w:ascii="Times New Roman" w:hAnsi="Times New Roman"/>
          <w:szCs w:val="22"/>
          <w:lang w:val="pt-BR"/>
        </w:rPr>
        <w:tab/>
        <w:t>Instar os Estados membros a que incorporem e apliquem medidas de proteção integral, inclusive proteções diferenciadas e coletivas, e uma perspectiva de gênero nos planos, nos programas e nas políticas sobre prevenção da violência contra as pessoas defensoras dos direitos humanos e na proteção de pessoas defensoras, inclusive comunicadores e ambientalistas, bem como seus familiares, consistentes com a nova realidade gerada pela pandemia, com o objetivo de que as referidas pessoas possam realizar suas atividades relacionadas à defesa dos direitos humanos com a devida segurança, em especial para garantir uma proteção efetiva das mulheres defensoras nas Américas.</w:t>
      </w:r>
      <w:r w:rsidRPr="00D65A20">
        <w:rPr>
          <w:rFonts w:ascii="Times New Roman" w:hAnsi="Times New Roman"/>
          <w:b/>
          <w:i/>
          <w:szCs w:val="22"/>
          <w:lang w:val="pt-BR"/>
        </w:rPr>
        <w:t xml:space="preserve"> </w:t>
      </w:r>
    </w:p>
    <w:p w14:paraId="5D175899"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3AED154"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szCs w:val="22"/>
          <w:lang w:val="pt-BR"/>
        </w:rPr>
      </w:pPr>
      <w:r w:rsidRPr="00D65A20">
        <w:rPr>
          <w:rFonts w:ascii="Times New Roman" w:hAnsi="Times New Roman"/>
          <w:szCs w:val="22"/>
          <w:lang w:val="pt-BR"/>
        </w:rPr>
        <w:t>3.</w:t>
      </w:r>
      <w:r w:rsidRPr="00D65A20">
        <w:rPr>
          <w:rFonts w:ascii="Times New Roman" w:hAnsi="Times New Roman"/>
          <w:szCs w:val="22"/>
          <w:lang w:val="pt-BR"/>
        </w:rPr>
        <w:tab/>
        <w:t>Condenar as diversas formas de violência e discriminação, incluindo atos de represália que sofrem as pessoas defensoras dos direitos humanos nas Américas, bem como os atos que impeçam ou dificultem, direta ou indiretamente, realizar suas atividades de maneira segura, inclusive no contexto da pandemia de covid-19.</w:t>
      </w:r>
    </w:p>
    <w:p w14:paraId="44A164FF"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
          <w:szCs w:val="22"/>
          <w:lang w:val="pt-BR"/>
        </w:rPr>
      </w:pPr>
    </w:p>
    <w:p w14:paraId="3866392C"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u w:val="single"/>
          <w:lang w:val="pt-BR"/>
        </w:rPr>
      </w:pPr>
      <w:r w:rsidRPr="00D65A20">
        <w:rPr>
          <w:rFonts w:ascii="Times New Roman" w:hAnsi="Times New Roman"/>
          <w:szCs w:val="22"/>
          <w:lang w:val="pt-BR"/>
        </w:rPr>
        <w:lastRenderedPageBreak/>
        <w:t xml:space="preserve">vi. </w:t>
      </w:r>
      <w:r w:rsidRPr="00D65A20">
        <w:rPr>
          <w:rFonts w:ascii="Times New Roman" w:hAnsi="Times New Roman"/>
          <w:szCs w:val="22"/>
          <w:lang w:val="pt-BR"/>
        </w:rPr>
        <w:tab/>
      </w:r>
      <w:r w:rsidRPr="00D65A20">
        <w:rPr>
          <w:rFonts w:ascii="Times New Roman" w:hAnsi="Times New Roman"/>
          <w:szCs w:val="22"/>
          <w:u w:val="single"/>
          <w:lang w:val="pt-BR"/>
        </w:rPr>
        <w:t>Direitos da criança e do adolescente</w:t>
      </w:r>
    </w:p>
    <w:p w14:paraId="44AC1B22"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
          <w:szCs w:val="22"/>
          <w:lang w:val="pt-BR"/>
        </w:rPr>
      </w:pPr>
    </w:p>
    <w:p w14:paraId="1999D280" w14:textId="77777777" w:rsidR="000933AA" w:rsidRPr="00D65A20" w:rsidRDefault="000933AA" w:rsidP="000933AA">
      <w:pPr>
        <w:widowControl/>
        <w:ind w:firstLine="720"/>
        <w:rPr>
          <w:rFonts w:ascii="Times New Roman" w:hAnsi="Times New Roman"/>
          <w:szCs w:val="22"/>
          <w:lang w:val="pt-BR"/>
        </w:rPr>
      </w:pPr>
      <w:r w:rsidRPr="00D65A20">
        <w:rPr>
          <w:rFonts w:ascii="Times New Roman" w:hAnsi="Times New Roman"/>
          <w:iCs/>
          <w:caps/>
          <w:color w:val="000000"/>
          <w:szCs w:val="22"/>
          <w:lang w:val="pt-BR"/>
        </w:rPr>
        <w:t>Considerando</w:t>
      </w:r>
      <w:r w:rsidRPr="00D65A20">
        <w:rPr>
          <w:rFonts w:ascii="Times New Roman" w:hAnsi="Times New Roman"/>
          <w:color w:val="000000"/>
          <w:szCs w:val="22"/>
          <w:lang w:val="pt-BR"/>
        </w:rPr>
        <w:t xml:space="preserve"> a atenção dada a crianças e adolescentes pelo Instituto Interamericano da Criança e do Adolescente (IIN) no que se refere à situação da infância e da adolescência na região e ao impacto que a recente pandemia teve sobre suas condições de vida e o acesso a direitos, em especial nos grupos e populações mais vulneráveis;</w:t>
      </w:r>
      <w:r w:rsidRPr="00D65A20">
        <w:rPr>
          <w:rFonts w:ascii="Times New Roman" w:hAnsi="Times New Roman"/>
          <w:szCs w:val="22"/>
          <w:lang w:val="pt-BR"/>
        </w:rPr>
        <w:t xml:space="preserve"> </w:t>
      </w:r>
    </w:p>
    <w:p w14:paraId="3D2D4899"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i/>
          <w:color w:val="000000"/>
          <w:szCs w:val="22"/>
          <w:lang w:val="pt-BR"/>
        </w:rPr>
      </w:pPr>
    </w:p>
    <w:p w14:paraId="0D46F618"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i/>
          <w:color w:val="000000"/>
          <w:szCs w:val="22"/>
          <w:lang w:val="pt-BR"/>
        </w:rPr>
      </w:pPr>
      <w:r w:rsidRPr="00D65A20">
        <w:rPr>
          <w:rFonts w:ascii="Times New Roman" w:hAnsi="Times New Roman"/>
          <w:bCs/>
          <w:color w:val="000000"/>
          <w:szCs w:val="22"/>
          <w:lang w:val="pt-BR"/>
        </w:rPr>
        <w:t>REITERANDO a necessidade de incorporar perspectiva de proteção integral e de gênero em todos os programas e políticas relativos às crianças e adolescentes, com vistas à garantia e proteção de seus direitos sem distinção por motivo de raça, cor, sexo, deficiência, origem nacional ou social, ou qualquer outra condição da criança, de seus pais ou de seus representantes legais; e</w:t>
      </w:r>
      <w:r w:rsidRPr="00D65A20">
        <w:rPr>
          <w:rFonts w:ascii="Times New Roman" w:hAnsi="Times New Roman"/>
          <w:b/>
          <w:color w:val="000000"/>
          <w:szCs w:val="22"/>
          <w:lang w:val="pt-BR"/>
        </w:rPr>
        <w:t xml:space="preserve"> </w:t>
      </w:r>
    </w:p>
    <w:p w14:paraId="765BA865"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color w:val="000000"/>
          <w:szCs w:val="22"/>
          <w:lang w:val="pt-BR"/>
        </w:rPr>
      </w:pPr>
    </w:p>
    <w:p w14:paraId="355814F1"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lang w:val="pt-BR"/>
        </w:rPr>
      </w:pPr>
      <w:r w:rsidRPr="00D65A20">
        <w:rPr>
          <w:rFonts w:ascii="Times New Roman" w:hAnsi="Times New Roman"/>
          <w:b/>
          <w:color w:val="000000"/>
          <w:szCs w:val="22"/>
          <w:lang w:val="pt-BR"/>
        </w:rPr>
        <w:tab/>
      </w:r>
      <w:r w:rsidRPr="00D65A20">
        <w:rPr>
          <w:rFonts w:ascii="Times New Roman" w:hAnsi="Times New Roman"/>
          <w:color w:val="000000"/>
          <w:szCs w:val="22"/>
          <w:lang w:val="pt-BR"/>
        </w:rPr>
        <w:t>REAFIRMANDO o compromisso dos Estados membros com a prevenção, a sanção e a erradicação de todo tipo de abuso e violência contra as crianças e os adolescentes em todos os âmbitos de sua vida como uma prioridade hemisférica</w:t>
      </w:r>
      <w:r w:rsidRPr="00D65A20">
        <w:rPr>
          <w:rFonts w:ascii="Times New Roman" w:hAnsi="Times New Roman"/>
          <w:b/>
          <w:bCs/>
          <w:color w:val="000000"/>
          <w:szCs w:val="22"/>
          <w:lang w:val="pt-BR"/>
        </w:rPr>
        <w:t xml:space="preserve">, </w:t>
      </w:r>
      <w:r w:rsidRPr="00D65A20">
        <w:rPr>
          <w:rFonts w:ascii="Times New Roman" w:hAnsi="Times New Roman"/>
          <w:bCs/>
          <w:color w:val="000000"/>
          <w:szCs w:val="22"/>
          <w:lang w:val="pt-BR"/>
        </w:rPr>
        <w:t>que, por sua importância, deve ser objeto de um diagnóstico regional com vistas à adoção de medidas ulteriores, incluídas a necessidade e a importância de um possível instrumento interamericano,</w:t>
      </w:r>
      <w:r w:rsidRPr="00D65A20">
        <w:rPr>
          <w:rFonts w:ascii="Times New Roman" w:hAnsi="Times New Roman"/>
          <w:b/>
          <w:color w:val="000000"/>
          <w:szCs w:val="22"/>
          <w:lang w:val="pt-BR"/>
        </w:rPr>
        <w:t xml:space="preserve"> </w:t>
      </w:r>
    </w:p>
    <w:p w14:paraId="0F282AE9"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1302D974"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D65A20">
        <w:rPr>
          <w:rFonts w:ascii="Times New Roman" w:hAnsi="Times New Roman"/>
          <w:szCs w:val="22"/>
          <w:lang w:val="pt-BR"/>
        </w:rPr>
        <w:t>RESOLVE:</w:t>
      </w:r>
    </w:p>
    <w:p w14:paraId="6F5D0271"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5E3397F1"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szCs w:val="22"/>
          <w:lang w:val="pt-BR"/>
        </w:rPr>
      </w:pPr>
      <w:r w:rsidRPr="00D65A20">
        <w:rPr>
          <w:rFonts w:ascii="Times New Roman" w:hAnsi="Times New Roman"/>
          <w:szCs w:val="22"/>
          <w:lang w:val="pt-BR"/>
        </w:rPr>
        <w:t>1.</w:t>
      </w:r>
      <w:r w:rsidRPr="00D65A20">
        <w:rPr>
          <w:rFonts w:ascii="Times New Roman" w:hAnsi="Times New Roman"/>
          <w:szCs w:val="22"/>
          <w:lang w:val="pt-BR"/>
        </w:rPr>
        <w:tab/>
        <w:t>Exortar os Estados membros a que, diante da pandemia de covid-19, reforcem as medidas necessárias para garantir às crianças e adolescentes o direito à vida, à educação</w:t>
      </w:r>
      <w:r w:rsidRPr="00D65A20">
        <w:rPr>
          <w:rFonts w:ascii="Times New Roman" w:hAnsi="Times New Roman"/>
          <w:bCs/>
          <w:szCs w:val="22"/>
          <w:lang w:val="pt-BR"/>
        </w:rPr>
        <w:t>, à alimentação, à moradia e à saúde, inclusive a saúde mental, intensificando esforços para a adoção de ações específicas para proteger sua integridade pessoal, considerando, ademais, as características da violência e do abuso</w:t>
      </w:r>
      <w:r w:rsidRPr="00D65A20">
        <w:rPr>
          <w:rFonts w:ascii="Times New Roman" w:hAnsi="Times New Roman"/>
          <w:b/>
          <w:szCs w:val="22"/>
          <w:lang w:val="pt-BR"/>
        </w:rPr>
        <w:t xml:space="preserve"> </w:t>
      </w:r>
      <w:r w:rsidRPr="00D65A20">
        <w:rPr>
          <w:rFonts w:ascii="Times New Roman" w:hAnsi="Times New Roman"/>
          <w:szCs w:val="22"/>
          <w:lang w:val="pt-BR"/>
        </w:rPr>
        <w:t>sexual contra as meninas, e oferecendo às famílias em condição de pobreza os meios necessários para exercer seu direito a um nível de vida digno e adequado.</w:t>
      </w:r>
      <w:r w:rsidRPr="00D65A20">
        <w:rPr>
          <w:rFonts w:ascii="Times New Roman" w:hAnsi="Times New Roman"/>
          <w:szCs w:val="22"/>
          <w:u w:val="single"/>
          <w:vertAlign w:val="superscript"/>
          <w:lang w:val="pt-BR"/>
        </w:rPr>
        <w:footnoteReference w:id="80"/>
      </w:r>
      <w:r w:rsidRPr="00D65A20">
        <w:rPr>
          <w:rFonts w:ascii="Times New Roman" w:hAnsi="Times New Roman"/>
          <w:szCs w:val="22"/>
          <w:vertAlign w:val="superscript"/>
          <w:lang w:val="pt-BR"/>
        </w:rPr>
        <w:t>/</w:t>
      </w:r>
      <w:r w:rsidRPr="00D65A20">
        <w:rPr>
          <w:rFonts w:ascii="Times New Roman" w:hAnsi="Times New Roman"/>
          <w:szCs w:val="22"/>
          <w:lang w:val="pt-BR"/>
        </w:rPr>
        <w:t xml:space="preserve"> </w:t>
      </w:r>
    </w:p>
    <w:p w14:paraId="7C58F228"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lang w:val="pt-BR"/>
        </w:rPr>
      </w:pPr>
    </w:p>
    <w:p w14:paraId="7B4EE12A"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2.</w:t>
      </w:r>
      <w:r w:rsidRPr="00D65A20">
        <w:rPr>
          <w:rFonts w:ascii="Times New Roman" w:hAnsi="Times New Roman"/>
          <w:szCs w:val="22"/>
          <w:lang w:val="pt-BR"/>
        </w:rPr>
        <w:tab/>
        <w:t xml:space="preserve">Instar os Estados membros a que continuem fortalecendo suas instituições e suas políticas públicas para a promoção, a proteção e a restituição de direitos às crianças e adolescentes, no âmbito de sistemas de proteção integral baseados na articulação intersetorial, buscando destinar o máximo de seus recursos disponíveis à efetividade desses direitos. </w:t>
      </w:r>
    </w:p>
    <w:p w14:paraId="1C20F32F"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iCs/>
          <w:szCs w:val="22"/>
          <w:lang w:val="pt-BR"/>
        </w:rPr>
      </w:pPr>
    </w:p>
    <w:p w14:paraId="371E0D58" w14:textId="7D122149"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b/>
          <w:szCs w:val="22"/>
          <w:lang w:val="pt-BR"/>
        </w:rPr>
      </w:pPr>
      <w:r w:rsidRPr="00D65A20">
        <w:rPr>
          <w:rFonts w:ascii="Times New Roman" w:hAnsi="Times New Roman"/>
          <w:iCs/>
          <w:szCs w:val="22"/>
          <w:lang w:val="pt-BR"/>
        </w:rPr>
        <w:t>3.</w:t>
      </w:r>
      <w:r w:rsidRPr="00D65A20">
        <w:rPr>
          <w:rFonts w:ascii="Times New Roman" w:hAnsi="Times New Roman"/>
          <w:iCs/>
          <w:szCs w:val="22"/>
          <w:lang w:val="pt-BR"/>
        </w:rPr>
        <w:tab/>
        <w:t>Acolher</w:t>
      </w:r>
      <w:r w:rsidRPr="00D65A20">
        <w:rPr>
          <w:rFonts w:ascii="Times New Roman" w:hAnsi="Times New Roman"/>
          <w:szCs w:val="22"/>
          <w:lang w:val="pt-BR"/>
        </w:rPr>
        <w:t xml:space="preserve"> com satisfação o trabalho que o Instituto Interamericano da Criança e do Adolescente (IIN) realiza como organismo especializado da </w:t>
      </w:r>
      <w:r w:rsidR="001F6D1D">
        <w:rPr>
          <w:rFonts w:ascii="Times New Roman" w:hAnsi="Times New Roman"/>
          <w:szCs w:val="22"/>
          <w:lang w:val="pt-BR"/>
        </w:rPr>
        <w:t>Organização dos Estados Americanos (</w:t>
      </w:r>
      <w:r w:rsidRPr="00D65A20">
        <w:rPr>
          <w:rFonts w:ascii="Times New Roman" w:hAnsi="Times New Roman"/>
          <w:szCs w:val="22"/>
          <w:lang w:val="pt-BR"/>
        </w:rPr>
        <w:t>OEA</w:t>
      </w:r>
      <w:r w:rsidR="001F6D1D">
        <w:rPr>
          <w:rFonts w:ascii="Times New Roman" w:hAnsi="Times New Roman"/>
          <w:szCs w:val="22"/>
          <w:lang w:val="pt-BR"/>
        </w:rPr>
        <w:t>)</w:t>
      </w:r>
      <w:r w:rsidRPr="00D65A20">
        <w:rPr>
          <w:rFonts w:ascii="Times New Roman" w:hAnsi="Times New Roman"/>
          <w:szCs w:val="22"/>
          <w:lang w:val="pt-BR"/>
        </w:rPr>
        <w:t xml:space="preserve"> e reconhecer seu papel de assistência técnica aos Estados membros na elaboração e implementação de políticas públicas, planos e programas para a promoção, a proteção e o exercício efetivo dos direitos humanos da infância e da adolescência.</w:t>
      </w:r>
    </w:p>
    <w:p w14:paraId="16F2B67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784E0635"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Cs/>
          <w:szCs w:val="22"/>
          <w:lang w:val="pt-BR"/>
        </w:rPr>
      </w:pPr>
      <w:r w:rsidRPr="00D65A20">
        <w:rPr>
          <w:rFonts w:ascii="Times New Roman" w:hAnsi="Times New Roman"/>
          <w:szCs w:val="22"/>
          <w:lang w:val="pt-BR"/>
        </w:rPr>
        <w:tab/>
        <w:t>4.</w:t>
      </w:r>
      <w:r w:rsidRPr="00D65A20">
        <w:rPr>
          <w:rFonts w:ascii="Times New Roman" w:hAnsi="Times New Roman"/>
          <w:szCs w:val="22"/>
          <w:lang w:val="pt-BR"/>
        </w:rPr>
        <w:tab/>
      </w:r>
      <w:r w:rsidRPr="00D65A20">
        <w:rPr>
          <w:rFonts w:ascii="Times New Roman" w:hAnsi="Times New Roman"/>
          <w:iCs/>
          <w:szCs w:val="22"/>
          <w:lang w:val="pt-BR"/>
        </w:rPr>
        <w:t>Instar os Estados membros a que reforcem e adotem as medidas necessárias e imediatas para prevenir, punir e erradicar a violência contra as crianças e adolescentes.</w:t>
      </w:r>
      <w:r w:rsidRPr="00D65A20">
        <w:rPr>
          <w:rFonts w:ascii="Times New Roman" w:hAnsi="Times New Roman"/>
          <w:i/>
          <w:szCs w:val="22"/>
          <w:lang w:val="pt-BR"/>
        </w:rPr>
        <w:t xml:space="preserve"> </w:t>
      </w:r>
    </w:p>
    <w:p w14:paraId="64511471"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158A1031"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i/>
          <w:szCs w:val="22"/>
          <w:lang w:val="pt-BR"/>
        </w:rPr>
      </w:pPr>
      <w:r w:rsidRPr="00D65A20">
        <w:rPr>
          <w:rFonts w:ascii="Times New Roman" w:hAnsi="Times New Roman"/>
          <w:iCs/>
          <w:szCs w:val="22"/>
          <w:lang w:val="pt-BR"/>
        </w:rPr>
        <w:tab/>
        <w:t xml:space="preserve">5. </w:t>
      </w:r>
      <w:r w:rsidRPr="00D65A20">
        <w:rPr>
          <w:rFonts w:ascii="Times New Roman" w:hAnsi="Times New Roman"/>
          <w:iCs/>
          <w:szCs w:val="22"/>
          <w:lang w:val="pt-BR"/>
        </w:rPr>
        <w:tab/>
        <w:t xml:space="preserve">Encarregar a Secretaria-Geral de, em consulta com os Estados membros e em colaboração com o INN e outros órgãos relevantes da OEA, realizar um diagnóstico hemisférico em matéria de prevenção, erradicação e punição do abuso e de toda forma de violência contra a infância e a adolescência que, entre outros aspectos, permita considerar a necessidade e a importância da elaboração de um instrumento interamericano específico na matéria com os recursos existentes. Esse </w:t>
      </w:r>
      <w:r w:rsidRPr="00D65A20">
        <w:rPr>
          <w:rFonts w:ascii="Times New Roman" w:hAnsi="Times New Roman"/>
          <w:iCs/>
          <w:szCs w:val="22"/>
          <w:lang w:val="pt-BR"/>
        </w:rPr>
        <w:lastRenderedPageBreak/>
        <w:t>diagnóstico será levado ao conhecimento da Assembleia Geral em seu Quinquagésimo Primeiro Período Ordinário de Sessões, por intermédio da Comissão de Assuntos Jurídicos e Políticos (CAJP).</w:t>
      </w:r>
      <w:r w:rsidRPr="00D65A20">
        <w:rPr>
          <w:rFonts w:ascii="Times New Roman" w:hAnsi="Times New Roman"/>
          <w:b/>
          <w:iCs/>
          <w:szCs w:val="22"/>
          <w:lang w:val="pt-BR"/>
        </w:rPr>
        <w:t xml:space="preserve"> </w:t>
      </w:r>
    </w:p>
    <w:p w14:paraId="6C9BD2CF"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30F33314"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color w:val="FF0000"/>
          <w:szCs w:val="22"/>
          <w:lang w:val="pt-BR"/>
        </w:rPr>
      </w:pPr>
      <w:r w:rsidRPr="00D65A20">
        <w:rPr>
          <w:rFonts w:ascii="Times New Roman" w:hAnsi="Times New Roman"/>
          <w:bCs/>
          <w:szCs w:val="22"/>
          <w:lang w:val="pt-BR"/>
        </w:rPr>
        <w:t>6.</w:t>
      </w:r>
      <w:r w:rsidRPr="00D65A20">
        <w:rPr>
          <w:rFonts w:ascii="Times New Roman" w:hAnsi="Times New Roman"/>
          <w:b/>
          <w:szCs w:val="22"/>
          <w:lang w:val="pt-BR"/>
        </w:rPr>
        <w:tab/>
      </w:r>
      <w:r w:rsidRPr="00D65A20">
        <w:rPr>
          <w:rFonts w:ascii="Times New Roman" w:hAnsi="Times New Roman"/>
          <w:bCs/>
          <w:iCs/>
          <w:szCs w:val="22"/>
          <w:lang w:val="pt-BR"/>
        </w:rPr>
        <w:t xml:space="preserve">Instar os </w:t>
      </w:r>
      <w:r w:rsidRPr="00D65A20">
        <w:rPr>
          <w:rFonts w:ascii="Times New Roman" w:hAnsi="Times New Roman"/>
          <w:iCs/>
          <w:szCs w:val="22"/>
          <w:lang w:val="pt-BR"/>
        </w:rPr>
        <w:t>Estados</w:t>
      </w:r>
      <w:r w:rsidRPr="00D65A20">
        <w:rPr>
          <w:rFonts w:ascii="Times New Roman" w:hAnsi="Times New Roman"/>
          <w:bCs/>
          <w:iCs/>
          <w:szCs w:val="22"/>
          <w:lang w:val="pt-BR"/>
        </w:rPr>
        <w:t xml:space="preserve"> </w:t>
      </w:r>
      <w:r w:rsidRPr="00D65A20">
        <w:rPr>
          <w:rFonts w:ascii="Times New Roman" w:hAnsi="Times New Roman"/>
          <w:iCs/>
          <w:szCs w:val="22"/>
          <w:lang w:val="pt-BR"/>
        </w:rPr>
        <w:t>membros a que fortaleçam a cooperação para a proteção das crianças e dos adolescentes, bem como a promoção e a garantia dos seus direitos, especialmente em</w:t>
      </w:r>
      <w:r w:rsidRPr="00D65A20">
        <w:rPr>
          <w:rFonts w:ascii="Times New Roman" w:hAnsi="Times New Roman"/>
          <w:bCs/>
          <w:iCs/>
          <w:szCs w:val="22"/>
          <w:lang w:val="pt-BR"/>
        </w:rPr>
        <w:t xml:space="preserve"> crises e emergências humanitárias que possam agravar a sua situação de vulnerabilidade. </w:t>
      </w:r>
    </w:p>
    <w:p w14:paraId="7CFB650C"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536074F2" w14:textId="77777777" w:rsidR="000933AA" w:rsidRPr="00D65A20" w:rsidRDefault="000933AA" w:rsidP="000933AA">
      <w:pPr>
        <w:widowControl/>
        <w:ind w:right="58"/>
        <w:jc w:val="left"/>
        <w:rPr>
          <w:rFonts w:ascii="Times New Roman" w:eastAsia="MS Mincho" w:hAnsi="Times New Roman"/>
          <w:szCs w:val="22"/>
          <w:u w:val="single"/>
          <w:lang w:val="pt-BR" w:eastAsia="es-ES_tradnl"/>
        </w:rPr>
      </w:pPr>
      <w:r w:rsidRPr="00D65A20">
        <w:rPr>
          <w:rFonts w:ascii="Times New Roman" w:hAnsi="Times New Roman"/>
          <w:szCs w:val="22"/>
          <w:lang w:val="pt-BR"/>
        </w:rPr>
        <w:t>vii.</w:t>
      </w:r>
      <w:r w:rsidRPr="00D65A20">
        <w:rPr>
          <w:rFonts w:ascii="Times New Roman" w:hAnsi="Times New Roman"/>
          <w:szCs w:val="22"/>
          <w:lang w:val="pt-BR"/>
        </w:rPr>
        <w:tab/>
      </w:r>
      <w:r w:rsidRPr="00D65A20">
        <w:rPr>
          <w:rFonts w:ascii="Times New Roman" w:eastAsia="MS Mincho" w:hAnsi="Times New Roman"/>
          <w:szCs w:val="22"/>
          <w:u w:val="single"/>
          <w:lang w:val="pt-BR" w:eastAsia="es-ES_tradnl"/>
        </w:rPr>
        <w:t>Pessoas desaparecidas e o atendimento das necessidades de seus familiares</w:t>
      </w:r>
      <w:r w:rsidRPr="00D65A20">
        <w:rPr>
          <w:rFonts w:ascii="Times New Roman" w:eastAsia="MS Mincho" w:hAnsi="Times New Roman"/>
          <w:szCs w:val="22"/>
          <w:lang w:val="pt-BR" w:eastAsia="es-ES_tradnl"/>
        </w:rPr>
        <w:t xml:space="preserve"> </w:t>
      </w:r>
      <w:r w:rsidRPr="00D65A20">
        <w:rPr>
          <w:rFonts w:ascii="Times New Roman" w:hAnsi="Times New Roman"/>
          <w:szCs w:val="22"/>
          <w:u w:val="single"/>
          <w:vertAlign w:val="superscript"/>
          <w:lang w:val="pt-BR"/>
        </w:rPr>
        <w:footnoteReference w:id="81"/>
      </w:r>
      <w:r w:rsidRPr="00D65A20">
        <w:rPr>
          <w:rFonts w:ascii="Times New Roman" w:eastAsia="MS Mincho" w:hAnsi="Times New Roman"/>
          <w:szCs w:val="22"/>
          <w:vertAlign w:val="superscript"/>
          <w:lang w:val="pt-BR" w:eastAsia="es-ES_tradnl"/>
        </w:rPr>
        <w:t>/</w:t>
      </w:r>
    </w:p>
    <w:p w14:paraId="36733DDC"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7E18E182"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b/>
          <w:color w:val="000000"/>
          <w:szCs w:val="22"/>
          <w:lang w:val="pt-BR"/>
        </w:rPr>
      </w:pPr>
      <w:r w:rsidRPr="00D65A20">
        <w:rPr>
          <w:rFonts w:ascii="Times New Roman" w:eastAsia="MS Mincho" w:hAnsi="Times New Roman"/>
          <w:szCs w:val="22"/>
          <w:lang w:val="pt-BR" w:eastAsia="es-ES_tradnl"/>
        </w:rPr>
        <w:tab/>
      </w:r>
      <w:r w:rsidRPr="00D65A20">
        <w:rPr>
          <w:rFonts w:ascii="Times New Roman" w:hAnsi="Times New Roman"/>
          <w:szCs w:val="22"/>
          <w:lang w:val="pt-BR"/>
        </w:rPr>
        <w:t xml:space="preserve">REAFIRMANDO a responsabilidade dos Estados membros de continuar envidando os esforços necessários para aliviar o sofrimento, a ansiedade e a incerteza em que vivem os familiares das pessoas dadas por desaparecidas, em virtude de situações de conflito armado, de violência armada, de migrações ou </w:t>
      </w:r>
      <w:r w:rsidRPr="00D65A20">
        <w:rPr>
          <w:rFonts w:ascii="Times New Roman" w:hAnsi="Times New Roman"/>
          <w:bCs/>
          <w:szCs w:val="22"/>
          <w:lang w:val="pt-BR"/>
        </w:rPr>
        <w:t>de</w:t>
      </w:r>
      <w:r w:rsidRPr="00D65A20">
        <w:rPr>
          <w:rFonts w:ascii="Times New Roman" w:hAnsi="Times New Roman"/>
          <w:szCs w:val="22"/>
          <w:lang w:val="pt-BR"/>
        </w:rPr>
        <w:t xml:space="preserve"> desastres naturais, ou de outro tipo, com o objetivo de responder a suas diversas necessidades bem como de satisfazer a seu direito </w:t>
      </w:r>
      <w:r w:rsidRPr="00D65A20">
        <w:rPr>
          <w:rFonts w:ascii="Times New Roman" w:hAnsi="Times New Roman"/>
          <w:bCs/>
          <w:szCs w:val="22"/>
          <w:lang w:val="pt-BR"/>
        </w:rPr>
        <w:t xml:space="preserve">à </w:t>
      </w:r>
      <w:r w:rsidRPr="00D65A20">
        <w:rPr>
          <w:rFonts w:ascii="Times New Roman" w:hAnsi="Times New Roman"/>
          <w:szCs w:val="22"/>
          <w:lang w:val="pt-BR"/>
        </w:rPr>
        <w:t xml:space="preserve">verdade, à justiça </w:t>
      </w:r>
      <w:r w:rsidRPr="00D65A20">
        <w:rPr>
          <w:rFonts w:ascii="Times New Roman" w:hAnsi="Times New Roman"/>
          <w:bCs/>
          <w:szCs w:val="22"/>
          <w:lang w:val="pt-BR"/>
        </w:rPr>
        <w:t xml:space="preserve">e, quando procedente, </w:t>
      </w:r>
      <w:r w:rsidRPr="00D65A20">
        <w:rPr>
          <w:rFonts w:ascii="Times New Roman" w:hAnsi="Times New Roman"/>
          <w:szCs w:val="22"/>
          <w:lang w:val="pt-BR"/>
        </w:rPr>
        <w:t>à reparação pelo dano causado,</w:t>
      </w:r>
    </w:p>
    <w:p w14:paraId="1B902819" w14:textId="77777777" w:rsidR="000933AA" w:rsidRPr="00D65A20" w:rsidRDefault="000933AA" w:rsidP="000933AA">
      <w:pPr>
        <w:widowControl/>
        <w:ind w:right="61"/>
        <w:rPr>
          <w:rFonts w:ascii="Times New Roman" w:eastAsia="MS Mincho" w:hAnsi="Times New Roman"/>
          <w:szCs w:val="22"/>
          <w:lang w:val="pt-BR" w:eastAsia="es-ES_tradnl"/>
        </w:rPr>
      </w:pPr>
    </w:p>
    <w:p w14:paraId="045F01E8" w14:textId="77777777" w:rsidR="000933AA" w:rsidRPr="00D65A20" w:rsidRDefault="000933AA" w:rsidP="000933AA">
      <w:pPr>
        <w:widowControl/>
        <w:ind w:right="61"/>
        <w:rPr>
          <w:rFonts w:ascii="Times New Roman" w:eastAsia="MS Mincho" w:hAnsi="Times New Roman"/>
          <w:szCs w:val="22"/>
          <w:lang w:val="pt-BR"/>
        </w:rPr>
      </w:pPr>
      <w:r w:rsidRPr="00D65A20">
        <w:rPr>
          <w:rFonts w:ascii="Times New Roman" w:hAnsi="Times New Roman"/>
          <w:szCs w:val="22"/>
          <w:lang w:val="pt-BR"/>
        </w:rPr>
        <w:t>RESOLVE:</w:t>
      </w:r>
    </w:p>
    <w:p w14:paraId="4BD8C4F2" w14:textId="77777777" w:rsidR="000933AA" w:rsidRPr="00D65A20" w:rsidRDefault="000933AA" w:rsidP="000933AA">
      <w:pPr>
        <w:widowControl/>
        <w:ind w:right="58"/>
        <w:rPr>
          <w:rFonts w:ascii="Times New Roman" w:eastAsia="MS Mincho" w:hAnsi="Times New Roman"/>
          <w:szCs w:val="22"/>
          <w:lang w:val="pt-BR" w:eastAsia="es-ES_tradnl"/>
        </w:rPr>
      </w:pPr>
    </w:p>
    <w:p w14:paraId="5608636F"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b/>
          <w:color w:val="000000"/>
          <w:szCs w:val="22"/>
          <w:lang w:val="pt-BR"/>
        </w:rPr>
      </w:pPr>
      <w:r w:rsidRPr="00D65A20">
        <w:rPr>
          <w:rFonts w:ascii="Times New Roman" w:hAnsi="Times New Roman"/>
          <w:szCs w:val="22"/>
          <w:lang w:val="pt-BR"/>
        </w:rPr>
        <w:t>1.</w:t>
      </w:r>
      <w:r w:rsidRPr="00D65A20">
        <w:rPr>
          <w:rFonts w:ascii="Times New Roman" w:hAnsi="Times New Roman"/>
          <w:szCs w:val="22"/>
          <w:lang w:val="pt-BR"/>
        </w:rPr>
        <w:tab/>
        <w:t xml:space="preserve">Instar os Estados membros a que, </w:t>
      </w:r>
      <w:r w:rsidRPr="00D65A20">
        <w:rPr>
          <w:rFonts w:ascii="Times New Roman" w:hAnsi="Times New Roman"/>
          <w:bCs/>
          <w:szCs w:val="22"/>
          <w:lang w:val="pt-BR"/>
        </w:rPr>
        <w:t>em conformidade</w:t>
      </w:r>
      <w:r w:rsidRPr="00D65A20">
        <w:rPr>
          <w:rFonts w:ascii="Times New Roman" w:hAnsi="Times New Roman"/>
          <w:szCs w:val="22"/>
          <w:lang w:val="pt-BR"/>
        </w:rPr>
        <w:t xml:space="preserve"> com suas obrigações em matéria de Direito internacional humanitário e Direito internacional dos direitos humanos, e levando em consideração a jurisprudência na matéria, continuem a adotar progressivamente medidas como a aprovação de leis, protocolos, diretrizes e outras disposições nacionais de caráter normativo e institucional, destinadas a:</w:t>
      </w:r>
      <w:r w:rsidRPr="00D65A20">
        <w:rPr>
          <w:rFonts w:ascii="Times New Roman" w:hAnsi="Times New Roman"/>
          <w:i/>
          <w:szCs w:val="22"/>
          <w:lang w:val="pt-BR"/>
        </w:rPr>
        <w:t xml:space="preserve"> </w:t>
      </w:r>
    </w:p>
    <w:p w14:paraId="1ADB8C44" w14:textId="77777777" w:rsidR="000933AA" w:rsidRPr="00D65A20" w:rsidRDefault="000933AA" w:rsidP="000933AA">
      <w:pPr>
        <w:widowControl/>
        <w:ind w:right="58"/>
        <w:rPr>
          <w:rFonts w:ascii="Times New Roman" w:eastAsia="MS Mincho" w:hAnsi="Times New Roman"/>
          <w:szCs w:val="22"/>
          <w:lang w:val="pt-BR" w:eastAsia="es-ES_tradnl"/>
        </w:rPr>
      </w:pPr>
    </w:p>
    <w:p w14:paraId="73A0D89A" w14:textId="77777777" w:rsidR="000933AA" w:rsidRPr="00D65A20" w:rsidRDefault="000933AA" w:rsidP="000933AA">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2160" w:right="62" w:hanging="720"/>
        <w:rPr>
          <w:rFonts w:ascii="Times New Roman" w:eastAsia="MS Mincho" w:hAnsi="Times New Roman"/>
          <w:szCs w:val="22"/>
          <w:lang w:val="pt-BR"/>
        </w:rPr>
      </w:pPr>
      <w:r w:rsidRPr="00D65A20">
        <w:rPr>
          <w:rFonts w:ascii="Times New Roman" w:hAnsi="Times New Roman"/>
          <w:szCs w:val="22"/>
          <w:lang w:val="pt-BR"/>
        </w:rPr>
        <w:t xml:space="preserve">prevenir o desaparecimento de pessoas, com particular atenção ao relacionado a </w:t>
      </w:r>
      <w:r w:rsidRPr="00D65A20">
        <w:rPr>
          <w:rFonts w:ascii="Times New Roman" w:hAnsi="Times New Roman"/>
          <w:bCs/>
          <w:szCs w:val="22"/>
          <w:lang w:val="pt-BR"/>
        </w:rPr>
        <w:t>membros dos</w:t>
      </w:r>
      <w:r w:rsidRPr="00D65A20">
        <w:rPr>
          <w:rFonts w:ascii="Times New Roman" w:hAnsi="Times New Roman"/>
          <w:b/>
          <w:szCs w:val="22"/>
          <w:lang w:val="pt-BR"/>
        </w:rPr>
        <w:t xml:space="preserve"> </w:t>
      </w:r>
      <w:r w:rsidRPr="00D65A20">
        <w:rPr>
          <w:rFonts w:ascii="Times New Roman" w:hAnsi="Times New Roman"/>
          <w:szCs w:val="22"/>
          <w:lang w:val="pt-BR"/>
        </w:rPr>
        <w:t xml:space="preserve">grupos em condição de vulnerabilidade, nesse contexto, incluindo </w:t>
      </w:r>
      <w:r w:rsidRPr="00D65A20">
        <w:rPr>
          <w:rFonts w:ascii="Times New Roman" w:hAnsi="Times New Roman"/>
          <w:bCs/>
          <w:szCs w:val="22"/>
          <w:lang w:val="pt-BR"/>
        </w:rPr>
        <w:t>crianças e adolescentes desacompanhados e</w:t>
      </w:r>
      <w:r w:rsidRPr="00D65A20">
        <w:rPr>
          <w:rFonts w:ascii="Times New Roman" w:hAnsi="Times New Roman"/>
          <w:b/>
          <w:szCs w:val="22"/>
          <w:lang w:val="pt-BR"/>
        </w:rPr>
        <w:t xml:space="preserve"> </w:t>
      </w:r>
      <w:r w:rsidRPr="00D65A20">
        <w:rPr>
          <w:rFonts w:ascii="Times New Roman" w:hAnsi="Times New Roman"/>
          <w:bCs/>
          <w:szCs w:val="22"/>
          <w:lang w:val="pt-BR"/>
        </w:rPr>
        <w:t>mulheres e meninas</w:t>
      </w:r>
      <w:r w:rsidRPr="00D65A20">
        <w:rPr>
          <w:rFonts w:ascii="Times New Roman" w:hAnsi="Times New Roman"/>
          <w:b/>
          <w:szCs w:val="22"/>
          <w:lang w:val="pt-BR"/>
        </w:rPr>
        <w:t xml:space="preserve"> </w:t>
      </w:r>
    </w:p>
    <w:p w14:paraId="7CA28C38" w14:textId="77777777" w:rsidR="000933AA" w:rsidRPr="00D65A20" w:rsidRDefault="000933AA" w:rsidP="000933AA">
      <w:pPr>
        <w:widowControl/>
        <w:ind w:right="61" w:hanging="720"/>
        <w:rPr>
          <w:rFonts w:ascii="Times New Roman" w:eastAsia="MS Mincho" w:hAnsi="Times New Roman"/>
          <w:szCs w:val="22"/>
          <w:lang w:val="pt-BR" w:eastAsia="es-ES_tradnl"/>
        </w:rPr>
      </w:pPr>
    </w:p>
    <w:p w14:paraId="02EA3F5A" w14:textId="77777777" w:rsidR="000933AA" w:rsidRPr="00D65A20" w:rsidRDefault="000933AA" w:rsidP="000933AA">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2160" w:right="61" w:hanging="720"/>
        <w:rPr>
          <w:rFonts w:ascii="Times New Roman" w:eastAsia="MS Mincho" w:hAnsi="Times New Roman"/>
          <w:szCs w:val="22"/>
          <w:lang w:val="pt-BR"/>
        </w:rPr>
      </w:pPr>
      <w:r w:rsidRPr="00D65A20">
        <w:rPr>
          <w:rFonts w:ascii="Times New Roman" w:hAnsi="Times New Roman"/>
          <w:szCs w:val="22"/>
          <w:lang w:val="pt-BR"/>
        </w:rPr>
        <w:t xml:space="preserve">atender aos casos de migrantes desaparecidos, bem como de crianças </w:t>
      </w:r>
      <w:r w:rsidRPr="00D65A20">
        <w:rPr>
          <w:rFonts w:ascii="Times New Roman" w:hAnsi="Times New Roman"/>
          <w:bCs/>
          <w:szCs w:val="22"/>
          <w:lang w:val="pt-BR"/>
        </w:rPr>
        <w:t>e adolescentes</w:t>
      </w:r>
      <w:r w:rsidRPr="00D65A20">
        <w:rPr>
          <w:rFonts w:ascii="Times New Roman" w:hAnsi="Times New Roman"/>
          <w:szCs w:val="22"/>
          <w:lang w:val="pt-BR"/>
        </w:rPr>
        <w:t xml:space="preserve"> dados por desaparecidos, com a finalidade de buscá-los, localizá-los</w:t>
      </w:r>
      <w:r w:rsidRPr="00D65A20">
        <w:rPr>
          <w:rFonts w:ascii="Times New Roman" w:hAnsi="Times New Roman"/>
          <w:b/>
          <w:bCs/>
          <w:szCs w:val="22"/>
          <w:lang w:val="pt-BR"/>
        </w:rPr>
        <w:t xml:space="preserve"> </w:t>
      </w:r>
      <w:r w:rsidRPr="00D65A20">
        <w:rPr>
          <w:rFonts w:ascii="Times New Roman" w:hAnsi="Times New Roman"/>
          <w:szCs w:val="22"/>
          <w:lang w:val="pt-BR"/>
        </w:rPr>
        <w:t>e, caso seja possível, reuni-los a suas famílias</w:t>
      </w:r>
      <w:r w:rsidRPr="00D65A20">
        <w:rPr>
          <w:rFonts w:ascii="Times New Roman" w:hAnsi="Times New Roman"/>
          <w:b/>
          <w:szCs w:val="22"/>
          <w:lang w:val="pt-BR"/>
        </w:rPr>
        <w:t xml:space="preserve"> </w:t>
      </w:r>
      <w:r w:rsidRPr="00D65A20">
        <w:rPr>
          <w:rFonts w:ascii="Times New Roman" w:hAnsi="Times New Roman"/>
          <w:bCs/>
          <w:szCs w:val="22"/>
          <w:lang w:val="pt-BR"/>
        </w:rPr>
        <w:t>e, em caso de que tenham falecido, identificá-los e restituir seus restos a seus familiares, se possível</w:t>
      </w:r>
      <w:r w:rsidRPr="00D65A20">
        <w:rPr>
          <w:rFonts w:ascii="Times New Roman" w:hAnsi="Times New Roman"/>
          <w:szCs w:val="22"/>
          <w:lang w:val="pt-BR"/>
        </w:rPr>
        <w:t>, bem como promover a coordenação nacional e a cooperação regional de atenção técnica, judicial</w:t>
      </w:r>
      <w:r w:rsidRPr="00D65A20">
        <w:rPr>
          <w:rFonts w:ascii="Times New Roman" w:hAnsi="Times New Roman"/>
          <w:b/>
          <w:bCs/>
          <w:szCs w:val="22"/>
          <w:lang w:val="pt-BR"/>
        </w:rPr>
        <w:t xml:space="preserve"> </w:t>
      </w:r>
      <w:r w:rsidRPr="00D65A20">
        <w:rPr>
          <w:rFonts w:ascii="Times New Roman" w:hAnsi="Times New Roman"/>
          <w:bCs/>
          <w:szCs w:val="22"/>
          <w:lang w:val="pt-BR"/>
        </w:rPr>
        <w:t>e consular</w:t>
      </w:r>
      <w:r w:rsidRPr="00D65A20">
        <w:rPr>
          <w:rFonts w:ascii="Times New Roman" w:hAnsi="Times New Roman"/>
          <w:szCs w:val="22"/>
          <w:lang w:val="pt-BR"/>
        </w:rPr>
        <w:t xml:space="preserve">; </w:t>
      </w:r>
    </w:p>
    <w:p w14:paraId="6F8D0EAC" w14:textId="77777777" w:rsidR="000933AA" w:rsidRPr="00D65A20" w:rsidRDefault="000933AA" w:rsidP="000933AA">
      <w:pPr>
        <w:widowControl/>
        <w:ind w:right="61" w:hanging="720"/>
        <w:rPr>
          <w:rFonts w:ascii="Times New Roman" w:eastAsia="MS Mincho" w:hAnsi="Times New Roman"/>
          <w:szCs w:val="22"/>
          <w:lang w:val="pt-BR" w:eastAsia="es-ES_tradnl"/>
        </w:rPr>
      </w:pPr>
    </w:p>
    <w:p w14:paraId="1178D86C" w14:textId="77777777" w:rsidR="000933AA" w:rsidRPr="00D65A20" w:rsidRDefault="000933AA" w:rsidP="000933AA">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2160" w:right="61" w:hanging="720"/>
        <w:rPr>
          <w:rFonts w:ascii="Times New Roman" w:eastAsia="MS Mincho" w:hAnsi="Times New Roman"/>
          <w:szCs w:val="22"/>
          <w:lang w:val="pt-BR"/>
        </w:rPr>
      </w:pPr>
      <w:r w:rsidRPr="00D65A20">
        <w:rPr>
          <w:rFonts w:ascii="Times New Roman" w:hAnsi="Times New Roman"/>
          <w:szCs w:val="22"/>
          <w:lang w:val="pt-BR"/>
        </w:rPr>
        <w:t>esclarecer o paradeiro das pessoas desaparecidas, bem como a sorte que lhes coube, para dar pronta resposta aos familiares, avaliando a possibilidade de criar mecanismos ou órgãos, de caráter e vocação prioritariamente humanitários, que ofereçam um marco de investigação ampla e integral e, em caso de morte, priorizar o objetivo humanitário de busca e localização, e de recuperação, identificação, restituição e disposição digna dos restos humanos, sem que isso signifique renunciar ao cumprimento das obrigações de investigar, julgar e punir os responsáveis pelos desaparecimentos;</w:t>
      </w:r>
    </w:p>
    <w:p w14:paraId="64135C0F" w14:textId="77777777" w:rsidR="000933AA" w:rsidRPr="00D65A20" w:rsidRDefault="000933AA" w:rsidP="000933AA">
      <w:pPr>
        <w:widowControl/>
        <w:ind w:hanging="720"/>
        <w:rPr>
          <w:rFonts w:ascii="Times New Roman" w:eastAsia="MS Mincho" w:hAnsi="Times New Roman"/>
          <w:szCs w:val="22"/>
          <w:lang w:val="pt-BR" w:eastAsia="es-ES_tradnl"/>
        </w:rPr>
      </w:pPr>
    </w:p>
    <w:p w14:paraId="55BF8776" w14:textId="77777777" w:rsidR="000933AA" w:rsidRPr="00D65A20" w:rsidRDefault="000933AA" w:rsidP="000933AA">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2160" w:right="58" w:hanging="720"/>
        <w:contextualSpacing/>
        <w:rPr>
          <w:rFonts w:ascii="Times New Roman" w:eastAsia="MS Mincho" w:hAnsi="Times New Roman"/>
          <w:szCs w:val="22"/>
          <w:lang w:val="pt-BR"/>
        </w:rPr>
      </w:pPr>
      <w:r w:rsidRPr="00D65A20">
        <w:rPr>
          <w:rFonts w:ascii="Times New Roman" w:hAnsi="Times New Roman"/>
          <w:szCs w:val="22"/>
          <w:lang w:val="pt-BR"/>
        </w:rPr>
        <w:lastRenderedPageBreak/>
        <w:t xml:space="preserve">atender às necessidades dos familiares, relacionados com o acesso à informação acerca das possíveis causas de seu desaparecimento, tais como saber o que ocorreu com seus entes queridos, </w:t>
      </w:r>
      <w:r w:rsidRPr="00D65A20">
        <w:rPr>
          <w:rFonts w:ascii="Times New Roman" w:hAnsi="Times New Roman"/>
          <w:bCs/>
          <w:szCs w:val="22"/>
          <w:lang w:val="pt-BR"/>
        </w:rPr>
        <w:t>buscar</w:t>
      </w:r>
      <w:r w:rsidRPr="00D65A20">
        <w:rPr>
          <w:rFonts w:ascii="Times New Roman" w:hAnsi="Times New Roman"/>
          <w:szCs w:val="22"/>
          <w:lang w:val="pt-BR"/>
        </w:rPr>
        <w:t xml:space="preserve">, recuperar os restos em </w:t>
      </w:r>
      <w:r w:rsidRPr="00D65A20">
        <w:rPr>
          <w:rFonts w:ascii="Times New Roman" w:hAnsi="Times New Roman"/>
          <w:bCs/>
          <w:szCs w:val="22"/>
          <w:lang w:val="pt-BR"/>
        </w:rPr>
        <w:t>caso de falecimento</w:t>
      </w:r>
      <w:r w:rsidRPr="00D65A20">
        <w:rPr>
          <w:rFonts w:ascii="Times New Roman" w:hAnsi="Times New Roman"/>
          <w:b/>
          <w:szCs w:val="22"/>
          <w:lang w:val="pt-BR"/>
        </w:rPr>
        <w:t xml:space="preserve"> </w:t>
      </w:r>
      <w:r w:rsidRPr="00D65A20">
        <w:rPr>
          <w:rFonts w:ascii="Times New Roman" w:hAnsi="Times New Roman"/>
          <w:szCs w:val="22"/>
          <w:lang w:val="pt-BR"/>
        </w:rPr>
        <w:t xml:space="preserve">e deles dispor, e resolver os problemas legais e administrativos, mediante um marco jurídico interno integral e acessível, </w:t>
      </w:r>
      <w:r w:rsidRPr="00D65A20">
        <w:rPr>
          <w:rFonts w:ascii="Times New Roman" w:hAnsi="Times New Roman"/>
          <w:bCs/>
          <w:szCs w:val="22"/>
          <w:lang w:val="pt-BR"/>
        </w:rPr>
        <w:t>em que se reconheça a situação jurídica das pessoas desaparecidas</w:t>
      </w:r>
      <w:r w:rsidRPr="00D65A20">
        <w:rPr>
          <w:rFonts w:ascii="Times New Roman" w:hAnsi="Times New Roman"/>
          <w:szCs w:val="22"/>
          <w:lang w:val="pt-BR"/>
        </w:rPr>
        <w:t>;</w:t>
      </w:r>
      <w:r w:rsidRPr="00D65A20">
        <w:rPr>
          <w:rFonts w:ascii="Times New Roman" w:hAnsi="Times New Roman"/>
          <w:b/>
          <w:szCs w:val="22"/>
          <w:lang w:val="pt-BR"/>
        </w:rPr>
        <w:t xml:space="preserve"> </w:t>
      </w:r>
    </w:p>
    <w:p w14:paraId="2FBC95CE"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MS Mincho" w:hAnsi="Times New Roman"/>
          <w:szCs w:val="22"/>
          <w:lang w:val="pt-BR" w:eastAsia="es-ES_tradnl"/>
        </w:rPr>
      </w:pPr>
    </w:p>
    <w:p w14:paraId="70CBD4CD" w14:textId="77777777" w:rsidR="000933AA" w:rsidRPr="00D65A20" w:rsidRDefault="000933AA" w:rsidP="000933AA">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2160" w:right="58" w:hanging="720"/>
        <w:rPr>
          <w:rFonts w:ascii="Times New Roman" w:eastAsia="MS Mincho" w:hAnsi="Times New Roman"/>
          <w:szCs w:val="22"/>
          <w:lang w:val="pt-BR"/>
        </w:rPr>
      </w:pPr>
      <w:r w:rsidRPr="00D65A20">
        <w:rPr>
          <w:rFonts w:ascii="Times New Roman" w:hAnsi="Times New Roman"/>
          <w:bCs/>
          <w:szCs w:val="22"/>
          <w:lang w:val="pt-BR"/>
        </w:rPr>
        <w:t>adotar as medidas possíveis para</w:t>
      </w:r>
      <w:r w:rsidRPr="00D65A20">
        <w:rPr>
          <w:rFonts w:ascii="Times New Roman" w:hAnsi="Times New Roman"/>
          <w:b/>
          <w:bCs/>
          <w:szCs w:val="22"/>
          <w:lang w:val="pt-BR"/>
        </w:rPr>
        <w:t xml:space="preserve"> </w:t>
      </w:r>
      <w:r w:rsidRPr="00D65A20">
        <w:rPr>
          <w:rFonts w:ascii="Times New Roman" w:hAnsi="Times New Roman"/>
          <w:szCs w:val="22"/>
          <w:lang w:val="pt-BR"/>
        </w:rPr>
        <w:t>preservar a rastreabilidade</w:t>
      </w:r>
      <w:r w:rsidRPr="00D65A20">
        <w:rPr>
          <w:rFonts w:ascii="Times New Roman" w:hAnsi="Times New Roman"/>
          <w:b/>
          <w:bCs/>
          <w:szCs w:val="22"/>
          <w:lang w:val="pt-BR"/>
        </w:rPr>
        <w:t xml:space="preserve"> </w:t>
      </w:r>
      <w:r w:rsidRPr="00D65A20">
        <w:rPr>
          <w:rFonts w:ascii="Times New Roman" w:hAnsi="Times New Roman"/>
          <w:bCs/>
          <w:szCs w:val="22"/>
          <w:lang w:val="pt-BR"/>
        </w:rPr>
        <w:t>e</w:t>
      </w:r>
      <w:r w:rsidRPr="00D65A20">
        <w:rPr>
          <w:rFonts w:ascii="Times New Roman" w:hAnsi="Times New Roman"/>
          <w:b/>
          <w:bCs/>
          <w:szCs w:val="22"/>
          <w:lang w:val="pt-BR"/>
        </w:rPr>
        <w:t xml:space="preserve"> </w:t>
      </w:r>
      <w:r w:rsidRPr="00D65A20">
        <w:rPr>
          <w:rFonts w:ascii="Times New Roman" w:hAnsi="Times New Roman"/>
          <w:szCs w:val="22"/>
          <w:lang w:val="pt-BR"/>
        </w:rPr>
        <w:t xml:space="preserve">garantir o tratamento digno dos restos humanos das pessoas falecidas, identificadas ou não, e ainda não reclamados, bem como conservar a informação </w:t>
      </w:r>
      <w:r w:rsidRPr="00D65A20">
        <w:rPr>
          <w:rFonts w:ascii="Times New Roman" w:hAnsi="Times New Roman"/>
          <w:i/>
          <w:iCs/>
          <w:szCs w:val="22"/>
          <w:lang w:val="pt-BR"/>
        </w:rPr>
        <w:t>post mortem</w:t>
      </w:r>
      <w:r w:rsidRPr="00D65A20">
        <w:rPr>
          <w:rFonts w:ascii="Times New Roman" w:hAnsi="Times New Roman"/>
          <w:szCs w:val="22"/>
          <w:lang w:val="pt-BR"/>
        </w:rPr>
        <w:t xml:space="preserve"> que a eles se refira, a fim de salvaguardar a possibilidade de identificá-los e fazer que os restos humanos sejam posteriormente entregues às respectivas famílias; </w:t>
      </w:r>
    </w:p>
    <w:p w14:paraId="56AFBBED"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MS Mincho" w:hAnsi="Times New Roman"/>
          <w:szCs w:val="22"/>
          <w:lang w:val="pt-BR"/>
        </w:rPr>
      </w:pPr>
    </w:p>
    <w:p w14:paraId="2EC94BE4" w14:textId="03ADF8F4" w:rsidR="000933AA" w:rsidRPr="00D65A20" w:rsidRDefault="000933AA" w:rsidP="000933AA">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2160" w:right="58" w:hanging="720"/>
        <w:rPr>
          <w:rFonts w:ascii="Times New Roman" w:eastAsia="MS Mincho" w:hAnsi="Times New Roman"/>
          <w:szCs w:val="22"/>
          <w:lang w:val="pt-BR"/>
        </w:rPr>
      </w:pPr>
      <w:r w:rsidRPr="00D65A20">
        <w:rPr>
          <w:rFonts w:ascii="Times New Roman" w:hAnsi="Times New Roman"/>
          <w:bCs/>
          <w:szCs w:val="22"/>
          <w:lang w:val="pt-BR"/>
        </w:rPr>
        <w:t xml:space="preserve">adotar as medidas necessárias para localizar, respeitar e proteger os locais onde se poderiam encontrar restos humanos de pessoas supostamente desaparecidas, com vistas a sua identificação, recuperação e entrega digna. </w:t>
      </w:r>
    </w:p>
    <w:p w14:paraId="7B7126AB" w14:textId="77777777" w:rsidR="000933AA" w:rsidRPr="00D65A20" w:rsidRDefault="000933AA" w:rsidP="000933AA">
      <w:pPr>
        <w:widowControl/>
        <w:ind w:right="58" w:hanging="720"/>
        <w:rPr>
          <w:rFonts w:ascii="Times New Roman" w:eastAsia="MS Mincho" w:hAnsi="Times New Roman"/>
          <w:szCs w:val="22"/>
          <w:lang w:val="pt-BR" w:eastAsia="es-ES_tradnl"/>
        </w:rPr>
      </w:pPr>
    </w:p>
    <w:p w14:paraId="3EE55AD8" w14:textId="77777777" w:rsidR="000933AA" w:rsidRPr="00D65A20" w:rsidRDefault="000933AA" w:rsidP="000933AA">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2160" w:right="58" w:hanging="720"/>
        <w:rPr>
          <w:rFonts w:ascii="Times New Roman" w:eastAsia="MS Mincho" w:hAnsi="Times New Roman"/>
          <w:b/>
          <w:bCs/>
          <w:szCs w:val="22"/>
          <w:lang w:val="pt-BR"/>
        </w:rPr>
      </w:pPr>
      <w:r w:rsidRPr="00D65A20">
        <w:rPr>
          <w:rFonts w:ascii="Times New Roman" w:hAnsi="Times New Roman"/>
          <w:szCs w:val="22"/>
          <w:lang w:val="pt-BR"/>
        </w:rPr>
        <w:t xml:space="preserve">garantir a participação e a representação das vítimas e de seus familiares </w:t>
      </w:r>
      <w:r w:rsidRPr="00D65A20">
        <w:rPr>
          <w:rFonts w:ascii="Times New Roman" w:hAnsi="Times New Roman"/>
          <w:bCs/>
          <w:szCs w:val="22"/>
          <w:lang w:val="pt-BR"/>
        </w:rPr>
        <w:t>nos</w:t>
      </w:r>
      <w:r w:rsidRPr="00D65A20">
        <w:rPr>
          <w:rFonts w:ascii="Times New Roman" w:hAnsi="Times New Roman"/>
          <w:b/>
          <w:szCs w:val="22"/>
          <w:lang w:val="pt-BR"/>
        </w:rPr>
        <w:t xml:space="preserve"> </w:t>
      </w:r>
      <w:r w:rsidRPr="00D65A20">
        <w:rPr>
          <w:rFonts w:ascii="Times New Roman" w:hAnsi="Times New Roman"/>
          <w:szCs w:val="22"/>
          <w:lang w:val="pt-BR"/>
        </w:rPr>
        <w:t xml:space="preserve">processos pertinentes, além do acesso à justiça e a mecanismos que lhes possibilitem obter uma reparação integral, justa, pronta e efetiva. Do mesmo modo, garantir disposições para a proteção de vítimas e de testemunhas ante tribunais penais e outros mecanismos de justiça, cuja segurança e integridade pessoal seja afetada em consequência de suas denúncias sobre o crime de desaparecimento forçado e outros crimes que resultem no desaparecimento de pessoas; </w:t>
      </w:r>
    </w:p>
    <w:p w14:paraId="7FDAD985" w14:textId="77777777" w:rsidR="000933AA" w:rsidRPr="00D65A20" w:rsidRDefault="000933AA" w:rsidP="000933AA">
      <w:pPr>
        <w:widowControl/>
        <w:ind w:hanging="720"/>
        <w:rPr>
          <w:rFonts w:ascii="Times New Roman" w:eastAsia="MS Mincho" w:hAnsi="Times New Roman"/>
          <w:szCs w:val="22"/>
          <w:lang w:val="pt-BR" w:eastAsia="es-ES_tradnl"/>
        </w:rPr>
      </w:pPr>
    </w:p>
    <w:p w14:paraId="09D7C758" w14:textId="77777777" w:rsidR="000933AA" w:rsidRPr="00D65A20" w:rsidRDefault="000933AA" w:rsidP="000933AA">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2160" w:right="61" w:hanging="720"/>
        <w:rPr>
          <w:rFonts w:ascii="Times New Roman" w:eastAsia="MS Mincho" w:hAnsi="Times New Roman"/>
          <w:szCs w:val="22"/>
          <w:lang w:val="pt-BR"/>
        </w:rPr>
      </w:pPr>
      <w:r w:rsidRPr="00D65A20">
        <w:rPr>
          <w:rFonts w:ascii="Times New Roman" w:hAnsi="Times New Roman"/>
          <w:szCs w:val="22"/>
          <w:lang w:val="pt-BR"/>
        </w:rPr>
        <w:t xml:space="preserve">fortalecer as competências técnicas para a busca, a recuperação, </w:t>
      </w:r>
      <w:r w:rsidRPr="00D65A20">
        <w:rPr>
          <w:rFonts w:ascii="Times New Roman" w:hAnsi="Times New Roman"/>
          <w:bCs/>
          <w:szCs w:val="22"/>
          <w:lang w:val="pt-BR"/>
        </w:rPr>
        <w:t xml:space="preserve">a guarda e a análise </w:t>
      </w:r>
      <w:r w:rsidRPr="00D65A20">
        <w:rPr>
          <w:rFonts w:ascii="Times New Roman" w:hAnsi="Times New Roman"/>
          <w:szCs w:val="22"/>
          <w:lang w:val="pt-BR"/>
        </w:rPr>
        <w:t xml:space="preserve">dos restos humanos e das provas associadas, e o uso de várias ciências forenses; </w:t>
      </w:r>
    </w:p>
    <w:p w14:paraId="3607308B"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pt-BR"/>
        </w:rPr>
      </w:pPr>
    </w:p>
    <w:p w14:paraId="4CDE1977" w14:textId="77777777" w:rsidR="000933AA" w:rsidRPr="00D65A20" w:rsidRDefault="000933AA" w:rsidP="000933AA">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2160" w:right="61" w:hanging="720"/>
        <w:rPr>
          <w:rFonts w:ascii="Times New Roman" w:eastAsia="MS Mincho" w:hAnsi="Times New Roman"/>
          <w:b/>
          <w:bCs/>
          <w:szCs w:val="22"/>
          <w:lang w:val="pt-BR"/>
        </w:rPr>
      </w:pPr>
      <w:r w:rsidRPr="00D65A20">
        <w:rPr>
          <w:rFonts w:ascii="Times New Roman" w:hAnsi="Times New Roman"/>
          <w:szCs w:val="22"/>
          <w:lang w:val="pt-BR"/>
        </w:rPr>
        <w:t xml:space="preserve">fortalecer as instituições forenses e os departamentos de busca de pessoas desaparecidas com os recursos necessários (infraestrutura, equipamentos, especialistas treinados) a fim de implementar padrões e protocolos que permitam </w:t>
      </w:r>
      <w:r w:rsidRPr="00D65A20">
        <w:rPr>
          <w:rFonts w:ascii="Times New Roman" w:hAnsi="Times New Roman"/>
          <w:bCs/>
          <w:szCs w:val="22"/>
          <w:lang w:val="pt-BR"/>
        </w:rPr>
        <w:t>recuperar, resguardar e</w:t>
      </w:r>
      <w:r w:rsidRPr="00D65A20">
        <w:rPr>
          <w:rFonts w:ascii="Times New Roman" w:hAnsi="Times New Roman"/>
          <w:szCs w:val="22"/>
          <w:lang w:val="pt-BR"/>
        </w:rPr>
        <w:t xml:space="preserve"> </w:t>
      </w:r>
      <w:r w:rsidRPr="00D65A20">
        <w:rPr>
          <w:rFonts w:ascii="Times New Roman" w:hAnsi="Times New Roman"/>
          <w:bCs/>
          <w:szCs w:val="22"/>
          <w:lang w:val="pt-BR"/>
        </w:rPr>
        <w:t>identificar os restos das pessoas falecidas</w:t>
      </w:r>
      <w:r w:rsidRPr="00D65A20">
        <w:rPr>
          <w:rFonts w:ascii="Times New Roman" w:hAnsi="Times New Roman"/>
          <w:szCs w:val="22"/>
          <w:lang w:val="pt-BR"/>
        </w:rPr>
        <w:t xml:space="preserve">. </w:t>
      </w:r>
    </w:p>
    <w:p w14:paraId="7F83C351" w14:textId="77777777" w:rsidR="000933AA" w:rsidRPr="00D65A20" w:rsidRDefault="000933AA" w:rsidP="000933AA">
      <w:pPr>
        <w:widowControl/>
        <w:ind w:right="61" w:hanging="720"/>
        <w:rPr>
          <w:rFonts w:ascii="Times New Roman" w:eastAsia="MS Mincho" w:hAnsi="Times New Roman"/>
          <w:szCs w:val="22"/>
          <w:lang w:val="pt-BR" w:eastAsia="es-ES_tradnl"/>
        </w:rPr>
      </w:pPr>
    </w:p>
    <w:p w14:paraId="7CE8F980" w14:textId="77777777" w:rsidR="000933AA" w:rsidRPr="00D65A20" w:rsidRDefault="000933AA" w:rsidP="000933AA">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2160" w:right="61" w:hanging="720"/>
        <w:rPr>
          <w:rFonts w:ascii="Times New Roman" w:eastAsia="MS Mincho" w:hAnsi="Times New Roman"/>
          <w:b/>
          <w:bCs/>
          <w:szCs w:val="22"/>
          <w:lang w:val="pt-BR"/>
        </w:rPr>
      </w:pPr>
      <w:r w:rsidRPr="00D65A20">
        <w:rPr>
          <w:rFonts w:ascii="Times New Roman" w:hAnsi="Times New Roman"/>
          <w:bCs/>
          <w:szCs w:val="22"/>
          <w:lang w:val="pt-BR"/>
        </w:rPr>
        <w:t>promover treinamentos e o fortalecimento das capacidades dos agentes encarregados de prestar acompanhamento psicossocial e atenção psicológica durante o processo de busca de pessoas desaparecidas e de atenção às suas famílias</w:t>
      </w:r>
      <w:r w:rsidRPr="00D65A20">
        <w:rPr>
          <w:rFonts w:ascii="Times New Roman" w:hAnsi="Times New Roman"/>
          <w:b/>
          <w:szCs w:val="22"/>
          <w:lang w:val="pt-BR"/>
        </w:rPr>
        <w:t xml:space="preserve">; </w:t>
      </w:r>
    </w:p>
    <w:p w14:paraId="10B8A61A" w14:textId="77777777" w:rsidR="000933AA" w:rsidRPr="00D65A20" w:rsidRDefault="000933AA" w:rsidP="000933AA">
      <w:pPr>
        <w:widowControl/>
        <w:ind w:right="61" w:hanging="720"/>
        <w:rPr>
          <w:rFonts w:ascii="Times New Roman" w:eastAsia="MS Mincho" w:hAnsi="Times New Roman"/>
          <w:b/>
          <w:bCs/>
          <w:szCs w:val="22"/>
          <w:lang w:val="pt-BR"/>
        </w:rPr>
      </w:pPr>
    </w:p>
    <w:p w14:paraId="16C8FE00" w14:textId="77777777" w:rsidR="000933AA" w:rsidRPr="00D65A20" w:rsidRDefault="000933AA" w:rsidP="000933AA">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2160" w:right="61" w:hanging="720"/>
        <w:rPr>
          <w:rFonts w:ascii="Times New Roman" w:eastAsia="MS Mincho" w:hAnsi="Times New Roman"/>
          <w:szCs w:val="22"/>
          <w:lang w:val="pt-BR"/>
        </w:rPr>
      </w:pPr>
      <w:r w:rsidRPr="00D65A20">
        <w:rPr>
          <w:rFonts w:ascii="Times New Roman" w:hAnsi="Times New Roman"/>
          <w:szCs w:val="22"/>
          <w:lang w:val="pt-BR"/>
        </w:rPr>
        <w:t>garantir o adequado manejo e intercâmbio da informação, inclusive a que se refere aos dados pessoais das pessoas desaparecidas e de seus familiares, mediante a criação de bancos de sistemas de gestão de informação que reúnam, protejam e administrem os dados, em conformidade com as normas e disposições jurídicas nacionais e internacionais</w:t>
      </w:r>
      <w:r w:rsidRPr="00D65A20">
        <w:rPr>
          <w:rFonts w:ascii="Times New Roman" w:hAnsi="Times New Roman"/>
          <w:b/>
          <w:bCs/>
          <w:szCs w:val="22"/>
          <w:lang w:val="pt-BR"/>
        </w:rPr>
        <w:t xml:space="preserve">, </w:t>
      </w:r>
      <w:r w:rsidRPr="00D65A20">
        <w:rPr>
          <w:rFonts w:ascii="Times New Roman" w:hAnsi="Times New Roman"/>
          <w:szCs w:val="22"/>
          <w:lang w:val="pt-BR"/>
        </w:rPr>
        <w:t>em apoio à busca e identificação de pessoas desaparecidas</w:t>
      </w:r>
      <w:r w:rsidRPr="00D65A20">
        <w:rPr>
          <w:rFonts w:ascii="Times New Roman" w:hAnsi="Times New Roman"/>
          <w:bCs/>
          <w:szCs w:val="22"/>
          <w:lang w:val="pt-BR"/>
        </w:rPr>
        <w:t>; e</w:t>
      </w:r>
    </w:p>
    <w:p w14:paraId="37C5159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pt-BR"/>
        </w:rPr>
      </w:pPr>
    </w:p>
    <w:p w14:paraId="1ED97E7F" w14:textId="77777777" w:rsidR="000933AA" w:rsidRPr="00D65A20" w:rsidRDefault="000933AA" w:rsidP="000933AA">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2160" w:right="61" w:hanging="720"/>
        <w:rPr>
          <w:rFonts w:ascii="Times New Roman" w:eastAsia="MS Mincho" w:hAnsi="Times New Roman"/>
          <w:b/>
          <w:bCs/>
          <w:szCs w:val="22"/>
          <w:lang w:val="pt-BR"/>
        </w:rPr>
      </w:pPr>
      <w:r w:rsidRPr="00D65A20">
        <w:rPr>
          <w:rFonts w:ascii="Times New Roman" w:hAnsi="Times New Roman"/>
          <w:bCs/>
          <w:szCs w:val="22"/>
          <w:lang w:val="pt-BR"/>
        </w:rPr>
        <w:lastRenderedPageBreak/>
        <w:t>promover, nas instituições forenses e nos departamentos de busca de pessoas desaparecidas, quando for necessário, procedimentos com a finalidade de administrar os registros de pessoas falecidas não identificadas e não reclamadas, comparar a informação sobre pessoas desaparecidas com a informação sobre pessoas falecidas e produzir um relatório científico de identificação destinado às autoridades e aos familiares.</w:t>
      </w:r>
      <w:r w:rsidRPr="00D65A20">
        <w:rPr>
          <w:rFonts w:ascii="Times New Roman" w:hAnsi="Times New Roman"/>
          <w:b/>
          <w:szCs w:val="22"/>
          <w:lang w:val="pt-BR"/>
        </w:rPr>
        <w:t xml:space="preserve"> </w:t>
      </w:r>
    </w:p>
    <w:p w14:paraId="18D69CAA"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MS Mincho" w:hAnsi="Times New Roman"/>
          <w:b/>
          <w:bCs/>
          <w:szCs w:val="22"/>
          <w:lang w:val="pt-BR"/>
        </w:rPr>
      </w:pPr>
    </w:p>
    <w:p w14:paraId="7C44E704" w14:textId="77777777" w:rsidR="000933AA" w:rsidRPr="00D65A20" w:rsidRDefault="000933AA" w:rsidP="000933AA">
      <w:pPr>
        <w:widowControl/>
        <w:ind w:right="57"/>
        <w:rPr>
          <w:rFonts w:ascii="Times New Roman" w:eastAsia="MS Mincho" w:hAnsi="Times New Roman"/>
          <w:szCs w:val="22"/>
          <w:lang w:val="pt-BR"/>
        </w:rPr>
      </w:pPr>
      <w:r w:rsidRPr="00D65A20">
        <w:rPr>
          <w:rFonts w:ascii="Times New Roman" w:hAnsi="Times New Roman"/>
          <w:szCs w:val="22"/>
          <w:lang w:val="pt-BR"/>
        </w:rPr>
        <w:tab/>
        <w:t>2.</w:t>
      </w:r>
      <w:r w:rsidRPr="00D65A20">
        <w:rPr>
          <w:rFonts w:ascii="Times New Roman" w:hAnsi="Times New Roman"/>
          <w:szCs w:val="22"/>
          <w:lang w:val="pt-BR"/>
        </w:rPr>
        <w:tab/>
      </w:r>
      <w:r w:rsidRPr="00D65A20">
        <w:rPr>
          <w:rFonts w:ascii="Times New Roman" w:hAnsi="Times New Roman"/>
          <w:bCs/>
          <w:szCs w:val="22"/>
          <w:lang w:val="pt-BR"/>
        </w:rPr>
        <w:t>Instar os Estados membros a que garantam a implementação de legislação aplicável na matéria, com um enfoque humanitário.</w:t>
      </w:r>
    </w:p>
    <w:p w14:paraId="7A5F8CAB" w14:textId="77777777" w:rsidR="000933AA" w:rsidRPr="00D65A20" w:rsidRDefault="000933AA" w:rsidP="000933AA">
      <w:pPr>
        <w:widowControl/>
        <w:ind w:right="57"/>
        <w:rPr>
          <w:rFonts w:ascii="Times New Roman" w:hAnsi="Times New Roman"/>
          <w:szCs w:val="22"/>
          <w:lang w:val="pt-BR"/>
        </w:rPr>
      </w:pPr>
    </w:p>
    <w:p w14:paraId="3EA48504" w14:textId="77777777" w:rsidR="000933AA" w:rsidRPr="00D65A20" w:rsidRDefault="000933AA" w:rsidP="000933AA">
      <w:pPr>
        <w:widowControl/>
        <w:ind w:right="57"/>
        <w:rPr>
          <w:rFonts w:ascii="Times New Roman" w:eastAsia="MS Mincho" w:hAnsi="Times New Roman"/>
          <w:szCs w:val="22"/>
          <w:lang w:val="pt-BR"/>
        </w:rPr>
      </w:pPr>
      <w:r w:rsidRPr="00D65A20">
        <w:rPr>
          <w:rFonts w:ascii="Times New Roman" w:hAnsi="Times New Roman"/>
          <w:szCs w:val="22"/>
          <w:lang w:val="pt-BR"/>
        </w:rPr>
        <w:tab/>
        <w:t>3.</w:t>
      </w:r>
      <w:r w:rsidRPr="00D65A20">
        <w:rPr>
          <w:rFonts w:ascii="Times New Roman" w:hAnsi="Times New Roman"/>
          <w:szCs w:val="22"/>
          <w:lang w:val="pt-BR"/>
        </w:rPr>
        <w:tab/>
        <w:t>Incentivar os Estados membros a que ratifiquem a Convenção Interamericana sobre o Desaparecimento Forçado de Pessoas e a Convenção Internacional para a Proteção de Todas as Pessoas contra o Desaparecimento Forçado, ou a elas adiram, e que as implementem em seu ordenamento interno; a que reconheçam a competência da Comissão contra o Desaparecimento Forçado; a que compartilhem experiências e boas práticas; a que fortaleçam a cooperação internacional e o intercâmbio de informações;  e a que apoiem a participação e a assistência técnica de instituições internacionais e nacionais com experiência reconhecida na busca de pessoas desaparecidas</w:t>
      </w:r>
      <w:r w:rsidRPr="00D65A20">
        <w:rPr>
          <w:rFonts w:ascii="Times New Roman" w:hAnsi="Times New Roman"/>
          <w:b/>
          <w:bCs/>
          <w:szCs w:val="22"/>
          <w:lang w:val="pt-BR"/>
        </w:rPr>
        <w:t>.</w:t>
      </w:r>
      <w:r w:rsidRPr="00D65A20">
        <w:rPr>
          <w:rFonts w:ascii="Times New Roman" w:hAnsi="Times New Roman"/>
          <w:b/>
          <w:szCs w:val="22"/>
          <w:lang w:val="pt-BR"/>
        </w:rPr>
        <w:t xml:space="preserve"> </w:t>
      </w:r>
      <w:r w:rsidRPr="00D65A20">
        <w:rPr>
          <w:rFonts w:ascii="Times New Roman" w:hAnsi="Times New Roman"/>
          <w:szCs w:val="22"/>
          <w:lang w:val="pt-BR"/>
        </w:rPr>
        <w:t>Do mesmo modo, convidar os Estados membros a que continuem cooperando com o Comitê Internacional da Cruz Vermelha, facilitando seu trabalho e acolhendo suas recomendações técnicas, com vistas a consolidar as medidas adotadas pelos Estados no processo de busca das pessoas desaparecidas, no tratamento digno dos restos humanos e na atenção aos familiares.</w:t>
      </w:r>
    </w:p>
    <w:p w14:paraId="488FBEE6" w14:textId="77777777" w:rsidR="000933AA" w:rsidRPr="00D65A20" w:rsidRDefault="000933AA" w:rsidP="000933AA">
      <w:pPr>
        <w:widowControl/>
        <w:ind w:right="57"/>
        <w:rPr>
          <w:rFonts w:ascii="Times New Roman" w:eastAsia="Calibri" w:hAnsi="Times New Roman"/>
          <w:szCs w:val="22"/>
          <w:lang w:val="pt-BR"/>
        </w:rPr>
      </w:pPr>
    </w:p>
    <w:p w14:paraId="4D9B4C3B" w14:textId="77777777" w:rsidR="000933AA" w:rsidRPr="00D65A20" w:rsidRDefault="000933AA" w:rsidP="000933AA">
      <w:pPr>
        <w:widowControl/>
        <w:ind w:right="58"/>
        <w:rPr>
          <w:rFonts w:ascii="Times New Roman" w:hAnsi="Times New Roman"/>
          <w:szCs w:val="22"/>
          <w:lang w:val="pt-BR"/>
        </w:rPr>
      </w:pPr>
      <w:r w:rsidRPr="00D65A20">
        <w:rPr>
          <w:rFonts w:ascii="Times New Roman" w:hAnsi="Times New Roman"/>
          <w:b/>
          <w:szCs w:val="22"/>
          <w:lang w:val="pt-BR"/>
        </w:rPr>
        <w:tab/>
      </w:r>
      <w:r w:rsidRPr="00D65A20">
        <w:rPr>
          <w:rFonts w:ascii="Times New Roman" w:hAnsi="Times New Roman"/>
          <w:szCs w:val="22"/>
          <w:lang w:val="pt-BR"/>
        </w:rPr>
        <w:t>4.</w:t>
      </w:r>
      <w:r w:rsidRPr="00D65A20">
        <w:rPr>
          <w:rFonts w:ascii="Times New Roman" w:hAnsi="Times New Roman"/>
          <w:b/>
          <w:szCs w:val="22"/>
          <w:lang w:val="pt-BR"/>
        </w:rPr>
        <w:tab/>
      </w:r>
      <w:r w:rsidRPr="00D65A20">
        <w:rPr>
          <w:rFonts w:ascii="Times New Roman" w:hAnsi="Times New Roman"/>
          <w:szCs w:val="22"/>
          <w:lang w:val="pt-BR"/>
        </w:rPr>
        <w:t xml:space="preserve">Incentivar os Estados membros a que promovam, no plano nacional, a adoção de medidas relativas às disposições da resolução AG/RES. 2134 (XXXV-O/05), “Pessoas desaparecidas e a assistência a seus familiares”, e das resoluções posteriores sobre esse tema aprovadas pela Assembleia Geral, e a que prestem informação a esse respeito; e encarregar a CAJP de prever em sua agenda o compartilhamento dessa informação antes do </w:t>
      </w:r>
      <w:r w:rsidRPr="00D65A20">
        <w:rPr>
          <w:rFonts w:ascii="Times New Roman" w:hAnsi="Times New Roman"/>
          <w:bCs/>
          <w:szCs w:val="22"/>
          <w:lang w:val="pt-BR"/>
        </w:rPr>
        <w:t>Quinquagésimo Segundo</w:t>
      </w:r>
      <w:r w:rsidRPr="00D65A20">
        <w:rPr>
          <w:rFonts w:ascii="Times New Roman" w:hAnsi="Times New Roman"/>
          <w:szCs w:val="22"/>
          <w:lang w:val="pt-BR"/>
        </w:rPr>
        <w:t xml:space="preserve"> Período Ordinário de Sessões da Assembleia Geral da Organização. </w:t>
      </w:r>
    </w:p>
    <w:p w14:paraId="59C842A2" w14:textId="77777777" w:rsidR="000933AA" w:rsidRPr="00D65A20" w:rsidRDefault="000933AA" w:rsidP="000933AA">
      <w:pPr>
        <w:widowControl/>
        <w:ind w:right="58"/>
        <w:rPr>
          <w:rFonts w:ascii="Times New Roman" w:hAnsi="Times New Roman"/>
          <w:szCs w:val="22"/>
          <w:lang w:val="pt-BR"/>
        </w:rPr>
      </w:pPr>
    </w:p>
    <w:p w14:paraId="72B11A77" w14:textId="77777777" w:rsidR="000933AA" w:rsidRPr="00D65A20" w:rsidRDefault="000933AA" w:rsidP="000933AA">
      <w:pPr>
        <w:widowControl/>
        <w:ind w:left="720" w:right="58" w:hanging="720"/>
        <w:rPr>
          <w:rFonts w:ascii="Times New Roman" w:hAnsi="Times New Roman"/>
          <w:szCs w:val="22"/>
          <w:u w:val="single"/>
          <w:lang w:val="pt-BR"/>
        </w:rPr>
      </w:pPr>
      <w:r w:rsidRPr="00D65A20">
        <w:rPr>
          <w:rFonts w:ascii="Times New Roman" w:hAnsi="Times New Roman"/>
          <w:szCs w:val="22"/>
          <w:lang w:val="pt-BR"/>
        </w:rPr>
        <w:t>viii.</w:t>
      </w:r>
      <w:r w:rsidRPr="00D65A20">
        <w:rPr>
          <w:rFonts w:ascii="Times New Roman" w:hAnsi="Times New Roman"/>
          <w:szCs w:val="22"/>
          <w:lang w:val="pt-BR"/>
        </w:rPr>
        <w:tab/>
      </w:r>
      <w:r w:rsidRPr="00D65A20">
        <w:rPr>
          <w:rFonts w:ascii="Times New Roman" w:hAnsi="Times New Roman"/>
          <w:szCs w:val="22"/>
          <w:u w:val="single"/>
          <w:lang w:val="pt-BR"/>
        </w:rPr>
        <w:t>Fortalecimento do Mecanismo de Acompanhamento da Implementação do Protocolo de São Salvador</w:t>
      </w:r>
    </w:p>
    <w:p w14:paraId="0F512A5D"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37D2F140"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trike/>
          <w:color w:val="000000"/>
          <w:szCs w:val="22"/>
          <w:lang w:val="pt-BR"/>
        </w:rPr>
      </w:pPr>
      <w:r w:rsidRPr="00D65A20">
        <w:rPr>
          <w:rFonts w:ascii="Times New Roman" w:hAnsi="Times New Roman"/>
          <w:szCs w:val="22"/>
          <w:lang w:val="pt-BR"/>
        </w:rPr>
        <w:t xml:space="preserve">DESTACANDO que, até esta data, </w:t>
      </w:r>
      <w:r w:rsidRPr="00D65A20">
        <w:rPr>
          <w:rFonts w:ascii="Times New Roman" w:hAnsi="Times New Roman"/>
          <w:bCs/>
          <w:szCs w:val="22"/>
          <w:lang w:val="pt-BR"/>
        </w:rPr>
        <w:t>somente</w:t>
      </w:r>
      <w:r w:rsidRPr="00D65A20">
        <w:rPr>
          <w:rFonts w:ascii="Times New Roman" w:hAnsi="Times New Roman"/>
          <w:szCs w:val="22"/>
          <w:lang w:val="pt-BR"/>
        </w:rPr>
        <w:t xml:space="preserve"> dezesseis Estados membros ratificaram o Protocolo Adicional à Convenção Americana sobre Direitos Humanos em Matéria de Direitos Econômicos, Sociais e Culturais, “Protocolo de São Salvador”, cujo artigo 19 estabelece que os Estados Partes se comprometem a apresentar relatórios nacionais periódicos sobre as medidas progressivas que tiverem adotado para assegurar o pleno exercício e respeito aos direitos consagrados no referido instrumento;</w:t>
      </w:r>
    </w:p>
    <w:p w14:paraId="327DF852"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lang w:val="pt-BR"/>
        </w:rPr>
      </w:pPr>
    </w:p>
    <w:p w14:paraId="25AC33FD" w14:textId="0FF4E606" w:rsidR="000933AA"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 xml:space="preserve">RESSALTANDO que, em conformidade com os princípios contemplados na atualização do documento “Composição e funcionamento do Grupo de Trabalho Encarregado de Analisar os Relatórios Nacionais Previstos no Protocolo de São Salvador (GTPSS ou Grupo de Trabalho), em conformidade com a resolução AG/RES. 2908 (XLVII-O/17)”, desde agosto de 2019 o Grupo de Trabalho conta com uma maioria de mulheres; </w:t>
      </w:r>
    </w:p>
    <w:p w14:paraId="412920D6" w14:textId="77777777" w:rsidR="007B686E" w:rsidRPr="00D65A20" w:rsidRDefault="007B686E" w:rsidP="007B68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5A532E5A"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 xml:space="preserve">PREOCUPADA com a grave crise da pandemia de covid-19, que tem gerado obstáculos ao exercício dos direitos consagrados no Protocolo de São Salvador, como o direito à saúde, à educação, à alimentação adequada, à seguridade social e ao trabalho, entre outros, e tem aumentado a </w:t>
      </w:r>
      <w:r w:rsidRPr="00D65A20">
        <w:rPr>
          <w:rFonts w:ascii="Times New Roman" w:hAnsi="Times New Roman"/>
          <w:szCs w:val="22"/>
          <w:lang w:val="pt-BR"/>
        </w:rPr>
        <w:lastRenderedPageBreak/>
        <w:t>disparidade que os grupos historicamente discriminados e em situação de vulnerabilidade enfrentam no exercício dos seus direitos, e reconhecendo, nesse sentido, os esforços feitos pelo Grupo de Trabalho para apoiar os Estados membros na resposta à pandemia por meio de várias atividades; e</w:t>
      </w:r>
    </w:p>
    <w:p w14:paraId="44260A70"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lang w:val="pt-BR"/>
        </w:rPr>
      </w:pPr>
    </w:p>
    <w:p w14:paraId="026B3911"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RECONHECENDO a contribuição da Relatoria Especial sobre Direitos Econômicos, Sociais, Culturais e Ambientais, em representação da CIDH, ao GTPSS e tomando nota de seus relatórios,</w:t>
      </w:r>
    </w:p>
    <w:p w14:paraId="6678F480"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4948BC9A"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r w:rsidRPr="00D65A20">
        <w:rPr>
          <w:rFonts w:ascii="Times New Roman" w:hAnsi="Times New Roman"/>
          <w:szCs w:val="22"/>
          <w:lang w:val="pt-BR"/>
        </w:rPr>
        <w:t>RESOLVE:</w:t>
      </w:r>
    </w:p>
    <w:p w14:paraId="06783238"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4C2B52C1"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trike/>
          <w:szCs w:val="22"/>
          <w:lang w:val="pt-BR"/>
        </w:rPr>
      </w:pPr>
      <w:r w:rsidRPr="00D65A20">
        <w:rPr>
          <w:rFonts w:ascii="Times New Roman" w:hAnsi="Times New Roman"/>
          <w:szCs w:val="22"/>
          <w:lang w:val="pt-BR"/>
        </w:rPr>
        <w:t>1.</w:t>
      </w:r>
      <w:r w:rsidRPr="00D65A20">
        <w:rPr>
          <w:rFonts w:ascii="Times New Roman" w:hAnsi="Times New Roman"/>
          <w:szCs w:val="22"/>
          <w:lang w:val="pt-BR"/>
        </w:rPr>
        <w:tab/>
        <w:t xml:space="preserve">Felicitar os Estados Partes pelo compromisso e esforços em cumprir os prazos para a entrega dos relatórios nacionais, </w:t>
      </w:r>
      <w:r w:rsidRPr="00D65A20">
        <w:rPr>
          <w:rFonts w:ascii="Times New Roman" w:hAnsi="Times New Roman"/>
          <w:bCs/>
          <w:szCs w:val="22"/>
          <w:lang w:val="pt-BR"/>
        </w:rPr>
        <w:t>em especial aqueles que apresentaram seu relatório nacional integrado, e, nesse sentido, lembrar</w:t>
      </w:r>
      <w:r w:rsidRPr="00D65A20">
        <w:rPr>
          <w:rFonts w:ascii="Times New Roman" w:hAnsi="Times New Roman"/>
          <w:szCs w:val="22"/>
          <w:lang w:val="pt-BR"/>
        </w:rPr>
        <w:t xml:space="preserve"> aos Estados Partes que ainda não o tenham feito a necessidade do pronto envio dos relatórios nacionais pendentes.</w:t>
      </w:r>
    </w:p>
    <w:p w14:paraId="351289BC"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233AC00C"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2.</w:t>
      </w:r>
      <w:r w:rsidRPr="00D65A20">
        <w:rPr>
          <w:rFonts w:ascii="Times New Roman" w:hAnsi="Times New Roman"/>
          <w:szCs w:val="22"/>
          <w:lang w:val="pt-BR"/>
        </w:rPr>
        <w:tab/>
      </w:r>
      <w:r w:rsidRPr="00D65A20">
        <w:rPr>
          <w:rFonts w:ascii="Times New Roman" w:hAnsi="Times New Roman"/>
          <w:bCs/>
          <w:szCs w:val="22"/>
          <w:lang w:val="pt-BR"/>
        </w:rPr>
        <w:t>Convidar</w:t>
      </w:r>
      <w:r w:rsidRPr="00D65A20">
        <w:rPr>
          <w:rFonts w:ascii="Times New Roman" w:hAnsi="Times New Roman"/>
          <w:szCs w:val="22"/>
          <w:lang w:val="pt-BR"/>
        </w:rPr>
        <w:t xml:space="preserve"> os Estados membros a que considerem assinar ou ratificar o Protocolo Adicional à Convenção Americana sobre Direitos Humanos em Matéria de Direitos Econômicos, Sociais e Culturais, “Protocolo de São Salvador”, ou a ele aderir, conforme seja o caso, </w:t>
      </w:r>
      <w:r w:rsidRPr="00D65A20">
        <w:rPr>
          <w:rFonts w:ascii="Times New Roman" w:hAnsi="Times New Roman"/>
          <w:bCs/>
          <w:szCs w:val="22"/>
          <w:lang w:val="pt-BR"/>
        </w:rPr>
        <w:t>e os Estados membros, Observadores Permanentes, bem como pessoas ou entidades públicas ou privadas, nacionais ou internacionais, a que contribuam para o fundo específico do Grupo de Trabalho Encarregado de Analisar os Relatórios Nacionais Previstos no Protocolo de São Salvador (GTPSS), como definido no artigo 80 das Normas Gerais para o Funcionamento da Secretaria-Geral e outras disposições da Organização, fazendo um apelo aos Estados Partes a que considerem acolher em seus países as reuniões do GTPSS como forma de apoiar e difundir seu trabalho, bem como incentivar os Estados membros a que considerem destinar recursos existentes no Fundo Ordinário para o referido mecanismo.</w:t>
      </w:r>
    </w:p>
    <w:p w14:paraId="1FE66287"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45EAA89"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szCs w:val="22"/>
          <w:lang w:val="pt-BR"/>
        </w:rPr>
      </w:pPr>
      <w:r w:rsidRPr="00D65A20">
        <w:rPr>
          <w:rFonts w:ascii="Times New Roman" w:hAnsi="Times New Roman"/>
          <w:szCs w:val="22"/>
          <w:lang w:val="pt-BR"/>
        </w:rPr>
        <w:t>3.</w:t>
      </w:r>
      <w:r w:rsidRPr="00D65A20">
        <w:rPr>
          <w:rFonts w:ascii="Times New Roman" w:hAnsi="Times New Roman"/>
          <w:szCs w:val="22"/>
          <w:lang w:val="pt-BR"/>
        </w:rPr>
        <w:tab/>
        <w:t xml:space="preserve">Instar o GTPSS a que reforce o apoio em matéria de treinamento e assistência técnica aos Estados Membros, quando assim o solicitem </w:t>
      </w:r>
      <w:r w:rsidRPr="00D65A20">
        <w:rPr>
          <w:rFonts w:ascii="Times New Roman" w:hAnsi="Times New Roman"/>
          <w:bCs/>
          <w:szCs w:val="22"/>
          <w:lang w:val="pt-BR"/>
        </w:rPr>
        <w:t>e sujeito à disponibilidade de recursos, durante e após a pandemia de covid-19, levando em conta as consequências que a pandemia terá sobre o gozo dos direitos econômicos, sociais, culturais e ambientais</w:t>
      </w:r>
      <w:r w:rsidRPr="00D65A20">
        <w:rPr>
          <w:rFonts w:ascii="Times New Roman" w:hAnsi="Times New Roman"/>
          <w:szCs w:val="22"/>
          <w:lang w:val="pt-BR"/>
        </w:rPr>
        <w:t>,</w:t>
      </w:r>
      <w:r w:rsidRPr="00D65A20">
        <w:rPr>
          <w:rFonts w:ascii="Times New Roman" w:hAnsi="Times New Roman"/>
          <w:szCs w:val="22"/>
          <w:u w:val="single"/>
          <w:vertAlign w:val="superscript"/>
          <w:lang w:val="pt-BR"/>
        </w:rPr>
        <w:footnoteReference w:id="82"/>
      </w:r>
      <w:r w:rsidRPr="00D65A20">
        <w:rPr>
          <w:rFonts w:ascii="Times New Roman" w:hAnsi="Times New Roman"/>
          <w:szCs w:val="22"/>
          <w:vertAlign w:val="superscript"/>
          <w:lang w:val="pt-BR"/>
        </w:rPr>
        <w:t>/</w:t>
      </w:r>
      <w:r w:rsidRPr="00D65A20">
        <w:rPr>
          <w:rFonts w:ascii="Times New Roman" w:hAnsi="Times New Roman"/>
          <w:szCs w:val="22"/>
          <w:lang w:val="pt-BR"/>
        </w:rPr>
        <w:t xml:space="preserve"> em particular dos grupos historicamente discriminados e em situação de vulnerabilidade, bem como, </w:t>
      </w:r>
      <w:r w:rsidRPr="00D65A20">
        <w:rPr>
          <w:rFonts w:ascii="Times New Roman" w:hAnsi="Times New Roman"/>
          <w:color w:val="000000"/>
          <w:szCs w:val="22"/>
          <w:lang w:val="pt-BR"/>
        </w:rPr>
        <w:t>quando assim o solicitem, no processo de elaboração dos relatórios nacionais e no acompanhamento das observações do GTPSS.</w:t>
      </w:r>
    </w:p>
    <w:p w14:paraId="1EC12D47"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73F2B8A8"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4.</w:t>
      </w:r>
      <w:r w:rsidRPr="00D65A20">
        <w:rPr>
          <w:rFonts w:ascii="Times New Roman" w:hAnsi="Times New Roman"/>
          <w:szCs w:val="22"/>
          <w:lang w:val="pt-BR"/>
        </w:rPr>
        <w:tab/>
        <w:t>Solicitar à Secretaria-Geral que apoie o pleno funcionamento do GTPSS, atribuindo-lhe fundos para que desenvolva as suas atividades; e que dê a maior divulgação possível aos avanços alcançados pelo sistema de relatórios nacionais.</w:t>
      </w:r>
    </w:p>
    <w:p w14:paraId="41A30A41"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szCs w:val="22"/>
          <w:lang w:val="pt-BR"/>
        </w:rPr>
      </w:pPr>
    </w:p>
    <w:p w14:paraId="26CD37F5"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szCs w:val="22"/>
          <w:lang w:val="pt-BR"/>
        </w:rPr>
      </w:pPr>
      <w:r w:rsidRPr="00D65A20">
        <w:rPr>
          <w:rFonts w:ascii="Times New Roman" w:hAnsi="Times New Roman"/>
          <w:szCs w:val="22"/>
          <w:lang w:val="pt-BR"/>
        </w:rPr>
        <w:t xml:space="preserve">ix. </w:t>
      </w:r>
      <w:r w:rsidRPr="00D65A20">
        <w:rPr>
          <w:rFonts w:ascii="Times New Roman" w:hAnsi="Times New Roman"/>
          <w:szCs w:val="22"/>
          <w:lang w:val="pt-BR"/>
        </w:rPr>
        <w:tab/>
      </w:r>
      <w:r w:rsidRPr="00D65A20">
        <w:rPr>
          <w:rFonts w:ascii="Times New Roman" w:hAnsi="Times New Roman"/>
          <w:szCs w:val="22"/>
          <w:u w:val="single"/>
          <w:lang w:val="pt-BR"/>
        </w:rPr>
        <w:t>Promoção da Convenção Interamericana contra o Racismo, a Discriminação Racial e Formas Correlatas de Intolerância e o combate à discriminação de todo tipo</w:t>
      </w:r>
    </w:p>
    <w:p w14:paraId="29E86B67"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lang w:val="pt-BR"/>
        </w:rPr>
      </w:pPr>
    </w:p>
    <w:p w14:paraId="546D072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RECONHECENDO a importância de ratificar a Convenção Interamericana contra o Racismo, a Discriminação Racial e Formas Correlatas de Intolerância,</w:t>
      </w:r>
    </w:p>
    <w:p w14:paraId="75B7B6CF"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264DBF6E" w14:textId="77777777" w:rsidR="007B686E" w:rsidRDefault="007B686E"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Pr>
          <w:rFonts w:ascii="Times New Roman" w:hAnsi="Times New Roman"/>
          <w:szCs w:val="22"/>
          <w:lang w:val="pt-BR"/>
        </w:rPr>
        <w:br w:type="page"/>
      </w:r>
    </w:p>
    <w:p w14:paraId="23ED0F06" w14:textId="0CBC13BC"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D65A20">
        <w:rPr>
          <w:rFonts w:ascii="Times New Roman" w:hAnsi="Times New Roman"/>
          <w:szCs w:val="22"/>
          <w:lang w:val="pt-BR"/>
        </w:rPr>
        <w:lastRenderedPageBreak/>
        <w:t>RESOLVE:</w:t>
      </w:r>
    </w:p>
    <w:p w14:paraId="58661B57"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033C15B"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1.</w:t>
      </w:r>
      <w:r w:rsidRPr="00D65A20">
        <w:rPr>
          <w:rFonts w:ascii="Times New Roman" w:hAnsi="Times New Roman"/>
          <w:szCs w:val="22"/>
          <w:lang w:val="pt-BR"/>
        </w:rPr>
        <w:tab/>
        <w:t>Solicitar à CAJP que organize uma reunião destinada a colher as contribuições dos Estados membros para combater a intolerância e a discriminação na região.</w:t>
      </w:r>
    </w:p>
    <w:p w14:paraId="3C8D975A"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lang w:val="pt-BR"/>
        </w:rPr>
      </w:pPr>
    </w:p>
    <w:p w14:paraId="1EF422A0"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2.</w:t>
      </w:r>
      <w:r w:rsidRPr="00D65A20">
        <w:rPr>
          <w:rFonts w:ascii="Times New Roman" w:hAnsi="Times New Roman"/>
          <w:szCs w:val="22"/>
          <w:lang w:val="pt-BR"/>
        </w:rPr>
        <w:tab/>
        <w:t>Convidar os Estados membros a que considerem assinar ou ratificar a Convenção Interamericana contra o Racismo, a Discriminação Racial e Formas Correlatas de Intolerância e a Convenção Interamericana contra Toda Forma de Discriminação e Intolerância, ou a elas aderir, segundo o caso, tendo em conta que ambas promovem a coexistência da diversidade, entendida como uma força das sociedades democráticas do Hemisfério.</w:t>
      </w:r>
    </w:p>
    <w:p w14:paraId="16E1202E"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559C463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D65A20">
        <w:rPr>
          <w:rFonts w:ascii="Times New Roman" w:hAnsi="Times New Roman"/>
          <w:szCs w:val="22"/>
          <w:lang w:val="pt-BR"/>
        </w:rPr>
        <w:t>x.</w:t>
      </w:r>
      <w:r w:rsidRPr="00D65A20">
        <w:rPr>
          <w:rFonts w:ascii="Times New Roman" w:hAnsi="Times New Roman"/>
          <w:szCs w:val="22"/>
          <w:lang w:val="pt-BR"/>
        </w:rPr>
        <w:tab/>
      </w:r>
      <w:r w:rsidRPr="00D65A20">
        <w:rPr>
          <w:rFonts w:ascii="Times New Roman" w:hAnsi="Times New Roman"/>
          <w:szCs w:val="22"/>
          <w:u w:val="single"/>
          <w:lang w:val="pt-BR"/>
        </w:rPr>
        <w:t>O poder da inclusão e os benefícios da diversidade</w:t>
      </w:r>
      <w:r w:rsidRPr="00D65A20">
        <w:rPr>
          <w:rFonts w:ascii="Times New Roman" w:hAnsi="Times New Roman"/>
          <w:b/>
          <w:szCs w:val="22"/>
          <w:lang w:val="pt-BR"/>
        </w:rPr>
        <w:t xml:space="preserve"> </w:t>
      </w:r>
    </w:p>
    <w:p w14:paraId="673DE2EC"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4C37741D" w14:textId="084A5720"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 xml:space="preserve">DADA a situação de emergência causada pela pandemia de covid-19, que impediu a realização de uma </w:t>
      </w:r>
      <w:r w:rsidR="007C0258" w:rsidRPr="00D65A20">
        <w:rPr>
          <w:rFonts w:ascii="Times New Roman" w:hAnsi="Times New Roman"/>
          <w:szCs w:val="22"/>
          <w:lang w:val="pt-BR"/>
        </w:rPr>
        <w:t>sessão</w:t>
      </w:r>
      <w:r w:rsidRPr="00D65A20">
        <w:rPr>
          <w:rFonts w:ascii="Times New Roman" w:hAnsi="Times New Roman"/>
          <w:szCs w:val="22"/>
          <w:lang w:val="pt-BR"/>
        </w:rPr>
        <w:t xml:space="preserve"> extraordinária da Comissão de Assuntos Jurídicos e Políticos em 2020 para abordar o tema “O poder da inclusão e os benefícios da diversidade”, conforme mandato emanado da seção xi da resolução AG/RES. 2941 (XLIX-O/19),</w:t>
      </w:r>
    </w:p>
    <w:p w14:paraId="066E6A75"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54F6CFE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D65A20">
        <w:rPr>
          <w:rFonts w:ascii="Times New Roman" w:hAnsi="Times New Roman"/>
          <w:szCs w:val="22"/>
          <w:lang w:val="pt-BR"/>
        </w:rPr>
        <w:t>RESOLVE:</w:t>
      </w:r>
    </w:p>
    <w:p w14:paraId="1B9218F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4ED3E1D1"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1.</w:t>
      </w:r>
      <w:r w:rsidRPr="00D65A20">
        <w:rPr>
          <w:rFonts w:ascii="Times New Roman" w:hAnsi="Times New Roman"/>
          <w:szCs w:val="22"/>
          <w:lang w:val="pt-BR"/>
        </w:rPr>
        <w:tab/>
        <w:t>Prorrogar esse mandato de maneira que a referida sessão extraordinária seja realizada antes do Quinquagésimo Primeiro Período Ordinário de Sessões da Assembleia Geral.</w:t>
      </w:r>
    </w:p>
    <w:p w14:paraId="318AE9F7"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393E76CE"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lang w:val="pt-BR"/>
        </w:rPr>
      </w:pPr>
      <w:r w:rsidRPr="00D65A20">
        <w:rPr>
          <w:rFonts w:ascii="Times New Roman" w:hAnsi="Times New Roman"/>
          <w:szCs w:val="22"/>
          <w:lang w:val="pt-BR"/>
        </w:rPr>
        <w:t>2.</w:t>
      </w:r>
      <w:r w:rsidRPr="00D65A20">
        <w:rPr>
          <w:rFonts w:ascii="Times New Roman" w:hAnsi="Times New Roman"/>
          <w:szCs w:val="22"/>
          <w:lang w:val="pt-BR"/>
        </w:rPr>
        <w:tab/>
        <w:t>Recomendar que, além de determinar seu objetivo com base na seção xi da resolução AG/RES. 2941 (XLIX-O/19), a sessão extraordinária proposta também leve em conta o fato de que cada vez mais se reconhece a importância e complexidade da inclusão, especialmente no que diz respeito aos impactos e respostas da covid-19 e aos preocupantes problemas de discriminação racial.</w:t>
      </w:r>
    </w:p>
    <w:p w14:paraId="2C60A104"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120DEAAD"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eastAsia="pt-BR"/>
        </w:rPr>
      </w:pPr>
      <w:r w:rsidRPr="00D65A20">
        <w:rPr>
          <w:rFonts w:ascii="Times New Roman" w:hAnsi="Times New Roman"/>
          <w:szCs w:val="22"/>
          <w:lang w:val="pt-BR"/>
        </w:rPr>
        <w:t xml:space="preserve">xi. </w:t>
      </w:r>
      <w:r w:rsidRPr="00D65A20">
        <w:rPr>
          <w:rFonts w:ascii="Times New Roman" w:hAnsi="Times New Roman"/>
          <w:szCs w:val="22"/>
          <w:lang w:val="pt-BR"/>
        </w:rPr>
        <w:tab/>
      </w:r>
      <w:r w:rsidRPr="00D65A20">
        <w:rPr>
          <w:rFonts w:ascii="Times New Roman" w:hAnsi="Times New Roman"/>
          <w:bCs/>
          <w:szCs w:val="22"/>
          <w:u w:val="single"/>
          <w:lang w:val="pt-BR"/>
        </w:rPr>
        <w:t>Direito à liberdade de consciência e de religião ou crença</w:t>
      </w:r>
    </w:p>
    <w:p w14:paraId="3AF0A89E"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3D8190F6"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RECORDANDO a seção xviii da resolução AG/RES. 2941 (XLIX-O/19), aprovada por consenso no Quadragésimo Nono Período Ordinário de Sessões da Assembleia Geral, em junho de 2019;</w:t>
      </w:r>
    </w:p>
    <w:p w14:paraId="2EA305DC"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3F249041"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bCs/>
          <w:szCs w:val="22"/>
          <w:lang w:val="pt-BR"/>
        </w:rPr>
        <w:t>REITERANDO que, apesar dos desafios impostos pela pandemia de covid-19, os Estados devem respeitar os direitos humanos, inclusive o direito a exercer livremente a liberdade de religião ou de crença de todas as pessoas, inclusive as pertencentes a minorias religiosas ou que não professam fé alguma, na busca da igualdade e não discriminação para todos, e que os Estados devem respeitar a pluralidade de religiões e o direito de todas as pessoas de professar diferentes crenças religiosas, em conformidade com o artigo 12 da Convenção Americana sobre Direitos Humanos e o artigo 18 do Pacto Internacional sobre Direitos Civis e Políticos, segundo o caso;</w:t>
      </w:r>
      <w:r w:rsidRPr="00D65A20">
        <w:rPr>
          <w:rFonts w:ascii="Times New Roman" w:hAnsi="Times New Roman"/>
          <w:szCs w:val="22"/>
          <w:lang w:val="pt-BR"/>
        </w:rPr>
        <w:t xml:space="preserve"> </w:t>
      </w:r>
    </w:p>
    <w:p w14:paraId="78BEE474"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4E4F23FC" w14:textId="27C022AB"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 xml:space="preserve">ACOLHENDO COM SATISFAÇÃO a sessão extraordinária da CAJP, realizada em 20 de fevereiro de 2020, na qual os Estados membros compartilharam lições aprendidas e </w:t>
      </w:r>
      <w:r w:rsidR="001F6D1D">
        <w:rPr>
          <w:rFonts w:ascii="Times New Roman" w:hAnsi="Times New Roman"/>
          <w:szCs w:val="22"/>
          <w:lang w:val="pt-BR"/>
        </w:rPr>
        <w:t>compartilharam</w:t>
      </w:r>
      <w:r w:rsidRPr="00D65A20">
        <w:rPr>
          <w:rFonts w:ascii="Times New Roman" w:hAnsi="Times New Roman"/>
          <w:szCs w:val="22"/>
          <w:lang w:val="pt-BR"/>
        </w:rPr>
        <w:t xml:space="preserve"> boas práticas, a fim de fazer avançar as metas da resolução AG/RES. 2941 (XLIX-O/19);</w:t>
      </w:r>
    </w:p>
    <w:p w14:paraId="4D245F7A"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076F9880"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lastRenderedPageBreak/>
        <w:t>OBSERVANDO COM PREOCUPAÇÃO que, em todas as regiões do mundo, continuam ocorrendo atos de intolerância e violência contra pessoas e comunidades, inclusive as minorias religiosas, ao exercerem seu direito à liberdade de consciência e de religião;</w:t>
      </w:r>
    </w:p>
    <w:p w14:paraId="5F3A1D6C"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5387978B"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OBSERVANDO que o artigo 12 da Convenção Americana sobre Direitos Humanos dispõe que “Toda pessoa tem direito à liberdade de consciência e de religião”, e que “Esse direito implica a liberdade de conservar sua religião ou suas crenças, ou de mudar de religião ou de crença, bem como a liberdade de professar e divulgar sua religião ou suas crenças, individual ou coletivamente, tanto em público como em privado”;</w:t>
      </w:r>
    </w:p>
    <w:p w14:paraId="13CD8B2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4F5F76CF"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RECONHECENDO o direito das pessoas – atuando individualmente ou em comunidade com outros – de professar uma religião ou crenças, inclusive a possibilidade de escolher livremente os seus líderes religiosos, clérigos e docentes – chamados a servir ou ensinar em seu nome –, respeitando os princípios de igualdade e não discriminação; o direito ou a liberdade dos pais de que seus filhos recebam uma educação moral e religiosa ajustada às suas crenças, em busca do interesse superior da criança; e o dever dos Estados de respeitar e permitir que os indivíduos possam exercer o seu direito à liberdade de consciência ou de religião, adotando as medidas legislativas ou de outra natureza que forem necessárias para tornar essa liberdade efetiva, em conformidade com o artigo 12 da Convenção Americana sobre Direitos Humanos ou o artigo 18 do Pacto Internacional sobre Direitos Civis e Políticos, segundo o caso; e</w:t>
      </w:r>
      <w:r w:rsidRPr="00D65A20">
        <w:rPr>
          <w:rFonts w:ascii="Times New Roman" w:hAnsi="Times New Roman"/>
          <w:szCs w:val="22"/>
          <w:u w:val="single"/>
          <w:vertAlign w:val="superscript"/>
          <w:lang w:val="pt-BR"/>
        </w:rPr>
        <w:footnoteReference w:id="83"/>
      </w:r>
      <w:r w:rsidRPr="00D65A20">
        <w:rPr>
          <w:rFonts w:ascii="Times New Roman" w:hAnsi="Times New Roman"/>
          <w:szCs w:val="22"/>
          <w:vertAlign w:val="superscript"/>
          <w:lang w:val="pt-BR"/>
        </w:rPr>
        <w:t>/</w:t>
      </w:r>
      <w:r w:rsidRPr="00D65A20">
        <w:rPr>
          <w:rFonts w:ascii="Times New Roman" w:hAnsi="Times New Roman"/>
          <w:szCs w:val="22"/>
          <w:u w:val="single"/>
          <w:vertAlign w:val="superscript"/>
          <w:lang w:val="pt-BR"/>
        </w:rPr>
        <w:footnoteReference w:id="84"/>
      </w:r>
      <w:r w:rsidRPr="00D65A20">
        <w:rPr>
          <w:rFonts w:ascii="Times New Roman" w:hAnsi="Times New Roman"/>
          <w:szCs w:val="22"/>
          <w:vertAlign w:val="superscript"/>
          <w:lang w:val="pt-BR"/>
        </w:rPr>
        <w:t>/</w:t>
      </w:r>
      <w:r w:rsidRPr="00D65A20">
        <w:rPr>
          <w:rFonts w:ascii="Times New Roman" w:hAnsi="Times New Roman"/>
          <w:szCs w:val="22"/>
          <w:lang w:val="pt-BR"/>
        </w:rPr>
        <w:t xml:space="preserve"> </w:t>
      </w:r>
    </w:p>
    <w:p w14:paraId="1C5DCCC7"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55859F25"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rPr>
      </w:pPr>
      <w:r w:rsidRPr="00D65A20">
        <w:rPr>
          <w:rFonts w:ascii="Times New Roman" w:hAnsi="Times New Roman"/>
          <w:color w:val="000000"/>
          <w:szCs w:val="22"/>
          <w:lang w:val="pt-BR"/>
        </w:rPr>
        <w:t xml:space="preserve">RECORDANDO que todos os direitos humanos são universais, interdependentes e indivisíveis, </w:t>
      </w:r>
    </w:p>
    <w:p w14:paraId="023738C5"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1B898761"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D65A20">
        <w:rPr>
          <w:rFonts w:ascii="Times New Roman" w:hAnsi="Times New Roman"/>
          <w:szCs w:val="22"/>
          <w:lang w:val="pt-BR"/>
        </w:rPr>
        <w:t>RESOLVE:</w:t>
      </w:r>
    </w:p>
    <w:p w14:paraId="061B555B"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1A6489E"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rPr>
      </w:pPr>
      <w:r w:rsidRPr="00D65A20">
        <w:rPr>
          <w:rFonts w:ascii="Times New Roman" w:hAnsi="Times New Roman"/>
          <w:szCs w:val="22"/>
          <w:lang w:val="pt-BR"/>
        </w:rPr>
        <w:t>1.</w:t>
      </w:r>
      <w:r w:rsidRPr="00D65A20">
        <w:rPr>
          <w:rFonts w:ascii="Times New Roman" w:hAnsi="Times New Roman"/>
          <w:szCs w:val="22"/>
          <w:lang w:val="pt-BR"/>
        </w:rPr>
        <w:tab/>
        <w:t>Proteger o direito de todos à liberdade de pensamento, de consciência e de religião ou crença, o que inclui a liberdade de professar ou não professar religião alguma, mudar de religião ou crença ou de adotar outra de sua escolha, além da liberdade de, isoladamente ou em comunidade com outros, em público ou na esfera privada, manifestar essa religião ou crença, em culto, observância, prática e ensino.</w:t>
      </w:r>
    </w:p>
    <w:p w14:paraId="433CB6F5"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0B439B84"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2.</w:t>
      </w:r>
      <w:r w:rsidRPr="00D65A20">
        <w:rPr>
          <w:rFonts w:ascii="Times New Roman" w:hAnsi="Times New Roman"/>
          <w:szCs w:val="22"/>
          <w:lang w:val="pt-BR"/>
        </w:rPr>
        <w:tab/>
        <w:t xml:space="preserve">Enfatizar que a liberdade de pensamento, de consciência e de religião ou crença e a liberdade de expressão estão inter-relacionadas e se fortalecem mutuamente e, além disso, salientar o papel que esses direitos podem desempenhar no combate a todas as formas de intolerância, violência e discriminação de qualquer natureza, </w:t>
      </w:r>
      <w:r w:rsidRPr="00D65A20">
        <w:rPr>
          <w:rFonts w:ascii="Times New Roman" w:hAnsi="Times New Roman"/>
          <w:bCs/>
          <w:szCs w:val="22"/>
          <w:lang w:val="pt-BR"/>
        </w:rPr>
        <w:t>inclusive, quando esteja dirigida a crentes religiosos por sua fé</w:t>
      </w:r>
      <w:r w:rsidRPr="00D65A20">
        <w:rPr>
          <w:rFonts w:ascii="Times New Roman" w:hAnsi="Times New Roman"/>
          <w:b/>
          <w:bCs/>
          <w:szCs w:val="22"/>
          <w:lang w:val="pt-BR"/>
        </w:rPr>
        <w:t>,</w:t>
      </w:r>
      <w:r w:rsidRPr="00D65A20">
        <w:rPr>
          <w:rFonts w:ascii="Times New Roman" w:hAnsi="Times New Roman"/>
          <w:szCs w:val="22"/>
          <w:lang w:val="pt-BR"/>
        </w:rPr>
        <w:t xml:space="preserve"> de acordo com a Declaração Americana dos Direitos e Deveres do Homem e, conforme seja aplicável, a Convenção Americana sobre Direitos Humanos. </w:t>
      </w:r>
    </w:p>
    <w:p w14:paraId="3BB1C782"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2E3F94AE"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 xml:space="preserve">3. </w:t>
      </w:r>
      <w:r w:rsidRPr="00D65A20">
        <w:rPr>
          <w:rFonts w:ascii="Times New Roman" w:hAnsi="Times New Roman"/>
          <w:szCs w:val="22"/>
          <w:lang w:val="pt-BR"/>
        </w:rPr>
        <w:tab/>
        <w:t xml:space="preserve">Fazer um apelo aos Estados para que protejam a possibilidade de culto, bem como todos os locais de culto, de modo a possibilitar que os indivíduos pratiquem sua fé, pacificamente e em segurança, isoladamente ou em comunidade com outros, inclusive no contexto das limitações impostas pela pandemia de covid-19, em conformidade com as medidas sanitárias necessárias e </w:t>
      </w:r>
      <w:r w:rsidRPr="00D65A20">
        <w:rPr>
          <w:rFonts w:ascii="Times New Roman" w:hAnsi="Times New Roman"/>
          <w:szCs w:val="22"/>
          <w:lang w:val="pt-BR"/>
        </w:rPr>
        <w:lastRenderedPageBreak/>
        <w:t xml:space="preserve">proporcionais, de acordo com o </w:t>
      </w:r>
      <w:r w:rsidRPr="00D65A20">
        <w:rPr>
          <w:rFonts w:ascii="Times New Roman" w:hAnsi="Times New Roman"/>
          <w:bCs/>
          <w:szCs w:val="22"/>
          <w:lang w:val="pt-BR"/>
        </w:rPr>
        <w:t>artigo 12 da Convenção Americana sobre Direitos Humanos, quando for o caso, e o artigo 18 do Pacto Internacional de Direitos Civis e Políticos.</w:t>
      </w:r>
    </w:p>
    <w:p w14:paraId="58379181"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6D5E7D7"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szCs w:val="22"/>
          <w:lang w:val="pt-BR"/>
        </w:rPr>
      </w:pPr>
      <w:r w:rsidRPr="00D65A20">
        <w:rPr>
          <w:rFonts w:ascii="Times New Roman" w:hAnsi="Times New Roman"/>
          <w:szCs w:val="22"/>
          <w:lang w:val="pt-BR"/>
        </w:rPr>
        <w:t>4.</w:t>
      </w:r>
      <w:r w:rsidRPr="00D65A20">
        <w:rPr>
          <w:rFonts w:ascii="Times New Roman" w:hAnsi="Times New Roman"/>
          <w:szCs w:val="22"/>
          <w:lang w:val="pt-BR"/>
        </w:rPr>
        <w:tab/>
      </w:r>
      <w:r w:rsidRPr="00D65A20">
        <w:rPr>
          <w:rFonts w:ascii="Times New Roman" w:hAnsi="Times New Roman"/>
          <w:color w:val="000000"/>
          <w:szCs w:val="22"/>
          <w:lang w:val="pt-BR"/>
        </w:rPr>
        <w:t>Incentivar os órgãos técnicos e autônomos da OEA a que façam um estudo sobre a implementação do artigo 12 da Convenção Americana sobre Direitos Humanos e incentivar também o Conselho Permanente a que realize uma sessão extraordinária a fim de compartilhar os resultados desse estudo com os Estados membros e que, no âmbito da sessão extraordinária proposta, os Estados troquem opiniões sobre o estudo, centrando-se na promoção da liberdade religiosa e de consciência, sem qualquer distinção.</w:t>
      </w:r>
    </w:p>
    <w:p w14:paraId="372C051D"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2ECCF37E" w14:textId="6056CE46"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5.</w:t>
      </w:r>
      <w:r w:rsidRPr="00D65A20">
        <w:rPr>
          <w:rFonts w:ascii="Times New Roman" w:hAnsi="Times New Roman"/>
          <w:szCs w:val="22"/>
          <w:lang w:val="pt-BR"/>
        </w:rPr>
        <w:tab/>
        <w:t xml:space="preserve">Solicitar que a Secretaria-Geral acompanhe o cumprimento dos mandatos dispostos na AG/RES. 2941 (XLIX-O/19), mediante a organização de um diálogo regional sobre o direito à liberdade de consciência e de religião ou crença, de preferência em seguida ao Dia Internacional da Liberdade Religiosa, observado em 27 de outubro, com o apoio e a contribuição dos Estados membros, da Comissão Interamericana de Direitos Humanos (CIDH) e de outros atores religiosos e da sociedade civil, com vistas à inclusão de uma discussão sobre melhores práticas, que abranja a proteção dos locais de culto; e solicitar à CAJP que organize, com os recursos disponíveis, uma segunda </w:t>
      </w:r>
      <w:r w:rsidR="00005176" w:rsidRPr="00D65A20">
        <w:rPr>
          <w:rFonts w:ascii="Times New Roman" w:hAnsi="Times New Roman"/>
          <w:szCs w:val="22"/>
          <w:lang w:val="pt-BR"/>
        </w:rPr>
        <w:t>sessão</w:t>
      </w:r>
      <w:r w:rsidRPr="00D65A20">
        <w:rPr>
          <w:rFonts w:ascii="Times New Roman" w:hAnsi="Times New Roman"/>
          <w:szCs w:val="22"/>
          <w:lang w:val="pt-BR"/>
        </w:rPr>
        <w:t xml:space="preserve"> extraordinária, em que os Estados membros possam continuar a debater as lições aprendidas e intercambiar boas práticas, e que apresente os resultados dessa </w:t>
      </w:r>
      <w:r w:rsidR="00005176" w:rsidRPr="00D65A20">
        <w:rPr>
          <w:rFonts w:ascii="Times New Roman" w:hAnsi="Times New Roman"/>
          <w:szCs w:val="22"/>
          <w:lang w:val="pt-BR"/>
        </w:rPr>
        <w:t>sessão</w:t>
      </w:r>
      <w:r w:rsidRPr="00D65A20">
        <w:rPr>
          <w:rFonts w:ascii="Times New Roman" w:hAnsi="Times New Roman"/>
          <w:szCs w:val="22"/>
          <w:lang w:val="pt-BR"/>
        </w:rPr>
        <w:t xml:space="preserve"> ao Conselho Permanente antes do próximo período ordinário de sessões da Assembleia Geral.</w:t>
      </w:r>
    </w:p>
    <w:p w14:paraId="07A5E6F8"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029A626F"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 w:val="24"/>
          <w:szCs w:val="24"/>
          <w:lang w:val="pt-BR" w:eastAsia="pt-BR"/>
        </w:rPr>
      </w:pPr>
      <w:r w:rsidRPr="00D65A20">
        <w:rPr>
          <w:rFonts w:ascii="Times New Roman" w:hAnsi="Times New Roman"/>
          <w:szCs w:val="22"/>
          <w:lang w:val="pt-BR"/>
        </w:rPr>
        <w:t xml:space="preserve">xii. </w:t>
      </w:r>
      <w:r w:rsidRPr="00D65A20">
        <w:rPr>
          <w:rFonts w:ascii="Times New Roman" w:hAnsi="Times New Roman"/>
          <w:szCs w:val="22"/>
          <w:lang w:val="pt-BR"/>
        </w:rPr>
        <w:tab/>
      </w:r>
      <w:r w:rsidRPr="00D65A20">
        <w:rPr>
          <w:rFonts w:ascii="Times New Roman" w:hAnsi="Times New Roman"/>
          <w:szCs w:val="22"/>
          <w:u w:val="single"/>
          <w:lang w:val="pt-BR"/>
        </w:rPr>
        <w:t>Situação dos afrodescendentes no Hemisfério e racismo</w:t>
      </w:r>
      <w:r w:rsidRPr="00D65A20">
        <w:rPr>
          <w:rFonts w:ascii="Times New Roman" w:hAnsi="Times New Roman"/>
          <w:szCs w:val="22"/>
          <w:lang w:val="pt-BR"/>
        </w:rPr>
        <w:t xml:space="preserve"> </w:t>
      </w:r>
      <w:r w:rsidRPr="00D65A20">
        <w:rPr>
          <w:rFonts w:ascii="Times New Roman" w:eastAsia="Calibri" w:hAnsi="Times New Roman"/>
          <w:szCs w:val="22"/>
          <w:u w:val="single"/>
          <w:vertAlign w:val="superscript"/>
          <w:lang w:val="pt-BR" w:eastAsia="es-ES"/>
        </w:rPr>
        <w:footnoteReference w:id="85"/>
      </w:r>
      <w:r w:rsidRPr="00D65A20">
        <w:rPr>
          <w:rFonts w:ascii="Times New Roman" w:eastAsia="Calibri" w:hAnsi="Times New Roman"/>
          <w:color w:val="000000"/>
          <w:szCs w:val="22"/>
          <w:vertAlign w:val="superscript"/>
          <w:lang w:val="pt-BR" w:eastAsia="es-ES"/>
        </w:rPr>
        <w:t>/</w:t>
      </w:r>
    </w:p>
    <w:p w14:paraId="77BEE17C"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70DD55D8"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pt-BR"/>
        </w:rPr>
      </w:pPr>
      <w:r w:rsidRPr="00D65A20">
        <w:rPr>
          <w:rFonts w:ascii="Times New Roman" w:hAnsi="Times New Roman"/>
          <w:szCs w:val="22"/>
          <w:lang w:val="pt-BR"/>
        </w:rPr>
        <w:t xml:space="preserve">RECONHECENDO a importante contribuição das pessoas e das comunidades afrodescendentes, em particular das mulheres, para a história, a cultura e o desenvolvimento dos povos das Américas; a necessidade de eliminar a discriminação histórica e a intolerância que têm sofrido devido aos flagelos do racismo, da xenofobia e dos ressaibos da escravidão, que têm manifestações diferenciadas para as mulheres, aumentando a pobreza, a violência e a deterioração das suas condições de vida; e a importância de eliminar as barreiras estruturais que limitam o desenvolvimento econômico e social da população afrodescendente e de dispor de dados desagregados baseados na origem étnica; </w:t>
      </w:r>
    </w:p>
    <w:p w14:paraId="763343B7"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27B9B440"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pt-BR"/>
        </w:rPr>
      </w:pPr>
      <w:r w:rsidRPr="00D65A20">
        <w:rPr>
          <w:rFonts w:ascii="Times New Roman" w:hAnsi="Times New Roman"/>
          <w:szCs w:val="22"/>
          <w:lang w:val="pt-BR"/>
        </w:rPr>
        <w:t>TOMANDO NOTA da entrada em vigor da Convenção Interamericana contra Toda Forma de Discriminação e Intolerância em 20 de fevereiro de 2020;</w:t>
      </w:r>
    </w:p>
    <w:p w14:paraId="1A44BCF7"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5A120EAB"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pt-BR"/>
        </w:rPr>
      </w:pPr>
      <w:r w:rsidRPr="00D65A20">
        <w:rPr>
          <w:rFonts w:ascii="Times New Roman" w:hAnsi="Times New Roman"/>
          <w:szCs w:val="22"/>
          <w:lang w:val="pt-BR"/>
        </w:rPr>
        <w:t>TOMANDO NOTA também do “Compromisso de São José”, adotado em 18 de outubro de 2019 em São José, Costa Rica, mediante o qual um grupo de Estados do Hemisfério definiu ações prioritárias para eliminar os hiatos de desigualdade e enfrentar os problemas de educação, saúde, emprego e desenvolvimento que afetam os afrodescendentes; e</w:t>
      </w:r>
    </w:p>
    <w:p w14:paraId="01C9A625"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2FF77BC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1"/>
        <w:rPr>
          <w:rFonts w:ascii="Times New Roman" w:hAnsi="Times New Roman"/>
          <w:szCs w:val="22"/>
          <w:lang w:val="pt-BR"/>
        </w:rPr>
      </w:pPr>
      <w:r w:rsidRPr="00D65A20">
        <w:rPr>
          <w:rFonts w:ascii="Times New Roman" w:hAnsi="Times New Roman"/>
          <w:szCs w:val="22"/>
          <w:lang w:val="pt-BR"/>
        </w:rPr>
        <w:t xml:space="preserve">ADVERTINDO COM PREOCUPAÇÃO que, como indicaram a Rede Interamericana de Altas Autoridades sobre Políticas para População Afrodescendentes (RIAFRO) e a CIDH, a pandemia de covid-19 pode ter um impacto desproporcional sobre a população afrodescendente na região devido a situações de maior vulnerabilidade em relação à população em geral, dados os obstáculos que enfrentam no acesso à saúde pública, a prevalência de condições médicas crônicas, o </w:t>
      </w:r>
      <w:r w:rsidRPr="00D65A20">
        <w:rPr>
          <w:rFonts w:ascii="Times New Roman" w:hAnsi="Times New Roman"/>
          <w:szCs w:val="22"/>
          <w:lang w:val="pt-BR"/>
        </w:rPr>
        <w:lastRenderedPageBreak/>
        <w:t>acesso mais restrito às redes de seguridade social geradas pelo Estado e a alta informalidade trabalhista, entre outros fatores,</w:t>
      </w:r>
    </w:p>
    <w:p w14:paraId="4453A2A9"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57940E6D"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D65A20">
        <w:rPr>
          <w:rFonts w:ascii="Times New Roman" w:hAnsi="Times New Roman"/>
          <w:szCs w:val="22"/>
          <w:lang w:val="pt-BR"/>
        </w:rPr>
        <w:t xml:space="preserve">RESOLVE: </w:t>
      </w:r>
    </w:p>
    <w:p w14:paraId="65FA4E0D"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4E913C7C"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53" w:firstLine="706"/>
        <w:rPr>
          <w:rFonts w:ascii="Times New Roman" w:hAnsi="Times New Roman"/>
          <w:szCs w:val="22"/>
          <w:lang w:val="pt-BR"/>
        </w:rPr>
      </w:pPr>
      <w:r w:rsidRPr="00D65A20">
        <w:rPr>
          <w:rFonts w:ascii="Times New Roman" w:hAnsi="Times New Roman"/>
          <w:szCs w:val="22"/>
          <w:lang w:val="pt-BR"/>
        </w:rPr>
        <w:t>1.</w:t>
      </w:r>
      <w:r w:rsidRPr="00D65A20">
        <w:rPr>
          <w:rFonts w:ascii="Times New Roman" w:hAnsi="Times New Roman"/>
          <w:szCs w:val="22"/>
          <w:lang w:val="pt-BR"/>
        </w:rPr>
        <w:tab/>
        <w:t>Condenar todas as formas de racismo e de discriminação contra os afrodescendentes no Hemisfério, reconhecendo que persistem como realidades que limitam o seu bem-estar econômico e social e que os Estados devem unir esforços para combatê-las e erradicá-las.</w:t>
      </w:r>
      <w:r w:rsidRPr="00D65A20">
        <w:rPr>
          <w:rFonts w:ascii="Times New Roman" w:eastAsia="Calibri" w:hAnsi="Times New Roman"/>
          <w:szCs w:val="22"/>
          <w:u w:val="single"/>
          <w:vertAlign w:val="superscript"/>
          <w:lang w:val="pt-BR" w:eastAsia="es-ES"/>
        </w:rPr>
        <w:footnoteReference w:id="86"/>
      </w:r>
      <w:r w:rsidRPr="00D65A20">
        <w:rPr>
          <w:rFonts w:ascii="Times New Roman" w:eastAsia="Calibri" w:hAnsi="Times New Roman"/>
          <w:color w:val="000000"/>
          <w:szCs w:val="22"/>
          <w:vertAlign w:val="superscript"/>
          <w:lang w:val="pt-BR" w:eastAsia="es-ES"/>
        </w:rPr>
        <w:t>/</w:t>
      </w:r>
    </w:p>
    <w:p w14:paraId="34CA533D"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50E81E1B"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53" w:firstLine="706"/>
        <w:rPr>
          <w:rFonts w:ascii="Times New Roman" w:hAnsi="Times New Roman"/>
          <w:szCs w:val="22"/>
          <w:lang w:val="pt-BR"/>
        </w:rPr>
      </w:pPr>
      <w:r w:rsidRPr="00D65A20">
        <w:rPr>
          <w:rFonts w:ascii="Times New Roman" w:hAnsi="Times New Roman"/>
          <w:szCs w:val="22"/>
          <w:lang w:val="pt-BR"/>
        </w:rPr>
        <w:t>2.</w:t>
      </w:r>
      <w:r w:rsidRPr="00D65A20">
        <w:rPr>
          <w:rFonts w:ascii="Times New Roman" w:hAnsi="Times New Roman"/>
          <w:szCs w:val="22"/>
          <w:lang w:val="pt-BR"/>
        </w:rPr>
        <w:tab/>
        <w:t>Instar os Estados membros a que garantam a disponibilidade, a acessibilidade, a adaptabilidade e a qualidade dos serviços de saúde para as pessoas e as comunidades afrodescendentes nas suas respostas à emergência sanitária provocada pela pandemia de covid-19, em condições dignas, de igualdade e não discriminação.</w:t>
      </w:r>
    </w:p>
    <w:p w14:paraId="73D7CE91"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391C8BEF"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53" w:firstLine="706"/>
        <w:rPr>
          <w:rFonts w:ascii="Times New Roman" w:hAnsi="Times New Roman"/>
          <w:szCs w:val="22"/>
          <w:lang w:val="pt-BR"/>
        </w:rPr>
      </w:pPr>
      <w:r w:rsidRPr="00D65A20">
        <w:rPr>
          <w:rFonts w:ascii="Times New Roman" w:hAnsi="Times New Roman"/>
          <w:szCs w:val="22"/>
          <w:lang w:val="pt-BR"/>
        </w:rPr>
        <w:t>3.</w:t>
      </w:r>
      <w:r w:rsidRPr="00D65A20">
        <w:rPr>
          <w:rFonts w:ascii="Times New Roman" w:hAnsi="Times New Roman"/>
          <w:szCs w:val="22"/>
          <w:lang w:val="pt-BR"/>
        </w:rPr>
        <w:tab/>
        <w:t>Instar os Estados membros a que se empenhem no cumprimento das metas e dos compromissos do Plano de Ação da Década dos Afrodescendentes nas Américas (2016-2025) e da Década Internacional dos Afrodescendentes (2015-2024), bem como convidá-los a melhorar a coleta e o processamento de dados desagregados, que incluam a perspectiva de gênero e a dimensão de interseccionalidade, na elaboração e na implementação de políticas públicas de enfrentamento dos desafios em matéria de emprego e acesso à saúde, moradia e educação das pessoas e das comunidades afrodescendentes, em especial das mulheres, com o propósito de eliminar as desigualdades que sofrem e enfrentar as graves consequências econômicas e sociais antevistas para a época pós-pandemia.</w:t>
      </w:r>
    </w:p>
    <w:p w14:paraId="17312206"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53"/>
        <w:rPr>
          <w:rFonts w:ascii="Times New Roman" w:hAnsi="Times New Roman"/>
          <w:szCs w:val="22"/>
          <w:lang w:val="pt-BR"/>
        </w:rPr>
      </w:pPr>
    </w:p>
    <w:p w14:paraId="52F2FD9F" w14:textId="2C744901"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53" w:firstLine="706"/>
        <w:rPr>
          <w:rFonts w:ascii="Times New Roman" w:hAnsi="Times New Roman"/>
          <w:szCs w:val="22"/>
          <w:lang w:val="pt-BR"/>
        </w:rPr>
      </w:pPr>
      <w:r w:rsidRPr="00D65A20">
        <w:rPr>
          <w:rFonts w:ascii="Times New Roman" w:hAnsi="Times New Roman"/>
          <w:szCs w:val="22"/>
          <w:lang w:val="pt-BR"/>
        </w:rPr>
        <w:t>4.</w:t>
      </w:r>
      <w:r w:rsidRPr="00D65A20">
        <w:rPr>
          <w:rFonts w:ascii="Times New Roman" w:hAnsi="Times New Roman"/>
          <w:szCs w:val="22"/>
          <w:lang w:val="pt-BR"/>
        </w:rPr>
        <w:tab/>
        <w:t>Instruir a Secretaria-Geral</w:t>
      </w:r>
      <w:r w:rsidR="002E17EA" w:rsidRPr="00D65A20">
        <w:rPr>
          <w:rFonts w:ascii="Times New Roman" w:hAnsi="Times New Roman"/>
          <w:szCs w:val="22"/>
          <w:lang w:val="pt-BR"/>
        </w:rPr>
        <w:t xml:space="preserve"> </w:t>
      </w:r>
      <w:r w:rsidRPr="00D65A20">
        <w:rPr>
          <w:rFonts w:ascii="Times New Roman" w:hAnsi="Times New Roman"/>
          <w:szCs w:val="22"/>
          <w:lang w:val="pt-BR"/>
        </w:rPr>
        <w:t>– Departamento de Inclusão Social da Secretaria de Acesso a Direitos e Equidade – a que, no âmbito da sua função de acompanhamento e implementação do Plano de Ação da Década dos Afrodescendentes nas Américas (2016–2025), elabore um relatório regional sobre a situação dos afrodescendentes e sobre o estado da implementação do Plano de Ação, o qual será apresentado em uma sessão extraordinária do Conselho Permanente da OEA no âmbito da Quarta Semana Interamericana dos Afrodescendentes em 2021.</w:t>
      </w:r>
    </w:p>
    <w:p w14:paraId="4EF89481"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3165E73D"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53" w:firstLine="706"/>
        <w:rPr>
          <w:rFonts w:ascii="Times New Roman" w:hAnsi="Times New Roman"/>
          <w:szCs w:val="22"/>
          <w:lang w:val="pt-BR"/>
        </w:rPr>
      </w:pPr>
      <w:r w:rsidRPr="00D65A20">
        <w:rPr>
          <w:rFonts w:ascii="Times New Roman" w:hAnsi="Times New Roman"/>
          <w:szCs w:val="22"/>
          <w:lang w:val="pt-BR"/>
        </w:rPr>
        <w:t>5.</w:t>
      </w:r>
      <w:r w:rsidRPr="00D65A20">
        <w:rPr>
          <w:rFonts w:ascii="Times New Roman" w:hAnsi="Times New Roman"/>
          <w:szCs w:val="22"/>
          <w:lang w:val="pt-BR"/>
        </w:rPr>
        <w:tab/>
        <w:t>Convidar os Estados membros que não são partes na Convenção Interamericana contra o Racismo, a Discriminação Racial e Formas Correlatas de Intolerância ou na Convenção Interamericana contra Toda Forma de Discriminação e Intolerância a que considerem a possibilidade de ratificá-las.</w:t>
      </w:r>
    </w:p>
    <w:p w14:paraId="2D64E8DA"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1345B6EF"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53" w:firstLine="706"/>
        <w:rPr>
          <w:rFonts w:ascii="Times New Roman" w:hAnsi="Times New Roman"/>
          <w:szCs w:val="22"/>
          <w:lang w:val="pt-BR"/>
        </w:rPr>
      </w:pPr>
      <w:r w:rsidRPr="00D65A20">
        <w:rPr>
          <w:rFonts w:ascii="Times New Roman" w:hAnsi="Times New Roman"/>
          <w:szCs w:val="22"/>
          <w:lang w:val="pt-BR"/>
        </w:rPr>
        <w:t>6.</w:t>
      </w:r>
      <w:r w:rsidRPr="00D65A20">
        <w:rPr>
          <w:rFonts w:ascii="Times New Roman" w:hAnsi="Times New Roman"/>
          <w:szCs w:val="22"/>
          <w:lang w:val="pt-BR"/>
        </w:rPr>
        <w:tab/>
        <w:t>Convidar os Estados membros que ainda não o fizeram a que considerem a possibilidade de integrar a Rede Interamericana de Altas Autoridades sobre Políticas para População Afrodescendente (RIAFRO).</w:t>
      </w:r>
    </w:p>
    <w:p w14:paraId="7487AA17"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1395283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06" w:hanging="706"/>
        <w:rPr>
          <w:rFonts w:ascii="Times New Roman" w:hAnsi="Times New Roman"/>
          <w:szCs w:val="24"/>
          <w:u w:val="single"/>
          <w:lang w:val="pt-BR"/>
        </w:rPr>
      </w:pPr>
      <w:r w:rsidRPr="00D65A20">
        <w:rPr>
          <w:rFonts w:ascii="Times New Roman" w:hAnsi="Times New Roman"/>
          <w:szCs w:val="22"/>
          <w:lang w:val="pt-BR"/>
        </w:rPr>
        <w:t>xiii.</w:t>
      </w:r>
      <w:r w:rsidRPr="00D65A20">
        <w:rPr>
          <w:rFonts w:ascii="Times New Roman" w:hAnsi="Times New Roman"/>
          <w:szCs w:val="22"/>
          <w:lang w:val="pt-BR"/>
        </w:rPr>
        <w:tab/>
      </w:r>
      <w:r w:rsidRPr="00D65A20">
        <w:rPr>
          <w:rFonts w:ascii="Times New Roman" w:hAnsi="Times New Roman"/>
          <w:szCs w:val="22"/>
          <w:u w:val="single"/>
          <w:lang w:val="pt-BR"/>
        </w:rPr>
        <w:t>A defensoria pública oficial autônoma como salvaguarda dos direitos humanos de todas as pessoas, sem nenhum tipo de discriminação, em especial dos povos indígenas</w:t>
      </w:r>
    </w:p>
    <w:p w14:paraId="5C33D91C"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autoSpaceDN w:val="0"/>
        <w:rPr>
          <w:rFonts w:ascii="Times New Roman" w:eastAsia="MS Mincho" w:hAnsi="Times New Roman"/>
          <w:szCs w:val="24"/>
          <w:lang w:val="pt-BR" w:eastAsia="pt-BR"/>
        </w:rPr>
      </w:pPr>
    </w:p>
    <w:p w14:paraId="4C1CE3EF"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autoSpaceDN w:val="0"/>
        <w:ind w:firstLine="706"/>
        <w:rPr>
          <w:rFonts w:ascii="Times New Roman" w:eastAsia="MS Mincho" w:hAnsi="Times New Roman"/>
          <w:szCs w:val="22"/>
          <w:lang w:val="pt-BR" w:eastAsia="pt-BR"/>
        </w:rPr>
      </w:pPr>
      <w:r w:rsidRPr="00D65A20">
        <w:rPr>
          <w:rFonts w:ascii="Times New Roman" w:eastAsia="MS Mincho" w:hAnsi="Times New Roman"/>
          <w:szCs w:val="22"/>
          <w:lang w:val="pt-BR" w:eastAsia="pt-BR"/>
        </w:rPr>
        <w:t xml:space="preserve">RECORDANDO os Princípios e Diretrizes sobre a Defensoria Pública nas Américas, aprovados por unanimidade pela Comissão Jurídica Interamericana mediante a resolução CJI/RES. </w:t>
      </w:r>
      <w:r w:rsidRPr="00D65A20">
        <w:rPr>
          <w:rFonts w:ascii="Times New Roman" w:eastAsia="MS Mincho" w:hAnsi="Times New Roman"/>
          <w:szCs w:val="22"/>
          <w:lang w:val="pt-BR" w:eastAsia="pt-BR"/>
        </w:rPr>
        <w:lastRenderedPageBreak/>
        <w:t>226 (LXXXIX-O/16); recordando também o “Guia prático de respostas inclusivas e com enfoque de direitos frente à covid-19 nas Américas”, publicado por esta Organização em 7 de abril de 2020, especialmente o capítulo VIII, sobre a proteção das pessoas privadas de liberdade durante a pandemia de covid-19; e</w:t>
      </w:r>
    </w:p>
    <w:p w14:paraId="0B611CB9"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autoSpaceDN w:val="0"/>
        <w:rPr>
          <w:rFonts w:ascii="Times New Roman" w:eastAsia="MS Mincho" w:hAnsi="Times New Roman"/>
          <w:szCs w:val="22"/>
          <w:lang w:val="pt-BR" w:eastAsia="pt-BR"/>
        </w:rPr>
      </w:pPr>
    </w:p>
    <w:p w14:paraId="279790F8"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sz w:val="24"/>
          <w:szCs w:val="24"/>
          <w:lang w:val="pt-BR" w:eastAsia="es-MX"/>
        </w:rPr>
      </w:pPr>
      <w:r w:rsidRPr="00D65A20">
        <w:rPr>
          <w:rFonts w:ascii="Times New Roman" w:hAnsi="Times New Roman"/>
          <w:szCs w:val="22"/>
          <w:lang w:val="pt-BR"/>
        </w:rPr>
        <w:t>TOMANDO NOTA das Regras de Brasília sobre acesso à justiça para pessoas em situação de vulnerabilidade, que instam a que se possibilite às pessoas e aos povos indígenas o exercício pleno de seus direitos perante o sistema de justiça, sem qualquer discriminação baseada em sua origem, identidade indígena ou condição econômica;</w:t>
      </w:r>
      <w:r w:rsidRPr="00D65A20">
        <w:rPr>
          <w:rFonts w:ascii="Times New Roman" w:hAnsi="Times New Roman"/>
          <w:color w:val="000000"/>
          <w:szCs w:val="22"/>
          <w:lang w:val="pt-BR"/>
        </w:rPr>
        <w:t xml:space="preserve"> e dos artigos XXII, parágrafo 3</w:t>
      </w:r>
      <w:r w:rsidRPr="00D65A20">
        <w:rPr>
          <w:rFonts w:ascii="Times New Roman" w:hAnsi="Times New Roman"/>
          <w:color w:val="000000"/>
          <w:szCs w:val="22"/>
          <w:vertAlign w:val="superscript"/>
          <w:lang w:val="pt-BR"/>
        </w:rPr>
        <w:t>o</w:t>
      </w:r>
      <w:r w:rsidRPr="00D65A20">
        <w:rPr>
          <w:rFonts w:ascii="Times New Roman" w:hAnsi="Times New Roman"/>
          <w:color w:val="000000"/>
          <w:szCs w:val="22"/>
          <w:lang w:val="pt-BR"/>
        </w:rPr>
        <w:t>, e XXIII da Declaração Americana sobre os Direitos dos Povos Indígenas,</w:t>
      </w:r>
    </w:p>
    <w:p w14:paraId="7CA13090"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autoSpaceDN w:val="0"/>
        <w:rPr>
          <w:rFonts w:ascii="Times New Roman" w:eastAsia="MS Mincho" w:hAnsi="Times New Roman"/>
          <w:lang w:val="pt-BR" w:eastAsia="pt-BR"/>
        </w:rPr>
      </w:pPr>
    </w:p>
    <w:p w14:paraId="4ED1068A"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autoSpaceDN w:val="0"/>
        <w:rPr>
          <w:rFonts w:ascii="Times New Roman" w:eastAsia="MS Mincho" w:hAnsi="Times New Roman"/>
          <w:szCs w:val="22"/>
          <w:lang w:val="pt-BR" w:eastAsia="pt-BR"/>
        </w:rPr>
      </w:pPr>
      <w:r w:rsidRPr="00D65A20">
        <w:rPr>
          <w:rFonts w:ascii="Times New Roman" w:eastAsia="MS Mincho" w:hAnsi="Times New Roman"/>
          <w:szCs w:val="22"/>
          <w:lang w:val="pt-BR" w:eastAsia="pt-BR"/>
        </w:rPr>
        <w:t>RESOLVE:</w:t>
      </w:r>
    </w:p>
    <w:p w14:paraId="43F4AA48"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autoSpaceDN w:val="0"/>
        <w:rPr>
          <w:rFonts w:ascii="Times New Roman" w:eastAsia="MS Mincho" w:hAnsi="Times New Roman"/>
          <w:szCs w:val="22"/>
          <w:lang w:val="pt-BR" w:eastAsia="pt-BR"/>
        </w:rPr>
      </w:pPr>
    </w:p>
    <w:p w14:paraId="1C35774E" w14:textId="77777777" w:rsidR="000933AA" w:rsidRPr="00D65A20" w:rsidRDefault="000933AA" w:rsidP="000933AA">
      <w:pPr>
        <w:widowControl/>
        <w:numPr>
          <w:ilvl w:val="0"/>
          <w:numId w:val="60"/>
        </w:numPr>
        <w:tabs>
          <w:tab w:val="clear" w:pos="720"/>
          <w:tab w:val="clear" w:pos="1440"/>
          <w:tab w:val="clear" w:pos="2160"/>
          <w:tab w:val="clear" w:pos="2880"/>
          <w:tab w:val="clear" w:pos="3600"/>
          <w:tab w:val="clear" w:pos="4320"/>
          <w:tab w:val="clear" w:pos="5760"/>
          <w:tab w:val="clear" w:pos="6480"/>
          <w:tab w:val="clear" w:pos="7200"/>
          <w:tab w:val="clear" w:pos="7920"/>
        </w:tabs>
        <w:kinsoku w:val="0"/>
        <w:autoSpaceDN w:val="0"/>
        <w:ind w:left="0" w:firstLine="720"/>
        <w:rPr>
          <w:rFonts w:ascii="Times New Roman" w:eastAsia="MS Mincho" w:hAnsi="Times New Roman"/>
          <w:szCs w:val="24"/>
          <w:lang w:val="pt-BR" w:eastAsia="pt-BR"/>
        </w:rPr>
      </w:pPr>
      <w:r w:rsidRPr="00D65A20">
        <w:rPr>
          <w:rFonts w:ascii="Times New Roman" w:eastAsia="MS Mincho" w:hAnsi="Times New Roman"/>
          <w:szCs w:val="22"/>
          <w:lang w:val="pt-BR" w:eastAsia="pt-BR"/>
        </w:rPr>
        <w:t>Afirmar a importância fundamental do serviço de defensoria jurídica gratuita prestado pelas Defensorias Públicas Oficiais das Américas para a promoção e a proteção do direito de acesso à justiça para todas as pessoas, particularmente aquelas em situação de vulnerabilidade, o que constitui um aspecto essencial para a consolidação da democracia, e destacar o trabalho dos(as) Defensores(as) Públicos(as) Oficiais das Américas no contexto da pandemia de covid-19, especialmente no que diz respeito às pessoas privadas de liberdade, a fim de garantir condições de higiene e acesso efetivo à saúde para esse grupo vulnerável, entre outras questões.</w:t>
      </w:r>
      <w:r w:rsidRPr="00D65A20">
        <w:rPr>
          <w:rFonts w:ascii="Times New Roman" w:eastAsia="MS Mincho" w:hAnsi="Times New Roman"/>
          <w:szCs w:val="22"/>
          <w:u w:val="single"/>
          <w:vertAlign w:val="superscript"/>
          <w:lang w:val="pt-BR" w:eastAsia="pt-BR"/>
        </w:rPr>
        <w:footnoteReference w:id="87"/>
      </w:r>
      <w:r w:rsidRPr="00D65A20">
        <w:rPr>
          <w:rFonts w:ascii="Times New Roman" w:eastAsia="MS Mincho" w:hAnsi="Times New Roman"/>
          <w:szCs w:val="22"/>
          <w:vertAlign w:val="superscript"/>
          <w:lang w:val="pt-BR" w:eastAsia="pt-BR"/>
        </w:rPr>
        <w:t>/</w:t>
      </w:r>
    </w:p>
    <w:p w14:paraId="4A2EBB6F"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autoSpaceDN w:val="0"/>
        <w:rPr>
          <w:rFonts w:ascii="Times New Roman" w:eastAsia="MS Mincho" w:hAnsi="Times New Roman"/>
          <w:szCs w:val="22"/>
          <w:lang w:val="pt-BR" w:eastAsia="pt-BR"/>
        </w:rPr>
      </w:pPr>
    </w:p>
    <w:p w14:paraId="7DD971D4" w14:textId="77777777" w:rsidR="000933AA" w:rsidRPr="00D65A20" w:rsidRDefault="000933AA" w:rsidP="000933AA">
      <w:pPr>
        <w:widowControl/>
        <w:numPr>
          <w:ilvl w:val="0"/>
          <w:numId w:val="60"/>
        </w:numPr>
        <w:tabs>
          <w:tab w:val="clear" w:pos="720"/>
          <w:tab w:val="clear" w:pos="1440"/>
          <w:tab w:val="clear" w:pos="2160"/>
          <w:tab w:val="clear" w:pos="2880"/>
          <w:tab w:val="clear" w:pos="3600"/>
          <w:tab w:val="clear" w:pos="4320"/>
          <w:tab w:val="clear" w:pos="5760"/>
          <w:tab w:val="clear" w:pos="6480"/>
          <w:tab w:val="clear" w:pos="7200"/>
          <w:tab w:val="clear" w:pos="7920"/>
          <w:tab w:val="left" w:pos="288"/>
        </w:tabs>
        <w:kinsoku w:val="0"/>
        <w:autoSpaceDN w:val="0"/>
        <w:ind w:left="0" w:firstLine="720"/>
        <w:rPr>
          <w:rFonts w:ascii="Times New Roman" w:eastAsia="MS Mincho" w:hAnsi="Times New Roman"/>
          <w:szCs w:val="22"/>
          <w:lang w:val="pt-BR" w:eastAsia="pt-BR"/>
        </w:rPr>
      </w:pPr>
      <w:r w:rsidRPr="00D65A20">
        <w:rPr>
          <w:rFonts w:ascii="Times New Roman" w:eastAsia="MS Mincho" w:hAnsi="Times New Roman"/>
          <w:szCs w:val="22"/>
          <w:lang w:val="pt-BR" w:eastAsia="pt-BR"/>
        </w:rPr>
        <w:t>Incentivar os Estados membros a que, de acordo com suas legislações e políticas nacionais e, em particular, as instituições de defensoria pública oficial, garantam o acesso à justiça com uma abordagem intercultural para o exercício efetivo de todos os direitos humanos dos</w:t>
      </w:r>
      <w:r w:rsidRPr="007B686E">
        <w:rPr>
          <w:rFonts w:ascii="Times New Roman" w:eastAsia="MS Mincho" w:hAnsi="Times New Roman"/>
          <w:szCs w:val="22"/>
          <w:lang w:val="pt-BR" w:eastAsia="pt-BR"/>
        </w:rPr>
        <w:t xml:space="preserve"> </w:t>
      </w:r>
      <w:r w:rsidRPr="00D65A20">
        <w:rPr>
          <w:rFonts w:ascii="Times New Roman" w:eastAsia="MS Mincho" w:hAnsi="Times New Roman"/>
          <w:szCs w:val="22"/>
          <w:lang w:val="pt-BR" w:eastAsia="pt-BR"/>
        </w:rPr>
        <w:t>povos indígenas, especialmente seus direitos econômicos, sociais e culturais.</w:t>
      </w:r>
    </w:p>
    <w:p w14:paraId="19F0D06C"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46788332"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4"/>
          <w:szCs w:val="24"/>
          <w:lang w:val="pt-BR"/>
        </w:rPr>
      </w:pPr>
      <w:r w:rsidRPr="00D65A20">
        <w:rPr>
          <w:rFonts w:ascii="Times New Roman" w:hAnsi="Times New Roman"/>
          <w:szCs w:val="22"/>
          <w:lang w:val="pt-BR"/>
        </w:rPr>
        <w:t xml:space="preserve">xiv. </w:t>
      </w:r>
      <w:r w:rsidRPr="00D65A20">
        <w:rPr>
          <w:rFonts w:ascii="Times New Roman" w:hAnsi="Times New Roman"/>
          <w:szCs w:val="22"/>
          <w:lang w:val="pt-BR"/>
        </w:rPr>
        <w:tab/>
      </w:r>
      <w:r w:rsidRPr="00D65A20">
        <w:rPr>
          <w:rFonts w:ascii="Times New Roman" w:hAnsi="Times New Roman"/>
          <w:szCs w:val="22"/>
          <w:u w:val="single"/>
          <w:lang w:val="pt-BR"/>
        </w:rPr>
        <w:t>Direitos humanos e meio ambiente</w:t>
      </w:r>
      <w:r w:rsidRPr="00D65A20">
        <w:rPr>
          <w:rFonts w:ascii="Times New Roman" w:hAnsi="Times New Roman"/>
          <w:szCs w:val="22"/>
          <w:lang w:val="pt-BR"/>
        </w:rPr>
        <w:t xml:space="preserve"> </w:t>
      </w:r>
      <w:r w:rsidRPr="00D65A20">
        <w:rPr>
          <w:rFonts w:ascii="Times New Roman" w:hAnsi="Times New Roman"/>
          <w:szCs w:val="22"/>
          <w:u w:val="single"/>
          <w:vertAlign w:val="superscript"/>
          <w:lang w:val="pt-BR"/>
        </w:rPr>
        <w:footnoteReference w:id="88"/>
      </w:r>
      <w:r w:rsidRPr="00D65A20">
        <w:rPr>
          <w:rFonts w:ascii="Times New Roman" w:hAnsi="Times New Roman"/>
          <w:szCs w:val="22"/>
          <w:vertAlign w:val="superscript"/>
          <w:lang w:val="pt-BR"/>
        </w:rPr>
        <w:t>/</w:t>
      </w:r>
    </w:p>
    <w:p w14:paraId="184DE557"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7F63FBB7"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09" w:firstLine="720"/>
        <w:rPr>
          <w:rFonts w:ascii="Times New Roman" w:hAnsi="Times New Roman"/>
          <w:szCs w:val="22"/>
          <w:lang w:val="pt-BR"/>
        </w:rPr>
      </w:pPr>
      <w:r w:rsidRPr="00D65A20">
        <w:rPr>
          <w:rFonts w:ascii="Times New Roman" w:hAnsi="Times New Roman"/>
          <w:szCs w:val="22"/>
          <w:lang w:val="pt-BR"/>
        </w:rPr>
        <w:t>CONSIDERANDO que a emergência sanitária mundial causada pela pandemia de covid-19 impediu o Conselho Permanente de incluir o tema do acesso à informação, participação pública e acesso à justiça em assuntos ambientais na América Latina e no Caribe em uma de suas sessões ordinárias, em conformidade com o mandato estabelecido na seção vii da resolução AG/RES. 2941 (XLIX-O/19);</w:t>
      </w:r>
    </w:p>
    <w:p w14:paraId="39BC95C4"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12CA4477"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D65A20">
        <w:rPr>
          <w:rFonts w:ascii="Times New Roman" w:hAnsi="Times New Roman"/>
          <w:szCs w:val="22"/>
          <w:lang w:val="pt-BR"/>
        </w:rPr>
        <w:t>RESOLVE:</w:t>
      </w:r>
    </w:p>
    <w:p w14:paraId="74B14EE9"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512D3E00" w14:textId="77777777" w:rsidR="000933AA" w:rsidRPr="00D65A20" w:rsidRDefault="000933AA" w:rsidP="000933AA">
      <w:pPr>
        <w:widowControl/>
        <w:numPr>
          <w:ilvl w:val="0"/>
          <w:numId w:val="61"/>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0" w:right="114" w:firstLine="720"/>
        <w:rPr>
          <w:rFonts w:ascii="Times New Roman" w:hAnsi="Times New Roman"/>
          <w:szCs w:val="22"/>
          <w:lang w:val="pt-BR"/>
        </w:rPr>
      </w:pPr>
      <w:r w:rsidRPr="00D65A20">
        <w:rPr>
          <w:rFonts w:ascii="Times New Roman" w:hAnsi="Times New Roman"/>
          <w:szCs w:val="22"/>
          <w:lang w:val="pt-BR"/>
        </w:rPr>
        <w:t>Estender esse mandato, de modo a instruir o Conselho Permanente a que inclua, em uma de suas sessões ordinárias, o tema do acesso à informação, participação pública e acesso à justiça em assuntos ambientais na América Latina e no Caribe, na qual se convide a CIDH e o GTPSS a apresentarem um relatório sobre a situação desse tema na América Latina e no Caribe.</w:t>
      </w:r>
    </w:p>
    <w:p w14:paraId="4FB05B7E" w14:textId="77777777" w:rsidR="000933AA" w:rsidRPr="00D65A20" w:rsidRDefault="000933AA" w:rsidP="000933AA">
      <w:pPr>
        <w:widowControl/>
        <w:tabs>
          <w:tab w:val="clear" w:pos="72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3BB2D447" w14:textId="77777777" w:rsidR="000933AA" w:rsidRPr="00D65A20" w:rsidRDefault="000933AA" w:rsidP="000933AA">
      <w:pPr>
        <w:widowControl/>
        <w:tabs>
          <w:tab w:val="clear" w:pos="720"/>
          <w:tab w:val="clear" w:pos="2160"/>
          <w:tab w:val="clear" w:pos="2880"/>
          <w:tab w:val="clear" w:pos="3600"/>
          <w:tab w:val="clear" w:pos="4320"/>
          <w:tab w:val="clear" w:pos="5760"/>
          <w:tab w:val="clear" w:pos="6480"/>
          <w:tab w:val="clear" w:pos="7200"/>
          <w:tab w:val="clear" w:pos="7920"/>
        </w:tabs>
        <w:autoSpaceDE w:val="0"/>
        <w:autoSpaceDN w:val="0"/>
        <w:ind w:right="115" w:firstLine="720"/>
        <w:rPr>
          <w:rFonts w:ascii="Times New Roman" w:hAnsi="Times New Roman"/>
          <w:szCs w:val="22"/>
          <w:lang w:val="pt-BR"/>
        </w:rPr>
      </w:pPr>
      <w:r w:rsidRPr="00D65A20">
        <w:rPr>
          <w:rFonts w:ascii="Times New Roman" w:hAnsi="Times New Roman"/>
          <w:szCs w:val="22"/>
          <w:lang w:val="pt-BR"/>
        </w:rPr>
        <w:t xml:space="preserve">2. </w:t>
      </w:r>
      <w:r w:rsidRPr="00D65A20">
        <w:rPr>
          <w:rFonts w:ascii="Times New Roman" w:hAnsi="Times New Roman"/>
          <w:szCs w:val="22"/>
          <w:lang w:val="pt-BR"/>
        </w:rPr>
        <w:tab/>
        <w:t xml:space="preserve">Recomendar que, ao abordar o tema em uma sessão do Conselho Permanente, além das disposições da seção vii da resolução AG/RES. 2941 (XLIX-O/19), se avalie a inclusão de reflexões sobre o impacto de questões relativas ao meio ambiente, inclusive a mudança do clima, </w:t>
      </w:r>
      <w:r w:rsidRPr="00D65A20">
        <w:rPr>
          <w:rFonts w:ascii="Times New Roman" w:hAnsi="Times New Roman"/>
          <w:szCs w:val="22"/>
          <w:lang w:val="pt-BR"/>
        </w:rPr>
        <w:lastRenderedPageBreak/>
        <w:t>sobre a pobreza e o gozo dos direitos humanos e sobre a vida das espécies que habitam o planeta, incluído o ser humano, tendo em conta os planos de reconstrução econômica pós-pandemia.</w:t>
      </w:r>
    </w:p>
    <w:p w14:paraId="56868A06" w14:textId="77777777" w:rsidR="000933AA" w:rsidRPr="00D65A20" w:rsidRDefault="000933AA" w:rsidP="000933AA">
      <w:pPr>
        <w:widowControl/>
        <w:tabs>
          <w:tab w:val="clear" w:pos="72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0269E70B" w14:textId="77777777" w:rsidR="000933AA" w:rsidRPr="00D65A20" w:rsidRDefault="000933AA" w:rsidP="000933AA">
      <w:pPr>
        <w:widowControl/>
        <w:numPr>
          <w:ilvl w:val="0"/>
          <w:numId w:val="60"/>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0" w:right="117" w:firstLine="720"/>
        <w:rPr>
          <w:rFonts w:ascii="Times New Roman" w:hAnsi="Times New Roman"/>
          <w:szCs w:val="22"/>
          <w:lang w:val="pt-BR"/>
        </w:rPr>
      </w:pPr>
      <w:r w:rsidRPr="00D65A20">
        <w:rPr>
          <w:rFonts w:ascii="Times New Roman" w:hAnsi="Times New Roman"/>
          <w:szCs w:val="22"/>
          <w:lang w:val="pt-BR"/>
        </w:rPr>
        <w:t>Incentivar, uma vez mais, os Estados membros da América Latina e do Caribe a que considerem assinar ou ratificar o Acordo Regional sobre Acesso à Informação, Participação Pública e Acesso à Justiça em Assuntos Ambientais na América Latina e no Caribe (Acordo de Escazú), ou a ele aderir, conforme seja o caso, lembrando que foi aberto a assinatura em 27 de setembro de 2018, na cidade de Nova York.</w:t>
      </w:r>
    </w:p>
    <w:p w14:paraId="33D142D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288"/>
        </w:tabs>
        <w:kinsoku w:val="0"/>
        <w:autoSpaceDN w:val="0"/>
        <w:rPr>
          <w:rFonts w:ascii="Times New Roman" w:eastAsia="MS Mincho" w:hAnsi="Times New Roman"/>
          <w:szCs w:val="24"/>
          <w:lang w:val="pt-BR" w:eastAsia="pt-BR"/>
        </w:rPr>
      </w:pPr>
    </w:p>
    <w:p w14:paraId="7DFD6A79"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40"/>
        <w:jc w:val="left"/>
        <w:rPr>
          <w:rFonts w:ascii="Times New Roman" w:hAnsi="Times New Roman"/>
          <w:sz w:val="24"/>
          <w:szCs w:val="24"/>
          <w:u w:val="single"/>
          <w:lang w:val="pt-BR"/>
        </w:rPr>
      </w:pPr>
      <w:r w:rsidRPr="00D65A20">
        <w:rPr>
          <w:rFonts w:ascii="Times New Roman" w:hAnsi="Times New Roman"/>
          <w:szCs w:val="22"/>
          <w:lang w:val="pt-BR"/>
        </w:rPr>
        <w:t xml:space="preserve">xv. </w:t>
      </w:r>
      <w:r w:rsidRPr="00D65A20">
        <w:rPr>
          <w:rFonts w:ascii="Times New Roman" w:hAnsi="Times New Roman"/>
          <w:szCs w:val="22"/>
          <w:lang w:val="pt-BR"/>
        </w:rPr>
        <w:tab/>
      </w:r>
      <w:r w:rsidRPr="00D65A20">
        <w:rPr>
          <w:rFonts w:ascii="Times New Roman" w:hAnsi="Times New Roman"/>
          <w:szCs w:val="22"/>
          <w:u w:val="single"/>
          <w:lang w:val="pt-BR"/>
        </w:rPr>
        <w:t>Direitos humanos dos idosos</w:t>
      </w:r>
    </w:p>
    <w:p w14:paraId="7DEAA248"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40"/>
        <w:jc w:val="left"/>
        <w:rPr>
          <w:rFonts w:ascii="Times New Roman" w:hAnsi="Times New Roman"/>
          <w:szCs w:val="22"/>
          <w:lang w:val="pt-BR"/>
        </w:rPr>
      </w:pPr>
    </w:p>
    <w:p w14:paraId="2D60ADF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firstLine="720"/>
        <w:rPr>
          <w:rFonts w:ascii="Times New Roman" w:hAnsi="Times New Roman"/>
          <w:szCs w:val="22"/>
          <w:lang w:val="pt-BR"/>
        </w:rPr>
      </w:pPr>
      <w:r w:rsidRPr="00D65A20">
        <w:rPr>
          <w:rFonts w:ascii="Times New Roman" w:hAnsi="Times New Roman"/>
          <w:szCs w:val="22"/>
          <w:lang w:val="pt-BR"/>
        </w:rPr>
        <w:t xml:space="preserve">RECONHECENDO a contribuição dos idosos para o desenvolvimento das nações do Hemisfério, bem como a obrigação de garantir o pleno gozo de todos os seus direitos, em particular a sua saúde física e mental, para o desfrute de uma vida livre de violência e discriminação de todo tipo, plena, independente e autônoma, com segurança, integração e participação ativa nas esferas econômica, social, cultural e política; </w:t>
      </w:r>
      <w:r w:rsidRPr="00D65A20">
        <w:rPr>
          <w:rFonts w:ascii="Times New Roman" w:hAnsi="Times New Roman"/>
          <w:i/>
          <w:szCs w:val="22"/>
          <w:lang w:val="pt-BR"/>
        </w:rPr>
        <w:t xml:space="preserve"> </w:t>
      </w:r>
    </w:p>
    <w:p w14:paraId="70FE1E9D"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jc w:val="left"/>
        <w:rPr>
          <w:rFonts w:ascii="Times New Roman" w:hAnsi="Times New Roman"/>
          <w:szCs w:val="22"/>
          <w:lang w:val="pt-BR"/>
        </w:rPr>
      </w:pPr>
    </w:p>
    <w:p w14:paraId="5FE956FB"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firstLine="720"/>
        <w:rPr>
          <w:rFonts w:ascii="Times New Roman" w:hAnsi="Times New Roman"/>
          <w:szCs w:val="22"/>
          <w:lang w:val="pt-BR"/>
        </w:rPr>
      </w:pPr>
      <w:r w:rsidRPr="00D65A20">
        <w:rPr>
          <w:rFonts w:ascii="Times New Roman" w:hAnsi="Times New Roman"/>
          <w:szCs w:val="22"/>
          <w:lang w:val="pt-BR"/>
        </w:rPr>
        <w:t>TOMANDO NOTA da entrada em vigor em 2017 da Convenção Interamericana sobre a Proteção dos Direitos Humanos dos Idosos, único instrumento internacional juridicamente vinculante que aborda os direitos dos idosos, bem como a recente criação da Relatoria Temática da CIDH sobre os Direitos dos idosos.</w:t>
      </w:r>
    </w:p>
    <w:p w14:paraId="15BAD565"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jc w:val="left"/>
        <w:rPr>
          <w:rFonts w:ascii="Times New Roman" w:hAnsi="Times New Roman"/>
          <w:szCs w:val="22"/>
          <w:lang w:val="pt-BR"/>
        </w:rPr>
      </w:pPr>
    </w:p>
    <w:p w14:paraId="3B9940FC"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firstLine="720"/>
        <w:rPr>
          <w:rFonts w:ascii="Times New Roman" w:hAnsi="Times New Roman"/>
          <w:szCs w:val="22"/>
          <w:lang w:val="pt-BR"/>
        </w:rPr>
      </w:pPr>
      <w:r w:rsidRPr="00D65A20">
        <w:rPr>
          <w:rFonts w:ascii="Times New Roman" w:hAnsi="Times New Roman"/>
          <w:szCs w:val="22"/>
          <w:lang w:val="pt-BR"/>
        </w:rPr>
        <w:t>RECONHECENDO que a pandemia de covid-19 afeta de maneira diferenciada as populações em situação de vulnerabilidade e, em particular, os mais de 85 milhões de idosos que vivem na região, uma vez que enfrentam maiores riscos de pobreza, deficiência, discriminação e isolamento;</w:t>
      </w:r>
    </w:p>
    <w:p w14:paraId="015ECD5B"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jc w:val="left"/>
        <w:rPr>
          <w:rFonts w:ascii="Times New Roman" w:hAnsi="Times New Roman"/>
          <w:szCs w:val="22"/>
          <w:lang w:val="pt-BR"/>
        </w:rPr>
      </w:pPr>
    </w:p>
    <w:p w14:paraId="2CF8CC50"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firstLine="720"/>
        <w:rPr>
          <w:rFonts w:ascii="Times New Roman" w:hAnsi="Times New Roman"/>
          <w:szCs w:val="22"/>
          <w:lang w:val="pt-BR"/>
        </w:rPr>
      </w:pPr>
      <w:r w:rsidRPr="00D65A20">
        <w:rPr>
          <w:rFonts w:ascii="Times New Roman" w:hAnsi="Times New Roman"/>
          <w:szCs w:val="22"/>
          <w:lang w:val="pt-BR"/>
        </w:rPr>
        <w:t>OBSERVANDO COM PROFUNDA PREOCUPAÇÃO o aumento de situações de violência, abandono e falta de respeito pela autonomia e pela vontade; a persistência de preconceitos e estereótipos em relação à velhice e ao envelhecimento; a discriminação em função da idade diante da atenção urgente a outros grupos prioritários; um número insuficiente de profissionais especializados de saúde (geriatras) e serviços sociais (gerontólogos), que afeta a qualidade adequada do atendimento; bem como as lacunas sociais acentuadas por medidas de mitigação, incluindo a lacuna no acesso à tecnologia;</w:t>
      </w:r>
    </w:p>
    <w:p w14:paraId="5FC2F200"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jc w:val="left"/>
        <w:rPr>
          <w:rFonts w:ascii="Times New Roman" w:hAnsi="Times New Roman"/>
          <w:szCs w:val="22"/>
          <w:lang w:val="pt-BR"/>
        </w:rPr>
      </w:pPr>
    </w:p>
    <w:p w14:paraId="54CAE6A4"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firstLine="720"/>
        <w:rPr>
          <w:rFonts w:ascii="Times New Roman" w:hAnsi="Times New Roman"/>
          <w:szCs w:val="22"/>
          <w:lang w:val="pt-BR"/>
        </w:rPr>
      </w:pPr>
      <w:r w:rsidRPr="00D65A20">
        <w:rPr>
          <w:rFonts w:ascii="Times New Roman" w:hAnsi="Times New Roman"/>
          <w:szCs w:val="22"/>
          <w:lang w:val="pt-BR"/>
        </w:rPr>
        <w:t xml:space="preserve">LEVANDO EM CONTA que a discriminação de gênero, junto com determinadas condições de vulnerabilidade, agrava o impacto da atual pandemia e, portanto, afeta negativamente a vida das mulheres idosas, aumenta os riscos de exclusão e as expõe a um maior risco de contágio da covid-19 pelas tarefas de cuidado e outros trabalhos tradicionalmente executados pelas mulheres; </w:t>
      </w:r>
    </w:p>
    <w:p w14:paraId="06FF14AC"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jc w:val="left"/>
        <w:rPr>
          <w:rFonts w:ascii="Times New Roman" w:hAnsi="Times New Roman"/>
          <w:szCs w:val="22"/>
          <w:lang w:val="pt-BR"/>
        </w:rPr>
      </w:pPr>
    </w:p>
    <w:p w14:paraId="02C8BDF7"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firstLine="720"/>
        <w:rPr>
          <w:rFonts w:ascii="Times New Roman" w:hAnsi="Times New Roman"/>
          <w:szCs w:val="22"/>
          <w:lang w:val="pt-BR"/>
        </w:rPr>
      </w:pPr>
      <w:r w:rsidRPr="00D65A20">
        <w:rPr>
          <w:rFonts w:ascii="Times New Roman" w:hAnsi="Times New Roman"/>
          <w:szCs w:val="22"/>
          <w:lang w:val="pt-BR"/>
        </w:rPr>
        <w:t>CONSIDERANDO a importância de incorporar os idosos na implementação e acompanhamento dos Objetivos de Desenvolvimento Sustentável, dada a tendência de mudança demográfica na região;</w:t>
      </w:r>
    </w:p>
    <w:p w14:paraId="6A2C5809"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jc w:val="left"/>
        <w:rPr>
          <w:rFonts w:ascii="Times New Roman" w:hAnsi="Times New Roman"/>
          <w:szCs w:val="22"/>
          <w:lang w:val="pt-BR"/>
        </w:rPr>
      </w:pPr>
    </w:p>
    <w:p w14:paraId="423A5106"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firstLine="720"/>
        <w:rPr>
          <w:rFonts w:ascii="Times New Roman" w:hAnsi="Times New Roman"/>
          <w:szCs w:val="22"/>
          <w:lang w:val="pt-BR"/>
        </w:rPr>
      </w:pPr>
      <w:r w:rsidRPr="00D65A20">
        <w:rPr>
          <w:rFonts w:ascii="Times New Roman" w:hAnsi="Times New Roman"/>
          <w:szCs w:val="22"/>
          <w:lang w:val="pt-BR"/>
        </w:rPr>
        <w:t xml:space="preserve">CONDENANDO todas as formas de violência e discriminação contra os idosos, inclusive as que implicam o abandono, a falta de respeito por sua autonomia, a violência de gênero e os maus-tratos, e particularmente aquelas situações que atentam contra sua dignidade ou limitam o exercício </w:t>
      </w:r>
      <w:r w:rsidRPr="00D65A20">
        <w:rPr>
          <w:rFonts w:ascii="Times New Roman" w:hAnsi="Times New Roman"/>
          <w:szCs w:val="22"/>
          <w:lang w:val="pt-BR"/>
        </w:rPr>
        <w:lastRenderedPageBreak/>
        <w:t>de seus direitos em igualdade de condições frente a outros grupos geracionais no contexto da pandemia de covid-19,</w:t>
      </w:r>
    </w:p>
    <w:p w14:paraId="52433868"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rPr>
          <w:rFonts w:ascii="Times New Roman" w:hAnsi="Times New Roman"/>
          <w:szCs w:val="22"/>
          <w:lang w:val="pt-BR"/>
        </w:rPr>
      </w:pPr>
    </w:p>
    <w:p w14:paraId="77D7D6D4"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jc w:val="left"/>
        <w:rPr>
          <w:rFonts w:ascii="Times New Roman" w:hAnsi="Times New Roman"/>
          <w:szCs w:val="22"/>
          <w:lang w:val="pt-BR"/>
        </w:rPr>
      </w:pPr>
      <w:r w:rsidRPr="00D65A20">
        <w:rPr>
          <w:rFonts w:ascii="Times New Roman" w:hAnsi="Times New Roman"/>
          <w:szCs w:val="22"/>
          <w:lang w:val="pt-BR"/>
        </w:rPr>
        <w:t>RESOLVE:</w:t>
      </w:r>
    </w:p>
    <w:p w14:paraId="2E59762F"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jc w:val="left"/>
        <w:rPr>
          <w:rFonts w:ascii="Times New Roman" w:hAnsi="Times New Roman"/>
          <w:szCs w:val="22"/>
          <w:lang w:val="pt-BR"/>
        </w:rPr>
      </w:pPr>
    </w:p>
    <w:p w14:paraId="3917A398" w14:textId="77777777" w:rsidR="000933AA" w:rsidRPr="00D65A20" w:rsidRDefault="000933AA" w:rsidP="000933AA">
      <w:pPr>
        <w:widowControl/>
        <w:numPr>
          <w:ilvl w:val="0"/>
          <w:numId w:val="62"/>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0" w:right="14" w:firstLine="720"/>
        <w:rPr>
          <w:rFonts w:ascii="Times New Roman" w:hAnsi="Times New Roman"/>
          <w:szCs w:val="22"/>
          <w:lang w:val="pt-BR"/>
        </w:rPr>
      </w:pPr>
      <w:r w:rsidRPr="00D65A20">
        <w:rPr>
          <w:rFonts w:ascii="Times New Roman" w:hAnsi="Times New Roman"/>
          <w:szCs w:val="22"/>
          <w:lang w:val="pt-BR"/>
        </w:rPr>
        <w:t>Incentivar os Estados membros que ainda não o tenham feito a que considerem, conforme o caso, ratificar a Convenção Interamericana sobre a Proteção dos Direitos Humanos dos Idosos ou a ela aderir.</w:t>
      </w:r>
    </w:p>
    <w:p w14:paraId="5AEBD2BD" w14:textId="77777777" w:rsidR="000933AA" w:rsidRPr="00D65A20" w:rsidRDefault="000933AA" w:rsidP="000933AA">
      <w:pPr>
        <w:widowControl/>
        <w:tabs>
          <w:tab w:val="clear" w:pos="1440"/>
          <w:tab w:val="clear" w:pos="2160"/>
          <w:tab w:val="clear" w:pos="2880"/>
          <w:tab w:val="clear" w:pos="3600"/>
          <w:tab w:val="clear" w:pos="4320"/>
          <w:tab w:val="clear" w:pos="5760"/>
          <w:tab w:val="clear" w:pos="6480"/>
          <w:tab w:val="clear" w:pos="7200"/>
          <w:tab w:val="clear" w:pos="7920"/>
        </w:tabs>
        <w:autoSpaceDE w:val="0"/>
        <w:autoSpaceDN w:val="0"/>
        <w:ind w:right="14"/>
        <w:rPr>
          <w:rFonts w:ascii="Times New Roman" w:hAnsi="Times New Roman"/>
          <w:szCs w:val="22"/>
          <w:lang w:val="pt-BR"/>
        </w:rPr>
      </w:pPr>
    </w:p>
    <w:p w14:paraId="2400724E" w14:textId="77777777" w:rsidR="000933AA" w:rsidRPr="00D65A20" w:rsidRDefault="000933AA" w:rsidP="000933AA">
      <w:pPr>
        <w:widowControl/>
        <w:numPr>
          <w:ilvl w:val="0"/>
          <w:numId w:val="62"/>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0" w:right="14" w:firstLine="720"/>
        <w:rPr>
          <w:rFonts w:ascii="Times New Roman" w:hAnsi="Times New Roman"/>
          <w:szCs w:val="22"/>
          <w:lang w:val="pt-BR"/>
        </w:rPr>
      </w:pPr>
      <w:r w:rsidRPr="00D65A20">
        <w:rPr>
          <w:rFonts w:ascii="Times New Roman" w:hAnsi="Times New Roman"/>
          <w:szCs w:val="22"/>
          <w:lang w:val="pt-BR"/>
        </w:rPr>
        <w:t>Instar os Estados membros a que tenham em conta a situação e as necessidades dos idosos ao elaborarem e implementarem políticas públicas intersetoriais orientadas à prestação de uma atenção integral, que inclua a promoção da saúde, a prevenção e o tratamento de doenças em todas as etapas, condições de cuidado dignas, reabilitação e cuidados paliativos, garantindo a sua autonomia e segurança física, econômica e social, bem como programas voltados a reduzir a disparidade digital e facilitar assim o seu acesso a serviços públicos e privados, a fim de propiciar o gozo do mais alto nível de bem-estar físico, mental e social, sem discriminação.</w:t>
      </w:r>
    </w:p>
    <w:p w14:paraId="402DE56A" w14:textId="77777777" w:rsidR="000933AA" w:rsidRPr="00D65A20" w:rsidRDefault="000933AA" w:rsidP="000933AA">
      <w:pPr>
        <w:widowControl/>
        <w:tabs>
          <w:tab w:val="clear" w:pos="2160"/>
          <w:tab w:val="clear" w:pos="2880"/>
          <w:tab w:val="clear" w:pos="3600"/>
          <w:tab w:val="clear" w:pos="4320"/>
          <w:tab w:val="clear" w:pos="5760"/>
          <w:tab w:val="clear" w:pos="6480"/>
          <w:tab w:val="clear" w:pos="7200"/>
          <w:tab w:val="clear" w:pos="7920"/>
        </w:tabs>
        <w:ind w:right="14"/>
        <w:rPr>
          <w:rFonts w:ascii="Times New Roman" w:hAnsi="Times New Roman"/>
          <w:szCs w:val="22"/>
          <w:lang w:val="pt-BR"/>
        </w:rPr>
      </w:pPr>
    </w:p>
    <w:p w14:paraId="3BC6ED7F" w14:textId="77777777" w:rsidR="000933AA" w:rsidRPr="00D65A20" w:rsidRDefault="000933AA" w:rsidP="000933AA">
      <w:pPr>
        <w:widowControl/>
        <w:numPr>
          <w:ilvl w:val="0"/>
          <w:numId w:val="62"/>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0" w:right="14" w:firstLine="720"/>
        <w:rPr>
          <w:rFonts w:ascii="Times New Roman" w:hAnsi="Times New Roman"/>
          <w:szCs w:val="22"/>
          <w:lang w:val="pt-BR"/>
        </w:rPr>
      </w:pPr>
      <w:r w:rsidRPr="00D65A20">
        <w:rPr>
          <w:rFonts w:ascii="Times New Roman" w:hAnsi="Times New Roman"/>
          <w:szCs w:val="22"/>
          <w:lang w:val="pt-BR"/>
        </w:rPr>
        <w:t>Incentivar os Estados membros a que assegurem atenção preferencial e acesso universal, equitativo e oportuno aos serviços integrais de saúde de qualidade, especialmente aqueles que prestam cuidados a idosos em situação de vulnerabilidade, bem como a que reforcem as capacidades dos trabalhadores dos serviços de saúde, sociais e sociossanitários, a formação acadêmica, profissional e técnica especializada em geriatria, gerontologia e cuidados paliativos, entre outros, tendo em conta os direitos humanos.</w:t>
      </w:r>
    </w:p>
    <w:p w14:paraId="599200BE" w14:textId="77777777" w:rsidR="000933AA" w:rsidRPr="00D65A20" w:rsidRDefault="000933AA" w:rsidP="000933AA">
      <w:pPr>
        <w:widowControl/>
        <w:tabs>
          <w:tab w:val="clear" w:pos="2160"/>
          <w:tab w:val="clear" w:pos="2880"/>
          <w:tab w:val="clear" w:pos="3600"/>
          <w:tab w:val="clear" w:pos="4320"/>
          <w:tab w:val="clear" w:pos="5760"/>
          <w:tab w:val="clear" w:pos="6480"/>
          <w:tab w:val="clear" w:pos="7200"/>
          <w:tab w:val="clear" w:pos="7920"/>
        </w:tabs>
        <w:ind w:right="14"/>
        <w:rPr>
          <w:rFonts w:ascii="Times New Roman" w:hAnsi="Times New Roman"/>
          <w:szCs w:val="22"/>
          <w:lang w:val="pt-BR"/>
        </w:rPr>
      </w:pPr>
    </w:p>
    <w:p w14:paraId="51337089" w14:textId="77777777" w:rsidR="000933AA" w:rsidRPr="00D65A20" w:rsidRDefault="000933AA" w:rsidP="000933AA">
      <w:pPr>
        <w:widowControl/>
        <w:numPr>
          <w:ilvl w:val="0"/>
          <w:numId w:val="62"/>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0" w:right="14" w:firstLine="720"/>
        <w:rPr>
          <w:rFonts w:ascii="Times New Roman" w:hAnsi="Times New Roman"/>
          <w:szCs w:val="22"/>
          <w:lang w:val="pt-BR"/>
        </w:rPr>
      </w:pPr>
      <w:r w:rsidRPr="00D65A20">
        <w:rPr>
          <w:rFonts w:ascii="Times New Roman" w:hAnsi="Times New Roman"/>
          <w:szCs w:val="22"/>
          <w:lang w:val="pt-BR"/>
        </w:rPr>
        <w:t>Solicitar à CIDH que, de acordo com seus recursos disponíveis, elabore um relatório sobre a situação dos direitos humanos dos idosos no Hemisfério.</w:t>
      </w:r>
    </w:p>
    <w:p w14:paraId="3D7106BF"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341C9219" w14:textId="77777777" w:rsidR="000933AA" w:rsidRPr="00D65A20" w:rsidRDefault="000933AA" w:rsidP="000933AA">
      <w:pPr>
        <w:widowControl/>
        <w:numPr>
          <w:ilvl w:val="0"/>
          <w:numId w:val="62"/>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0" w:right="14" w:firstLine="720"/>
        <w:rPr>
          <w:rFonts w:ascii="Times New Roman" w:hAnsi="Times New Roman"/>
          <w:szCs w:val="24"/>
          <w:lang w:val="pt-BR"/>
        </w:rPr>
      </w:pPr>
      <w:r w:rsidRPr="00D65A20">
        <w:rPr>
          <w:rFonts w:ascii="Times New Roman" w:hAnsi="Times New Roman"/>
          <w:szCs w:val="22"/>
          <w:lang w:val="pt-BR"/>
        </w:rPr>
        <w:t>Instruir o Conselho Permanente a que comemore anualmente o dia 15 de junho como Dia Mundial de Conscientização sobre Abuso e Maus-Tratos na Velhice.</w:t>
      </w:r>
    </w:p>
    <w:p w14:paraId="471D9236"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 w:val="24"/>
          <w:szCs w:val="24"/>
          <w:lang w:val="pt-BR"/>
        </w:rPr>
      </w:pPr>
    </w:p>
    <w:p w14:paraId="547F063F"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0" w:hanging="720"/>
        <w:jc w:val="left"/>
        <w:rPr>
          <w:rFonts w:ascii="Times New Roman" w:hAnsi="Times New Roman"/>
          <w:caps/>
          <w:color w:val="000000"/>
          <w:szCs w:val="22"/>
          <w:lang w:val="pt-BR"/>
        </w:rPr>
      </w:pPr>
      <w:r w:rsidRPr="00D65A20">
        <w:rPr>
          <w:rFonts w:ascii="Times New Roman" w:hAnsi="Times New Roman"/>
          <w:color w:val="000000"/>
          <w:szCs w:val="22"/>
          <w:lang w:val="pt-BR"/>
        </w:rPr>
        <w:t>xvi.</w:t>
      </w:r>
      <w:r w:rsidRPr="00D65A20">
        <w:rPr>
          <w:rFonts w:ascii="Times New Roman" w:hAnsi="Times New Roman"/>
          <w:color w:val="000000"/>
          <w:szCs w:val="22"/>
          <w:lang w:val="pt-BR"/>
        </w:rPr>
        <w:tab/>
      </w:r>
      <w:r w:rsidRPr="00D65A20">
        <w:rPr>
          <w:rFonts w:ascii="Times New Roman" w:eastAsia="MS Mincho" w:hAnsi="Times New Roman"/>
          <w:color w:val="000000"/>
          <w:szCs w:val="22"/>
          <w:u w:val="single"/>
          <w:lang w:val="pt-BR" w:eastAsia="es-ES_tradnl"/>
        </w:rPr>
        <w:t>Programa de Ação para a Década das Américas pelos Direitos e pela Dignidade das Pessoas com Deficiência 2016–2026 e apoio à Comissão para a Eliminação de Todas as Formas de Discriminação Contra as Pessoas com Deficiência</w:t>
      </w:r>
    </w:p>
    <w:p w14:paraId="281F768E" w14:textId="77777777" w:rsidR="000933AA" w:rsidRPr="00D65A20" w:rsidRDefault="000933AA" w:rsidP="00ED0D8E">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rPr>
      </w:pPr>
    </w:p>
    <w:p w14:paraId="5A13ECFE"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 xml:space="preserve">TENDO PRESENTES as obrigações e os compromissos assumidos pelos Estados membros com relação à promoção dos direitos das pessoas com deficiência nas Américas, refletidos na Convenção Interamericana para a Eliminação de Todas as Formas de Discriminação contra as Pessoas com Deficiência (CIADDIS) e o Programa de Ação para a Década das Américas pelos Direitos e pela Dignidade das Pessoas com Deficiência </w:t>
      </w:r>
      <w:r w:rsidRPr="00D65A20">
        <w:rPr>
          <w:rFonts w:ascii="Times New Roman" w:eastAsia="MS Mincho" w:hAnsi="Times New Roman"/>
          <w:szCs w:val="22"/>
          <w:lang w:val="pt-BR" w:eastAsia="es-ES_tradnl"/>
        </w:rPr>
        <w:t>2016–2026 (PAD);</w:t>
      </w:r>
    </w:p>
    <w:p w14:paraId="4977AA15"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rPr>
      </w:pPr>
    </w:p>
    <w:p w14:paraId="0EC4D15B"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rPr>
      </w:pPr>
      <w:r w:rsidRPr="00D65A20">
        <w:rPr>
          <w:rFonts w:ascii="Times New Roman" w:hAnsi="Times New Roman"/>
          <w:color w:val="000000"/>
          <w:szCs w:val="22"/>
          <w:lang w:val="pt-BR"/>
        </w:rPr>
        <w:t>RECONHECENDO que as pessoas com deficiência se encontram entre os grupos mais desproporcionalmente afetados pela pandemia de covid-19 em matéria de saúde, situação econômica, educação e proteção social, entre outras áreas</w:t>
      </w:r>
      <w:r w:rsidRPr="00D65A20">
        <w:rPr>
          <w:rFonts w:ascii="Times New Roman" w:hAnsi="Times New Roman"/>
          <w:iCs/>
          <w:color w:val="000000"/>
          <w:szCs w:val="22"/>
          <w:lang w:val="pt-BR"/>
        </w:rPr>
        <w:t xml:space="preserve">, </w:t>
      </w:r>
      <w:r w:rsidRPr="00D65A20">
        <w:rPr>
          <w:rFonts w:ascii="Times New Roman" w:hAnsi="Times New Roman"/>
          <w:color w:val="000000"/>
          <w:szCs w:val="22"/>
          <w:lang w:val="pt-BR"/>
        </w:rPr>
        <w:t>agravando barreiras preexistentes de acessibilidade e adaptabilidade de serviços públicos essenciais, emprego e educação;</w:t>
      </w:r>
    </w:p>
    <w:p w14:paraId="2FA04EDA"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rPr>
      </w:pPr>
    </w:p>
    <w:p w14:paraId="33FDBCEA"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rPr>
      </w:pPr>
      <w:r w:rsidRPr="00D65A20">
        <w:rPr>
          <w:rFonts w:ascii="Times New Roman" w:hAnsi="Times New Roman"/>
          <w:color w:val="000000"/>
          <w:szCs w:val="22"/>
          <w:lang w:val="pt-BR"/>
        </w:rPr>
        <w:t xml:space="preserve">CELEBRANDO a criação do Grupo de Países Amigos das Pessoas com Deficiência da OEA em dezembro de 2019, para promover os direitos e o empoderamento das pessoas com deficiência, com o apoio de suas famílias, conscientizando sobre sua situação de vida e reconhecendo a </w:t>
      </w:r>
      <w:r w:rsidRPr="00D65A20">
        <w:rPr>
          <w:rFonts w:ascii="Times New Roman" w:hAnsi="Times New Roman"/>
          <w:color w:val="000000"/>
          <w:szCs w:val="22"/>
          <w:lang w:val="pt-BR"/>
        </w:rPr>
        <w:lastRenderedPageBreak/>
        <w:t>deficiência como parte da diversidade, e difundir suas conquistas e contribuições ao desenvolvimento de suas comunidades, entre outros objetivos; e</w:t>
      </w:r>
    </w:p>
    <w:p w14:paraId="28452DEF"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rPr>
      </w:pPr>
    </w:p>
    <w:p w14:paraId="00FFE3E6"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rPr>
      </w:pPr>
      <w:r w:rsidRPr="00D65A20">
        <w:rPr>
          <w:rFonts w:ascii="Times New Roman" w:hAnsi="Times New Roman"/>
          <w:color w:val="000000"/>
          <w:szCs w:val="22"/>
          <w:lang w:val="pt-BR"/>
        </w:rPr>
        <w:t>RECORDANDO a comemoração do Dia Internacional das Pessoas com Deficiência no âmbito do Conselho Permanente em sua sessão de 11 de dezembro de 2019, na qual se refletiu sobre os direitos humanos das pessoas com deficiência intelectual e psicossocial,</w:t>
      </w:r>
    </w:p>
    <w:p w14:paraId="73D6994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rPr>
      </w:pPr>
    </w:p>
    <w:p w14:paraId="0AC28DB7"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rPr>
      </w:pPr>
      <w:r w:rsidRPr="00D65A20">
        <w:rPr>
          <w:rFonts w:ascii="Times New Roman" w:hAnsi="Times New Roman"/>
          <w:color w:val="000000"/>
          <w:szCs w:val="22"/>
          <w:lang w:val="pt-BR"/>
        </w:rPr>
        <w:t xml:space="preserve">RESOLVE: </w:t>
      </w:r>
    </w:p>
    <w:p w14:paraId="64C3538F"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rPr>
      </w:pPr>
    </w:p>
    <w:p w14:paraId="346989FD" w14:textId="7BC2F3BD"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rPr>
      </w:pPr>
      <w:r w:rsidRPr="00D65A20">
        <w:rPr>
          <w:rFonts w:ascii="Times New Roman" w:hAnsi="Times New Roman"/>
          <w:color w:val="000000"/>
          <w:szCs w:val="22"/>
          <w:lang w:val="pt-BR"/>
        </w:rPr>
        <w:t>1.</w:t>
      </w:r>
      <w:r w:rsidRPr="00D65A20">
        <w:rPr>
          <w:rFonts w:ascii="Times New Roman" w:hAnsi="Times New Roman"/>
          <w:color w:val="000000"/>
          <w:szCs w:val="22"/>
          <w:lang w:val="pt-BR"/>
        </w:rPr>
        <w:tab/>
        <w:t xml:space="preserve">Instar os Estados membros a que considerem a situação de discriminação estrutural e as barreiras físicas e de atitude que as pessoas com deficiência enfrentam no contexto da pandemia de covid-19 e incluam de maneira integral suas necessidades específicas nas respostas durante e após a pandemia, de maneira que as pessoas com deficiência possam exercer seus direitos em igualdade de condições com as demais pessoas e sem discriminação, em conformidade com os objetivos propostos na </w:t>
      </w:r>
      <w:r w:rsidRPr="00D65A20">
        <w:rPr>
          <w:rFonts w:ascii="Times New Roman" w:hAnsi="Times New Roman"/>
          <w:szCs w:val="22"/>
          <w:lang w:val="pt-BR"/>
        </w:rPr>
        <w:t>Convenção Interamericana para a Eliminação de Todas as Formas de Discriminação contra as Pessoas com Deficiência (CIADDIS)</w:t>
      </w:r>
      <w:r w:rsidR="008E4172" w:rsidRPr="00D65A20">
        <w:rPr>
          <w:rFonts w:ascii="Times New Roman" w:hAnsi="Times New Roman"/>
          <w:szCs w:val="22"/>
          <w:lang w:val="pt-BR"/>
        </w:rPr>
        <w:t xml:space="preserve"> </w:t>
      </w:r>
      <w:r w:rsidRPr="00D65A20">
        <w:rPr>
          <w:rFonts w:ascii="Times New Roman" w:hAnsi="Times New Roman"/>
          <w:color w:val="000000"/>
          <w:szCs w:val="22"/>
          <w:lang w:val="pt-BR"/>
        </w:rPr>
        <w:t xml:space="preserve">e no </w:t>
      </w:r>
      <w:r w:rsidRPr="00D65A20">
        <w:rPr>
          <w:rFonts w:ascii="Times New Roman" w:hAnsi="Times New Roman"/>
          <w:szCs w:val="22"/>
          <w:lang w:val="pt-BR"/>
        </w:rPr>
        <w:t xml:space="preserve">Programa de Ação para a Década das Américas pelos Direitos e pela Dignidade das Pessoas com Deficiência </w:t>
      </w:r>
      <w:r w:rsidRPr="00D65A20">
        <w:rPr>
          <w:rFonts w:ascii="Times New Roman" w:eastAsia="MS Mincho" w:hAnsi="Times New Roman"/>
          <w:szCs w:val="22"/>
          <w:lang w:val="pt-BR" w:eastAsia="es-ES_tradnl"/>
        </w:rPr>
        <w:t>2016–2026 (PAD)</w:t>
      </w:r>
      <w:r w:rsidRPr="00D65A20">
        <w:rPr>
          <w:rFonts w:ascii="Times New Roman" w:hAnsi="Times New Roman"/>
          <w:color w:val="000000"/>
          <w:szCs w:val="22"/>
          <w:lang w:val="pt-BR"/>
        </w:rPr>
        <w:t>, entre outros instrumentos internacionais na matéria.</w:t>
      </w:r>
    </w:p>
    <w:p w14:paraId="4FDF7E1C"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rPr>
      </w:pPr>
    </w:p>
    <w:p w14:paraId="4BF5D1C9"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rPr>
      </w:pPr>
      <w:r w:rsidRPr="00D65A20">
        <w:rPr>
          <w:rFonts w:ascii="Times New Roman" w:hAnsi="Times New Roman"/>
          <w:color w:val="000000"/>
          <w:szCs w:val="22"/>
          <w:lang w:val="pt-BR"/>
        </w:rPr>
        <w:t>2.</w:t>
      </w:r>
      <w:r w:rsidRPr="00D65A20">
        <w:rPr>
          <w:rFonts w:ascii="Times New Roman" w:hAnsi="Times New Roman"/>
          <w:color w:val="000000"/>
          <w:szCs w:val="22"/>
          <w:lang w:val="pt-BR"/>
        </w:rPr>
        <w:tab/>
        <w:t>Exortar os Estados membros a que tomem medidas orientadas a assegurar que as pessoas com deficiência tenham acesso ao teletrabalho, em igualdade de condições com o resto dos trabalhadores e trabalhadoras, para que possam continuar satisfazendo suas necessidades econômicas, da mesma maneira que seus pares. Instar os Estados membros e os empregadores a que proporcionem condições de acessibilidade que permitam o cumprimento do teletrabalho para as pessoas com deficiência em igualdade de condições com as demais pessoas.</w:t>
      </w:r>
    </w:p>
    <w:p w14:paraId="307DEF27"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iCs/>
          <w:color w:val="000000"/>
          <w:szCs w:val="22"/>
          <w:lang w:val="pt-BR"/>
        </w:rPr>
      </w:pPr>
    </w:p>
    <w:p w14:paraId="6A4C6A8E"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rPr>
      </w:pPr>
      <w:r w:rsidRPr="00D65A20">
        <w:rPr>
          <w:rFonts w:ascii="Times New Roman" w:hAnsi="Times New Roman"/>
          <w:iCs/>
          <w:color w:val="000000"/>
          <w:szCs w:val="22"/>
          <w:lang w:val="pt-BR"/>
        </w:rPr>
        <w:t>3.</w:t>
      </w:r>
      <w:r w:rsidRPr="00D65A20">
        <w:rPr>
          <w:rFonts w:ascii="Times New Roman" w:hAnsi="Times New Roman"/>
          <w:iCs/>
          <w:color w:val="000000"/>
          <w:szCs w:val="22"/>
          <w:lang w:val="pt-BR"/>
        </w:rPr>
        <w:tab/>
        <w:t xml:space="preserve">Instar os Estados membros a que adotem </w:t>
      </w:r>
      <w:r w:rsidRPr="00D65A20">
        <w:rPr>
          <w:rFonts w:ascii="Times New Roman" w:hAnsi="Times New Roman"/>
          <w:color w:val="000000"/>
          <w:szCs w:val="22"/>
          <w:lang w:val="pt-BR"/>
        </w:rPr>
        <w:t>todas as medidas necessárias para ajudar a garantir a segurança e a proteção das pessoas com deficiência, sem nenhum tipo de discriminação, em situações de risco ou emergência.</w:t>
      </w:r>
    </w:p>
    <w:p w14:paraId="10A0BD0E"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rPr>
      </w:pPr>
    </w:p>
    <w:p w14:paraId="0181720B"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rPr>
      </w:pPr>
      <w:r w:rsidRPr="00D65A20">
        <w:rPr>
          <w:rFonts w:ascii="Times New Roman" w:hAnsi="Times New Roman"/>
          <w:color w:val="000000"/>
          <w:szCs w:val="22"/>
          <w:lang w:val="pt-BR"/>
        </w:rPr>
        <w:t>4.</w:t>
      </w:r>
      <w:r w:rsidRPr="00D65A20">
        <w:rPr>
          <w:rFonts w:ascii="Times New Roman" w:hAnsi="Times New Roman"/>
          <w:color w:val="000000"/>
          <w:szCs w:val="22"/>
          <w:lang w:val="pt-BR"/>
        </w:rPr>
        <w:tab/>
        <w:t>Convidar os Estados membros a que estabeleçam, promovam e executem políticas para a atenção oportuna, a equiparação de oportunidades e a inclusão das pessoas com deficiência, por meio de planos, programas, projetos e ações encaminhadas ao cumprimento e ao exercício de seus direitos.</w:t>
      </w:r>
    </w:p>
    <w:p w14:paraId="5E00CD10" w14:textId="77777777" w:rsidR="000933AA" w:rsidRPr="00D65A20" w:rsidRDefault="000933AA" w:rsidP="00ED0D8E">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rPr>
      </w:pPr>
    </w:p>
    <w:p w14:paraId="5FC7BA1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rPr>
      </w:pPr>
      <w:r w:rsidRPr="00D65A20">
        <w:rPr>
          <w:rFonts w:ascii="Times New Roman" w:hAnsi="Times New Roman"/>
          <w:color w:val="000000"/>
          <w:szCs w:val="22"/>
          <w:lang w:val="pt-BR"/>
        </w:rPr>
        <w:t>5.</w:t>
      </w:r>
      <w:r w:rsidRPr="00D65A20">
        <w:rPr>
          <w:rFonts w:ascii="Times New Roman" w:hAnsi="Times New Roman"/>
          <w:color w:val="000000"/>
          <w:szCs w:val="22"/>
          <w:lang w:val="pt-BR"/>
        </w:rPr>
        <w:tab/>
        <w:t>Incentivar os Estados membros que não são Partes na CIADDIS a que considerem a possibilidade de assinar ou ratificar a referida Convenção, ou a ela aderir, conforme o caso, com o fim de intensificar os esforços regionais em matéria de inclusão e contra a discriminação das pessoas com deficiência; reiterar a importância de que se efetuem contribuições voluntárias ao Fundo Específico para a Comissão para a Eliminação de Todas as Formas de Discriminação contra as Pessoas com Deficiência (CEDDIS) [CP/RES. 947 (1683/09)], criado com o fim de complementar o financiamento das atividades do CEDDIS e de sua Secretaria Técnica; e incentivar os Estados Partes na Convenção a que realizem seus maiores esforços para implementar as recomendações emitidas pelo CEDDIS em suas avaliações por âmbitos de ação dos relatórios nacionais sobre a implementação da CIADDIS para os Estados partes e o PAD.</w:t>
      </w:r>
    </w:p>
    <w:p w14:paraId="0C3A595A"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rPr>
      </w:pPr>
    </w:p>
    <w:p w14:paraId="35827B22"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rPr>
      </w:pPr>
      <w:r w:rsidRPr="00D65A20">
        <w:rPr>
          <w:rFonts w:ascii="Times New Roman" w:hAnsi="Times New Roman"/>
          <w:iCs/>
          <w:color w:val="000000"/>
          <w:szCs w:val="22"/>
          <w:lang w:val="pt-BR"/>
        </w:rPr>
        <w:t>6.</w:t>
      </w:r>
      <w:r w:rsidRPr="00D65A20">
        <w:rPr>
          <w:rFonts w:ascii="Times New Roman" w:hAnsi="Times New Roman"/>
          <w:iCs/>
          <w:color w:val="000000"/>
          <w:szCs w:val="22"/>
          <w:lang w:val="pt-BR"/>
        </w:rPr>
        <w:tab/>
      </w:r>
      <w:r w:rsidRPr="00D65A20">
        <w:rPr>
          <w:rFonts w:ascii="Times New Roman" w:hAnsi="Times New Roman"/>
          <w:color w:val="000000"/>
          <w:szCs w:val="22"/>
          <w:lang w:val="pt-BR"/>
        </w:rPr>
        <w:t xml:space="preserve">Reconhecer e fortalecer o trabalho do Departamento de Inclusão Social e encarregá-lo de, na qualidade de Secretaria Técnica da CEDDIS e área promotora de programas, projetos e </w:t>
      </w:r>
      <w:r w:rsidRPr="00D65A20">
        <w:rPr>
          <w:rFonts w:ascii="Times New Roman" w:hAnsi="Times New Roman"/>
          <w:color w:val="000000"/>
          <w:szCs w:val="22"/>
          <w:lang w:val="pt-BR"/>
        </w:rPr>
        <w:lastRenderedPageBreak/>
        <w:t>iniciativas de inclusão social das pessoas com deficiência, continuar, em coordenação com os Estados membros, difundindo e promovendo os direitos desse coletivo, a não discriminação e sua plena participação em todos os âmbitos da sociedade; e reiterar o pedido à Secretaria-Geral para que envide os mais amplos esforços para transversalizar e intersetorializar a perspectiva de inclusão das pessoas com deficiência na Organização, com um enfoque de direitos.</w:t>
      </w:r>
    </w:p>
    <w:p w14:paraId="69BA8BFC"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rPr>
      </w:pPr>
    </w:p>
    <w:p w14:paraId="34992B1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rPr>
      </w:pPr>
      <w:r w:rsidRPr="00D65A20">
        <w:rPr>
          <w:rFonts w:ascii="Times New Roman" w:hAnsi="Times New Roman"/>
          <w:color w:val="000000"/>
          <w:szCs w:val="22"/>
          <w:lang w:val="pt-BR"/>
        </w:rPr>
        <w:t>7.</w:t>
      </w:r>
      <w:r w:rsidRPr="00D65A20">
        <w:rPr>
          <w:rFonts w:ascii="Times New Roman" w:hAnsi="Times New Roman"/>
          <w:color w:val="000000"/>
          <w:szCs w:val="22"/>
          <w:lang w:val="pt-BR"/>
        </w:rPr>
        <w:tab/>
        <w:t>Incentivar os Estados membros e Observadores Permanentes a que contribuam ao fundo específico de contribuições voluntárias a fim de apoiar a implementação do PAD e a gestão do Grupo de Trabalho Misto encarregado do acompanhamento da implementação do referido instrumento.</w:t>
      </w:r>
    </w:p>
    <w:p w14:paraId="73163A49"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rPr>
      </w:pPr>
    </w:p>
    <w:p w14:paraId="36C7002D"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szCs w:val="22"/>
          <w:lang w:val="pt-BR"/>
        </w:rPr>
      </w:pPr>
      <w:r w:rsidRPr="00D65A20">
        <w:rPr>
          <w:rFonts w:ascii="Times New Roman" w:hAnsi="Times New Roman"/>
          <w:szCs w:val="22"/>
          <w:lang w:val="pt-BR"/>
        </w:rPr>
        <w:t xml:space="preserve">8. </w:t>
      </w:r>
      <w:r w:rsidRPr="00D65A20">
        <w:rPr>
          <w:rFonts w:ascii="Times New Roman" w:hAnsi="Times New Roman"/>
          <w:szCs w:val="22"/>
          <w:lang w:val="pt-BR"/>
        </w:rPr>
        <w:tab/>
        <w:t>Convidar os Estados membros e a Secretaria-Geral a que comemorem o Dia Internacional das Pessoas com Deficiência, que se celebra em 3 de dezembro, por meio de ações que contribuam ao pleno reconhecimento, visibilização, exercício e desfrute dos direitos das pessoas com deficiência nos planos nacional e internacional para a consecução dos objetivos comuns; e, no que diz respeito às atividades impulsionadas pela Organização, que estas se realizem com sujeição à disponibilidade de recursos financeiros em seu orçamento-programa e outros recursos.</w:t>
      </w:r>
    </w:p>
    <w:p w14:paraId="0B5E895B"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hAnsi="Times New Roman"/>
          <w:szCs w:val="22"/>
          <w:lang w:val="pt-BR"/>
        </w:rPr>
      </w:pPr>
    </w:p>
    <w:p w14:paraId="44C814B7"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jc w:val="left"/>
        <w:rPr>
          <w:rFonts w:ascii="Times New Roman" w:hAnsi="Times New Roman"/>
          <w:szCs w:val="22"/>
          <w:lang w:val="pt-BR" w:eastAsia="pt-BR"/>
        </w:rPr>
      </w:pPr>
      <w:r w:rsidRPr="00D65A20">
        <w:rPr>
          <w:rFonts w:ascii="Times New Roman" w:hAnsi="Times New Roman"/>
          <w:szCs w:val="22"/>
          <w:lang w:val="pt-BR"/>
        </w:rPr>
        <w:t>xvii.</w:t>
      </w:r>
      <w:r w:rsidRPr="00D65A20">
        <w:rPr>
          <w:rFonts w:ascii="Times New Roman" w:hAnsi="Times New Roman"/>
          <w:szCs w:val="22"/>
          <w:lang w:val="pt-BR"/>
        </w:rPr>
        <w:tab/>
      </w:r>
      <w:r w:rsidRPr="00D65A20">
        <w:rPr>
          <w:rFonts w:ascii="Times New Roman" w:hAnsi="Times New Roman"/>
          <w:color w:val="000000"/>
          <w:szCs w:val="22"/>
          <w:u w:val="single"/>
          <w:lang w:val="pt-BR" w:eastAsia="es-MX"/>
        </w:rPr>
        <w:t>Proteção dos solicitantes do reconhecimento da condição de refugiado e dos refugiados nas Américas</w:t>
      </w:r>
    </w:p>
    <w:p w14:paraId="4ACF9436"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eastAsia="es-MX"/>
        </w:rPr>
      </w:pPr>
    </w:p>
    <w:p w14:paraId="1875AC65"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eastAsia="es-MX"/>
        </w:rPr>
      </w:pPr>
      <w:r w:rsidRPr="00D65A20">
        <w:rPr>
          <w:rFonts w:ascii="Times New Roman" w:hAnsi="Times New Roman"/>
          <w:color w:val="000000"/>
          <w:szCs w:val="22"/>
          <w:lang w:val="pt-BR" w:eastAsia="es-MX"/>
        </w:rPr>
        <w:t>DESTACANDO a importância do Plano de Ação do Brasil de 2014, adotado em 3 de dezembro de 2014 como o marco estratégico para a proteção das pessoas solicitantes da condição de pessoas refugiadas, deslocadas e apátridas na região;</w:t>
      </w:r>
    </w:p>
    <w:p w14:paraId="75634AD2"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eastAsia="es-MX"/>
        </w:rPr>
      </w:pPr>
    </w:p>
    <w:p w14:paraId="7D3A59F7"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eastAsia="es-MX"/>
        </w:rPr>
      </w:pPr>
      <w:r w:rsidRPr="00D65A20">
        <w:rPr>
          <w:rFonts w:ascii="Times New Roman" w:hAnsi="Times New Roman"/>
          <w:color w:val="000000"/>
          <w:szCs w:val="22"/>
          <w:lang w:val="pt-BR" w:eastAsia="es-MX"/>
        </w:rPr>
        <w:t>DESTACANDO TAMBÉM a importância do Pacto Mundial sobre os Refugiados, do lançamento do Grupo de Apoio à Capacidade de Asilo e da apresentação de compromissos por diversos Estados membros da Organização no Primeiro Foro Mundial sobre os Refugiados, realizado em Genebra em dezembro de 2019, em particular sobre o fortalecimento das capacidades de asilo e de proteção, a responsabilidade compartilhada e as soluções duradouras;</w:t>
      </w:r>
    </w:p>
    <w:p w14:paraId="429A465A"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eastAsia="es-MX"/>
        </w:rPr>
      </w:pPr>
    </w:p>
    <w:p w14:paraId="3389BAA5" w14:textId="00CC10EF"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eastAsia="es-MX"/>
        </w:rPr>
      </w:pPr>
      <w:r w:rsidRPr="00D65A20">
        <w:rPr>
          <w:rFonts w:ascii="Times New Roman" w:hAnsi="Times New Roman"/>
          <w:color w:val="000000"/>
          <w:szCs w:val="22"/>
          <w:lang w:val="pt-BR" w:eastAsia="es-MX"/>
        </w:rPr>
        <w:tab/>
        <w:t xml:space="preserve">RECORDANDO as resoluções AG/RES. 2928 (XLVIII-O/18) e AG/RES 2941 (XLIX-O/19), que fazem referência ao Marco Integral Regional para a Proteção e Soluções (MIRPS), agora integrado por Belize, Costa Rica, El Salvador, Guatemala, Honduras, México e Panamá, considerado pelos 100 pontos de Brasília como uma iniciativa sub-regional pioneira e dinâmica que supõe a aplicação prática do Marco de Resposta Integral para os Refugiados e uma contribuição para o Pacto Mundial sobre os Refugiados; e tomando nota da Declaração da Cidade do México sobre proteção internacional, responsabilidade compartilhada e ações de solidariedade regional em países do MIRPS, adotada na “Segunda Reunião Anual do Marco Integral Regional para a Proteção e Soluções </w:t>
      </w:r>
      <w:r w:rsidR="008E4172" w:rsidRPr="00D65A20">
        <w:rPr>
          <w:rFonts w:ascii="Times New Roman" w:hAnsi="Times New Roman"/>
          <w:color w:val="000000"/>
          <w:szCs w:val="22"/>
          <w:lang w:val="pt-BR" w:eastAsia="es-MX"/>
        </w:rPr>
        <w:t>(</w:t>
      </w:r>
      <w:r w:rsidRPr="00D65A20">
        <w:rPr>
          <w:rFonts w:ascii="Times New Roman" w:hAnsi="Times New Roman"/>
          <w:color w:val="000000"/>
          <w:szCs w:val="22"/>
          <w:lang w:val="pt-BR" w:eastAsia="es-MX"/>
        </w:rPr>
        <w:t>MIRPS</w:t>
      </w:r>
      <w:r w:rsidR="008E4172" w:rsidRPr="00D65A20">
        <w:rPr>
          <w:rFonts w:ascii="Times New Roman" w:hAnsi="Times New Roman"/>
          <w:color w:val="000000"/>
          <w:szCs w:val="22"/>
          <w:lang w:val="pt-BR" w:eastAsia="es-MX"/>
        </w:rPr>
        <w:t>)</w:t>
      </w:r>
      <w:r w:rsidRPr="00D65A20">
        <w:rPr>
          <w:rFonts w:ascii="Times New Roman" w:hAnsi="Times New Roman"/>
          <w:color w:val="000000"/>
          <w:szCs w:val="22"/>
          <w:lang w:val="pt-BR" w:eastAsia="es-MX"/>
        </w:rPr>
        <w:t>” em 8 de novembro de 2019, bem como da apresentação do Segundo Relatório de Acompanhamento do MIRPS no Primeiro Foro Mundial sobre os Refugiados; e</w:t>
      </w:r>
    </w:p>
    <w:p w14:paraId="45CA1E8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eastAsia="es-MX"/>
        </w:rPr>
      </w:pPr>
    </w:p>
    <w:p w14:paraId="760167DF"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eastAsia="es-MX"/>
        </w:rPr>
      </w:pPr>
      <w:r w:rsidRPr="00D65A20">
        <w:rPr>
          <w:rFonts w:ascii="Times New Roman" w:hAnsi="Times New Roman"/>
          <w:color w:val="000000"/>
          <w:szCs w:val="22"/>
          <w:lang w:val="pt-BR" w:eastAsia="es-MX"/>
        </w:rPr>
        <w:t>DESTACANDO que a região enfrenta situações humanitárias sem precedentes e que mais de 1,9 milhão de pessoas tinham pedidos de reconhecimentos da condição de refugiadas pendentes no final de 2019,</w:t>
      </w:r>
      <w:r w:rsidRPr="00D65A20">
        <w:rPr>
          <w:rFonts w:ascii="Times New Roman" w:hAnsi="Times New Roman"/>
          <w:color w:val="000000"/>
          <w:szCs w:val="22"/>
          <w:u w:val="single"/>
          <w:vertAlign w:val="superscript"/>
          <w:lang w:val="pt-BR" w:eastAsia="es-MX"/>
        </w:rPr>
        <w:footnoteReference w:id="89"/>
      </w:r>
      <w:r w:rsidRPr="00D65A20">
        <w:rPr>
          <w:rFonts w:ascii="Times New Roman" w:hAnsi="Times New Roman"/>
          <w:color w:val="000000"/>
          <w:szCs w:val="22"/>
          <w:vertAlign w:val="superscript"/>
          <w:lang w:val="pt-BR" w:eastAsia="es-MX"/>
        </w:rPr>
        <w:t>/</w:t>
      </w:r>
      <w:r w:rsidRPr="00D65A20">
        <w:rPr>
          <w:rFonts w:ascii="Times New Roman" w:hAnsi="Times New Roman"/>
          <w:color w:val="000000"/>
          <w:szCs w:val="22"/>
          <w:lang w:val="pt-BR" w:eastAsia="es-MX"/>
        </w:rPr>
        <w:t xml:space="preserve"> sendo urgente desenhar soluções inovadoras e pragmáticas para determinar a condição de pessoa refugiada de maneira coerente com as obrigações dos Estados sob o Direito </w:t>
      </w:r>
      <w:r w:rsidRPr="00D65A20">
        <w:rPr>
          <w:rFonts w:ascii="Times New Roman" w:hAnsi="Times New Roman"/>
          <w:color w:val="000000"/>
          <w:szCs w:val="22"/>
          <w:lang w:val="pt-BR" w:eastAsia="es-MX"/>
        </w:rPr>
        <w:lastRenderedPageBreak/>
        <w:t>internacional dos refugiados e para fortalecer os sistemas nacionais na determinação da condição de pessoa refugiada, situação agravada pela pandemia de covid-19,</w:t>
      </w:r>
    </w:p>
    <w:p w14:paraId="2EFABF8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eastAsia="es-MX"/>
        </w:rPr>
      </w:pPr>
    </w:p>
    <w:p w14:paraId="6491D4D6"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eastAsia="es-MX"/>
        </w:rPr>
      </w:pPr>
      <w:r w:rsidRPr="00D65A20">
        <w:rPr>
          <w:rFonts w:ascii="Times New Roman" w:hAnsi="Times New Roman"/>
          <w:color w:val="000000"/>
          <w:szCs w:val="22"/>
          <w:lang w:val="pt-BR" w:eastAsia="es-MX"/>
        </w:rPr>
        <w:t>RESOLVE:</w:t>
      </w:r>
    </w:p>
    <w:p w14:paraId="499F0430"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eastAsia="es-MX"/>
        </w:rPr>
      </w:pPr>
    </w:p>
    <w:p w14:paraId="7470753C"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eastAsia="es-MX"/>
        </w:rPr>
      </w:pPr>
      <w:r w:rsidRPr="00D65A20">
        <w:rPr>
          <w:rFonts w:ascii="Times New Roman" w:hAnsi="Times New Roman"/>
          <w:color w:val="000000"/>
          <w:szCs w:val="22"/>
          <w:lang w:val="pt-BR" w:eastAsia="es-MX"/>
        </w:rPr>
        <w:t xml:space="preserve">1. </w:t>
      </w:r>
      <w:r w:rsidRPr="00D65A20">
        <w:rPr>
          <w:rFonts w:ascii="Times New Roman" w:hAnsi="Times New Roman"/>
          <w:color w:val="000000"/>
          <w:szCs w:val="22"/>
          <w:lang w:val="pt-BR" w:eastAsia="es-MX"/>
        </w:rPr>
        <w:tab/>
        <w:t>Exortar os Estados membros a que continuem implementando os programas e os eixos temáticos do Plano de Ação do Brasil e a que, com o apoio do ACNUR e do Grupo de Apoio à Capacidade de Asilo, continuem fortalecendo, de acordo com a conveniência, as suas capacidades nacionais de asilo a fim de responder melhor à grande afluência de pessoas com necessidades de proteção internacional, de acordo com os recursos disponíveis; e convidar os Estados membros interessados a que implementem os compromissos apresentados no Primeiro Foro Mundial sobre os Refugiados.</w:t>
      </w:r>
    </w:p>
    <w:p w14:paraId="194E69CC"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eastAsia="es-MX"/>
        </w:rPr>
      </w:pPr>
    </w:p>
    <w:p w14:paraId="703D7945"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eastAsia="es-MX"/>
        </w:rPr>
      </w:pPr>
      <w:r w:rsidRPr="00D65A20">
        <w:rPr>
          <w:rFonts w:ascii="Times New Roman" w:hAnsi="Times New Roman"/>
          <w:color w:val="000000"/>
          <w:szCs w:val="22"/>
          <w:lang w:val="pt-BR" w:eastAsia="es-MX"/>
        </w:rPr>
        <w:t>2.</w:t>
      </w:r>
      <w:r w:rsidRPr="00D65A20">
        <w:rPr>
          <w:rFonts w:ascii="Times New Roman" w:hAnsi="Times New Roman"/>
          <w:color w:val="000000"/>
          <w:szCs w:val="22"/>
          <w:lang w:val="pt-BR" w:eastAsia="es-MX"/>
        </w:rPr>
        <w:tab/>
        <w:t>Recomendar aos Estados membros interessados que desenvolvam melhores práticas para a determinação da condição de pessoa refugiada, com base na otimização dos mecanismos de identificação de necessidades de proteção internacional, de acordo com o perfil, os riscos e as vulnerabilidades da pessoa; o fortalecimento dos sistemas de referência de casos, do registro biométrico e do processo informatizado dos pedidos; o estabelecimento de sistemas de triagem e de procedimentos acelerados, simplificados, agrupados e especiais de determinação da condição de pessoa refugiada, ou baseados na presunção de inclusão e na determinação grupal, conforme o caso; e a promoção da identidade digital.</w:t>
      </w:r>
    </w:p>
    <w:p w14:paraId="016234D2"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eastAsia="es-MX"/>
        </w:rPr>
      </w:pPr>
    </w:p>
    <w:p w14:paraId="2F910D5E"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eastAsia="es-MX"/>
        </w:rPr>
      </w:pPr>
      <w:r w:rsidRPr="00D65A20">
        <w:rPr>
          <w:rFonts w:ascii="Times New Roman" w:hAnsi="Times New Roman"/>
          <w:color w:val="000000"/>
          <w:szCs w:val="22"/>
          <w:lang w:val="pt-BR" w:eastAsia="es-MX"/>
        </w:rPr>
        <w:t>3.</w:t>
      </w:r>
      <w:r w:rsidRPr="00D65A20">
        <w:rPr>
          <w:rFonts w:ascii="Times New Roman" w:hAnsi="Times New Roman"/>
          <w:color w:val="000000"/>
          <w:szCs w:val="22"/>
          <w:lang w:val="pt-BR" w:eastAsia="es-MX"/>
        </w:rPr>
        <w:tab/>
        <w:t>Fazer um apelo ao ACNUR e à comunidade internacional a que, em vista da sobrecarga dos sistemas de determinação da condição de pessoa refugiada, agravada pela pandemia de covid-19, apoiem a elaboração, o financiamento e a implementação de projetos nacionais de fortalecimento dos sistemas nacionais de asilo nos países interessados, bem como iniciativas regionais que favoreçam a capacitação e o intercâmbio de práticas entre as Comissões Nacionais para Refugiados (CONAREs), a identificação de perfis de pessoas em risco por meio de informações do país de origem, o intercâmbio de boas práticas por meio de uma plataforma regional digital e a divulgação de um modelo regional para a determinação da condição de pessoa refugiada.</w:t>
      </w:r>
    </w:p>
    <w:p w14:paraId="6ABAA80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eastAsia="es-MX"/>
        </w:rPr>
      </w:pPr>
    </w:p>
    <w:p w14:paraId="15CC70C5"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eastAsia="es-MX"/>
        </w:rPr>
      </w:pPr>
      <w:r w:rsidRPr="00D65A20">
        <w:rPr>
          <w:rFonts w:ascii="Times New Roman" w:hAnsi="Times New Roman"/>
          <w:color w:val="000000"/>
          <w:szCs w:val="22"/>
          <w:lang w:val="pt-BR" w:eastAsia="es-MX"/>
        </w:rPr>
        <w:t>4.</w:t>
      </w:r>
      <w:r w:rsidRPr="00D65A20">
        <w:rPr>
          <w:rFonts w:ascii="Times New Roman" w:hAnsi="Times New Roman"/>
          <w:color w:val="000000"/>
          <w:szCs w:val="22"/>
          <w:lang w:val="pt-BR" w:eastAsia="es-MX"/>
        </w:rPr>
        <w:tab/>
        <w:t>Incentivar, quando apropriado, a atualização das normas nacionais, levando em conta as experiências e as boas práticas implementadas pelos Estados membros em matéria de prevenção, proteção e soluções duradouras para pessoas com necessidades de proteção internacional, como o Marco Integral Regional para a Proteção e Soluções (MIRPS), entre outras, com o apoio e a colaboração técnica da Secretaria-Geral da OEA e ACNUR, bem como o trabalho conjunto no desenvolvimento de mecanismos de solidariedade internacional, cooperação regional e responsabilidade compartilhada, com a participação de todos os atores relevantes; e encarregar a CAJP de dar acompanhamento a essa resolução e de informar a respeito anualmente.</w:t>
      </w:r>
    </w:p>
    <w:p w14:paraId="5F0EE020"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eastAsia="es-MX"/>
        </w:rPr>
      </w:pPr>
    </w:p>
    <w:p w14:paraId="58B90C0E"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eastAsia="es-MX"/>
        </w:rPr>
      </w:pPr>
      <w:r w:rsidRPr="00D65A20">
        <w:rPr>
          <w:rFonts w:ascii="Times New Roman" w:hAnsi="Times New Roman"/>
          <w:color w:val="000000"/>
          <w:szCs w:val="22"/>
          <w:lang w:val="pt-BR" w:eastAsia="es-MX"/>
        </w:rPr>
        <w:t>5.</w:t>
      </w:r>
      <w:r w:rsidRPr="00D65A20">
        <w:rPr>
          <w:rFonts w:ascii="Times New Roman" w:hAnsi="Times New Roman"/>
          <w:color w:val="000000"/>
          <w:szCs w:val="22"/>
          <w:lang w:val="pt-BR" w:eastAsia="es-MX"/>
        </w:rPr>
        <w:tab/>
        <w:t>Destacar a aprovação da resolução CP/RES. 1154 (2286/20), que estabelece o “Fundo do Marco Integral Regional para a Proteção e Soluções (MIRPS) e Regulamento para o seu Funcionamento”, e exortar os Estados membros, os Observadores Permanentes e outros doadores a que façam contribuições voluntárias para o fundo, para apoiar os objetivos do MIRPS com vistas a aumentar e fortalecer as suas atividades, bem como os mecanismos de cooperação regional em apoio à implementação do Pacto Mundial sobre os Refugiados.</w:t>
      </w:r>
    </w:p>
    <w:p w14:paraId="4E106C85"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eastAsia="es-MX"/>
        </w:rPr>
      </w:pPr>
    </w:p>
    <w:p w14:paraId="672018AF"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eastAsia="es-MX"/>
        </w:rPr>
      </w:pPr>
      <w:r w:rsidRPr="00D65A20">
        <w:rPr>
          <w:rFonts w:ascii="Times New Roman" w:hAnsi="Times New Roman"/>
          <w:color w:val="000000"/>
          <w:szCs w:val="22"/>
          <w:lang w:val="pt-BR" w:eastAsia="es-MX"/>
        </w:rPr>
        <w:lastRenderedPageBreak/>
        <w:t>6.</w:t>
      </w:r>
      <w:r w:rsidRPr="00D65A20">
        <w:rPr>
          <w:rFonts w:ascii="Times New Roman" w:hAnsi="Times New Roman"/>
          <w:color w:val="000000"/>
          <w:szCs w:val="22"/>
          <w:lang w:val="pt-BR" w:eastAsia="es-MX"/>
        </w:rPr>
        <w:tab/>
        <w:t>Reconhecer o estabelecimento da Plataforma de Apoio do MIRPS, em particular o compromisso assumido pela Espanha de exercer a Presidência e liderar os esforços de mobilização de assistência financeira e técnica e de apoio político, a fim de fomentar a continuidade, a previsibilidade e a sustentabilidade do apoio aos objetivos nacionais e regionais dos países que participam do MIRPS.</w:t>
      </w:r>
    </w:p>
    <w:p w14:paraId="555FE0C4"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eastAsia="es-MX"/>
        </w:rPr>
      </w:pPr>
    </w:p>
    <w:p w14:paraId="5A3EAE52"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color w:val="000000"/>
          <w:szCs w:val="22"/>
          <w:lang w:val="pt-BR" w:eastAsia="es-MX"/>
        </w:rPr>
      </w:pPr>
      <w:r w:rsidRPr="00D65A20">
        <w:rPr>
          <w:rFonts w:ascii="Times New Roman" w:hAnsi="Times New Roman"/>
          <w:color w:val="000000"/>
          <w:szCs w:val="22"/>
          <w:lang w:val="pt-BR" w:eastAsia="es-MX"/>
        </w:rPr>
        <w:t>7.</w:t>
      </w:r>
      <w:r w:rsidRPr="00D65A20">
        <w:rPr>
          <w:rFonts w:ascii="Times New Roman" w:hAnsi="Times New Roman"/>
          <w:color w:val="000000"/>
          <w:szCs w:val="22"/>
          <w:lang w:val="pt-BR" w:eastAsia="es-MX"/>
        </w:rPr>
        <w:tab/>
        <w:t>Reconhecer que os Estados adotaram políticas e medidas para prevenir o contágio da pandemia de covid-19 e considerar que esse contexto representa um desafio maior para os Estados membros do MIRPS e outros Estados da região, por ter o potencial de afetar gravemente a plena vigência dos direitos humanos das pessoas solicitantes da condição de refugiadas, das que retornaram e precisam de proteção e das deslocadas. Além disso, torna-se essencial a busca de mecanismos para a implementação de medidas de prevenção e combate à xenofobia e à estigmatização de membros dessa população vulnerável, bem como a sua inclusão nas políticas e nas ações de atenção e assistência humanitária na pandemia.</w:t>
      </w:r>
      <w:r w:rsidRPr="00D65A20">
        <w:rPr>
          <w:rFonts w:ascii="Times New Roman" w:hAnsi="Times New Roman"/>
          <w:color w:val="000000"/>
          <w:szCs w:val="22"/>
          <w:u w:val="single"/>
          <w:vertAlign w:val="superscript"/>
          <w:lang w:val="pt-BR" w:eastAsia="es-MX"/>
        </w:rPr>
        <w:footnoteReference w:id="90"/>
      </w:r>
      <w:r w:rsidRPr="00D65A20">
        <w:rPr>
          <w:rFonts w:ascii="Times New Roman" w:hAnsi="Times New Roman"/>
          <w:color w:val="000000"/>
          <w:szCs w:val="22"/>
          <w:vertAlign w:val="superscript"/>
          <w:lang w:val="pt-BR" w:eastAsia="es-MX"/>
        </w:rPr>
        <w:t>/</w:t>
      </w:r>
    </w:p>
    <w:p w14:paraId="31B267F1"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eastAsia="es-MX"/>
        </w:rPr>
      </w:pPr>
    </w:p>
    <w:p w14:paraId="244A4E76"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lang w:val="pt-BR"/>
        </w:rPr>
      </w:pPr>
      <w:r w:rsidRPr="00D65A20">
        <w:rPr>
          <w:rFonts w:ascii="Times New Roman" w:hAnsi="Times New Roman"/>
          <w:color w:val="000000"/>
          <w:szCs w:val="22"/>
          <w:lang w:val="pt-BR" w:eastAsia="es-MX"/>
        </w:rPr>
        <w:t xml:space="preserve">8. </w:t>
      </w:r>
      <w:r w:rsidRPr="00D65A20">
        <w:rPr>
          <w:rFonts w:ascii="Times New Roman" w:hAnsi="Times New Roman"/>
          <w:color w:val="000000"/>
          <w:szCs w:val="22"/>
          <w:lang w:val="pt-BR" w:eastAsia="es-MX"/>
        </w:rPr>
        <w:tab/>
        <w:t>Convidar os Estados membros a que proporcionem assistência humanitária e a busca e adoção de medidas de proteção, bem como soluções duradouras para os múltiplos problemas que afetam as pessoas com necessidades de proteção internacional, aumentados pela covid-19, o que agrava a sua situação de vulnerabilidade.</w:t>
      </w:r>
    </w:p>
    <w:p w14:paraId="51B0CA66"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06519A7A"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06" w:hanging="706"/>
        <w:rPr>
          <w:rFonts w:ascii="Times New Roman" w:hAnsi="Times New Roman"/>
          <w:caps/>
          <w:szCs w:val="22"/>
          <w:lang w:val="pt-BR"/>
        </w:rPr>
      </w:pPr>
      <w:r w:rsidRPr="00D65A20">
        <w:rPr>
          <w:rFonts w:ascii="Times New Roman" w:hAnsi="Times New Roman"/>
          <w:szCs w:val="22"/>
          <w:lang w:val="pt-BR"/>
        </w:rPr>
        <w:t xml:space="preserve">xviii. </w:t>
      </w:r>
      <w:r w:rsidRPr="00D65A20">
        <w:rPr>
          <w:rFonts w:ascii="Times New Roman" w:hAnsi="Times New Roman"/>
          <w:szCs w:val="22"/>
          <w:lang w:val="pt-BR"/>
        </w:rPr>
        <w:tab/>
      </w:r>
      <w:r w:rsidRPr="00D65A20">
        <w:rPr>
          <w:rFonts w:ascii="Times New Roman" w:hAnsi="Times New Roman"/>
          <w:szCs w:val="22"/>
          <w:u w:val="single"/>
          <w:lang w:val="pt-BR"/>
        </w:rPr>
        <w:t>Acompanhamento de recomendações da Comissão Interamericana de Direitos Humanos</w:t>
      </w:r>
    </w:p>
    <w:p w14:paraId="039FF19F"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shd w:val="clear" w:color="auto" w:fill="FFFFFF"/>
          <w:lang w:val="pt-BR"/>
        </w:rPr>
      </w:pPr>
    </w:p>
    <w:p w14:paraId="2A051630"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pt-BR"/>
        </w:rPr>
      </w:pPr>
      <w:r w:rsidRPr="00D65A20">
        <w:rPr>
          <w:rFonts w:ascii="Times New Roman" w:hAnsi="Times New Roman"/>
          <w:szCs w:val="22"/>
          <w:shd w:val="clear" w:color="auto" w:fill="FFFFFF"/>
          <w:lang w:val="pt-BR"/>
        </w:rPr>
        <w:t xml:space="preserve">LEVANDO EM CONTA que em 10 de junho de 2020 a CIDH, em cooperação com o Paraguai, colocou à disposição do público em geral o Sistema Interamericano de Monitoramento de Recomendações (SIMORE Interamericano), o qual consiste em um sistema de informática </w:t>
      </w:r>
      <w:r w:rsidRPr="00D65A20">
        <w:rPr>
          <w:rFonts w:ascii="Times New Roman" w:hAnsi="Times New Roman"/>
          <w:i/>
          <w:szCs w:val="22"/>
          <w:shd w:val="clear" w:color="auto" w:fill="FFFFFF"/>
          <w:lang w:val="pt-BR"/>
        </w:rPr>
        <w:t>on-line</w:t>
      </w:r>
      <w:r w:rsidRPr="00D65A20">
        <w:rPr>
          <w:rFonts w:ascii="Times New Roman" w:hAnsi="Times New Roman"/>
          <w:szCs w:val="22"/>
          <w:shd w:val="clear" w:color="auto" w:fill="FFFFFF"/>
          <w:lang w:val="pt-BR"/>
        </w:rPr>
        <w:t xml:space="preserve"> que compila as recomendações formuladas pela CIDH por meio de diferentes mecanismos, habilitando um canal de intercâmbio e recebimento de informações sobre o acompanhamento de recomendações nos Estados membros,</w:t>
      </w:r>
    </w:p>
    <w:p w14:paraId="2030F679"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shd w:val="clear" w:color="auto" w:fill="FFFFFF"/>
          <w:lang w:val="pt-BR"/>
        </w:rPr>
      </w:pPr>
    </w:p>
    <w:p w14:paraId="116C3AEE"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r w:rsidRPr="00D65A20">
        <w:rPr>
          <w:rFonts w:ascii="Times New Roman" w:hAnsi="Times New Roman"/>
          <w:caps/>
          <w:szCs w:val="22"/>
          <w:shd w:val="clear" w:color="auto" w:fill="FFFFFF"/>
          <w:lang w:val="pt-BR"/>
        </w:rPr>
        <w:t>Resolve</w:t>
      </w:r>
      <w:r w:rsidRPr="00D65A20">
        <w:rPr>
          <w:rFonts w:ascii="Times New Roman" w:hAnsi="Times New Roman"/>
          <w:szCs w:val="22"/>
          <w:shd w:val="clear" w:color="auto" w:fill="FFFFFF"/>
          <w:lang w:val="pt-BR"/>
        </w:rPr>
        <w:t>:</w:t>
      </w:r>
    </w:p>
    <w:p w14:paraId="001D6E11"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04143F19"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pt-BR"/>
        </w:rPr>
      </w:pPr>
      <w:r w:rsidRPr="00D65A20">
        <w:rPr>
          <w:rFonts w:ascii="Times New Roman" w:hAnsi="Times New Roman"/>
          <w:szCs w:val="22"/>
          <w:shd w:val="clear" w:color="auto" w:fill="FFFFFF"/>
          <w:lang w:val="pt-BR"/>
        </w:rPr>
        <w:tab/>
        <w:t xml:space="preserve">Tomar nota da importância do Sistema Interamericano de Monitoramento de Recomendações (SIMORE Interamericano) da CIDH </w:t>
      </w:r>
      <w:r w:rsidRPr="00D65A20">
        <w:rPr>
          <w:rFonts w:ascii="Times New Roman" w:hAnsi="Times New Roman"/>
          <w:szCs w:val="22"/>
          <w:lang w:val="pt-BR"/>
        </w:rPr>
        <w:t>para o fortalecimento do acompanhamento de recomendações para promover os direitos humanos em toda a região e incentivar todos os atores interessados a utilizar essa importante ferramenta.</w:t>
      </w:r>
    </w:p>
    <w:p w14:paraId="17C5490D" w14:textId="0B626DC3" w:rsidR="00E55832" w:rsidRDefault="00E55832"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r>
        <w:rPr>
          <w:rFonts w:ascii="Times New Roman" w:hAnsi="Times New Roman"/>
          <w:szCs w:val="22"/>
          <w:lang w:val="pt-BR"/>
        </w:rPr>
        <w:br w:type="page"/>
      </w:r>
    </w:p>
    <w:p w14:paraId="06902498" w14:textId="1F810D15" w:rsidR="000933AA"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06" w:hanging="706"/>
        <w:rPr>
          <w:rFonts w:ascii="Times New Roman" w:hAnsi="Times New Roman"/>
          <w:szCs w:val="22"/>
          <w:vertAlign w:val="superscript"/>
          <w:lang w:val="pt-BR"/>
        </w:rPr>
      </w:pPr>
      <w:r w:rsidRPr="00D65A20">
        <w:rPr>
          <w:rFonts w:ascii="Times New Roman" w:hAnsi="Times New Roman"/>
          <w:szCs w:val="22"/>
          <w:lang w:val="pt-BR"/>
        </w:rPr>
        <w:lastRenderedPageBreak/>
        <w:t xml:space="preserve">xix. </w:t>
      </w:r>
      <w:r w:rsidRPr="00D65A20">
        <w:rPr>
          <w:rFonts w:ascii="Times New Roman" w:hAnsi="Times New Roman"/>
          <w:szCs w:val="22"/>
          <w:lang w:val="pt-BR"/>
        </w:rPr>
        <w:tab/>
      </w:r>
      <w:r w:rsidRPr="00D65A20">
        <w:rPr>
          <w:rFonts w:ascii="Times New Roman" w:hAnsi="Times New Roman"/>
          <w:color w:val="000000"/>
          <w:szCs w:val="22"/>
          <w:u w:val="single"/>
          <w:lang w:val="pt-BR"/>
        </w:rPr>
        <w:t>Direitos humanos e prevenção da discriminação e da violência contra as pessoas</w:t>
      </w:r>
      <w:r w:rsidRPr="00D65A20">
        <w:rPr>
          <w:rFonts w:ascii="Times New Roman" w:hAnsi="Times New Roman"/>
          <w:color w:val="000000"/>
          <w:szCs w:val="22"/>
          <w:u w:val="single"/>
          <w:lang w:val="pt-BR"/>
        </w:rPr>
        <w:br/>
      </w:r>
      <w:r w:rsidRPr="00D65A20">
        <w:rPr>
          <w:rFonts w:ascii="Times New Roman" w:hAnsi="Times New Roman"/>
          <w:caps/>
          <w:color w:val="000000"/>
          <w:szCs w:val="22"/>
          <w:u w:val="single"/>
          <w:lang w:val="pt-BR"/>
        </w:rPr>
        <w:t>LGBTI</w:t>
      </w:r>
      <w:r w:rsidRPr="00D65A20">
        <w:rPr>
          <w:rFonts w:ascii="Times New Roman" w:hAnsi="Times New Roman"/>
          <w:caps/>
          <w:color w:val="000000"/>
          <w:szCs w:val="22"/>
          <w:lang w:val="pt-BR"/>
        </w:rPr>
        <w:t xml:space="preserve"> </w:t>
      </w:r>
      <w:r w:rsidRPr="00D65A20">
        <w:rPr>
          <w:rFonts w:ascii="Times New Roman" w:hAnsi="Times New Roman"/>
          <w:szCs w:val="22"/>
          <w:u w:val="single"/>
          <w:vertAlign w:val="superscript"/>
          <w:lang w:val="pt-BR"/>
        </w:rPr>
        <w:footnoteReference w:id="91"/>
      </w:r>
      <w:r w:rsidRPr="00D65A20">
        <w:rPr>
          <w:rFonts w:ascii="Times New Roman" w:hAnsi="Times New Roman"/>
          <w:szCs w:val="22"/>
          <w:vertAlign w:val="superscript"/>
          <w:lang w:val="pt-BR"/>
        </w:rPr>
        <w:t>/</w:t>
      </w:r>
      <w:r w:rsidRPr="00D65A20">
        <w:rPr>
          <w:rFonts w:ascii="Times New Roman" w:hAnsi="Times New Roman"/>
          <w:szCs w:val="22"/>
          <w:u w:val="single"/>
          <w:vertAlign w:val="superscript"/>
          <w:lang w:val="pt-BR"/>
        </w:rPr>
        <w:footnoteReference w:id="92"/>
      </w:r>
      <w:r w:rsidRPr="00D65A20">
        <w:rPr>
          <w:rFonts w:ascii="Times New Roman" w:hAnsi="Times New Roman"/>
          <w:szCs w:val="22"/>
          <w:vertAlign w:val="superscript"/>
          <w:lang w:val="pt-BR"/>
        </w:rPr>
        <w:t>/</w:t>
      </w:r>
      <w:r w:rsidRPr="00D65A20">
        <w:rPr>
          <w:rFonts w:ascii="Times New Roman" w:hAnsi="Times New Roman"/>
          <w:szCs w:val="22"/>
          <w:u w:val="single"/>
          <w:vertAlign w:val="superscript"/>
          <w:lang w:val="pt-BR"/>
        </w:rPr>
        <w:footnoteReference w:id="93"/>
      </w:r>
      <w:r w:rsidRPr="00D65A20">
        <w:rPr>
          <w:rFonts w:ascii="Times New Roman" w:hAnsi="Times New Roman"/>
          <w:szCs w:val="22"/>
          <w:vertAlign w:val="superscript"/>
          <w:lang w:val="pt-BR"/>
        </w:rPr>
        <w:t>/</w:t>
      </w:r>
      <w:r w:rsidRPr="00D65A20">
        <w:rPr>
          <w:rFonts w:ascii="Times New Roman" w:hAnsi="Times New Roman"/>
          <w:szCs w:val="22"/>
          <w:u w:val="single"/>
          <w:vertAlign w:val="superscript"/>
          <w:lang w:val="pt-BR"/>
        </w:rPr>
        <w:footnoteReference w:id="94"/>
      </w:r>
      <w:r w:rsidRPr="00D65A20">
        <w:rPr>
          <w:rFonts w:ascii="Times New Roman" w:hAnsi="Times New Roman"/>
          <w:szCs w:val="22"/>
          <w:vertAlign w:val="superscript"/>
          <w:lang w:val="pt-BR"/>
        </w:rPr>
        <w:t>/</w:t>
      </w:r>
      <w:r w:rsidRPr="00D65A20">
        <w:rPr>
          <w:rFonts w:ascii="Times New Roman" w:hAnsi="Times New Roman"/>
          <w:szCs w:val="22"/>
          <w:u w:val="single"/>
          <w:vertAlign w:val="superscript"/>
          <w:lang w:val="pt-BR"/>
        </w:rPr>
        <w:footnoteReference w:id="95"/>
      </w:r>
      <w:r w:rsidRPr="00D65A20">
        <w:rPr>
          <w:rFonts w:ascii="Times New Roman" w:hAnsi="Times New Roman"/>
          <w:szCs w:val="22"/>
          <w:vertAlign w:val="superscript"/>
          <w:lang w:val="pt-BR"/>
        </w:rPr>
        <w:t>/</w:t>
      </w:r>
      <w:r w:rsidRPr="00D65A20">
        <w:rPr>
          <w:rFonts w:ascii="Times New Roman" w:hAnsi="Times New Roman"/>
          <w:szCs w:val="22"/>
          <w:u w:val="single"/>
          <w:vertAlign w:val="superscript"/>
          <w:lang w:val="pt-BR"/>
        </w:rPr>
        <w:footnoteReference w:id="96"/>
      </w:r>
      <w:r w:rsidRPr="00D65A20">
        <w:rPr>
          <w:rFonts w:ascii="Times New Roman" w:hAnsi="Times New Roman"/>
          <w:szCs w:val="22"/>
          <w:vertAlign w:val="superscript"/>
          <w:lang w:val="pt-BR"/>
        </w:rPr>
        <w:t>/</w:t>
      </w:r>
      <w:r w:rsidRPr="00D65A20">
        <w:rPr>
          <w:rFonts w:ascii="Times New Roman" w:hAnsi="Times New Roman"/>
          <w:szCs w:val="22"/>
          <w:u w:val="single"/>
          <w:vertAlign w:val="superscript"/>
          <w:lang w:val="pt-BR"/>
        </w:rPr>
        <w:footnoteReference w:id="97"/>
      </w:r>
      <w:r w:rsidRPr="00D65A20">
        <w:rPr>
          <w:rFonts w:ascii="Times New Roman" w:hAnsi="Times New Roman"/>
          <w:szCs w:val="22"/>
          <w:vertAlign w:val="superscript"/>
          <w:lang w:val="pt-BR"/>
        </w:rPr>
        <w:t>/</w:t>
      </w:r>
      <w:r w:rsidRPr="00D65A20">
        <w:rPr>
          <w:rFonts w:ascii="Times New Roman" w:hAnsi="Times New Roman"/>
          <w:szCs w:val="22"/>
          <w:u w:val="single"/>
          <w:vertAlign w:val="superscript"/>
          <w:lang w:val="pt-BR"/>
        </w:rPr>
        <w:footnoteReference w:id="98"/>
      </w:r>
      <w:r w:rsidRPr="00D65A20">
        <w:rPr>
          <w:rFonts w:ascii="Times New Roman" w:hAnsi="Times New Roman"/>
          <w:szCs w:val="22"/>
          <w:vertAlign w:val="superscript"/>
          <w:lang w:val="pt-BR"/>
        </w:rPr>
        <w:t>/</w:t>
      </w:r>
      <w:r w:rsidRPr="00D65A20">
        <w:rPr>
          <w:rFonts w:ascii="Times New Roman" w:hAnsi="Times New Roman"/>
          <w:szCs w:val="22"/>
          <w:u w:val="single"/>
          <w:vertAlign w:val="superscript"/>
          <w:lang w:val="pt-BR"/>
        </w:rPr>
        <w:footnoteReference w:id="99"/>
      </w:r>
      <w:r w:rsidRPr="00D65A20">
        <w:rPr>
          <w:rFonts w:ascii="Times New Roman" w:hAnsi="Times New Roman"/>
          <w:szCs w:val="22"/>
          <w:vertAlign w:val="superscript"/>
          <w:lang w:val="pt-BR"/>
        </w:rPr>
        <w:t>/</w:t>
      </w:r>
    </w:p>
    <w:p w14:paraId="34DFB060" w14:textId="77777777" w:rsidR="00E55832" w:rsidRPr="00D65A20" w:rsidRDefault="00E55832"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06" w:hanging="706"/>
        <w:rPr>
          <w:rFonts w:ascii="Times New Roman" w:hAnsi="Times New Roman"/>
          <w:sz w:val="24"/>
          <w:szCs w:val="24"/>
          <w:lang w:val="pt-BR" w:eastAsia="pt-BR"/>
        </w:rPr>
      </w:pPr>
    </w:p>
    <w:p w14:paraId="2A1656B2"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color w:val="000000"/>
          <w:szCs w:val="22"/>
          <w:lang w:val="pt-BR"/>
        </w:rPr>
      </w:pPr>
      <w:r w:rsidRPr="00D65A20">
        <w:rPr>
          <w:rFonts w:ascii="Times New Roman" w:hAnsi="Times New Roman"/>
          <w:color w:val="000000"/>
          <w:szCs w:val="22"/>
          <w:lang w:val="pt-BR"/>
        </w:rPr>
        <w:t>RECONHECENDO os esforços levados a cabo pelos Estados membros na luta contra a violência e a discriminação de todos os grupos em situação de vulnerabilidade, em conformidade com as suas obrigações internacionais em matéria de direitos humanos e no âmbito dos planos de desenvolvimento e das políticas públicas de cada Estado;</w:t>
      </w:r>
    </w:p>
    <w:p w14:paraId="3608A40F"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048AB28A"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color w:val="000000"/>
          <w:szCs w:val="22"/>
          <w:lang w:val="pt-BR"/>
        </w:rPr>
      </w:pPr>
      <w:r w:rsidRPr="00D65A20">
        <w:rPr>
          <w:rFonts w:ascii="Times New Roman" w:hAnsi="Times New Roman"/>
          <w:color w:val="000000"/>
          <w:szCs w:val="22"/>
          <w:lang w:val="pt-BR"/>
        </w:rPr>
        <w:t>LEVANDO EM CONTA que, apesar desses esforços, as lésbicas, os gays, as pessoas bissexuais, trans e intersexuais (LGBTI) continuam sendo objeto de violência e discriminação em razão de sua orientação sexual, identidade ou expressão de gênero e das suas características sexuais;</w:t>
      </w:r>
    </w:p>
    <w:p w14:paraId="57EFF880"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2C1D325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pt-BR"/>
        </w:rPr>
      </w:pPr>
      <w:r w:rsidRPr="00D65A20">
        <w:rPr>
          <w:rFonts w:ascii="Times New Roman" w:hAnsi="Times New Roman"/>
          <w:szCs w:val="22"/>
          <w:lang w:val="pt-BR"/>
        </w:rPr>
        <w:t>RECONHECENDO que pessoas trans, em especial as mulheres trans, se encontram em situação de particular</w:t>
      </w:r>
      <w:r w:rsidRPr="00D65A20">
        <w:rPr>
          <w:rFonts w:ascii="Times New Roman" w:hAnsi="Times New Roman"/>
          <w:color w:val="FF0000"/>
          <w:szCs w:val="22"/>
          <w:lang w:val="pt-BR"/>
        </w:rPr>
        <w:t xml:space="preserve"> </w:t>
      </w:r>
      <w:r w:rsidRPr="00D65A20">
        <w:rPr>
          <w:rFonts w:ascii="Times New Roman" w:hAnsi="Times New Roman"/>
          <w:szCs w:val="22"/>
          <w:lang w:val="pt-BR"/>
        </w:rPr>
        <w:t xml:space="preserve">vulnerabilidade resultante da combinação de diversos fatores, como preconceito, exclusão, discriminação e violência nos âmbitos público e privado; </w:t>
      </w:r>
    </w:p>
    <w:p w14:paraId="77205C3C"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2F7F71F1"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pt-BR"/>
        </w:rPr>
      </w:pPr>
      <w:r w:rsidRPr="00D65A20">
        <w:rPr>
          <w:rFonts w:ascii="Times New Roman" w:hAnsi="Times New Roman"/>
          <w:szCs w:val="22"/>
          <w:lang w:val="pt-BR"/>
        </w:rPr>
        <w:t>CONSIDERANDO com especial preocupação que a violência contra crianças e adolescentes se manifesta nos âmbitos público e privado, por múltiplas razões, inclusive como consequência da discriminação por orientação sexual e identidade ou expressão de gênero;</w:t>
      </w:r>
    </w:p>
    <w:p w14:paraId="4743060A"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714B7F27" w14:textId="17CF110C"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pt-BR"/>
        </w:rPr>
      </w:pPr>
      <w:r w:rsidRPr="00D65A20">
        <w:rPr>
          <w:rFonts w:ascii="Times New Roman" w:hAnsi="Times New Roman"/>
          <w:szCs w:val="22"/>
          <w:lang w:val="pt-BR"/>
        </w:rPr>
        <w:t>TOMANDO NOTA de que as violações e os</w:t>
      </w:r>
      <w:r w:rsidRPr="00D65A20">
        <w:rPr>
          <w:rFonts w:ascii="Times New Roman" w:hAnsi="Times New Roman"/>
          <w:color w:val="FF0000"/>
          <w:szCs w:val="22"/>
          <w:lang w:val="pt-BR"/>
        </w:rPr>
        <w:t xml:space="preserve"> </w:t>
      </w:r>
      <w:r w:rsidRPr="00D65A20">
        <w:rPr>
          <w:rFonts w:ascii="Times New Roman" w:hAnsi="Times New Roman"/>
          <w:color w:val="000000"/>
          <w:szCs w:val="22"/>
          <w:lang w:val="pt-BR"/>
        </w:rPr>
        <w:t>abusos</w:t>
      </w:r>
      <w:r w:rsidRPr="00D65A20">
        <w:rPr>
          <w:rFonts w:ascii="Times New Roman" w:hAnsi="Times New Roman"/>
          <w:szCs w:val="22"/>
          <w:lang w:val="pt-BR"/>
        </w:rPr>
        <w:t xml:space="preserve"> de direitos humanos específicos que as pessoas intersexuais comumente sofrem podem envolver, entre outras restrições, cirurgias irreversíveis de assignação de sexo e de </w:t>
      </w:r>
      <w:r w:rsidRPr="00D65A20">
        <w:rPr>
          <w:rFonts w:ascii="Times New Roman" w:hAnsi="Times New Roman"/>
          <w:color w:val="000000"/>
          <w:szCs w:val="22"/>
          <w:lang w:val="pt-BR"/>
        </w:rPr>
        <w:t>modificação</w:t>
      </w:r>
      <w:r w:rsidRPr="00D65A20">
        <w:rPr>
          <w:rFonts w:ascii="Times New Roman" w:hAnsi="Times New Roman"/>
          <w:color w:val="FF0000"/>
          <w:szCs w:val="22"/>
          <w:lang w:val="pt-BR"/>
        </w:rPr>
        <w:t xml:space="preserve"> </w:t>
      </w:r>
      <w:r w:rsidRPr="00D65A20">
        <w:rPr>
          <w:rFonts w:ascii="Times New Roman" w:hAnsi="Times New Roman"/>
          <w:szCs w:val="22"/>
          <w:lang w:val="pt-BR"/>
        </w:rPr>
        <w:t xml:space="preserve">de genitais sem consentimento informado, esterilização não consentida, submissão excessiva e/ou coercitiva a exames médicos, fotografias e exposição dos genitais, falta de acesso a informações médicas e históricos clínicos, atrasos no registro de nascimento e negação de serviços ou seguros de saúde; </w:t>
      </w:r>
    </w:p>
    <w:p w14:paraId="7859ECFB"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highlight w:val="yellow"/>
          <w:lang w:val="pt-BR"/>
        </w:rPr>
      </w:pPr>
    </w:p>
    <w:p w14:paraId="2CE55617"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color w:val="000000"/>
          <w:szCs w:val="22"/>
          <w:lang w:val="pt-BR"/>
        </w:rPr>
      </w:pPr>
      <w:r w:rsidRPr="00D65A20">
        <w:rPr>
          <w:rFonts w:ascii="Times New Roman" w:hAnsi="Times New Roman"/>
          <w:szCs w:val="22"/>
          <w:lang w:val="pt-BR"/>
        </w:rPr>
        <w:t>TOMANDO NOTA TAMBÉM do trabalho e das contribuições da Relatoria sobre os Direitos das Pessoas LGBTI da CIDH e, em especial, dos seus relatórios “Violência contra pessoas lésbicas, gays, bissexuais, trans e intersexuais na América”, de novembro de 2015, e “Avanços e desafios do reconhecimento dos direitos das pessoas LGBTI nas Américas”, de dezembro de 2018, do GTPSS do Departamento de Inclusão Social da Secretaria de Acesso a Direitos e Equidade;</w:t>
      </w:r>
      <w:r w:rsidRPr="00D65A20">
        <w:rPr>
          <w:rFonts w:ascii="Times New Roman" w:hAnsi="Times New Roman"/>
          <w:i/>
          <w:szCs w:val="22"/>
          <w:lang w:val="pt-BR"/>
        </w:rPr>
        <w:t xml:space="preserve"> </w:t>
      </w:r>
      <w:r w:rsidRPr="00D65A20">
        <w:rPr>
          <w:rFonts w:ascii="Times New Roman" w:hAnsi="Times New Roman"/>
          <w:iCs/>
          <w:szCs w:val="22"/>
          <w:lang w:val="pt-BR"/>
        </w:rPr>
        <w:t>e</w:t>
      </w:r>
    </w:p>
    <w:p w14:paraId="14AB7F4A"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pt-BR"/>
        </w:rPr>
      </w:pPr>
      <w:r w:rsidRPr="00D65A20">
        <w:rPr>
          <w:rFonts w:ascii="Times New Roman" w:hAnsi="Times New Roman"/>
          <w:color w:val="000000"/>
          <w:szCs w:val="22"/>
          <w:lang w:val="pt-BR"/>
        </w:rPr>
        <w:lastRenderedPageBreak/>
        <w:t xml:space="preserve">REAFIRMANDO a faculdade dos Estados membros de executar suas políticas nacionais de acordo com os princípios definidos pelas respectivas constituições nacionais em consonância com o Direito internacional dos direitos humanos universalmente reconhecido, </w:t>
      </w:r>
    </w:p>
    <w:p w14:paraId="123EF3A8"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1416293C"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D65A20">
        <w:rPr>
          <w:rFonts w:ascii="Times New Roman" w:hAnsi="Times New Roman"/>
          <w:szCs w:val="22"/>
          <w:lang w:val="pt-BR"/>
        </w:rPr>
        <w:t xml:space="preserve">RESOLVE: </w:t>
      </w:r>
    </w:p>
    <w:p w14:paraId="313894ED"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2B60F6D" w14:textId="77777777" w:rsidR="000933AA" w:rsidRPr="00D65A20" w:rsidRDefault="000933AA" w:rsidP="000933AA">
      <w:pPr>
        <w:widowControl/>
        <w:numPr>
          <w:ilvl w:val="0"/>
          <w:numId w:val="6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pt-BR"/>
        </w:rPr>
      </w:pPr>
      <w:r w:rsidRPr="00D65A20">
        <w:rPr>
          <w:rFonts w:ascii="Times New Roman" w:hAnsi="Times New Roman"/>
          <w:szCs w:val="22"/>
          <w:lang w:val="pt-BR"/>
        </w:rPr>
        <w:t>Condenar as violações e os abusos dos direitos humanos que envolvem discriminação</w:t>
      </w:r>
      <w:r w:rsidRPr="00D65A20">
        <w:rPr>
          <w:rFonts w:ascii="Times New Roman" w:hAnsi="Times New Roman"/>
          <w:color w:val="000000"/>
          <w:szCs w:val="22"/>
          <w:lang w:val="pt-BR"/>
        </w:rPr>
        <w:t xml:space="preserve">, discursos e manifestações de ódio, incitação e atos de violência motivados por preconceito contra as pessoas pela sua orientação sexual, identidade ou expressão de gênero ou pelas suas características sexuais, que acontecem no Hemisfério, em conformidade com o Direito internacional e, quando aplicável, com a Convenção Americana sobre Direitos Humanos. </w:t>
      </w:r>
    </w:p>
    <w:p w14:paraId="7D7AC5CD" w14:textId="77777777" w:rsidR="000933AA" w:rsidRPr="00D65A20" w:rsidRDefault="000933AA" w:rsidP="000933AA">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A033751" w14:textId="77777777" w:rsidR="000933AA" w:rsidRPr="00D65A20" w:rsidRDefault="000933AA" w:rsidP="000933AA">
      <w:pPr>
        <w:widowControl/>
        <w:numPr>
          <w:ilvl w:val="0"/>
          <w:numId w:val="6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pt-BR"/>
        </w:rPr>
      </w:pPr>
      <w:r w:rsidRPr="00D65A20">
        <w:rPr>
          <w:rFonts w:ascii="Times New Roman" w:hAnsi="Times New Roman"/>
          <w:szCs w:val="22"/>
          <w:lang w:val="pt-BR"/>
        </w:rPr>
        <w:t xml:space="preserve">Exortar os Estados membros a que continuem fortalecendo as suas instituições e as suas políticas públicas a fim de eliminar as barreiras enfrentadas pelas pessoas lésbicas, gays, bissexuais, trans e intersexuais (LGBTI) no gozo dos direitos humanos e das liberdades fundamentais, bem como a que adotem medidas para prevenir, investigar e punir os atos de violência e discriminação contra as pessoas em função da sua orientação sexual, identidade ou expressão de gênero ou das suas características sexuais, e a que assegurem às vítimas de violência e discriminação o acesso à justiça em condições de igualdade. </w:t>
      </w:r>
    </w:p>
    <w:p w14:paraId="186E035B"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4F83873C"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3.</w:t>
      </w:r>
      <w:r w:rsidRPr="00D65A20">
        <w:rPr>
          <w:rFonts w:ascii="Times New Roman" w:hAnsi="Times New Roman"/>
          <w:szCs w:val="22"/>
          <w:lang w:val="pt-BR"/>
        </w:rPr>
        <w:tab/>
        <w:t xml:space="preserve">Instar os Estados membros a que tomem medidas urgentes para promover o pleno gozo de todos os direitos das </w:t>
      </w:r>
      <w:r w:rsidRPr="00D65A20">
        <w:rPr>
          <w:rFonts w:ascii="Times New Roman" w:hAnsi="Times New Roman"/>
          <w:color w:val="000000"/>
          <w:szCs w:val="22"/>
          <w:lang w:val="pt-BR"/>
        </w:rPr>
        <w:t xml:space="preserve">pessoas LGBTI, </w:t>
      </w:r>
      <w:r w:rsidRPr="00D65A20">
        <w:rPr>
          <w:rFonts w:ascii="Times New Roman" w:hAnsi="Times New Roman"/>
          <w:szCs w:val="22"/>
          <w:lang w:val="pt-BR"/>
        </w:rPr>
        <w:t xml:space="preserve">inclusive a igualdade perante a lei, bem como a que criem mecanismos institucionais de apoio às suas famílias. </w:t>
      </w:r>
    </w:p>
    <w:p w14:paraId="03E7E616"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727292EF"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4.</w:t>
      </w:r>
      <w:r w:rsidRPr="00D65A20">
        <w:rPr>
          <w:rFonts w:ascii="Times New Roman" w:hAnsi="Times New Roman"/>
          <w:szCs w:val="22"/>
          <w:lang w:val="pt-BR"/>
        </w:rPr>
        <w:tab/>
        <w:t>Instar os Estados membros a que adotem medidas que assegurem proteção efetiva às pessoas intersexuais e a que implementem políticas e procedimentos, conforme o caso, que garantam que as práticas médicas relativas às pessoas intersexuais respeitem os direitos humanos.</w:t>
      </w:r>
    </w:p>
    <w:p w14:paraId="307BDCD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1AD36A30"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5.</w:t>
      </w:r>
      <w:r w:rsidRPr="00D65A20">
        <w:rPr>
          <w:rFonts w:ascii="Times New Roman" w:hAnsi="Times New Roman"/>
          <w:szCs w:val="22"/>
          <w:lang w:val="pt-BR"/>
        </w:rPr>
        <w:tab/>
        <w:t xml:space="preserve">Encarregar o Conselho Permanente de organizar, com os recursos existentes e em coordenação com a Secretaria de Acesso a Direitos e Equidade, uma sessão extraordinária com o tema “Direitos humanos e prevenção da discriminação e da violência contra as pessoas LGBTI nas Américas”, com foco especial na situação das pessoas trans. </w:t>
      </w:r>
    </w:p>
    <w:p w14:paraId="3B9D7D9E"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shd w:val="clear" w:color="auto" w:fill="FFFFFF"/>
          <w:lang w:val="pt-BR"/>
        </w:rPr>
      </w:pPr>
    </w:p>
    <w:p w14:paraId="23E8E97F" w14:textId="7DCDACC2"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201F1E"/>
          <w:szCs w:val="22"/>
          <w:shd w:val="clear" w:color="auto" w:fill="FFFFFF"/>
          <w:lang w:val="pt-BR"/>
        </w:rPr>
      </w:pPr>
      <w:r w:rsidRPr="00D65A20">
        <w:rPr>
          <w:rFonts w:ascii="Times New Roman" w:hAnsi="Times New Roman"/>
          <w:color w:val="000000"/>
          <w:szCs w:val="22"/>
          <w:shd w:val="clear" w:color="auto" w:fill="FFFFFF"/>
          <w:lang w:val="pt-BR"/>
        </w:rPr>
        <w:t>6.</w:t>
      </w:r>
      <w:r w:rsidRPr="00D65A20">
        <w:rPr>
          <w:rFonts w:ascii="Times New Roman" w:hAnsi="Times New Roman"/>
          <w:color w:val="000000"/>
          <w:szCs w:val="22"/>
          <w:shd w:val="clear" w:color="auto" w:fill="FFFFFF"/>
          <w:lang w:val="pt-BR"/>
        </w:rPr>
        <w:tab/>
        <w:t>Solicitar à CIDH um relatório de acompanhamento sobre o relatório “</w:t>
      </w:r>
      <w:r w:rsidRPr="00D65A20">
        <w:rPr>
          <w:rFonts w:ascii="Times New Roman" w:hAnsi="Times New Roman"/>
          <w:iCs/>
          <w:color w:val="201F1E"/>
          <w:szCs w:val="22"/>
          <w:shd w:val="clear" w:color="auto" w:fill="FFFFFF"/>
          <w:lang w:val="pt-BR"/>
        </w:rPr>
        <w:t xml:space="preserve">Violência contra as pessoas </w:t>
      </w:r>
      <w:r w:rsidRPr="00D65A20">
        <w:rPr>
          <w:rFonts w:ascii="Times New Roman" w:hAnsi="Times New Roman"/>
          <w:szCs w:val="22"/>
          <w:lang w:val="pt-BR"/>
        </w:rPr>
        <w:t>lésbicas, gays, bissexuais, trans e intersexuais na América</w:t>
      </w:r>
      <w:r w:rsidRPr="00D65A20">
        <w:rPr>
          <w:rFonts w:ascii="Times New Roman" w:hAnsi="Times New Roman"/>
          <w:i/>
          <w:iCs/>
          <w:color w:val="201F1E"/>
          <w:szCs w:val="22"/>
          <w:shd w:val="clear" w:color="auto" w:fill="FFFFFF"/>
          <w:lang w:val="pt-BR"/>
        </w:rPr>
        <w:t>”,</w:t>
      </w:r>
      <w:r w:rsidRPr="00D65A20">
        <w:rPr>
          <w:rFonts w:ascii="Times New Roman" w:hAnsi="Times New Roman"/>
          <w:color w:val="201F1E"/>
          <w:szCs w:val="22"/>
          <w:shd w:val="clear" w:color="auto" w:fill="FFFFFF"/>
          <w:lang w:val="pt-BR"/>
        </w:rPr>
        <w:t xml:space="preserve"> de 2015, e que, em colaboração com outros organismos e agências, como a Organização Pan-Americana da Saúde, informe sobre a situação de práticas médicas degradantes, em especial aquelas relacionadas com pessoas intersexuais.</w:t>
      </w:r>
    </w:p>
    <w:p w14:paraId="39527179" w14:textId="627F8A6F" w:rsidR="00E55832" w:rsidRDefault="00E55832"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highlight w:val="yellow"/>
          <w:lang w:val="pt-BR"/>
        </w:rPr>
      </w:pPr>
      <w:r>
        <w:rPr>
          <w:rFonts w:ascii="Times New Roman" w:hAnsi="Times New Roman"/>
          <w:szCs w:val="22"/>
          <w:highlight w:val="yellow"/>
          <w:lang w:val="pt-BR"/>
        </w:rPr>
        <w:br w:type="page"/>
      </w:r>
    </w:p>
    <w:p w14:paraId="2AD7FB9C"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sz w:val="24"/>
          <w:szCs w:val="24"/>
          <w:lang w:val="pt-BR" w:eastAsia="pt-BR"/>
        </w:rPr>
      </w:pPr>
      <w:r w:rsidRPr="00D65A20">
        <w:rPr>
          <w:rFonts w:ascii="Times New Roman" w:hAnsi="Times New Roman"/>
          <w:szCs w:val="22"/>
          <w:lang w:val="pt-BR"/>
        </w:rPr>
        <w:lastRenderedPageBreak/>
        <w:t xml:space="preserve">xx. </w:t>
      </w:r>
      <w:r w:rsidRPr="00D65A20">
        <w:rPr>
          <w:rFonts w:ascii="Times New Roman" w:hAnsi="Times New Roman"/>
          <w:szCs w:val="22"/>
          <w:lang w:val="pt-BR"/>
        </w:rPr>
        <w:tab/>
      </w:r>
      <w:r w:rsidRPr="00D65A20">
        <w:rPr>
          <w:rFonts w:ascii="Times New Roman" w:hAnsi="Times New Roman"/>
          <w:color w:val="000000"/>
          <w:szCs w:val="22"/>
          <w:u w:val="single"/>
          <w:lang w:val="pt-BR"/>
        </w:rPr>
        <w:t>Fortalecimento da Comissão Interamericana de Mulheres para a promoção da equidade e igualdade de gênero e dos direitos humanos das mulheres</w:t>
      </w:r>
      <w:r w:rsidRPr="00D65A20">
        <w:rPr>
          <w:rFonts w:ascii="Times New Roman" w:hAnsi="Times New Roman"/>
          <w:color w:val="000000"/>
          <w:szCs w:val="22"/>
          <w:lang w:val="pt-BR"/>
        </w:rPr>
        <w:t xml:space="preserve"> </w:t>
      </w:r>
      <w:r w:rsidRPr="00D65A20">
        <w:rPr>
          <w:rFonts w:ascii="Times New Roman" w:hAnsi="Times New Roman"/>
          <w:szCs w:val="22"/>
          <w:u w:val="single"/>
          <w:vertAlign w:val="superscript"/>
          <w:lang w:val="pt-BR"/>
        </w:rPr>
        <w:footnoteReference w:id="100"/>
      </w:r>
      <w:r w:rsidRPr="00D65A20">
        <w:rPr>
          <w:rFonts w:ascii="Times New Roman" w:hAnsi="Times New Roman"/>
          <w:szCs w:val="22"/>
          <w:vertAlign w:val="superscript"/>
          <w:lang w:val="pt-BR"/>
        </w:rPr>
        <w:t>/</w:t>
      </w:r>
      <w:r w:rsidRPr="00D65A20">
        <w:rPr>
          <w:rFonts w:ascii="Times New Roman" w:hAnsi="Times New Roman"/>
          <w:szCs w:val="22"/>
          <w:u w:val="single"/>
          <w:vertAlign w:val="superscript"/>
          <w:lang w:val="pt-BR"/>
        </w:rPr>
        <w:footnoteReference w:id="101"/>
      </w:r>
      <w:r w:rsidRPr="00D65A20">
        <w:rPr>
          <w:rFonts w:ascii="Times New Roman" w:hAnsi="Times New Roman"/>
          <w:szCs w:val="22"/>
          <w:vertAlign w:val="superscript"/>
          <w:lang w:val="pt-BR"/>
        </w:rPr>
        <w:t>/</w:t>
      </w:r>
      <w:r w:rsidRPr="00D65A20">
        <w:rPr>
          <w:rFonts w:ascii="Times New Roman" w:hAnsi="Times New Roman"/>
          <w:szCs w:val="22"/>
          <w:u w:val="single"/>
          <w:vertAlign w:val="superscript"/>
          <w:lang w:val="pt-BR"/>
        </w:rPr>
        <w:footnoteReference w:id="102"/>
      </w:r>
      <w:r w:rsidRPr="00D65A20">
        <w:rPr>
          <w:rFonts w:ascii="Times New Roman" w:hAnsi="Times New Roman"/>
          <w:szCs w:val="22"/>
          <w:vertAlign w:val="superscript"/>
          <w:lang w:val="pt-BR"/>
        </w:rPr>
        <w:t>/</w:t>
      </w:r>
      <w:r w:rsidRPr="00D65A20">
        <w:rPr>
          <w:rFonts w:ascii="Times New Roman" w:hAnsi="Times New Roman"/>
          <w:sz w:val="24"/>
          <w:szCs w:val="24"/>
          <w:lang w:val="pt-BR" w:eastAsia="pt-BR"/>
        </w:rPr>
        <w:t xml:space="preserve"> </w:t>
      </w:r>
    </w:p>
    <w:p w14:paraId="3ADC628B"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33BD444A"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rPr>
      </w:pPr>
      <w:r w:rsidRPr="00D65A20">
        <w:rPr>
          <w:rFonts w:ascii="Times New Roman" w:hAnsi="Times New Roman"/>
          <w:color w:val="000000"/>
          <w:szCs w:val="22"/>
          <w:lang w:val="pt-BR"/>
        </w:rPr>
        <w:t>RECORDANDO a seção xvi da resolução AG/RES. 2941 (XLIX-O/19), “Promoção e proteção dos direitos humanos”, a Declaração de São Domingos sobre a Igualdade e a Autonomia no Exercício dos Direitos Políticos das Mulheres para o Fortalecimento da Democracia, a Declaração de Lima sobre a Igualdade e a Autonomia no Exercício dos Direitos Econômicos das Mulheres e a resolução CP/RES. 1149/20 (2278/20), “Representação e participação das mulheres na OEA”,</w:t>
      </w:r>
    </w:p>
    <w:p w14:paraId="7EF1A3E5"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1729804E" w14:textId="10C1B008"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r w:rsidRPr="00D65A20">
        <w:rPr>
          <w:rFonts w:ascii="Times New Roman" w:hAnsi="Times New Roman"/>
          <w:color w:val="000000"/>
          <w:szCs w:val="22"/>
          <w:lang w:val="pt-BR"/>
        </w:rPr>
        <w:t xml:space="preserve">RESOLVE: </w:t>
      </w:r>
    </w:p>
    <w:p w14:paraId="2E2BEA68"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65CC68DA"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rPr>
      </w:pPr>
      <w:r w:rsidRPr="00D65A20">
        <w:rPr>
          <w:rFonts w:ascii="Times New Roman" w:hAnsi="Times New Roman"/>
          <w:color w:val="000000"/>
          <w:szCs w:val="22"/>
          <w:lang w:val="pt-BR"/>
        </w:rPr>
        <w:t>1.</w:t>
      </w:r>
      <w:r w:rsidRPr="00D65A20">
        <w:rPr>
          <w:rFonts w:ascii="Times New Roman" w:hAnsi="Times New Roman"/>
          <w:color w:val="000000"/>
          <w:szCs w:val="22"/>
          <w:lang w:val="pt-BR"/>
        </w:rPr>
        <w:tab/>
        <w:t>Apoiar o trabalho da Comissão Interamericana de Mulheres (CIM) no cumprimento dos objetivos e funções descritos em seu Plano Estratégico e Programa Trienal de Trabalho mediante o tratamento de temas de preocupação especial, em particular: (i) a promoção da maior representação d</w:t>
      </w:r>
      <w:r w:rsidRPr="00D65A20">
        <w:rPr>
          <w:rFonts w:ascii="Times New Roman" w:hAnsi="Times New Roman"/>
          <w:bCs/>
          <w:color w:val="000000"/>
          <w:szCs w:val="22"/>
          <w:lang w:val="pt-BR"/>
        </w:rPr>
        <w:t xml:space="preserve">as mulheres em toda a sua diversidade, em conformidade com as legislações nacionais, </w:t>
      </w:r>
      <w:r w:rsidRPr="00D65A20">
        <w:rPr>
          <w:rFonts w:ascii="Times New Roman" w:hAnsi="Times New Roman"/>
          <w:color w:val="000000"/>
          <w:szCs w:val="22"/>
          <w:lang w:val="pt-BR"/>
        </w:rPr>
        <w:t xml:space="preserve">em cargos de liderança, em processos de tomada de decisões e em todas as esferas da vida, particularmente na política e econômica, inclusive dentro da OEA; (ii) o avanço e a proteção da autonomia econômica de todas as mulheres, adolescentes e meninas, em particular a formulação de recomendações e a elaboração de ferramentas para atender a emergência global dos cuidados, que as afeta de maneira desproporcional, e para obter a corresponsabilidade social no seio das famílias, nas comunidades, nas empresas e no Estado; (iii) a elaboração de políticas integrais para a prevenção, assistência e erradicação das violências contra as mulheres, adolescentes e meninas por motivos de gênero; (iv) o fortalecimento dos Mecanismos Nacionais para o Avanço da Mulher; (v) a visibilização da vulnerabilidade e o empoderamento de coletivos específicos de mulheres que enfrentam a discriminação de gênero e em condições sociais, econômicas e outras condições interconectadas, inclusive aquelas que podem resultar em </w:t>
      </w:r>
      <w:r w:rsidRPr="00D65A20">
        <w:rPr>
          <w:rFonts w:ascii="Times New Roman" w:hAnsi="Times New Roman"/>
          <w:szCs w:val="24"/>
          <w:lang w:val="pt-BR"/>
        </w:rPr>
        <w:t>vulnerabilidade;</w:t>
      </w:r>
      <w:r w:rsidRPr="00D65A20">
        <w:rPr>
          <w:rFonts w:ascii="Times New Roman" w:hAnsi="Times New Roman"/>
          <w:sz w:val="20"/>
          <w:szCs w:val="24"/>
          <w:lang w:val="pt-BR"/>
        </w:rPr>
        <w:t xml:space="preserve"> </w:t>
      </w:r>
      <w:r w:rsidRPr="00D65A20">
        <w:rPr>
          <w:rFonts w:ascii="Times New Roman" w:hAnsi="Times New Roman"/>
          <w:color w:val="000000"/>
          <w:szCs w:val="22"/>
          <w:lang w:val="pt-BR"/>
        </w:rPr>
        <w:t>e (vi) o acompanhamento do Programa Interamericano sobre a Promoção dos Direitos Humanos da Mulher e a Equidade e Igualdade de Gênero (PIA), particularmente na transversalização do tema de gênero em todas as atividades da OEA, bem como do trabalho realizado pelo PUICA.</w:t>
      </w:r>
    </w:p>
    <w:p w14:paraId="6DDF6190"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2DAEC082"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rPr>
      </w:pPr>
      <w:r w:rsidRPr="00D65A20">
        <w:rPr>
          <w:rFonts w:ascii="Times New Roman" w:hAnsi="Times New Roman"/>
          <w:color w:val="000000"/>
          <w:szCs w:val="22"/>
          <w:lang w:val="pt-BR"/>
        </w:rPr>
        <w:t>2.</w:t>
      </w:r>
      <w:r w:rsidRPr="00D65A20">
        <w:rPr>
          <w:rFonts w:ascii="Times New Roman" w:hAnsi="Times New Roman"/>
          <w:color w:val="000000"/>
          <w:szCs w:val="22"/>
          <w:lang w:val="pt-BR"/>
        </w:rPr>
        <w:tab/>
        <w:t xml:space="preserve">Solicitar à CIM que continue aprofundando o seu trabalho de análise e abordagem dos impactos diferenciados nos âmbitos econômico, social e político da pandemia de covid-19 em todas as mulheres, adolescentes e meninas que enfrentam discriminação baseada em gênero e em </w:t>
      </w:r>
      <w:r w:rsidRPr="00D65A20">
        <w:rPr>
          <w:rFonts w:ascii="Times New Roman" w:hAnsi="Times New Roman"/>
          <w:szCs w:val="22"/>
          <w:lang w:val="pt-BR"/>
        </w:rPr>
        <w:t>condições sociais, econômicas e outras condições interconectadas, inclusive aquelas que podem resultar em vulnerabilidade</w:t>
      </w:r>
      <w:r w:rsidRPr="00D65A20">
        <w:rPr>
          <w:rFonts w:ascii="Times New Roman" w:hAnsi="Times New Roman"/>
          <w:color w:val="000000"/>
          <w:szCs w:val="22"/>
          <w:lang w:val="pt-BR"/>
        </w:rPr>
        <w:t>, com perspectivas de gênero e de direitos humanos, gerando conhecimento, fortalecendo capacidades e criando espaços de diálogo e intercâmbio de informações e experiências entre os Estados com outros atores relevantes, a fim de fortalecer a resposta à pandemia.</w:t>
      </w:r>
    </w:p>
    <w:p w14:paraId="241C03FC"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pt-BR"/>
        </w:rPr>
      </w:pPr>
    </w:p>
    <w:p w14:paraId="61D19C55" w14:textId="77777777" w:rsidR="000933AA" w:rsidRPr="00D65A20" w:rsidRDefault="000933AA" w:rsidP="000933AA">
      <w:pPr>
        <w:widowControl/>
        <w:tabs>
          <w:tab w:val="clear" w:pos="1440"/>
          <w:tab w:val="clear" w:pos="2160"/>
          <w:tab w:val="clear" w:pos="2880"/>
          <w:tab w:val="clear" w:pos="3600"/>
          <w:tab w:val="clear" w:pos="4320"/>
          <w:tab w:val="clear" w:pos="5760"/>
          <w:tab w:val="clear" w:pos="6480"/>
          <w:tab w:val="clear" w:pos="7200"/>
          <w:tab w:val="clear" w:pos="7920"/>
        </w:tabs>
        <w:snapToGrid w:val="0"/>
        <w:ind w:right="61"/>
        <w:rPr>
          <w:rFonts w:ascii="Times New Roman" w:hAnsi="Times New Roman"/>
          <w:color w:val="000000"/>
          <w:szCs w:val="22"/>
          <w:lang w:val="pt-BR"/>
        </w:rPr>
      </w:pPr>
      <w:r w:rsidRPr="00D65A20">
        <w:rPr>
          <w:rFonts w:ascii="Times New Roman" w:hAnsi="Times New Roman"/>
          <w:color w:val="000000"/>
          <w:szCs w:val="22"/>
          <w:lang w:val="pt-BR"/>
        </w:rPr>
        <w:tab/>
        <w:t>3.</w:t>
      </w:r>
      <w:r w:rsidRPr="00D65A20">
        <w:rPr>
          <w:rFonts w:ascii="Times New Roman" w:hAnsi="Times New Roman"/>
          <w:color w:val="000000"/>
          <w:szCs w:val="22"/>
          <w:lang w:val="pt-BR"/>
        </w:rPr>
        <w:tab/>
        <w:t>Reafirmar a importância de financiar a CIM dentro dos recursos econômicos disponíveis na Organização para cumprir seus mandatos e incentivar os Estados membros, os Observadores Permanentes e outras entidades a realizarem contribuições voluntárias e específicas.</w:t>
      </w:r>
    </w:p>
    <w:p w14:paraId="41675527" w14:textId="77777777" w:rsidR="000933AA" w:rsidRPr="00D65A20" w:rsidRDefault="000933AA" w:rsidP="000933AA">
      <w:pPr>
        <w:widowControl/>
        <w:tabs>
          <w:tab w:val="clear" w:pos="1440"/>
          <w:tab w:val="clear" w:pos="2160"/>
          <w:tab w:val="clear" w:pos="2880"/>
          <w:tab w:val="clear" w:pos="3600"/>
          <w:tab w:val="clear" w:pos="4320"/>
          <w:tab w:val="clear" w:pos="5760"/>
          <w:tab w:val="clear" w:pos="6480"/>
          <w:tab w:val="clear" w:pos="7200"/>
          <w:tab w:val="clear" w:pos="7920"/>
        </w:tabs>
        <w:snapToGrid w:val="0"/>
        <w:ind w:right="61"/>
        <w:rPr>
          <w:rFonts w:ascii="Times New Roman" w:hAnsi="Times New Roman"/>
          <w:color w:val="000000"/>
          <w:szCs w:val="22"/>
          <w:lang w:val="pt-BR"/>
        </w:rPr>
      </w:pPr>
    </w:p>
    <w:p w14:paraId="343A7EB4"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sz w:val="24"/>
          <w:szCs w:val="24"/>
          <w:lang w:val="pt-BR" w:eastAsia="pt-BR"/>
        </w:rPr>
      </w:pPr>
      <w:r w:rsidRPr="00D65A20">
        <w:rPr>
          <w:rFonts w:ascii="Times New Roman" w:hAnsi="Times New Roman"/>
          <w:szCs w:val="22"/>
          <w:lang w:val="pt-BR"/>
        </w:rPr>
        <w:lastRenderedPageBreak/>
        <w:t xml:space="preserve">xxi. </w:t>
      </w:r>
      <w:r w:rsidRPr="00D65A20">
        <w:rPr>
          <w:rFonts w:ascii="Times New Roman" w:hAnsi="Times New Roman"/>
          <w:szCs w:val="22"/>
          <w:lang w:val="pt-BR"/>
        </w:rPr>
        <w:tab/>
      </w:r>
      <w:r w:rsidRPr="00D65A20">
        <w:rPr>
          <w:rFonts w:ascii="Times New Roman" w:hAnsi="Times New Roman"/>
          <w:color w:val="000000"/>
          <w:szCs w:val="22"/>
          <w:u w:val="single"/>
          <w:lang w:val="pt-BR"/>
        </w:rPr>
        <w:t xml:space="preserve">Fortalecimento do Mecanismo de Acompanhamento da Implementação da Convenção Interamericana para Prevenir, Punir e Erradicar a Violência contra a Mulher </w:t>
      </w:r>
      <w:r w:rsidRPr="00D65A20">
        <w:rPr>
          <w:rFonts w:ascii="Times New Roman" w:hAnsi="Times New Roman"/>
          <w:color w:val="000000"/>
          <w:szCs w:val="22"/>
          <w:u w:val="single"/>
          <w:lang w:val="pt-BR"/>
        </w:rPr>
        <w:br/>
        <w:t>(MESECVI)</w:t>
      </w:r>
      <w:r w:rsidRPr="00D65A20">
        <w:rPr>
          <w:rFonts w:ascii="Times New Roman" w:hAnsi="Times New Roman"/>
          <w:color w:val="000000"/>
          <w:szCs w:val="22"/>
          <w:lang w:val="pt-BR"/>
        </w:rPr>
        <w:t xml:space="preserve"> </w:t>
      </w:r>
      <w:r w:rsidRPr="00D65A20">
        <w:rPr>
          <w:rFonts w:ascii="Times New Roman" w:hAnsi="Times New Roman"/>
          <w:szCs w:val="22"/>
          <w:u w:val="single"/>
          <w:vertAlign w:val="superscript"/>
          <w:lang w:val="pt-BR"/>
        </w:rPr>
        <w:footnoteReference w:id="103"/>
      </w:r>
      <w:r w:rsidRPr="00D65A20">
        <w:rPr>
          <w:rFonts w:ascii="Times New Roman" w:hAnsi="Times New Roman"/>
          <w:szCs w:val="22"/>
          <w:vertAlign w:val="superscript"/>
          <w:lang w:val="pt-BR"/>
        </w:rPr>
        <w:t>/</w:t>
      </w:r>
      <w:r w:rsidRPr="00D65A20">
        <w:rPr>
          <w:rFonts w:ascii="Times New Roman" w:hAnsi="Times New Roman"/>
          <w:szCs w:val="22"/>
          <w:u w:val="single"/>
          <w:vertAlign w:val="superscript"/>
          <w:lang w:val="pt-BR"/>
        </w:rPr>
        <w:footnoteReference w:id="104"/>
      </w:r>
      <w:r w:rsidRPr="00D65A20">
        <w:rPr>
          <w:rFonts w:ascii="Times New Roman" w:hAnsi="Times New Roman"/>
          <w:szCs w:val="22"/>
          <w:vertAlign w:val="superscript"/>
          <w:lang w:val="pt-BR"/>
        </w:rPr>
        <w:t>/</w:t>
      </w:r>
      <w:r w:rsidRPr="00D65A20">
        <w:rPr>
          <w:rFonts w:ascii="Times New Roman" w:hAnsi="Times New Roman"/>
          <w:szCs w:val="22"/>
          <w:u w:val="single"/>
          <w:vertAlign w:val="superscript"/>
          <w:lang w:val="pt-BR"/>
        </w:rPr>
        <w:footnoteReference w:id="105"/>
      </w:r>
      <w:r w:rsidRPr="00D65A20">
        <w:rPr>
          <w:rFonts w:ascii="Times New Roman" w:hAnsi="Times New Roman"/>
          <w:szCs w:val="22"/>
          <w:vertAlign w:val="superscript"/>
          <w:lang w:val="pt-BR"/>
        </w:rPr>
        <w:t>/</w:t>
      </w:r>
      <w:r w:rsidRPr="00D65A20">
        <w:rPr>
          <w:rFonts w:ascii="Times New Roman" w:hAnsi="Times New Roman"/>
          <w:szCs w:val="22"/>
          <w:u w:val="single"/>
          <w:vertAlign w:val="superscript"/>
          <w:lang w:val="pt-BR"/>
        </w:rPr>
        <w:footnoteReference w:id="106"/>
      </w:r>
      <w:r w:rsidRPr="00D65A20">
        <w:rPr>
          <w:rFonts w:ascii="Times New Roman" w:hAnsi="Times New Roman"/>
          <w:szCs w:val="22"/>
          <w:vertAlign w:val="superscript"/>
          <w:lang w:val="pt-BR"/>
        </w:rPr>
        <w:t>/</w:t>
      </w:r>
      <w:r w:rsidRPr="00D65A20">
        <w:rPr>
          <w:rFonts w:ascii="Times New Roman" w:hAnsi="Times New Roman"/>
          <w:sz w:val="24"/>
          <w:szCs w:val="24"/>
          <w:lang w:val="pt-BR" w:eastAsia="pt-BR"/>
        </w:rPr>
        <w:t xml:space="preserve"> </w:t>
      </w:r>
    </w:p>
    <w:p w14:paraId="431B8872"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06" w:hanging="706"/>
        <w:rPr>
          <w:rFonts w:ascii="Times New Roman" w:hAnsi="Times New Roman"/>
          <w:color w:val="000000"/>
          <w:szCs w:val="22"/>
          <w:lang w:val="pt-BR"/>
        </w:rPr>
      </w:pPr>
    </w:p>
    <w:p w14:paraId="124E5B14"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rPr>
      </w:pPr>
      <w:r w:rsidRPr="00D65A20">
        <w:rPr>
          <w:rFonts w:ascii="Times New Roman" w:hAnsi="Times New Roman"/>
          <w:color w:val="000000"/>
          <w:szCs w:val="22"/>
          <w:lang w:val="pt-BR"/>
        </w:rPr>
        <w:t xml:space="preserve">RECORDANDO a seção xiv da resolução AG/RES. 2941 (XLIX-O/19), “Promoção e proteção dos direitos humanos”; as obrigações emanadas da Convenção Interamericana para Prevenir, Punir e Erradicar a Violência contra a Mulher (Convenção de Belém do Pará); os acordos resultantes da Conferência de Estados Partes e as recomendações da Comissão de Peritas/os, como órgãos do MESECVI; e o Plano Estratégico do MESECVI 2018–2023 e outros documentos e mandatos pertinentes, </w:t>
      </w:r>
    </w:p>
    <w:p w14:paraId="6308C3B0"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62482455"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r w:rsidRPr="00D65A20">
        <w:rPr>
          <w:rFonts w:ascii="Times New Roman" w:hAnsi="Times New Roman"/>
          <w:color w:val="000000"/>
          <w:szCs w:val="22"/>
          <w:lang w:val="pt-BR"/>
        </w:rPr>
        <w:t xml:space="preserve">RESOLVE: </w:t>
      </w:r>
    </w:p>
    <w:p w14:paraId="04A6B237"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0A0F9996"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rPr>
      </w:pPr>
      <w:r w:rsidRPr="00D65A20">
        <w:rPr>
          <w:rFonts w:ascii="Times New Roman" w:hAnsi="Times New Roman"/>
          <w:color w:val="000000"/>
          <w:szCs w:val="22"/>
          <w:lang w:val="pt-BR"/>
        </w:rPr>
        <w:t>1.</w:t>
      </w:r>
      <w:r w:rsidRPr="00D65A20">
        <w:rPr>
          <w:rFonts w:ascii="Times New Roman" w:hAnsi="Times New Roman"/>
          <w:color w:val="000000"/>
          <w:szCs w:val="22"/>
          <w:lang w:val="pt-BR"/>
        </w:rPr>
        <w:tab/>
        <w:t xml:space="preserve">Reiterar seu compromisso com o fortalecimento do Mecanismo de Acompanhamento da Implementação da Convenção Interamericana para Prevenir, Punir e Erradicar a Violência contra a Mulher, “Convenção de Belém do Pará” (MESECVI), e apoiar a Comissão de Peritas/os em seu trabalho de acompanhar a plena implementação da Convenção de Belém do Pará pelos Estados Partes; facilitar a criação de ferramentas e fortalecer processos de formação e apoio técnico aos Estados Partes e à sociedade civil, considerando políticas que ofereçam os mais altos níveis de proteção dos direitos humanos das mulheres em toda a sua diversidade, </w:t>
      </w:r>
      <w:r w:rsidRPr="00D65A20">
        <w:rPr>
          <w:rFonts w:ascii="Times New Roman" w:hAnsi="Times New Roman"/>
          <w:iCs/>
          <w:color w:val="000000"/>
          <w:szCs w:val="22"/>
          <w:lang w:val="pt-BR"/>
        </w:rPr>
        <w:t>em conformidade com as legislações nacionais</w:t>
      </w:r>
      <w:r w:rsidRPr="00D65A20">
        <w:rPr>
          <w:rFonts w:ascii="Times New Roman" w:hAnsi="Times New Roman"/>
          <w:b/>
          <w:bCs/>
          <w:iCs/>
          <w:color w:val="000000"/>
          <w:szCs w:val="22"/>
          <w:lang w:val="pt-BR"/>
        </w:rPr>
        <w:t xml:space="preserve"> </w:t>
      </w:r>
      <w:r w:rsidRPr="00D65A20">
        <w:rPr>
          <w:rFonts w:ascii="Times New Roman" w:hAnsi="Times New Roman"/>
          <w:color w:val="000000"/>
          <w:szCs w:val="22"/>
          <w:lang w:val="pt-BR"/>
        </w:rPr>
        <w:t>e no âmbito da pandemia de covid-19 e de suas consequências diferenciadas para as mulheres, particularmente as que se encontram em situação de vulnerabilidade.</w:t>
      </w:r>
    </w:p>
    <w:p w14:paraId="1383CC69"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4245A579"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rPr>
      </w:pPr>
      <w:r w:rsidRPr="00D65A20">
        <w:rPr>
          <w:rFonts w:ascii="Times New Roman" w:hAnsi="Times New Roman"/>
          <w:color w:val="000000"/>
          <w:szCs w:val="22"/>
          <w:lang w:val="pt-BR"/>
        </w:rPr>
        <w:t>2.</w:t>
      </w:r>
      <w:r w:rsidRPr="00D65A20">
        <w:rPr>
          <w:rFonts w:ascii="Times New Roman" w:hAnsi="Times New Roman"/>
          <w:color w:val="000000"/>
          <w:szCs w:val="22"/>
          <w:lang w:val="pt-BR"/>
        </w:rPr>
        <w:tab/>
        <w:t>Continuar promovendo, na fase final da Terceira Rodada de Avaliação Multilateral do MESECVI, a implementação das recomendações relevantes emanadas dos relatórios nacionais e hemisféricos, tomando nota das declarações e recomendações gerais do MESECVI. Continuar também coletando dados e adequando os sistemas jurídicos e as políticas públicas nacionais, levando em conta, quando pertinente, as leis modelo para prevenir e erradicar a violência e todas as múltiplas formas de discriminação contra todas as mulheres por motivo de gênero, junto com condições sociais, econômicas e outras condições interconectadas, inclusive aquelas que podem resultar em vulnerabilidade, e buscando a dotação orçamentária adequada para a sua implementação, levando em consideração os recursos disponíveis.</w:t>
      </w:r>
    </w:p>
    <w:p w14:paraId="04E9D7D2"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1A0943FF" w14:textId="77777777" w:rsidR="000933AA" w:rsidRPr="00D65A20" w:rsidRDefault="000933AA" w:rsidP="000933AA">
      <w:pPr>
        <w:widowControl/>
        <w:numPr>
          <w:ilvl w:val="0"/>
          <w:numId w:val="6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color w:val="000000"/>
          <w:szCs w:val="22"/>
          <w:lang w:val="pt-BR"/>
        </w:rPr>
      </w:pPr>
      <w:r w:rsidRPr="00D65A20">
        <w:rPr>
          <w:rFonts w:ascii="Times New Roman" w:hAnsi="Times New Roman"/>
          <w:color w:val="000000"/>
          <w:szCs w:val="22"/>
          <w:lang w:val="pt-BR"/>
        </w:rPr>
        <w:t>Oferecer o atendimento e garantir o acesso à justiça das mulheres vítimas de violência, bem como a reparação dos seus direitos, segundo o caso, com atenção especial à diversidade das mulheres na região em conformidade com as legislações nacionais, com um enfoque de igualdade de gênero e de direitos humanos.</w:t>
      </w:r>
    </w:p>
    <w:p w14:paraId="708243A8"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506A82CF" w14:textId="77777777" w:rsidR="000933AA" w:rsidRPr="00D65A20" w:rsidRDefault="000933AA" w:rsidP="000933AA">
      <w:pPr>
        <w:widowControl/>
        <w:numPr>
          <w:ilvl w:val="0"/>
          <w:numId w:val="6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color w:val="000000"/>
          <w:szCs w:val="22"/>
          <w:lang w:val="pt-BR"/>
        </w:rPr>
      </w:pPr>
      <w:r w:rsidRPr="00D65A20">
        <w:rPr>
          <w:rFonts w:ascii="Times New Roman" w:hAnsi="Times New Roman"/>
          <w:color w:val="000000"/>
          <w:szCs w:val="22"/>
          <w:lang w:val="pt-BR"/>
        </w:rPr>
        <w:t xml:space="preserve">Tomar nota do documento “A violência contra as mulheres frente às medidas dirigidas a diminuir o contágio da covid-19”, publicado pela CIM e pelo MESECVI em julho de 2020, focado na América Latina, com o objetivo de identificar os novos desafios derivados da pandemia que afetam de maneira diferenciada as mulheres e meninas, os novos padrões de violência </w:t>
      </w:r>
      <w:r w:rsidRPr="00D65A20">
        <w:rPr>
          <w:rFonts w:ascii="Times New Roman" w:hAnsi="Times New Roman"/>
          <w:color w:val="000000"/>
          <w:szCs w:val="22"/>
          <w:lang w:val="pt-BR"/>
        </w:rPr>
        <w:lastRenderedPageBreak/>
        <w:t>surgidos e os esforços dos Estados para combatê-los; e instar os Estados a priorizar a prevenção e resposta à violência de gênero e a participação igualitária das mulheres na tomada de decisões em todas as ações relacionadas com a covid-19, em particular no cenário pós-pandemia.</w:t>
      </w:r>
    </w:p>
    <w:p w14:paraId="212925EE"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42A0D010" w14:textId="77777777" w:rsidR="000933AA" w:rsidRPr="00D65A20" w:rsidRDefault="000933AA" w:rsidP="000933AA">
      <w:pPr>
        <w:widowControl/>
        <w:numPr>
          <w:ilvl w:val="0"/>
          <w:numId w:val="6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i/>
          <w:szCs w:val="22"/>
          <w:lang w:val="pt-BR" w:eastAsia="es-MX"/>
        </w:rPr>
      </w:pPr>
      <w:r w:rsidRPr="00D65A20">
        <w:rPr>
          <w:rFonts w:ascii="Times New Roman" w:hAnsi="Times New Roman"/>
          <w:color w:val="000000"/>
          <w:szCs w:val="22"/>
          <w:lang w:val="pt-BR"/>
        </w:rPr>
        <w:t>Instruir a CIM e o MESECVI a que continuem analisando os impactos específicos da pandemia de covid-19 nas mulheres e meninas, quer dizer, identificando os novos desafios derivados da pandemia que têm um impacto diferenciado em mulheres e meninas, os novos padrões de violência que surgiram, os esforços dos Estados membros para combatê-los e a participação das mulheres na tomada de decisões a respeito de todos os temas relacionados com a covid-19, com enfoque específico nos Estados membros do Caribe.</w:t>
      </w:r>
    </w:p>
    <w:p w14:paraId="2E5ABCEC"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6A0E6BAB" w14:textId="77777777" w:rsidR="000933AA" w:rsidRPr="00D65A20" w:rsidRDefault="000933AA" w:rsidP="000933AA">
      <w:pPr>
        <w:widowControl/>
        <w:numPr>
          <w:ilvl w:val="0"/>
          <w:numId w:val="6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pt-BR"/>
        </w:rPr>
      </w:pPr>
      <w:r w:rsidRPr="00D65A20">
        <w:rPr>
          <w:rFonts w:ascii="Times New Roman" w:hAnsi="Times New Roman"/>
          <w:color w:val="000000"/>
          <w:szCs w:val="22"/>
          <w:lang w:val="pt-BR"/>
        </w:rPr>
        <w:t>Incentivar os Estados membros, os Observadores Permanentes e outras entidades a que efetuem contribuições voluntárias e contribuições específicas conforme estabelecido pelos Estados Partes no Estatuto do MESECVI. Além disso, reiterar a importância de que a Secretaria Técnica do MESECVI conte, dentro dos recursos disponíveis na Organização, com recursos humanos, técnicos e financeiros para seu ótimo funcionamento, em cumprimento dos mandatos permanentes do MESECVI.</w:t>
      </w:r>
    </w:p>
    <w:p w14:paraId="46457954"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highlight w:val="yellow"/>
          <w:lang w:val="pt-BR"/>
        </w:rPr>
      </w:pPr>
    </w:p>
    <w:p w14:paraId="724C6F2B"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szCs w:val="22"/>
          <w:lang w:val="pt-BR" w:eastAsia="pt-BR"/>
        </w:rPr>
      </w:pPr>
      <w:r w:rsidRPr="00D65A20">
        <w:rPr>
          <w:rFonts w:ascii="Times New Roman" w:hAnsi="Times New Roman"/>
          <w:szCs w:val="22"/>
          <w:lang w:val="pt-BR"/>
        </w:rPr>
        <w:t xml:space="preserve">xxii. </w:t>
      </w:r>
      <w:r w:rsidRPr="00D65A20">
        <w:rPr>
          <w:rFonts w:ascii="Times New Roman" w:hAnsi="Times New Roman"/>
          <w:szCs w:val="22"/>
          <w:lang w:val="pt-BR"/>
        </w:rPr>
        <w:tab/>
      </w:r>
      <w:r w:rsidRPr="00D65A20">
        <w:rPr>
          <w:rFonts w:ascii="Times New Roman" w:hAnsi="Times New Roman"/>
          <w:color w:val="000000"/>
          <w:szCs w:val="22"/>
          <w:u w:val="single"/>
          <w:lang w:val="pt-BR"/>
        </w:rPr>
        <w:t>Acompanhamento da implementação da Declaração Americana sobre os Direitos dos Povos Indígenas e do Plano de Ação da Declaração Americana sobre os Direitos dos Povos Indígenas (2017–2021)</w:t>
      </w:r>
    </w:p>
    <w:p w14:paraId="7951B4C9"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pt-BR"/>
        </w:rPr>
      </w:pPr>
    </w:p>
    <w:p w14:paraId="4E91801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rPr>
      </w:pPr>
      <w:r w:rsidRPr="00D65A20">
        <w:rPr>
          <w:rFonts w:ascii="Times New Roman" w:hAnsi="Times New Roman"/>
          <w:color w:val="000000"/>
          <w:szCs w:val="22"/>
          <w:lang w:val="pt-BR"/>
        </w:rPr>
        <w:t>TENDO PRESENTES a Declaração Americana sobre os Direitos dos Povos Indígenas e o Plano de Ação da Declaração Americana sobre os Direitos dos Povos Indígenas (2017–2021), a resolução AG/RES. 2898 (XLVII-O/17), “2019 – Ano Internacional das Línguas Indígenas”, e a resolução AG/RES. 2934 (XLIX-O/19), “Participação efetiva dos povos indígenas e dos afrodescendentes nas atividades da Organização dos Estados Americanos”;</w:t>
      </w:r>
    </w:p>
    <w:p w14:paraId="3EEB38E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shd w:val="clear" w:color="auto" w:fill="FFFFFF"/>
          <w:lang w:val="pt-BR"/>
        </w:rPr>
      </w:pPr>
    </w:p>
    <w:p w14:paraId="60F22A17" w14:textId="3327DDB4"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color w:val="000000"/>
          <w:szCs w:val="22"/>
          <w:shd w:val="clear" w:color="auto" w:fill="FFFFFF"/>
          <w:lang w:val="pt-BR"/>
        </w:rPr>
      </w:pPr>
      <w:r w:rsidRPr="00D65A20">
        <w:rPr>
          <w:rFonts w:ascii="Times New Roman" w:hAnsi="Times New Roman"/>
          <w:color w:val="000000"/>
          <w:szCs w:val="22"/>
          <w:shd w:val="clear" w:color="auto" w:fill="FFFFFF"/>
          <w:lang w:val="pt-BR"/>
        </w:rPr>
        <w:t>DESTACANDO a resolução 74/135, aprovada pela Assembleia Geral das Nações Unidas em 18 de dezembro de 2019, que proclama o período 2022–2032 Década Internacional das Línguas Indígenas, a fim de chamar a atenção para a gravidade da perda de línguas indígenas e a necessidade premente de conservá-las, revitalizá-las e promovê-las, bem como de adotar medidas urgentes em nível nacional e internacional; e que convida a Organização das Nações Unidas para a Educação, a Ciência e a Cultura (UNESCO) a atuar como organismo coordenador das atividades da Década Internacional, em colaboração com o Departamento de Assuntos Econômicos e Sociais da Secretaria da ONU e outros organismos pertinentes, dentro do limite dos recursos disponíveis, para o que foi levado a cabo o e</w:t>
      </w:r>
      <w:r w:rsidRPr="00D65A20">
        <w:rPr>
          <w:rFonts w:ascii="Times New Roman" w:hAnsi="Times New Roman"/>
          <w:szCs w:val="22"/>
          <w:lang w:val="pt-BR"/>
        </w:rPr>
        <w:t>vento de alto nível “Construindo uma Década de Ações para as Línguas Indígenas” em 27 e 28 de fevereiro de 2020 na Cidade do México, com a participação</w:t>
      </w:r>
      <w:r w:rsidR="00FB63F3" w:rsidRPr="00D65A20">
        <w:rPr>
          <w:rFonts w:ascii="Times New Roman" w:hAnsi="Times New Roman"/>
          <w:szCs w:val="22"/>
          <w:lang w:val="pt-BR"/>
        </w:rPr>
        <w:t xml:space="preserve"> </w:t>
      </w:r>
      <w:r w:rsidRPr="00D65A20">
        <w:rPr>
          <w:rFonts w:ascii="Times New Roman" w:hAnsi="Times New Roman"/>
          <w:szCs w:val="22"/>
          <w:lang w:val="pt-BR"/>
        </w:rPr>
        <w:t>de representantes indígenas de diversas partes do mundo, do Foro Permanente para as Questões Indígenas da ONU e da UNESCO, entre outros, da qual emanou a “Declaração de Los Pinos [Chapoltepek] — Construindo um Década de Ações para as Línguas Indígenas”, que inclui princípios fundamentais, orientações estratégicas, considerações temáticas e diretrizes de aplicação</w:t>
      </w:r>
      <w:r w:rsidRPr="00D65A20">
        <w:rPr>
          <w:rFonts w:ascii="Times New Roman" w:hAnsi="Times New Roman"/>
          <w:color w:val="000000"/>
          <w:szCs w:val="22"/>
          <w:shd w:val="clear" w:color="auto" w:fill="FFFFFF"/>
          <w:lang w:val="pt-BR"/>
        </w:rPr>
        <w:t>;</w:t>
      </w:r>
    </w:p>
    <w:p w14:paraId="45459517"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197559F1"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rPr>
      </w:pPr>
      <w:r w:rsidRPr="00D65A20">
        <w:rPr>
          <w:rFonts w:ascii="Times New Roman" w:hAnsi="Times New Roman"/>
          <w:color w:val="000000"/>
          <w:szCs w:val="22"/>
          <w:lang w:val="pt-BR"/>
        </w:rPr>
        <w:t xml:space="preserve">CELEBRANDO a realização da Segunda e da Terceira Semanas Interamericanas dos Povos Indígenas e de uma sessão especial conjunta do Conselho Permanente e do Conselho Interamericano de Desenvolvimento Integral para comemorar o Ano Internacional das Línguas Indígenas em conformidade com a resolução AG/RES. 2898 (XLVII-O/17), “2019 – Ano Internacional das </w:t>
      </w:r>
      <w:r w:rsidRPr="00D65A20">
        <w:rPr>
          <w:rFonts w:ascii="Times New Roman" w:hAnsi="Times New Roman"/>
          <w:color w:val="000000"/>
          <w:szCs w:val="22"/>
          <w:lang w:val="pt-BR"/>
        </w:rPr>
        <w:lastRenderedPageBreak/>
        <w:t>Línguas Indígenas” e o Plano de Ação da Declaração Americana sobre os Direitos dos Povos Indígenas (2017–2021); e</w:t>
      </w:r>
    </w:p>
    <w:p w14:paraId="46082A1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bdr w:val="none" w:sz="0" w:space="0" w:color="auto" w:frame="1"/>
          <w:shd w:val="clear" w:color="auto" w:fill="FFFFFF"/>
          <w:lang w:val="pt-BR" w:eastAsia="es-ES_tradnl"/>
        </w:rPr>
      </w:pPr>
    </w:p>
    <w:p w14:paraId="4242E53B"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rPr>
      </w:pPr>
      <w:r w:rsidRPr="00D65A20">
        <w:rPr>
          <w:rFonts w:ascii="Times New Roman" w:hAnsi="Times New Roman"/>
          <w:color w:val="000000"/>
          <w:szCs w:val="22"/>
          <w:bdr w:val="none" w:sz="0" w:space="0" w:color="auto" w:frame="1"/>
          <w:shd w:val="clear" w:color="auto" w:fill="FFFFFF"/>
          <w:lang w:val="pt-BR" w:eastAsia="es-ES_tradnl"/>
        </w:rPr>
        <w:t>CELEBRANDO TAMBÉM a realização do Congresso Regional de Línguas Indígenas para a América Latina e o Caribe, levado a cabo de 25 a 27 de setembro de 2019, em Cusco, Peru,</w:t>
      </w:r>
    </w:p>
    <w:p w14:paraId="1B60E978"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6FE95CAF"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pt-BR"/>
        </w:rPr>
      </w:pPr>
      <w:r w:rsidRPr="00D65A20">
        <w:rPr>
          <w:rFonts w:ascii="Times New Roman" w:hAnsi="Times New Roman"/>
          <w:color w:val="000000"/>
          <w:szCs w:val="22"/>
          <w:lang w:val="pt-BR"/>
        </w:rPr>
        <w:t>RESOLVE:</w:t>
      </w:r>
    </w:p>
    <w:p w14:paraId="66959956"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14286A8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rPr>
      </w:pPr>
      <w:r w:rsidRPr="00D65A20">
        <w:rPr>
          <w:rFonts w:ascii="Times New Roman" w:hAnsi="Times New Roman"/>
          <w:color w:val="000000"/>
          <w:szCs w:val="22"/>
          <w:lang w:val="pt-BR"/>
        </w:rPr>
        <w:t>1.</w:t>
      </w:r>
      <w:r w:rsidRPr="00D65A20">
        <w:rPr>
          <w:rFonts w:ascii="Times New Roman" w:hAnsi="Times New Roman"/>
          <w:color w:val="000000"/>
          <w:szCs w:val="22"/>
          <w:lang w:val="pt-BR"/>
        </w:rPr>
        <w:tab/>
        <w:t>Instar os Estados membros, a Secretaria-Geral e as instituições da Organização dos Estados Americanos (OEA) a que tomem todas as medidas necessárias para a implementação da Declaração Americana sobre os Direitos dos Povos Indígenas e do Plano de Ação da Declaração Americana sobre os Direitos dos Povos Indígenas (2017–2021)</w:t>
      </w:r>
      <w:r w:rsidRPr="00D65A20">
        <w:rPr>
          <w:rFonts w:ascii="Times New Roman" w:hAnsi="Times New Roman"/>
          <w:i/>
          <w:iCs/>
          <w:color w:val="000000"/>
          <w:szCs w:val="22"/>
          <w:lang w:val="pt-BR"/>
        </w:rPr>
        <w:t>.</w:t>
      </w:r>
    </w:p>
    <w:p w14:paraId="6D8AD72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026C58B9"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pt-BR"/>
        </w:rPr>
      </w:pPr>
      <w:r w:rsidRPr="00D65A20">
        <w:rPr>
          <w:rFonts w:ascii="Times New Roman" w:hAnsi="Times New Roman"/>
          <w:color w:val="000000"/>
          <w:szCs w:val="22"/>
          <w:lang w:val="pt-BR"/>
        </w:rPr>
        <w:t>2.</w:t>
      </w:r>
      <w:r w:rsidRPr="00D65A20">
        <w:rPr>
          <w:rFonts w:ascii="Times New Roman" w:hAnsi="Times New Roman"/>
          <w:color w:val="000000"/>
          <w:szCs w:val="22"/>
          <w:lang w:val="pt-BR"/>
        </w:rPr>
        <w:tab/>
        <w:t>Instar os Estados membros e os Observadores Permanentes a que contribuam para o Fundo Específico de Contribuições Voluntárias, a fim de apoiar a implementação da Declaração Americana sobre os Direitos dos Povos Indígenas e do Plano de Ação da Declaração Americana sobre os Direitos dos Povos Indígenas (2017–2021).</w:t>
      </w:r>
    </w:p>
    <w:p w14:paraId="11946031"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043AE70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eastAsia="pt-BR"/>
        </w:rPr>
      </w:pPr>
      <w:r w:rsidRPr="00D65A20">
        <w:rPr>
          <w:rFonts w:ascii="Times New Roman" w:hAnsi="Times New Roman"/>
          <w:color w:val="000000"/>
          <w:szCs w:val="22"/>
          <w:lang w:val="pt-BR"/>
        </w:rPr>
        <w:t>3.</w:t>
      </w:r>
      <w:r w:rsidRPr="00D65A20">
        <w:rPr>
          <w:rFonts w:ascii="Times New Roman" w:hAnsi="Times New Roman"/>
          <w:color w:val="000000"/>
          <w:szCs w:val="22"/>
          <w:lang w:val="pt-BR"/>
        </w:rPr>
        <w:tab/>
        <w:t>Continuar encarregando a Secretaria-Geral de realizar um encontro de altas autoridades dos Estados membros encarregadas das políticas para os povos indígenas, com a participação plena e efetiva de representantes de povos indígenas das Américas, e de outras agências internacionais e regionais, a fim de propiciar oportunidades de diálogo sobre os desafios dos direitos dos povos indígenas e analisar opções para o mandato, o formato e os custos do eventual mecanismo de acompanhamento institucional da Declaração Americana sobre os Direitos dos Povos Indígenas considerado em seu Plano de Ação (2017–2021).</w:t>
      </w:r>
    </w:p>
    <w:p w14:paraId="62BD12D6"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0A889727"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color w:val="000000"/>
          <w:szCs w:val="22"/>
          <w:lang w:val="pt-BR"/>
        </w:rPr>
      </w:pPr>
      <w:r w:rsidRPr="00D65A20">
        <w:rPr>
          <w:rFonts w:ascii="Times New Roman" w:hAnsi="Times New Roman"/>
          <w:color w:val="000000"/>
          <w:szCs w:val="22"/>
          <w:lang w:val="pt-BR"/>
        </w:rPr>
        <w:t>4.</w:t>
      </w:r>
      <w:r w:rsidRPr="00D65A20">
        <w:rPr>
          <w:rFonts w:ascii="Times New Roman" w:hAnsi="Times New Roman"/>
          <w:color w:val="000000"/>
          <w:szCs w:val="22"/>
          <w:lang w:val="pt-BR"/>
        </w:rPr>
        <w:tab/>
      </w:r>
      <w:r w:rsidRPr="00D65A20">
        <w:rPr>
          <w:rFonts w:ascii="Times New Roman" w:hAnsi="Times New Roman"/>
          <w:szCs w:val="22"/>
          <w:lang w:val="pt-BR"/>
        </w:rPr>
        <w:t>Reiterar a importância da coordenação e da cooperação entre os Estados membros, para que continuem apoiando a realização das atividades comemorativas da Semana Interamericana dos Povos Indígenas</w:t>
      </w:r>
      <w:r w:rsidRPr="00D65A20">
        <w:rPr>
          <w:rFonts w:ascii="Times New Roman" w:hAnsi="Times New Roman"/>
          <w:color w:val="000000"/>
          <w:szCs w:val="22"/>
          <w:lang w:val="pt-BR"/>
        </w:rPr>
        <w:t>.</w:t>
      </w:r>
    </w:p>
    <w:p w14:paraId="351B6CDD"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p>
    <w:p w14:paraId="782C2EE0"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color w:val="000000"/>
          <w:szCs w:val="22"/>
          <w:lang w:val="pt-BR"/>
        </w:rPr>
      </w:pPr>
      <w:r w:rsidRPr="00D65A20">
        <w:rPr>
          <w:rFonts w:ascii="Times New Roman" w:hAnsi="Times New Roman"/>
          <w:color w:val="000000"/>
          <w:szCs w:val="22"/>
          <w:lang w:val="pt-BR"/>
        </w:rPr>
        <w:t>5.</w:t>
      </w:r>
      <w:r w:rsidRPr="00D65A20">
        <w:rPr>
          <w:rFonts w:ascii="Times New Roman" w:hAnsi="Times New Roman"/>
          <w:color w:val="000000"/>
          <w:szCs w:val="22"/>
          <w:lang w:val="pt-BR"/>
        </w:rPr>
        <w:tab/>
        <w:t xml:space="preserve">Promover na região o mais alto nível possível de proteção dos direitos dos povos indígenas, inclusive o direito individual e coletivo ao gozo do mais alto nível possível de saúde física e mental, bem como assegurar o acesso, sem qualquer discriminação, a todos os serviços, inclusive a atenção da saúde. Além disso, promover ações para que as respostas inclusivas e com enfoque de direitos frente à covid-19 respeitem e protejam os direitos dos povos indígenas. </w:t>
      </w:r>
    </w:p>
    <w:p w14:paraId="520F4A59"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2FA425A7"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b/>
          <w:bCs/>
          <w:color w:val="000000"/>
          <w:szCs w:val="22"/>
          <w:lang w:val="pt-BR"/>
        </w:rPr>
      </w:pPr>
      <w:r w:rsidRPr="00D65A20">
        <w:rPr>
          <w:rFonts w:ascii="Times New Roman" w:hAnsi="Times New Roman"/>
          <w:szCs w:val="22"/>
          <w:lang w:val="pt-BR"/>
        </w:rPr>
        <w:t>6.</w:t>
      </w:r>
      <w:r w:rsidRPr="00D65A20">
        <w:rPr>
          <w:rFonts w:ascii="Times New Roman" w:hAnsi="Times New Roman"/>
          <w:szCs w:val="22"/>
          <w:lang w:val="pt-BR"/>
        </w:rPr>
        <w:tab/>
        <w:t>Promover e proteger os direitos dos povos indígenas, no marco das obrigações internacionais em matéria de direitos humanos, frente a ações da criminalidade organizada que poderiam agravar a sua situação de vulnerabilidade, sobretudo no âmbito da pandemia de covid-19.</w:t>
      </w:r>
      <w:r w:rsidRPr="00D65A20">
        <w:rPr>
          <w:rFonts w:ascii="Times New Roman" w:hAnsi="Times New Roman"/>
          <w:szCs w:val="22"/>
          <w:u w:val="single"/>
          <w:vertAlign w:val="superscript"/>
          <w:lang w:val="pt-BR"/>
        </w:rPr>
        <w:footnoteReference w:id="107"/>
      </w:r>
      <w:r w:rsidRPr="00D65A20">
        <w:rPr>
          <w:rFonts w:ascii="Times New Roman" w:hAnsi="Times New Roman"/>
          <w:szCs w:val="22"/>
          <w:vertAlign w:val="superscript"/>
          <w:lang w:val="pt-BR"/>
        </w:rPr>
        <w:t>/</w:t>
      </w:r>
      <w:r w:rsidRPr="00D65A20">
        <w:rPr>
          <w:rFonts w:ascii="Times New Roman" w:hAnsi="Times New Roman"/>
          <w:szCs w:val="22"/>
          <w:u w:val="single"/>
          <w:vertAlign w:val="superscript"/>
          <w:lang w:val="pt-BR"/>
        </w:rPr>
        <w:footnoteReference w:id="108"/>
      </w:r>
      <w:r w:rsidRPr="00D65A20">
        <w:rPr>
          <w:rFonts w:ascii="Times New Roman" w:hAnsi="Times New Roman"/>
          <w:szCs w:val="22"/>
          <w:vertAlign w:val="superscript"/>
          <w:lang w:val="pt-BR"/>
        </w:rPr>
        <w:t>/</w:t>
      </w:r>
      <w:r w:rsidRPr="00D65A20">
        <w:rPr>
          <w:rFonts w:ascii="Times New Roman" w:hAnsi="Times New Roman"/>
          <w:szCs w:val="22"/>
          <w:u w:val="single"/>
          <w:vertAlign w:val="superscript"/>
          <w:lang w:val="pt-BR"/>
        </w:rPr>
        <w:footnoteReference w:id="109"/>
      </w:r>
      <w:r w:rsidRPr="00D65A20">
        <w:rPr>
          <w:rFonts w:ascii="Times New Roman" w:hAnsi="Times New Roman"/>
          <w:szCs w:val="22"/>
          <w:vertAlign w:val="superscript"/>
          <w:lang w:val="pt-BR"/>
        </w:rPr>
        <w:t>/</w:t>
      </w:r>
    </w:p>
    <w:p w14:paraId="47455208"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06" w:hanging="706"/>
        <w:jc w:val="left"/>
        <w:rPr>
          <w:rFonts w:ascii="Times New Roman" w:hAnsi="Times New Roman"/>
          <w:color w:val="000000"/>
          <w:szCs w:val="22"/>
          <w:lang w:val="pt-BR" w:eastAsia="es-MX"/>
        </w:rPr>
      </w:pPr>
    </w:p>
    <w:p w14:paraId="4968D8FE"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06" w:hanging="706"/>
        <w:jc w:val="left"/>
        <w:rPr>
          <w:rFonts w:ascii="Times New Roman" w:hAnsi="Times New Roman"/>
          <w:color w:val="000000"/>
          <w:szCs w:val="22"/>
          <w:u w:val="single"/>
          <w:lang w:val="pt-BR" w:eastAsia="es-MX"/>
        </w:rPr>
      </w:pPr>
      <w:r w:rsidRPr="00D65A20">
        <w:rPr>
          <w:rFonts w:ascii="Times New Roman" w:hAnsi="Times New Roman"/>
          <w:color w:val="000000"/>
          <w:szCs w:val="22"/>
          <w:lang w:val="pt-BR" w:eastAsia="es-MX"/>
        </w:rPr>
        <w:lastRenderedPageBreak/>
        <w:t>xxiii.</w:t>
      </w:r>
      <w:r w:rsidRPr="00D65A20">
        <w:rPr>
          <w:rFonts w:ascii="Times New Roman" w:hAnsi="Times New Roman"/>
          <w:color w:val="000000"/>
          <w:szCs w:val="22"/>
          <w:lang w:val="pt-BR" w:eastAsia="es-MX"/>
        </w:rPr>
        <w:tab/>
      </w:r>
      <w:r w:rsidRPr="00D65A20">
        <w:rPr>
          <w:rFonts w:ascii="Times New Roman" w:hAnsi="Times New Roman"/>
          <w:color w:val="000000"/>
          <w:szCs w:val="22"/>
          <w:u w:val="single"/>
          <w:lang w:val="pt-BR" w:eastAsia="es-MX"/>
        </w:rPr>
        <w:t>Observações e recomendações sobre os Relatórios Anuais 2019 da Comissão Interamericana de Direitos Humanos e da Corte Interamericana de Direitos Humanos</w:t>
      </w:r>
      <w:r w:rsidRPr="00D65A20">
        <w:rPr>
          <w:rFonts w:ascii="Times New Roman" w:hAnsi="Times New Roman"/>
          <w:color w:val="000000"/>
          <w:szCs w:val="22"/>
          <w:lang w:val="pt-BR" w:eastAsia="es-MX"/>
        </w:rPr>
        <w:t xml:space="preserve"> </w:t>
      </w:r>
      <w:r w:rsidRPr="00D65A20">
        <w:rPr>
          <w:rFonts w:ascii="Times New Roman" w:hAnsi="Times New Roman"/>
          <w:szCs w:val="22"/>
          <w:u w:val="single"/>
          <w:vertAlign w:val="superscript"/>
          <w:lang w:val="pt-BR"/>
        </w:rPr>
        <w:footnoteReference w:id="110"/>
      </w:r>
      <w:r w:rsidRPr="00D65A20">
        <w:rPr>
          <w:rFonts w:ascii="Times New Roman" w:hAnsi="Times New Roman"/>
          <w:szCs w:val="22"/>
          <w:vertAlign w:val="superscript"/>
          <w:lang w:val="pt-BR"/>
        </w:rPr>
        <w:t>/</w:t>
      </w:r>
    </w:p>
    <w:p w14:paraId="56596B2E"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hAnsi="Times New Roman"/>
          <w:color w:val="000000"/>
          <w:szCs w:val="22"/>
          <w:lang w:val="pt-BR" w:eastAsia="es-MX"/>
        </w:rPr>
      </w:pPr>
    </w:p>
    <w:p w14:paraId="3F71948F"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color w:val="000000"/>
          <w:szCs w:val="22"/>
          <w:lang w:val="pt-BR" w:eastAsia="es-MX"/>
        </w:rPr>
      </w:pPr>
      <w:r w:rsidRPr="00D65A20">
        <w:rPr>
          <w:rFonts w:ascii="Times New Roman" w:hAnsi="Times New Roman"/>
          <w:color w:val="000000"/>
          <w:szCs w:val="22"/>
          <w:lang w:val="pt-BR" w:eastAsia="es-MX"/>
        </w:rPr>
        <w:t>RECONHECENDO o trabalho da Comissão Interamericana de Direitos Humanos e da Corte Interamericana de Direitos Humanos no cumprimento de suas funções frente a situações de supostas violações de direitos humanos,</w:t>
      </w:r>
    </w:p>
    <w:p w14:paraId="035D0B6B"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pt-BR" w:eastAsia="es-MX"/>
        </w:rPr>
      </w:pPr>
    </w:p>
    <w:p w14:paraId="238BB6B4"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hAnsi="Times New Roman"/>
          <w:color w:val="000000"/>
          <w:szCs w:val="22"/>
          <w:lang w:val="pt-BR" w:eastAsia="es-MX"/>
        </w:rPr>
      </w:pPr>
      <w:r w:rsidRPr="00D65A20">
        <w:rPr>
          <w:rFonts w:ascii="Times New Roman" w:hAnsi="Times New Roman"/>
          <w:color w:val="000000"/>
          <w:szCs w:val="22"/>
          <w:lang w:val="pt-BR" w:eastAsia="es-MX"/>
        </w:rPr>
        <w:t xml:space="preserve">RESOLVE: </w:t>
      </w:r>
    </w:p>
    <w:p w14:paraId="41ECDF06"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hAnsi="Times New Roman"/>
          <w:color w:val="000000"/>
          <w:szCs w:val="22"/>
          <w:lang w:val="pt-BR" w:eastAsia="es-MX"/>
        </w:rPr>
      </w:pPr>
    </w:p>
    <w:p w14:paraId="3734B588"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color w:val="000000"/>
          <w:szCs w:val="22"/>
          <w:lang w:val="pt-BR" w:eastAsia="es-MX"/>
        </w:rPr>
      </w:pPr>
      <w:r w:rsidRPr="00D65A20">
        <w:rPr>
          <w:rFonts w:ascii="Times New Roman" w:hAnsi="Times New Roman"/>
          <w:color w:val="000000"/>
          <w:szCs w:val="22"/>
          <w:lang w:val="pt-BR" w:eastAsia="es-MX"/>
        </w:rPr>
        <w:t xml:space="preserve">1. </w:t>
      </w:r>
      <w:r w:rsidRPr="00D65A20">
        <w:rPr>
          <w:rFonts w:ascii="Times New Roman" w:hAnsi="Times New Roman"/>
          <w:color w:val="000000"/>
          <w:szCs w:val="22"/>
          <w:lang w:val="pt-BR" w:eastAsia="es-MX"/>
        </w:rPr>
        <w:tab/>
        <w:t>Reafirmar o compromisso dos Estados membros com o Sistema Interamericano de Proteção dos Direitos Humanos.</w:t>
      </w:r>
    </w:p>
    <w:p w14:paraId="7C24FFC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hAnsi="Times New Roman"/>
          <w:color w:val="000000"/>
          <w:szCs w:val="22"/>
          <w:lang w:val="pt-BR" w:eastAsia="es-MX"/>
        </w:rPr>
      </w:pPr>
    </w:p>
    <w:p w14:paraId="3274E87B"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color w:val="000000"/>
          <w:szCs w:val="22"/>
          <w:lang w:val="pt-BR" w:eastAsia="es-MX"/>
        </w:rPr>
      </w:pPr>
      <w:r w:rsidRPr="00D65A20">
        <w:rPr>
          <w:rFonts w:ascii="Times New Roman" w:hAnsi="Times New Roman"/>
          <w:color w:val="000000"/>
          <w:szCs w:val="22"/>
          <w:lang w:val="pt-BR" w:eastAsia="es-MX"/>
        </w:rPr>
        <w:t>2.</w:t>
      </w:r>
      <w:r w:rsidRPr="00D65A20">
        <w:rPr>
          <w:rFonts w:ascii="Times New Roman" w:hAnsi="Times New Roman"/>
          <w:color w:val="000000"/>
          <w:szCs w:val="22"/>
          <w:lang w:val="pt-BR" w:eastAsia="es-MX"/>
        </w:rPr>
        <w:tab/>
        <w:t>Instar os Estados membros que ainda não o tenham feito a que considerem assinar ou ratificar todos os instrumentos interamericanos de direitos humanos, em especial a Convenção Americana sobre Direitos Humanos, ou a eles aderir.</w:t>
      </w:r>
    </w:p>
    <w:p w14:paraId="4A078E46"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1EE9FA3C"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pt-BR"/>
        </w:rPr>
      </w:pPr>
      <w:r w:rsidRPr="00D65A20">
        <w:rPr>
          <w:rFonts w:ascii="Times New Roman" w:hAnsi="Times New Roman"/>
          <w:szCs w:val="22"/>
          <w:lang w:val="pt-BR"/>
        </w:rPr>
        <w:t xml:space="preserve">3. </w:t>
      </w:r>
      <w:r w:rsidRPr="00D65A20">
        <w:rPr>
          <w:rFonts w:ascii="Times New Roman" w:hAnsi="Times New Roman"/>
          <w:szCs w:val="22"/>
          <w:lang w:val="pt-BR"/>
        </w:rPr>
        <w:tab/>
        <w:t xml:space="preserve">Reafirmar a importância de que a </w:t>
      </w:r>
      <w:r w:rsidRPr="00D65A20">
        <w:rPr>
          <w:rFonts w:ascii="Times New Roman" w:hAnsi="Times New Roman"/>
          <w:color w:val="000000"/>
          <w:szCs w:val="22"/>
          <w:lang w:val="pt-BR" w:eastAsia="es-MX"/>
        </w:rPr>
        <w:t xml:space="preserve">Comissão Interamericana de Direitos Humanos </w:t>
      </w:r>
      <w:r w:rsidRPr="00D65A20">
        <w:rPr>
          <w:rFonts w:ascii="Times New Roman" w:hAnsi="Times New Roman"/>
          <w:szCs w:val="22"/>
          <w:lang w:val="pt-BR"/>
        </w:rPr>
        <w:t>e a Corte Interamericana de Direitos Humanos disponham de recursos econômicos suficientes, levando em conta os recursos disponíveis da OEA, para cumprir seus mandatos.</w:t>
      </w:r>
    </w:p>
    <w:p w14:paraId="11318B5E"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34BC582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388DF907"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pt-BR"/>
        </w:rPr>
      </w:pPr>
      <w:r w:rsidRPr="00D65A20">
        <w:rPr>
          <w:rFonts w:ascii="Times New Roman" w:hAnsi="Times New Roman"/>
          <w:szCs w:val="22"/>
          <w:lang w:val="pt-BR"/>
        </w:rPr>
        <w:t xml:space="preserve">II. </w:t>
      </w:r>
      <w:r w:rsidRPr="00D65A20">
        <w:rPr>
          <w:rFonts w:ascii="Times New Roman" w:hAnsi="Times New Roman"/>
          <w:szCs w:val="22"/>
          <w:lang w:val="pt-BR"/>
        </w:rPr>
        <w:tab/>
        <w:t>ACOMPANHAMENTO E RELATÓRIOS</w:t>
      </w:r>
    </w:p>
    <w:p w14:paraId="399751DE"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7D2C80B2"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r w:rsidRPr="00D65A20">
        <w:rPr>
          <w:rFonts w:ascii="Times New Roman" w:hAnsi="Times New Roman"/>
          <w:szCs w:val="22"/>
          <w:lang w:val="pt-BR"/>
        </w:rPr>
        <w:t>RESOLVE:</w:t>
      </w:r>
    </w:p>
    <w:p w14:paraId="2F521EB5"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7C70CAE9"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lang w:val="pt-BR"/>
        </w:rPr>
      </w:pPr>
      <w:r w:rsidRPr="00D65A20">
        <w:rPr>
          <w:rFonts w:ascii="Times New Roman" w:hAnsi="Times New Roman"/>
          <w:szCs w:val="22"/>
          <w:lang w:val="pt-BR"/>
        </w:rPr>
        <w:t>1.</w:t>
      </w:r>
      <w:r w:rsidRPr="00D65A20">
        <w:rPr>
          <w:rFonts w:ascii="Times New Roman" w:hAnsi="Times New Roman"/>
          <w:szCs w:val="22"/>
          <w:lang w:val="pt-BR"/>
        </w:rPr>
        <w:tab/>
        <w:t>Encarregar</w:t>
      </w:r>
      <w:r w:rsidRPr="00D65A20">
        <w:rPr>
          <w:rFonts w:ascii="Times New Roman" w:hAnsi="Times New Roman"/>
          <w:color w:val="000000"/>
          <w:szCs w:val="22"/>
          <w:lang w:val="pt-BR"/>
        </w:rPr>
        <w:t xml:space="preserve"> a Secretaria-Geral de, por meio das áreas responsáveis pelo acompanhamento e execução de atividades relacionadas ao objeto desta resolução, apresentar oportunamente o </w:t>
      </w:r>
      <w:r w:rsidRPr="00D65A20">
        <w:rPr>
          <w:rFonts w:ascii="Times New Roman" w:hAnsi="Times New Roman"/>
          <w:szCs w:val="22"/>
          <w:lang w:val="pt-BR"/>
        </w:rPr>
        <w:t>plano de atividades que realizará no</w:t>
      </w:r>
      <w:r w:rsidRPr="00D65A20">
        <w:rPr>
          <w:rFonts w:ascii="Times New Roman" w:hAnsi="Times New Roman"/>
          <w:color w:val="000000"/>
          <w:szCs w:val="22"/>
          <w:lang w:val="pt-BR"/>
        </w:rPr>
        <w:t xml:space="preserve"> período 2020–2021 para consulta ou supervisão adequada dos Estados membros</w:t>
      </w:r>
      <w:r w:rsidRPr="00D65A20">
        <w:rPr>
          <w:rFonts w:ascii="Times New Roman" w:hAnsi="Times New Roman"/>
          <w:szCs w:val="22"/>
          <w:lang w:val="pt-BR"/>
        </w:rPr>
        <w:t>.</w:t>
      </w:r>
    </w:p>
    <w:p w14:paraId="0E253F97"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4"/>
          <w:lang w:val="pt-BR"/>
        </w:rPr>
      </w:pPr>
    </w:p>
    <w:p w14:paraId="4605298B"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D65A20">
        <w:rPr>
          <w:rFonts w:ascii="Times New Roman" w:hAnsi="Times New Roman"/>
          <w:szCs w:val="22"/>
          <w:lang w:val="pt-BR"/>
        </w:rPr>
        <w:t>2.</w:t>
      </w:r>
      <w:r w:rsidRPr="00D65A20">
        <w:rPr>
          <w:rFonts w:ascii="Times New Roman" w:hAnsi="Times New Roman"/>
          <w:szCs w:val="22"/>
          <w:lang w:val="pt-BR"/>
        </w:rPr>
        <w:tab/>
        <w:t>Solicitar ao Conselho Permanente que encarregue a Comissão de Assuntos Jurídicos e Políticos (CAJP) de incluir em seu plano de trabalho, antes do Quinquagésimo Primeiro Período Ordinário de Sessões da Assembleia Geral, o seguinte tema desta resolução, a fim de promover o intercâmbio de experiências e boas práticas:</w:t>
      </w:r>
    </w:p>
    <w:p w14:paraId="4F17A159"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5895A3BB"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firstLine="720"/>
        <w:rPr>
          <w:rFonts w:ascii="Times New Roman" w:hAnsi="Times New Roman"/>
          <w:sz w:val="24"/>
          <w:szCs w:val="24"/>
          <w:lang w:val="pt-BR" w:eastAsia="es-MX"/>
        </w:rPr>
      </w:pPr>
      <w:r w:rsidRPr="00D65A20">
        <w:rPr>
          <w:rFonts w:ascii="Times New Roman" w:hAnsi="Times New Roman"/>
          <w:szCs w:val="22"/>
          <w:lang w:val="pt-BR"/>
        </w:rPr>
        <w:t>“A defensoria pública oficial autônoma como salvaguarda dos direitos humanos de todas as pessoas, sem nenhum tipo de discriminação, em especial dos povos indígenas”. Realização de uma nona sessão extraordinária da CAJP sobre as boas práticas destinadas a garantir o acesso à justiça dos povos indígenas em defesa de seus direitos humanos, utilizadas em cada instituição de defensoria pública da região, no primeiro trimestre de 2021, com a presença dos Estados membros e suas respectivas instituições públicas oficiais de assistência jurídica, de integrantes da Associação Interamericana de Defensorias Públicas (AIDEF), de peritos do setor acadêmico e da sociedade civil, bem como das organizações internacionais. A participação dos membros da AIDEF será garantida por essa organização.</w:t>
      </w:r>
    </w:p>
    <w:p w14:paraId="7FB712F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2D5EE233"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eastAsia="es-ES"/>
        </w:rPr>
      </w:pPr>
      <w:r w:rsidRPr="00D65A20">
        <w:rPr>
          <w:rFonts w:ascii="Times New Roman" w:hAnsi="Times New Roman"/>
          <w:szCs w:val="22"/>
          <w:lang w:val="pt-BR"/>
        </w:rPr>
        <w:lastRenderedPageBreak/>
        <w:tab/>
        <w:t>3.</w:t>
      </w:r>
      <w:r w:rsidRPr="00D65A20">
        <w:rPr>
          <w:rFonts w:ascii="Times New Roman" w:hAnsi="Times New Roman"/>
          <w:szCs w:val="22"/>
          <w:lang w:val="pt-BR"/>
        </w:rPr>
        <w:tab/>
      </w:r>
      <w:r w:rsidRPr="00D65A20">
        <w:rPr>
          <w:rFonts w:ascii="Times New Roman" w:hAnsi="Times New Roman"/>
          <w:color w:val="000000"/>
          <w:szCs w:val="22"/>
          <w:lang w:val="pt-BR" w:eastAsia="es-ES"/>
        </w:rPr>
        <w:t>Solicitar ao Conselho Permanente que informe a Assembleia Geral, em seu Quinquagésimo Primeiro Período Ordinário de Sessões, sobre a implementação desta resolução. A execução das atividades previstas nesta resolução estará sujeita à disponibilidade de recursos financeiros no orçamento-programa da Organização e de outros recursos.</w:t>
      </w:r>
    </w:p>
    <w:p w14:paraId="2C1883FD" w14:textId="77777777" w:rsidR="000933AA" w:rsidRPr="00D65A20" w:rsidRDefault="000933AA" w:rsidP="000933A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eastAsia="es-MX"/>
        </w:rPr>
      </w:pPr>
      <w:r w:rsidRPr="00D65A20">
        <w:rPr>
          <w:rFonts w:ascii="Times New Roman" w:hAnsi="Times New Roman"/>
          <w:szCs w:val="22"/>
          <w:lang w:val="pt-BR" w:eastAsia="es-MX"/>
        </w:rPr>
        <w:br w:type="page"/>
      </w:r>
    </w:p>
    <w:p w14:paraId="6E834DD9"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sz w:val="20"/>
          <w:lang w:val="pt-BR"/>
        </w:rPr>
      </w:pPr>
      <w:r w:rsidRPr="00D65A20">
        <w:rPr>
          <w:rFonts w:ascii="Times New Roman" w:hAnsi="Times New Roman"/>
          <w:sz w:val="20"/>
          <w:lang w:val="pt-BR"/>
        </w:rPr>
        <w:lastRenderedPageBreak/>
        <w:t>NOTAS DE RODAPÉ</w:t>
      </w:r>
    </w:p>
    <w:p w14:paraId="6E834DDA"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 w:val="20"/>
          <w:lang w:val="pt-BR"/>
        </w:rPr>
      </w:pPr>
    </w:p>
    <w:p w14:paraId="6E834DDB"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 w:val="20"/>
          <w:lang w:val="pt-BR"/>
        </w:rPr>
      </w:pPr>
    </w:p>
    <w:p w14:paraId="6E834DDC"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szCs w:val="24"/>
          <w:lang w:val="pt-BR"/>
        </w:rPr>
      </w:pPr>
      <w:r w:rsidRPr="00D65A20">
        <w:rPr>
          <w:rFonts w:ascii="Times New Roman" w:hAnsi="Times New Roman"/>
          <w:bCs/>
          <w:sz w:val="20"/>
          <w:lang w:val="pt-BR"/>
        </w:rPr>
        <w:t>1.</w:t>
      </w:r>
      <w:r w:rsidRPr="00D65A20">
        <w:rPr>
          <w:rFonts w:ascii="Times New Roman" w:hAnsi="Times New Roman"/>
          <w:bCs/>
          <w:sz w:val="20"/>
          <w:lang w:val="pt-BR"/>
        </w:rPr>
        <w:tab/>
        <w:t xml:space="preserve">(...) </w:t>
      </w:r>
      <w:r w:rsidRPr="00D65A20">
        <w:rPr>
          <w:rFonts w:ascii="Times New Roman" w:hAnsi="Times New Roman"/>
          <w:sz w:val="20"/>
          <w:szCs w:val="24"/>
          <w:lang w:val="pt-BR"/>
        </w:rPr>
        <w:t xml:space="preserve">da Declaração Universal dos Direitos Humanos e das convenções internacionais afins das quais Santa Lúcia é signatária. Além disso, o Governo de Santa Lúcia orienta-se pelas disposições de sua Constituição, que promove e protege os direitos humanos, a não discriminação e as liberdades fundamentais de todas as pessoas, bem como a preservação do Estado de Direito. Todas as pessoas gozam do mesmo nível de proteção de acordo com a Constituição de Santa Lúcia. </w:t>
      </w:r>
    </w:p>
    <w:p w14:paraId="6E834DDD"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szCs w:val="24"/>
          <w:lang w:val="pt-BR"/>
        </w:rPr>
      </w:pPr>
    </w:p>
    <w:p w14:paraId="6E834DDE"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sz w:val="20"/>
          <w:lang w:val="pt-BR"/>
        </w:rPr>
      </w:pPr>
      <w:r w:rsidRPr="00D65A20">
        <w:rPr>
          <w:rFonts w:ascii="Times New Roman" w:hAnsi="Times New Roman"/>
          <w:sz w:val="20"/>
          <w:szCs w:val="24"/>
          <w:lang w:val="pt-BR"/>
        </w:rPr>
        <w:t>O Governo de Santa Lúcia coloca reservas sobre todas as disposições da presente resolução que são contrárias à sua legislação interna e sobre aquelas que não são tratadas em sua legislação interna, e não estará vinculado a nenhuma das referidas disposições.</w:t>
      </w:r>
    </w:p>
    <w:p w14:paraId="6E834DDF"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pt-BR"/>
        </w:rPr>
      </w:pPr>
    </w:p>
    <w:p w14:paraId="6E834DE0" w14:textId="77777777" w:rsidR="00AD5D09" w:rsidRPr="00D65A20" w:rsidRDefault="00B7196F" w:rsidP="00AD5D09">
      <w:pPr>
        <w:widowControl/>
        <w:ind w:firstLine="720"/>
        <w:rPr>
          <w:rFonts w:ascii="Times New Roman" w:hAnsi="Times New Roman"/>
          <w:sz w:val="20"/>
          <w:lang w:val="pt-BR"/>
        </w:rPr>
      </w:pPr>
      <w:r w:rsidRPr="00D65A20">
        <w:rPr>
          <w:rFonts w:ascii="Times New Roman" w:hAnsi="Times New Roman"/>
          <w:sz w:val="20"/>
          <w:lang w:val="pt-BR"/>
        </w:rPr>
        <w:t>2.</w:t>
      </w:r>
      <w:r w:rsidRPr="00D65A20">
        <w:rPr>
          <w:rFonts w:ascii="Times New Roman" w:hAnsi="Times New Roman"/>
          <w:sz w:val="20"/>
          <w:lang w:val="pt-BR"/>
        </w:rPr>
        <w:tab/>
        <w:t>(...)</w:t>
      </w:r>
      <w:r w:rsidR="00AD5D09" w:rsidRPr="00D65A20">
        <w:rPr>
          <w:rFonts w:ascii="Times New Roman" w:hAnsi="Times New Roman"/>
          <w:sz w:val="20"/>
          <w:lang w:val="pt-BR"/>
        </w:rPr>
        <w:t xml:space="preserve">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6E834DE1" w14:textId="77777777" w:rsidR="00AD5D09" w:rsidRPr="00D65A20" w:rsidRDefault="00AD5D09" w:rsidP="00AD5D09">
      <w:pPr>
        <w:widowControl/>
        <w:rPr>
          <w:rFonts w:ascii="Times New Roman" w:hAnsi="Times New Roman"/>
          <w:sz w:val="20"/>
          <w:lang w:val="pt-BR"/>
        </w:rPr>
      </w:pPr>
    </w:p>
    <w:p w14:paraId="6E834DE2" w14:textId="77777777" w:rsidR="00AD5D09" w:rsidRPr="00D65A20" w:rsidRDefault="00AD5D09" w:rsidP="00AD5D09">
      <w:pPr>
        <w:widowControl/>
        <w:ind w:firstLine="720"/>
        <w:rPr>
          <w:rFonts w:ascii="Times New Roman" w:hAnsi="Times New Roman"/>
          <w:sz w:val="20"/>
          <w:lang w:val="pt-BR"/>
        </w:rPr>
      </w:pPr>
      <w:r w:rsidRPr="00D65A20">
        <w:rPr>
          <w:rFonts w:ascii="Times New Roman" w:hAnsi="Times New Roman"/>
          <w:sz w:val="20"/>
          <w:lang w:val="pt-BR"/>
        </w:rPr>
        <w:t xml:space="preserve">Antígua e Barbuda não apoiou a resolução CP/RES. 1124 (2217/19), de 9 de abril de 2019, cuja intenção era nomear o Senhor Gustavo Tarre como Representante da Assembleia Nacional junto à OEA, e não aceitou as credenciais das autoridades que pretendiam representar a República Bolivariana da Venezuela no Quadragésimo Nono e no Quinquagésimo Períodos Ordinários de Sessões da Assembleia Geral. </w:t>
      </w:r>
    </w:p>
    <w:p w14:paraId="6E834DE3" w14:textId="77777777" w:rsidR="00AD5D09" w:rsidRPr="00D65A20" w:rsidRDefault="00AD5D09" w:rsidP="00AD5D09">
      <w:pPr>
        <w:widowControl/>
        <w:rPr>
          <w:rFonts w:ascii="Times New Roman" w:hAnsi="Times New Roman"/>
          <w:sz w:val="20"/>
          <w:lang w:val="pt-BR"/>
        </w:rPr>
      </w:pPr>
    </w:p>
    <w:p w14:paraId="6E834DE8" w14:textId="3631E4B0" w:rsidR="00B7196F" w:rsidRPr="00D65A20" w:rsidRDefault="00AD5D09" w:rsidP="00AD5D0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pt-BR"/>
        </w:rPr>
      </w:pPr>
      <w:r w:rsidRPr="00D65A20">
        <w:rPr>
          <w:rFonts w:ascii="Times New Roman" w:hAnsi="Times New Roman"/>
          <w:sz w:val="20"/>
          <w:lang w:val="pt-BR"/>
        </w:rPr>
        <w:t>Desse modo, Antígua e Barbuda informa a todos os Estados membros e à Secretaria-Geral da Organização dos Estados Americanos que, até novo aviso, assim como fez no Quadragésimo Nono Período Ordinário de Sessões da Assembleia Geral, não se considerará vinculado a nenhuma declaração ou resolução emanada do Quinquagésimo Período Ordinário de Sessões da Assembleia Geral, nem a quaisquer futuras declarações ou resoluções de qualquer Conselho ou órgão da Organização que incluam a participação de qualquer pessoa ou entidade pretensamente falando pela República Bolivariana da Venezuela ou agindo em seu nome, e nas quais se alcancem 18 votos com a participação de um pretenso representante da República Bolivariana da Venezuela</w:t>
      </w:r>
      <w:r w:rsidR="00B7196F" w:rsidRPr="00D65A20">
        <w:rPr>
          <w:rFonts w:ascii="Times New Roman" w:hAnsi="Times New Roman"/>
          <w:sz w:val="20"/>
          <w:lang w:val="pt-BR"/>
        </w:rPr>
        <w:t>.</w:t>
      </w:r>
    </w:p>
    <w:p w14:paraId="6E834DE9"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pt-BR"/>
        </w:rPr>
      </w:pPr>
    </w:p>
    <w:p w14:paraId="6E834DEA" w14:textId="4C500ABF" w:rsidR="00440A50" w:rsidRPr="00D65A20" w:rsidRDefault="00440A50" w:rsidP="00440A50">
      <w:pPr>
        <w:rPr>
          <w:rStyle w:val="FootnoteReference"/>
          <w:rFonts w:ascii="Times New Roman" w:hAnsi="Times New Roman"/>
          <w:sz w:val="20"/>
          <w:lang w:val="pt-BR"/>
        </w:rPr>
      </w:pPr>
      <w:r w:rsidRPr="00D65A20">
        <w:rPr>
          <w:rFonts w:ascii="Times New Roman" w:hAnsi="Times New Roman"/>
          <w:sz w:val="20"/>
          <w:lang w:val="pt-BR"/>
        </w:rPr>
        <w:tab/>
        <w:t xml:space="preserve">3. </w:t>
      </w:r>
      <w:r w:rsidR="00E55832">
        <w:rPr>
          <w:rFonts w:ascii="Times New Roman" w:hAnsi="Times New Roman"/>
          <w:sz w:val="20"/>
          <w:lang w:val="pt-BR"/>
        </w:rPr>
        <w:tab/>
      </w:r>
      <w:r w:rsidRPr="00D65A20">
        <w:rPr>
          <w:rFonts w:ascii="Times New Roman" w:hAnsi="Times New Roman"/>
          <w:sz w:val="20"/>
          <w:lang w:val="pt-BR"/>
        </w:rPr>
        <w:t>(...) Quinquagésimo Período Ordinário de Sessões da Assembleia Geral.</w:t>
      </w:r>
    </w:p>
    <w:p w14:paraId="6E834DEB" w14:textId="77777777" w:rsidR="00440A50" w:rsidRPr="00D65A20" w:rsidRDefault="00440A50"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pt-BR"/>
        </w:rPr>
      </w:pPr>
    </w:p>
    <w:p w14:paraId="6E834DEC" w14:textId="037BCE64" w:rsidR="00B7196F" w:rsidRPr="00D65A20" w:rsidRDefault="007C16D2"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szCs w:val="24"/>
          <w:lang w:val="pt-BR"/>
        </w:rPr>
      </w:pPr>
      <w:r w:rsidRPr="00D65A20">
        <w:rPr>
          <w:rFonts w:ascii="Times New Roman" w:hAnsi="Times New Roman"/>
          <w:sz w:val="20"/>
          <w:lang w:val="pt-BR"/>
        </w:rPr>
        <w:t>4</w:t>
      </w:r>
      <w:r w:rsidR="00B7196F" w:rsidRPr="00D65A20">
        <w:rPr>
          <w:rFonts w:ascii="Times New Roman" w:hAnsi="Times New Roman"/>
          <w:sz w:val="20"/>
          <w:lang w:val="pt-BR"/>
        </w:rPr>
        <w:t>.</w:t>
      </w:r>
      <w:r w:rsidR="00B7196F" w:rsidRPr="00D65A20">
        <w:rPr>
          <w:rFonts w:ascii="Times New Roman" w:hAnsi="Times New Roman"/>
          <w:sz w:val="20"/>
          <w:lang w:val="pt-BR"/>
        </w:rPr>
        <w:tab/>
        <w:t xml:space="preserve">(...) </w:t>
      </w:r>
      <w:r w:rsidR="00B7196F" w:rsidRPr="00D65A20">
        <w:rPr>
          <w:rFonts w:ascii="Times New Roman" w:hAnsi="Times New Roman"/>
          <w:sz w:val="20"/>
          <w:szCs w:val="24"/>
          <w:lang w:val="pt-BR"/>
        </w:rPr>
        <w:t xml:space="preserve">Por exemplo: “direito ao mais alto nível de saúde”, “direitos e a preservação da saúde” e “o direito à saúde”.  Além disso, Estados Unidos entendem que as resoluções da Assembleia Geral da OEA não alteram o atual estado do Direito </w:t>
      </w:r>
      <w:r w:rsidR="00B856E0" w:rsidRPr="00D65A20">
        <w:rPr>
          <w:rFonts w:ascii="Times New Roman" w:hAnsi="Times New Roman"/>
          <w:sz w:val="20"/>
          <w:szCs w:val="24"/>
          <w:lang w:val="pt-BR"/>
        </w:rPr>
        <w:t>internacional convencional ou consuetudinário</w:t>
      </w:r>
      <w:r w:rsidR="00B7196F" w:rsidRPr="00D65A20">
        <w:rPr>
          <w:rFonts w:ascii="Times New Roman" w:hAnsi="Times New Roman"/>
          <w:sz w:val="20"/>
          <w:szCs w:val="24"/>
          <w:lang w:val="pt-BR"/>
        </w:rPr>
        <w:t xml:space="preserve">. Nesse sentido, os Estados Unidos observam que o Direito </w:t>
      </w:r>
      <w:r w:rsidR="00B856E0" w:rsidRPr="00D65A20">
        <w:rPr>
          <w:rFonts w:ascii="Times New Roman" w:hAnsi="Times New Roman"/>
          <w:sz w:val="20"/>
          <w:szCs w:val="24"/>
          <w:lang w:val="pt-BR"/>
        </w:rPr>
        <w:t xml:space="preserve">internacional dos direitos humanos </w:t>
      </w:r>
      <w:r w:rsidR="00B7196F" w:rsidRPr="00D65A20">
        <w:rPr>
          <w:rFonts w:ascii="Times New Roman" w:hAnsi="Times New Roman"/>
          <w:sz w:val="20"/>
          <w:szCs w:val="24"/>
          <w:lang w:val="pt-BR"/>
        </w:rPr>
        <w:t>estabelece as condições para a admissibilidade de restrições a certos direitos humanos, incluindo a sujeição à lei e a necessidade em uma sociedade democrática de se proteger, entre outros, a saúde pública.</w:t>
      </w:r>
    </w:p>
    <w:p w14:paraId="6E834DED"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szCs w:val="24"/>
          <w:lang w:val="pt-BR"/>
        </w:rPr>
      </w:pPr>
    </w:p>
    <w:p w14:paraId="6E834DEE" w14:textId="331EFBCB" w:rsidR="00B7196F" w:rsidRPr="00D65A20" w:rsidRDefault="00440A50"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szCs w:val="24"/>
          <w:lang w:val="pt-BR"/>
        </w:rPr>
      </w:pPr>
      <w:r w:rsidRPr="00D65A20">
        <w:rPr>
          <w:rFonts w:ascii="Times New Roman" w:hAnsi="Times New Roman"/>
          <w:sz w:val="20"/>
          <w:szCs w:val="24"/>
          <w:lang w:val="pt-BR"/>
        </w:rPr>
        <w:t>5</w:t>
      </w:r>
      <w:r w:rsidR="00B7196F" w:rsidRPr="00D65A20">
        <w:rPr>
          <w:rFonts w:ascii="Times New Roman" w:hAnsi="Times New Roman"/>
          <w:sz w:val="20"/>
          <w:szCs w:val="24"/>
          <w:lang w:val="pt-BR"/>
        </w:rPr>
        <w:t>.</w:t>
      </w:r>
      <w:r w:rsidR="00B7196F" w:rsidRPr="00D65A20">
        <w:rPr>
          <w:rFonts w:ascii="Times New Roman" w:hAnsi="Times New Roman"/>
          <w:sz w:val="20"/>
          <w:szCs w:val="24"/>
          <w:lang w:val="pt-BR"/>
        </w:rPr>
        <w:tab/>
      </w:r>
      <w:r w:rsidR="00B7196F" w:rsidRPr="00D65A20">
        <w:rPr>
          <w:rFonts w:ascii="Times New Roman" w:eastAsia="Calibri" w:hAnsi="Times New Roman"/>
          <w:sz w:val="20"/>
          <w:lang w:val="pt-BR"/>
        </w:rPr>
        <w:t xml:space="preserve">(...) </w:t>
      </w:r>
      <w:r w:rsidR="00B7196F" w:rsidRPr="00D65A20">
        <w:rPr>
          <w:rFonts w:ascii="Times New Roman" w:hAnsi="Times New Roman"/>
          <w:sz w:val="20"/>
          <w:szCs w:val="24"/>
          <w:lang w:val="pt-BR"/>
        </w:rPr>
        <w:t xml:space="preserve">os Estados Unidos são parte. Com relação à menção desses direitos na Declaração Americana dos Direitos e Deveres do Homem e/ou na Convenção Americana sobre Direitos Humanos, os Estados Unidos observam que a Declaração Americana é um instrumento não vinculante e que os Estados Unidos não são parte na Convenção Americana. Os Estados Unidos entendem ainda que as resoluções da Assembleia Geral da OEA não alteram o estado atual do Direito </w:t>
      </w:r>
      <w:r w:rsidR="00B856E0" w:rsidRPr="00D65A20">
        <w:rPr>
          <w:rFonts w:ascii="Times New Roman" w:hAnsi="Times New Roman"/>
          <w:sz w:val="20"/>
          <w:szCs w:val="24"/>
          <w:lang w:val="pt-BR"/>
        </w:rPr>
        <w:t xml:space="preserve">internacional </w:t>
      </w:r>
      <w:r w:rsidR="00B7196F" w:rsidRPr="00D65A20">
        <w:rPr>
          <w:rFonts w:ascii="Times New Roman" w:hAnsi="Times New Roman"/>
          <w:sz w:val="20"/>
          <w:szCs w:val="24"/>
          <w:lang w:val="pt-BR"/>
        </w:rPr>
        <w:t>convencional ou consuetudinário.</w:t>
      </w:r>
    </w:p>
    <w:p w14:paraId="6E834DEF" w14:textId="77777777" w:rsidR="00B7196F" w:rsidRPr="00D65A20" w:rsidRDefault="00B7196F" w:rsidP="00E558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szCs w:val="24"/>
          <w:lang w:val="pt-BR"/>
        </w:rPr>
      </w:pPr>
    </w:p>
    <w:p w14:paraId="6E834DF0" w14:textId="46AE7C01" w:rsidR="00B7196F" w:rsidRPr="00D65A20" w:rsidRDefault="00440A50"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szCs w:val="24"/>
          <w:lang w:val="pt-BR"/>
        </w:rPr>
      </w:pPr>
      <w:r w:rsidRPr="00D65A20">
        <w:rPr>
          <w:rFonts w:ascii="Times New Roman" w:hAnsi="Times New Roman"/>
          <w:sz w:val="20"/>
          <w:szCs w:val="24"/>
          <w:lang w:val="pt-BR"/>
        </w:rPr>
        <w:t>6</w:t>
      </w:r>
      <w:r w:rsidR="00B7196F" w:rsidRPr="00D65A20">
        <w:rPr>
          <w:rFonts w:ascii="Times New Roman" w:hAnsi="Times New Roman"/>
          <w:sz w:val="20"/>
          <w:szCs w:val="24"/>
          <w:lang w:val="pt-BR"/>
        </w:rPr>
        <w:t>.</w:t>
      </w:r>
      <w:r w:rsidR="00B7196F" w:rsidRPr="00D65A20">
        <w:rPr>
          <w:rFonts w:ascii="Times New Roman" w:hAnsi="Times New Roman"/>
          <w:sz w:val="20"/>
          <w:szCs w:val="24"/>
          <w:lang w:val="pt-BR"/>
        </w:rPr>
        <w:tab/>
      </w:r>
      <w:r w:rsidR="00B7196F" w:rsidRPr="00D65A20">
        <w:rPr>
          <w:rFonts w:ascii="Times New Roman" w:eastAsia="Calibri" w:hAnsi="Times New Roman"/>
          <w:sz w:val="20"/>
          <w:lang w:val="pt-BR"/>
        </w:rPr>
        <w:t xml:space="preserve">(...) </w:t>
      </w:r>
      <w:r w:rsidR="00B7196F" w:rsidRPr="00D65A20">
        <w:rPr>
          <w:rFonts w:ascii="Times New Roman" w:hAnsi="Times New Roman"/>
          <w:sz w:val="20"/>
          <w:szCs w:val="24"/>
          <w:lang w:val="pt-BR"/>
        </w:rPr>
        <w:t xml:space="preserve">adequadas para promover a realização progressiva dos direitos econômicos, sociais e culturais. Ademais, os Estados Unidos não acreditam que a obrigação de um Estado de respeitar o direito à vida por lei se estenda à abordagem de condições gerais na sociedade ou na natureza que possam em algum momento ameaçar a vida ou impedir que os indivíduos usufruam do mais alto padrão de saúde atingível. Além disso, os Estados Unidos não reconhecem um “direito à alimentação” ou </w:t>
      </w:r>
      <w:r w:rsidR="00A47C7F" w:rsidRPr="00D65A20">
        <w:rPr>
          <w:rFonts w:ascii="Times New Roman" w:hAnsi="Times New Roman"/>
          <w:sz w:val="20"/>
          <w:szCs w:val="24"/>
          <w:lang w:val="pt-BR"/>
        </w:rPr>
        <w:t xml:space="preserve">um </w:t>
      </w:r>
      <w:r w:rsidR="00B7196F" w:rsidRPr="00D65A20">
        <w:rPr>
          <w:rFonts w:ascii="Times New Roman" w:hAnsi="Times New Roman"/>
          <w:sz w:val="20"/>
          <w:szCs w:val="24"/>
          <w:lang w:val="pt-BR"/>
        </w:rPr>
        <w:t xml:space="preserve">“direito à habitação” independentes. Conforme estabelecido na Declaração Universal dos Direitos Humanos, alimentação e habitação </w:t>
      </w:r>
      <w:r w:rsidR="00B7196F" w:rsidRPr="00D65A20">
        <w:rPr>
          <w:rFonts w:ascii="Times New Roman" w:hAnsi="Times New Roman"/>
          <w:sz w:val="20"/>
          <w:szCs w:val="24"/>
          <w:lang w:val="pt-BR"/>
        </w:rPr>
        <w:lastRenderedPageBreak/>
        <w:t>são componentes do direito a um padrão de vida adequado. Ademais, como observado na Constituição da Organização Mundial da Saúde, existe um “direito ao gozo do mais alto padrão de saúde alcançável”, mas não simplesmente um “direito à saúde”.</w:t>
      </w:r>
    </w:p>
    <w:p w14:paraId="6E834DF1"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szCs w:val="24"/>
          <w:lang w:val="pt-BR"/>
        </w:rPr>
      </w:pPr>
    </w:p>
    <w:p w14:paraId="6E834DF2" w14:textId="2ED8035D" w:rsidR="00B7196F" w:rsidRPr="00D65A20" w:rsidRDefault="00440A50"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szCs w:val="24"/>
          <w:lang w:val="pt-BR"/>
        </w:rPr>
      </w:pPr>
      <w:r w:rsidRPr="00D65A20">
        <w:rPr>
          <w:rFonts w:ascii="Times New Roman" w:hAnsi="Times New Roman"/>
          <w:sz w:val="20"/>
          <w:szCs w:val="24"/>
          <w:lang w:val="pt-BR"/>
        </w:rPr>
        <w:t>7</w:t>
      </w:r>
      <w:r w:rsidR="00B7196F" w:rsidRPr="00D65A20">
        <w:rPr>
          <w:rFonts w:ascii="Times New Roman" w:hAnsi="Times New Roman"/>
          <w:sz w:val="20"/>
          <w:szCs w:val="24"/>
          <w:lang w:val="pt-BR"/>
        </w:rPr>
        <w:t>.</w:t>
      </w:r>
      <w:r w:rsidR="00B7196F" w:rsidRPr="00D65A20">
        <w:rPr>
          <w:rFonts w:ascii="Times New Roman" w:hAnsi="Times New Roman"/>
          <w:sz w:val="20"/>
          <w:szCs w:val="24"/>
          <w:lang w:val="pt-BR"/>
        </w:rPr>
        <w:tab/>
      </w:r>
      <w:r w:rsidR="00B7196F" w:rsidRPr="00D65A20">
        <w:rPr>
          <w:rFonts w:ascii="Times New Roman" w:eastAsia="Calibri" w:hAnsi="Times New Roman"/>
          <w:sz w:val="20"/>
          <w:lang w:val="pt-BR"/>
        </w:rPr>
        <w:t xml:space="preserve">(...) </w:t>
      </w:r>
      <w:r w:rsidR="00B7196F" w:rsidRPr="00D65A20">
        <w:rPr>
          <w:rFonts w:ascii="Times New Roman" w:hAnsi="Times New Roman"/>
          <w:sz w:val="20"/>
          <w:szCs w:val="24"/>
          <w:lang w:val="pt-BR"/>
        </w:rPr>
        <w:t>Desaparecimento Forçado de Pessoas. Os Estados Unidos observam que as obrigações articuladas nesta seção se aplicam apenas aos Estados que assumiram essas obrigações como partes em qualquer uma dessas convenções e que a presente resolução não cria novos direitos ou obrigações.</w:t>
      </w:r>
    </w:p>
    <w:p w14:paraId="6E834DF3"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szCs w:val="24"/>
          <w:lang w:val="pt-BR"/>
        </w:rPr>
      </w:pPr>
    </w:p>
    <w:p w14:paraId="6E834DF4" w14:textId="3005C7D3" w:rsidR="00B7196F" w:rsidRPr="00D65A20" w:rsidRDefault="00440A50"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color w:val="000000"/>
          <w:sz w:val="20"/>
          <w:shd w:val="clear" w:color="auto" w:fill="FFFFFF"/>
          <w:lang w:val="pt-BR"/>
        </w:rPr>
      </w:pPr>
      <w:r w:rsidRPr="00D65A20">
        <w:rPr>
          <w:rFonts w:ascii="Times New Roman" w:hAnsi="Times New Roman"/>
          <w:sz w:val="20"/>
          <w:szCs w:val="24"/>
          <w:lang w:val="pt-BR"/>
        </w:rPr>
        <w:t>8</w:t>
      </w:r>
      <w:r w:rsidR="00B7196F" w:rsidRPr="00D65A20">
        <w:rPr>
          <w:rFonts w:ascii="Times New Roman" w:hAnsi="Times New Roman"/>
          <w:sz w:val="20"/>
          <w:szCs w:val="24"/>
          <w:lang w:val="pt-BR"/>
        </w:rPr>
        <w:t>.</w:t>
      </w:r>
      <w:r w:rsidR="00B7196F" w:rsidRPr="00D65A20">
        <w:rPr>
          <w:rFonts w:ascii="Times New Roman" w:hAnsi="Times New Roman"/>
          <w:sz w:val="20"/>
          <w:szCs w:val="24"/>
          <w:lang w:val="pt-BR"/>
        </w:rPr>
        <w:tab/>
      </w:r>
      <w:r w:rsidR="00B7196F" w:rsidRPr="00D65A20">
        <w:rPr>
          <w:rFonts w:ascii="Times New Roman" w:eastAsia="Calibri" w:hAnsi="Times New Roman"/>
          <w:sz w:val="20"/>
          <w:lang w:val="pt-BR"/>
        </w:rPr>
        <w:t xml:space="preserve">(...) </w:t>
      </w:r>
      <w:r w:rsidR="00B7196F" w:rsidRPr="00D65A20">
        <w:rPr>
          <w:rFonts w:ascii="Times New Roman" w:hAnsi="Times New Roman"/>
          <w:bCs/>
          <w:color w:val="000000"/>
          <w:sz w:val="20"/>
          <w:shd w:val="clear" w:color="auto" w:fill="FFFFFF"/>
          <w:lang w:val="pt-BR"/>
        </w:rPr>
        <w:t>relativas ao direito ao meio ambiente sadio, conforme previsto no artigo 11 do referido tratado.</w:t>
      </w:r>
    </w:p>
    <w:p w14:paraId="6E834DF5"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 w:val="20"/>
          <w:shd w:val="clear" w:color="auto" w:fill="FFFFFF"/>
          <w:lang w:val="pt-BR"/>
        </w:rPr>
      </w:pPr>
    </w:p>
    <w:p w14:paraId="6E834DF6" w14:textId="68CFB69A" w:rsidR="00B7196F" w:rsidRPr="00D65A20" w:rsidRDefault="00440A50"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szCs w:val="24"/>
          <w:lang w:val="pt-BR"/>
        </w:rPr>
      </w:pPr>
      <w:r w:rsidRPr="00D65A20">
        <w:rPr>
          <w:rFonts w:ascii="Times New Roman" w:hAnsi="Times New Roman"/>
          <w:bCs/>
          <w:color w:val="000000"/>
          <w:sz w:val="20"/>
          <w:shd w:val="clear" w:color="auto" w:fill="FFFFFF"/>
          <w:lang w:val="pt-BR"/>
        </w:rPr>
        <w:t>9</w:t>
      </w:r>
      <w:r w:rsidR="00B7196F" w:rsidRPr="00D65A20">
        <w:rPr>
          <w:rFonts w:ascii="Times New Roman" w:hAnsi="Times New Roman"/>
          <w:bCs/>
          <w:color w:val="000000"/>
          <w:sz w:val="20"/>
          <w:shd w:val="clear" w:color="auto" w:fill="FFFFFF"/>
          <w:lang w:val="pt-BR"/>
        </w:rPr>
        <w:t>.</w:t>
      </w:r>
      <w:r w:rsidR="00B7196F" w:rsidRPr="00D65A20">
        <w:rPr>
          <w:rFonts w:ascii="Times New Roman" w:hAnsi="Times New Roman"/>
          <w:bCs/>
          <w:color w:val="000000"/>
          <w:sz w:val="20"/>
          <w:shd w:val="clear" w:color="auto" w:fill="FFFFFF"/>
          <w:lang w:val="pt-BR"/>
        </w:rPr>
        <w:tab/>
      </w:r>
      <w:r w:rsidR="00B7196F" w:rsidRPr="00D65A20">
        <w:rPr>
          <w:rFonts w:ascii="Times New Roman" w:eastAsia="Calibri" w:hAnsi="Times New Roman"/>
          <w:sz w:val="20"/>
          <w:lang w:val="pt-BR"/>
        </w:rPr>
        <w:t xml:space="preserve">(...) </w:t>
      </w:r>
      <w:r w:rsidR="00B7196F" w:rsidRPr="00D65A20">
        <w:rPr>
          <w:rFonts w:ascii="Times New Roman" w:hAnsi="Times New Roman"/>
          <w:sz w:val="20"/>
          <w:szCs w:val="24"/>
          <w:lang w:val="pt-BR"/>
        </w:rPr>
        <w:t xml:space="preserve">Convenção Americana sobre Direitos Humanos. </w:t>
      </w:r>
    </w:p>
    <w:p w14:paraId="6E834DF7"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szCs w:val="24"/>
          <w:lang w:val="pt-BR"/>
        </w:rPr>
      </w:pPr>
    </w:p>
    <w:p w14:paraId="6E834DF8"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color w:val="000000"/>
          <w:sz w:val="20"/>
          <w:shd w:val="clear" w:color="auto" w:fill="FFFFFF"/>
          <w:lang w:val="pt-BR"/>
        </w:rPr>
      </w:pPr>
      <w:r w:rsidRPr="00D65A20">
        <w:rPr>
          <w:rFonts w:ascii="Times New Roman" w:hAnsi="Times New Roman"/>
          <w:sz w:val="20"/>
          <w:szCs w:val="24"/>
          <w:lang w:val="pt-BR"/>
        </w:rPr>
        <w:t>O artigo 75 da Constituição Política da Costa Rica indica o dever do Estado de permitir que toda pessoa exerça a religião de sua escolha, mas não indica que o Estado deva proporcionar educação religiosa a todos os estudantes, e essa obrigação tampouco está prevista nas convenções internacionais. Certamente, estas últimas reconhecem um direito dos pais ou tutores a que os seus filhos ou pessoas sob tutela recebam uma educação religiosa ou moral de acordo com as suas próprias convicções, mas de seu texto não se pode derivar um direito prestacional frente ao Estado que o obrigue a proporcionar a todos os estudantes uma educação religiosa nem, mais precisamente, uma educação na religião de sua escolha. Atualmente o Ministério de Educação Pública da Costa Rica oferece educação religiosa nos centros educacionais, mas com a adoção desta resolução não se consideraria obrigado a fornecer educação religiosa — de acordo com o credo — a todos os estudantes que professam uma religião.</w:t>
      </w:r>
    </w:p>
    <w:p w14:paraId="6E834DF9"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 w:val="20"/>
          <w:shd w:val="clear" w:color="auto" w:fill="FFFFFF"/>
          <w:lang w:val="pt-BR"/>
        </w:rPr>
      </w:pPr>
    </w:p>
    <w:p w14:paraId="6E834DFA" w14:textId="039D20B1" w:rsidR="00B7196F" w:rsidRPr="00D65A20" w:rsidRDefault="00440A50"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szCs w:val="24"/>
          <w:lang w:val="pt-BR"/>
        </w:rPr>
      </w:pPr>
      <w:r w:rsidRPr="00D65A20">
        <w:rPr>
          <w:rFonts w:ascii="Times New Roman" w:hAnsi="Times New Roman"/>
          <w:bCs/>
          <w:color w:val="000000"/>
          <w:sz w:val="20"/>
          <w:shd w:val="clear" w:color="auto" w:fill="FFFFFF"/>
          <w:lang w:val="pt-BR"/>
        </w:rPr>
        <w:t>10</w:t>
      </w:r>
      <w:r w:rsidR="00B7196F" w:rsidRPr="00D65A20">
        <w:rPr>
          <w:rFonts w:ascii="Times New Roman" w:hAnsi="Times New Roman"/>
          <w:bCs/>
          <w:color w:val="000000"/>
          <w:sz w:val="20"/>
          <w:shd w:val="clear" w:color="auto" w:fill="FFFFFF"/>
          <w:lang w:val="pt-BR"/>
        </w:rPr>
        <w:t>.</w:t>
      </w:r>
      <w:r w:rsidR="00B7196F" w:rsidRPr="00D65A20">
        <w:rPr>
          <w:rFonts w:ascii="Times New Roman" w:hAnsi="Times New Roman"/>
          <w:bCs/>
          <w:color w:val="000000"/>
          <w:sz w:val="20"/>
          <w:shd w:val="clear" w:color="auto" w:fill="FFFFFF"/>
          <w:lang w:val="pt-BR"/>
        </w:rPr>
        <w:tab/>
      </w:r>
      <w:r w:rsidR="00B7196F" w:rsidRPr="00D65A20">
        <w:rPr>
          <w:rFonts w:ascii="Times New Roman" w:eastAsia="Calibri" w:hAnsi="Times New Roman"/>
          <w:sz w:val="20"/>
          <w:lang w:val="pt-BR"/>
        </w:rPr>
        <w:t xml:space="preserve">(...) </w:t>
      </w:r>
      <w:r w:rsidR="00B7196F" w:rsidRPr="00D65A20">
        <w:rPr>
          <w:rFonts w:ascii="Times New Roman" w:hAnsi="Times New Roman"/>
          <w:sz w:val="20"/>
          <w:szCs w:val="24"/>
          <w:lang w:val="pt-BR"/>
        </w:rPr>
        <w:t>subordinação categórica desses direitos ao princípio de não discriminação ou ao interesse superior da criança, segundo o caso.</w:t>
      </w:r>
    </w:p>
    <w:p w14:paraId="6E834DFB"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szCs w:val="24"/>
          <w:lang w:val="pt-BR"/>
        </w:rPr>
      </w:pPr>
    </w:p>
    <w:p w14:paraId="6E834DFC" w14:textId="3DFBEB9C"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iCs/>
          <w:sz w:val="20"/>
          <w:lang w:val="pt-BR"/>
        </w:rPr>
      </w:pPr>
      <w:r w:rsidRPr="00D65A20">
        <w:rPr>
          <w:rFonts w:ascii="Times New Roman" w:hAnsi="Times New Roman"/>
          <w:sz w:val="20"/>
          <w:szCs w:val="24"/>
          <w:lang w:val="pt-BR"/>
        </w:rPr>
        <w:t>1</w:t>
      </w:r>
      <w:r w:rsidR="00440A50" w:rsidRPr="00D65A20">
        <w:rPr>
          <w:rFonts w:ascii="Times New Roman" w:hAnsi="Times New Roman"/>
          <w:sz w:val="20"/>
          <w:szCs w:val="24"/>
          <w:lang w:val="pt-BR"/>
        </w:rPr>
        <w:t>1</w:t>
      </w:r>
      <w:r w:rsidRPr="00D65A20">
        <w:rPr>
          <w:rFonts w:ascii="Times New Roman" w:hAnsi="Times New Roman"/>
          <w:sz w:val="20"/>
          <w:szCs w:val="24"/>
          <w:lang w:val="pt-BR"/>
        </w:rPr>
        <w:t>.</w:t>
      </w:r>
      <w:r w:rsidRPr="00D65A20">
        <w:rPr>
          <w:rFonts w:ascii="Times New Roman" w:hAnsi="Times New Roman"/>
          <w:sz w:val="20"/>
          <w:szCs w:val="24"/>
          <w:lang w:val="pt-BR"/>
        </w:rPr>
        <w:tab/>
      </w:r>
      <w:r w:rsidRPr="00D65A20">
        <w:rPr>
          <w:rFonts w:ascii="Times New Roman" w:eastAsia="Calibri" w:hAnsi="Times New Roman"/>
          <w:sz w:val="20"/>
          <w:lang w:val="pt-BR"/>
        </w:rPr>
        <w:t xml:space="preserve">(...) </w:t>
      </w:r>
      <w:r w:rsidRPr="00D65A20">
        <w:rPr>
          <w:rFonts w:ascii="Times New Roman" w:hAnsi="Times New Roman"/>
          <w:bCs/>
          <w:iCs/>
          <w:sz w:val="20"/>
          <w:lang w:val="pt-BR"/>
        </w:rPr>
        <w:t xml:space="preserve">da República, e não discrimina por nenhum motivo. Além disso, considera que o não reconhecimento jurídico das uniões entre pessoas do mesmo sexo ou a recusa justificada de modificar a instituição do matrimônio em sua legislação não constituem prática ilicitamente discriminatória. </w:t>
      </w:r>
    </w:p>
    <w:p w14:paraId="6E834DFD"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iCs/>
          <w:sz w:val="20"/>
          <w:lang w:val="pt-BR"/>
        </w:rPr>
      </w:pPr>
    </w:p>
    <w:p w14:paraId="6E834DFE" w14:textId="048A9A30"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pt-BR"/>
        </w:rPr>
      </w:pPr>
      <w:r w:rsidRPr="00D65A20">
        <w:rPr>
          <w:rFonts w:ascii="Times New Roman" w:hAnsi="Times New Roman"/>
          <w:bCs/>
          <w:iCs/>
          <w:sz w:val="20"/>
          <w:lang w:val="pt-BR"/>
        </w:rPr>
        <w:t xml:space="preserve">De igual forma, reconhecemos o direito de toda pessoa ao gozo de suas liberdades fundamentais, sem que isso exija a alteração das bases antropológicas sobre as quais repousa nosso ordenamento jurídico em seu conjunto. Portanto, a Guatemala desassocia-se daquelas partes incompatíveis que se oponham à legislação nacional vigente, adicionalmente reservando-se a interpretação dos termos </w:t>
      </w:r>
      <w:r w:rsidR="00BA4D3D" w:rsidRPr="00D65A20">
        <w:rPr>
          <w:rFonts w:ascii="Times New Roman" w:hAnsi="Times New Roman"/>
          <w:bCs/>
          <w:iCs/>
          <w:sz w:val="20"/>
          <w:lang w:val="pt-BR"/>
        </w:rPr>
        <w:t>constantes das</w:t>
      </w:r>
      <w:r w:rsidRPr="00D65A20">
        <w:rPr>
          <w:rFonts w:ascii="Times New Roman" w:hAnsi="Times New Roman"/>
          <w:bCs/>
          <w:iCs/>
          <w:sz w:val="20"/>
          <w:lang w:val="pt-BR"/>
        </w:rPr>
        <w:t xml:space="preserve"> seções xii, xix, xx, xxi</w:t>
      </w:r>
      <w:r w:rsidRPr="00D65A20">
        <w:rPr>
          <w:rFonts w:ascii="Times New Roman" w:hAnsi="Times New Roman"/>
          <w:sz w:val="20"/>
          <w:lang w:val="pt-BR"/>
        </w:rPr>
        <w:t>.</w:t>
      </w:r>
    </w:p>
    <w:p w14:paraId="6E834DFF"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pt-BR"/>
        </w:rPr>
      </w:pPr>
    </w:p>
    <w:p w14:paraId="6E834E00" w14:textId="5449E719"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pt-BR"/>
        </w:rPr>
      </w:pPr>
      <w:r w:rsidRPr="00D65A20">
        <w:rPr>
          <w:rFonts w:ascii="Times New Roman" w:hAnsi="Times New Roman"/>
          <w:sz w:val="20"/>
          <w:lang w:val="pt-BR"/>
        </w:rPr>
        <w:t>1</w:t>
      </w:r>
      <w:r w:rsidR="00440A50" w:rsidRPr="00D65A20">
        <w:rPr>
          <w:rFonts w:ascii="Times New Roman" w:hAnsi="Times New Roman"/>
          <w:sz w:val="20"/>
          <w:lang w:val="pt-BR"/>
        </w:rPr>
        <w:t>2</w:t>
      </w:r>
      <w:r w:rsidRPr="00D65A20">
        <w:rPr>
          <w:rFonts w:ascii="Times New Roman" w:hAnsi="Times New Roman"/>
          <w:sz w:val="20"/>
          <w:lang w:val="pt-BR"/>
        </w:rPr>
        <w:t>.</w:t>
      </w:r>
      <w:r w:rsidRPr="00D65A20">
        <w:rPr>
          <w:rFonts w:ascii="Times New Roman" w:hAnsi="Times New Roman"/>
          <w:sz w:val="20"/>
          <w:lang w:val="pt-BR"/>
        </w:rPr>
        <w:tab/>
      </w:r>
      <w:r w:rsidRPr="00D65A20">
        <w:rPr>
          <w:rFonts w:ascii="Times New Roman" w:eastAsia="Calibri" w:hAnsi="Times New Roman"/>
          <w:sz w:val="20"/>
          <w:lang w:val="pt-BR"/>
        </w:rPr>
        <w:t xml:space="preserve">(...) </w:t>
      </w:r>
      <w:r w:rsidRPr="00D65A20">
        <w:rPr>
          <w:rFonts w:ascii="Times New Roman" w:hAnsi="Times New Roman"/>
          <w:sz w:val="20"/>
          <w:lang w:val="pt-BR"/>
        </w:rPr>
        <w:t>direitos humanos, inclusive no que diz respeito à liberdade de expressão.</w:t>
      </w:r>
    </w:p>
    <w:p w14:paraId="6E834E01"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pt-BR"/>
        </w:rPr>
      </w:pPr>
    </w:p>
    <w:p w14:paraId="6E834E02" w14:textId="323384BF"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szCs w:val="24"/>
          <w:lang w:val="pt-BR"/>
        </w:rPr>
      </w:pPr>
      <w:r w:rsidRPr="00D65A20">
        <w:rPr>
          <w:rFonts w:ascii="Times New Roman" w:hAnsi="Times New Roman"/>
          <w:sz w:val="20"/>
          <w:lang w:val="pt-BR"/>
        </w:rPr>
        <w:t>1</w:t>
      </w:r>
      <w:r w:rsidR="00440A50" w:rsidRPr="00D65A20">
        <w:rPr>
          <w:rFonts w:ascii="Times New Roman" w:hAnsi="Times New Roman"/>
          <w:sz w:val="20"/>
          <w:lang w:val="pt-BR"/>
        </w:rPr>
        <w:t>3</w:t>
      </w:r>
      <w:r w:rsidRPr="00D65A20">
        <w:rPr>
          <w:rFonts w:ascii="Times New Roman" w:hAnsi="Times New Roman"/>
          <w:sz w:val="20"/>
          <w:lang w:val="pt-BR"/>
        </w:rPr>
        <w:t>.</w:t>
      </w:r>
      <w:r w:rsidRPr="00D65A20">
        <w:rPr>
          <w:rFonts w:ascii="Times New Roman" w:hAnsi="Times New Roman"/>
          <w:sz w:val="20"/>
          <w:lang w:val="pt-BR"/>
        </w:rPr>
        <w:tab/>
      </w:r>
      <w:r w:rsidRPr="00D65A20">
        <w:rPr>
          <w:rFonts w:ascii="Times New Roman" w:eastAsia="Calibri" w:hAnsi="Times New Roman"/>
          <w:sz w:val="20"/>
          <w:lang w:val="pt-BR"/>
        </w:rPr>
        <w:t xml:space="preserve">(...) </w:t>
      </w:r>
      <w:r w:rsidRPr="00D65A20">
        <w:rPr>
          <w:rFonts w:ascii="Times New Roman" w:hAnsi="Times New Roman"/>
          <w:sz w:val="20"/>
          <w:szCs w:val="24"/>
          <w:lang w:val="pt-BR"/>
        </w:rPr>
        <w:t>advogado pago pelo Governo, caso não tenham condições de pagá-lo. O advogado nomeado pode fazer parte de uma organização de defensores públicos ou, em alguns casos, pode trabalhar em um escritório particular.</w:t>
      </w:r>
    </w:p>
    <w:p w14:paraId="6E834E03"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szCs w:val="24"/>
          <w:lang w:val="pt-BR"/>
        </w:rPr>
      </w:pPr>
    </w:p>
    <w:p w14:paraId="6E834E04" w14:textId="7D7864FB"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Cs/>
          <w:color w:val="000000"/>
          <w:sz w:val="20"/>
          <w:szCs w:val="24"/>
          <w:lang w:val="pt-BR"/>
        </w:rPr>
      </w:pPr>
      <w:r w:rsidRPr="00D65A20">
        <w:rPr>
          <w:rFonts w:ascii="Times New Roman" w:hAnsi="Times New Roman"/>
          <w:sz w:val="20"/>
          <w:szCs w:val="24"/>
          <w:lang w:val="pt-BR"/>
        </w:rPr>
        <w:t>1</w:t>
      </w:r>
      <w:r w:rsidR="00440A50" w:rsidRPr="00D65A20">
        <w:rPr>
          <w:rFonts w:ascii="Times New Roman" w:hAnsi="Times New Roman"/>
          <w:sz w:val="20"/>
          <w:szCs w:val="24"/>
          <w:lang w:val="pt-BR"/>
        </w:rPr>
        <w:t>4</w:t>
      </w:r>
      <w:r w:rsidRPr="00D65A20">
        <w:rPr>
          <w:rFonts w:ascii="Times New Roman" w:hAnsi="Times New Roman"/>
          <w:sz w:val="20"/>
          <w:szCs w:val="24"/>
          <w:lang w:val="pt-BR"/>
        </w:rPr>
        <w:t>.</w:t>
      </w:r>
      <w:r w:rsidRPr="00D65A20">
        <w:rPr>
          <w:rFonts w:ascii="Times New Roman" w:hAnsi="Times New Roman"/>
          <w:sz w:val="20"/>
          <w:szCs w:val="24"/>
          <w:lang w:val="pt-BR"/>
        </w:rPr>
        <w:tab/>
      </w:r>
      <w:r w:rsidRPr="00D65A20">
        <w:rPr>
          <w:rFonts w:ascii="Times New Roman" w:eastAsia="Calibri" w:hAnsi="Times New Roman"/>
          <w:sz w:val="20"/>
          <w:lang w:val="pt-BR"/>
        </w:rPr>
        <w:t xml:space="preserve">(...) </w:t>
      </w:r>
      <w:r w:rsidRPr="00D65A20">
        <w:rPr>
          <w:rFonts w:ascii="Times New Roman" w:hAnsi="Times New Roman"/>
          <w:iCs/>
          <w:color w:val="000000"/>
          <w:sz w:val="20"/>
          <w:szCs w:val="24"/>
          <w:lang w:val="pt-BR"/>
        </w:rPr>
        <w:t xml:space="preserve">Ambientais na América Latina e no Caribe (Acordo de Escazú), aberto para assinatura em </w:t>
      </w:r>
      <w:r w:rsidRPr="00D65A20">
        <w:rPr>
          <w:rFonts w:ascii="Times New Roman" w:hAnsi="Times New Roman"/>
          <w:iCs/>
          <w:sz w:val="20"/>
          <w:szCs w:val="24"/>
          <w:lang w:val="pt-BR"/>
        </w:rPr>
        <w:t>27 de</w:t>
      </w:r>
      <w:r w:rsidRPr="00D65A20">
        <w:rPr>
          <w:rFonts w:ascii="Times New Roman" w:hAnsi="Times New Roman"/>
          <w:iCs/>
          <w:color w:val="000000"/>
          <w:sz w:val="20"/>
          <w:szCs w:val="24"/>
          <w:lang w:val="pt-BR"/>
        </w:rPr>
        <w:t xml:space="preserve"> </w:t>
      </w:r>
      <w:r w:rsidRPr="00D65A20">
        <w:rPr>
          <w:rFonts w:ascii="Times New Roman" w:hAnsi="Times New Roman"/>
          <w:iCs/>
          <w:sz w:val="20"/>
          <w:szCs w:val="24"/>
          <w:lang w:val="pt-BR"/>
        </w:rPr>
        <w:t>setembro de 2018</w:t>
      </w:r>
      <w:r w:rsidRPr="00D65A20">
        <w:rPr>
          <w:rFonts w:ascii="Times New Roman" w:hAnsi="Times New Roman"/>
          <w:iCs/>
          <w:color w:val="000000"/>
          <w:sz w:val="20"/>
          <w:szCs w:val="24"/>
          <w:lang w:val="pt-BR"/>
        </w:rPr>
        <w:t>,</w:t>
      </w:r>
      <w:r w:rsidRPr="00D65A20">
        <w:rPr>
          <w:rFonts w:ascii="Times New Roman" w:hAnsi="Times New Roman"/>
          <w:iCs/>
          <w:sz w:val="20"/>
          <w:szCs w:val="24"/>
          <w:lang w:val="pt-BR"/>
        </w:rPr>
        <w:t xml:space="preserve"> na cidade de Nova York</w:t>
      </w:r>
      <w:r w:rsidRPr="00D65A20">
        <w:rPr>
          <w:rFonts w:ascii="Times New Roman" w:hAnsi="Times New Roman"/>
          <w:iCs/>
          <w:color w:val="000000"/>
          <w:sz w:val="20"/>
          <w:szCs w:val="24"/>
          <w:lang w:val="pt-BR"/>
        </w:rPr>
        <w:t>, em virtude dos motivos expostos ao Congresso Nacional e à opinião pública chilena.</w:t>
      </w:r>
    </w:p>
    <w:p w14:paraId="6E834E05"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Cs/>
          <w:color w:val="000000"/>
          <w:sz w:val="20"/>
          <w:szCs w:val="24"/>
          <w:lang w:val="pt-BR"/>
        </w:rPr>
      </w:pPr>
    </w:p>
    <w:p w14:paraId="6E834E06" w14:textId="0EC6E9F9"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 w:val="20"/>
          <w:lang w:val="pt-BR" w:eastAsia="es-MX"/>
        </w:rPr>
      </w:pPr>
      <w:r w:rsidRPr="00D65A20">
        <w:rPr>
          <w:rFonts w:ascii="Times New Roman" w:hAnsi="Times New Roman"/>
          <w:iCs/>
          <w:color w:val="000000"/>
          <w:sz w:val="20"/>
          <w:szCs w:val="24"/>
          <w:lang w:val="pt-BR"/>
        </w:rPr>
        <w:t>1</w:t>
      </w:r>
      <w:r w:rsidR="00440A50" w:rsidRPr="00D65A20">
        <w:rPr>
          <w:rFonts w:ascii="Times New Roman" w:hAnsi="Times New Roman"/>
          <w:iCs/>
          <w:color w:val="000000"/>
          <w:sz w:val="20"/>
          <w:szCs w:val="24"/>
          <w:lang w:val="pt-BR"/>
        </w:rPr>
        <w:t>6</w:t>
      </w:r>
      <w:r w:rsidRPr="00D65A20">
        <w:rPr>
          <w:rFonts w:ascii="Times New Roman" w:hAnsi="Times New Roman"/>
          <w:iCs/>
          <w:color w:val="000000"/>
          <w:sz w:val="20"/>
          <w:szCs w:val="24"/>
          <w:lang w:val="pt-BR"/>
        </w:rPr>
        <w:t>.</w:t>
      </w:r>
      <w:r w:rsidRPr="00D65A20">
        <w:rPr>
          <w:rFonts w:ascii="Times New Roman" w:hAnsi="Times New Roman"/>
          <w:iCs/>
          <w:color w:val="000000"/>
          <w:sz w:val="20"/>
          <w:szCs w:val="24"/>
          <w:lang w:val="pt-BR"/>
        </w:rPr>
        <w:tab/>
      </w:r>
      <w:r w:rsidRPr="00D65A20">
        <w:rPr>
          <w:rFonts w:ascii="Times New Roman" w:eastAsia="Calibri" w:hAnsi="Times New Roman"/>
          <w:sz w:val="20"/>
          <w:lang w:val="pt-BR"/>
        </w:rPr>
        <w:t xml:space="preserve">(...) </w:t>
      </w:r>
      <w:r w:rsidRPr="00D65A20">
        <w:rPr>
          <w:rFonts w:ascii="Times New Roman" w:hAnsi="Times New Roman"/>
          <w:sz w:val="20"/>
          <w:lang w:val="pt-BR"/>
        </w:rPr>
        <w:t>liberdade de expressão</w:t>
      </w:r>
      <w:r w:rsidRPr="00D65A20">
        <w:rPr>
          <w:rFonts w:ascii="Times New Roman" w:hAnsi="Times New Roman"/>
          <w:color w:val="000000"/>
          <w:sz w:val="20"/>
          <w:lang w:val="pt-BR" w:eastAsia="es-MX"/>
        </w:rPr>
        <w:t>.</w:t>
      </w:r>
    </w:p>
    <w:p w14:paraId="6E834E07"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 w:val="20"/>
          <w:lang w:val="pt-BR" w:eastAsia="es-MX"/>
        </w:rPr>
      </w:pPr>
    </w:p>
    <w:p w14:paraId="6E834E08" w14:textId="000AA172"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szCs w:val="24"/>
          <w:lang w:val="pt-BR"/>
        </w:rPr>
      </w:pPr>
      <w:r w:rsidRPr="00D65A20">
        <w:rPr>
          <w:rFonts w:ascii="Times New Roman" w:hAnsi="Times New Roman"/>
          <w:color w:val="000000"/>
          <w:sz w:val="20"/>
          <w:lang w:val="pt-BR" w:eastAsia="es-MX"/>
        </w:rPr>
        <w:t>1</w:t>
      </w:r>
      <w:r w:rsidR="00440A50" w:rsidRPr="00D65A20">
        <w:rPr>
          <w:rFonts w:ascii="Times New Roman" w:hAnsi="Times New Roman"/>
          <w:color w:val="000000"/>
          <w:sz w:val="20"/>
          <w:lang w:val="pt-BR" w:eastAsia="es-MX"/>
        </w:rPr>
        <w:t>7</w:t>
      </w:r>
      <w:r w:rsidRPr="00D65A20">
        <w:rPr>
          <w:rFonts w:ascii="Times New Roman" w:hAnsi="Times New Roman"/>
          <w:color w:val="000000"/>
          <w:sz w:val="20"/>
          <w:lang w:val="pt-BR" w:eastAsia="es-MX"/>
        </w:rPr>
        <w:t>.</w:t>
      </w:r>
      <w:r w:rsidRPr="00D65A20">
        <w:rPr>
          <w:rFonts w:ascii="Times New Roman" w:hAnsi="Times New Roman"/>
          <w:color w:val="000000"/>
          <w:sz w:val="20"/>
          <w:lang w:val="pt-BR" w:eastAsia="es-MX"/>
        </w:rPr>
        <w:tab/>
      </w:r>
      <w:r w:rsidRPr="00D65A20">
        <w:rPr>
          <w:rFonts w:ascii="Times New Roman" w:eastAsia="Calibri" w:hAnsi="Times New Roman"/>
          <w:sz w:val="20"/>
          <w:lang w:val="pt-BR"/>
        </w:rPr>
        <w:t xml:space="preserve">(...) </w:t>
      </w:r>
      <w:r w:rsidRPr="00D65A20">
        <w:rPr>
          <w:rFonts w:ascii="Times New Roman" w:hAnsi="Times New Roman"/>
          <w:sz w:val="20"/>
          <w:szCs w:val="24"/>
          <w:lang w:val="pt-BR"/>
        </w:rPr>
        <w:t>forma de violência, em conformidade com a Constituição jamaicana. A Jamaica expressa sua reserva sobre certos termos empregados na resolução, como é o caso de “identidade de gênero” e “expressão de gênero”, que não estão definidos na legislação jamaicana.</w:t>
      </w:r>
    </w:p>
    <w:p w14:paraId="6E834E09" w14:textId="77777777" w:rsidR="00B7196F" w:rsidRPr="00D65A20" w:rsidRDefault="00B7196F" w:rsidP="00E558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szCs w:val="24"/>
          <w:lang w:val="pt-BR"/>
        </w:rPr>
      </w:pPr>
    </w:p>
    <w:p w14:paraId="6E834E0A" w14:textId="32E0376E"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szCs w:val="24"/>
          <w:lang w:val="pt-BR"/>
        </w:rPr>
      </w:pPr>
      <w:r w:rsidRPr="00D65A20">
        <w:rPr>
          <w:rFonts w:ascii="Times New Roman" w:hAnsi="Times New Roman"/>
          <w:sz w:val="20"/>
          <w:szCs w:val="24"/>
          <w:lang w:val="pt-BR"/>
        </w:rPr>
        <w:lastRenderedPageBreak/>
        <w:t>1</w:t>
      </w:r>
      <w:r w:rsidR="00AA3553" w:rsidRPr="00D65A20">
        <w:rPr>
          <w:rFonts w:ascii="Times New Roman" w:hAnsi="Times New Roman"/>
          <w:sz w:val="20"/>
          <w:szCs w:val="24"/>
          <w:lang w:val="pt-BR"/>
        </w:rPr>
        <w:t>8</w:t>
      </w:r>
      <w:r w:rsidRPr="00D65A20">
        <w:rPr>
          <w:rFonts w:ascii="Times New Roman" w:hAnsi="Times New Roman"/>
          <w:sz w:val="20"/>
          <w:szCs w:val="24"/>
          <w:lang w:val="pt-BR"/>
        </w:rPr>
        <w:t>.</w:t>
      </w:r>
      <w:r w:rsidRPr="00D65A20">
        <w:rPr>
          <w:rFonts w:ascii="Times New Roman" w:hAnsi="Times New Roman"/>
          <w:sz w:val="20"/>
          <w:szCs w:val="24"/>
          <w:lang w:val="pt-BR"/>
        </w:rPr>
        <w:tab/>
      </w:r>
      <w:r w:rsidRPr="00D65A20">
        <w:rPr>
          <w:rFonts w:ascii="Times New Roman" w:eastAsia="Calibri" w:hAnsi="Times New Roman"/>
          <w:sz w:val="20"/>
          <w:lang w:val="pt-BR"/>
        </w:rPr>
        <w:t xml:space="preserve">(...) </w:t>
      </w:r>
      <w:r w:rsidRPr="00D65A20">
        <w:rPr>
          <w:rFonts w:ascii="Times New Roman" w:hAnsi="Times New Roman"/>
          <w:sz w:val="20"/>
          <w:szCs w:val="24"/>
          <w:lang w:val="pt-BR"/>
        </w:rPr>
        <w:t>comprometido com a promoção e a preservação do Estado de Direito e a proteção dos direitos humanos e das liberdades fundamentais de todas as pessoas, consagrados na Constituição de Trinidad e Tobago.</w:t>
      </w:r>
    </w:p>
    <w:p w14:paraId="6E834E0B"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szCs w:val="24"/>
          <w:lang w:val="pt-BR"/>
        </w:rPr>
      </w:pPr>
    </w:p>
    <w:p w14:paraId="6E834E0C" w14:textId="5270AD0B"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 w:val="20"/>
          <w:szCs w:val="24"/>
          <w:shd w:val="clear" w:color="auto" w:fill="FFFFFF"/>
          <w:lang w:val="pt-BR"/>
        </w:rPr>
      </w:pPr>
      <w:r w:rsidRPr="00D65A20">
        <w:rPr>
          <w:rFonts w:ascii="Times New Roman" w:hAnsi="Times New Roman"/>
          <w:sz w:val="20"/>
          <w:szCs w:val="24"/>
          <w:lang w:val="pt-BR"/>
        </w:rPr>
        <w:t>1</w:t>
      </w:r>
      <w:r w:rsidR="00AA3553" w:rsidRPr="00D65A20">
        <w:rPr>
          <w:rFonts w:ascii="Times New Roman" w:hAnsi="Times New Roman"/>
          <w:sz w:val="20"/>
          <w:szCs w:val="24"/>
          <w:lang w:val="pt-BR"/>
        </w:rPr>
        <w:t>9</w:t>
      </w:r>
      <w:r w:rsidRPr="00D65A20">
        <w:rPr>
          <w:rFonts w:ascii="Times New Roman" w:hAnsi="Times New Roman"/>
          <w:sz w:val="20"/>
          <w:szCs w:val="24"/>
          <w:lang w:val="pt-BR"/>
        </w:rPr>
        <w:t>.</w:t>
      </w:r>
      <w:r w:rsidRPr="00D65A20">
        <w:rPr>
          <w:rFonts w:ascii="Times New Roman" w:hAnsi="Times New Roman"/>
          <w:sz w:val="20"/>
          <w:szCs w:val="24"/>
          <w:lang w:val="pt-BR"/>
        </w:rPr>
        <w:tab/>
      </w:r>
      <w:r w:rsidRPr="00D65A20">
        <w:rPr>
          <w:rFonts w:ascii="Times New Roman" w:eastAsia="Calibri" w:hAnsi="Times New Roman"/>
          <w:sz w:val="20"/>
          <w:lang w:val="pt-BR"/>
        </w:rPr>
        <w:t xml:space="preserve">(...) </w:t>
      </w:r>
      <w:r w:rsidRPr="00D65A20">
        <w:rPr>
          <w:rFonts w:ascii="Times New Roman" w:hAnsi="Times New Roman"/>
          <w:color w:val="000000"/>
          <w:sz w:val="20"/>
          <w:szCs w:val="24"/>
          <w:shd w:val="clear" w:color="auto" w:fill="FFFFFF"/>
          <w:lang w:val="pt-BR"/>
        </w:rPr>
        <w:t xml:space="preserve">preceitos do Título II, “Dos Direitos, dos Deveres e das Garantias”, Capítulo III, “Da </w:t>
      </w:r>
      <w:r w:rsidR="004C6334" w:rsidRPr="00D65A20">
        <w:rPr>
          <w:rFonts w:ascii="Times New Roman" w:hAnsi="Times New Roman"/>
          <w:color w:val="000000"/>
          <w:sz w:val="20"/>
          <w:szCs w:val="24"/>
          <w:shd w:val="clear" w:color="auto" w:fill="FFFFFF"/>
          <w:lang w:val="pt-BR"/>
        </w:rPr>
        <w:t>i</w:t>
      </w:r>
      <w:r w:rsidRPr="00D65A20">
        <w:rPr>
          <w:rFonts w:ascii="Times New Roman" w:hAnsi="Times New Roman"/>
          <w:color w:val="000000"/>
          <w:sz w:val="20"/>
          <w:szCs w:val="24"/>
          <w:shd w:val="clear" w:color="auto" w:fill="FFFFFF"/>
          <w:lang w:val="pt-BR"/>
        </w:rPr>
        <w:t xml:space="preserve">gualdade”, e Capítulo IV, “Dos direitos da família”, de sua Constituição Nacional e concordantes. Por conseguinte, expressa sua reserva sobre o texto do item xix, “Direitos humanos e prevenção da discriminação e violência contra as pessoas LGTBI”. Além disso, a referência a “identidade ou expressão de gênero” </w:t>
      </w:r>
      <w:r w:rsidR="004C6334" w:rsidRPr="00D65A20">
        <w:rPr>
          <w:rFonts w:ascii="Times New Roman" w:hAnsi="Times New Roman"/>
          <w:color w:val="000000"/>
          <w:sz w:val="20"/>
          <w:szCs w:val="24"/>
          <w:shd w:val="clear" w:color="auto" w:fill="FFFFFF"/>
          <w:lang w:val="pt-BR"/>
        </w:rPr>
        <w:t>constante d</w:t>
      </w:r>
      <w:r w:rsidRPr="00D65A20">
        <w:rPr>
          <w:rFonts w:ascii="Times New Roman" w:hAnsi="Times New Roman"/>
          <w:color w:val="000000"/>
          <w:sz w:val="20"/>
          <w:szCs w:val="24"/>
          <w:shd w:val="clear" w:color="auto" w:fill="FFFFFF"/>
          <w:lang w:val="pt-BR"/>
        </w:rPr>
        <w:t>os parágrafos des</w:t>
      </w:r>
      <w:r w:rsidR="004C6334" w:rsidRPr="00D65A20">
        <w:rPr>
          <w:rFonts w:ascii="Times New Roman" w:hAnsi="Times New Roman"/>
          <w:color w:val="000000"/>
          <w:sz w:val="20"/>
          <w:szCs w:val="24"/>
          <w:shd w:val="clear" w:color="auto" w:fill="FFFFFF"/>
          <w:lang w:val="pt-BR"/>
        </w:rPr>
        <w:t>t</w:t>
      </w:r>
      <w:r w:rsidRPr="00D65A20">
        <w:rPr>
          <w:rFonts w:ascii="Times New Roman" w:hAnsi="Times New Roman"/>
          <w:color w:val="000000"/>
          <w:sz w:val="20"/>
          <w:szCs w:val="24"/>
          <w:shd w:val="clear" w:color="auto" w:fill="FFFFFF"/>
          <w:lang w:val="pt-BR"/>
        </w:rPr>
        <w:t>a resolução será interpretada conforme seu ordenamento jurídico interno.</w:t>
      </w:r>
    </w:p>
    <w:p w14:paraId="6E834E0D"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 w:val="20"/>
          <w:szCs w:val="24"/>
          <w:shd w:val="clear" w:color="auto" w:fill="FFFFFF"/>
          <w:lang w:val="pt-BR"/>
        </w:rPr>
      </w:pPr>
    </w:p>
    <w:p w14:paraId="6E834E0E" w14:textId="47AB5ADC" w:rsidR="00B7196F" w:rsidRPr="00D65A20" w:rsidRDefault="00AA3553"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szCs w:val="24"/>
          <w:lang w:val="pt-BR"/>
        </w:rPr>
      </w:pPr>
      <w:r w:rsidRPr="00D65A20">
        <w:rPr>
          <w:rFonts w:ascii="Times New Roman" w:hAnsi="Times New Roman"/>
          <w:color w:val="000000"/>
          <w:sz w:val="20"/>
          <w:szCs w:val="24"/>
          <w:shd w:val="clear" w:color="auto" w:fill="FFFFFF"/>
          <w:lang w:val="pt-BR"/>
        </w:rPr>
        <w:t>20</w:t>
      </w:r>
      <w:r w:rsidR="00B7196F" w:rsidRPr="00D65A20">
        <w:rPr>
          <w:rFonts w:ascii="Times New Roman" w:hAnsi="Times New Roman"/>
          <w:color w:val="000000"/>
          <w:sz w:val="20"/>
          <w:szCs w:val="24"/>
          <w:shd w:val="clear" w:color="auto" w:fill="FFFFFF"/>
          <w:lang w:val="pt-BR"/>
        </w:rPr>
        <w:t>.</w:t>
      </w:r>
      <w:r w:rsidR="00B7196F" w:rsidRPr="00D65A20">
        <w:rPr>
          <w:rFonts w:ascii="Times New Roman" w:hAnsi="Times New Roman"/>
          <w:color w:val="000000"/>
          <w:sz w:val="20"/>
          <w:szCs w:val="24"/>
          <w:shd w:val="clear" w:color="auto" w:fill="FFFFFF"/>
          <w:lang w:val="pt-BR"/>
        </w:rPr>
        <w:tab/>
      </w:r>
      <w:r w:rsidR="00B7196F" w:rsidRPr="00D65A20">
        <w:rPr>
          <w:rFonts w:ascii="Times New Roman" w:eastAsia="Calibri" w:hAnsi="Times New Roman"/>
          <w:sz w:val="20"/>
          <w:lang w:val="pt-BR"/>
        </w:rPr>
        <w:t xml:space="preserve">(...) </w:t>
      </w:r>
      <w:r w:rsidR="00B7196F" w:rsidRPr="00D65A20">
        <w:rPr>
          <w:rFonts w:ascii="Times New Roman" w:hAnsi="Times New Roman"/>
          <w:sz w:val="20"/>
          <w:szCs w:val="24"/>
          <w:lang w:val="pt-BR"/>
        </w:rPr>
        <w:t>é signatária. O Governo orienta-se pela disposição de sua Constituição</w:t>
      </w:r>
      <w:r w:rsidR="004C6334" w:rsidRPr="00D65A20">
        <w:rPr>
          <w:rFonts w:ascii="Times New Roman" w:hAnsi="Times New Roman"/>
          <w:sz w:val="20"/>
          <w:szCs w:val="24"/>
          <w:lang w:val="pt-BR"/>
        </w:rPr>
        <w:t>,</w:t>
      </w:r>
      <w:r w:rsidR="00B7196F" w:rsidRPr="00D65A20">
        <w:rPr>
          <w:rFonts w:ascii="Times New Roman" w:hAnsi="Times New Roman"/>
          <w:sz w:val="20"/>
          <w:szCs w:val="24"/>
          <w:lang w:val="pt-BR"/>
        </w:rPr>
        <w:t xml:space="preserve"> que promove e protege os direitos humanos, a não discriminação e as liberdades fundamentais de todas as pessoas. </w:t>
      </w:r>
    </w:p>
    <w:p w14:paraId="6E834E0F"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szCs w:val="24"/>
          <w:lang w:val="pt-BR"/>
        </w:rPr>
      </w:pPr>
    </w:p>
    <w:p w14:paraId="6E834E10"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 w:val="20"/>
          <w:szCs w:val="24"/>
          <w:shd w:val="clear" w:color="auto" w:fill="FFFFFF"/>
          <w:lang w:val="pt-BR"/>
        </w:rPr>
      </w:pPr>
      <w:r w:rsidRPr="00D65A20">
        <w:rPr>
          <w:rFonts w:ascii="Times New Roman" w:hAnsi="Times New Roman"/>
          <w:sz w:val="20"/>
          <w:szCs w:val="24"/>
          <w:lang w:val="pt-BR"/>
        </w:rPr>
        <w:t xml:space="preserve">Santa Lúcia mantém que cada um e todos os cidadãos têm direito à proteção contra a violência e a discriminação arbitrária de maneira equânime, em conformidade com nossa crença na dignidade intrínseca da pessoa humana. Continuaremos a fazer uso desses princípios na aplicação de todas as leis e políticas. Santa Lúcia tem compromisso com a proteção da família, como célula fundamental da sociedade e de acordo com a Declaração Universal dos Direitos Humanos. </w:t>
      </w:r>
    </w:p>
    <w:p w14:paraId="6E834E11"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 w:val="20"/>
          <w:szCs w:val="24"/>
          <w:shd w:val="clear" w:color="auto" w:fill="FFFFFF"/>
          <w:lang w:val="pt-BR"/>
        </w:rPr>
      </w:pPr>
    </w:p>
    <w:p w14:paraId="6E834E12"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 w:val="20"/>
          <w:szCs w:val="24"/>
          <w:shd w:val="clear" w:color="auto" w:fill="FFFFFF"/>
          <w:lang w:val="pt-BR"/>
        </w:rPr>
      </w:pPr>
      <w:r w:rsidRPr="00D65A20">
        <w:rPr>
          <w:rFonts w:ascii="Times New Roman" w:hAnsi="Times New Roman"/>
          <w:sz w:val="20"/>
          <w:lang w:val="pt-BR"/>
        </w:rPr>
        <w:t xml:space="preserve">A promoção da equidade e da igualdade de gênero, e dos direitos humanos das mulheres e das meninas, bem como da eliminação da discriminação de todas as formas de violência contra elas continua sendo a nossa prioridade. </w:t>
      </w:r>
    </w:p>
    <w:p w14:paraId="6E834E13"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 w:val="20"/>
          <w:szCs w:val="24"/>
          <w:shd w:val="clear" w:color="auto" w:fill="FFFFFF"/>
          <w:lang w:val="pt-BR"/>
        </w:rPr>
      </w:pPr>
    </w:p>
    <w:p w14:paraId="6E834E14"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szCs w:val="24"/>
          <w:lang w:val="pt-BR"/>
        </w:rPr>
      </w:pPr>
      <w:r w:rsidRPr="00D65A20">
        <w:rPr>
          <w:rFonts w:ascii="Times New Roman" w:hAnsi="Times New Roman"/>
          <w:sz w:val="20"/>
          <w:szCs w:val="24"/>
          <w:lang w:val="pt-BR"/>
        </w:rPr>
        <w:t>A reserva de Santa Lúcia a esta seção baseia-se, portanto, no entendimento de que nossa legislação nacional continuará sendo aplicada para proteger os direitos e as liberdades de todos os cidadãos, na medida em que todos gozam do mesmo direito. O Governo de Santa Lúcia não estará, por conseguinte, vinculado a nenhuma disposição da referida seção.</w:t>
      </w:r>
    </w:p>
    <w:p w14:paraId="6E834E15"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szCs w:val="24"/>
          <w:lang w:val="pt-BR"/>
        </w:rPr>
      </w:pPr>
    </w:p>
    <w:p w14:paraId="6E834E16" w14:textId="13C977ED"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szCs w:val="24"/>
          <w:lang w:val="pt-BR"/>
        </w:rPr>
      </w:pPr>
      <w:r w:rsidRPr="00D65A20">
        <w:rPr>
          <w:rFonts w:ascii="Times New Roman" w:hAnsi="Times New Roman"/>
          <w:sz w:val="20"/>
          <w:szCs w:val="24"/>
          <w:lang w:val="pt-BR"/>
        </w:rPr>
        <w:t>2</w:t>
      </w:r>
      <w:r w:rsidR="00AA3553" w:rsidRPr="00D65A20">
        <w:rPr>
          <w:rFonts w:ascii="Times New Roman" w:hAnsi="Times New Roman"/>
          <w:sz w:val="20"/>
          <w:szCs w:val="24"/>
          <w:lang w:val="pt-BR"/>
        </w:rPr>
        <w:t>2</w:t>
      </w:r>
      <w:r w:rsidRPr="00D65A20">
        <w:rPr>
          <w:rFonts w:ascii="Times New Roman" w:hAnsi="Times New Roman"/>
          <w:sz w:val="20"/>
          <w:szCs w:val="24"/>
          <w:lang w:val="pt-BR"/>
        </w:rPr>
        <w:t xml:space="preserve">. </w:t>
      </w:r>
      <w:r w:rsidRPr="00D65A20">
        <w:rPr>
          <w:rFonts w:ascii="Times New Roman" w:hAnsi="Times New Roman"/>
          <w:sz w:val="20"/>
          <w:szCs w:val="24"/>
          <w:lang w:val="pt-BR"/>
        </w:rPr>
        <w:tab/>
      </w:r>
      <w:r w:rsidRPr="00D65A20">
        <w:rPr>
          <w:rFonts w:ascii="Times New Roman" w:eastAsia="Calibri" w:hAnsi="Times New Roman"/>
          <w:sz w:val="20"/>
          <w:lang w:val="pt-BR"/>
        </w:rPr>
        <w:t xml:space="preserve">(...) </w:t>
      </w:r>
      <w:r w:rsidRPr="00D65A20">
        <w:rPr>
          <w:rFonts w:ascii="Times New Roman" w:hAnsi="Times New Roman"/>
          <w:sz w:val="20"/>
          <w:szCs w:val="24"/>
          <w:lang w:val="pt-BR"/>
        </w:rPr>
        <w:t>aos artigos que são contrários à Constituição da República de Honduras.</w:t>
      </w:r>
    </w:p>
    <w:p w14:paraId="6E834E17"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szCs w:val="24"/>
          <w:lang w:val="pt-BR"/>
        </w:rPr>
      </w:pPr>
    </w:p>
    <w:p w14:paraId="6E834E18" w14:textId="330A75F2"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pt-BR"/>
        </w:rPr>
      </w:pPr>
      <w:r w:rsidRPr="00D65A20">
        <w:rPr>
          <w:rFonts w:ascii="Times New Roman" w:hAnsi="Times New Roman"/>
          <w:sz w:val="20"/>
          <w:szCs w:val="24"/>
          <w:lang w:val="pt-BR"/>
        </w:rPr>
        <w:t>2</w:t>
      </w:r>
      <w:r w:rsidR="00AA3553" w:rsidRPr="00D65A20">
        <w:rPr>
          <w:rFonts w:ascii="Times New Roman" w:hAnsi="Times New Roman"/>
          <w:sz w:val="20"/>
          <w:szCs w:val="24"/>
          <w:lang w:val="pt-BR"/>
        </w:rPr>
        <w:t>3</w:t>
      </w:r>
      <w:r w:rsidRPr="00D65A20">
        <w:rPr>
          <w:rFonts w:ascii="Times New Roman" w:hAnsi="Times New Roman"/>
          <w:sz w:val="20"/>
          <w:szCs w:val="24"/>
          <w:lang w:val="pt-BR"/>
        </w:rPr>
        <w:t>.</w:t>
      </w:r>
      <w:r w:rsidRPr="00D65A20">
        <w:rPr>
          <w:rFonts w:ascii="Times New Roman" w:hAnsi="Times New Roman"/>
          <w:sz w:val="20"/>
          <w:szCs w:val="24"/>
          <w:lang w:val="pt-BR"/>
        </w:rPr>
        <w:tab/>
      </w:r>
      <w:r w:rsidRPr="00D65A20">
        <w:rPr>
          <w:rFonts w:ascii="Times New Roman" w:eastAsia="Calibri" w:hAnsi="Times New Roman"/>
          <w:sz w:val="20"/>
          <w:lang w:val="pt-BR"/>
        </w:rPr>
        <w:t xml:space="preserve">(...) </w:t>
      </w:r>
      <w:r w:rsidRPr="00D65A20">
        <w:rPr>
          <w:rFonts w:ascii="Times New Roman" w:hAnsi="Times New Roman"/>
          <w:sz w:val="20"/>
          <w:lang w:val="pt-BR"/>
        </w:rPr>
        <w:t xml:space="preserve">nossa Constituição e com base no princípio da igualdade, todos aqueles que se encontram no território do Suriname têm igual direito à proteção de sua pessoa e propriedade, sem discriminação por razões de nascimento, sexo, raça, idioma, origem religiosa, crenças políticas, posição econômica ou por qualquer outra condição. </w:t>
      </w:r>
    </w:p>
    <w:p w14:paraId="6E834E19"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pt-BR"/>
        </w:rPr>
      </w:pPr>
    </w:p>
    <w:p w14:paraId="6E834E1A"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pt-BR"/>
        </w:rPr>
      </w:pPr>
      <w:r w:rsidRPr="00D65A20">
        <w:rPr>
          <w:rFonts w:ascii="Times New Roman" w:hAnsi="Times New Roman"/>
          <w:sz w:val="20"/>
          <w:lang w:val="pt-BR"/>
        </w:rPr>
        <w:t xml:space="preserve">À luz das características de nossa sociedade multicultural e para assegurar nossa coesão social exemplar, alguns aspectos relativos à orientação sexual e à identidade de gênero requerem novas consultas em nível nacional, envolvendo todos os setores de nossa sociedade, incluindo a sociedade civil. Embora tenham sido registrados progressos significativos, ainda não se chegou </w:t>
      </w:r>
      <w:r w:rsidR="004C6334" w:rsidRPr="00D65A20">
        <w:rPr>
          <w:rFonts w:ascii="Times New Roman" w:hAnsi="Times New Roman"/>
          <w:sz w:val="20"/>
          <w:lang w:val="pt-BR"/>
        </w:rPr>
        <w:t xml:space="preserve">a </w:t>
      </w:r>
      <w:r w:rsidRPr="00D65A20">
        <w:rPr>
          <w:rFonts w:ascii="Times New Roman" w:hAnsi="Times New Roman"/>
          <w:sz w:val="20"/>
          <w:lang w:val="pt-BR"/>
        </w:rPr>
        <w:t xml:space="preserve">um amplo consenso sobre os muitos princípios expressos na seção xix desta resolução, pois o processo nacional de consultas ainda está em curso em nível nacional. </w:t>
      </w:r>
    </w:p>
    <w:p w14:paraId="6E834E1B"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pt-BR"/>
        </w:rPr>
      </w:pPr>
    </w:p>
    <w:p w14:paraId="6E834E1C"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pt-BR"/>
        </w:rPr>
      </w:pPr>
      <w:r w:rsidRPr="00D65A20">
        <w:rPr>
          <w:rFonts w:ascii="Times New Roman" w:hAnsi="Times New Roman"/>
          <w:sz w:val="20"/>
          <w:lang w:val="pt-BR"/>
        </w:rPr>
        <w:t>A República do Suriname estaria disposta a aderir à adoção desta resolução, mas deixa registrado que só se encontrará em posição de acolher alguns dos elementos e princípios nela abordados quando o processo de consulta nacional estiver concluído e se tiver alcançado o consenso sobre esses assuntos. O Governo do Suriname continua comprometido com os direitos humanos e as liberdades fundamentais acordados no âmbito intergovernamental, como consagrados nos diversos instrumentos internacionais e regionais sobre direitos humanos.</w:t>
      </w:r>
    </w:p>
    <w:p w14:paraId="6E834E1D"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pt-BR"/>
        </w:rPr>
      </w:pPr>
    </w:p>
    <w:p w14:paraId="6E834E1E" w14:textId="335B9D41"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szCs w:val="24"/>
          <w:lang w:val="pt-BR"/>
        </w:rPr>
      </w:pPr>
      <w:r w:rsidRPr="00D65A20">
        <w:rPr>
          <w:rFonts w:ascii="Times New Roman" w:hAnsi="Times New Roman"/>
          <w:sz w:val="20"/>
          <w:lang w:val="pt-BR"/>
        </w:rPr>
        <w:t>2</w:t>
      </w:r>
      <w:r w:rsidR="00AA3553" w:rsidRPr="00D65A20">
        <w:rPr>
          <w:rFonts w:ascii="Times New Roman" w:hAnsi="Times New Roman"/>
          <w:sz w:val="20"/>
          <w:lang w:val="pt-BR"/>
        </w:rPr>
        <w:t>4</w:t>
      </w:r>
      <w:r w:rsidRPr="00D65A20">
        <w:rPr>
          <w:rFonts w:ascii="Times New Roman" w:hAnsi="Times New Roman"/>
          <w:sz w:val="20"/>
          <w:lang w:val="pt-BR"/>
        </w:rPr>
        <w:t>.</w:t>
      </w:r>
      <w:r w:rsidRPr="00D65A20">
        <w:rPr>
          <w:rFonts w:ascii="Times New Roman" w:hAnsi="Times New Roman"/>
          <w:sz w:val="20"/>
          <w:lang w:val="pt-BR"/>
        </w:rPr>
        <w:tab/>
      </w:r>
      <w:r w:rsidRPr="00D65A20">
        <w:rPr>
          <w:rFonts w:ascii="Times New Roman" w:eastAsia="Calibri" w:hAnsi="Times New Roman"/>
          <w:sz w:val="20"/>
          <w:lang w:val="pt-BR"/>
        </w:rPr>
        <w:t xml:space="preserve">(...) </w:t>
      </w:r>
      <w:r w:rsidRPr="00D65A20">
        <w:rPr>
          <w:rFonts w:ascii="Times New Roman" w:hAnsi="Times New Roman"/>
          <w:sz w:val="20"/>
          <w:szCs w:val="24"/>
          <w:lang w:val="pt-BR"/>
        </w:rPr>
        <w:t xml:space="preserve">seres humanos, conforme consagra sua Constituição. É necessário salientar que alguns dos termos da resolução não estão definidos na legislação nacional de São Vicente e Granadinas ou internacionalmente. Por conseguinte, São Vicente e Granadinas se dissocia desses termos, que são </w:t>
      </w:r>
      <w:r w:rsidRPr="00D65A20">
        <w:rPr>
          <w:rFonts w:ascii="Times New Roman" w:hAnsi="Times New Roman"/>
          <w:sz w:val="20"/>
          <w:szCs w:val="24"/>
          <w:lang w:val="pt-BR"/>
        </w:rPr>
        <w:lastRenderedPageBreak/>
        <w:t>incompatíveis com sua legislação nacional, e contrários a ela, reservando-se o direito de interpretar os termos desta resolução.</w:t>
      </w:r>
    </w:p>
    <w:p w14:paraId="6E834E1F"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szCs w:val="24"/>
          <w:lang w:val="pt-BR"/>
        </w:rPr>
      </w:pPr>
    </w:p>
    <w:p w14:paraId="6E834E20" w14:textId="5CACA65F"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 w:val="20"/>
          <w:szCs w:val="24"/>
          <w:lang w:val="pt-BR"/>
        </w:rPr>
      </w:pPr>
      <w:r w:rsidRPr="00D65A20">
        <w:rPr>
          <w:rFonts w:ascii="Times New Roman" w:hAnsi="Times New Roman"/>
          <w:sz w:val="20"/>
          <w:szCs w:val="24"/>
          <w:lang w:val="pt-BR"/>
        </w:rPr>
        <w:t>2</w:t>
      </w:r>
      <w:r w:rsidR="00AA3553" w:rsidRPr="00D65A20">
        <w:rPr>
          <w:rFonts w:ascii="Times New Roman" w:hAnsi="Times New Roman"/>
          <w:sz w:val="20"/>
          <w:szCs w:val="24"/>
          <w:lang w:val="pt-BR"/>
        </w:rPr>
        <w:t>5</w:t>
      </w:r>
      <w:r w:rsidRPr="00D65A20">
        <w:rPr>
          <w:rFonts w:ascii="Times New Roman" w:hAnsi="Times New Roman"/>
          <w:sz w:val="20"/>
          <w:szCs w:val="24"/>
          <w:lang w:val="pt-BR"/>
        </w:rPr>
        <w:t>.</w:t>
      </w:r>
      <w:r w:rsidRPr="00D65A20">
        <w:rPr>
          <w:rFonts w:ascii="Times New Roman" w:hAnsi="Times New Roman"/>
          <w:sz w:val="20"/>
          <w:szCs w:val="24"/>
          <w:lang w:val="pt-BR"/>
        </w:rPr>
        <w:tab/>
      </w:r>
      <w:r w:rsidRPr="00D65A20">
        <w:rPr>
          <w:rFonts w:ascii="Times New Roman" w:eastAsia="Calibri" w:hAnsi="Times New Roman"/>
          <w:sz w:val="20"/>
          <w:lang w:val="pt-BR"/>
        </w:rPr>
        <w:t xml:space="preserve">(...) </w:t>
      </w:r>
      <w:r w:rsidRPr="00D65A20">
        <w:rPr>
          <w:rFonts w:ascii="Times New Roman" w:hAnsi="Times New Roman"/>
          <w:color w:val="000000"/>
          <w:sz w:val="20"/>
          <w:szCs w:val="24"/>
          <w:lang w:val="pt-BR"/>
        </w:rPr>
        <w:t>não está em condições de atender a esses requisitos. Entretanto, o Governo de Barbados persiste em sua firme vontade de proteger os direitos de todo indivíduo de todo dano e violência, conforme o Estado de Direito e as disposições de sua Constituição.</w:t>
      </w:r>
    </w:p>
    <w:p w14:paraId="6E834E21"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 w:val="20"/>
          <w:szCs w:val="24"/>
          <w:lang w:val="pt-BR"/>
        </w:rPr>
      </w:pPr>
    </w:p>
    <w:p w14:paraId="6E834E22" w14:textId="543BC379"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szCs w:val="24"/>
          <w:lang w:val="pt-BR"/>
        </w:rPr>
      </w:pPr>
      <w:r w:rsidRPr="00D65A20">
        <w:rPr>
          <w:rFonts w:ascii="Times New Roman" w:hAnsi="Times New Roman"/>
          <w:color w:val="000000"/>
          <w:sz w:val="20"/>
          <w:szCs w:val="24"/>
          <w:lang w:val="pt-BR"/>
        </w:rPr>
        <w:t>2</w:t>
      </w:r>
      <w:r w:rsidR="00AA3553" w:rsidRPr="00D65A20">
        <w:rPr>
          <w:rFonts w:ascii="Times New Roman" w:hAnsi="Times New Roman"/>
          <w:color w:val="000000"/>
          <w:sz w:val="20"/>
          <w:szCs w:val="24"/>
          <w:lang w:val="pt-BR"/>
        </w:rPr>
        <w:t>6</w:t>
      </w:r>
      <w:r w:rsidRPr="00D65A20">
        <w:rPr>
          <w:rFonts w:ascii="Times New Roman" w:hAnsi="Times New Roman"/>
          <w:color w:val="000000"/>
          <w:sz w:val="20"/>
          <w:szCs w:val="24"/>
          <w:lang w:val="pt-BR"/>
        </w:rPr>
        <w:t>.</w:t>
      </w:r>
      <w:r w:rsidRPr="00D65A20">
        <w:rPr>
          <w:rFonts w:ascii="Times New Roman" w:hAnsi="Times New Roman"/>
          <w:color w:val="000000"/>
          <w:sz w:val="20"/>
          <w:szCs w:val="24"/>
          <w:lang w:val="pt-BR"/>
        </w:rPr>
        <w:tab/>
      </w:r>
      <w:r w:rsidRPr="00D65A20">
        <w:rPr>
          <w:rFonts w:ascii="Times New Roman" w:eastAsia="Calibri" w:hAnsi="Times New Roman"/>
          <w:sz w:val="20"/>
          <w:lang w:val="pt-BR"/>
        </w:rPr>
        <w:t xml:space="preserve">(...) </w:t>
      </w:r>
      <w:r w:rsidRPr="00D65A20">
        <w:rPr>
          <w:rFonts w:ascii="Times New Roman" w:hAnsi="Times New Roman"/>
          <w:sz w:val="20"/>
          <w:szCs w:val="24"/>
          <w:lang w:val="pt-BR"/>
        </w:rPr>
        <w:t xml:space="preserve">da democracia”, emanada da </w:t>
      </w:r>
      <w:r w:rsidR="00033861" w:rsidRPr="00D65A20">
        <w:rPr>
          <w:rFonts w:ascii="Times New Roman" w:hAnsi="Times New Roman"/>
          <w:sz w:val="20"/>
          <w:szCs w:val="24"/>
          <w:lang w:val="pt-BR"/>
        </w:rPr>
        <w:t xml:space="preserve">Trigésima Oitava </w:t>
      </w:r>
      <w:r w:rsidRPr="00D65A20">
        <w:rPr>
          <w:rFonts w:ascii="Times New Roman" w:hAnsi="Times New Roman"/>
          <w:sz w:val="20"/>
          <w:szCs w:val="24"/>
          <w:lang w:val="pt-BR"/>
        </w:rPr>
        <w:t xml:space="preserve">Assembleia de Delegadas da Comissão Interamericana de Mulheres em 8 de maio de 2019, por não </w:t>
      </w:r>
      <w:r w:rsidR="00E34A5E" w:rsidRPr="00D65A20">
        <w:rPr>
          <w:rFonts w:ascii="Times New Roman" w:hAnsi="Times New Roman"/>
          <w:sz w:val="20"/>
          <w:szCs w:val="24"/>
          <w:lang w:val="pt-BR"/>
        </w:rPr>
        <w:t>se adequar</w:t>
      </w:r>
      <w:r w:rsidRPr="00D65A20">
        <w:rPr>
          <w:rFonts w:ascii="Times New Roman" w:hAnsi="Times New Roman"/>
          <w:sz w:val="20"/>
          <w:szCs w:val="24"/>
          <w:lang w:val="pt-BR"/>
        </w:rPr>
        <w:t xml:space="preserve"> ao estabelecido em sua Constituição Nacional e demais disposições legais concordantes. O Paraguai colocará em prática a presente seção e a seção XXI em concordância com suas normas legais vigentes, não aceitando as definições ou termos que colidam com sua legislação.</w:t>
      </w:r>
    </w:p>
    <w:p w14:paraId="6E834E23"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szCs w:val="24"/>
          <w:lang w:val="pt-BR"/>
        </w:rPr>
      </w:pPr>
    </w:p>
    <w:p w14:paraId="6E834E24" w14:textId="370FBDE3" w:rsidR="00B7196F" w:rsidRPr="00D65A20" w:rsidRDefault="00AA4399" w:rsidP="00AA4399">
      <w:pPr>
        <w:widowControl/>
        <w:tabs>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Batang" w:hAnsi="Times New Roman"/>
          <w:sz w:val="20"/>
          <w:lang w:val="pt-BR" w:eastAsia="x-none"/>
        </w:rPr>
      </w:pPr>
      <w:r w:rsidRPr="00D65A20">
        <w:rPr>
          <w:rFonts w:ascii="Times New Roman" w:eastAsia="Batang" w:hAnsi="Times New Roman"/>
          <w:sz w:val="20"/>
          <w:lang w:val="pt-BR" w:eastAsia="x-none"/>
        </w:rPr>
        <w:tab/>
        <w:t>2</w:t>
      </w:r>
      <w:r w:rsidR="00AA3553" w:rsidRPr="00D65A20">
        <w:rPr>
          <w:rFonts w:ascii="Times New Roman" w:eastAsia="Batang" w:hAnsi="Times New Roman"/>
          <w:sz w:val="20"/>
          <w:lang w:val="pt-BR" w:eastAsia="x-none"/>
        </w:rPr>
        <w:t>8</w:t>
      </w:r>
      <w:r w:rsidRPr="00D65A20">
        <w:rPr>
          <w:rFonts w:ascii="Times New Roman" w:eastAsia="Batang" w:hAnsi="Times New Roman"/>
          <w:sz w:val="20"/>
          <w:lang w:val="pt-BR" w:eastAsia="x-none"/>
        </w:rPr>
        <w:t>.</w:t>
      </w:r>
      <w:r w:rsidRPr="00D65A20">
        <w:rPr>
          <w:rFonts w:ascii="Times New Roman" w:eastAsia="Batang" w:hAnsi="Times New Roman"/>
          <w:sz w:val="20"/>
          <w:lang w:val="pt-BR" w:eastAsia="x-none"/>
        </w:rPr>
        <w:tab/>
      </w:r>
      <w:r w:rsidR="00B7196F" w:rsidRPr="00D65A20">
        <w:rPr>
          <w:rFonts w:ascii="Times New Roman" w:eastAsia="Calibri" w:hAnsi="Times New Roman"/>
          <w:sz w:val="20"/>
          <w:lang w:val="pt-BR" w:eastAsia="x-none"/>
        </w:rPr>
        <w:t xml:space="preserve">(...) </w:t>
      </w:r>
      <w:r w:rsidR="00B7196F" w:rsidRPr="00D65A20">
        <w:rPr>
          <w:rFonts w:ascii="Times New Roman" w:eastAsia="Batang" w:hAnsi="Times New Roman"/>
          <w:sz w:val="20"/>
          <w:lang w:val="pt-BR" w:eastAsia="x-none"/>
        </w:rPr>
        <w:t xml:space="preserve">da discriminação de todas as formas de violência contra elas. </w:t>
      </w:r>
    </w:p>
    <w:p w14:paraId="6E834E25"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rPr>
          <w:rFonts w:ascii="Times New Roman" w:eastAsia="Batang" w:hAnsi="Times New Roman"/>
          <w:sz w:val="20"/>
          <w:lang w:val="pt-BR" w:eastAsia="x-none"/>
        </w:rPr>
      </w:pPr>
    </w:p>
    <w:p w14:paraId="6E834E26" w14:textId="71F46F8D" w:rsidR="00B7196F" w:rsidRPr="00D65A20" w:rsidRDefault="00B7196F" w:rsidP="00AA4399">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sz w:val="20"/>
          <w:lang w:val="pt-BR" w:eastAsia="x-none"/>
        </w:rPr>
      </w:pPr>
      <w:r w:rsidRPr="00D65A20">
        <w:rPr>
          <w:rFonts w:ascii="Times New Roman" w:eastAsia="Batang" w:hAnsi="Times New Roman"/>
          <w:sz w:val="20"/>
          <w:lang w:val="pt-BR" w:eastAsia="x-none"/>
        </w:rPr>
        <w:tab/>
        <w:t xml:space="preserve">O termo “mulheres em toda a sua diversidade”, como usado no contexto da seção xx, não está de acordo com as leis de Santa Lúcia. Observamos também que, embora a justificativa para o seu uso na resolução deste ano supostamente se deva à sua referência na resolução “Promoção e proteção dos direitos humanos” de 2019, essa terminologia não aparece nas versões em inglês da resolução de 2019, havendo dúvidas sobre a redação exata negociada </w:t>
      </w:r>
      <w:r w:rsidR="00300DC2" w:rsidRPr="00D65A20">
        <w:rPr>
          <w:rFonts w:ascii="Times New Roman" w:eastAsia="Batang" w:hAnsi="Times New Roman"/>
          <w:sz w:val="20"/>
          <w:lang w:val="pt-BR" w:eastAsia="x-none"/>
        </w:rPr>
        <w:t>naquele ano</w:t>
      </w:r>
      <w:r w:rsidRPr="00D65A20">
        <w:rPr>
          <w:rFonts w:ascii="Times New Roman" w:eastAsia="Batang" w:hAnsi="Times New Roman"/>
          <w:sz w:val="20"/>
          <w:lang w:val="pt-BR" w:eastAsia="x-none"/>
        </w:rPr>
        <w:t xml:space="preserve">. O Governo de Santa Lúcia está extremamente preocupado com as variações de terminologia encontradas nos diferentes idiomas da resolução de 2019, que podem ou não refletir o acordo negociado. </w:t>
      </w:r>
    </w:p>
    <w:p w14:paraId="6E834E27"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rPr>
          <w:rFonts w:ascii="Times New Roman" w:eastAsia="Batang" w:hAnsi="Times New Roman"/>
          <w:sz w:val="20"/>
          <w:lang w:val="pt-BR" w:eastAsia="x-none"/>
        </w:rPr>
      </w:pPr>
    </w:p>
    <w:p w14:paraId="6E834E28"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rPr>
          <w:rFonts w:ascii="Times New Roman" w:eastAsia="Batang" w:hAnsi="Times New Roman"/>
          <w:sz w:val="20"/>
          <w:lang w:val="pt-BR" w:eastAsia="x-none"/>
        </w:rPr>
      </w:pPr>
      <w:r w:rsidRPr="00D65A20">
        <w:rPr>
          <w:rFonts w:ascii="Times New Roman" w:eastAsia="Batang" w:hAnsi="Times New Roman"/>
          <w:sz w:val="20"/>
          <w:lang w:val="pt-BR" w:eastAsia="x-none"/>
        </w:rPr>
        <w:tab/>
      </w:r>
      <w:r w:rsidRPr="00D65A20">
        <w:rPr>
          <w:rFonts w:ascii="Times New Roman" w:eastAsia="Batang" w:hAnsi="Times New Roman"/>
          <w:sz w:val="20"/>
          <w:lang w:val="pt-BR" w:eastAsia="x-none"/>
        </w:rPr>
        <w:tab/>
        <w:t xml:space="preserve">Pelas razões apresentadas acima, o Governo de Santa Lúcia registra sua reserva nesta seção. Além disso, o Governo de Santa Lúcia insiste que qualquer trabalho empreendido pela Comissão Interamericana de Mulheres (CIM) reconhece e reflete as leis nacionais dos respectivos Estados membros. </w:t>
      </w:r>
    </w:p>
    <w:p w14:paraId="6E834E29"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szCs w:val="24"/>
          <w:lang w:val="pt-BR"/>
        </w:rPr>
      </w:pPr>
    </w:p>
    <w:p w14:paraId="6E834E2A"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szCs w:val="24"/>
          <w:lang w:val="pt-BR"/>
        </w:rPr>
      </w:pPr>
      <w:r w:rsidRPr="00D65A20">
        <w:rPr>
          <w:rFonts w:ascii="Times New Roman" w:hAnsi="Times New Roman"/>
          <w:sz w:val="20"/>
          <w:szCs w:val="24"/>
          <w:lang w:val="pt-BR"/>
        </w:rPr>
        <w:t>O Governo de Santa Lúcia continuará trabalhando incansavelmente para promover a igualdade de gênero e o empoderamento das mulheres e das meninas, como definidos em sua legislação nacional.</w:t>
      </w:r>
    </w:p>
    <w:p w14:paraId="6E834E2B"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szCs w:val="24"/>
          <w:lang w:val="pt-BR"/>
        </w:rPr>
      </w:pPr>
    </w:p>
    <w:p w14:paraId="6E834E2C" w14:textId="49685601"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szCs w:val="24"/>
          <w:lang w:val="pt-BR"/>
        </w:rPr>
      </w:pPr>
      <w:r w:rsidRPr="00D65A20">
        <w:rPr>
          <w:rFonts w:ascii="Times New Roman" w:hAnsi="Times New Roman"/>
          <w:sz w:val="20"/>
          <w:szCs w:val="24"/>
          <w:lang w:val="pt-BR"/>
        </w:rPr>
        <w:t>2</w:t>
      </w:r>
      <w:r w:rsidR="00AA3553" w:rsidRPr="00D65A20">
        <w:rPr>
          <w:rFonts w:ascii="Times New Roman" w:hAnsi="Times New Roman"/>
          <w:sz w:val="20"/>
          <w:szCs w:val="24"/>
          <w:lang w:val="pt-BR"/>
        </w:rPr>
        <w:t>9</w:t>
      </w:r>
      <w:r w:rsidRPr="00D65A20">
        <w:rPr>
          <w:rFonts w:ascii="Times New Roman" w:hAnsi="Times New Roman"/>
          <w:sz w:val="20"/>
          <w:szCs w:val="24"/>
          <w:lang w:val="pt-BR"/>
        </w:rPr>
        <w:t>.</w:t>
      </w:r>
      <w:r w:rsidRPr="00D65A20">
        <w:rPr>
          <w:rFonts w:ascii="Times New Roman" w:hAnsi="Times New Roman"/>
          <w:sz w:val="20"/>
          <w:szCs w:val="24"/>
          <w:lang w:val="pt-BR"/>
        </w:rPr>
        <w:tab/>
      </w:r>
      <w:r w:rsidRPr="00D65A20">
        <w:rPr>
          <w:rFonts w:ascii="Times New Roman" w:eastAsia="Calibri" w:hAnsi="Times New Roman"/>
          <w:sz w:val="20"/>
          <w:lang w:val="pt-BR"/>
        </w:rPr>
        <w:t xml:space="preserve">(...) </w:t>
      </w:r>
      <w:r w:rsidRPr="00D65A20">
        <w:rPr>
          <w:rFonts w:ascii="Times New Roman" w:hAnsi="Times New Roman"/>
          <w:sz w:val="20"/>
          <w:szCs w:val="24"/>
          <w:lang w:val="pt-BR"/>
        </w:rPr>
        <w:t xml:space="preserve">comprometidos com a prevenção, </w:t>
      </w:r>
      <w:r w:rsidR="00300DC2" w:rsidRPr="00D65A20">
        <w:rPr>
          <w:rFonts w:ascii="Times New Roman" w:hAnsi="Times New Roman"/>
          <w:sz w:val="20"/>
          <w:szCs w:val="24"/>
          <w:lang w:val="pt-BR"/>
        </w:rPr>
        <w:t xml:space="preserve">a </w:t>
      </w:r>
      <w:r w:rsidRPr="00D65A20">
        <w:rPr>
          <w:rFonts w:ascii="Times New Roman" w:hAnsi="Times New Roman"/>
          <w:sz w:val="20"/>
          <w:szCs w:val="24"/>
          <w:lang w:val="pt-BR"/>
        </w:rPr>
        <w:t xml:space="preserve">punição e </w:t>
      </w:r>
      <w:r w:rsidR="00300DC2" w:rsidRPr="00D65A20">
        <w:rPr>
          <w:rFonts w:ascii="Times New Roman" w:hAnsi="Times New Roman"/>
          <w:sz w:val="20"/>
          <w:szCs w:val="24"/>
          <w:lang w:val="pt-BR"/>
        </w:rPr>
        <w:t xml:space="preserve">a </w:t>
      </w:r>
      <w:r w:rsidRPr="00D65A20">
        <w:rPr>
          <w:rFonts w:ascii="Times New Roman" w:hAnsi="Times New Roman"/>
          <w:sz w:val="20"/>
          <w:szCs w:val="24"/>
          <w:lang w:val="pt-BR"/>
        </w:rPr>
        <w:t>erradicação da violência contra as mulheres, particularmente com a persecução penal de seus perpetradores. Além disso, os Estados Unidos acreditam que o termo “saúde sexual e reprodutiva” tem muitas interpretações e, portanto, o país não se associa a esta seção. Os Estados Unidos apoiam políticas que promovem o respeito aos direitos humanos de todas as pessoas, sem discriminação.</w:t>
      </w:r>
    </w:p>
    <w:p w14:paraId="6E834E2D"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szCs w:val="24"/>
          <w:lang w:val="pt-BR"/>
        </w:rPr>
      </w:pPr>
    </w:p>
    <w:p w14:paraId="6E834E2E" w14:textId="42B83FDA"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szCs w:val="24"/>
          <w:lang w:val="pt-BR"/>
        </w:rPr>
      </w:pPr>
      <w:r w:rsidRPr="00D65A20">
        <w:rPr>
          <w:rFonts w:ascii="Times New Roman" w:hAnsi="Times New Roman"/>
          <w:sz w:val="20"/>
          <w:szCs w:val="24"/>
          <w:lang w:val="pt-BR"/>
        </w:rPr>
        <w:t>3</w:t>
      </w:r>
      <w:r w:rsidR="00AA3553" w:rsidRPr="00D65A20">
        <w:rPr>
          <w:rFonts w:ascii="Times New Roman" w:hAnsi="Times New Roman"/>
          <w:sz w:val="20"/>
          <w:szCs w:val="24"/>
          <w:lang w:val="pt-BR"/>
        </w:rPr>
        <w:t>2</w:t>
      </w:r>
      <w:r w:rsidRPr="00D65A20">
        <w:rPr>
          <w:rFonts w:ascii="Times New Roman" w:hAnsi="Times New Roman"/>
          <w:sz w:val="20"/>
          <w:szCs w:val="24"/>
          <w:lang w:val="pt-BR"/>
        </w:rPr>
        <w:t>.</w:t>
      </w:r>
      <w:r w:rsidRPr="00D65A20">
        <w:rPr>
          <w:rFonts w:ascii="Times New Roman" w:hAnsi="Times New Roman"/>
          <w:sz w:val="20"/>
          <w:szCs w:val="24"/>
          <w:lang w:val="pt-BR"/>
        </w:rPr>
        <w:tab/>
      </w:r>
      <w:r w:rsidRPr="00D65A20">
        <w:rPr>
          <w:rFonts w:ascii="Times New Roman" w:eastAsia="Calibri" w:hAnsi="Times New Roman"/>
          <w:sz w:val="20"/>
          <w:lang w:val="pt-BR"/>
        </w:rPr>
        <w:t xml:space="preserve">(...) </w:t>
      </w:r>
      <w:r w:rsidRPr="00D65A20">
        <w:rPr>
          <w:rFonts w:ascii="Times New Roman" w:hAnsi="Times New Roman"/>
          <w:sz w:val="20"/>
          <w:szCs w:val="24"/>
          <w:lang w:val="pt-BR"/>
        </w:rPr>
        <w:t xml:space="preserve">da Convenção de Belém do Pará e apoia os esforços empreendidos pelo Mecanismo de Acompanhamento da Convenção de Belém do Pará (MESECVI) para a sua implementação. </w:t>
      </w:r>
    </w:p>
    <w:p w14:paraId="6E834E2F"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szCs w:val="24"/>
          <w:lang w:val="pt-BR"/>
        </w:rPr>
      </w:pPr>
    </w:p>
    <w:p w14:paraId="6E834E30" w14:textId="31765FB8"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szCs w:val="24"/>
          <w:lang w:val="pt-BR"/>
        </w:rPr>
      </w:pPr>
      <w:r w:rsidRPr="00D65A20">
        <w:rPr>
          <w:rFonts w:ascii="Times New Roman" w:hAnsi="Times New Roman"/>
          <w:sz w:val="20"/>
          <w:szCs w:val="24"/>
          <w:lang w:val="pt-BR"/>
        </w:rPr>
        <w:t xml:space="preserve">Entretanto, o termo “mulheres em toda a sua diversidade”, como usado no contexto da seção xxi, não está de acordo com as leis de Santa Lúcia e extrapola o escopo da Convenção de Belém do Pará. Rejeitamos qualquer esforço de atribuir intenção à convenção. Observamos também que, embora a justificativa para o seu uso na resolução deste ano supostamente se deva à sua referência na resolução “Promoção e proteção dos direitos humanos” de 2019, essa terminologia não aparece nas versões em inglês da resolução de 2019, havendo dúvidas sobre a redação exata negociada </w:t>
      </w:r>
      <w:r w:rsidR="00300DC2" w:rsidRPr="00D65A20">
        <w:rPr>
          <w:rFonts w:ascii="Times New Roman" w:hAnsi="Times New Roman"/>
          <w:sz w:val="20"/>
          <w:szCs w:val="24"/>
          <w:lang w:val="pt-BR"/>
        </w:rPr>
        <w:t>naquele ano</w:t>
      </w:r>
      <w:r w:rsidRPr="00D65A20">
        <w:rPr>
          <w:rFonts w:ascii="Times New Roman" w:hAnsi="Times New Roman"/>
          <w:sz w:val="20"/>
          <w:szCs w:val="24"/>
          <w:lang w:val="pt-BR"/>
        </w:rPr>
        <w:t>. O Governo de Santa Lúcia está extremamente preocupado com as variações de terminologia encontradas nos diferentes idiomas da resolução de 2019, que podem ou não refletir o acordo negociado.</w:t>
      </w:r>
    </w:p>
    <w:p w14:paraId="6E834E31"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szCs w:val="24"/>
          <w:lang w:val="pt-BR"/>
        </w:rPr>
      </w:pPr>
    </w:p>
    <w:p w14:paraId="6E834E32"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szCs w:val="24"/>
          <w:lang w:val="pt-BR"/>
        </w:rPr>
      </w:pPr>
      <w:r w:rsidRPr="00D65A20">
        <w:rPr>
          <w:rFonts w:ascii="Times New Roman" w:hAnsi="Times New Roman"/>
          <w:sz w:val="20"/>
          <w:szCs w:val="24"/>
          <w:lang w:val="pt-BR"/>
        </w:rPr>
        <w:t>Pelas razões apresentadas acima, o Governo de Santa Lúcia registra sua reserva nesta seção e continuará trabalhando incansavelmente para cumprir as suas obrigações emanadas da referida convenção. Além disso, o Governo de Santa Lúcia insiste que todo trabalho empreendido pela CIM e pelo MESECVI reconhece e reflete a legislação nacional dos respectivos Estados membros.</w:t>
      </w:r>
    </w:p>
    <w:p w14:paraId="6E834E33"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szCs w:val="24"/>
          <w:lang w:val="pt-BR"/>
        </w:rPr>
      </w:pPr>
    </w:p>
    <w:p w14:paraId="6E834E34" w14:textId="2542E14C"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szCs w:val="24"/>
          <w:lang w:val="pt-BR"/>
        </w:rPr>
      </w:pPr>
      <w:r w:rsidRPr="00D65A20">
        <w:rPr>
          <w:rFonts w:ascii="Times New Roman" w:hAnsi="Times New Roman"/>
          <w:sz w:val="20"/>
          <w:szCs w:val="24"/>
          <w:lang w:val="pt-BR"/>
        </w:rPr>
        <w:lastRenderedPageBreak/>
        <w:t>3</w:t>
      </w:r>
      <w:r w:rsidR="00AA3553" w:rsidRPr="00D65A20">
        <w:rPr>
          <w:rFonts w:ascii="Times New Roman" w:hAnsi="Times New Roman"/>
          <w:sz w:val="20"/>
          <w:szCs w:val="24"/>
          <w:lang w:val="pt-BR"/>
        </w:rPr>
        <w:t>3</w:t>
      </w:r>
      <w:r w:rsidRPr="00D65A20">
        <w:rPr>
          <w:rFonts w:ascii="Times New Roman" w:hAnsi="Times New Roman"/>
          <w:sz w:val="20"/>
          <w:szCs w:val="24"/>
          <w:lang w:val="pt-BR"/>
        </w:rPr>
        <w:t>.</w:t>
      </w:r>
      <w:r w:rsidRPr="00D65A20">
        <w:rPr>
          <w:rFonts w:ascii="Times New Roman" w:hAnsi="Times New Roman"/>
          <w:sz w:val="20"/>
          <w:szCs w:val="24"/>
          <w:lang w:val="pt-BR"/>
        </w:rPr>
        <w:tab/>
      </w:r>
      <w:r w:rsidRPr="00D65A20">
        <w:rPr>
          <w:rFonts w:ascii="Times New Roman" w:eastAsia="Calibri" w:hAnsi="Times New Roman"/>
          <w:sz w:val="20"/>
          <w:lang w:val="pt-BR"/>
        </w:rPr>
        <w:t xml:space="preserve">(...) </w:t>
      </w:r>
      <w:r w:rsidRPr="00D65A20">
        <w:rPr>
          <w:rFonts w:ascii="Times New Roman" w:hAnsi="Times New Roman"/>
          <w:sz w:val="20"/>
          <w:szCs w:val="24"/>
          <w:lang w:val="pt-BR"/>
        </w:rPr>
        <w:t>Americana sobre os Direitos dos Povos Indígenas (2017-2021)</w:t>
      </w:r>
      <w:r w:rsidR="00300DC2" w:rsidRPr="00D65A20">
        <w:rPr>
          <w:rFonts w:ascii="Times New Roman" w:hAnsi="Times New Roman"/>
          <w:sz w:val="20"/>
          <w:szCs w:val="24"/>
          <w:lang w:val="pt-BR"/>
        </w:rPr>
        <w:t>”</w:t>
      </w:r>
      <w:r w:rsidRPr="00D65A20">
        <w:rPr>
          <w:rFonts w:ascii="Times New Roman" w:hAnsi="Times New Roman"/>
          <w:sz w:val="20"/>
          <w:szCs w:val="24"/>
          <w:lang w:val="pt-BR"/>
        </w:rPr>
        <w:t>, reitera seu compromisso com a promoção e a proteção dos direitos humanos, coletivos e individuais, dos povos indígenas, com base em uma relação de respeito e interculturalidade, e reconhece que os povos indígenas têm direito à autodeterminação e que, em virtude desse direito, determinam livremente sua condição política e buscam livremente seu desenvolvimento econômico, social e cultural, conforme estabelecido na Declaração Americana sobre os Direitos dos Povos Indígenas, na Declaração das Nações Unidas sobre os Direitos dos Povos Indígenas e em outros instrumentos internacionais na matéria. O México dissocia-se deste parágrafo por considerar que contém elementos alheios à seção em consideração, a saber: o acompanhamento à Declaração Americana sobre os Direitos dos Povos Indígenas e seu Plano de Ação [adotado em 2017 mediante a resolução AG/RES. 2913 (XLVII-O/17)], elementos que têm um espaço específico para tratamento nesta Organização.</w:t>
      </w:r>
    </w:p>
    <w:p w14:paraId="6E834E35"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szCs w:val="24"/>
          <w:lang w:val="pt-BR"/>
        </w:rPr>
      </w:pPr>
    </w:p>
    <w:p w14:paraId="6E834E36" w14:textId="4E358669"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szCs w:val="24"/>
          <w:lang w:val="pt-BR"/>
        </w:rPr>
      </w:pPr>
      <w:r w:rsidRPr="00D65A20">
        <w:rPr>
          <w:rFonts w:ascii="Times New Roman" w:hAnsi="Times New Roman"/>
          <w:sz w:val="20"/>
          <w:szCs w:val="24"/>
          <w:lang w:val="pt-BR"/>
        </w:rPr>
        <w:t>3</w:t>
      </w:r>
      <w:r w:rsidR="00AA3553" w:rsidRPr="00D65A20">
        <w:rPr>
          <w:rFonts w:ascii="Times New Roman" w:hAnsi="Times New Roman"/>
          <w:sz w:val="20"/>
          <w:szCs w:val="24"/>
          <w:lang w:val="pt-BR"/>
        </w:rPr>
        <w:t>4</w:t>
      </w:r>
      <w:r w:rsidRPr="00D65A20">
        <w:rPr>
          <w:rFonts w:ascii="Times New Roman" w:hAnsi="Times New Roman"/>
          <w:sz w:val="20"/>
          <w:szCs w:val="24"/>
          <w:lang w:val="pt-BR"/>
        </w:rPr>
        <w:t>.</w:t>
      </w:r>
      <w:r w:rsidRPr="00D65A20">
        <w:rPr>
          <w:rFonts w:ascii="Times New Roman" w:hAnsi="Times New Roman"/>
          <w:sz w:val="20"/>
          <w:szCs w:val="24"/>
          <w:lang w:val="pt-BR"/>
        </w:rPr>
        <w:tab/>
      </w:r>
      <w:r w:rsidRPr="00D65A20">
        <w:rPr>
          <w:rFonts w:ascii="Times New Roman" w:eastAsia="Calibri" w:hAnsi="Times New Roman"/>
          <w:sz w:val="20"/>
          <w:lang w:val="pt-BR"/>
        </w:rPr>
        <w:t xml:space="preserve">(...) </w:t>
      </w:r>
      <w:r w:rsidRPr="00D65A20">
        <w:rPr>
          <w:rFonts w:ascii="Times New Roman" w:hAnsi="Times New Roman"/>
          <w:sz w:val="20"/>
          <w:szCs w:val="24"/>
          <w:lang w:val="pt-BR"/>
        </w:rPr>
        <w:t xml:space="preserve">e em diferentes instrumentos internacionais nos quais é Estado parte, e que constituem um compromisso para erradicar as situações de exclusão e desvantagem social vividas, ao longo da história, </w:t>
      </w:r>
      <w:r w:rsidR="00E34A5E" w:rsidRPr="00D65A20">
        <w:rPr>
          <w:rFonts w:ascii="Times New Roman" w:hAnsi="Times New Roman"/>
          <w:sz w:val="20"/>
          <w:szCs w:val="24"/>
          <w:lang w:val="pt-BR"/>
        </w:rPr>
        <w:t>por grupos</w:t>
      </w:r>
      <w:r w:rsidRPr="00D65A20">
        <w:rPr>
          <w:rFonts w:ascii="Times New Roman" w:hAnsi="Times New Roman"/>
          <w:sz w:val="20"/>
          <w:szCs w:val="24"/>
          <w:lang w:val="pt-BR"/>
        </w:rPr>
        <w:t xml:space="preserve"> populacionais como os povos indígenas. El Salvador considera que os assuntos relacionados à criminalidade não devem fazer parte do conteúdo da presente resolução, de acordo com o marco de acompanhamento da Declaração Americana sobre os Direitos dos Povos Indígenas e o Plano de Ação sobre a Declaração Americana sobre os Direitos dos Povos Indígenas (2017-2021),</w:t>
      </w:r>
      <w:r w:rsidR="00300DC2" w:rsidRPr="00D65A20">
        <w:rPr>
          <w:rFonts w:ascii="Times New Roman" w:hAnsi="Times New Roman"/>
          <w:sz w:val="20"/>
          <w:szCs w:val="24"/>
          <w:lang w:val="pt-BR"/>
        </w:rPr>
        <w:t xml:space="preserve"> </w:t>
      </w:r>
      <w:r w:rsidRPr="00D65A20">
        <w:rPr>
          <w:rFonts w:ascii="Times New Roman" w:hAnsi="Times New Roman"/>
          <w:sz w:val="20"/>
          <w:szCs w:val="24"/>
          <w:lang w:val="pt-BR"/>
        </w:rPr>
        <w:t>e que a referida vinculação, por sua complexidade, deve ser abordada em outros espaços correspondentes na OEA, motivo pelo qual El Salvador se desassocia deste parágrafo.</w:t>
      </w:r>
    </w:p>
    <w:p w14:paraId="6E834E37"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szCs w:val="24"/>
          <w:lang w:val="pt-BR"/>
        </w:rPr>
      </w:pPr>
    </w:p>
    <w:p w14:paraId="6E834E38" w14:textId="0C188546"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szCs w:val="24"/>
          <w:lang w:val="pt-BR"/>
        </w:rPr>
      </w:pPr>
      <w:r w:rsidRPr="00D65A20">
        <w:rPr>
          <w:rFonts w:ascii="Times New Roman" w:hAnsi="Times New Roman"/>
          <w:sz w:val="20"/>
          <w:szCs w:val="24"/>
          <w:lang w:val="pt-BR"/>
        </w:rPr>
        <w:t>3</w:t>
      </w:r>
      <w:r w:rsidR="00AA3553" w:rsidRPr="00D65A20">
        <w:rPr>
          <w:rFonts w:ascii="Times New Roman" w:hAnsi="Times New Roman"/>
          <w:sz w:val="20"/>
          <w:szCs w:val="24"/>
          <w:lang w:val="pt-BR"/>
        </w:rPr>
        <w:t>5</w:t>
      </w:r>
      <w:r w:rsidRPr="00D65A20">
        <w:rPr>
          <w:rFonts w:ascii="Times New Roman" w:hAnsi="Times New Roman"/>
          <w:sz w:val="20"/>
          <w:szCs w:val="24"/>
          <w:lang w:val="pt-BR"/>
        </w:rPr>
        <w:t>.</w:t>
      </w:r>
      <w:r w:rsidRPr="00D65A20">
        <w:rPr>
          <w:rFonts w:ascii="Times New Roman" w:hAnsi="Times New Roman"/>
          <w:sz w:val="20"/>
          <w:szCs w:val="24"/>
          <w:lang w:val="pt-BR"/>
        </w:rPr>
        <w:tab/>
      </w:r>
      <w:r w:rsidRPr="00D65A20">
        <w:rPr>
          <w:rFonts w:ascii="Times New Roman" w:eastAsia="Calibri" w:hAnsi="Times New Roman"/>
          <w:sz w:val="20"/>
          <w:lang w:val="pt-BR"/>
        </w:rPr>
        <w:t xml:space="preserve">(...) </w:t>
      </w:r>
      <w:r w:rsidRPr="00D65A20">
        <w:rPr>
          <w:rFonts w:ascii="Times New Roman" w:hAnsi="Times New Roman"/>
          <w:sz w:val="20"/>
          <w:szCs w:val="24"/>
          <w:lang w:val="pt-BR"/>
        </w:rPr>
        <w:t>— com poucas exceções que não são relevantes nesse contexto — as obrigações internacionais em matéria de direitos humanos dos Estados não se estendem à conduta de atores privados. Os Estados Unidos ressaltam suas persistentes objeções à Declaração Americana sobre os Direitos dos Povos Indígenas, inicialmente registradas em 2007 e elaboradas em mais profundidade em nossa nota de rodapé à resolução da Assembleia Geral AG/RES. 2888 (XLVI-O/16), de 15 de junho de 2016. Particularmente, os Estados Unidos reiteram sua opinião de que o foco dos Estados membros da OEA deve ser a implementação da Declaração da ONU sobre os Direitos dos Povos Indígenas.</w:t>
      </w:r>
    </w:p>
    <w:p w14:paraId="6E834E39"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szCs w:val="24"/>
          <w:lang w:val="pt-BR"/>
        </w:rPr>
      </w:pPr>
    </w:p>
    <w:p w14:paraId="6E834E3A" w14:textId="23BD7B1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lang w:val="pt-BR"/>
        </w:rPr>
      </w:pPr>
      <w:r w:rsidRPr="00D65A20">
        <w:rPr>
          <w:rFonts w:ascii="Times New Roman" w:hAnsi="Times New Roman"/>
          <w:sz w:val="20"/>
          <w:szCs w:val="24"/>
          <w:lang w:val="pt-BR"/>
        </w:rPr>
        <w:t>3</w:t>
      </w:r>
      <w:r w:rsidR="00AA3553" w:rsidRPr="00D65A20">
        <w:rPr>
          <w:rFonts w:ascii="Times New Roman" w:hAnsi="Times New Roman"/>
          <w:sz w:val="20"/>
          <w:szCs w:val="24"/>
          <w:lang w:val="pt-BR"/>
        </w:rPr>
        <w:t>6</w:t>
      </w:r>
      <w:r w:rsidRPr="00D65A20">
        <w:rPr>
          <w:rFonts w:ascii="Times New Roman" w:hAnsi="Times New Roman"/>
          <w:sz w:val="20"/>
          <w:szCs w:val="24"/>
          <w:lang w:val="pt-BR"/>
        </w:rPr>
        <w:t>.</w:t>
      </w:r>
      <w:r w:rsidRPr="00D65A20">
        <w:rPr>
          <w:rFonts w:ascii="Times New Roman" w:hAnsi="Times New Roman"/>
          <w:sz w:val="20"/>
          <w:szCs w:val="24"/>
          <w:lang w:val="pt-BR"/>
        </w:rPr>
        <w:tab/>
      </w:r>
      <w:r w:rsidRPr="00D65A20">
        <w:rPr>
          <w:rFonts w:ascii="Times New Roman" w:eastAsia="Calibri" w:hAnsi="Times New Roman"/>
          <w:sz w:val="20"/>
          <w:lang w:val="pt-BR"/>
        </w:rPr>
        <w:t xml:space="preserve">(...) mais rapidamente reduziu a pobreza e a desigualdade, o de maior acesso à </w:t>
      </w:r>
      <w:r w:rsidRPr="00D65A20">
        <w:rPr>
          <w:rFonts w:ascii="Times New Roman" w:hAnsi="Times New Roman"/>
          <w:sz w:val="20"/>
          <w:lang w:val="pt-BR"/>
        </w:rPr>
        <w:t>saúde</w:t>
      </w:r>
      <w:r w:rsidRPr="00D65A20">
        <w:rPr>
          <w:rFonts w:ascii="Times New Roman" w:eastAsia="Calibri" w:hAnsi="Times New Roman"/>
          <w:sz w:val="20"/>
          <w:lang w:val="pt-BR"/>
        </w:rPr>
        <w:t xml:space="preserve"> e à educação de qualidade, o de maior crescimento em média multianual e um dos cinco países com maior paridade de gênero do mundo. </w:t>
      </w:r>
    </w:p>
    <w:p w14:paraId="6E834E3B"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20"/>
          <w:lang w:val="pt-BR"/>
        </w:rPr>
      </w:pPr>
    </w:p>
    <w:p w14:paraId="6E834E3C" w14:textId="3727DEB9"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lang w:val="pt-BR"/>
        </w:rPr>
      </w:pPr>
      <w:r w:rsidRPr="00D65A20">
        <w:rPr>
          <w:rFonts w:ascii="Times New Roman" w:eastAsia="Calibri" w:hAnsi="Times New Roman"/>
          <w:sz w:val="20"/>
          <w:lang w:val="pt-BR"/>
        </w:rPr>
        <w:t xml:space="preserve">No que se refere à igualdade de gênero, o Relatório ONU Mulheres, de 4 de outubro de 2019, divulgou uma lista dos dez países com melhor equilíbrio de gênero no mundo, em que a Nicarágua figura como o terceiro melhor país com melhor equilíbrio de gênero no mundo. Em 2007, </w:t>
      </w:r>
      <w:r w:rsidR="007672B1" w:rsidRPr="00D65A20">
        <w:rPr>
          <w:rFonts w:ascii="Times New Roman" w:eastAsia="Calibri" w:hAnsi="Times New Roman"/>
          <w:sz w:val="20"/>
          <w:lang w:val="pt-BR"/>
        </w:rPr>
        <w:t xml:space="preserve">a </w:t>
      </w:r>
      <w:r w:rsidRPr="00D65A20">
        <w:rPr>
          <w:rFonts w:ascii="Times New Roman" w:eastAsia="Calibri" w:hAnsi="Times New Roman"/>
          <w:sz w:val="20"/>
          <w:lang w:val="pt-BR"/>
        </w:rPr>
        <w:t xml:space="preserve">Nicarágua ocupou a nonagésima posição no índice de </w:t>
      </w:r>
      <w:r w:rsidR="007672B1" w:rsidRPr="00D65A20">
        <w:rPr>
          <w:rFonts w:ascii="Times New Roman" w:eastAsia="Calibri" w:hAnsi="Times New Roman"/>
          <w:sz w:val="20"/>
          <w:lang w:val="pt-BR"/>
        </w:rPr>
        <w:t xml:space="preserve">desigualdade </w:t>
      </w:r>
      <w:r w:rsidRPr="00D65A20">
        <w:rPr>
          <w:rFonts w:ascii="Times New Roman" w:eastAsia="Calibri" w:hAnsi="Times New Roman"/>
          <w:sz w:val="20"/>
          <w:lang w:val="pt-BR"/>
        </w:rPr>
        <w:t xml:space="preserve">de gênero. </w:t>
      </w:r>
    </w:p>
    <w:p w14:paraId="6E834E3D"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20"/>
          <w:lang w:val="pt-BR"/>
        </w:rPr>
      </w:pPr>
    </w:p>
    <w:p w14:paraId="6E834E3E"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lang w:val="pt-BR"/>
        </w:rPr>
      </w:pPr>
      <w:r w:rsidRPr="00D65A20">
        <w:rPr>
          <w:rFonts w:ascii="Times New Roman" w:eastAsia="Calibri" w:hAnsi="Times New Roman"/>
          <w:sz w:val="20"/>
          <w:lang w:val="pt-BR"/>
        </w:rPr>
        <w:t xml:space="preserve">Em 2018 e 2019, no mesmo índice, ocupou o quinto lugar em âmbito mundial, depois dos países nórdicos. Com esses resultados, a Nicarágua está adiante de todos os países europeus desenvolvidos, centro-americanos e caribenhos, com exceção dos países nórdicos. </w:t>
      </w:r>
    </w:p>
    <w:p w14:paraId="6E834E3F"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20"/>
          <w:lang w:val="pt-BR"/>
        </w:rPr>
      </w:pPr>
    </w:p>
    <w:p w14:paraId="6E834E40" w14:textId="0F982FFC"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lang w:val="pt-BR"/>
        </w:rPr>
      </w:pPr>
      <w:r w:rsidRPr="00D65A20">
        <w:rPr>
          <w:rFonts w:ascii="Times New Roman" w:eastAsia="Calibri" w:hAnsi="Times New Roman"/>
          <w:sz w:val="20"/>
          <w:lang w:val="pt-BR"/>
        </w:rPr>
        <w:t xml:space="preserve">A Nicarágua é um país amante da paz e da segurança e respeitoso dos princípios do Direito </w:t>
      </w:r>
      <w:r w:rsidR="007672B1" w:rsidRPr="00D65A20">
        <w:rPr>
          <w:rFonts w:ascii="Times New Roman" w:eastAsia="Calibri" w:hAnsi="Times New Roman"/>
          <w:sz w:val="20"/>
          <w:lang w:val="pt-BR"/>
        </w:rPr>
        <w:t>i</w:t>
      </w:r>
      <w:r w:rsidRPr="00D65A20">
        <w:rPr>
          <w:rFonts w:ascii="Times New Roman" w:eastAsia="Calibri" w:hAnsi="Times New Roman"/>
          <w:sz w:val="20"/>
          <w:lang w:val="pt-BR"/>
        </w:rPr>
        <w:t xml:space="preserve">nternacional e do direito de cada nação de dirimir seus assuntos internos sem ingerências externas de nenhuma natureza. </w:t>
      </w:r>
    </w:p>
    <w:p w14:paraId="6E834E41"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20"/>
          <w:lang w:val="pt-BR"/>
        </w:rPr>
      </w:pPr>
    </w:p>
    <w:p w14:paraId="6E834E42"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lang w:val="pt-BR"/>
        </w:rPr>
      </w:pPr>
      <w:r w:rsidRPr="00D65A20">
        <w:rPr>
          <w:rFonts w:ascii="Times New Roman" w:eastAsia="Calibri" w:hAnsi="Times New Roman"/>
          <w:sz w:val="20"/>
          <w:lang w:val="pt-BR"/>
        </w:rPr>
        <w:t xml:space="preserve">No que diz respeito ao Relatório Anual da Comissão Interamericana de Direitos Humanos, insiste em manter dois pesos e duas medidas no tratamento dos direitos humanos na região, o que afeta sua imparcialidade e sua credibilidade. </w:t>
      </w:r>
    </w:p>
    <w:p w14:paraId="6E834E43" w14:textId="77777777"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20"/>
          <w:lang w:val="pt-BR"/>
        </w:rPr>
      </w:pPr>
    </w:p>
    <w:p w14:paraId="6E834E44" w14:textId="77777777" w:rsidR="00665FF3"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lang w:val="pt-BR"/>
        </w:rPr>
      </w:pPr>
      <w:r w:rsidRPr="00D65A20">
        <w:rPr>
          <w:rFonts w:ascii="Times New Roman" w:eastAsia="Calibri" w:hAnsi="Times New Roman"/>
          <w:sz w:val="20"/>
          <w:lang w:val="pt-BR"/>
        </w:rPr>
        <w:t>Em relação à Nicarágua, seu enfoque continua sendo distante da realidade, com visão parcializada e tendenciosa</w:t>
      </w:r>
      <w:r w:rsidR="007672B1" w:rsidRPr="00D65A20">
        <w:rPr>
          <w:rFonts w:ascii="Times New Roman" w:eastAsia="Calibri" w:hAnsi="Times New Roman"/>
          <w:sz w:val="20"/>
          <w:lang w:val="pt-BR"/>
        </w:rPr>
        <w:t>,</w:t>
      </w:r>
      <w:r w:rsidRPr="00D65A20">
        <w:rPr>
          <w:rFonts w:ascii="Times New Roman" w:eastAsia="Calibri" w:hAnsi="Times New Roman"/>
          <w:sz w:val="20"/>
          <w:lang w:val="pt-BR"/>
        </w:rPr>
        <w:t xml:space="preserve"> porque minimiza as ações criminosas dos grupos terroristas que semearam o terror na população civil, cujas ações eram destinadas a romper a ordem constitucional, e que a CIDH qualifica de supostos “protestos pacíficos”.</w:t>
      </w:r>
    </w:p>
    <w:p w14:paraId="6E834E46" w14:textId="62856349" w:rsidR="00B7196F" w:rsidRPr="00D65A20" w:rsidRDefault="00B7196F" w:rsidP="00AA439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szCs w:val="24"/>
          <w:lang w:val="pt-BR"/>
        </w:rPr>
      </w:pPr>
      <w:r w:rsidRPr="00D65A20">
        <w:rPr>
          <w:rFonts w:ascii="Times New Roman" w:eastAsia="Calibri" w:hAnsi="Times New Roman"/>
          <w:sz w:val="20"/>
          <w:lang w:val="pt-BR"/>
        </w:rPr>
        <w:lastRenderedPageBreak/>
        <w:t xml:space="preserve">Repetem sem verificar notícias falsas contra o Estado da Nicarágua, fazendo acusações de maneira irresponsável e </w:t>
      </w:r>
      <w:r w:rsidR="007C16D2" w:rsidRPr="00D65A20">
        <w:rPr>
          <w:rFonts w:ascii="Times New Roman" w:eastAsia="Calibri" w:hAnsi="Times New Roman"/>
          <w:sz w:val="20"/>
          <w:lang w:val="pt-BR"/>
        </w:rPr>
        <w:t>leviana</w:t>
      </w:r>
      <w:r w:rsidRPr="00D65A20">
        <w:rPr>
          <w:rFonts w:ascii="Times New Roman" w:eastAsia="Calibri" w:hAnsi="Times New Roman"/>
          <w:sz w:val="20"/>
          <w:lang w:val="pt-BR"/>
        </w:rPr>
        <w:t>, sem nenhuma prova, apesar dos constantes relatórios objetivos de esclarecimento que o Estado enviou à CIDH.</w:t>
      </w:r>
    </w:p>
    <w:p w14:paraId="6E834E47" w14:textId="77777777" w:rsidR="00BC13FF" w:rsidRPr="00D65A20" w:rsidRDefault="00BC13FF" w:rsidP="00AA4399">
      <w:pPr>
        <w:widowControl/>
        <w:rPr>
          <w:rFonts w:ascii="Times New Roman" w:hAnsi="Times New Roman"/>
          <w:sz w:val="20"/>
          <w:lang w:val="pt-BR"/>
        </w:rPr>
      </w:pPr>
    </w:p>
    <w:p w14:paraId="6E834E48" w14:textId="77777777" w:rsidR="0002025E" w:rsidRPr="00D65A20" w:rsidRDefault="0002025E" w:rsidP="00AA4399">
      <w:pPr>
        <w:widowControl/>
        <w:rPr>
          <w:rFonts w:ascii="Times New Roman" w:hAnsi="Times New Roman"/>
          <w:sz w:val="20"/>
          <w:lang w:val="pt-BR"/>
        </w:rPr>
      </w:pPr>
    </w:p>
    <w:p w14:paraId="6E834E49" w14:textId="77777777" w:rsidR="0002025E" w:rsidRPr="00D65A20" w:rsidRDefault="0002025E" w:rsidP="00AA4399">
      <w:pPr>
        <w:widowControl/>
        <w:rPr>
          <w:rFonts w:ascii="Times New Roman" w:hAnsi="Times New Roman"/>
          <w:sz w:val="20"/>
          <w:lang w:val="pt-BR"/>
        </w:rPr>
        <w:sectPr w:rsidR="0002025E" w:rsidRPr="00D65A20" w:rsidSect="0037138D">
          <w:headerReference w:type="default" r:id="rId83"/>
          <w:footerReference w:type="default" r:id="rId84"/>
          <w:headerReference w:type="first" r:id="rId85"/>
          <w:footnotePr>
            <w:numRestart w:val="eachSect"/>
          </w:footnotePr>
          <w:type w:val="oddPage"/>
          <w:pgSz w:w="12240" w:h="15840" w:code="1"/>
          <w:pgMar w:top="2160" w:right="1570" w:bottom="1296" w:left="1699" w:header="1260" w:footer="720" w:gutter="0"/>
          <w:pgNumType w:fmt="numberInDash"/>
          <w:cols w:space="720"/>
          <w:docGrid w:linePitch="360"/>
        </w:sectPr>
      </w:pPr>
    </w:p>
    <w:p w14:paraId="6E834E4A" w14:textId="77777777" w:rsidR="00A544BF" w:rsidRPr="00D65A20" w:rsidRDefault="0002025E" w:rsidP="00E13A8E">
      <w:pPr>
        <w:jc w:val="center"/>
        <w:rPr>
          <w:rStyle w:val="Heading1Char"/>
          <w:rFonts w:ascii="Times New Roman" w:eastAsia="Calibri" w:hAnsi="Times New Roman"/>
          <w:lang w:val="pt-BR"/>
        </w:rPr>
      </w:pPr>
      <w:bookmarkStart w:id="175" w:name="_Toc56526507"/>
      <w:bookmarkStart w:id="176" w:name="_Toc56526717"/>
      <w:r w:rsidRPr="00D65A20">
        <w:rPr>
          <w:rStyle w:val="Heading1Char"/>
          <w:rFonts w:ascii="Times New Roman" w:eastAsia="Calibri" w:hAnsi="Times New Roman"/>
          <w:lang w:val="pt-BR"/>
        </w:rPr>
        <w:lastRenderedPageBreak/>
        <w:t>AG/RES. 2962 (L-O/20)</w:t>
      </w:r>
      <w:bookmarkEnd w:id="175"/>
      <w:bookmarkEnd w:id="176"/>
    </w:p>
    <w:p w14:paraId="6E834E4B" w14:textId="77777777" w:rsidR="00A544BF" w:rsidRPr="00D65A20" w:rsidRDefault="00A544BF" w:rsidP="00E13A8E">
      <w:pPr>
        <w:jc w:val="center"/>
        <w:rPr>
          <w:rStyle w:val="Heading1Char"/>
          <w:rFonts w:ascii="Times New Roman" w:eastAsia="Calibri" w:hAnsi="Times New Roman"/>
          <w:lang w:val="pt-BR"/>
        </w:rPr>
      </w:pPr>
    </w:p>
    <w:p w14:paraId="6E834E4C" w14:textId="77777777" w:rsidR="00E13A8E" w:rsidRPr="00D65A20" w:rsidRDefault="00E13A8E" w:rsidP="00A544BF">
      <w:pPr>
        <w:pStyle w:val="Heading1"/>
        <w:rPr>
          <w:vertAlign w:val="superscript"/>
          <w:lang w:val="pt-BR"/>
        </w:rPr>
      </w:pPr>
      <w:bookmarkStart w:id="177" w:name="_Toc56526508"/>
      <w:bookmarkStart w:id="178" w:name="_Toc56526718"/>
      <w:r w:rsidRPr="00D65A20">
        <w:rPr>
          <w:lang w:val="pt-BR"/>
        </w:rPr>
        <w:t>RESTAURAÇÃO DAS INSTITUIÇÕES DEMOCRÁTICAS E DO RESPEITO PELOS DIREITOS HUMANOS NA NICARÁGUA POR MEIO DE ELEIÇÕES LIVRES E JUSTAS</w:t>
      </w:r>
      <w:r w:rsidRPr="00D65A20">
        <w:rPr>
          <w:u w:val="single"/>
          <w:vertAlign w:val="superscript"/>
          <w:lang w:val="pt-BR"/>
        </w:rPr>
        <w:footnoteReference w:id="111"/>
      </w:r>
      <w:r w:rsidRPr="00D65A20">
        <w:rPr>
          <w:vertAlign w:val="superscript"/>
          <w:lang w:val="pt-BR"/>
        </w:rPr>
        <w:t>/</w:t>
      </w:r>
      <w:r w:rsidRPr="00D65A20">
        <w:rPr>
          <w:u w:val="single"/>
          <w:vertAlign w:val="superscript"/>
          <w:lang w:val="pt-BR"/>
        </w:rPr>
        <w:footnoteReference w:id="112"/>
      </w:r>
      <w:r w:rsidRPr="00D65A20">
        <w:rPr>
          <w:vertAlign w:val="superscript"/>
          <w:lang w:val="pt-BR"/>
        </w:rPr>
        <w:t>/</w:t>
      </w:r>
      <w:r w:rsidRPr="00D65A20">
        <w:rPr>
          <w:u w:val="single"/>
          <w:vertAlign w:val="superscript"/>
          <w:lang w:val="pt-BR"/>
        </w:rPr>
        <w:footnoteReference w:id="113"/>
      </w:r>
      <w:r w:rsidRPr="00D65A20">
        <w:rPr>
          <w:vertAlign w:val="superscript"/>
          <w:lang w:val="pt-BR"/>
        </w:rPr>
        <w:t>/</w:t>
      </w:r>
      <w:r w:rsidRPr="00D65A20">
        <w:rPr>
          <w:u w:val="single"/>
          <w:vertAlign w:val="superscript"/>
          <w:lang w:val="pt-BR"/>
        </w:rPr>
        <w:footnoteReference w:id="114"/>
      </w:r>
      <w:r w:rsidRPr="00D65A20">
        <w:rPr>
          <w:vertAlign w:val="superscript"/>
          <w:lang w:val="pt-BR"/>
        </w:rPr>
        <w:t>/</w:t>
      </w:r>
      <w:bookmarkEnd w:id="177"/>
      <w:bookmarkEnd w:id="178"/>
      <w:r w:rsidR="00714959" w:rsidRPr="00D65A20">
        <w:rPr>
          <w:rStyle w:val="FootnoteReference"/>
          <w:u w:val="single"/>
          <w:vertAlign w:val="superscript"/>
          <w:lang w:val="pt-BR"/>
        </w:rPr>
        <w:footnoteReference w:id="115"/>
      </w:r>
      <w:r w:rsidR="00714959" w:rsidRPr="00D65A20">
        <w:rPr>
          <w:vertAlign w:val="superscript"/>
          <w:lang w:val="pt-BR"/>
        </w:rPr>
        <w:t>/</w:t>
      </w:r>
    </w:p>
    <w:p w14:paraId="6E834E4D" w14:textId="77777777" w:rsidR="00E13A8E" w:rsidRPr="00D65A20" w:rsidRDefault="00E13A8E" w:rsidP="00E13A8E">
      <w:pPr>
        <w:widowControl/>
        <w:rPr>
          <w:rFonts w:ascii="Times New Roman" w:hAnsi="Times New Roman"/>
          <w:szCs w:val="22"/>
          <w:lang w:val="pt-BR"/>
        </w:rPr>
      </w:pPr>
    </w:p>
    <w:p w14:paraId="6E834E4E" w14:textId="77777777" w:rsidR="00E13A8E" w:rsidRPr="00D65A20" w:rsidRDefault="00E13A8E" w:rsidP="00E13A8E">
      <w:pPr>
        <w:widowControl/>
        <w:jc w:val="center"/>
        <w:rPr>
          <w:rFonts w:ascii="Times New Roman" w:hAnsi="Times New Roman"/>
          <w:szCs w:val="22"/>
          <w:lang w:val="pt-BR"/>
        </w:rPr>
      </w:pPr>
      <w:r w:rsidRPr="00D65A20">
        <w:rPr>
          <w:rFonts w:ascii="Times New Roman" w:hAnsi="Times New Roman"/>
          <w:szCs w:val="22"/>
          <w:lang w:val="pt-BR"/>
        </w:rPr>
        <w:t>(Aprovada na quarta sessão plenária, realizada em 21 de outubro de 2020)</w:t>
      </w:r>
    </w:p>
    <w:p w14:paraId="6E834E4F" w14:textId="77777777" w:rsidR="00E13A8E" w:rsidRPr="00D65A20" w:rsidRDefault="00E13A8E" w:rsidP="00E13A8E">
      <w:pPr>
        <w:widowControl/>
        <w:rPr>
          <w:rFonts w:ascii="Times New Roman" w:hAnsi="Times New Roman"/>
          <w:szCs w:val="22"/>
          <w:lang w:val="pt-BR"/>
        </w:rPr>
      </w:pPr>
    </w:p>
    <w:p w14:paraId="6E834E50" w14:textId="77777777" w:rsidR="00E13A8E" w:rsidRPr="00D65A20" w:rsidRDefault="00E13A8E" w:rsidP="00E13A8E">
      <w:pPr>
        <w:widowControl/>
        <w:rPr>
          <w:rFonts w:ascii="Times New Roman" w:hAnsi="Times New Roman"/>
          <w:szCs w:val="22"/>
          <w:lang w:val="pt-BR"/>
        </w:rPr>
      </w:pPr>
    </w:p>
    <w:p w14:paraId="6E834E51" w14:textId="77777777" w:rsidR="00E13A8E" w:rsidRPr="00D65A20" w:rsidRDefault="00E13A8E" w:rsidP="00E13A8E">
      <w:pPr>
        <w:widowControl/>
        <w:rPr>
          <w:rFonts w:ascii="Times New Roman" w:hAnsi="Times New Roman"/>
          <w:szCs w:val="22"/>
          <w:lang w:val="pt-BR"/>
        </w:rPr>
      </w:pPr>
      <w:r w:rsidRPr="00D65A20">
        <w:rPr>
          <w:rFonts w:ascii="Times New Roman" w:hAnsi="Times New Roman"/>
          <w:szCs w:val="22"/>
          <w:lang w:val="pt-BR"/>
        </w:rPr>
        <w:tab/>
        <w:t>A ASSEMBLEIA GERAL,</w:t>
      </w:r>
    </w:p>
    <w:p w14:paraId="6E834E52" w14:textId="77777777" w:rsidR="00E13A8E" w:rsidRPr="00D65A20" w:rsidRDefault="00E13A8E" w:rsidP="00E13A8E">
      <w:pPr>
        <w:widowControl/>
        <w:rPr>
          <w:rFonts w:ascii="Times New Roman" w:hAnsi="Times New Roman"/>
          <w:szCs w:val="22"/>
          <w:lang w:val="pt-BR"/>
        </w:rPr>
      </w:pPr>
    </w:p>
    <w:p w14:paraId="6E834E53" w14:textId="77777777" w:rsidR="00E13A8E" w:rsidRPr="00D65A20" w:rsidRDefault="00E13A8E" w:rsidP="00E13A8E">
      <w:pPr>
        <w:widowControl/>
        <w:ind w:firstLine="720"/>
        <w:rPr>
          <w:rFonts w:ascii="Times New Roman" w:hAnsi="Times New Roman"/>
          <w:szCs w:val="22"/>
          <w:lang w:val="pt-BR"/>
        </w:rPr>
      </w:pPr>
      <w:r w:rsidRPr="00D65A20">
        <w:rPr>
          <w:rFonts w:ascii="Times New Roman" w:hAnsi="Times New Roman"/>
          <w:szCs w:val="22"/>
          <w:lang w:val="pt-BR"/>
        </w:rPr>
        <w:t>RECORDANDO a resolução AG/RES. 2943 (XLIX-O/19) da Assembleia Geral sobre “A situação na Nicarágua”, em que os Estados membros reiteraram “a preocupação da comunidade interamericana com a deterioração das instituições democráticas e dos direitos humanos na Nicarágua bem como seu apoio a uma solução pacífica para a crise política que vem afetando esse país há mais de um ano”;</w:t>
      </w:r>
    </w:p>
    <w:p w14:paraId="6E834E54" w14:textId="77777777" w:rsidR="00E13A8E" w:rsidRPr="00D65A20" w:rsidRDefault="00E13A8E" w:rsidP="00E13A8E">
      <w:pPr>
        <w:widowControl/>
        <w:rPr>
          <w:rFonts w:ascii="Times New Roman" w:hAnsi="Times New Roman"/>
          <w:szCs w:val="22"/>
          <w:lang w:val="pt-BR"/>
        </w:rPr>
      </w:pPr>
    </w:p>
    <w:p w14:paraId="6E834E55" w14:textId="77777777" w:rsidR="00E13A8E" w:rsidRPr="00D65A20" w:rsidRDefault="00E13A8E" w:rsidP="00E13A8E">
      <w:pPr>
        <w:widowControl/>
        <w:ind w:firstLine="720"/>
        <w:rPr>
          <w:rFonts w:ascii="Times New Roman" w:hAnsi="Times New Roman"/>
          <w:szCs w:val="22"/>
          <w:lang w:val="pt-BR"/>
        </w:rPr>
      </w:pPr>
      <w:r w:rsidRPr="00D65A20">
        <w:rPr>
          <w:rFonts w:ascii="Times New Roman" w:hAnsi="Times New Roman"/>
          <w:szCs w:val="22"/>
          <w:lang w:val="pt-BR"/>
        </w:rPr>
        <w:t>REAFIRMANDO o artigo 1º da Carta Democrática Interamericana, segundo o qual “[o]s povos das Américas têm direito à democracia</w:t>
      </w:r>
      <w:r w:rsidR="00EE4117" w:rsidRPr="00D65A20">
        <w:rPr>
          <w:rFonts w:ascii="Times New Roman" w:hAnsi="Times New Roman"/>
          <w:szCs w:val="22"/>
          <w:lang w:val="pt-BR"/>
        </w:rPr>
        <w:t>,</w:t>
      </w:r>
      <w:r w:rsidRPr="00D65A20">
        <w:rPr>
          <w:rFonts w:ascii="Times New Roman" w:hAnsi="Times New Roman"/>
          <w:szCs w:val="22"/>
          <w:lang w:val="pt-BR"/>
        </w:rPr>
        <w:t xml:space="preserve"> e seus governos têm a obrigação de promovê-la e defendê-la”;</w:t>
      </w:r>
    </w:p>
    <w:p w14:paraId="6E834E56" w14:textId="77777777" w:rsidR="00E13A8E" w:rsidRPr="00D65A20" w:rsidRDefault="00E13A8E" w:rsidP="00E13A8E">
      <w:pPr>
        <w:widowControl/>
        <w:rPr>
          <w:rFonts w:ascii="Times New Roman" w:hAnsi="Times New Roman"/>
          <w:szCs w:val="22"/>
          <w:lang w:val="pt-BR"/>
        </w:rPr>
      </w:pPr>
    </w:p>
    <w:p w14:paraId="6E834E57" w14:textId="77777777" w:rsidR="00E13A8E" w:rsidRPr="00D65A20" w:rsidRDefault="00E13A8E" w:rsidP="00E13A8E">
      <w:pPr>
        <w:widowControl/>
        <w:ind w:firstLine="720"/>
        <w:rPr>
          <w:rFonts w:ascii="Times New Roman" w:hAnsi="Times New Roman"/>
          <w:szCs w:val="22"/>
          <w:lang w:val="pt-BR"/>
        </w:rPr>
      </w:pPr>
      <w:r w:rsidRPr="00D65A20">
        <w:rPr>
          <w:rFonts w:ascii="Times New Roman" w:hAnsi="Times New Roman"/>
          <w:szCs w:val="22"/>
          <w:lang w:val="pt-BR"/>
        </w:rPr>
        <w:t>RECORDANDO que o artigo 2</w:t>
      </w:r>
      <w:r w:rsidRPr="00D65A20">
        <w:rPr>
          <w:rFonts w:ascii="Times New Roman" w:hAnsi="Times New Roman"/>
          <w:szCs w:val="22"/>
          <w:vertAlign w:val="superscript"/>
          <w:lang w:val="pt-BR"/>
        </w:rPr>
        <w:t>o</w:t>
      </w:r>
      <w:r w:rsidRPr="00D65A20">
        <w:rPr>
          <w:rFonts w:ascii="Times New Roman" w:hAnsi="Times New Roman"/>
          <w:szCs w:val="22"/>
          <w:lang w:val="pt-BR"/>
        </w:rPr>
        <w:t xml:space="preserve"> da Carta Democrática Interamericana estabelece que “[o] exercício efetivo da democracia representativa é a base do Estado de Direito e dos regimes constitucionais dos Estados membros da Organização dos Estados Americanos”;</w:t>
      </w:r>
    </w:p>
    <w:p w14:paraId="6E834E58" w14:textId="77777777" w:rsidR="00E13A8E" w:rsidRPr="00D65A20" w:rsidRDefault="00E13A8E" w:rsidP="00E13A8E">
      <w:pPr>
        <w:widowControl/>
        <w:rPr>
          <w:rFonts w:ascii="Times New Roman" w:hAnsi="Times New Roman"/>
          <w:szCs w:val="22"/>
          <w:lang w:val="pt-BR"/>
        </w:rPr>
      </w:pPr>
    </w:p>
    <w:p w14:paraId="6E834E59" w14:textId="77777777" w:rsidR="00E13A8E" w:rsidRPr="00D65A20" w:rsidRDefault="00E13A8E" w:rsidP="00E13A8E">
      <w:pPr>
        <w:widowControl/>
        <w:ind w:firstLine="720"/>
        <w:rPr>
          <w:rFonts w:ascii="Times New Roman" w:hAnsi="Times New Roman"/>
          <w:szCs w:val="22"/>
          <w:lang w:val="pt-BR"/>
        </w:rPr>
      </w:pPr>
      <w:r w:rsidRPr="00D65A20">
        <w:rPr>
          <w:rFonts w:ascii="Times New Roman" w:hAnsi="Times New Roman"/>
          <w:szCs w:val="22"/>
          <w:lang w:val="pt-BR"/>
        </w:rPr>
        <w:t>CONSIDERANDO os artigos 3</w:t>
      </w:r>
      <w:r w:rsidRPr="00D65A20">
        <w:rPr>
          <w:rFonts w:ascii="Times New Roman" w:hAnsi="Times New Roman"/>
          <w:szCs w:val="22"/>
          <w:vertAlign w:val="superscript"/>
          <w:lang w:val="pt-BR"/>
        </w:rPr>
        <w:t>o</w:t>
      </w:r>
      <w:r w:rsidRPr="00D65A20">
        <w:rPr>
          <w:rFonts w:ascii="Times New Roman" w:hAnsi="Times New Roman"/>
          <w:szCs w:val="22"/>
          <w:lang w:val="pt-BR"/>
        </w:rPr>
        <w:t xml:space="preserve"> a 6</w:t>
      </w:r>
      <w:r w:rsidRPr="00D65A20">
        <w:rPr>
          <w:rFonts w:ascii="Times New Roman" w:hAnsi="Times New Roman"/>
          <w:szCs w:val="22"/>
          <w:vertAlign w:val="superscript"/>
          <w:lang w:val="pt-BR"/>
        </w:rPr>
        <w:t>o</w:t>
      </w:r>
      <w:r w:rsidRPr="00D65A20">
        <w:rPr>
          <w:rFonts w:ascii="Times New Roman" w:hAnsi="Times New Roman"/>
          <w:szCs w:val="22"/>
          <w:lang w:val="pt-BR"/>
        </w:rPr>
        <w:t xml:space="preserve"> da Carta Democrática Interamericana, que nomeiam os elementos essenciais da democracia representativa que os Estados se comprometem a promover e defender, como, entre outros, o respeito aos direitos humanos e às liberdades fundamentais, o acesso ao poder e seu exercício com sujeição ao Estado de Direito, a realização de eleições periódicas, livres, justas e baseadas no sufrágio universal e secreto como expressão da soberania do povo, o regime pluralista de partidos e organizações políticas, a separação e independência dos poderes públicos; e que refletem que a liberdade de expressão e de imprensa é componente essencial do exercício da democracia;</w:t>
      </w:r>
    </w:p>
    <w:p w14:paraId="6E834E5A" w14:textId="77777777" w:rsidR="00E13A8E" w:rsidRPr="00D65A20" w:rsidRDefault="00E13A8E" w:rsidP="00E13A8E">
      <w:pPr>
        <w:widowControl/>
        <w:rPr>
          <w:rFonts w:ascii="Times New Roman" w:hAnsi="Times New Roman"/>
          <w:szCs w:val="22"/>
          <w:lang w:val="pt-BR"/>
        </w:rPr>
      </w:pPr>
    </w:p>
    <w:p w14:paraId="6E834E5B" w14:textId="77777777" w:rsidR="00E13A8E" w:rsidRPr="00D65A20" w:rsidRDefault="00E13A8E" w:rsidP="00E13A8E">
      <w:pPr>
        <w:widowControl/>
        <w:ind w:firstLine="720"/>
        <w:rPr>
          <w:rFonts w:ascii="Times New Roman" w:hAnsi="Times New Roman"/>
          <w:szCs w:val="22"/>
          <w:lang w:val="pt-BR"/>
        </w:rPr>
      </w:pPr>
      <w:r w:rsidRPr="00D65A20">
        <w:rPr>
          <w:rFonts w:ascii="Times New Roman" w:hAnsi="Times New Roman"/>
          <w:szCs w:val="22"/>
          <w:shd w:val="clear" w:color="auto" w:fill="FFFFFF"/>
          <w:lang w:val="pt-BR"/>
        </w:rPr>
        <w:t>REITERANDO COM PR</w:t>
      </w:r>
      <w:r w:rsidRPr="00D65A20">
        <w:rPr>
          <w:rFonts w:ascii="Times New Roman" w:hAnsi="Times New Roman"/>
          <w:szCs w:val="22"/>
          <w:lang w:val="pt-BR"/>
        </w:rPr>
        <w:t xml:space="preserve">EOCUPAÇÃO que o Governo da Nicarágua não implementou uma série de medidas acordadas, como a libertação devidamente monitorada e confirmada de todos os presos políticos; não permitiu o trabalho efetivo da Comissão Interamericana de Direitos Humanos (CIDH) e de seus mecanismos na Nicarágua, como o </w:t>
      </w:r>
      <w:r w:rsidR="00EE4117" w:rsidRPr="00D65A20">
        <w:rPr>
          <w:rFonts w:ascii="Times New Roman" w:hAnsi="Times New Roman"/>
          <w:szCs w:val="22"/>
          <w:lang w:val="pt-BR"/>
        </w:rPr>
        <w:t xml:space="preserve">Mecanismo Especial de Acompanhamento para </w:t>
      </w:r>
      <w:r w:rsidR="00EE4117" w:rsidRPr="00D65A20">
        <w:rPr>
          <w:rFonts w:ascii="Times New Roman" w:hAnsi="Times New Roman"/>
          <w:szCs w:val="22"/>
          <w:lang w:val="pt-BR"/>
        </w:rPr>
        <w:lastRenderedPageBreak/>
        <w:t>a Nicarágua (</w:t>
      </w:r>
      <w:r w:rsidRPr="00D65A20">
        <w:rPr>
          <w:rFonts w:ascii="Times New Roman" w:hAnsi="Times New Roman"/>
          <w:szCs w:val="22"/>
          <w:lang w:val="pt-BR"/>
        </w:rPr>
        <w:t>MESENI</w:t>
      </w:r>
      <w:r w:rsidR="00EE4117" w:rsidRPr="00D65A20">
        <w:rPr>
          <w:rFonts w:ascii="Times New Roman" w:hAnsi="Times New Roman"/>
          <w:szCs w:val="22"/>
          <w:lang w:val="pt-BR"/>
        </w:rPr>
        <w:t>)</w:t>
      </w:r>
      <w:r w:rsidRPr="00D65A20">
        <w:rPr>
          <w:rFonts w:ascii="Times New Roman" w:hAnsi="Times New Roman"/>
          <w:szCs w:val="22"/>
          <w:lang w:val="pt-BR"/>
        </w:rPr>
        <w:t>; e não garantiu a liberdade de expressão, inclusive para a imprensa, nem o exercício do direito de reunião pacífica;</w:t>
      </w:r>
    </w:p>
    <w:p w14:paraId="6E834E5C" w14:textId="77777777" w:rsidR="00E13A8E" w:rsidRPr="00D65A20" w:rsidRDefault="00E13A8E" w:rsidP="00E13A8E">
      <w:pPr>
        <w:widowControl/>
        <w:rPr>
          <w:rFonts w:ascii="Times New Roman" w:hAnsi="Times New Roman"/>
          <w:szCs w:val="22"/>
          <w:lang w:val="pt-BR"/>
        </w:rPr>
      </w:pPr>
    </w:p>
    <w:p w14:paraId="6E834E5D" w14:textId="65994B2D" w:rsidR="00E13A8E" w:rsidRPr="00D65A20" w:rsidRDefault="00E13A8E" w:rsidP="00E13A8E">
      <w:pPr>
        <w:widowControl/>
        <w:ind w:firstLine="720"/>
        <w:rPr>
          <w:rFonts w:ascii="Times New Roman" w:hAnsi="Times New Roman"/>
          <w:b/>
          <w:bCs/>
          <w:szCs w:val="22"/>
          <w:lang w:val="pt-BR"/>
        </w:rPr>
      </w:pPr>
      <w:r w:rsidRPr="00D65A20">
        <w:rPr>
          <w:rFonts w:ascii="Times New Roman" w:hAnsi="Times New Roman"/>
          <w:szCs w:val="22"/>
          <w:lang w:val="pt-BR"/>
        </w:rPr>
        <w:t>EXPRESSANDO GRAVE PREOCUPAÇÃO de que a detenção arbitrária não cessou; que as forças policiais auxiliares e milícias armadas do partido do governo, que continuaram com seus abusos e ações ilegais, não foram desmanteladas, como solicitado pela CIDH; que o trabalho independente de organizações e defensores de direitos humanos não foi protegido; e que o retorno e a permanência em segurança de todas as pessoas que foram forçadas a deixar a Nicarágua não foram permitidos</w:t>
      </w:r>
      <w:r w:rsidR="00EE4117" w:rsidRPr="00D65A20">
        <w:rPr>
          <w:rFonts w:ascii="Times New Roman" w:hAnsi="Times New Roman"/>
          <w:szCs w:val="22"/>
          <w:lang w:val="pt-BR"/>
        </w:rPr>
        <w:t>;</w:t>
      </w:r>
    </w:p>
    <w:p w14:paraId="6E834E5E" w14:textId="77777777" w:rsidR="00E13A8E" w:rsidRPr="00D65A20" w:rsidRDefault="00E13A8E" w:rsidP="00E13A8E">
      <w:pPr>
        <w:widowControl/>
        <w:rPr>
          <w:rFonts w:ascii="Times New Roman" w:hAnsi="Times New Roman"/>
          <w:b/>
          <w:bCs/>
          <w:szCs w:val="22"/>
          <w:lang w:val="pt-BR"/>
        </w:rPr>
      </w:pPr>
    </w:p>
    <w:p w14:paraId="6E834E5F" w14:textId="44E5EA71" w:rsidR="00E13A8E" w:rsidRPr="00D65A20" w:rsidRDefault="00E13A8E" w:rsidP="00E13A8E">
      <w:pPr>
        <w:widowControl/>
        <w:ind w:firstLine="720"/>
        <w:rPr>
          <w:rFonts w:ascii="Times New Roman" w:hAnsi="Times New Roman"/>
          <w:szCs w:val="22"/>
          <w:lang w:val="pt-BR"/>
        </w:rPr>
      </w:pPr>
      <w:r w:rsidRPr="00D65A20">
        <w:rPr>
          <w:rFonts w:ascii="Times New Roman" w:hAnsi="Times New Roman"/>
          <w:szCs w:val="22"/>
          <w:lang w:val="pt-BR"/>
        </w:rPr>
        <w:t xml:space="preserve">NOTANDO COM ALARME a preocupante tendência de utilizar a legislação </w:t>
      </w:r>
      <w:r w:rsidR="00EE4117" w:rsidRPr="00D65A20">
        <w:rPr>
          <w:rFonts w:ascii="Times New Roman" w:hAnsi="Times New Roman"/>
          <w:szCs w:val="22"/>
          <w:lang w:val="pt-BR"/>
        </w:rPr>
        <w:t xml:space="preserve">a fim de </w:t>
      </w:r>
      <w:r w:rsidRPr="00D65A20">
        <w:rPr>
          <w:rFonts w:ascii="Times New Roman" w:hAnsi="Times New Roman"/>
          <w:szCs w:val="22"/>
          <w:lang w:val="pt-BR"/>
        </w:rPr>
        <w:t>intimidar e/ou ameaçar membros de grupos pró-democracia e da mídia independente na Nicarágua, como a introdução da “lei de agentes estrangeiros”, outra propondo penas de prisão perpétua por “crimes de ódio” definidos de maneira ampla, e uma terceira punindo a disseminação das chamadas notícias falsas nas redes sociais com até quatro anos de prisão. Esses projetos de lei, segundo a CIDH, minam o exercício do protesto social e a liberdade de expressão, bem como o direito de participar dos assuntos públicos e o direito de associação.</w:t>
      </w:r>
    </w:p>
    <w:p w14:paraId="6E834E60" w14:textId="77777777" w:rsidR="00E13A8E" w:rsidRPr="00D65A20" w:rsidRDefault="00E13A8E" w:rsidP="00E13A8E">
      <w:pPr>
        <w:widowControl/>
        <w:rPr>
          <w:rFonts w:ascii="Times New Roman" w:hAnsi="Times New Roman"/>
          <w:szCs w:val="22"/>
          <w:lang w:val="pt-BR"/>
        </w:rPr>
      </w:pPr>
    </w:p>
    <w:p w14:paraId="6E834E61" w14:textId="77777777" w:rsidR="00E13A8E" w:rsidRPr="00D65A20" w:rsidRDefault="00E13A8E" w:rsidP="00E13A8E">
      <w:pPr>
        <w:widowControl/>
        <w:ind w:firstLine="720"/>
        <w:rPr>
          <w:rFonts w:ascii="Times New Roman" w:hAnsi="Times New Roman"/>
          <w:szCs w:val="22"/>
          <w:lang w:val="pt-BR"/>
        </w:rPr>
      </w:pPr>
      <w:r w:rsidRPr="00D65A20">
        <w:rPr>
          <w:rFonts w:ascii="Times New Roman" w:hAnsi="Times New Roman"/>
          <w:szCs w:val="22"/>
          <w:lang w:val="pt-BR"/>
        </w:rPr>
        <w:t>LEVANDO EM CONTA que a resolução IJC/RES.159 (LXXV-O/09) da Comissão Jurídica Interamericana declarou que “a democracia não consiste apenas em processos eleitorais, mas também no legítimo exercício do poder, no âmbito do Estado de Direito, que inclui o respeito aos elementos, componentes e atributos essenciais da democracia”;</w:t>
      </w:r>
    </w:p>
    <w:p w14:paraId="6E834E62" w14:textId="77777777" w:rsidR="00E13A8E" w:rsidRPr="00D65A20" w:rsidRDefault="00E13A8E" w:rsidP="00E13A8E">
      <w:pPr>
        <w:widowControl/>
        <w:rPr>
          <w:rFonts w:ascii="Times New Roman" w:hAnsi="Times New Roman"/>
          <w:szCs w:val="22"/>
          <w:lang w:val="pt-BR"/>
        </w:rPr>
      </w:pPr>
    </w:p>
    <w:p w14:paraId="6E834E63" w14:textId="77777777" w:rsidR="00E13A8E" w:rsidRPr="00D65A20" w:rsidRDefault="00E13A8E" w:rsidP="00E13A8E">
      <w:pPr>
        <w:widowControl/>
        <w:ind w:firstLine="720"/>
        <w:rPr>
          <w:rFonts w:ascii="Times New Roman" w:hAnsi="Times New Roman"/>
          <w:b/>
          <w:szCs w:val="22"/>
          <w:lang w:val="pt-BR"/>
        </w:rPr>
      </w:pPr>
      <w:r w:rsidRPr="00D65A20">
        <w:rPr>
          <w:rFonts w:ascii="Times New Roman" w:hAnsi="Times New Roman"/>
          <w:szCs w:val="22"/>
          <w:lang w:val="pt-BR"/>
        </w:rPr>
        <w:t>ACOLHENDO COM SATISFAÇÃO os esforços do Grupo de Trabalho da OEA sobre a Nicarágua e</w:t>
      </w:r>
      <w:r w:rsidRPr="00D65A20">
        <w:rPr>
          <w:rFonts w:ascii="Times New Roman" w:hAnsi="Times New Roman"/>
          <w:color w:val="FF0000"/>
          <w:szCs w:val="22"/>
          <w:lang w:val="pt-BR"/>
        </w:rPr>
        <w:t xml:space="preserve"> </w:t>
      </w:r>
      <w:r w:rsidRPr="00D65A20">
        <w:rPr>
          <w:rFonts w:ascii="Times New Roman" w:hAnsi="Times New Roman"/>
          <w:szCs w:val="22"/>
          <w:lang w:val="pt-BR"/>
        </w:rPr>
        <w:t>da Comissão de Alto Nível sobre a Nicarágua, e expressando sua preocupação com a recusa do Governo da Nicarágua em se envolver nesses mecanismos;</w:t>
      </w:r>
    </w:p>
    <w:p w14:paraId="6E834E64" w14:textId="77777777" w:rsidR="00E13A8E" w:rsidRPr="00D65A20" w:rsidRDefault="00E13A8E" w:rsidP="00E13A8E">
      <w:pPr>
        <w:widowControl/>
        <w:rPr>
          <w:rFonts w:ascii="Times New Roman" w:hAnsi="Times New Roman"/>
          <w:szCs w:val="22"/>
          <w:lang w:val="pt-BR"/>
        </w:rPr>
      </w:pPr>
    </w:p>
    <w:p w14:paraId="6E834E65" w14:textId="22906180" w:rsidR="00E13A8E" w:rsidRPr="00D65A20" w:rsidRDefault="00E13A8E" w:rsidP="00E13A8E">
      <w:pPr>
        <w:widowControl/>
        <w:ind w:firstLine="720"/>
        <w:rPr>
          <w:rFonts w:ascii="Times New Roman" w:hAnsi="Times New Roman"/>
          <w:szCs w:val="22"/>
          <w:lang w:val="pt-BR"/>
        </w:rPr>
      </w:pPr>
      <w:r w:rsidRPr="00D65A20">
        <w:rPr>
          <w:rFonts w:ascii="Times New Roman" w:hAnsi="Times New Roman"/>
          <w:szCs w:val="22"/>
          <w:lang w:val="pt-BR"/>
        </w:rPr>
        <w:t>TOMANDO NOTA das conclusões do relatório apresentado pelo Secretário-Geral ao Conselho Permanente em 24 de junho de 2020 (CP/INF.8682/20);</w:t>
      </w:r>
    </w:p>
    <w:p w14:paraId="6E834E66" w14:textId="77777777" w:rsidR="00E13A8E" w:rsidRPr="00D65A20" w:rsidRDefault="00E13A8E" w:rsidP="00E13A8E">
      <w:pPr>
        <w:widowControl/>
        <w:rPr>
          <w:rFonts w:ascii="Times New Roman" w:hAnsi="Times New Roman"/>
          <w:szCs w:val="22"/>
          <w:lang w:val="pt-BR"/>
        </w:rPr>
      </w:pPr>
    </w:p>
    <w:p w14:paraId="6E834E67" w14:textId="77777777" w:rsidR="00E13A8E" w:rsidRPr="00D65A20" w:rsidRDefault="00E13A8E" w:rsidP="00E13A8E">
      <w:pPr>
        <w:widowControl/>
        <w:rPr>
          <w:rFonts w:ascii="Times New Roman" w:hAnsi="Times New Roman"/>
          <w:szCs w:val="22"/>
          <w:lang w:val="pt-BR"/>
        </w:rPr>
      </w:pPr>
      <w:r w:rsidRPr="00D65A20">
        <w:rPr>
          <w:rFonts w:ascii="Times New Roman" w:hAnsi="Times New Roman"/>
          <w:szCs w:val="22"/>
          <w:lang w:val="pt-BR"/>
        </w:rPr>
        <w:t>RESOLVE:</w:t>
      </w:r>
    </w:p>
    <w:p w14:paraId="6E834E68" w14:textId="77777777" w:rsidR="00E13A8E" w:rsidRPr="00D65A20" w:rsidRDefault="00E13A8E" w:rsidP="00E13A8E">
      <w:pPr>
        <w:widowControl/>
        <w:rPr>
          <w:rFonts w:ascii="Times New Roman" w:hAnsi="Times New Roman"/>
          <w:szCs w:val="22"/>
          <w:lang w:val="pt-BR"/>
        </w:rPr>
      </w:pPr>
      <w:bookmarkStart w:id="179" w:name="_Hlk23856177"/>
      <w:bookmarkEnd w:id="179"/>
    </w:p>
    <w:p w14:paraId="6E834E69" w14:textId="77777777" w:rsidR="00E13A8E" w:rsidRPr="00D65A20" w:rsidRDefault="00E13A8E" w:rsidP="00E13A8E">
      <w:pPr>
        <w:widowControl/>
        <w:ind w:firstLine="709"/>
        <w:rPr>
          <w:rFonts w:ascii="Times New Roman" w:hAnsi="Times New Roman"/>
          <w:b/>
          <w:szCs w:val="22"/>
          <w:lang w:val="pt-BR"/>
        </w:rPr>
      </w:pPr>
      <w:r w:rsidRPr="00D65A20">
        <w:rPr>
          <w:rFonts w:ascii="Times New Roman" w:hAnsi="Times New Roman"/>
          <w:szCs w:val="22"/>
          <w:lang w:val="pt-BR"/>
        </w:rPr>
        <w:t>1.</w:t>
      </w:r>
      <w:r w:rsidRPr="00D65A20">
        <w:rPr>
          <w:rFonts w:ascii="Times New Roman" w:hAnsi="Times New Roman"/>
          <w:szCs w:val="22"/>
          <w:lang w:val="pt-BR"/>
        </w:rPr>
        <w:tab/>
        <w:t>Reiterar a preocupação da comunidade interamericana com a deterioração das instituições democráticas e instar o Governo da Nicarágua a que respeite plenamente a ordem constitucional, os direitos humanos e as liberdades fundamentais e realize eleições presidenciais e legislativas nacionais livres e justas na Nicarágua, em cumprimento a seus compromissos e deveres fundamentais, tal como articulados na Carta Democrática Interamericana.</w:t>
      </w:r>
    </w:p>
    <w:p w14:paraId="6E834E6A" w14:textId="77777777" w:rsidR="00E13A8E" w:rsidRPr="00D65A20" w:rsidRDefault="00E13A8E" w:rsidP="00E13A8E">
      <w:pPr>
        <w:widowControl/>
        <w:rPr>
          <w:rFonts w:ascii="Times New Roman" w:hAnsi="Times New Roman"/>
          <w:b/>
          <w:szCs w:val="22"/>
          <w:lang w:val="pt-BR"/>
        </w:rPr>
      </w:pPr>
    </w:p>
    <w:p w14:paraId="6E834E6B" w14:textId="77777777" w:rsidR="00E13A8E" w:rsidRPr="00D65A20" w:rsidRDefault="00E13A8E" w:rsidP="00E13A8E">
      <w:pPr>
        <w:widowControl/>
        <w:ind w:firstLine="720"/>
        <w:rPr>
          <w:rFonts w:ascii="Times New Roman" w:hAnsi="Times New Roman"/>
          <w:b/>
          <w:szCs w:val="22"/>
          <w:lang w:val="pt-BR"/>
        </w:rPr>
      </w:pPr>
      <w:r w:rsidRPr="00D65A20">
        <w:rPr>
          <w:rFonts w:ascii="Times New Roman" w:hAnsi="Times New Roman"/>
          <w:szCs w:val="22"/>
          <w:lang w:val="pt-BR"/>
        </w:rPr>
        <w:t>2.</w:t>
      </w:r>
      <w:r w:rsidRPr="00D65A20">
        <w:rPr>
          <w:rFonts w:ascii="Times New Roman" w:hAnsi="Times New Roman"/>
          <w:szCs w:val="22"/>
          <w:lang w:val="pt-BR"/>
        </w:rPr>
        <w:tab/>
        <w:t>Instar o Governo da Nicarágua a que aceite a mobilização ampla e efetiva de missões de observação eleitoral, compostas por observadores internacionais acreditados independentes, no processo eleitoral nicaraguense.</w:t>
      </w:r>
    </w:p>
    <w:p w14:paraId="6E834E6C" w14:textId="77777777" w:rsidR="00E13A8E" w:rsidRPr="00D65A20" w:rsidRDefault="00E13A8E" w:rsidP="00E13A8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iCs/>
          <w:szCs w:val="22"/>
          <w:lang w:val="pt-BR"/>
        </w:rPr>
      </w:pPr>
    </w:p>
    <w:p w14:paraId="6E834E6D" w14:textId="435FDCDF" w:rsidR="00E13A8E" w:rsidRPr="00D65A20" w:rsidRDefault="00E13A8E" w:rsidP="00E13A8E">
      <w:pPr>
        <w:widowControl/>
        <w:rPr>
          <w:rFonts w:ascii="Times New Roman" w:hAnsi="Times New Roman"/>
          <w:b/>
          <w:bCs/>
          <w:szCs w:val="22"/>
          <w:lang w:val="pt-BR"/>
        </w:rPr>
      </w:pPr>
      <w:r w:rsidRPr="00D65A20">
        <w:rPr>
          <w:rFonts w:ascii="Times New Roman" w:hAnsi="Times New Roman"/>
          <w:szCs w:val="22"/>
          <w:lang w:val="pt-BR"/>
        </w:rPr>
        <w:tab/>
        <w:t>3.</w:t>
      </w:r>
      <w:r w:rsidRPr="00D65A20">
        <w:rPr>
          <w:rFonts w:ascii="Times New Roman" w:hAnsi="Times New Roman"/>
          <w:szCs w:val="22"/>
          <w:lang w:val="pt-BR"/>
        </w:rPr>
        <w:tab/>
        <w:t>Solicitar à Secretaria-Geral o apoio a negociações inclusivas e oportunas entre o Governo da Nicarágua e os atores nacionais representantes da oposição nicaraguense sobre medidas importantes de reforma eleitoral compatíveis com as normas internacionais aplicáveis, e a prestação de assistência técnica na implementação dessas medidas, a fim de promover eleições livres e justas. É essencial/crítico que essas medidas contemplem, entre outros elementos:</w:t>
      </w:r>
    </w:p>
    <w:p w14:paraId="6E834E6E" w14:textId="77777777" w:rsidR="00E13A8E" w:rsidRPr="00D65A20" w:rsidRDefault="00E13A8E" w:rsidP="00E13A8E">
      <w:pPr>
        <w:widowControl/>
        <w:rPr>
          <w:rFonts w:ascii="Times New Roman" w:hAnsi="Times New Roman"/>
          <w:szCs w:val="22"/>
          <w:lang w:val="pt-BR"/>
        </w:rPr>
      </w:pPr>
    </w:p>
    <w:p w14:paraId="6E834E6F" w14:textId="4FA93F76" w:rsidR="00E13A8E" w:rsidRPr="00D65A20" w:rsidRDefault="00E13A8E" w:rsidP="00E13A8E">
      <w:pPr>
        <w:widowControl/>
        <w:tabs>
          <w:tab w:val="clear" w:pos="720"/>
        </w:tabs>
        <w:ind w:left="1440" w:hanging="720"/>
        <w:rPr>
          <w:rFonts w:ascii="Times New Roman" w:hAnsi="Times New Roman"/>
          <w:szCs w:val="22"/>
          <w:lang w:val="pt-BR"/>
        </w:rPr>
      </w:pPr>
      <w:r w:rsidRPr="00D65A20">
        <w:rPr>
          <w:rFonts w:ascii="Times New Roman" w:hAnsi="Times New Roman"/>
          <w:szCs w:val="22"/>
          <w:lang w:val="pt-BR"/>
        </w:rPr>
        <w:lastRenderedPageBreak/>
        <w:t xml:space="preserve">a) </w:t>
      </w:r>
      <w:r w:rsidRPr="00D65A20">
        <w:rPr>
          <w:rFonts w:ascii="Times New Roman" w:hAnsi="Times New Roman"/>
          <w:szCs w:val="22"/>
          <w:lang w:val="pt-BR"/>
        </w:rPr>
        <w:tab/>
        <w:t>a modernização e a reestruturação do Conselho Supremo Eleitoral, a fim de garantir que funcione de forma totalmente independente, transparente e responsável;</w:t>
      </w:r>
    </w:p>
    <w:p w14:paraId="6E834E70" w14:textId="77777777" w:rsidR="00E13A8E" w:rsidRPr="00D65A20" w:rsidRDefault="00E13A8E" w:rsidP="00E13A8E">
      <w:pPr>
        <w:widowControl/>
        <w:tabs>
          <w:tab w:val="clear" w:pos="720"/>
        </w:tabs>
        <w:ind w:left="1440" w:hanging="720"/>
        <w:rPr>
          <w:rFonts w:ascii="Times New Roman" w:hAnsi="Times New Roman"/>
          <w:szCs w:val="22"/>
          <w:lang w:val="pt-BR"/>
        </w:rPr>
      </w:pPr>
      <w:r w:rsidRPr="00D65A20">
        <w:rPr>
          <w:rFonts w:ascii="Times New Roman" w:hAnsi="Times New Roman"/>
          <w:szCs w:val="22"/>
          <w:lang w:val="pt-BR"/>
        </w:rPr>
        <w:t>b)</w:t>
      </w:r>
      <w:r w:rsidRPr="00D65A20">
        <w:rPr>
          <w:rFonts w:ascii="Times New Roman" w:hAnsi="Times New Roman"/>
          <w:szCs w:val="22"/>
          <w:lang w:val="pt-BR"/>
        </w:rPr>
        <w:tab/>
        <w:t>um processo político pluralista que conduza ao exercício efetivo dos direitos civis e políticos, incluindo os direitos de reunião pacífica e de liberdade de expressão, e o registro aberto de novos partidos políticos;</w:t>
      </w:r>
    </w:p>
    <w:p w14:paraId="6E834E71" w14:textId="77777777" w:rsidR="00E13A8E" w:rsidRPr="00D65A20" w:rsidRDefault="00E13A8E" w:rsidP="00E13A8E">
      <w:pPr>
        <w:widowControl/>
        <w:tabs>
          <w:tab w:val="clear" w:pos="720"/>
        </w:tabs>
        <w:ind w:left="1440" w:hanging="720"/>
        <w:rPr>
          <w:rFonts w:ascii="Times New Roman" w:hAnsi="Times New Roman"/>
          <w:szCs w:val="22"/>
          <w:lang w:val="pt-BR"/>
        </w:rPr>
      </w:pPr>
      <w:r w:rsidRPr="00D65A20">
        <w:rPr>
          <w:rFonts w:ascii="Times New Roman" w:hAnsi="Times New Roman"/>
          <w:szCs w:val="22"/>
          <w:lang w:val="pt-BR"/>
        </w:rPr>
        <w:t xml:space="preserve">c) </w:t>
      </w:r>
      <w:r w:rsidRPr="00D65A20">
        <w:rPr>
          <w:rFonts w:ascii="Times New Roman" w:hAnsi="Times New Roman"/>
          <w:szCs w:val="22"/>
          <w:lang w:val="pt-BR"/>
        </w:rPr>
        <w:tab/>
        <w:t>revisão técnica independente e atualização dos registros de votação e auditoria independente dos cadastros de eleitores;</w:t>
      </w:r>
    </w:p>
    <w:p w14:paraId="6E834E72" w14:textId="77777777" w:rsidR="00E13A8E" w:rsidRPr="00D65A20" w:rsidRDefault="00E13A8E" w:rsidP="00E13A8E">
      <w:pPr>
        <w:widowControl/>
        <w:tabs>
          <w:tab w:val="clear" w:pos="720"/>
        </w:tabs>
        <w:ind w:left="1440" w:hanging="720"/>
        <w:rPr>
          <w:rFonts w:ascii="Times New Roman" w:hAnsi="Times New Roman"/>
          <w:szCs w:val="22"/>
          <w:lang w:val="pt-BR"/>
        </w:rPr>
      </w:pPr>
      <w:r w:rsidRPr="00D65A20">
        <w:rPr>
          <w:rFonts w:ascii="Times New Roman" w:hAnsi="Times New Roman"/>
          <w:szCs w:val="22"/>
          <w:lang w:val="pt-BR"/>
        </w:rPr>
        <w:t>d)</w:t>
      </w:r>
      <w:r w:rsidRPr="00D65A20">
        <w:rPr>
          <w:rFonts w:ascii="Times New Roman" w:hAnsi="Times New Roman"/>
          <w:szCs w:val="22"/>
          <w:lang w:val="pt-BR"/>
        </w:rPr>
        <w:tab/>
        <w:t>observação eleitoral internacional independente, credível e acreditada;</w:t>
      </w:r>
    </w:p>
    <w:p w14:paraId="6E834E73" w14:textId="77777777" w:rsidR="00E13A8E" w:rsidRPr="00D65A20" w:rsidRDefault="00E13A8E" w:rsidP="00E13A8E">
      <w:pPr>
        <w:widowControl/>
        <w:tabs>
          <w:tab w:val="clear" w:pos="720"/>
        </w:tabs>
        <w:ind w:left="1440" w:hanging="720"/>
        <w:rPr>
          <w:rFonts w:ascii="Times New Roman" w:hAnsi="Times New Roman"/>
          <w:szCs w:val="22"/>
          <w:lang w:val="pt-BR"/>
        </w:rPr>
      </w:pPr>
      <w:r w:rsidRPr="00D65A20">
        <w:rPr>
          <w:rFonts w:ascii="Times New Roman" w:hAnsi="Times New Roman"/>
          <w:szCs w:val="22"/>
          <w:lang w:val="pt-BR"/>
        </w:rPr>
        <w:t>e)</w:t>
      </w:r>
      <w:r w:rsidRPr="00D65A20">
        <w:rPr>
          <w:rFonts w:ascii="Times New Roman" w:hAnsi="Times New Roman"/>
          <w:szCs w:val="22"/>
          <w:lang w:val="pt-BR"/>
        </w:rPr>
        <w:tab/>
        <w:t>transparência e eficiência no registro de eleitores, na distribuição de títulos de eleitor e na administração de centros de votação;</w:t>
      </w:r>
    </w:p>
    <w:p w14:paraId="6E834E74" w14:textId="77777777" w:rsidR="00E13A8E" w:rsidRPr="00D65A20" w:rsidRDefault="00E13A8E" w:rsidP="00E13A8E">
      <w:pPr>
        <w:widowControl/>
        <w:tabs>
          <w:tab w:val="clear" w:pos="720"/>
        </w:tabs>
        <w:ind w:left="1440" w:hanging="720"/>
        <w:rPr>
          <w:rFonts w:ascii="Times New Roman" w:hAnsi="Times New Roman"/>
          <w:szCs w:val="22"/>
          <w:lang w:val="pt-BR"/>
        </w:rPr>
      </w:pPr>
      <w:r w:rsidRPr="00D65A20">
        <w:rPr>
          <w:rFonts w:ascii="Times New Roman" w:hAnsi="Times New Roman"/>
          <w:szCs w:val="22"/>
          <w:lang w:val="pt-BR"/>
        </w:rPr>
        <w:t>f)</w:t>
      </w:r>
      <w:r w:rsidRPr="00D65A20">
        <w:rPr>
          <w:rFonts w:ascii="Times New Roman" w:hAnsi="Times New Roman"/>
          <w:szCs w:val="22"/>
          <w:lang w:val="pt-BR"/>
        </w:rPr>
        <w:tab/>
        <w:t>transparência na contagem e na consolidação dos resultados, e publicação dos resultados em tempo real; e</w:t>
      </w:r>
    </w:p>
    <w:p w14:paraId="6E834E75" w14:textId="77777777" w:rsidR="00E13A8E" w:rsidRPr="00D65A20" w:rsidRDefault="00E13A8E" w:rsidP="00E13A8E">
      <w:pPr>
        <w:widowControl/>
        <w:tabs>
          <w:tab w:val="clear" w:pos="720"/>
        </w:tabs>
        <w:ind w:left="1440" w:hanging="720"/>
        <w:rPr>
          <w:rFonts w:ascii="Times New Roman" w:hAnsi="Times New Roman"/>
          <w:szCs w:val="22"/>
          <w:lang w:val="pt-BR"/>
        </w:rPr>
      </w:pPr>
      <w:r w:rsidRPr="00D65A20">
        <w:rPr>
          <w:rFonts w:ascii="Times New Roman" w:hAnsi="Times New Roman"/>
          <w:szCs w:val="22"/>
          <w:lang w:val="pt-BR"/>
        </w:rPr>
        <w:t>g)</w:t>
      </w:r>
      <w:r w:rsidRPr="00D65A20">
        <w:rPr>
          <w:rFonts w:ascii="Times New Roman" w:hAnsi="Times New Roman"/>
          <w:szCs w:val="22"/>
          <w:lang w:val="pt-BR"/>
        </w:rPr>
        <w:tab/>
        <w:t>procedimentos adequados para apresentar reclamações sobre conduta e resultados eleitorais, e procedimentos para resolvê-las.</w:t>
      </w:r>
    </w:p>
    <w:p w14:paraId="6E834E76" w14:textId="77777777" w:rsidR="00E13A8E" w:rsidRPr="00D65A20" w:rsidRDefault="00E13A8E" w:rsidP="00E13A8E">
      <w:pPr>
        <w:widowControl/>
        <w:rPr>
          <w:rFonts w:ascii="Times New Roman" w:hAnsi="Times New Roman"/>
          <w:szCs w:val="22"/>
          <w:lang w:val="pt-BR"/>
        </w:rPr>
      </w:pPr>
    </w:p>
    <w:p w14:paraId="6E834E77" w14:textId="77777777" w:rsidR="00E13A8E" w:rsidRPr="00D65A20" w:rsidRDefault="00E13A8E" w:rsidP="00E13A8E">
      <w:pPr>
        <w:widowControl/>
        <w:rPr>
          <w:rFonts w:ascii="Times New Roman" w:hAnsi="Times New Roman"/>
          <w:szCs w:val="22"/>
          <w:lang w:val="pt-BR"/>
        </w:rPr>
      </w:pPr>
      <w:r w:rsidRPr="00D65A20">
        <w:rPr>
          <w:rFonts w:ascii="Times New Roman" w:hAnsi="Times New Roman"/>
          <w:szCs w:val="22"/>
          <w:lang w:val="pt-BR"/>
        </w:rPr>
        <w:tab/>
        <w:t>4.</w:t>
      </w:r>
      <w:r w:rsidRPr="00D65A20">
        <w:rPr>
          <w:rFonts w:ascii="Times New Roman" w:hAnsi="Times New Roman"/>
          <w:szCs w:val="22"/>
          <w:lang w:val="pt-BR"/>
        </w:rPr>
        <w:tab/>
        <w:t>Insistir para que os compromissos concretos de reforma eleitoral, em particular a modernização e a reestruturação do Conselho Superior Eleitoral, sejam cumpridos antes da convocação de eleições gerais pelo Estado, ou o mais tardar até maio de 2021.</w:t>
      </w:r>
    </w:p>
    <w:p w14:paraId="6E834E78" w14:textId="77777777" w:rsidR="00E13A8E" w:rsidRPr="00D65A20" w:rsidRDefault="00E13A8E" w:rsidP="00E13A8E">
      <w:pPr>
        <w:widowControl/>
        <w:rPr>
          <w:rFonts w:ascii="Times New Roman" w:hAnsi="Times New Roman"/>
          <w:szCs w:val="22"/>
          <w:lang w:val="pt-BR"/>
        </w:rPr>
      </w:pPr>
    </w:p>
    <w:p w14:paraId="6E834E79" w14:textId="2AF473A6" w:rsidR="00E13A8E" w:rsidRPr="00D65A20" w:rsidRDefault="00E13A8E" w:rsidP="00E13A8E">
      <w:pPr>
        <w:widowControl/>
        <w:rPr>
          <w:rFonts w:ascii="Times New Roman" w:hAnsi="Times New Roman"/>
          <w:szCs w:val="22"/>
          <w:lang w:val="pt-BR"/>
        </w:rPr>
      </w:pPr>
      <w:r w:rsidRPr="00D65A20">
        <w:rPr>
          <w:rFonts w:ascii="Times New Roman" w:hAnsi="Times New Roman"/>
          <w:szCs w:val="22"/>
          <w:lang w:val="pt-BR"/>
        </w:rPr>
        <w:tab/>
        <w:t>5.</w:t>
      </w:r>
      <w:r w:rsidRPr="00D65A20">
        <w:rPr>
          <w:rFonts w:ascii="Times New Roman" w:hAnsi="Times New Roman"/>
          <w:szCs w:val="22"/>
          <w:lang w:val="pt-BR"/>
        </w:rPr>
        <w:tab/>
        <w:t>Solicitar à Secretaria-Geral que informe periodicamente sobre a situação dos acordos e cronogramas para a implementação de reformas eleitorais que conduzam a eleições livres, justas, competitivas, observadas e legítimas.</w:t>
      </w:r>
    </w:p>
    <w:p w14:paraId="6E834E7A" w14:textId="77777777" w:rsidR="00E13A8E" w:rsidRPr="00D65A20" w:rsidRDefault="00E13A8E" w:rsidP="00E13A8E">
      <w:pPr>
        <w:widowControl/>
        <w:jc w:val="left"/>
        <w:rPr>
          <w:rFonts w:ascii="Times New Roman" w:hAnsi="Times New Roman"/>
          <w:szCs w:val="22"/>
          <w:lang w:val="pt-BR"/>
        </w:rPr>
      </w:pPr>
      <w:r w:rsidRPr="00D65A20">
        <w:rPr>
          <w:rFonts w:ascii="Times New Roman" w:hAnsi="Times New Roman"/>
          <w:szCs w:val="22"/>
          <w:lang w:val="pt-BR"/>
        </w:rPr>
        <w:br w:type="page"/>
      </w:r>
    </w:p>
    <w:p w14:paraId="6E834E7B" w14:textId="77777777" w:rsidR="00E13A8E" w:rsidRPr="00D65A20" w:rsidRDefault="00E13A8E" w:rsidP="00E13A8E">
      <w:pPr>
        <w:widowControl/>
        <w:jc w:val="center"/>
        <w:rPr>
          <w:rFonts w:ascii="Times New Roman" w:hAnsi="Times New Roman"/>
          <w:sz w:val="20"/>
          <w:lang w:val="pt-BR"/>
        </w:rPr>
      </w:pPr>
      <w:r w:rsidRPr="00D65A20">
        <w:rPr>
          <w:rFonts w:ascii="Times New Roman" w:hAnsi="Times New Roman"/>
          <w:sz w:val="20"/>
          <w:lang w:val="pt-BR"/>
        </w:rPr>
        <w:lastRenderedPageBreak/>
        <w:t>NOTAS DE RODAPÉ</w:t>
      </w:r>
    </w:p>
    <w:p w14:paraId="6E834E7C" w14:textId="77777777" w:rsidR="00E13A8E" w:rsidRPr="00D65A20" w:rsidRDefault="00E13A8E" w:rsidP="00E13A8E">
      <w:pPr>
        <w:widowControl/>
        <w:rPr>
          <w:rFonts w:ascii="Times New Roman" w:hAnsi="Times New Roman"/>
          <w:sz w:val="20"/>
          <w:lang w:val="pt-BR"/>
        </w:rPr>
      </w:pPr>
    </w:p>
    <w:p w14:paraId="6E834E7D" w14:textId="77777777" w:rsidR="00E13A8E" w:rsidRPr="00D65A20" w:rsidRDefault="00E13A8E" w:rsidP="00E13A8E">
      <w:pPr>
        <w:widowControl/>
        <w:rPr>
          <w:rFonts w:ascii="Times New Roman" w:hAnsi="Times New Roman"/>
          <w:sz w:val="20"/>
          <w:lang w:val="pt-BR"/>
        </w:rPr>
      </w:pPr>
    </w:p>
    <w:p w14:paraId="6E834E7E" w14:textId="77777777" w:rsidR="00E13A8E" w:rsidRPr="00D65A20" w:rsidRDefault="00E13A8E" w:rsidP="00E13A8E">
      <w:pPr>
        <w:widowControl/>
        <w:rPr>
          <w:rFonts w:ascii="Times New Roman" w:hAnsi="Times New Roman"/>
          <w:sz w:val="20"/>
          <w:lang w:val="pt-BR"/>
        </w:rPr>
      </w:pPr>
      <w:r w:rsidRPr="00D65A20">
        <w:rPr>
          <w:rFonts w:ascii="Times New Roman" w:hAnsi="Times New Roman"/>
          <w:sz w:val="20"/>
          <w:lang w:val="pt-BR"/>
        </w:rPr>
        <w:tab/>
        <w:t>1.</w:t>
      </w:r>
      <w:r w:rsidRPr="00D65A20">
        <w:rPr>
          <w:rFonts w:ascii="Times New Roman" w:hAnsi="Times New Roman"/>
          <w:sz w:val="20"/>
          <w:lang w:val="pt-BR"/>
        </w:rPr>
        <w:tab/>
        <w:t>(...) Sessões da Assembleia Geral e repudia tanto a convocação do tema sobre a Nicarágua quanto a resolução apresentada, que não foram solicitadas nem autorizadas pelo Governo da Nicarágua.</w:t>
      </w:r>
    </w:p>
    <w:p w14:paraId="6E834E7F" w14:textId="77777777" w:rsidR="00E13A8E" w:rsidRPr="00D65A20" w:rsidRDefault="00E13A8E" w:rsidP="00E13A8E">
      <w:pPr>
        <w:widowControl/>
        <w:rPr>
          <w:rFonts w:ascii="Times New Roman" w:hAnsi="Times New Roman"/>
          <w:sz w:val="20"/>
          <w:lang w:val="pt-BR"/>
        </w:rPr>
      </w:pPr>
    </w:p>
    <w:p w14:paraId="6E834E80" w14:textId="77777777" w:rsidR="00E13A8E" w:rsidRPr="00D65A20" w:rsidRDefault="00E13A8E" w:rsidP="00E13A8E">
      <w:pPr>
        <w:widowControl/>
        <w:rPr>
          <w:rFonts w:ascii="Times New Roman" w:hAnsi="Times New Roman"/>
          <w:sz w:val="20"/>
          <w:lang w:val="pt-BR"/>
        </w:rPr>
      </w:pPr>
      <w:r w:rsidRPr="00D65A20">
        <w:rPr>
          <w:rFonts w:ascii="Times New Roman" w:hAnsi="Times New Roman"/>
          <w:sz w:val="20"/>
          <w:lang w:val="pt-BR"/>
        </w:rPr>
        <w:tab/>
        <w:t>Declaramos que a presente resolução ingerencista deste órgão não conta com a aprovação do Governo soberano da Nicarágua, é inaceitável e inadmissível, e por isso a repudiamos.</w:t>
      </w:r>
    </w:p>
    <w:p w14:paraId="6E834E81" w14:textId="77777777" w:rsidR="00E13A8E" w:rsidRPr="00D65A20" w:rsidRDefault="00E13A8E" w:rsidP="00E13A8E">
      <w:pPr>
        <w:widowControl/>
        <w:rPr>
          <w:rFonts w:ascii="Times New Roman" w:hAnsi="Times New Roman"/>
          <w:sz w:val="20"/>
          <w:lang w:val="pt-BR"/>
        </w:rPr>
      </w:pPr>
    </w:p>
    <w:p w14:paraId="6E834E82" w14:textId="77777777" w:rsidR="00E13A8E" w:rsidRPr="00D65A20" w:rsidRDefault="00E13A8E" w:rsidP="00E13A8E">
      <w:pPr>
        <w:widowControl/>
        <w:rPr>
          <w:rFonts w:ascii="Times New Roman" w:hAnsi="Times New Roman"/>
          <w:sz w:val="20"/>
          <w:lang w:val="pt-BR"/>
        </w:rPr>
      </w:pPr>
      <w:r w:rsidRPr="00D65A20">
        <w:rPr>
          <w:rFonts w:ascii="Times New Roman" w:hAnsi="Times New Roman"/>
          <w:sz w:val="20"/>
          <w:lang w:val="pt-BR"/>
        </w:rPr>
        <w:tab/>
        <w:t>Ela não tem efeito vinculante para o Governo da Nicarágua; pelo contrário, viola os propósitos e princípios da Carta das Nações Unidas, os fundamentos essenciais e a natureza e propósitos da Carta da OEA e os princípios do Direito internacional no que diz respeito à igualdade soberana dos Estados, à não ingerência em assuntos que são essencialmente da jurisdição interna dos Estados e ao direito à autodeterminação.</w:t>
      </w:r>
    </w:p>
    <w:p w14:paraId="6E834E83" w14:textId="77777777" w:rsidR="00E13A8E" w:rsidRPr="00D65A20" w:rsidRDefault="00E13A8E" w:rsidP="00E13A8E">
      <w:pPr>
        <w:widowControl/>
        <w:rPr>
          <w:rFonts w:ascii="Times New Roman" w:hAnsi="Times New Roman"/>
          <w:sz w:val="20"/>
          <w:lang w:val="pt-BR"/>
        </w:rPr>
      </w:pPr>
    </w:p>
    <w:p w14:paraId="6E834E84" w14:textId="7F0582B7" w:rsidR="00E13A8E" w:rsidRPr="00D65A20" w:rsidRDefault="00E13A8E" w:rsidP="00E13A8E">
      <w:pPr>
        <w:widowControl/>
        <w:rPr>
          <w:rFonts w:ascii="Times New Roman" w:hAnsi="Times New Roman"/>
          <w:sz w:val="20"/>
          <w:lang w:val="pt-BR"/>
        </w:rPr>
      </w:pPr>
      <w:r w:rsidRPr="00D65A20">
        <w:rPr>
          <w:rFonts w:ascii="Times New Roman" w:hAnsi="Times New Roman"/>
          <w:sz w:val="20"/>
          <w:lang w:val="pt-BR"/>
        </w:rPr>
        <w:tab/>
        <w:t>Cabe recordar que a Carta Democrática Interamericana é um instrumento de categoria menor que está subordinado às disposições da Carta da OEA e, portanto, não derroga nem substitui os princípios fundadores desta Organização. Tampouco é uma carta branca para promover a ingerência nos assuntos internos e externos dos Estados, muito menos uma licença de corso para atropelar sua soberania e independência e transgredir de forma flagrante a ordem jurídica interamericana e atentar contra a paz e a segurança regional. Qualquer exercício nessa direção constitui uma ilegalidade absoluta que a Nicarágua rejeita como inadmissível.</w:t>
      </w:r>
    </w:p>
    <w:p w14:paraId="6E834E85" w14:textId="77777777" w:rsidR="00E13A8E" w:rsidRPr="00D65A20" w:rsidRDefault="00E13A8E" w:rsidP="00E13A8E">
      <w:pPr>
        <w:widowControl/>
        <w:rPr>
          <w:rFonts w:ascii="Times New Roman" w:hAnsi="Times New Roman"/>
          <w:sz w:val="20"/>
          <w:lang w:val="pt-BR"/>
        </w:rPr>
      </w:pPr>
    </w:p>
    <w:p w14:paraId="6E834E86" w14:textId="77777777" w:rsidR="00E13A8E" w:rsidRPr="00D65A20" w:rsidRDefault="00E13A8E" w:rsidP="00E13A8E">
      <w:pPr>
        <w:widowControl/>
        <w:rPr>
          <w:rFonts w:ascii="Times New Roman" w:hAnsi="Times New Roman"/>
          <w:sz w:val="20"/>
          <w:lang w:val="pt-BR"/>
        </w:rPr>
      </w:pPr>
      <w:r w:rsidRPr="00D65A20">
        <w:rPr>
          <w:rFonts w:ascii="Times New Roman" w:hAnsi="Times New Roman"/>
          <w:sz w:val="20"/>
          <w:lang w:val="pt-BR"/>
        </w:rPr>
        <w:tab/>
        <w:t>A própria Carta da OEA está subordinada à Carta das Nações Unidas, que é a carta constitucional da ordem jurídica mundial, e a Carta da ONU baseia-se no respeito irrestrito pela soberania, independência e autodeterminação dos povos e no princípio da não intervenção. </w:t>
      </w:r>
    </w:p>
    <w:p w14:paraId="6E834E87" w14:textId="77777777" w:rsidR="00E13A8E" w:rsidRPr="00D65A20" w:rsidRDefault="00E13A8E" w:rsidP="00E13A8E">
      <w:pPr>
        <w:widowControl/>
        <w:rPr>
          <w:rFonts w:ascii="Times New Roman" w:hAnsi="Times New Roman"/>
          <w:bCs/>
          <w:sz w:val="20"/>
          <w:lang w:val="pt-BR"/>
        </w:rPr>
      </w:pPr>
    </w:p>
    <w:p w14:paraId="6E834E88" w14:textId="77777777" w:rsidR="00E13A8E" w:rsidRPr="00D65A20" w:rsidRDefault="00E13A8E" w:rsidP="00E13A8E">
      <w:pPr>
        <w:widowControl/>
        <w:rPr>
          <w:rFonts w:ascii="Times New Roman" w:hAnsi="Times New Roman"/>
          <w:bCs/>
          <w:sz w:val="20"/>
          <w:lang w:val="pt-BR"/>
        </w:rPr>
      </w:pPr>
      <w:r w:rsidRPr="00D65A20">
        <w:rPr>
          <w:rFonts w:ascii="Times New Roman" w:hAnsi="Times New Roman"/>
          <w:sz w:val="20"/>
          <w:lang w:val="pt-BR"/>
        </w:rPr>
        <w:tab/>
        <w:t>A Assembleia Geral da OEA, em conformidade com a Carta da organização regional e a Carta das Nações Unidas, bem como com os princípios fundamentais do Direito internacional, deve rejeitar a ominosa proposta de resolução, que a Nicarágua não admitirá em nenhuma circunstância, já que, se aprovada, constituiria um ato ilícito internacional, e os Estados que votarem a favor dela incorreriam nesse ato ilícito internacional e, portanto, também em responsabilidade internacional.</w:t>
      </w:r>
    </w:p>
    <w:p w14:paraId="6E834E89" w14:textId="77777777" w:rsidR="00E13A8E" w:rsidRPr="00D65A20" w:rsidRDefault="00E13A8E" w:rsidP="00E13A8E">
      <w:pPr>
        <w:widowControl/>
        <w:rPr>
          <w:rFonts w:ascii="Times New Roman" w:hAnsi="Times New Roman"/>
          <w:bCs/>
          <w:sz w:val="20"/>
          <w:lang w:val="pt-BR"/>
        </w:rPr>
      </w:pPr>
    </w:p>
    <w:p w14:paraId="6E834E8A" w14:textId="77777777" w:rsidR="00E13A8E" w:rsidRPr="00D65A20" w:rsidRDefault="00E13A8E" w:rsidP="00E13A8E">
      <w:pPr>
        <w:widowControl/>
        <w:rPr>
          <w:rFonts w:ascii="Times New Roman" w:hAnsi="Times New Roman"/>
          <w:sz w:val="20"/>
          <w:lang w:val="pt-BR"/>
        </w:rPr>
      </w:pPr>
      <w:r w:rsidRPr="00D65A20">
        <w:rPr>
          <w:rFonts w:ascii="Times New Roman" w:hAnsi="Times New Roman"/>
          <w:sz w:val="20"/>
          <w:lang w:val="pt-BR"/>
        </w:rPr>
        <w:tab/>
        <w:t>Como contemplado na Carta da OEA, nenhum Estado ou grupo de Estados tem o direito de intervir, direta ou indiretamente, seja qual for o motivo, nos assuntos internos ou externos de qualquer outro. Esse princípio exclui não somente a força armada, como também qualquer outra forma de ingerência ou de tendência atentatória à personalidade do Estado e dos elementos políticos, econômicos e culturais que o constituem.</w:t>
      </w:r>
    </w:p>
    <w:p w14:paraId="6E834E8B" w14:textId="77777777" w:rsidR="00E13A8E" w:rsidRPr="00D65A20" w:rsidRDefault="00E13A8E" w:rsidP="00E13A8E">
      <w:pPr>
        <w:widowControl/>
        <w:rPr>
          <w:rFonts w:ascii="Times New Roman" w:hAnsi="Times New Roman"/>
          <w:sz w:val="20"/>
          <w:lang w:val="pt-BR"/>
        </w:rPr>
      </w:pPr>
      <w:r w:rsidRPr="00D65A20">
        <w:rPr>
          <w:rFonts w:ascii="Times New Roman" w:hAnsi="Times New Roman"/>
          <w:sz w:val="20"/>
          <w:lang w:val="pt-BR"/>
        </w:rPr>
        <w:t xml:space="preserve"> </w:t>
      </w:r>
    </w:p>
    <w:p w14:paraId="6E834E8C" w14:textId="77777777" w:rsidR="00E13A8E" w:rsidRPr="00D65A20" w:rsidRDefault="00E13A8E" w:rsidP="00E13A8E">
      <w:pPr>
        <w:widowControl/>
        <w:rPr>
          <w:rFonts w:ascii="Times New Roman" w:hAnsi="Times New Roman"/>
          <w:sz w:val="20"/>
          <w:lang w:val="pt-BR"/>
        </w:rPr>
      </w:pPr>
      <w:r w:rsidRPr="00D65A20">
        <w:rPr>
          <w:rFonts w:ascii="Times New Roman" w:hAnsi="Times New Roman"/>
          <w:sz w:val="20"/>
          <w:lang w:val="pt-BR"/>
        </w:rPr>
        <w:tab/>
        <w:t xml:space="preserve">A Nicarágua não é colônia de ninguém e, portanto, não aceita imposições de governos imperialistas, nem de organismos a eles subordinados, sobre seus assuntos internos que são de competência exclusiva dos cidadãos nicaraguenses e dos partidos políticos que têm personalidade jurídica e representação na Assembleia Nacional. </w:t>
      </w:r>
    </w:p>
    <w:p w14:paraId="6E834E8D" w14:textId="77777777" w:rsidR="00E13A8E" w:rsidRPr="00D65A20" w:rsidRDefault="00E13A8E" w:rsidP="00E13A8E">
      <w:pPr>
        <w:widowControl/>
        <w:rPr>
          <w:rFonts w:ascii="Times New Roman" w:hAnsi="Times New Roman"/>
          <w:sz w:val="20"/>
          <w:lang w:val="pt-BR"/>
        </w:rPr>
      </w:pPr>
    </w:p>
    <w:p w14:paraId="6E834E8E" w14:textId="77777777" w:rsidR="00E13A8E" w:rsidRPr="00D65A20" w:rsidRDefault="00E13A8E" w:rsidP="00E13A8E">
      <w:pPr>
        <w:widowControl/>
        <w:rPr>
          <w:rFonts w:ascii="Times New Roman" w:hAnsi="Times New Roman"/>
          <w:sz w:val="20"/>
          <w:lang w:val="pt-BR"/>
        </w:rPr>
      </w:pPr>
      <w:r w:rsidRPr="00D65A20">
        <w:rPr>
          <w:rFonts w:ascii="Times New Roman" w:hAnsi="Times New Roman"/>
          <w:sz w:val="20"/>
          <w:lang w:val="pt-BR"/>
        </w:rPr>
        <w:tab/>
        <w:t>Essa nova agressão de linchamento diplomático viola a soberania nacional e atenta contra as instituições, a Constituição da República, a legislação, a governabilidade democrática, a paz, a segurança e a estabilidade da nação nicaraguense.</w:t>
      </w:r>
    </w:p>
    <w:p w14:paraId="6E834E8F" w14:textId="77777777" w:rsidR="00E13A8E" w:rsidRPr="00D65A20" w:rsidRDefault="00E13A8E" w:rsidP="00E13A8E">
      <w:pPr>
        <w:widowControl/>
        <w:rPr>
          <w:rFonts w:ascii="Times New Roman" w:hAnsi="Times New Roman"/>
          <w:sz w:val="20"/>
          <w:lang w:val="pt-BR"/>
        </w:rPr>
      </w:pPr>
    </w:p>
    <w:p w14:paraId="6E834E90" w14:textId="77777777" w:rsidR="00E13A8E" w:rsidRPr="00D65A20" w:rsidRDefault="00E13A8E" w:rsidP="00E13A8E">
      <w:pPr>
        <w:widowControl/>
        <w:rPr>
          <w:rFonts w:ascii="Times New Roman" w:hAnsi="Times New Roman"/>
          <w:sz w:val="20"/>
          <w:lang w:val="pt-BR"/>
        </w:rPr>
      </w:pPr>
      <w:r w:rsidRPr="00D65A20">
        <w:rPr>
          <w:rFonts w:ascii="Times New Roman" w:hAnsi="Times New Roman"/>
          <w:sz w:val="20"/>
          <w:lang w:val="pt-BR"/>
        </w:rPr>
        <w:tab/>
        <w:t xml:space="preserve">A Nicarágua é uma república soberana com uma democracia representativa e participativa que excede em muito os padrões do conceito tradicional de democracia. </w:t>
      </w:r>
    </w:p>
    <w:p w14:paraId="6E834E91" w14:textId="77777777" w:rsidR="00E13A8E" w:rsidRPr="00D65A20" w:rsidRDefault="00E13A8E" w:rsidP="00E13A8E">
      <w:pPr>
        <w:widowControl/>
        <w:rPr>
          <w:rFonts w:ascii="Times New Roman" w:hAnsi="Times New Roman"/>
          <w:sz w:val="20"/>
          <w:lang w:val="pt-BR"/>
        </w:rPr>
      </w:pPr>
    </w:p>
    <w:p w14:paraId="6E834E92" w14:textId="11749767" w:rsidR="00E13A8E" w:rsidRPr="00D65A20" w:rsidRDefault="00E13A8E" w:rsidP="00E13A8E">
      <w:pPr>
        <w:widowControl/>
        <w:rPr>
          <w:rFonts w:ascii="Times New Roman" w:hAnsi="Times New Roman"/>
          <w:sz w:val="20"/>
          <w:lang w:val="pt-BR"/>
        </w:rPr>
      </w:pPr>
      <w:r w:rsidRPr="00D65A20">
        <w:rPr>
          <w:rFonts w:ascii="Times New Roman" w:hAnsi="Times New Roman"/>
          <w:sz w:val="20"/>
          <w:lang w:val="pt-BR"/>
        </w:rPr>
        <w:tab/>
        <w:t xml:space="preserve">Afirmamos </w:t>
      </w:r>
      <w:r w:rsidR="004A6A67" w:rsidRPr="00D65A20">
        <w:rPr>
          <w:rFonts w:ascii="Times New Roman" w:hAnsi="Times New Roman"/>
          <w:sz w:val="20"/>
          <w:lang w:val="pt-BR"/>
        </w:rPr>
        <w:t>o princípio de</w:t>
      </w:r>
      <w:r w:rsidRPr="00D65A20">
        <w:rPr>
          <w:rFonts w:ascii="Times New Roman" w:hAnsi="Times New Roman"/>
          <w:sz w:val="20"/>
          <w:lang w:val="pt-BR"/>
        </w:rPr>
        <w:t xml:space="preserve"> que nenhum Estado poderá aplicar ou estimular medidas coercivas de caráter econômico e político, para forçar a vontade soberana de outro Estado e obter deste vantagens de qualquer natureza. </w:t>
      </w:r>
    </w:p>
    <w:p w14:paraId="6E834E93" w14:textId="77777777" w:rsidR="00E13A8E" w:rsidRPr="00D65A20" w:rsidRDefault="00E13A8E" w:rsidP="00E13A8E">
      <w:pPr>
        <w:widowControl/>
        <w:shd w:val="clear" w:color="auto" w:fill="FFFFFF"/>
        <w:rPr>
          <w:rFonts w:ascii="Times New Roman" w:hAnsi="Times New Roman"/>
          <w:sz w:val="20"/>
          <w:lang w:val="pt-BR"/>
        </w:rPr>
      </w:pPr>
      <w:r w:rsidRPr="00D65A20">
        <w:rPr>
          <w:rFonts w:ascii="Times New Roman" w:hAnsi="Times New Roman"/>
          <w:sz w:val="20"/>
          <w:lang w:val="pt-BR"/>
        </w:rPr>
        <w:lastRenderedPageBreak/>
        <w:tab/>
        <w:t>A Nicarágua exige das nações ingerencistas que são membros deste Conselho Permanente o respeito à sua soberania. Subordinados ao Governo dos Estados Unidos, suas ações conspiram para desestabilizar e agredir a Nicarágua.</w:t>
      </w:r>
    </w:p>
    <w:p w14:paraId="6E834E94" w14:textId="77777777" w:rsidR="00E13A8E" w:rsidRPr="00D65A20" w:rsidRDefault="00E13A8E" w:rsidP="00E13A8E">
      <w:pPr>
        <w:widowControl/>
        <w:shd w:val="clear" w:color="auto" w:fill="FFFFFF"/>
        <w:rPr>
          <w:rFonts w:ascii="Times New Roman" w:hAnsi="Times New Roman"/>
          <w:sz w:val="20"/>
          <w:lang w:val="pt-BR"/>
        </w:rPr>
      </w:pPr>
    </w:p>
    <w:p w14:paraId="6E834E95" w14:textId="40E0F3B4" w:rsidR="00E13A8E" w:rsidRPr="00D65A20" w:rsidRDefault="00E13A8E" w:rsidP="00E13A8E">
      <w:pPr>
        <w:widowControl/>
        <w:shd w:val="clear" w:color="auto" w:fill="FFFFFF"/>
        <w:rPr>
          <w:rFonts w:ascii="Times New Roman" w:hAnsi="Times New Roman"/>
          <w:sz w:val="20"/>
          <w:lang w:val="pt-BR"/>
        </w:rPr>
      </w:pPr>
      <w:r w:rsidRPr="00D65A20">
        <w:rPr>
          <w:rFonts w:ascii="Times New Roman" w:hAnsi="Times New Roman"/>
          <w:sz w:val="20"/>
          <w:lang w:val="pt-BR"/>
        </w:rPr>
        <w:tab/>
        <w:t>Com seus argumentos falaciosos, continuam promovendo reuniões dentro da OEA com o propósito de gerar na opinião pública nacional e internacional o descrédito do Governo da Nicarágua, suas instituições, autoridades e seus projetos sociais. O povo da Nicarágua já sabe quais são esses países, já sabe quem são os traidores — os Judas e os Caim — que atentam contra a paz e a segurança do nosso país e a que interesses respondem, quem os financia e que objetivos perseguem.</w:t>
      </w:r>
    </w:p>
    <w:p w14:paraId="6E834E96" w14:textId="77777777" w:rsidR="009F3EDE" w:rsidRPr="00D65A20" w:rsidRDefault="009F3EDE" w:rsidP="00E13A8E">
      <w:pPr>
        <w:widowControl/>
        <w:shd w:val="clear" w:color="auto" w:fill="FFFFFF"/>
        <w:rPr>
          <w:rFonts w:ascii="Times New Roman" w:hAnsi="Times New Roman"/>
          <w:sz w:val="20"/>
          <w:lang w:val="pt-BR"/>
        </w:rPr>
      </w:pPr>
    </w:p>
    <w:p w14:paraId="6E834E97" w14:textId="77777777" w:rsidR="00E13A8E" w:rsidRPr="00D65A20" w:rsidRDefault="009F3EDE" w:rsidP="00E13A8E">
      <w:pPr>
        <w:widowControl/>
        <w:shd w:val="clear" w:color="auto" w:fill="FFFFFF"/>
        <w:rPr>
          <w:rFonts w:ascii="Times New Roman" w:hAnsi="Times New Roman"/>
          <w:sz w:val="20"/>
          <w:lang w:val="pt-BR"/>
        </w:rPr>
      </w:pPr>
      <w:r w:rsidRPr="00D65A20">
        <w:rPr>
          <w:rFonts w:ascii="Times New Roman" w:hAnsi="Times New Roman"/>
          <w:sz w:val="20"/>
          <w:lang w:val="pt-BR"/>
        </w:rPr>
        <w:tab/>
      </w:r>
      <w:r w:rsidR="00E13A8E" w:rsidRPr="00D65A20">
        <w:rPr>
          <w:rFonts w:ascii="Times New Roman" w:hAnsi="Times New Roman"/>
          <w:sz w:val="20"/>
          <w:lang w:val="pt-BR"/>
        </w:rPr>
        <w:t>O povo nicaraguense e a comunidade internacional conhecem essa verdade e não se deixam enganar por esses senhores.</w:t>
      </w:r>
    </w:p>
    <w:p w14:paraId="6E834E98" w14:textId="77777777" w:rsidR="00E13A8E" w:rsidRPr="00D65A20" w:rsidRDefault="00E13A8E" w:rsidP="00E13A8E">
      <w:pPr>
        <w:widowControl/>
        <w:rPr>
          <w:rFonts w:ascii="Times New Roman" w:hAnsi="Times New Roman"/>
          <w:sz w:val="20"/>
          <w:lang w:val="pt-BR"/>
        </w:rPr>
      </w:pPr>
    </w:p>
    <w:p w14:paraId="6E834E99" w14:textId="77777777" w:rsidR="00E13A8E" w:rsidRPr="00D65A20" w:rsidRDefault="00E13A8E" w:rsidP="00E13A8E">
      <w:pPr>
        <w:widowControl/>
        <w:rPr>
          <w:rFonts w:ascii="Times New Roman" w:hAnsi="Times New Roman"/>
          <w:sz w:val="20"/>
          <w:lang w:val="pt-BR"/>
        </w:rPr>
      </w:pPr>
      <w:r w:rsidRPr="00D65A20">
        <w:rPr>
          <w:rFonts w:ascii="Times New Roman" w:hAnsi="Times New Roman"/>
          <w:sz w:val="20"/>
          <w:lang w:val="pt-BR"/>
        </w:rPr>
        <w:tab/>
        <w:t>Declaramos inadmissível e condenamos a ação inamistosa de um grupo de Estados membros desta Organização que, por razões de sobrevivência política, endossam as diretrizes do Departamento de Estado e acabam se alinhando com a política de agressão e chantagem que a administração norte-americana está realizando contra o povo nicaraguense, venezuelano e cubano.</w:t>
      </w:r>
    </w:p>
    <w:p w14:paraId="6E834E9A" w14:textId="77777777" w:rsidR="00E13A8E" w:rsidRPr="00D65A20" w:rsidRDefault="00E13A8E" w:rsidP="00E13A8E">
      <w:pPr>
        <w:widowControl/>
        <w:rPr>
          <w:rFonts w:ascii="Times New Roman" w:hAnsi="Times New Roman"/>
          <w:sz w:val="20"/>
          <w:lang w:val="pt-BR"/>
        </w:rPr>
      </w:pPr>
    </w:p>
    <w:p w14:paraId="6E834E9B" w14:textId="77777777" w:rsidR="00E13A8E" w:rsidRPr="00D65A20" w:rsidRDefault="00E13A8E" w:rsidP="00E13A8E">
      <w:pPr>
        <w:widowControl/>
        <w:rPr>
          <w:rFonts w:ascii="Times New Roman" w:hAnsi="Times New Roman"/>
          <w:sz w:val="20"/>
          <w:lang w:val="pt-BR"/>
        </w:rPr>
      </w:pPr>
      <w:r w:rsidRPr="00D65A20">
        <w:rPr>
          <w:rFonts w:ascii="Times New Roman" w:hAnsi="Times New Roman"/>
          <w:sz w:val="20"/>
          <w:lang w:val="pt-BR"/>
        </w:rPr>
        <w:tab/>
        <w:t xml:space="preserve">A perda da institucionalidade e da autonomia da Organização dos Estados Americanos é mais que evidente e aprofundará ainda mais o vírus da divisão promovida pela potência norte-americana entre os países irmãos latino-americanos e caribenhos. </w:t>
      </w:r>
    </w:p>
    <w:p w14:paraId="6E834E9C" w14:textId="77777777" w:rsidR="00E13A8E" w:rsidRPr="00D65A20" w:rsidRDefault="00E13A8E" w:rsidP="00E13A8E">
      <w:pPr>
        <w:widowControl/>
        <w:rPr>
          <w:rFonts w:ascii="Times New Roman" w:hAnsi="Times New Roman"/>
          <w:sz w:val="20"/>
          <w:lang w:val="pt-BR"/>
        </w:rPr>
      </w:pPr>
    </w:p>
    <w:p w14:paraId="6E834E9D" w14:textId="77777777" w:rsidR="00E13A8E" w:rsidRPr="00D65A20" w:rsidRDefault="00E13A8E" w:rsidP="00E13A8E">
      <w:pPr>
        <w:widowControl/>
        <w:rPr>
          <w:rFonts w:ascii="Times New Roman" w:hAnsi="Times New Roman"/>
          <w:sz w:val="20"/>
          <w:lang w:val="pt-BR"/>
        </w:rPr>
      </w:pPr>
      <w:r w:rsidRPr="00D65A20">
        <w:rPr>
          <w:rFonts w:ascii="Times New Roman" w:hAnsi="Times New Roman"/>
          <w:sz w:val="20"/>
          <w:lang w:val="pt-BR"/>
        </w:rPr>
        <w:tab/>
        <w:t xml:space="preserve">A fragmentação sistemática sofrida por esta Organização, atomizada por sua agenda monotemática, continuará enquanto persistir a agressão da administração norte-americana e de seus aliados no sentido de continuar com a interferência nos assuntos internos da Nicarágua e da Venezuela, a subjugação de suas soberanias, a aplicação das chamadas sanções unilaterais que nada mais são do que agressões, a imposição de medidas coercitivas, o bloqueio econômico, a sabotagem das economias de nossos países e a duplicidade de critérios no tratamento dos direitos humanos, por não se submeterem ao consenso de Washington. </w:t>
      </w:r>
    </w:p>
    <w:p w14:paraId="6E834E9E" w14:textId="77777777" w:rsidR="00E13A8E" w:rsidRPr="00D65A20" w:rsidRDefault="00E13A8E" w:rsidP="00E13A8E">
      <w:pPr>
        <w:widowControl/>
        <w:rPr>
          <w:rFonts w:ascii="Times New Roman" w:hAnsi="Times New Roman"/>
          <w:sz w:val="20"/>
          <w:lang w:val="pt-BR"/>
        </w:rPr>
      </w:pPr>
    </w:p>
    <w:p w14:paraId="6E834E9F" w14:textId="77777777" w:rsidR="00E13A8E" w:rsidRPr="00D65A20" w:rsidRDefault="00E13A8E" w:rsidP="00E13A8E">
      <w:pPr>
        <w:widowControl/>
        <w:rPr>
          <w:rFonts w:ascii="Times New Roman" w:hAnsi="Times New Roman"/>
          <w:sz w:val="20"/>
          <w:lang w:val="pt-BR"/>
        </w:rPr>
      </w:pPr>
      <w:r w:rsidRPr="00D65A20">
        <w:rPr>
          <w:rFonts w:ascii="Times New Roman" w:hAnsi="Times New Roman"/>
          <w:sz w:val="20"/>
          <w:lang w:val="pt-BR"/>
        </w:rPr>
        <w:tab/>
        <w:t xml:space="preserve">O multilateralismo mundial e regional está sob ataque e enfrenta grandes desafios, ameaças e deficiências para continuar subsistindo. O diálogo, a negociação, os bons ofícios e a resolução pacífica das controvérsias internacionais estão sendo atropelados e questionados tanto nos organismos internacionais quanto na OEA, e vêm sendo substituídos pela imposição, pelas ameaças de uso da força, pela chantagem, a intransigência, o revanchismo político, as ações arbitrárias e não transparentes, a guerra de agressão e a desestabilização contra certos Estados, vítimas de uma guerra mediática de desinformação e distorção da realidade nacional que estão vivenciando. </w:t>
      </w:r>
    </w:p>
    <w:p w14:paraId="6E834EA0" w14:textId="77777777" w:rsidR="00E13A8E" w:rsidRPr="00D65A20" w:rsidRDefault="00E13A8E" w:rsidP="00E13A8E">
      <w:pPr>
        <w:widowControl/>
        <w:rPr>
          <w:rFonts w:ascii="Times New Roman" w:hAnsi="Times New Roman"/>
          <w:color w:val="000000"/>
          <w:shd w:val="clear" w:color="auto" w:fill="FFFFFF"/>
          <w:lang w:val="pt-BR"/>
        </w:rPr>
      </w:pPr>
    </w:p>
    <w:p w14:paraId="6E834EA1" w14:textId="10F21D74" w:rsidR="00E13A8E" w:rsidRPr="00D65A20" w:rsidRDefault="00E13A8E" w:rsidP="00E13A8E">
      <w:pPr>
        <w:widowControl/>
        <w:rPr>
          <w:rFonts w:ascii="Times New Roman" w:hAnsi="Times New Roman"/>
          <w:bCs/>
          <w:lang w:val="pt-BR"/>
        </w:rPr>
      </w:pPr>
      <w:r w:rsidRPr="00D65A20">
        <w:rPr>
          <w:rFonts w:ascii="Times New Roman" w:hAnsi="Times New Roman"/>
          <w:bCs/>
          <w:color w:val="000000"/>
          <w:sz w:val="20"/>
          <w:shd w:val="clear" w:color="auto" w:fill="FFFFFF"/>
          <w:lang w:val="pt-BR"/>
        </w:rPr>
        <w:tab/>
        <w:t xml:space="preserve">A Nicarágua expressa sua solidariedade com os Estados membros da CARICOM, que também estão sendo agredidos e são vítimas de estratégias unilaterais, arbitrárias e não transparentes de inclusão em listas negras da União Europeia. </w:t>
      </w:r>
    </w:p>
    <w:p w14:paraId="6E834EA2" w14:textId="77777777" w:rsidR="00E13A8E" w:rsidRPr="00D65A20" w:rsidRDefault="00E13A8E" w:rsidP="00E13A8E">
      <w:pPr>
        <w:widowControl/>
        <w:rPr>
          <w:rFonts w:ascii="Times New Roman" w:hAnsi="Times New Roman"/>
          <w:sz w:val="20"/>
          <w:lang w:val="pt-BR"/>
        </w:rPr>
      </w:pPr>
    </w:p>
    <w:p w14:paraId="6E834EA3" w14:textId="77777777" w:rsidR="00E13A8E" w:rsidRPr="00D65A20" w:rsidRDefault="00E13A8E" w:rsidP="00E13A8E">
      <w:pPr>
        <w:widowControl/>
        <w:rPr>
          <w:rFonts w:ascii="Times New Roman" w:hAnsi="Times New Roman"/>
          <w:sz w:val="20"/>
          <w:lang w:val="pt-BR"/>
        </w:rPr>
      </w:pPr>
      <w:r w:rsidRPr="00D65A20">
        <w:rPr>
          <w:rFonts w:ascii="Times New Roman" w:hAnsi="Times New Roman"/>
          <w:sz w:val="20"/>
          <w:lang w:val="pt-BR"/>
        </w:rPr>
        <w:tab/>
        <w:t xml:space="preserve">Tentar usar países pequenos como a Nicarágua para desviar o foco da pressão exercida pelos seus cidadãos devido ao desastre sanitário, econômico, político e social ao qual estão submetidos nos países copatrocinadores dessa proposta ilegal é imoral, revanchista e maquiavélico e só reflete a falta de sensibilidade humana que demonstram. </w:t>
      </w:r>
    </w:p>
    <w:p w14:paraId="6E834EA4" w14:textId="77777777" w:rsidR="00E13A8E" w:rsidRPr="00D65A20" w:rsidRDefault="00E13A8E" w:rsidP="00E13A8E">
      <w:pPr>
        <w:widowControl/>
        <w:rPr>
          <w:rFonts w:ascii="Times New Roman" w:hAnsi="Times New Roman"/>
          <w:sz w:val="20"/>
          <w:lang w:val="pt-BR"/>
        </w:rPr>
      </w:pPr>
    </w:p>
    <w:p w14:paraId="6E834EA5" w14:textId="77777777" w:rsidR="00E13A8E" w:rsidRPr="00D65A20" w:rsidRDefault="00E13A8E" w:rsidP="00E13A8E">
      <w:pPr>
        <w:widowControl/>
        <w:rPr>
          <w:rFonts w:ascii="Times New Roman" w:hAnsi="Times New Roman"/>
          <w:sz w:val="20"/>
          <w:lang w:val="pt-BR"/>
        </w:rPr>
      </w:pPr>
      <w:r w:rsidRPr="00D65A20">
        <w:rPr>
          <w:rFonts w:ascii="Times New Roman" w:hAnsi="Times New Roman"/>
          <w:sz w:val="20"/>
          <w:lang w:val="pt-BR"/>
        </w:rPr>
        <w:tab/>
        <w:t>Reiteramos que a preocupação central dos debates do Quinquagésimo Período Ordinário de Sessões da Assembleia Geral da OEA deve estar voltada para o intercâmbio de experiências e boas práticas na área da segurança sanitária, a promoção da solidariedade entre os Estados da região para fazer frente a esta pandemia mundial e as preocupações com a segurança alimentar, o emprego, a contenção da deterioração econômica de nossas economias, a luta contra a pobreza, a mudança do clima e as consequências dos desastres naturais, em vez de vir promover ações e medidas de agressão que ameaçam a paz, a soberania e o direito à autodeterminação dos Governos da Nicarágua e da Venezuela.</w:t>
      </w:r>
    </w:p>
    <w:p w14:paraId="6E834EA7" w14:textId="77777777" w:rsidR="00E13A8E" w:rsidRPr="00D65A20" w:rsidRDefault="00E13A8E" w:rsidP="00E13A8E">
      <w:pPr>
        <w:widowControl/>
        <w:rPr>
          <w:rFonts w:ascii="Times New Roman" w:hAnsi="Times New Roman"/>
          <w:sz w:val="20"/>
          <w:lang w:val="pt-BR"/>
        </w:rPr>
      </w:pPr>
      <w:r w:rsidRPr="00D65A20">
        <w:rPr>
          <w:rFonts w:ascii="Times New Roman" w:hAnsi="Times New Roman"/>
          <w:sz w:val="20"/>
          <w:lang w:val="pt-BR"/>
        </w:rPr>
        <w:lastRenderedPageBreak/>
        <w:tab/>
        <w:t>A Delegação do Governo de Reconciliação e Unidade Nacional reitera seu respeitoso apelo aos Estados membros da OEA para que se abstenham de atentar contra a soberania nacional e deixem de imiscuir-se nos assuntos internos da nação nicaraguense e não incitem à violência nem à violação da Constituição e da lei, e para que respeitem a vontade do povo nicaraguense, que exige que lhe seja permitido viver em paz, segurança e harmonia a fim de continuar, com energia renovada, trabalhando arduamente pelo progresso, pelo bem-estar, pela saúde e pelo desenvolvimento socioeconômico do país.</w:t>
      </w:r>
    </w:p>
    <w:p w14:paraId="6E834EA8" w14:textId="77777777" w:rsidR="00E13A8E" w:rsidRPr="00D65A20" w:rsidRDefault="00E13A8E" w:rsidP="00E13A8E">
      <w:pPr>
        <w:widowControl/>
        <w:rPr>
          <w:rFonts w:ascii="Times New Roman" w:hAnsi="Times New Roman"/>
          <w:szCs w:val="22"/>
          <w:lang w:val="pt-BR"/>
        </w:rPr>
      </w:pPr>
    </w:p>
    <w:p w14:paraId="6E834EA9" w14:textId="77777777" w:rsidR="00E13A8E" w:rsidRPr="00D65A20" w:rsidRDefault="00E13A8E" w:rsidP="00E13A8E">
      <w:pPr>
        <w:widowControl/>
        <w:tabs>
          <w:tab w:val="clear" w:pos="2160"/>
          <w:tab w:val="clear" w:pos="2880"/>
          <w:tab w:val="clear" w:pos="3600"/>
          <w:tab w:val="clear" w:pos="4320"/>
          <w:tab w:val="clear" w:pos="5760"/>
          <w:tab w:val="clear" w:pos="6480"/>
          <w:tab w:val="clear" w:pos="7200"/>
          <w:tab w:val="clear" w:pos="7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eastAsia="Calibri" w:hAnsi="Times New Roman"/>
          <w:sz w:val="20"/>
          <w:lang w:val="pt-BR"/>
        </w:rPr>
      </w:pPr>
      <w:r w:rsidRPr="00D65A20">
        <w:rPr>
          <w:rFonts w:ascii="Times New Roman" w:eastAsia="Calibri" w:hAnsi="Times New Roman"/>
          <w:sz w:val="20"/>
          <w:lang w:val="pt-BR"/>
        </w:rPr>
        <w:t>2.</w:t>
      </w:r>
      <w:r w:rsidRPr="00D65A20">
        <w:rPr>
          <w:rFonts w:ascii="Times New Roman" w:eastAsia="Calibri" w:hAnsi="Times New Roman"/>
          <w:sz w:val="20"/>
          <w:lang w:val="pt-BR"/>
        </w:rPr>
        <w:tab/>
        <w:t>(...) intervenção nos assuntos internos dos Estados e à solução pacífica das controvérsias, conforme dispõem o artigo 1</w:t>
      </w:r>
      <w:r w:rsidRPr="00D65A20">
        <w:rPr>
          <w:rFonts w:ascii="Times New Roman" w:eastAsia="Calibri" w:hAnsi="Times New Roman"/>
          <w:sz w:val="20"/>
          <w:vertAlign w:val="superscript"/>
          <w:lang w:val="pt-BR"/>
        </w:rPr>
        <w:t xml:space="preserve">o </w:t>
      </w:r>
      <w:r w:rsidRPr="00D65A20">
        <w:rPr>
          <w:rFonts w:ascii="Times New Roman" w:eastAsia="Calibri" w:hAnsi="Times New Roman"/>
          <w:sz w:val="20"/>
          <w:lang w:val="pt-BR"/>
        </w:rPr>
        <w:t xml:space="preserve">da Carta da Organização dos Estados Americanos, que estabelece que ‘[a] Organização dos Estados Americanos não tem mais faculdades que aquelas expressamente conferidas por esta Carta, nenhuma de cujas disposições a autoriza a intervir em assuntos da jurisdição interna dos Estados membros”, e a Carta das Nações Unidas. São Vicente e Granadinas observa a dinâmica política local e outros processos em andamento na Nicarágua, e não apoia a intervenção da Organização dos Estados Americanos em assuntos ‘da jurisdição interna’ da República da Nicarágua. </w:t>
      </w:r>
    </w:p>
    <w:p w14:paraId="6E834EAA" w14:textId="77777777" w:rsidR="00E13A8E" w:rsidRPr="00D65A20" w:rsidRDefault="00E13A8E" w:rsidP="00E13A8E">
      <w:pPr>
        <w:widowControl/>
        <w:rPr>
          <w:rFonts w:ascii="Times New Roman" w:hAnsi="Times New Roman"/>
          <w:sz w:val="20"/>
          <w:lang w:val="pt-BR"/>
        </w:rPr>
      </w:pPr>
    </w:p>
    <w:p w14:paraId="6E834EAB" w14:textId="77777777" w:rsidR="00E13A8E" w:rsidRPr="00D65A20" w:rsidRDefault="00E13A8E" w:rsidP="00E13A8E">
      <w:pPr>
        <w:widowControl/>
        <w:rPr>
          <w:rFonts w:ascii="Times New Roman" w:hAnsi="Times New Roman"/>
          <w:sz w:val="20"/>
          <w:lang w:val="pt-BR"/>
        </w:rPr>
      </w:pPr>
      <w:r w:rsidRPr="00D65A20">
        <w:rPr>
          <w:rFonts w:ascii="Times New Roman" w:hAnsi="Times New Roman"/>
          <w:sz w:val="20"/>
          <w:lang w:val="pt-BR"/>
        </w:rPr>
        <w:tab/>
        <w:t>São Vicente e Granadinas lembra que o papel mediador da OEA deve ter como premissa o reconhecimento dos princípios acima, a fim de que a paz, a estabilidade e o bem-estar geral de todos os nicaraguenses possam ser assegurados. As ações em curso na OEA são incompatíveis com esses princípios.</w:t>
      </w:r>
    </w:p>
    <w:p w14:paraId="6E834EAC" w14:textId="77777777" w:rsidR="00E13A8E" w:rsidRPr="00D65A20" w:rsidRDefault="00E13A8E" w:rsidP="00E13A8E">
      <w:pPr>
        <w:widowControl/>
        <w:rPr>
          <w:rFonts w:ascii="Times New Roman" w:hAnsi="Times New Roman"/>
          <w:sz w:val="20"/>
          <w:lang w:val="pt-BR"/>
        </w:rPr>
      </w:pPr>
    </w:p>
    <w:p w14:paraId="6E834EAD" w14:textId="77777777" w:rsidR="00AD5D09" w:rsidRPr="00D65A20" w:rsidRDefault="00E13A8E" w:rsidP="00AD5D09">
      <w:pPr>
        <w:widowControl/>
        <w:ind w:firstLine="720"/>
        <w:rPr>
          <w:rFonts w:ascii="Times New Roman" w:hAnsi="Times New Roman"/>
          <w:sz w:val="20"/>
          <w:lang w:val="pt-BR"/>
        </w:rPr>
      </w:pPr>
      <w:r w:rsidRPr="00D65A20">
        <w:rPr>
          <w:rFonts w:ascii="Times New Roman" w:hAnsi="Times New Roman"/>
          <w:sz w:val="20"/>
          <w:lang w:val="pt-BR"/>
        </w:rPr>
        <w:t>3.</w:t>
      </w:r>
      <w:r w:rsidRPr="00D65A20">
        <w:rPr>
          <w:rFonts w:ascii="Times New Roman" w:hAnsi="Times New Roman"/>
          <w:sz w:val="20"/>
          <w:lang w:val="pt-BR"/>
        </w:rPr>
        <w:tab/>
        <w:t>(...)</w:t>
      </w:r>
      <w:r w:rsidR="00AD5D09" w:rsidRPr="00D65A20">
        <w:rPr>
          <w:rFonts w:ascii="Times New Roman" w:hAnsi="Times New Roman"/>
          <w:sz w:val="20"/>
          <w:lang w:val="pt-BR"/>
        </w:rPr>
        <w:t xml:space="preserve">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6E834EAE" w14:textId="77777777" w:rsidR="00AD5D09" w:rsidRPr="00D65A20" w:rsidRDefault="00AD5D09" w:rsidP="00AD5D09">
      <w:pPr>
        <w:widowControl/>
        <w:rPr>
          <w:rFonts w:ascii="Times New Roman" w:hAnsi="Times New Roman"/>
          <w:sz w:val="20"/>
          <w:lang w:val="pt-BR"/>
        </w:rPr>
      </w:pPr>
    </w:p>
    <w:p w14:paraId="6E834EAF" w14:textId="77777777" w:rsidR="00AD5D09" w:rsidRPr="00D65A20" w:rsidRDefault="00AD5D09" w:rsidP="00AD5D09">
      <w:pPr>
        <w:widowControl/>
        <w:ind w:firstLine="720"/>
        <w:rPr>
          <w:rFonts w:ascii="Times New Roman" w:hAnsi="Times New Roman"/>
          <w:sz w:val="20"/>
          <w:lang w:val="pt-BR"/>
        </w:rPr>
      </w:pPr>
      <w:r w:rsidRPr="00D65A20">
        <w:rPr>
          <w:rFonts w:ascii="Times New Roman" w:hAnsi="Times New Roman"/>
          <w:sz w:val="20"/>
          <w:lang w:val="pt-BR"/>
        </w:rPr>
        <w:t xml:space="preserve">Antígua e Barbuda não apoiou a resolução CP/RES. 1124 (2217/19), de 9 de abril de 2019, cuja intenção era nomear o Senhor Gustavo Tarre como Representante da Assembleia Nacional junto à OEA, e não aceitou as credenciais das autoridades que pretendiam representar a República Bolivariana da Venezuela no Quadragésimo Nono e no Quinquagésimo Períodos Ordinários de Sessões da Assembleia Geral. </w:t>
      </w:r>
    </w:p>
    <w:p w14:paraId="6E834EB0" w14:textId="77777777" w:rsidR="00AD5D09" w:rsidRPr="00D65A20" w:rsidRDefault="00AD5D09" w:rsidP="00AD5D09">
      <w:pPr>
        <w:widowControl/>
        <w:rPr>
          <w:rFonts w:ascii="Times New Roman" w:hAnsi="Times New Roman"/>
          <w:sz w:val="20"/>
          <w:lang w:val="pt-BR"/>
        </w:rPr>
      </w:pPr>
    </w:p>
    <w:p w14:paraId="6E834EB5" w14:textId="4601159D" w:rsidR="00E13A8E" w:rsidRPr="00D65A20" w:rsidRDefault="00AD5D09" w:rsidP="00AD5D09">
      <w:pPr>
        <w:ind w:firstLine="720"/>
        <w:rPr>
          <w:rFonts w:ascii="Times New Roman" w:hAnsi="Times New Roman"/>
          <w:sz w:val="20"/>
          <w:lang w:val="pt-BR"/>
        </w:rPr>
      </w:pPr>
      <w:r w:rsidRPr="00D65A20">
        <w:rPr>
          <w:rFonts w:ascii="Times New Roman" w:hAnsi="Times New Roman"/>
          <w:sz w:val="20"/>
          <w:lang w:val="pt-BR"/>
        </w:rPr>
        <w:t>Desse modo, Antígua e Barbuda informa a todos os Estados membros e à Secretaria-Geral da Organização dos Estados Americanos que, até novo aviso, assim como fez no Quadragésimo Nono Período Ordinário de Sessões da Assembleia Geral, não se considerará vinculado a nenhuma declaração ou resolução emanada do Quinquagésimo Período Ordinário de Sessões da Assembleia Geral, nem a quaisquer futuras declarações ou resoluções de qualquer Conselho ou órgão da Organização que incluam a participação de qualquer pessoa ou entidade pretensamente falando pela República Bolivariana da Venezuela ou agindo em seu nome, e nas quais se alcancem 18 votos com a participação de um pretenso representante da República Bolivariana da Venezuela</w:t>
      </w:r>
      <w:r w:rsidR="00E13A8E" w:rsidRPr="00D65A20">
        <w:rPr>
          <w:rFonts w:ascii="Times New Roman" w:hAnsi="Times New Roman"/>
          <w:sz w:val="20"/>
          <w:lang w:val="pt-BR"/>
        </w:rPr>
        <w:t>.</w:t>
      </w:r>
    </w:p>
    <w:p w14:paraId="6E834EB6" w14:textId="77777777" w:rsidR="00E13A8E" w:rsidRPr="00D65A20" w:rsidRDefault="00E13A8E" w:rsidP="00E13A8E">
      <w:pPr>
        <w:widowControl/>
        <w:rPr>
          <w:rFonts w:ascii="Times New Roman" w:hAnsi="Times New Roman"/>
          <w:sz w:val="20"/>
          <w:lang w:val="pt-BR"/>
        </w:rPr>
      </w:pPr>
    </w:p>
    <w:p w14:paraId="6E834EB7" w14:textId="77777777" w:rsidR="00E13A8E" w:rsidRPr="00D65A20" w:rsidRDefault="00E13A8E" w:rsidP="00E13A8E">
      <w:pPr>
        <w:widowControl/>
        <w:tabs>
          <w:tab w:val="clear" w:pos="2160"/>
          <w:tab w:val="clear" w:pos="2880"/>
          <w:tab w:val="clear" w:pos="3600"/>
          <w:tab w:val="clear" w:pos="4320"/>
          <w:tab w:val="clear" w:pos="5760"/>
          <w:tab w:val="clear" w:pos="6480"/>
          <w:tab w:val="clear" w:pos="7200"/>
          <w:tab w:val="clear" w:pos="7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 w:val="20"/>
          <w:szCs w:val="24"/>
          <w:lang w:val="pt-BR"/>
        </w:rPr>
      </w:pPr>
      <w:r w:rsidRPr="00D65A20">
        <w:rPr>
          <w:rFonts w:ascii="Times New Roman" w:eastAsia="Calibri" w:hAnsi="Times New Roman"/>
          <w:sz w:val="20"/>
          <w:szCs w:val="24"/>
          <w:lang w:val="pt-BR"/>
        </w:rPr>
        <w:t>4.</w:t>
      </w:r>
      <w:r w:rsidRPr="00D65A20">
        <w:rPr>
          <w:rFonts w:ascii="Times New Roman" w:eastAsia="Calibri" w:hAnsi="Times New Roman"/>
          <w:sz w:val="20"/>
          <w:szCs w:val="24"/>
          <w:lang w:val="pt-BR"/>
        </w:rPr>
        <w:tab/>
        <w:t xml:space="preserve">(...) </w:t>
      </w:r>
      <w:r w:rsidRPr="00D65A20">
        <w:rPr>
          <w:rFonts w:ascii="Times New Roman" w:hAnsi="Times New Roman"/>
          <w:sz w:val="20"/>
          <w:szCs w:val="24"/>
          <w:lang w:val="pt-BR"/>
        </w:rPr>
        <w:t xml:space="preserve">reservas para que se façam registrar no que tange a participação e votação do(s) pretenso(s) representante(s) da República Bolivariana da Venezuela em quaisquer resoluções, declarações e eleições consideradas pelo Quinquagésimo Período Ordinário de Sessões da Assembleia Geral e qualquer outro órgão da Organização dos Estados Americanos (OEA).  </w:t>
      </w:r>
    </w:p>
    <w:p w14:paraId="6E834EB8" w14:textId="77777777" w:rsidR="00E13A8E" w:rsidRPr="00D65A20" w:rsidRDefault="00E13A8E" w:rsidP="00E13A8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4"/>
          <w:lang w:val="pt-BR"/>
        </w:rPr>
      </w:pPr>
    </w:p>
    <w:p w14:paraId="6E834EB9" w14:textId="77777777" w:rsidR="00E13A8E" w:rsidRPr="00D65A20" w:rsidRDefault="00E13A8E" w:rsidP="00E13A8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 w:val="20"/>
          <w:szCs w:val="24"/>
          <w:lang w:val="pt-BR"/>
        </w:rPr>
      </w:pPr>
      <w:r w:rsidRPr="00D65A20">
        <w:rPr>
          <w:rFonts w:ascii="Times New Roman" w:hAnsi="Times New Roman"/>
          <w:sz w:val="20"/>
          <w:szCs w:val="24"/>
          <w:lang w:val="pt-BR"/>
        </w:rPr>
        <w:t xml:space="preserve">O Governo do </w:t>
      </w:r>
      <w:r w:rsidRPr="00D65A20">
        <w:rPr>
          <w:rFonts w:ascii="Times New Roman" w:hAnsi="Times New Roman"/>
          <w:i/>
          <w:sz w:val="20"/>
          <w:szCs w:val="24"/>
          <w:lang w:val="pt-BR"/>
        </w:rPr>
        <w:t xml:space="preserve">Commonwealth </w:t>
      </w:r>
      <w:r w:rsidRPr="00D65A20">
        <w:rPr>
          <w:rFonts w:ascii="Times New Roman" w:hAnsi="Times New Roman"/>
          <w:sz w:val="20"/>
          <w:szCs w:val="24"/>
          <w:lang w:val="pt-BR"/>
        </w:rPr>
        <w:t xml:space="preserve">da Dominica também renova a posição que fez registrar de que, em conformidade com o artigo 143 da Carta da OEA, que dispõe, </w:t>
      </w:r>
      <w:r w:rsidRPr="00D65A20">
        <w:rPr>
          <w:rFonts w:ascii="Times New Roman" w:hAnsi="Times New Roman"/>
          <w:i/>
          <w:sz w:val="20"/>
          <w:szCs w:val="24"/>
          <w:lang w:val="pt-BR"/>
        </w:rPr>
        <w:t>inter alia</w:t>
      </w:r>
      <w:r w:rsidRPr="00D65A20">
        <w:rPr>
          <w:rFonts w:ascii="Times New Roman" w:hAnsi="Times New Roman"/>
          <w:sz w:val="20"/>
          <w:szCs w:val="24"/>
          <w:lang w:val="pt-BR"/>
        </w:rPr>
        <w:t xml:space="preserve">, que um Estado membro poderá denunciar a Carta e que, transcorridos dois anos a partir da data em que a Secretaria-Geral receber uma notificação de denúncia, a presente Carta cessará seus efeitos em relação ao dito Estado denunciante e este ficará desligado da Organização, que o Estado denunciante perderá seus direitos e obrigações e ficará desligado de todas as ações e decisões da Organização, a Venezuela deixou de ser Estado membro da OEA e, portanto, não tem direito a uma cadeira na OEA.  O Governo do </w:t>
      </w:r>
      <w:r w:rsidRPr="00D65A20">
        <w:rPr>
          <w:rFonts w:ascii="Times New Roman" w:hAnsi="Times New Roman"/>
          <w:i/>
          <w:sz w:val="20"/>
          <w:szCs w:val="24"/>
          <w:lang w:val="pt-BR"/>
        </w:rPr>
        <w:t>Commonwealth</w:t>
      </w:r>
      <w:r w:rsidRPr="00D65A20">
        <w:rPr>
          <w:rFonts w:ascii="Times New Roman" w:hAnsi="Times New Roman"/>
          <w:sz w:val="20"/>
          <w:szCs w:val="24"/>
          <w:lang w:val="pt-BR"/>
        </w:rPr>
        <w:t xml:space="preserve"> da Dominica, portanto, não reconhece nenhuma pessoa que ocupe a cadeira da Venezuela que não seja uma pessoa devidamente nomeada pelo Governo do Estado da Venezuela.</w:t>
      </w:r>
    </w:p>
    <w:p w14:paraId="6E834EBA" w14:textId="77777777" w:rsidR="00E13A8E" w:rsidRPr="00D65A20" w:rsidRDefault="00E13A8E" w:rsidP="00E13A8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rFonts w:ascii="Times New Roman" w:hAnsi="Times New Roman"/>
          <w:sz w:val="20"/>
          <w:szCs w:val="24"/>
          <w:lang w:val="pt-BR"/>
        </w:rPr>
      </w:pPr>
    </w:p>
    <w:p w14:paraId="6E834EBB" w14:textId="77777777" w:rsidR="00E13A8E" w:rsidRPr="00D65A20" w:rsidRDefault="00E13A8E" w:rsidP="00E13A8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 w:val="20"/>
          <w:szCs w:val="24"/>
          <w:lang w:val="pt-BR"/>
        </w:rPr>
      </w:pPr>
      <w:r w:rsidRPr="00D65A20">
        <w:rPr>
          <w:rFonts w:ascii="Times New Roman" w:hAnsi="Times New Roman"/>
          <w:sz w:val="20"/>
          <w:szCs w:val="24"/>
          <w:lang w:val="pt-BR"/>
        </w:rPr>
        <w:lastRenderedPageBreak/>
        <w:t xml:space="preserve">O Governo do </w:t>
      </w:r>
      <w:r w:rsidRPr="00D65A20">
        <w:rPr>
          <w:rFonts w:ascii="Times New Roman" w:hAnsi="Times New Roman"/>
          <w:i/>
          <w:sz w:val="20"/>
          <w:szCs w:val="24"/>
          <w:lang w:val="pt-BR"/>
        </w:rPr>
        <w:t>Commonwealth</w:t>
      </w:r>
      <w:r w:rsidRPr="00D65A20">
        <w:rPr>
          <w:rFonts w:ascii="Times New Roman" w:hAnsi="Times New Roman"/>
          <w:sz w:val="20"/>
          <w:szCs w:val="24"/>
          <w:lang w:val="pt-BR"/>
        </w:rPr>
        <w:t xml:space="preserve"> da Dominica reserva-se o pleno direito de reconhecer as resoluções e declarações adotadas no Quinquagésimo Período Ordinário de Sessões da Assembleia Geral da Organização dos Estados Americanos e toda resolução e declaração posteriormente aprovada com a participação dos pretensos representantes da Venezuela.  </w:t>
      </w:r>
    </w:p>
    <w:p w14:paraId="6E834EBC" w14:textId="77777777" w:rsidR="0002025E" w:rsidRPr="00D65A20" w:rsidRDefault="0002025E" w:rsidP="00E13A8E">
      <w:pPr>
        <w:widowControl/>
        <w:outlineLvl w:val="0"/>
        <w:rPr>
          <w:rFonts w:ascii="Times New Roman" w:hAnsi="Times New Roman"/>
          <w:sz w:val="20"/>
          <w:lang w:val="pt-BR"/>
        </w:rPr>
      </w:pPr>
    </w:p>
    <w:p w14:paraId="6E834EBD" w14:textId="2783A6FE" w:rsidR="00440A50" w:rsidRPr="00D65A20" w:rsidRDefault="00440A50" w:rsidP="00440A50">
      <w:pPr>
        <w:rPr>
          <w:rStyle w:val="FootnoteReference"/>
          <w:rFonts w:ascii="Times New Roman" w:hAnsi="Times New Roman"/>
          <w:sz w:val="20"/>
          <w:lang w:val="pt-BR"/>
        </w:rPr>
      </w:pPr>
      <w:r w:rsidRPr="00D65A20">
        <w:rPr>
          <w:rFonts w:ascii="Times New Roman" w:hAnsi="Times New Roman"/>
          <w:sz w:val="20"/>
          <w:lang w:val="pt-BR"/>
        </w:rPr>
        <w:tab/>
        <w:t xml:space="preserve">5. </w:t>
      </w:r>
      <w:r w:rsidR="00E55832">
        <w:rPr>
          <w:rFonts w:ascii="Times New Roman" w:hAnsi="Times New Roman"/>
          <w:sz w:val="20"/>
          <w:lang w:val="pt-BR"/>
        </w:rPr>
        <w:tab/>
      </w:r>
      <w:r w:rsidRPr="00D65A20">
        <w:rPr>
          <w:rFonts w:ascii="Times New Roman" w:hAnsi="Times New Roman"/>
          <w:sz w:val="20"/>
          <w:lang w:val="pt-BR"/>
        </w:rPr>
        <w:t>(...) Quinquagésimo Período Ordinário de Sessões da Assembleia Geral.</w:t>
      </w:r>
    </w:p>
    <w:p w14:paraId="6E834EBE" w14:textId="77777777" w:rsidR="0002025E" w:rsidRPr="00D65A20" w:rsidRDefault="0002025E" w:rsidP="00E13A8E">
      <w:pPr>
        <w:pStyle w:val="NormalWeb"/>
        <w:spacing w:before="0" w:after="0"/>
        <w:jc w:val="both"/>
        <w:rPr>
          <w:sz w:val="20"/>
          <w:szCs w:val="20"/>
          <w:lang w:val="pt-BR"/>
        </w:rPr>
      </w:pPr>
    </w:p>
    <w:p w14:paraId="6E834EBF" w14:textId="77777777" w:rsidR="0002025E" w:rsidRPr="00D65A20" w:rsidRDefault="0002025E" w:rsidP="00AA4399">
      <w:pPr>
        <w:pStyle w:val="NormalWeb"/>
        <w:spacing w:before="0" w:after="0"/>
        <w:jc w:val="both"/>
        <w:rPr>
          <w:sz w:val="20"/>
          <w:szCs w:val="20"/>
          <w:lang w:val="pt-BR"/>
        </w:rPr>
      </w:pPr>
    </w:p>
    <w:p w14:paraId="6E834EC0" w14:textId="77777777" w:rsidR="0002025E" w:rsidRPr="00D65A20" w:rsidRDefault="0002025E" w:rsidP="00AA4399">
      <w:pPr>
        <w:widowControl/>
        <w:rPr>
          <w:rFonts w:ascii="Times New Roman" w:hAnsi="Times New Roman"/>
          <w:sz w:val="20"/>
          <w:lang w:val="pt-BR"/>
        </w:rPr>
        <w:sectPr w:rsidR="0002025E" w:rsidRPr="00D65A20" w:rsidSect="00E8396E">
          <w:headerReference w:type="default" r:id="rId86"/>
          <w:footerReference w:type="default" r:id="rId87"/>
          <w:headerReference w:type="first" r:id="rId88"/>
          <w:footnotePr>
            <w:numRestart w:val="eachSect"/>
          </w:footnotePr>
          <w:type w:val="oddPage"/>
          <w:pgSz w:w="12240" w:h="15840" w:code="1"/>
          <w:pgMar w:top="2160" w:right="1570" w:bottom="1296" w:left="1699" w:header="1260" w:footer="720" w:gutter="0"/>
          <w:pgNumType w:fmt="numberInDash"/>
          <w:cols w:space="720"/>
          <w:docGrid w:linePitch="360"/>
        </w:sectPr>
      </w:pPr>
    </w:p>
    <w:p w14:paraId="6E834EC1" w14:textId="77777777" w:rsidR="00A544BF" w:rsidRPr="00D65A20" w:rsidRDefault="007E1C52" w:rsidP="0054287A">
      <w:pPr>
        <w:widowControl/>
        <w:jc w:val="center"/>
        <w:rPr>
          <w:rStyle w:val="Heading1Char"/>
          <w:rFonts w:ascii="Times New Roman" w:hAnsi="Times New Roman"/>
          <w:lang w:val="pt-BR"/>
        </w:rPr>
      </w:pPr>
      <w:bookmarkStart w:id="180" w:name="_Toc56526509"/>
      <w:bookmarkStart w:id="181" w:name="_Toc56526719"/>
      <w:bookmarkStart w:id="182" w:name="tittle"/>
      <w:r w:rsidRPr="00D65A20">
        <w:rPr>
          <w:rStyle w:val="Heading1Char"/>
          <w:rFonts w:ascii="Times New Roman" w:hAnsi="Times New Roman"/>
          <w:lang w:val="pt-BR"/>
        </w:rPr>
        <w:lastRenderedPageBreak/>
        <w:t>AG/RES. 2963 (L-O/20)</w:t>
      </w:r>
      <w:bookmarkEnd w:id="180"/>
      <w:bookmarkEnd w:id="181"/>
    </w:p>
    <w:bookmarkEnd w:id="182"/>
    <w:p w14:paraId="6E834EC2" w14:textId="77777777" w:rsidR="00A544BF" w:rsidRPr="00D65A20" w:rsidRDefault="00A544BF" w:rsidP="0054287A">
      <w:pPr>
        <w:widowControl/>
        <w:jc w:val="center"/>
        <w:rPr>
          <w:rStyle w:val="Heading1Char"/>
          <w:rFonts w:ascii="Times New Roman" w:hAnsi="Times New Roman"/>
          <w:lang w:val="pt-BR"/>
        </w:rPr>
      </w:pPr>
    </w:p>
    <w:p w14:paraId="6E834EC3" w14:textId="1480784D" w:rsidR="0054287A" w:rsidRPr="00D65A20" w:rsidRDefault="0054287A" w:rsidP="00A544BF">
      <w:pPr>
        <w:pStyle w:val="Heading1"/>
        <w:rPr>
          <w:vertAlign w:val="superscript"/>
          <w:lang w:val="pt-BR"/>
        </w:rPr>
      </w:pPr>
      <w:bookmarkStart w:id="183" w:name="_Toc56526510"/>
      <w:bookmarkStart w:id="184" w:name="_Toc56526720"/>
      <w:r w:rsidRPr="00D65A20">
        <w:rPr>
          <w:lang w:val="pt-BR"/>
        </w:rPr>
        <w:t xml:space="preserve">A </w:t>
      </w:r>
      <w:r w:rsidR="009F3EDE" w:rsidRPr="00D65A20">
        <w:rPr>
          <w:lang w:val="pt-BR"/>
        </w:rPr>
        <w:t xml:space="preserve">FALTA </w:t>
      </w:r>
      <w:r w:rsidRPr="00D65A20">
        <w:rPr>
          <w:lang w:val="pt-BR"/>
        </w:rPr>
        <w:t>DE CONDIÇÕES DEMOCRÁTICAS MÍNIMAS QUE GARANTAM ELEIÇÕES LIVRES, JUSTAS E TRANSPARENTES NA REPÚBLICA BOLIVARIANA DA VENEZUELA</w:t>
      </w:r>
      <w:r w:rsidRPr="00D65A20">
        <w:rPr>
          <w:u w:val="single"/>
          <w:vertAlign w:val="superscript"/>
          <w:lang w:val="pt-BR"/>
        </w:rPr>
        <w:footnoteReference w:id="116"/>
      </w:r>
      <w:r w:rsidRPr="00D65A20">
        <w:rPr>
          <w:vertAlign w:val="superscript"/>
          <w:lang w:val="pt-BR"/>
        </w:rPr>
        <w:t>/</w:t>
      </w:r>
      <w:r w:rsidRPr="00D65A20">
        <w:rPr>
          <w:u w:val="single"/>
          <w:vertAlign w:val="superscript"/>
          <w:lang w:val="pt-BR"/>
        </w:rPr>
        <w:footnoteReference w:id="117"/>
      </w:r>
      <w:r w:rsidRPr="00D65A20">
        <w:rPr>
          <w:vertAlign w:val="superscript"/>
          <w:lang w:val="pt-BR"/>
        </w:rPr>
        <w:t>/</w:t>
      </w:r>
      <w:r w:rsidRPr="00D65A20">
        <w:rPr>
          <w:u w:val="single"/>
          <w:vertAlign w:val="superscript"/>
          <w:lang w:val="pt-BR"/>
        </w:rPr>
        <w:footnoteReference w:id="118"/>
      </w:r>
      <w:r w:rsidRPr="00D65A20">
        <w:rPr>
          <w:vertAlign w:val="superscript"/>
          <w:lang w:val="pt-BR"/>
        </w:rPr>
        <w:t>/</w:t>
      </w:r>
      <w:r w:rsidRPr="00D65A20">
        <w:rPr>
          <w:u w:val="single"/>
          <w:vertAlign w:val="superscript"/>
          <w:lang w:val="pt-BR"/>
        </w:rPr>
        <w:footnoteReference w:id="119"/>
      </w:r>
      <w:r w:rsidRPr="00D65A20">
        <w:rPr>
          <w:vertAlign w:val="superscript"/>
          <w:lang w:val="pt-BR"/>
        </w:rPr>
        <w:t>/</w:t>
      </w:r>
      <w:bookmarkEnd w:id="183"/>
      <w:bookmarkEnd w:id="184"/>
      <w:r w:rsidR="00714959" w:rsidRPr="00D65A20">
        <w:rPr>
          <w:rStyle w:val="FootnoteReference"/>
          <w:u w:val="single"/>
          <w:vertAlign w:val="superscript"/>
          <w:lang w:val="pt-BR"/>
        </w:rPr>
        <w:footnoteReference w:id="120"/>
      </w:r>
      <w:r w:rsidR="00714959" w:rsidRPr="00D65A20">
        <w:rPr>
          <w:vertAlign w:val="superscript"/>
          <w:lang w:val="pt-BR"/>
        </w:rPr>
        <w:t>/</w:t>
      </w:r>
    </w:p>
    <w:p w14:paraId="6E834EC4" w14:textId="77777777" w:rsidR="0054287A" w:rsidRPr="00D65A20" w:rsidRDefault="0054287A" w:rsidP="0054287A">
      <w:pPr>
        <w:rPr>
          <w:rFonts w:ascii="Times New Roman" w:hAnsi="Times New Roman"/>
          <w:szCs w:val="22"/>
          <w:lang w:val="pt-BR"/>
        </w:rPr>
      </w:pPr>
    </w:p>
    <w:p w14:paraId="6E834EC5" w14:textId="77777777" w:rsidR="0054287A" w:rsidRPr="00D65A20" w:rsidRDefault="0054287A" w:rsidP="0054287A">
      <w:pPr>
        <w:jc w:val="center"/>
        <w:rPr>
          <w:rFonts w:ascii="Times New Roman" w:hAnsi="Times New Roman"/>
          <w:szCs w:val="22"/>
          <w:lang w:val="pt-BR" w:eastAsia="zh-CN"/>
        </w:rPr>
      </w:pPr>
      <w:r w:rsidRPr="00D65A20">
        <w:rPr>
          <w:rFonts w:ascii="Times New Roman" w:hAnsi="Times New Roman"/>
          <w:szCs w:val="22"/>
          <w:lang w:val="pt-BR"/>
        </w:rPr>
        <w:t xml:space="preserve"> (Aprovada na quarta sessão plenária, realizada em 21 de outubro de 2020)</w:t>
      </w:r>
    </w:p>
    <w:p w14:paraId="6E834EC6" w14:textId="77777777" w:rsidR="0054287A" w:rsidRPr="00D65A20" w:rsidRDefault="0054287A" w:rsidP="0054287A">
      <w:pPr>
        <w:rPr>
          <w:rFonts w:ascii="Times New Roman" w:hAnsi="Times New Roman"/>
          <w:szCs w:val="22"/>
          <w:lang w:val="pt-BR"/>
        </w:rPr>
      </w:pPr>
    </w:p>
    <w:p w14:paraId="6E834EC7" w14:textId="77777777" w:rsidR="0054287A" w:rsidRPr="00D65A20" w:rsidRDefault="0054287A" w:rsidP="0054287A">
      <w:pPr>
        <w:rPr>
          <w:rFonts w:ascii="Times New Roman" w:hAnsi="Times New Roman"/>
          <w:szCs w:val="22"/>
          <w:lang w:val="pt-BR"/>
        </w:rPr>
      </w:pPr>
    </w:p>
    <w:p w14:paraId="6E834EC8" w14:textId="77777777" w:rsidR="0054287A" w:rsidRPr="00D65A20" w:rsidRDefault="0054287A" w:rsidP="0054287A">
      <w:pPr>
        <w:rPr>
          <w:rFonts w:ascii="Times New Roman" w:hAnsi="Times New Roman"/>
          <w:szCs w:val="22"/>
          <w:lang w:val="pt-BR"/>
        </w:rPr>
      </w:pPr>
      <w:r w:rsidRPr="00D65A20">
        <w:rPr>
          <w:rFonts w:ascii="Times New Roman" w:hAnsi="Times New Roman"/>
          <w:szCs w:val="22"/>
          <w:lang w:val="pt-BR"/>
        </w:rPr>
        <w:tab/>
        <w:t>A ASSEMBLEIA GERAL,</w:t>
      </w:r>
    </w:p>
    <w:p w14:paraId="6E834EC9" w14:textId="77777777" w:rsidR="0054287A" w:rsidRPr="00D65A20" w:rsidRDefault="0054287A" w:rsidP="0054287A">
      <w:pPr>
        <w:rPr>
          <w:rFonts w:ascii="Times New Roman" w:hAnsi="Times New Roman"/>
          <w:szCs w:val="22"/>
          <w:lang w:val="pt-BR"/>
        </w:rPr>
      </w:pPr>
    </w:p>
    <w:p w14:paraId="6E834ECA" w14:textId="6181F1FB" w:rsidR="0054287A" w:rsidRPr="00D65A20" w:rsidRDefault="0054287A" w:rsidP="0054287A">
      <w:pPr>
        <w:rPr>
          <w:rFonts w:ascii="Times New Roman" w:hAnsi="Times New Roman"/>
          <w:szCs w:val="22"/>
          <w:lang w:val="pt-BR"/>
        </w:rPr>
      </w:pPr>
      <w:r w:rsidRPr="00D65A20">
        <w:rPr>
          <w:rFonts w:ascii="Times New Roman" w:hAnsi="Times New Roman"/>
          <w:szCs w:val="22"/>
          <w:lang w:val="pt-BR"/>
        </w:rPr>
        <w:tab/>
        <w:t xml:space="preserve">RECORDANDO a Carta Democrática Interamericana, a resolução </w:t>
      </w:r>
      <w:r w:rsidR="002C7614" w:rsidRPr="00D65A20">
        <w:rPr>
          <w:rFonts w:ascii="Times New Roman" w:hAnsi="Times New Roman"/>
          <w:szCs w:val="22"/>
          <w:lang w:val="pt-BR"/>
        </w:rPr>
        <w:t xml:space="preserve">da Assembleia Geral </w:t>
      </w:r>
      <w:r w:rsidRPr="00D65A20">
        <w:rPr>
          <w:rFonts w:ascii="Times New Roman" w:hAnsi="Times New Roman"/>
          <w:szCs w:val="22"/>
          <w:lang w:val="pt-BR"/>
        </w:rPr>
        <w:t xml:space="preserve">AG/RES. 2944 (XLIX-O/19) e as resoluções </w:t>
      </w:r>
      <w:r w:rsidR="002C7614" w:rsidRPr="00D65A20">
        <w:rPr>
          <w:rFonts w:ascii="Times New Roman" w:hAnsi="Times New Roman"/>
          <w:szCs w:val="22"/>
          <w:lang w:val="pt-BR"/>
        </w:rPr>
        <w:t xml:space="preserve">do Conselho Permanente </w:t>
      </w:r>
      <w:r w:rsidRPr="00D65A20">
        <w:rPr>
          <w:rFonts w:ascii="Times New Roman" w:hAnsi="Times New Roman"/>
          <w:szCs w:val="22"/>
          <w:lang w:val="pt-BR"/>
        </w:rPr>
        <w:t xml:space="preserve">CP/RES. 1156 (2291/20), CP/RES 1143 (2269/20) e CP/RES. 1117 (2200/19); </w:t>
      </w:r>
    </w:p>
    <w:p w14:paraId="6E834ECB" w14:textId="77777777" w:rsidR="0054287A" w:rsidRPr="00D65A20" w:rsidRDefault="0054287A" w:rsidP="0054287A">
      <w:pPr>
        <w:rPr>
          <w:rFonts w:ascii="Times New Roman" w:hAnsi="Times New Roman"/>
          <w:szCs w:val="22"/>
          <w:lang w:val="pt-BR"/>
        </w:rPr>
      </w:pPr>
    </w:p>
    <w:p w14:paraId="6E834ECC" w14:textId="49281305" w:rsidR="0054287A" w:rsidRPr="00D65A20" w:rsidRDefault="0054287A" w:rsidP="0054287A">
      <w:pPr>
        <w:rPr>
          <w:rFonts w:ascii="Times New Roman" w:hAnsi="Times New Roman"/>
          <w:szCs w:val="22"/>
          <w:lang w:val="pt-BR"/>
        </w:rPr>
      </w:pPr>
      <w:r w:rsidRPr="00D65A20">
        <w:rPr>
          <w:rFonts w:ascii="Times New Roman" w:hAnsi="Times New Roman"/>
          <w:szCs w:val="22"/>
          <w:lang w:val="pt-BR"/>
        </w:rPr>
        <w:tab/>
        <w:t xml:space="preserve">DESTACANDO a contínua deterioração das condições políticas, sociais, econômicas e humanitárias na República Bolivariana da Venezuela, agravadas pela propagação da </w:t>
      </w:r>
      <w:r w:rsidR="00877D54" w:rsidRPr="00D65A20">
        <w:rPr>
          <w:rFonts w:ascii="Times New Roman" w:hAnsi="Times New Roman"/>
          <w:szCs w:val="22"/>
          <w:lang w:val="pt-BR"/>
        </w:rPr>
        <w:t>pandemia de</w:t>
      </w:r>
      <w:r w:rsidRPr="00D65A20">
        <w:rPr>
          <w:rFonts w:ascii="Times New Roman" w:hAnsi="Times New Roman"/>
          <w:szCs w:val="22"/>
          <w:lang w:val="pt-BR"/>
        </w:rPr>
        <w:t xml:space="preserve"> covid-19; </w:t>
      </w:r>
    </w:p>
    <w:p w14:paraId="6E834ECD" w14:textId="77777777" w:rsidR="0054287A" w:rsidRPr="00D65A20" w:rsidRDefault="0054287A" w:rsidP="0054287A">
      <w:pPr>
        <w:rPr>
          <w:rFonts w:ascii="Times New Roman" w:hAnsi="Times New Roman"/>
          <w:szCs w:val="22"/>
          <w:lang w:val="pt-BR"/>
        </w:rPr>
      </w:pPr>
    </w:p>
    <w:p w14:paraId="6E834ECE" w14:textId="77777777" w:rsidR="0054287A" w:rsidRPr="00D65A20" w:rsidRDefault="0054287A" w:rsidP="0054287A">
      <w:pPr>
        <w:rPr>
          <w:rFonts w:ascii="Times New Roman" w:hAnsi="Times New Roman"/>
          <w:szCs w:val="22"/>
          <w:lang w:val="pt-BR"/>
        </w:rPr>
      </w:pPr>
      <w:r w:rsidRPr="00D65A20">
        <w:rPr>
          <w:rFonts w:ascii="Times New Roman" w:hAnsi="Times New Roman"/>
          <w:szCs w:val="22"/>
          <w:lang w:val="pt-BR"/>
        </w:rPr>
        <w:tab/>
        <w:t>AFIRMANDO a sua profunda preocupação e rejeição às manobras de controle exercidas pelo regime ilegítimo de Nicolás Maduro, que tem mantido reféns a instituições democráticas essenciais, desprezando a separação e a independência entre os poderes públicos, em grave violação da Constituição da República Bolivariana da Venezuela e da Carta Democrática Interamericana;</w:t>
      </w:r>
    </w:p>
    <w:p w14:paraId="6E834ECF" w14:textId="77777777" w:rsidR="0054287A" w:rsidRPr="00D65A20" w:rsidRDefault="0054287A" w:rsidP="0054287A">
      <w:pPr>
        <w:rPr>
          <w:rFonts w:ascii="Times New Roman" w:hAnsi="Times New Roman"/>
          <w:szCs w:val="22"/>
          <w:lang w:val="pt-BR"/>
        </w:rPr>
      </w:pPr>
    </w:p>
    <w:p w14:paraId="6E834ED0" w14:textId="77777777" w:rsidR="0054287A" w:rsidRPr="00D65A20" w:rsidRDefault="0054287A" w:rsidP="0054287A">
      <w:pPr>
        <w:rPr>
          <w:rFonts w:ascii="Times New Roman" w:hAnsi="Times New Roman"/>
          <w:szCs w:val="22"/>
          <w:lang w:val="pt-BR"/>
        </w:rPr>
      </w:pPr>
      <w:r w:rsidRPr="00D65A20">
        <w:rPr>
          <w:rFonts w:ascii="Times New Roman" w:hAnsi="Times New Roman"/>
          <w:szCs w:val="22"/>
          <w:lang w:val="pt-BR"/>
        </w:rPr>
        <w:tab/>
        <w:t>TENDO PRESENTE que a Assembleia Nacional da República Bolivariana da Venezuela continua sendo a única instituição legítima e democraticamente eleita na Venezuela e;</w:t>
      </w:r>
    </w:p>
    <w:p w14:paraId="6E834ED1" w14:textId="77777777" w:rsidR="0054287A" w:rsidRPr="00D65A20" w:rsidRDefault="0054287A" w:rsidP="0054287A">
      <w:pPr>
        <w:rPr>
          <w:rFonts w:ascii="Times New Roman" w:hAnsi="Times New Roman"/>
          <w:szCs w:val="22"/>
          <w:lang w:val="pt-BR"/>
        </w:rPr>
      </w:pPr>
    </w:p>
    <w:p w14:paraId="6E834ED2" w14:textId="77777777" w:rsidR="0054287A" w:rsidRPr="00D65A20" w:rsidRDefault="0054287A" w:rsidP="0054287A">
      <w:pPr>
        <w:rPr>
          <w:rFonts w:ascii="Times New Roman" w:hAnsi="Times New Roman"/>
          <w:szCs w:val="22"/>
          <w:lang w:val="pt-BR"/>
        </w:rPr>
      </w:pPr>
      <w:r w:rsidRPr="00D65A20">
        <w:rPr>
          <w:rFonts w:ascii="Times New Roman" w:hAnsi="Times New Roman"/>
          <w:szCs w:val="22"/>
          <w:lang w:val="pt-BR"/>
        </w:rPr>
        <w:tab/>
        <w:t>EXPRESSANDO, com grave preocupação, que as ações levadas a cabo pelo regime ilegítimo de Nicolás Maduro violam as leis nacionais, solapando o processo eleitoral e ameaçando eliminar a Assembleia Nacional legítima, último espaço democrático e institucional que canaliza as demandas da sociedade venezuelana, dando-lhes voz,</w:t>
      </w:r>
    </w:p>
    <w:p w14:paraId="6E834ED3" w14:textId="77777777" w:rsidR="0054287A" w:rsidRPr="00D65A20" w:rsidRDefault="0054287A" w:rsidP="0054287A">
      <w:pPr>
        <w:widowControl/>
        <w:jc w:val="left"/>
        <w:rPr>
          <w:rFonts w:ascii="Times New Roman" w:hAnsi="Times New Roman"/>
          <w:szCs w:val="22"/>
          <w:lang w:val="pt-BR"/>
        </w:rPr>
      </w:pPr>
    </w:p>
    <w:p w14:paraId="6E834ED4" w14:textId="77777777" w:rsidR="0054287A" w:rsidRPr="00D65A20" w:rsidRDefault="0054287A" w:rsidP="0054287A">
      <w:pPr>
        <w:widowControl/>
        <w:jc w:val="left"/>
        <w:rPr>
          <w:rFonts w:ascii="Times New Roman" w:hAnsi="Times New Roman"/>
          <w:szCs w:val="22"/>
          <w:lang w:val="pt-BR"/>
        </w:rPr>
      </w:pPr>
      <w:r w:rsidRPr="00D65A20">
        <w:rPr>
          <w:rFonts w:ascii="Times New Roman" w:hAnsi="Times New Roman"/>
          <w:szCs w:val="22"/>
          <w:lang w:val="pt-BR"/>
        </w:rPr>
        <w:t>RESOLVE:</w:t>
      </w:r>
    </w:p>
    <w:p w14:paraId="6E834ED5" w14:textId="77777777" w:rsidR="0054287A" w:rsidRPr="00D65A20" w:rsidRDefault="0054287A" w:rsidP="0054287A">
      <w:pPr>
        <w:rPr>
          <w:rFonts w:ascii="Times New Roman" w:hAnsi="Times New Roman"/>
          <w:szCs w:val="22"/>
          <w:lang w:val="pt-BR"/>
        </w:rPr>
      </w:pPr>
    </w:p>
    <w:p w14:paraId="6E834ED6" w14:textId="6BFF4498" w:rsidR="0054287A" w:rsidRPr="00D65A20" w:rsidRDefault="0054287A" w:rsidP="0054287A">
      <w:pPr>
        <w:widowControl/>
        <w:rPr>
          <w:rFonts w:ascii="Times New Roman" w:hAnsi="Times New Roman"/>
          <w:lang w:val="pt-BR"/>
        </w:rPr>
      </w:pPr>
      <w:r w:rsidRPr="00D65A20">
        <w:rPr>
          <w:rFonts w:ascii="Times New Roman" w:hAnsi="Times New Roman"/>
          <w:lang w:val="pt-BR"/>
        </w:rPr>
        <w:tab/>
        <w:t>1.</w:t>
      </w:r>
      <w:r w:rsidRPr="00D65A20">
        <w:rPr>
          <w:rFonts w:ascii="Times New Roman" w:hAnsi="Times New Roman"/>
          <w:lang w:val="pt-BR"/>
        </w:rPr>
        <w:tab/>
        <w:t xml:space="preserve">Condenar nos termos mais enérgicos as ações do regime ilegítimo de Nicolás Maduro, que solapam o sistema democrático e a separação dos poderes por meio do controle do Tribunal Supremo de Justiça, usurpando as funções </w:t>
      </w:r>
      <w:r w:rsidRPr="00D65A20">
        <w:rPr>
          <w:rFonts w:ascii="Times New Roman" w:hAnsi="Times New Roman"/>
          <w:szCs w:val="22"/>
          <w:lang w:val="pt-BR"/>
        </w:rPr>
        <w:t xml:space="preserve">constitucionais da Assembleia Nacional, </w:t>
      </w:r>
      <w:r w:rsidR="006E6DF3" w:rsidRPr="00D65A20">
        <w:rPr>
          <w:rFonts w:ascii="Times New Roman" w:hAnsi="Times New Roman"/>
          <w:szCs w:val="22"/>
          <w:lang w:val="pt-BR"/>
        </w:rPr>
        <w:t xml:space="preserve">como </w:t>
      </w:r>
      <w:r w:rsidRPr="00D65A20">
        <w:rPr>
          <w:rFonts w:ascii="Times New Roman" w:hAnsi="Times New Roman"/>
          <w:szCs w:val="22"/>
          <w:lang w:val="pt-BR"/>
        </w:rPr>
        <w:t>a de legislar em matéria eleitoral e designar os membros do Conselho Nacional Eleitoral</w:t>
      </w:r>
      <w:r w:rsidR="00CD59C0" w:rsidRPr="00D65A20">
        <w:rPr>
          <w:rFonts w:ascii="Times New Roman" w:hAnsi="Times New Roman"/>
          <w:szCs w:val="22"/>
          <w:lang w:val="pt-BR"/>
        </w:rPr>
        <w:t>,</w:t>
      </w:r>
      <w:r w:rsidR="002C7614" w:rsidRPr="00D65A20">
        <w:rPr>
          <w:rFonts w:ascii="Times New Roman" w:hAnsi="Times New Roman"/>
          <w:szCs w:val="22"/>
          <w:lang w:val="pt-BR"/>
        </w:rPr>
        <w:t xml:space="preserve"> entre outras</w:t>
      </w:r>
      <w:r w:rsidRPr="00D65A20">
        <w:rPr>
          <w:rFonts w:ascii="Times New Roman" w:hAnsi="Times New Roman"/>
          <w:szCs w:val="22"/>
          <w:lang w:val="pt-BR"/>
        </w:rPr>
        <w:t xml:space="preserve">. </w:t>
      </w:r>
      <w:r w:rsidRPr="00D65A20">
        <w:rPr>
          <w:rFonts w:ascii="Times New Roman" w:hAnsi="Times New Roman"/>
          <w:szCs w:val="22"/>
          <w:lang w:val="pt-BR"/>
        </w:rPr>
        <w:lastRenderedPageBreak/>
        <w:t xml:space="preserve">Isso </w:t>
      </w:r>
      <w:r w:rsidRPr="00D65A20">
        <w:rPr>
          <w:rFonts w:ascii="Times New Roman" w:eastAsia="Segoe UI" w:hAnsi="Times New Roman"/>
          <w:szCs w:val="22"/>
          <w:lang w:val="pt-BR"/>
        </w:rPr>
        <w:t xml:space="preserve">compromete </w:t>
      </w:r>
      <w:r w:rsidRPr="00D65A20">
        <w:rPr>
          <w:rFonts w:ascii="Times New Roman" w:hAnsi="Times New Roman"/>
          <w:lang w:val="pt-BR"/>
        </w:rPr>
        <w:t>claramente as condições mínimas que garantem a realização de processos eleitorais democráticos, de acordo com as normas internacionais.</w:t>
      </w:r>
    </w:p>
    <w:p w14:paraId="6E834ED7" w14:textId="77777777" w:rsidR="0054287A" w:rsidRPr="00D65A20" w:rsidRDefault="0054287A" w:rsidP="0054287A">
      <w:pPr>
        <w:rPr>
          <w:rFonts w:ascii="Times New Roman" w:hAnsi="Times New Roman"/>
          <w:lang w:val="pt-BR"/>
        </w:rPr>
      </w:pPr>
    </w:p>
    <w:p w14:paraId="6E834ED8" w14:textId="296126A6" w:rsidR="0054287A" w:rsidRPr="00D65A20" w:rsidRDefault="0054287A" w:rsidP="0054287A">
      <w:pPr>
        <w:rPr>
          <w:rFonts w:ascii="Times New Roman" w:hAnsi="Times New Roman"/>
          <w:lang w:val="pt-BR"/>
        </w:rPr>
      </w:pPr>
      <w:r w:rsidRPr="00D65A20">
        <w:rPr>
          <w:rFonts w:ascii="Times New Roman" w:hAnsi="Times New Roman"/>
          <w:lang w:val="pt-BR"/>
        </w:rPr>
        <w:tab/>
        <w:t>2.</w:t>
      </w:r>
      <w:r w:rsidRPr="00D65A20">
        <w:rPr>
          <w:rFonts w:ascii="Times New Roman" w:hAnsi="Times New Roman"/>
          <w:lang w:val="pt-BR"/>
        </w:rPr>
        <w:tab/>
        <w:t xml:space="preserve">Declarar que o reconhecimento das eleições </w:t>
      </w:r>
      <w:r w:rsidR="006E6DF3" w:rsidRPr="00D65A20">
        <w:rPr>
          <w:rFonts w:ascii="Times New Roman" w:hAnsi="Times New Roman"/>
          <w:lang w:val="pt-BR"/>
        </w:rPr>
        <w:t xml:space="preserve">para a </w:t>
      </w:r>
      <w:r w:rsidRPr="00D65A20">
        <w:rPr>
          <w:rFonts w:ascii="Times New Roman" w:hAnsi="Times New Roman"/>
          <w:lang w:val="pt-BR"/>
        </w:rPr>
        <w:t>Assembleia Nacional da Venezuela dependerá do estabelecimento das condições necessárias de liberdade, justiça, imparcialidade e transparência, garantindo a participação de todos os atores políticos e cidadãos e a libertação dos presos políticos, com prazos razoáveis para a sua realização e observação eleitoral internacional independente e crível.</w:t>
      </w:r>
    </w:p>
    <w:p w14:paraId="6E834ED9" w14:textId="77777777" w:rsidR="0054287A" w:rsidRPr="00D65A20" w:rsidRDefault="0054287A" w:rsidP="0054287A">
      <w:pPr>
        <w:rPr>
          <w:rFonts w:ascii="Times New Roman" w:hAnsi="Times New Roman"/>
          <w:lang w:val="pt-BR"/>
        </w:rPr>
      </w:pPr>
    </w:p>
    <w:p w14:paraId="6E834EDA" w14:textId="21C34499" w:rsidR="0054287A" w:rsidRPr="00D65A20" w:rsidRDefault="0054287A" w:rsidP="0054287A">
      <w:pPr>
        <w:rPr>
          <w:rFonts w:ascii="Times New Roman" w:hAnsi="Times New Roman"/>
          <w:lang w:val="pt-BR"/>
        </w:rPr>
      </w:pPr>
      <w:r w:rsidRPr="00D65A20">
        <w:rPr>
          <w:rFonts w:ascii="Times New Roman" w:hAnsi="Times New Roman"/>
          <w:lang w:val="pt-BR"/>
        </w:rPr>
        <w:tab/>
        <w:t>3.</w:t>
      </w:r>
      <w:r w:rsidRPr="00D65A20">
        <w:rPr>
          <w:rFonts w:ascii="Times New Roman" w:hAnsi="Times New Roman"/>
          <w:lang w:val="pt-BR"/>
        </w:rPr>
        <w:tab/>
        <w:t xml:space="preserve">Acolher com satisfação a publicação, em 16 de setembro de 2020, </w:t>
      </w:r>
      <w:r w:rsidR="002C7614" w:rsidRPr="00D65A20">
        <w:rPr>
          <w:rFonts w:ascii="Times New Roman" w:hAnsi="Times New Roman"/>
          <w:lang w:val="pt-BR"/>
        </w:rPr>
        <w:t xml:space="preserve">do relatório </w:t>
      </w:r>
      <w:r w:rsidRPr="00D65A20">
        <w:rPr>
          <w:rFonts w:ascii="Times New Roman" w:hAnsi="Times New Roman"/>
          <w:lang w:val="pt-BR"/>
        </w:rPr>
        <w:t xml:space="preserve">da Missão Internacional Independente de Pesquisa das Nações Unidas sobre a República Bolivariana da Venezuela, e reafirmar a importância da implementação imediata e completa das recomendações constantes do </w:t>
      </w:r>
      <w:r w:rsidR="002C7614" w:rsidRPr="00D65A20">
        <w:rPr>
          <w:rFonts w:ascii="Times New Roman" w:hAnsi="Times New Roman"/>
          <w:lang w:val="pt-BR"/>
        </w:rPr>
        <w:t xml:space="preserve">referido </w:t>
      </w:r>
      <w:r w:rsidRPr="00D65A20">
        <w:rPr>
          <w:rFonts w:ascii="Times New Roman" w:hAnsi="Times New Roman"/>
          <w:lang w:val="pt-BR"/>
        </w:rPr>
        <w:t>relatório, inclusive para investigar as violações de direitos humanos e deter o uso de força excessiva, execuções extrajudiciais, desaparecimentos forçados, detenções arbitrárias e tortura.</w:t>
      </w:r>
    </w:p>
    <w:p w14:paraId="6E834EDB" w14:textId="77777777" w:rsidR="0054287A" w:rsidRPr="00D65A20" w:rsidRDefault="0054287A" w:rsidP="0054287A">
      <w:pPr>
        <w:rPr>
          <w:rFonts w:ascii="Times New Roman" w:hAnsi="Times New Roman"/>
          <w:lang w:val="pt-BR"/>
        </w:rPr>
      </w:pPr>
    </w:p>
    <w:p w14:paraId="6E834EDC" w14:textId="5C81B561" w:rsidR="0054287A" w:rsidRPr="00D65A20" w:rsidRDefault="0054287A" w:rsidP="0054287A">
      <w:pPr>
        <w:rPr>
          <w:rFonts w:ascii="Times New Roman" w:hAnsi="Times New Roman"/>
          <w:lang w:val="pt-BR"/>
        </w:rPr>
      </w:pPr>
      <w:r w:rsidRPr="00D65A20">
        <w:rPr>
          <w:rFonts w:ascii="Times New Roman" w:hAnsi="Times New Roman"/>
          <w:lang w:val="pt-BR"/>
        </w:rPr>
        <w:tab/>
        <w:t>4.</w:t>
      </w:r>
      <w:r w:rsidRPr="00D65A20">
        <w:rPr>
          <w:rFonts w:ascii="Times New Roman" w:hAnsi="Times New Roman"/>
          <w:lang w:val="pt-BR"/>
        </w:rPr>
        <w:tab/>
        <w:t xml:space="preserve">Fazer um enérgico apelo à proteção dos membros da Assembleia Nacional legítima e exigir </w:t>
      </w:r>
      <w:r w:rsidR="0012208C" w:rsidRPr="00D65A20">
        <w:rPr>
          <w:rFonts w:ascii="Times New Roman" w:hAnsi="Times New Roman"/>
          <w:lang w:val="pt-BR"/>
        </w:rPr>
        <w:t xml:space="preserve">a pronta libertação de todos os presos políticos e </w:t>
      </w:r>
      <w:r w:rsidRPr="00D65A20">
        <w:rPr>
          <w:rFonts w:ascii="Times New Roman" w:hAnsi="Times New Roman"/>
          <w:lang w:val="pt-BR"/>
        </w:rPr>
        <w:t xml:space="preserve">o encerramento dos </w:t>
      </w:r>
      <w:r w:rsidR="0012208C" w:rsidRPr="00D65A20">
        <w:rPr>
          <w:rFonts w:ascii="Times New Roman" w:hAnsi="Times New Roman"/>
          <w:lang w:val="pt-BR"/>
        </w:rPr>
        <w:t xml:space="preserve">seus </w:t>
      </w:r>
      <w:r w:rsidRPr="00D65A20">
        <w:rPr>
          <w:rFonts w:ascii="Times New Roman" w:hAnsi="Times New Roman"/>
          <w:lang w:val="pt-BR"/>
        </w:rPr>
        <w:t xml:space="preserve">processos judiciais, pondo-se fim às prisões arbitrárias, às detenções e ao assédio aos cidadãos, bem como permitindo-se o retorno seguro dos membros da oposição que estão no </w:t>
      </w:r>
      <w:r w:rsidR="0012208C" w:rsidRPr="00D65A20">
        <w:rPr>
          <w:rFonts w:ascii="Times New Roman" w:hAnsi="Times New Roman"/>
          <w:lang w:val="pt-BR"/>
        </w:rPr>
        <w:t>exílio</w:t>
      </w:r>
      <w:r w:rsidRPr="00D65A20">
        <w:rPr>
          <w:rFonts w:ascii="Times New Roman" w:hAnsi="Times New Roman"/>
          <w:lang w:val="pt-BR"/>
        </w:rPr>
        <w:t>.</w:t>
      </w:r>
    </w:p>
    <w:p w14:paraId="6E834EDD" w14:textId="77777777" w:rsidR="0054287A" w:rsidRPr="00D65A20" w:rsidRDefault="0054287A" w:rsidP="0054287A">
      <w:pPr>
        <w:rPr>
          <w:rFonts w:ascii="Times New Roman" w:hAnsi="Times New Roman"/>
          <w:lang w:val="pt-BR"/>
        </w:rPr>
      </w:pPr>
    </w:p>
    <w:p w14:paraId="6E834EDE" w14:textId="77777777" w:rsidR="0054287A" w:rsidRPr="00D65A20" w:rsidRDefault="0054287A" w:rsidP="0054287A">
      <w:pPr>
        <w:rPr>
          <w:rFonts w:ascii="Times New Roman" w:hAnsi="Times New Roman"/>
          <w:lang w:val="pt-BR"/>
        </w:rPr>
      </w:pPr>
      <w:r w:rsidRPr="00D65A20">
        <w:rPr>
          <w:rFonts w:ascii="Times New Roman" w:hAnsi="Times New Roman"/>
          <w:lang w:val="pt-BR"/>
        </w:rPr>
        <w:tab/>
        <w:t>5.</w:t>
      </w:r>
      <w:r w:rsidRPr="00D65A20">
        <w:rPr>
          <w:rFonts w:ascii="Times New Roman" w:hAnsi="Times New Roman"/>
          <w:lang w:val="pt-BR"/>
        </w:rPr>
        <w:tab/>
        <w:t>Exigir um acesso pleno e sem entraves à prestação de assistência humanitária às populações mais vulneráveis e afetadas pela crise na Venezuela, em conformidade com os princípios humanitários acordados.</w:t>
      </w:r>
    </w:p>
    <w:p w14:paraId="6E834EDF" w14:textId="77777777" w:rsidR="0054287A" w:rsidRPr="00D65A20" w:rsidRDefault="0054287A" w:rsidP="0054287A">
      <w:pPr>
        <w:rPr>
          <w:rFonts w:ascii="Times New Roman" w:hAnsi="Times New Roman"/>
          <w:lang w:val="pt-BR"/>
        </w:rPr>
      </w:pPr>
    </w:p>
    <w:p w14:paraId="6E834EE0" w14:textId="77777777" w:rsidR="0054287A" w:rsidRPr="00D65A20" w:rsidRDefault="0054287A" w:rsidP="0054287A">
      <w:pPr>
        <w:rPr>
          <w:rFonts w:ascii="Times New Roman" w:hAnsi="Times New Roman"/>
          <w:lang w:val="pt-BR"/>
        </w:rPr>
      </w:pPr>
      <w:r w:rsidRPr="00D65A20">
        <w:rPr>
          <w:rFonts w:ascii="Times New Roman" w:hAnsi="Times New Roman"/>
          <w:lang w:val="pt-BR"/>
        </w:rPr>
        <w:tab/>
        <w:t>6.</w:t>
      </w:r>
      <w:r w:rsidRPr="00D65A20">
        <w:rPr>
          <w:rFonts w:ascii="Times New Roman" w:hAnsi="Times New Roman"/>
          <w:lang w:val="pt-BR"/>
        </w:rPr>
        <w:tab/>
        <w:t>Rejeitar a interferência no funcionamento dos partidos políticos por parte do regime ilegítimo de Maduro, que ignora a sua independência e a pluralidade de partidos e organizações políticas, que são elementos essenciais da democracia representativa, em conformidade com o artigo 3</w:t>
      </w:r>
      <w:r w:rsidR="0012208C" w:rsidRPr="00D65A20">
        <w:rPr>
          <w:rFonts w:ascii="Times New Roman" w:hAnsi="Times New Roman"/>
          <w:vertAlign w:val="superscript"/>
          <w:lang w:val="pt-BR"/>
        </w:rPr>
        <w:t>o</w:t>
      </w:r>
      <w:r w:rsidRPr="00D65A20">
        <w:rPr>
          <w:rFonts w:ascii="Times New Roman" w:hAnsi="Times New Roman"/>
          <w:lang w:val="pt-BR"/>
        </w:rPr>
        <w:t xml:space="preserve"> da Carta Democrática Interamericana.</w:t>
      </w:r>
    </w:p>
    <w:p w14:paraId="6E834EE1" w14:textId="77777777" w:rsidR="0054287A" w:rsidRPr="00D65A20" w:rsidRDefault="0054287A" w:rsidP="0054287A">
      <w:pPr>
        <w:rPr>
          <w:rFonts w:ascii="Times New Roman" w:hAnsi="Times New Roman"/>
          <w:lang w:val="pt-BR"/>
        </w:rPr>
      </w:pPr>
    </w:p>
    <w:p w14:paraId="6E834EE2" w14:textId="77777777" w:rsidR="0054287A" w:rsidRPr="00D65A20" w:rsidRDefault="0054287A" w:rsidP="0054287A">
      <w:pPr>
        <w:rPr>
          <w:rFonts w:ascii="Times New Roman" w:hAnsi="Times New Roman"/>
          <w:lang w:val="pt-BR"/>
        </w:rPr>
      </w:pPr>
      <w:r w:rsidRPr="00D65A20">
        <w:rPr>
          <w:rFonts w:ascii="Times New Roman" w:hAnsi="Times New Roman"/>
          <w:lang w:val="pt-BR"/>
        </w:rPr>
        <w:tab/>
        <w:t>7.</w:t>
      </w:r>
      <w:r w:rsidRPr="00D65A20">
        <w:rPr>
          <w:rFonts w:ascii="Times New Roman" w:hAnsi="Times New Roman"/>
          <w:lang w:val="pt-BR"/>
        </w:rPr>
        <w:tab/>
        <w:t>Instar a que se convoquem, o quanto antes possível, eleições presidenciais livres, justas, transparentes e legítimas, com observação internacional independente e crível que levem à nomeação de um governo eleito democraticamente e de acordo com a vontade do povo venezuelano.</w:t>
      </w:r>
    </w:p>
    <w:p w14:paraId="6E834EE3" w14:textId="77777777" w:rsidR="0054287A" w:rsidRPr="00D65A20" w:rsidRDefault="0054287A" w:rsidP="0054287A">
      <w:pPr>
        <w:rPr>
          <w:rFonts w:ascii="Times New Roman" w:hAnsi="Times New Roman"/>
          <w:lang w:val="pt-BR"/>
        </w:rPr>
      </w:pPr>
    </w:p>
    <w:p w14:paraId="6E834EE4" w14:textId="77777777" w:rsidR="0054287A" w:rsidRPr="00D65A20" w:rsidRDefault="0054287A" w:rsidP="0054287A">
      <w:pPr>
        <w:rPr>
          <w:rFonts w:ascii="Times New Roman" w:hAnsi="Times New Roman"/>
          <w:lang w:val="pt-BR"/>
        </w:rPr>
      </w:pPr>
      <w:r w:rsidRPr="00D65A20">
        <w:rPr>
          <w:rFonts w:ascii="Times New Roman" w:hAnsi="Times New Roman"/>
          <w:lang w:val="pt-BR"/>
        </w:rPr>
        <w:tab/>
        <w:t>8.</w:t>
      </w:r>
      <w:r w:rsidRPr="00D65A20">
        <w:rPr>
          <w:rFonts w:ascii="Times New Roman" w:hAnsi="Times New Roman"/>
          <w:lang w:val="pt-BR"/>
        </w:rPr>
        <w:tab/>
        <w:t>Reafirmar a legitimidade da Assembleia Nacional democraticamente eleita, bem como fortalecer o apoio aos atores democráticos da República Bolivariana da Venezuela nos seus esforços para a restauração pacífica da democracia, em conformidade com a Constituição da Venezuela.</w:t>
      </w:r>
    </w:p>
    <w:p w14:paraId="6E834EE5" w14:textId="77777777" w:rsidR="0054287A" w:rsidRPr="00D65A20" w:rsidRDefault="0054287A" w:rsidP="0054287A">
      <w:pPr>
        <w:rPr>
          <w:rFonts w:ascii="Times New Roman" w:hAnsi="Times New Roman"/>
          <w:lang w:val="pt-BR"/>
        </w:rPr>
      </w:pPr>
    </w:p>
    <w:p w14:paraId="6E834EE6" w14:textId="77777777" w:rsidR="0054287A" w:rsidRPr="00D65A20" w:rsidRDefault="0054287A" w:rsidP="0054287A">
      <w:pPr>
        <w:rPr>
          <w:rFonts w:ascii="Times New Roman" w:hAnsi="Times New Roman"/>
          <w:lang w:val="pt-BR"/>
        </w:rPr>
      </w:pPr>
      <w:r w:rsidRPr="00D65A20">
        <w:rPr>
          <w:rFonts w:ascii="Times New Roman" w:hAnsi="Times New Roman"/>
          <w:lang w:val="pt-BR"/>
        </w:rPr>
        <w:tab/>
        <w:t>9.</w:t>
      </w:r>
      <w:r w:rsidRPr="00D65A20">
        <w:rPr>
          <w:rFonts w:ascii="Times New Roman" w:hAnsi="Times New Roman"/>
          <w:lang w:val="pt-BR"/>
        </w:rPr>
        <w:tab/>
        <w:t>Solicitar ao Secretário-Geral que apresente relatórios periódicos ao Conselho Permanente sobre a situação na República Bolivariana da Venezuela e o cumprimento desta resolução e de outras resoluções sobre o tema, com recomendações pertinentes.</w:t>
      </w:r>
    </w:p>
    <w:p w14:paraId="6E834EE7" w14:textId="77777777" w:rsidR="0054287A" w:rsidRPr="00D65A20" w:rsidRDefault="0054287A" w:rsidP="0054287A">
      <w:pPr>
        <w:rPr>
          <w:rFonts w:ascii="Times New Roman" w:hAnsi="Times New Roman"/>
          <w:lang w:val="pt-BR"/>
        </w:rPr>
      </w:pPr>
    </w:p>
    <w:p w14:paraId="6E834EE8" w14:textId="77777777" w:rsidR="0054287A" w:rsidRPr="00D65A20" w:rsidRDefault="0054287A" w:rsidP="0054287A">
      <w:pPr>
        <w:rPr>
          <w:rFonts w:ascii="Times New Roman" w:hAnsi="Times New Roman"/>
          <w:lang w:val="pt-BR"/>
        </w:rPr>
      </w:pPr>
      <w:r w:rsidRPr="00D65A20">
        <w:rPr>
          <w:rFonts w:ascii="Times New Roman" w:hAnsi="Times New Roman"/>
          <w:lang w:val="pt-BR"/>
        </w:rPr>
        <w:tab/>
        <w:t>10.</w:t>
      </w:r>
      <w:r w:rsidRPr="00D65A20">
        <w:rPr>
          <w:rFonts w:ascii="Times New Roman" w:hAnsi="Times New Roman"/>
          <w:lang w:val="pt-BR"/>
        </w:rPr>
        <w:tab/>
        <w:t>Solicitar ao Secretário-Geral os seus bons ofícios para a coordenação com organizações internacionais relevantes, com o objetivo de formular recomendações aos Estados membros sobre possíveis ações e iniciativas em apoio aos esforços do povo venezuelano que levem à restauração da democracia na Venezuela.</w:t>
      </w:r>
    </w:p>
    <w:p w14:paraId="6E834EE9" w14:textId="77777777" w:rsidR="0054287A" w:rsidRPr="00D65A20" w:rsidRDefault="0054287A" w:rsidP="0054287A">
      <w:pPr>
        <w:rPr>
          <w:rFonts w:ascii="Times New Roman" w:hAnsi="Times New Roman"/>
          <w:lang w:val="pt-BR"/>
        </w:rPr>
      </w:pPr>
    </w:p>
    <w:p w14:paraId="6E834EEA" w14:textId="58A1418C" w:rsidR="0054287A" w:rsidRPr="00D65A20" w:rsidRDefault="0054287A" w:rsidP="0054287A">
      <w:pPr>
        <w:widowControl/>
        <w:rPr>
          <w:rFonts w:ascii="Times New Roman" w:hAnsi="Times New Roman"/>
          <w:vertAlign w:val="superscript"/>
          <w:lang w:val="pt-BR"/>
        </w:rPr>
      </w:pPr>
      <w:r w:rsidRPr="00D65A20">
        <w:rPr>
          <w:rFonts w:ascii="Times New Roman" w:hAnsi="Times New Roman"/>
          <w:lang w:val="pt-BR"/>
        </w:rPr>
        <w:lastRenderedPageBreak/>
        <w:tab/>
        <w:t>11.</w:t>
      </w:r>
      <w:r w:rsidRPr="00D65A20">
        <w:rPr>
          <w:rFonts w:ascii="Times New Roman" w:hAnsi="Times New Roman"/>
          <w:lang w:val="pt-BR"/>
        </w:rPr>
        <w:tab/>
        <w:t>Reiterar a aceitação pelos Estados membros do Representante Permanente junto à Organização dos Estados Americanos designado pela Assembleia Nacional da Venezuela até a realização de novas eleições presidenciais livres e justas que levem à nomeação de um governo eleito democraticamente, conforme estabelecido na resolução AG/RES 2944</w:t>
      </w:r>
      <w:r w:rsidR="00CD59C0" w:rsidRPr="00D65A20">
        <w:rPr>
          <w:rFonts w:ascii="Times New Roman" w:hAnsi="Times New Roman"/>
          <w:lang w:val="pt-BR"/>
        </w:rPr>
        <w:t xml:space="preserve"> (XLIX-O/19)</w:t>
      </w:r>
      <w:r w:rsidRPr="00D65A20">
        <w:rPr>
          <w:rFonts w:ascii="Times New Roman" w:hAnsi="Times New Roman"/>
          <w:lang w:val="pt-BR"/>
        </w:rPr>
        <w:t>.</w:t>
      </w:r>
      <w:r w:rsidRPr="00D65A20">
        <w:rPr>
          <w:rFonts w:ascii="Times New Roman" w:hAnsi="Times New Roman"/>
          <w:u w:val="single"/>
          <w:vertAlign w:val="superscript"/>
          <w:lang w:val="pt-BR"/>
        </w:rPr>
        <w:footnoteReference w:id="121"/>
      </w:r>
      <w:r w:rsidRPr="00D65A20">
        <w:rPr>
          <w:rFonts w:ascii="Times New Roman" w:hAnsi="Times New Roman"/>
          <w:vertAlign w:val="superscript"/>
          <w:lang w:val="pt-BR"/>
        </w:rPr>
        <w:t>/</w:t>
      </w:r>
    </w:p>
    <w:p w14:paraId="6E834EEB" w14:textId="77777777" w:rsidR="0054287A" w:rsidRPr="00D65A20" w:rsidRDefault="0054287A" w:rsidP="0054287A">
      <w:pPr>
        <w:widowControl/>
        <w:jc w:val="left"/>
        <w:rPr>
          <w:rFonts w:ascii="Times New Roman" w:hAnsi="Times New Roman"/>
          <w:vertAlign w:val="superscript"/>
          <w:lang w:val="pt-BR"/>
        </w:rPr>
      </w:pPr>
      <w:r w:rsidRPr="00D65A20">
        <w:rPr>
          <w:rFonts w:ascii="Times New Roman" w:hAnsi="Times New Roman"/>
          <w:vertAlign w:val="superscript"/>
          <w:lang w:val="pt-BR"/>
        </w:rPr>
        <w:br w:type="page"/>
      </w:r>
    </w:p>
    <w:p w14:paraId="6E834EEC" w14:textId="77777777" w:rsidR="0054287A" w:rsidRPr="00D65A20" w:rsidRDefault="0054287A" w:rsidP="0054287A">
      <w:pPr>
        <w:jc w:val="center"/>
        <w:rPr>
          <w:rFonts w:ascii="Times New Roman" w:hAnsi="Times New Roman"/>
          <w:bCs/>
          <w:sz w:val="20"/>
          <w:lang w:val="pt-BR"/>
        </w:rPr>
      </w:pPr>
      <w:r w:rsidRPr="00D65A20">
        <w:rPr>
          <w:rFonts w:ascii="Times New Roman" w:hAnsi="Times New Roman"/>
          <w:sz w:val="20"/>
          <w:lang w:val="pt-BR"/>
        </w:rPr>
        <w:lastRenderedPageBreak/>
        <w:t>NOTAS DE RODAPÉ</w:t>
      </w:r>
    </w:p>
    <w:p w14:paraId="6E834EED" w14:textId="77777777" w:rsidR="0054287A" w:rsidRPr="00D65A20" w:rsidRDefault="0054287A" w:rsidP="0054287A">
      <w:pPr>
        <w:rPr>
          <w:rFonts w:ascii="Times New Roman" w:hAnsi="Times New Roman"/>
          <w:bCs/>
          <w:sz w:val="20"/>
          <w:lang w:val="pt-BR"/>
        </w:rPr>
      </w:pPr>
    </w:p>
    <w:p w14:paraId="6E834EEE" w14:textId="77777777" w:rsidR="0054287A" w:rsidRPr="00D65A20" w:rsidRDefault="0054287A" w:rsidP="0054287A">
      <w:pPr>
        <w:rPr>
          <w:rFonts w:ascii="Times New Roman" w:hAnsi="Times New Roman"/>
          <w:bCs/>
          <w:sz w:val="20"/>
          <w:lang w:val="pt-BR"/>
        </w:rPr>
      </w:pPr>
    </w:p>
    <w:p w14:paraId="6E834EEF" w14:textId="77777777" w:rsidR="00AD5D09" w:rsidRPr="00D65A20" w:rsidRDefault="0054287A" w:rsidP="00AD5D09">
      <w:pPr>
        <w:widowControl/>
        <w:ind w:firstLine="720"/>
        <w:rPr>
          <w:rFonts w:ascii="Times New Roman" w:hAnsi="Times New Roman"/>
          <w:sz w:val="20"/>
          <w:lang w:val="pt-BR"/>
        </w:rPr>
      </w:pPr>
      <w:r w:rsidRPr="00D65A20">
        <w:rPr>
          <w:rFonts w:ascii="Times New Roman" w:hAnsi="Times New Roman"/>
          <w:sz w:val="20"/>
          <w:lang w:val="pt-BR"/>
        </w:rPr>
        <w:t>1.</w:t>
      </w:r>
      <w:r w:rsidRPr="00D65A20">
        <w:rPr>
          <w:rFonts w:ascii="Times New Roman" w:hAnsi="Times New Roman"/>
          <w:sz w:val="20"/>
          <w:lang w:val="pt-BR"/>
        </w:rPr>
        <w:tab/>
        <w:t>(...)</w:t>
      </w:r>
      <w:r w:rsidR="00AD5D09" w:rsidRPr="00D65A20">
        <w:rPr>
          <w:rFonts w:ascii="Times New Roman" w:hAnsi="Times New Roman"/>
          <w:sz w:val="20"/>
          <w:lang w:val="pt-BR"/>
        </w:rPr>
        <w:t xml:space="preserve">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6E834EF0" w14:textId="77777777" w:rsidR="00AD5D09" w:rsidRPr="00D65A20" w:rsidRDefault="00AD5D09" w:rsidP="00AD5D09">
      <w:pPr>
        <w:widowControl/>
        <w:rPr>
          <w:rFonts w:ascii="Times New Roman" w:hAnsi="Times New Roman"/>
          <w:sz w:val="20"/>
          <w:lang w:val="pt-BR"/>
        </w:rPr>
      </w:pPr>
    </w:p>
    <w:p w14:paraId="6E834EF1" w14:textId="77777777" w:rsidR="00AD5D09" w:rsidRPr="00D65A20" w:rsidRDefault="00AD5D09" w:rsidP="00AD5D09">
      <w:pPr>
        <w:widowControl/>
        <w:ind w:firstLine="720"/>
        <w:rPr>
          <w:rFonts w:ascii="Times New Roman" w:hAnsi="Times New Roman"/>
          <w:sz w:val="20"/>
          <w:lang w:val="pt-BR"/>
        </w:rPr>
      </w:pPr>
      <w:r w:rsidRPr="00D65A20">
        <w:rPr>
          <w:rFonts w:ascii="Times New Roman" w:hAnsi="Times New Roman"/>
          <w:sz w:val="20"/>
          <w:lang w:val="pt-BR"/>
        </w:rPr>
        <w:t xml:space="preserve">Antígua e Barbuda não apoiou a resolução CP/RES. 1124 (2217/19), de 9 de abril de 2019, cuja intenção era nomear o Senhor Gustavo Tarre como Representante da Assembleia Nacional junto à OEA, e não aceitou as credenciais das autoridades que pretendiam representar a República Bolivariana da Venezuela no Quadragésimo Nono e no Quinquagésimo Períodos Ordinários de Sessões da Assembleia Geral. </w:t>
      </w:r>
    </w:p>
    <w:p w14:paraId="6E834EF2" w14:textId="77777777" w:rsidR="00AD5D09" w:rsidRPr="00D65A20" w:rsidRDefault="00AD5D09" w:rsidP="00AD5D09">
      <w:pPr>
        <w:widowControl/>
        <w:rPr>
          <w:rFonts w:ascii="Times New Roman" w:hAnsi="Times New Roman"/>
          <w:sz w:val="20"/>
          <w:lang w:val="pt-BR"/>
        </w:rPr>
      </w:pPr>
    </w:p>
    <w:p w14:paraId="6E834EF7" w14:textId="1E28B60F" w:rsidR="0054287A" w:rsidRPr="00D65A20" w:rsidRDefault="00AD5D09" w:rsidP="00AD5D09">
      <w:pPr>
        <w:ind w:firstLine="720"/>
        <w:rPr>
          <w:rFonts w:ascii="Times New Roman" w:hAnsi="Times New Roman"/>
          <w:sz w:val="20"/>
          <w:lang w:val="pt-BR"/>
        </w:rPr>
      </w:pPr>
      <w:r w:rsidRPr="00D65A20">
        <w:rPr>
          <w:rFonts w:ascii="Times New Roman" w:hAnsi="Times New Roman"/>
          <w:sz w:val="20"/>
          <w:lang w:val="pt-BR"/>
        </w:rPr>
        <w:t>Desse modo, Antígua e Barbuda informa a todos os Estados membros e à Secretaria-Geral da Organização dos Estados Americanos que, até novo aviso, assim como fez no Quadragésimo Nono Período Ordinário de Sessões da Assembleia Geral, não se considerará vinculado a nenhuma declaração ou resolução emanada do Quinquagésimo Período Ordinário de Sessões da Assembleia Geral, nem a quaisquer futuras declarações ou resoluções de qualquer Conselho ou órgão da Organização que incluam a participação de qualquer pessoa ou entidade pretensamente falando pela República Bolivariana da Venezuela ou agindo em seu nome, e nas quais se alcancem 18 votos com a participação de um pretenso representante da República Bolivariana da Venezuela</w:t>
      </w:r>
      <w:r w:rsidR="0054287A" w:rsidRPr="00D65A20">
        <w:rPr>
          <w:rFonts w:ascii="Times New Roman" w:hAnsi="Times New Roman"/>
          <w:sz w:val="20"/>
          <w:lang w:val="pt-BR"/>
        </w:rPr>
        <w:t>.</w:t>
      </w:r>
    </w:p>
    <w:p w14:paraId="6E834EF8" w14:textId="77777777" w:rsidR="0054287A" w:rsidRPr="00D65A20" w:rsidRDefault="0054287A" w:rsidP="0054287A">
      <w:pPr>
        <w:rPr>
          <w:rFonts w:ascii="Times New Roman" w:hAnsi="Times New Roman"/>
          <w:sz w:val="20"/>
          <w:lang w:val="pt-BR"/>
        </w:rPr>
      </w:pPr>
    </w:p>
    <w:p w14:paraId="6E834EF9" w14:textId="77777777" w:rsidR="0054287A" w:rsidRPr="00D65A20" w:rsidRDefault="0054287A" w:rsidP="0054287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szCs w:val="24"/>
          <w:lang w:val="pt-BR"/>
        </w:rPr>
      </w:pPr>
      <w:r w:rsidRPr="00D65A20">
        <w:rPr>
          <w:rFonts w:ascii="Times New Roman" w:eastAsia="Calibri" w:hAnsi="Times New Roman"/>
          <w:sz w:val="20"/>
          <w:szCs w:val="24"/>
          <w:lang w:val="pt-BR"/>
        </w:rPr>
        <w:t>2.</w:t>
      </w:r>
      <w:r w:rsidRPr="00D65A20">
        <w:rPr>
          <w:rFonts w:ascii="Times New Roman" w:eastAsia="Calibri" w:hAnsi="Times New Roman"/>
          <w:sz w:val="20"/>
          <w:szCs w:val="24"/>
          <w:lang w:val="pt-BR"/>
        </w:rPr>
        <w:tab/>
        <w:t xml:space="preserve">(...) </w:t>
      </w:r>
      <w:r w:rsidRPr="00D65A20">
        <w:rPr>
          <w:rFonts w:ascii="Times New Roman" w:hAnsi="Times New Roman"/>
          <w:sz w:val="20"/>
          <w:szCs w:val="24"/>
          <w:lang w:val="pt-BR"/>
        </w:rPr>
        <w:t xml:space="preserve">reservas para que se façam registrar no que tange a participação e votação do(s) pretenso(s) representante(s) da República Bolivariana da Venezuela em quaisquer resoluções, declarações e eleições consideradas pelo Quinquagésimo Período Ordinário de Sessões da Assembleia Geral e qualquer outro órgão da Organização dos Estados Americanos (OEA).  </w:t>
      </w:r>
    </w:p>
    <w:p w14:paraId="6E834EFA" w14:textId="77777777" w:rsidR="0054287A" w:rsidRPr="00D65A20" w:rsidRDefault="0054287A" w:rsidP="0054287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szCs w:val="24"/>
          <w:lang w:val="pt-BR"/>
        </w:rPr>
      </w:pPr>
    </w:p>
    <w:p w14:paraId="6E834EFB" w14:textId="77777777" w:rsidR="0054287A" w:rsidRPr="00D65A20" w:rsidRDefault="0054287A" w:rsidP="0054287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szCs w:val="24"/>
          <w:lang w:val="pt-BR"/>
        </w:rPr>
      </w:pPr>
      <w:r w:rsidRPr="00D65A20">
        <w:rPr>
          <w:rFonts w:ascii="Times New Roman" w:hAnsi="Times New Roman"/>
          <w:sz w:val="20"/>
          <w:szCs w:val="24"/>
          <w:lang w:val="pt-BR"/>
        </w:rPr>
        <w:t xml:space="preserve">O Governo do </w:t>
      </w:r>
      <w:r w:rsidRPr="00D65A20">
        <w:rPr>
          <w:rFonts w:ascii="Times New Roman" w:hAnsi="Times New Roman"/>
          <w:i/>
          <w:sz w:val="20"/>
          <w:szCs w:val="24"/>
          <w:lang w:val="pt-BR"/>
        </w:rPr>
        <w:t xml:space="preserve">Commonwealth </w:t>
      </w:r>
      <w:r w:rsidRPr="00D65A20">
        <w:rPr>
          <w:rFonts w:ascii="Times New Roman" w:hAnsi="Times New Roman"/>
          <w:sz w:val="20"/>
          <w:szCs w:val="24"/>
          <w:lang w:val="pt-BR"/>
        </w:rPr>
        <w:t xml:space="preserve">da Dominica também renova a posição que fez registrar de que, em conformidade com o artigo 143 da Carta da OEA, que dispõe, </w:t>
      </w:r>
      <w:r w:rsidRPr="00D65A20">
        <w:rPr>
          <w:rFonts w:ascii="Times New Roman" w:hAnsi="Times New Roman"/>
          <w:i/>
          <w:sz w:val="20"/>
          <w:szCs w:val="24"/>
          <w:lang w:val="pt-BR"/>
        </w:rPr>
        <w:t>inter alia</w:t>
      </w:r>
      <w:r w:rsidRPr="00D65A20">
        <w:rPr>
          <w:rFonts w:ascii="Times New Roman" w:hAnsi="Times New Roman"/>
          <w:sz w:val="20"/>
          <w:szCs w:val="24"/>
          <w:lang w:val="pt-BR"/>
        </w:rPr>
        <w:t xml:space="preserve">, que um Estado membro poderá denunciar a Carta e que, transcorridos dois anos a partir da data em que a Secretaria-Geral receber uma notificação de denúncia, a presente Carta cessará seus efeitos em relação ao dito Estado denunciante e este ficará desligado da Organização, que o Estado denunciante perderá seus direitos e obrigações e ficará desligado de todas as ações e decisões da Organização, a Venezuela deixou de ser Estado membro da OEA e, portanto, não tem direito a uma cadeira na OEA.  O Governo do </w:t>
      </w:r>
      <w:r w:rsidRPr="00D65A20">
        <w:rPr>
          <w:rFonts w:ascii="Times New Roman" w:hAnsi="Times New Roman"/>
          <w:i/>
          <w:sz w:val="20"/>
          <w:szCs w:val="24"/>
          <w:lang w:val="pt-BR"/>
        </w:rPr>
        <w:t>Commonwealth</w:t>
      </w:r>
      <w:r w:rsidRPr="00D65A20">
        <w:rPr>
          <w:rFonts w:ascii="Times New Roman" w:hAnsi="Times New Roman"/>
          <w:sz w:val="20"/>
          <w:szCs w:val="24"/>
          <w:lang w:val="pt-BR"/>
        </w:rPr>
        <w:t xml:space="preserve"> da Dominica, portanto, não reconhece nenhuma pessoa que ocupe a cadeira da Venezuela que não seja uma pessoa devidamente nomeada pelo Governo do Estado da Venezuela.</w:t>
      </w:r>
    </w:p>
    <w:p w14:paraId="6E834EFC" w14:textId="77777777" w:rsidR="0054287A" w:rsidRPr="00D65A20" w:rsidRDefault="0054287A" w:rsidP="0054287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szCs w:val="24"/>
          <w:lang w:val="pt-BR"/>
        </w:rPr>
      </w:pPr>
    </w:p>
    <w:p w14:paraId="6E834EFD" w14:textId="77777777" w:rsidR="0054287A" w:rsidRPr="00D65A20" w:rsidRDefault="0054287A" w:rsidP="0054287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szCs w:val="24"/>
          <w:lang w:val="pt-BR"/>
        </w:rPr>
      </w:pPr>
      <w:r w:rsidRPr="00D65A20">
        <w:rPr>
          <w:rFonts w:ascii="Times New Roman" w:hAnsi="Times New Roman"/>
          <w:sz w:val="20"/>
          <w:szCs w:val="24"/>
          <w:lang w:val="pt-BR"/>
        </w:rPr>
        <w:t xml:space="preserve">O Governo do </w:t>
      </w:r>
      <w:r w:rsidRPr="00D65A20">
        <w:rPr>
          <w:rFonts w:ascii="Times New Roman" w:hAnsi="Times New Roman"/>
          <w:i/>
          <w:sz w:val="20"/>
          <w:szCs w:val="24"/>
          <w:lang w:val="pt-BR"/>
        </w:rPr>
        <w:t>Commonwealth</w:t>
      </w:r>
      <w:r w:rsidRPr="00D65A20">
        <w:rPr>
          <w:rFonts w:ascii="Times New Roman" w:hAnsi="Times New Roman"/>
          <w:sz w:val="20"/>
          <w:szCs w:val="24"/>
          <w:lang w:val="pt-BR"/>
        </w:rPr>
        <w:t xml:space="preserve"> da Dominica reserva-se o pleno direito de reconhecer as resoluções e declarações adotadas no Quinquagésimo Período Ordinário de Sessões da Assembleia Geral da Organização dos Estados Americanos e toda resolução e declaração posteriormente aprovada com a participação dos pretensos representantes da Venezuela.  </w:t>
      </w:r>
    </w:p>
    <w:p w14:paraId="6E834EFE" w14:textId="77777777" w:rsidR="0054287A" w:rsidRPr="00D65A20" w:rsidRDefault="0054287A" w:rsidP="0054287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20"/>
          <w:szCs w:val="24"/>
          <w:lang w:val="pt-BR"/>
        </w:rPr>
      </w:pPr>
    </w:p>
    <w:p w14:paraId="6E834EFF" w14:textId="77777777" w:rsidR="0054287A" w:rsidRPr="00D65A20" w:rsidRDefault="0054287A" w:rsidP="0054287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szCs w:val="24"/>
          <w:lang w:val="pt-BR"/>
        </w:rPr>
      </w:pPr>
      <w:r w:rsidRPr="00D65A20">
        <w:rPr>
          <w:rFonts w:ascii="Times New Roman" w:eastAsia="Calibri" w:hAnsi="Times New Roman"/>
          <w:sz w:val="20"/>
          <w:szCs w:val="24"/>
          <w:lang w:val="pt-BR"/>
        </w:rPr>
        <w:t>3.</w:t>
      </w:r>
      <w:r w:rsidRPr="00D65A20">
        <w:rPr>
          <w:rFonts w:ascii="Times New Roman" w:eastAsia="Calibri" w:hAnsi="Times New Roman"/>
          <w:sz w:val="20"/>
          <w:szCs w:val="24"/>
          <w:lang w:val="pt-BR"/>
        </w:rPr>
        <w:tab/>
        <w:t xml:space="preserve">(...) a decisão soberana de se retirar da OEA. Essa denúncia entraria em vigor em 27 de abril de 2019. São Vicente e Granadinas não apoiou a resolução CP/RES 1124 (2217/19), de 9 de abril de 2019, cuja intenção era indicar o Senhor Gustavo Tarre como Representante da Assembleia junto à OEA, razão pela qual não aceitamos as credenciais de pessoa alguma que esteja aqui hoje alegando representar a República Bolivariana da Venezuela no Quinquagésimo Período Ordinário de Sessões da Assembleia Geral. </w:t>
      </w:r>
    </w:p>
    <w:p w14:paraId="6E834F00" w14:textId="77777777" w:rsidR="0054287A" w:rsidRPr="00D65A20" w:rsidRDefault="0054287A" w:rsidP="0054287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20"/>
          <w:szCs w:val="24"/>
          <w:lang w:val="pt-BR"/>
        </w:rPr>
      </w:pPr>
    </w:p>
    <w:p w14:paraId="6E834F01" w14:textId="77777777" w:rsidR="001814EC" w:rsidRPr="00D65A20" w:rsidRDefault="0054287A" w:rsidP="0054287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szCs w:val="24"/>
          <w:lang w:val="pt-BR"/>
        </w:rPr>
      </w:pPr>
      <w:r w:rsidRPr="00D65A20">
        <w:rPr>
          <w:rFonts w:ascii="Times New Roman" w:eastAsia="Calibri" w:hAnsi="Times New Roman"/>
          <w:sz w:val="20"/>
          <w:szCs w:val="24"/>
          <w:lang w:val="pt-BR"/>
        </w:rPr>
        <w:t xml:space="preserve">São Vicente e Granadinas, portanto, notifica todos os Estados membros e a Secretaria-Geral da Organização dos Estados Americanos de que, até aviso em contrário, não se considerará vinculado a nenhuma declaração ou resolução que emane do Quinquagésimo Período Ordinário de Sessões da Assembleia Geral ou a futuras declarações ou resoluções de qualquer Conselho ou órgão da Organização, quando incluam a </w:t>
      </w:r>
      <w:r w:rsidRPr="00D65A20">
        <w:rPr>
          <w:rFonts w:ascii="Times New Roman" w:eastAsia="Calibri" w:hAnsi="Times New Roman"/>
          <w:sz w:val="20"/>
          <w:szCs w:val="24"/>
          <w:lang w:val="pt-BR"/>
        </w:rPr>
        <w:lastRenderedPageBreak/>
        <w:t>participação de qualquer pessoa ou entidade que pretensamente fale pela República Bolivariana da Venezuela, ou aja em seu nome.</w:t>
      </w:r>
    </w:p>
    <w:p w14:paraId="6E834F02" w14:textId="1ADD175F" w:rsidR="0054287A" w:rsidRPr="00D65A20" w:rsidRDefault="0054287A" w:rsidP="00E558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20"/>
          <w:szCs w:val="24"/>
          <w:lang w:val="pt-BR"/>
        </w:rPr>
      </w:pPr>
    </w:p>
    <w:p w14:paraId="6E834F03" w14:textId="2ED65AA6" w:rsidR="0054287A" w:rsidRPr="00D65A20" w:rsidRDefault="0054287A" w:rsidP="0054287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szCs w:val="24"/>
          <w:lang w:val="pt-BR"/>
        </w:rPr>
      </w:pPr>
      <w:r w:rsidRPr="00D65A20">
        <w:rPr>
          <w:rFonts w:ascii="Times New Roman" w:eastAsia="Calibri" w:hAnsi="Times New Roman"/>
          <w:sz w:val="20"/>
          <w:szCs w:val="24"/>
          <w:lang w:val="pt-BR"/>
        </w:rPr>
        <w:t>A apresentação desta nova resolução, bem como a versão aprovada no Quadragésimo Nono Período Ordinário de Sessões da Assembleia Geral, é, de fato, uma clara violação dos princípios e preceitos do Dire</w:t>
      </w:r>
      <w:r w:rsidR="002C7614" w:rsidRPr="00D65A20">
        <w:rPr>
          <w:rFonts w:ascii="Times New Roman" w:eastAsia="Calibri" w:hAnsi="Times New Roman"/>
          <w:sz w:val="20"/>
          <w:szCs w:val="24"/>
          <w:lang w:val="pt-BR"/>
        </w:rPr>
        <w:t>i</w:t>
      </w:r>
      <w:r w:rsidRPr="00D65A20">
        <w:rPr>
          <w:rFonts w:ascii="Times New Roman" w:eastAsia="Calibri" w:hAnsi="Times New Roman"/>
          <w:sz w:val="20"/>
          <w:szCs w:val="24"/>
          <w:lang w:val="pt-BR"/>
        </w:rPr>
        <w:t xml:space="preserve">to </w:t>
      </w:r>
      <w:r w:rsidR="001814EC" w:rsidRPr="00D65A20">
        <w:rPr>
          <w:rFonts w:ascii="Times New Roman" w:eastAsia="Calibri" w:hAnsi="Times New Roman"/>
          <w:sz w:val="20"/>
          <w:szCs w:val="24"/>
          <w:lang w:val="pt-BR"/>
        </w:rPr>
        <w:t>internacional</w:t>
      </w:r>
      <w:r w:rsidRPr="00D65A20">
        <w:rPr>
          <w:rFonts w:ascii="Times New Roman" w:eastAsia="Calibri" w:hAnsi="Times New Roman"/>
          <w:sz w:val="20"/>
          <w:szCs w:val="24"/>
          <w:lang w:val="pt-BR"/>
        </w:rPr>
        <w:t>.</w:t>
      </w:r>
    </w:p>
    <w:p w14:paraId="6E834F04" w14:textId="77777777" w:rsidR="0054287A" w:rsidRPr="00D65A20" w:rsidRDefault="0054287A" w:rsidP="0054287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20"/>
          <w:szCs w:val="24"/>
          <w:lang w:val="pt-BR"/>
        </w:rPr>
      </w:pPr>
    </w:p>
    <w:p w14:paraId="6E834F05" w14:textId="31897248" w:rsidR="0054287A" w:rsidRPr="00D65A20" w:rsidRDefault="009A7102" w:rsidP="0054287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 w:val="20"/>
          <w:szCs w:val="24"/>
          <w:lang w:val="pt-BR"/>
        </w:rPr>
      </w:pPr>
      <w:r>
        <w:rPr>
          <w:rFonts w:ascii="Times New Roman" w:eastAsia="Calibri" w:hAnsi="Times New Roman"/>
          <w:sz w:val="20"/>
          <w:szCs w:val="24"/>
          <w:lang w:val="pt-BR"/>
        </w:rPr>
        <w:t>4</w:t>
      </w:r>
      <w:r w:rsidR="0054287A" w:rsidRPr="00D65A20">
        <w:rPr>
          <w:rFonts w:ascii="Times New Roman" w:eastAsia="Calibri" w:hAnsi="Times New Roman"/>
          <w:sz w:val="20"/>
          <w:szCs w:val="24"/>
          <w:lang w:val="pt-BR"/>
        </w:rPr>
        <w:t>.</w:t>
      </w:r>
      <w:r w:rsidR="0054287A" w:rsidRPr="00D65A20">
        <w:rPr>
          <w:rFonts w:ascii="Times New Roman" w:eastAsia="Calibri" w:hAnsi="Times New Roman"/>
          <w:sz w:val="20"/>
          <w:szCs w:val="24"/>
          <w:lang w:val="pt-BR"/>
        </w:rPr>
        <w:tab/>
        <w:t>(...) sobre um país que não é membro desta Organização e não tem representação legal nela, nem em qualquer outro órgão do Sistema Interamericano.</w:t>
      </w:r>
    </w:p>
    <w:p w14:paraId="6E834F06" w14:textId="77777777" w:rsidR="0054287A" w:rsidRPr="00D65A20" w:rsidRDefault="0054287A" w:rsidP="0054287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pt-BR" w:eastAsia="es-ES"/>
        </w:rPr>
      </w:pPr>
    </w:p>
    <w:p w14:paraId="6E834F07" w14:textId="77777777" w:rsidR="0054287A" w:rsidRPr="00D65A20" w:rsidRDefault="0054287A" w:rsidP="0054287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hAnsi="Times New Roman"/>
          <w:sz w:val="20"/>
          <w:lang w:val="pt-BR" w:eastAsia="es-ES"/>
        </w:rPr>
      </w:pPr>
      <w:r w:rsidRPr="00D65A20">
        <w:rPr>
          <w:rFonts w:ascii="Times New Roman" w:hAnsi="Times New Roman"/>
          <w:sz w:val="20"/>
          <w:lang w:val="pt-BR" w:eastAsia="es-ES"/>
        </w:rPr>
        <w:t>Essa ação viola claramente a natureza e os propósitos da Carta da OEA e os fins para os quais foi concebida e criada esta Organização, o que provocou sua falta de credibilidade, sua deterioração institucional, sua fragmentação perpétua, a polarização e a divisão entre os Estados da América Latina e do Caribe, gerada pela política agressiva e ingerencista da atual administração norte-americana sobre as nações soberanas de Venezuela, Cuba e Nicarágua, tornando a Agenda Interamericana da OEA monotemática e sem maior relevância e importância para os cidadãos das Américas.</w:t>
      </w:r>
    </w:p>
    <w:p w14:paraId="6E834F08" w14:textId="77777777" w:rsidR="0054287A" w:rsidRPr="00D65A20" w:rsidRDefault="0054287A" w:rsidP="0054287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pt-BR" w:eastAsia="es-ES"/>
        </w:rPr>
      </w:pPr>
    </w:p>
    <w:p w14:paraId="6E834F09" w14:textId="77777777" w:rsidR="0054287A" w:rsidRPr="00D65A20" w:rsidRDefault="0054287A" w:rsidP="0054287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hAnsi="Times New Roman"/>
          <w:sz w:val="20"/>
          <w:lang w:val="pt-BR" w:eastAsia="es-ES"/>
        </w:rPr>
      </w:pPr>
      <w:r w:rsidRPr="00D65A20">
        <w:rPr>
          <w:rFonts w:ascii="Times New Roman" w:hAnsi="Times New Roman"/>
          <w:sz w:val="20"/>
          <w:lang w:val="pt-BR" w:eastAsia="es-ES"/>
        </w:rPr>
        <w:t>Esta Organização continua transgredindo os propósitos e princípios da Carta da ONU e os princípios do Direito internacional, entre eles a não ingerência nos assuntos internos dos Estados e o direito à autodeterminação. Pretendem constituir uma entidade supranacional para poder tutelar a Venezuela, monitorar e desconsiderar suas instituições, sua democracia e suas autoridades e buscar formas de anular sua soberania nacional, a fim de poder continuar dando livre curso à política agressiva de bloqueio, prejuízo dos programas sociais e asfixia econômica mediante a pilhagem dos recursos naturais daquele país e a aplicação das erroneamente denominadas sanções, que nada mais são do que agressões dirigidas, patrocinadas e promovidas pela administração norte-americana e seus aliados contra aquele país irmão, com o objetivo de punir o povo venezuelano por seu apoio ao Governo e assim afetar o modelo constitucional e soberano de democracia popular que o país vem desenvolvendo.</w:t>
      </w:r>
    </w:p>
    <w:p w14:paraId="6E834F0A" w14:textId="77777777" w:rsidR="0054287A" w:rsidRPr="00D65A20" w:rsidRDefault="0054287A" w:rsidP="0054287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pt-BR" w:eastAsia="es-ES"/>
        </w:rPr>
      </w:pPr>
    </w:p>
    <w:p w14:paraId="6E834F0B" w14:textId="77777777" w:rsidR="0054287A" w:rsidRPr="00D65A20" w:rsidRDefault="0054287A" w:rsidP="0054287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hAnsi="Times New Roman"/>
          <w:sz w:val="20"/>
          <w:lang w:val="pt-BR" w:eastAsia="es-ES"/>
        </w:rPr>
      </w:pPr>
      <w:r w:rsidRPr="00D65A20">
        <w:rPr>
          <w:rFonts w:ascii="Times New Roman" w:hAnsi="Times New Roman"/>
          <w:sz w:val="20"/>
          <w:lang w:val="pt-BR" w:eastAsia="es-ES"/>
        </w:rPr>
        <w:t>A Nicarágua denuncia e condena essa nova ação ingerencista e desestabilizadora de um grupo de países interessados em afetar a soberania, a paz, a segurança, o processo eleitoral e a autodeterminação do Governo legítimo da Venezuela, liderado pelo Presidente Nicolás Maduro, e rejeita como inadmissível, ilegal e improcedente a resolução apresentada, que transformou este fórum em um centro de conspiração e desestabilização contra as nações soberanas e democráticas da América Latina e do Caribe.</w:t>
      </w:r>
    </w:p>
    <w:p w14:paraId="6E834F0C" w14:textId="77777777" w:rsidR="0054287A" w:rsidRPr="00D65A20" w:rsidRDefault="0054287A" w:rsidP="0054287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pt-BR" w:eastAsia="es-ES"/>
        </w:rPr>
      </w:pPr>
    </w:p>
    <w:p w14:paraId="6E834F0D" w14:textId="77777777" w:rsidR="0054287A" w:rsidRPr="00D65A20" w:rsidRDefault="0054287A" w:rsidP="0054287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hAnsi="Times New Roman"/>
          <w:sz w:val="20"/>
          <w:lang w:val="pt-BR" w:eastAsia="es-ES"/>
        </w:rPr>
      </w:pPr>
      <w:r w:rsidRPr="00D65A20">
        <w:rPr>
          <w:rFonts w:ascii="Times New Roman" w:hAnsi="Times New Roman"/>
          <w:sz w:val="20"/>
          <w:lang w:val="pt-BR" w:eastAsia="es-ES"/>
        </w:rPr>
        <w:t>O Governo de Reconciliação e Unidade Nacional ratifica sua irrevogável e invariável solidariedade com o povo e o Governo legitimamente eleito pelo povo venezuelano, encabeçado pelo Presidente constitucional Nicolás Maduro Moros, que é um exemplo de decoro e dignidade nacional do valente e nobre povo de Bolívar e do comandante Hugo Rafael Chávez Frías.</w:t>
      </w:r>
    </w:p>
    <w:p w14:paraId="6E834F0E" w14:textId="77777777" w:rsidR="0054287A" w:rsidRPr="00D65A20" w:rsidRDefault="0054287A" w:rsidP="0054287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pt-BR" w:eastAsia="es-ES"/>
        </w:rPr>
      </w:pPr>
    </w:p>
    <w:p w14:paraId="6E834F0F" w14:textId="77777777" w:rsidR="0054287A" w:rsidRPr="00D65A20" w:rsidRDefault="0054287A" w:rsidP="0054287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4"/>
          <w:szCs w:val="22"/>
          <w:lang w:val="pt-BR"/>
        </w:rPr>
      </w:pPr>
      <w:r w:rsidRPr="00D65A20">
        <w:rPr>
          <w:rFonts w:ascii="Times New Roman" w:eastAsia="Calibri" w:hAnsi="Times New Roman"/>
          <w:sz w:val="20"/>
          <w:lang w:val="pt-BR"/>
        </w:rPr>
        <w:t>O Presidente Nicolás Maduro e o povo venezuelano, na firme unidade civil-militar, continuam defendendo contra os agressores o direito à segurança, à estabilidade, ao trabalho, ao desenvolvimento econômico e social e à paz das famílias venezuelanas.</w:t>
      </w:r>
    </w:p>
    <w:p w14:paraId="6E834F11" w14:textId="77777777" w:rsidR="00440A50" w:rsidRPr="00D65A20" w:rsidRDefault="00440A50" w:rsidP="00E55832">
      <w:pPr>
        <w:widowControl/>
        <w:outlineLvl w:val="0"/>
        <w:rPr>
          <w:rFonts w:ascii="Times New Roman" w:hAnsi="Times New Roman"/>
          <w:sz w:val="20"/>
          <w:lang w:val="pt-BR"/>
        </w:rPr>
      </w:pPr>
    </w:p>
    <w:p w14:paraId="6E834F12" w14:textId="58C56D79" w:rsidR="00440A50" w:rsidRPr="00D65A20" w:rsidRDefault="00440A50" w:rsidP="00440A50">
      <w:pPr>
        <w:rPr>
          <w:rStyle w:val="FootnoteReference"/>
          <w:rFonts w:ascii="Times New Roman" w:hAnsi="Times New Roman"/>
          <w:sz w:val="20"/>
          <w:lang w:val="pt-BR"/>
        </w:rPr>
      </w:pPr>
      <w:r w:rsidRPr="00D65A20">
        <w:rPr>
          <w:rFonts w:ascii="Times New Roman" w:hAnsi="Times New Roman"/>
          <w:sz w:val="20"/>
          <w:lang w:val="pt-BR"/>
        </w:rPr>
        <w:tab/>
      </w:r>
      <w:r w:rsidR="009A7102">
        <w:rPr>
          <w:rFonts w:ascii="Times New Roman" w:hAnsi="Times New Roman"/>
          <w:sz w:val="20"/>
          <w:lang w:val="pt-BR"/>
        </w:rPr>
        <w:t>5</w:t>
      </w:r>
      <w:r w:rsidRPr="00D65A20">
        <w:rPr>
          <w:rFonts w:ascii="Times New Roman" w:hAnsi="Times New Roman"/>
          <w:sz w:val="20"/>
          <w:lang w:val="pt-BR"/>
        </w:rPr>
        <w:t xml:space="preserve">. </w:t>
      </w:r>
      <w:r w:rsidR="00E55832">
        <w:rPr>
          <w:rFonts w:ascii="Times New Roman" w:hAnsi="Times New Roman"/>
          <w:sz w:val="20"/>
          <w:lang w:val="pt-BR"/>
        </w:rPr>
        <w:tab/>
      </w:r>
      <w:r w:rsidRPr="00D65A20">
        <w:rPr>
          <w:rFonts w:ascii="Times New Roman" w:hAnsi="Times New Roman"/>
          <w:sz w:val="20"/>
          <w:lang w:val="pt-BR"/>
        </w:rPr>
        <w:t>(...) Quinquagésimo Período Ordinário de Sessões da Assembleia Geral.</w:t>
      </w:r>
    </w:p>
    <w:p w14:paraId="6E834F13" w14:textId="77777777" w:rsidR="00440A50" w:rsidRPr="00D65A20" w:rsidRDefault="00440A50" w:rsidP="0054287A">
      <w:pPr>
        <w:widowControl/>
        <w:jc w:val="center"/>
        <w:outlineLvl w:val="0"/>
        <w:rPr>
          <w:rFonts w:ascii="Times New Roman" w:hAnsi="Times New Roman"/>
          <w:sz w:val="20"/>
          <w:lang w:val="pt-BR"/>
        </w:rPr>
        <w:sectPr w:rsidR="00440A50" w:rsidRPr="00D65A20" w:rsidSect="00E8396E">
          <w:headerReference w:type="default" r:id="rId89"/>
          <w:footerReference w:type="default" r:id="rId90"/>
          <w:headerReference w:type="first" r:id="rId91"/>
          <w:footnotePr>
            <w:numRestart w:val="eachSect"/>
          </w:footnotePr>
          <w:type w:val="oddPage"/>
          <w:pgSz w:w="12240" w:h="15840" w:code="1"/>
          <w:pgMar w:top="2160" w:right="1570" w:bottom="1296" w:left="1699" w:header="1260" w:footer="720" w:gutter="0"/>
          <w:pgNumType w:fmt="numberInDash"/>
          <w:cols w:space="720"/>
          <w:docGrid w:linePitch="360"/>
        </w:sectPr>
      </w:pPr>
    </w:p>
    <w:p w14:paraId="6E834F14" w14:textId="77777777" w:rsidR="00A544BF" w:rsidRPr="00D65A20" w:rsidRDefault="000D0D52" w:rsidP="00375862">
      <w:pPr>
        <w:pStyle w:val="Heading1"/>
        <w:rPr>
          <w:rStyle w:val="Heading1Char"/>
          <w:rFonts w:eastAsia="Calibri"/>
          <w:lang w:val="pt-BR"/>
        </w:rPr>
      </w:pPr>
      <w:bookmarkStart w:id="185" w:name="_Toc56526511"/>
      <w:bookmarkStart w:id="186" w:name="_Toc56526721"/>
      <w:bookmarkStart w:id="187" w:name="_Toc422324752"/>
      <w:bookmarkStart w:id="188" w:name="_Toc398801981"/>
      <w:r w:rsidRPr="00D65A20">
        <w:rPr>
          <w:rStyle w:val="Heading1Char"/>
          <w:rFonts w:eastAsia="Calibri"/>
          <w:lang w:val="pt-BR"/>
        </w:rPr>
        <w:lastRenderedPageBreak/>
        <w:t>AG/RES. 2964 (L-O/20)</w:t>
      </w:r>
      <w:bookmarkEnd w:id="185"/>
      <w:bookmarkEnd w:id="186"/>
    </w:p>
    <w:bookmarkEnd w:id="187"/>
    <w:bookmarkEnd w:id="188"/>
    <w:p w14:paraId="6E834F15" w14:textId="77777777" w:rsidR="00A544BF" w:rsidRPr="00D65A20" w:rsidRDefault="00A544BF" w:rsidP="00375862">
      <w:pPr>
        <w:pStyle w:val="Heading1"/>
        <w:rPr>
          <w:rStyle w:val="Heading1Char"/>
          <w:rFonts w:eastAsia="Calibri"/>
          <w:lang w:val="pt-BR"/>
        </w:rPr>
      </w:pPr>
    </w:p>
    <w:p w14:paraId="6E834F16" w14:textId="77777777" w:rsidR="00375862" w:rsidRPr="00D65A20" w:rsidRDefault="00375862" w:rsidP="00375862">
      <w:pPr>
        <w:pStyle w:val="Heading1"/>
        <w:rPr>
          <w:bCs w:val="0"/>
          <w:szCs w:val="20"/>
          <w:lang w:val="pt-BR" w:eastAsia="en-US"/>
        </w:rPr>
      </w:pPr>
      <w:bookmarkStart w:id="189" w:name="_Toc56526512"/>
      <w:bookmarkStart w:id="190" w:name="_Toc56526722"/>
      <w:r w:rsidRPr="00D65A20">
        <w:rPr>
          <w:bCs w:val="0"/>
          <w:szCs w:val="20"/>
          <w:lang w:val="pt-BR" w:eastAsia="en-US"/>
        </w:rPr>
        <w:t>SEDE E DATA DO QUINQUAGÉSIMO PRIMEIRO PERÍODO</w:t>
      </w:r>
      <w:r w:rsidRPr="00D65A20">
        <w:rPr>
          <w:bCs w:val="0"/>
          <w:szCs w:val="20"/>
          <w:lang w:val="pt-BR" w:eastAsia="en-US"/>
        </w:rPr>
        <w:br/>
        <w:t>ORDINÁRIO DE SESSÕES DA ASSEMBLEIA GERAL</w:t>
      </w:r>
      <w:r w:rsidRPr="00D65A20">
        <w:rPr>
          <w:bCs w:val="0"/>
          <w:szCs w:val="20"/>
          <w:vertAlign w:val="superscript"/>
          <w:lang w:val="pt-BR" w:eastAsia="en-US"/>
        </w:rPr>
        <w:footnoteReference w:id="122"/>
      </w:r>
      <w:r w:rsidRPr="00D65A20">
        <w:rPr>
          <w:bCs w:val="0"/>
          <w:szCs w:val="20"/>
          <w:vertAlign w:val="superscript"/>
          <w:lang w:val="pt-BR" w:eastAsia="en-US"/>
        </w:rPr>
        <w:t>/</w:t>
      </w:r>
      <w:bookmarkEnd w:id="189"/>
      <w:bookmarkEnd w:id="190"/>
      <w:r w:rsidR="00714959" w:rsidRPr="00D65A20">
        <w:rPr>
          <w:rStyle w:val="FootnoteReference"/>
          <w:u w:val="single"/>
          <w:vertAlign w:val="superscript"/>
          <w:lang w:val="pt-BR"/>
        </w:rPr>
        <w:footnoteReference w:id="123"/>
      </w:r>
      <w:r w:rsidR="00714959" w:rsidRPr="00D65A20">
        <w:rPr>
          <w:vertAlign w:val="superscript"/>
          <w:lang w:val="pt-BR"/>
        </w:rPr>
        <w:t>/</w:t>
      </w:r>
    </w:p>
    <w:p w14:paraId="6E834F17" w14:textId="77777777" w:rsidR="00375862" w:rsidRPr="00D65A20" w:rsidRDefault="00375862" w:rsidP="00375862">
      <w:pPr>
        <w:rPr>
          <w:rFonts w:ascii="Times New Roman" w:eastAsia="MS Mincho" w:hAnsi="Times New Roman"/>
          <w:lang w:val="pt-BR" w:eastAsia="es-ES"/>
        </w:rPr>
      </w:pPr>
    </w:p>
    <w:p w14:paraId="6E834F18" w14:textId="77777777" w:rsidR="00375862" w:rsidRPr="00D65A20" w:rsidRDefault="00375862" w:rsidP="00375862">
      <w:pPr>
        <w:widowControl/>
        <w:jc w:val="center"/>
        <w:rPr>
          <w:rFonts w:ascii="Times New Roman" w:eastAsia="MS Mincho" w:hAnsi="Times New Roman"/>
          <w:szCs w:val="22"/>
          <w:lang w:val="pt-BR" w:eastAsia="es-ES_tradnl"/>
        </w:rPr>
      </w:pPr>
      <w:r w:rsidRPr="00D65A20">
        <w:rPr>
          <w:rFonts w:ascii="Times New Roman" w:eastAsia="MS Mincho" w:hAnsi="Times New Roman"/>
          <w:szCs w:val="22"/>
          <w:lang w:val="pt-BR" w:eastAsia="es-ES_tradnl"/>
        </w:rPr>
        <w:t>(Aprovada na quarta sessão plenária, realizada em 21 de outubro de 2020)</w:t>
      </w:r>
    </w:p>
    <w:p w14:paraId="6E834F19" w14:textId="77777777" w:rsidR="00375862" w:rsidRPr="00D65A20" w:rsidRDefault="00375862" w:rsidP="00375862">
      <w:pPr>
        <w:widowControl/>
        <w:rPr>
          <w:rFonts w:ascii="Times New Roman" w:hAnsi="Times New Roman"/>
          <w:szCs w:val="22"/>
          <w:lang w:val="pt-BR" w:eastAsia="es-ES"/>
        </w:rPr>
      </w:pPr>
    </w:p>
    <w:p w14:paraId="6E834F1A" w14:textId="77777777" w:rsidR="00375862" w:rsidRPr="00D65A20" w:rsidRDefault="00375862" w:rsidP="00375862">
      <w:pPr>
        <w:widowControl/>
        <w:rPr>
          <w:rFonts w:ascii="Times New Roman" w:hAnsi="Times New Roman"/>
          <w:szCs w:val="22"/>
          <w:lang w:val="pt-BR" w:eastAsia="es-ES"/>
        </w:rPr>
      </w:pPr>
    </w:p>
    <w:p w14:paraId="6E834F1B" w14:textId="77777777" w:rsidR="00375862" w:rsidRPr="00D65A20" w:rsidRDefault="00375862" w:rsidP="00375862">
      <w:pPr>
        <w:widowControl/>
        <w:rPr>
          <w:rFonts w:ascii="Times New Roman" w:hAnsi="Times New Roman"/>
          <w:szCs w:val="22"/>
          <w:lang w:val="pt-BR"/>
        </w:rPr>
      </w:pPr>
      <w:r w:rsidRPr="00D65A20">
        <w:rPr>
          <w:rFonts w:ascii="Times New Roman" w:hAnsi="Times New Roman"/>
          <w:szCs w:val="22"/>
          <w:lang w:val="pt-BR" w:eastAsia="es-ES"/>
        </w:rPr>
        <w:tab/>
      </w:r>
      <w:r w:rsidRPr="00D65A20">
        <w:rPr>
          <w:rFonts w:ascii="Times New Roman" w:hAnsi="Times New Roman"/>
          <w:szCs w:val="22"/>
          <w:lang w:val="pt-BR"/>
        </w:rPr>
        <w:t>A ASSEMBLEIA GERAL,</w:t>
      </w:r>
    </w:p>
    <w:p w14:paraId="6E834F1C" w14:textId="77777777" w:rsidR="00375862" w:rsidRPr="00D65A20" w:rsidRDefault="00375862" w:rsidP="00375862">
      <w:pPr>
        <w:widowControl/>
        <w:rPr>
          <w:rFonts w:ascii="Times New Roman" w:hAnsi="Times New Roman"/>
          <w:szCs w:val="22"/>
          <w:lang w:val="pt-BR"/>
        </w:rPr>
      </w:pPr>
    </w:p>
    <w:p w14:paraId="6E834F1D" w14:textId="77777777" w:rsidR="00375862" w:rsidRPr="00D65A20" w:rsidRDefault="00375862" w:rsidP="00375862">
      <w:pPr>
        <w:widowControl/>
        <w:rPr>
          <w:rFonts w:ascii="Times New Roman" w:hAnsi="Times New Roman"/>
          <w:szCs w:val="22"/>
          <w:lang w:val="pt-BR"/>
        </w:rPr>
      </w:pPr>
      <w:r w:rsidRPr="00D65A20">
        <w:rPr>
          <w:rFonts w:ascii="Times New Roman" w:hAnsi="Times New Roman"/>
          <w:szCs w:val="22"/>
          <w:lang w:val="pt-BR"/>
        </w:rPr>
        <w:tab/>
        <w:t>LEVANDO EM CONTA os artigos 43 e 44 do Regulamento da Assembleia Geral, relativos à realização de períodos ordinários de sessões da Assembleia Geral e à determinação de sua data e sede; e</w:t>
      </w:r>
    </w:p>
    <w:p w14:paraId="6E834F1E" w14:textId="77777777" w:rsidR="00375862" w:rsidRPr="00D65A20" w:rsidRDefault="00375862" w:rsidP="00375862">
      <w:pPr>
        <w:widowControl/>
        <w:rPr>
          <w:rFonts w:ascii="Times New Roman" w:hAnsi="Times New Roman"/>
          <w:szCs w:val="22"/>
          <w:lang w:val="pt-BR"/>
        </w:rPr>
      </w:pPr>
    </w:p>
    <w:p w14:paraId="6E834F1F" w14:textId="77777777" w:rsidR="00375862" w:rsidRPr="00D65A20" w:rsidRDefault="00375862" w:rsidP="00375862">
      <w:pPr>
        <w:widowControl/>
        <w:rPr>
          <w:rFonts w:ascii="Times New Roman" w:hAnsi="Times New Roman"/>
          <w:szCs w:val="22"/>
          <w:lang w:val="pt-BR"/>
        </w:rPr>
      </w:pPr>
      <w:r w:rsidRPr="00D65A20">
        <w:rPr>
          <w:rFonts w:ascii="Times New Roman" w:hAnsi="Times New Roman"/>
          <w:szCs w:val="22"/>
          <w:lang w:val="pt-BR"/>
        </w:rPr>
        <w:t>CONSIDERANDO:</w:t>
      </w:r>
    </w:p>
    <w:p w14:paraId="6E834F20" w14:textId="77777777" w:rsidR="00375862" w:rsidRPr="00D65A20" w:rsidRDefault="00375862" w:rsidP="00375862">
      <w:pPr>
        <w:widowControl/>
        <w:rPr>
          <w:rFonts w:ascii="Times New Roman" w:hAnsi="Times New Roman"/>
          <w:szCs w:val="22"/>
          <w:lang w:val="pt-BR"/>
        </w:rPr>
      </w:pPr>
    </w:p>
    <w:p w14:paraId="6E834F21" w14:textId="04F74CFF" w:rsidR="00375862" w:rsidRPr="00D65A20" w:rsidRDefault="00375862" w:rsidP="00375862">
      <w:pPr>
        <w:widowControl/>
        <w:rPr>
          <w:rFonts w:ascii="Times New Roman" w:hAnsi="Times New Roman"/>
          <w:szCs w:val="22"/>
          <w:lang w:val="pt-BR"/>
        </w:rPr>
      </w:pPr>
      <w:r w:rsidRPr="00D65A20">
        <w:rPr>
          <w:rFonts w:ascii="Times New Roman" w:hAnsi="Times New Roman"/>
          <w:szCs w:val="22"/>
          <w:lang w:val="pt-BR"/>
        </w:rPr>
        <w:tab/>
        <w:t xml:space="preserve">Que a Assembleia Geral da Organização dos Estados Americanos deve reunir-se anualmente em um período ordinário de sessões, de preferência no segundo trimestre do ano; e </w:t>
      </w:r>
    </w:p>
    <w:p w14:paraId="6E834F22" w14:textId="77777777" w:rsidR="00375862" w:rsidRPr="00D65A20" w:rsidRDefault="00375862" w:rsidP="00375862">
      <w:pPr>
        <w:widowControl/>
        <w:rPr>
          <w:rFonts w:ascii="Times New Roman" w:hAnsi="Times New Roman"/>
          <w:szCs w:val="22"/>
          <w:lang w:val="pt-BR"/>
        </w:rPr>
      </w:pPr>
    </w:p>
    <w:p w14:paraId="6E834F23" w14:textId="77777777" w:rsidR="00375862" w:rsidRPr="00D65A20" w:rsidRDefault="00375862" w:rsidP="00375862">
      <w:pPr>
        <w:widowControl/>
        <w:rPr>
          <w:rFonts w:ascii="Times New Roman" w:hAnsi="Times New Roman"/>
          <w:szCs w:val="22"/>
          <w:lang w:val="pt-BR"/>
        </w:rPr>
      </w:pPr>
      <w:r w:rsidRPr="00D65A20">
        <w:rPr>
          <w:rFonts w:ascii="Times New Roman" w:hAnsi="Times New Roman"/>
          <w:szCs w:val="22"/>
          <w:lang w:val="pt-BR"/>
        </w:rPr>
        <w:tab/>
        <w:t>Que o Governo da Guatemala, por intermédio de seu Ministro das Relações Exteriores, em 21 de outubro de 2020, no âmbito do Quinquagésimo Período Ordinário de Sessões da Assembleia Geral, realizado em Washington, D.C., Estados Unidos da América, de maneira virtual, ofereceu sede para o Quinquagésimo Primeiro Período Ordinário de Sessões da Assembleia Geral da Organização, a ser realizado em junho de 2021, como reafirmação de seu compromisso com os propósitos e princípios da Carta da Organização dos Estados Americanos e como demonstração de sua firme decisão de continuar participando ativamente do fortalecimento da Organização,</w:t>
      </w:r>
    </w:p>
    <w:p w14:paraId="6E834F24" w14:textId="77777777" w:rsidR="00375862" w:rsidRPr="00D65A20" w:rsidRDefault="00375862" w:rsidP="00375862">
      <w:pPr>
        <w:widowControl/>
        <w:rPr>
          <w:rFonts w:ascii="Times New Roman" w:hAnsi="Times New Roman"/>
          <w:szCs w:val="22"/>
          <w:lang w:val="pt-BR"/>
        </w:rPr>
      </w:pPr>
    </w:p>
    <w:p w14:paraId="6E834F25" w14:textId="77777777" w:rsidR="00375862" w:rsidRPr="00D65A20" w:rsidRDefault="00375862" w:rsidP="00375862">
      <w:pPr>
        <w:widowControl/>
        <w:rPr>
          <w:rFonts w:ascii="Times New Roman" w:hAnsi="Times New Roman"/>
          <w:szCs w:val="22"/>
          <w:lang w:val="pt-BR"/>
        </w:rPr>
      </w:pPr>
      <w:r w:rsidRPr="00D65A20">
        <w:rPr>
          <w:rFonts w:ascii="Times New Roman" w:hAnsi="Times New Roman"/>
          <w:szCs w:val="22"/>
          <w:lang w:val="pt-BR"/>
        </w:rPr>
        <w:t>RESOLVE:</w:t>
      </w:r>
    </w:p>
    <w:p w14:paraId="6E834F26" w14:textId="77777777" w:rsidR="00375862" w:rsidRPr="00D65A20" w:rsidRDefault="00375862" w:rsidP="00375862">
      <w:pPr>
        <w:widowControl/>
        <w:rPr>
          <w:rFonts w:ascii="Times New Roman" w:hAnsi="Times New Roman"/>
          <w:szCs w:val="22"/>
          <w:lang w:val="pt-BR"/>
        </w:rPr>
      </w:pPr>
    </w:p>
    <w:p w14:paraId="6E834F27" w14:textId="77777777" w:rsidR="00375862" w:rsidRPr="00D65A20" w:rsidRDefault="00375862" w:rsidP="00375862">
      <w:pPr>
        <w:widowControl/>
        <w:ind w:firstLine="720"/>
        <w:rPr>
          <w:rFonts w:ascii="Times New Roman" w:hAnsi="Times New Roman"/>
          <w:szCs w:val="22"/>
          <w:lang w:val="pt-BR"/>
        </w:rPr>
      </w:pPr>
      <w:r w:rsidRPr="00D65A20">
        <w:rPr>
          <w:rFonts w:ascii="Times New Roman" w:hAnsi="Times New Roman"/>
          <w:szCs w:val="22"/>
          <w:lang w:val="pt-BR"/>
        </w:rPr>
        <w:t>1.</w:t>
      </w:r>
      <w:r w:rsidRPr="00D65A20">
        <w:rPr>
          <w:rFonts w:ascii="Times New Roman" w:hAnsi="Times New Roman"/>
          <w:szCs w:val="22"/>
          <w:lang w:val="pt-BR"/>
        </w:rPr>
        <w:tab/>
        <w:t>Determinar que o Quinquagésimo Primeiro Período Ordinário de Sessões da Assembleia Geral se realize na Guatemala, em data que será determinada posteriormente no âmbito do Conselho Permanente da Organização dos Estados Americanos.</w:t>
      </w:r>
    </w:p>
    <w:p w14:paraId="6E834F28" w14:textId="77777777" w:rsidR="00375862" w:rsidRPr="00D65A20" w:rsidRDefault="00375862" w:rsidP="00375862">
      <w:pPr>
        <w:widowControl/>
        <w:rPr>
          <w:rFonts w:ascii="Times New Roman" w:hAnsi="Times New Roman"/>
          <w:szCs w:val="22"/>
          <w:lang w:val="pt-BR"/>
        </w:rPr>
      </w:pPr>
    </w:p>
    <w:p w14:paraId="6E834F29" w14:textId="77777777" w:rsidR="00375862" w:rsidRPr="00D65A20" w:rsidRDefault="00375862" w:rsidP="00375862">
      <w:pPr>
        <w:widowControl/>
        <w:ind w:firstLine="720"/>
        <w:rPr>
          <w:rFonts w:ascii="Times New Roman" w:hAnsi="Times New Roman"/>
          <w:szCs w:val="22"/>
          <w:lang w:val="pt-BR"/>
        </w:rPr>
      </w:pPr>
      <w:r w:rsidRPr="00D65A20">
        <w:rPr>
          <w:rFonts w:ascii="Times New Roman" w:hAnsi="Times New Roman"/>
          <w:szCs w:val="22"/>
          <w:lang w:val="pt-BR"/>
        </w:rPr>
        <w:t>2.</w:t>
      </w:r>
      <w:r w:rsidRPr="00D65A20">
        <w:rPr>
          <w:rFonts w:ascii="Times New Roman" w:hAnsi="Times New Roman"/>
          <w:szCs w:val="22"/>
          <w:lang w:val="pt-BR"/>
        </w:rPr>
        <w:tab/>
        <w:t>Agradecer o generoso oferecimento de sede do Governo da Guatemala para o Quinquagésimo Primeiro Período Ordinário de Sessões da Assembleia Geral.</w:t>
      </w:r>
    </w:p>
    <w:p w14:paraId="6E834F2A" w14:textId="77777777" w:rsidR="00375862" w:rsidRPr="00D65A20" w:rsidRDefault="00375862" w:rsidP="00375862">
      <w:pPr>
        <w:widowControl/>
        <w:jc w:val="left"/>
        <w:rPr>
          <w:rFonts w:ascii="Times New Roman" w:hAnsi="Times New Roman"/>
          <w:szCs w:val="22"/>
          <w:lang w:val="pt-BR"/>
        </w:rPr>
      </w:pPr>
      <w:r w:rsidRPr="00D65A20">
        <w:rPr>
          <w:rFonts w:ascii="Times New Roman" w:hAnsi="Times New Roman"/>
          <w:szCs w:val="22"/>
          <w:lang w:val="pt-BR"/>
        </w:rPr>
        <w:br w:type="page"/>
      </w:r>
    </w:p>
    <w:p w14:paraId="6E834F2B" w14:textId="77777777" w:rsidR="00375862" w:rsidRPr="00D65A20" w:rsidRDefault="00375862" w:rsidP="00375862">
      <w:pPr>
        <w:jc w:val="center"/>
        <w:rPr>
          <w:rFonts w:ascii="Times New Roman" w:eastAsia="MS Mincho" w:hAnsi="Times New Roman"/>
          <w:bCs/>
          <w:sz w:val="20"/>
          <w:lang w:val="pt-BR" w:eastAsia="es-ES_tradnl"/>
        </w:rPr>
      </w:pPr>
      <w:r w:rsidRPr="00D65A20">
        <w:rPr>
          <w:rFonts w:ascii="Times New Roman" w:eastAsia="MS Mincho" w:hAnsi="Times New Roman"/>
          <w:sz w:val="20"/>
          <w:lang w:val="pt-BR" w:eastAsia="es-ES_tradnl"/>
        </w:rPr>
        <w:lastRenderedPageBreak/>
        <w:t>NOTA</w:t>
      </w:r>
      <w:r w:rsidR="00523713" w:rsidRPr="00D65A20">
        <w:rPr>
          <w:rFonts w:ascii="Times New Roman" w:eastAsia="MS Mincho" w:hAnsi="Times New Roman"/>
          <w:sz w:val="20"/>
          <w:lang w:val="pt-BR" w:eastAsia="es-ES_tradnl"/>
        </w:rPr>
        <w:t>S</w:t>
      </w:r>
      <w:r w:rsidRPr="00D65A20">
        <w:rPr>
          <w:rFonts w:ascii="Times New Roman" w:eastAsia="MS Mincho" w:hAnsi="Times New Roman"/>
          <w:sz w:val="20"/>
          <w:lang w:val="pt-BR" w:eastAsia="es-ES_tradnl"/>
        </w:rPr>
        <w:t xml:space="preserve"> DE RODAPÉ</w:t>
      </w:r>
    </w:p>
    <w:p w14:paraId="6E834F2C" w14:textId="77777777" w:rsidR="00375862" w:rsidRPr="00D65A20" w:rsidRDefault="00375862" w:rsidP="00375862">
      <w:pPr>
        <w:rPr>
          <w:rFonts w:ascii="Times New Roman" w:eastAsia="MS Mincho" w:hAnsi="Times New Roman"/>
          <w:bCs/>
          <w:sz w:val="20"/>
          <w:lang w:val="pt-BR" w:eastAsia="es-ES_tradnl"/>
        </w:rPr>
      </w:pPr>
    </w:p>
    <w:p w14:paraId="6E834F2D" w14:textId="77777777" w:rsidR="00375862" w:rsidRPr="00D65A20" w:rsidRDefault="00375862" w:rsidP="00375862">
      <w:pPr>
        <w:rPr>
          <w:rFonts w:ascii="Times New Roman" w:eastAsia="MS Mincho" w:hAnsi="Times New Roman"/>
          <w:bCs/>
          <w:sz w:val="20"/>
          <w:lang w:val="pt-BR" w:eastAsia="es-ES_tradnl"/>
        </w:rPr>
      </w:pPr>
    </w:p>
    <w:p w14:paraId="6E834F2E" w14:textId="77777777" w:rsidR="00AD5D09" w:rsidRPr="00D65A20" w:rsidRDefault="00375862" w:rsidP="00AD5D09">
      <w:pPr>
        <w:widowControl/>
        <w:ind w:firstLine="720"/>
        <w:rPr>
          <w:rFonts w:ascii="Times New Roman" w:hAnsi="Times New Roman"/>
          <w:sz w:val="20"/>
          <w:lang w:val="pt-BR"/>
        </w:rPr>
      </w:pPr>
      <w:r w:rsidRPr="00D65A20">
        <w:rPr>
          <w:rFonts w:ascii="Times New Roman" w:hAnsi="Times New Roman"/>
          <w:sz w:val="20"/>
          <w:lang w:val="pt-BR" w:eastAsia="es-ES_tradnl"/>
        </w:rPr>
        <w:t>1.</w:t>
      </w:r>
      <w:r w:rsidRPr="00D65A20">
        <w:rPr>
          <w:rFonts w:ascii="Times New Roman" w:hAnsi="Times New Roman"/>
          <w:sz w:val="20"/>
          <w:lang w:val="pt-BR" w:eastAsia="es-ES_tradnl"/>
        </w:rPr>
        <w:tab/>
        <w:t>(...)</w:t>
      </w:r>
      <w:r w:rsidR="00AD5D09" w:rsidRPr="00D65A20">
        <w:rPr>
          <w:rFonts w:ascii="Times New Roman" w:hAnsi="Times New Roman"/>
          <w:sz w:val="20"/>
          <w:lang w:val="pt-BR"/>
        </w:rPr>
        <w:t xml:space="preserve">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6E834F2F" w14:textId="77777777" w:rsidR="00AD5D09" w:rsidRPr="00D65A20" w:rsidRDefault="00AD5D09" w:rsidP="00AD5D09">
      <w:pPr>
        <w:widowControl/>
        <w:rPr>
          <w:rFonts w:ascii="Times New Roman" w:hAnsi="Times New Roman"/>
          <w:sz w:val="20"/>
          <w:lang w:val="pt-BR"/>
        </w:rPr>
      </w:pPr>
    </w:p>
    <w:p w14:paraId="6E834F30" w14:textId="77777777" w:rsidR="00AD5D09" w:rsidRPr="00D65A20" w:rsidRDefault="00AD5D09" w:rsidP="00AD5D09">
      <w:pPr>
        <w:widowControl/>
        <w:ind w:firstLine="720"/>
        <w:rPr>
          <w:rFonts w:ascii="Times New Roman" w:hAnsi="Times New Roman"/>
          <w:sz w:val="20"/>
          <w:lang w:val="pt-BR"/>
        </w:rPr>
      </w:pPr>
      <w:r w:rsidRPr="00D65A20">
        <w:rPr>
          <w:rFonts w:ascii="Times New Roman" w:hAnsi="Times New Roman"/>
          <w:sz w:val="20"/>
          <w:lang w:val="pt-BR"/>
        </w:rPr>
        <w:t xml:space="preserve">Antígua e Barbuda não apoiou a resolução CP/RES. 1124 (2217/19), de 9 de abril de 2019, cuja intenção era nomear o Senhor Gustavo Tarre como Representante da Assembleia Nacional junto à OEA, e não aceitou as credenciais das autoridades que pretendiam representar a República Bolivariana da Venezuela no Quadragésimo Nono e no Quinquagésimo Períodos Ordinários de Sessões da Assembleia Geral. </w:t>
      </w:r>
    </w:p>
    <w:p w14:paraId="6E834F31" w14:textId="77777777" w:rsidR="00AD5D09" w:rsidRPr="00D65A20" w:rsidRDefault="00AD5D09" w:rsidP="00AD5D09">
      <w:pPr>
        <w:widowControl/>
        <w:rPr>
          <w:rFonts w:ascii="Times New Roman" w:hAnsi="Times New Roman"/>
          <w:sz w:val="20"/>
          <w:lang w:val="pt-BR"/>
        </w:rPr>
      </w:pPr>
    </w:p>
    <w:p w14:paraId="6E834F36" w14:textId="30AFBD4A" w:rsidR="00375862" w:rsidRPr="00D65A20" w:rsidRDefault="00AD5D09" w:rsidP="00AD5D09">
      <w:pPr>
        <w:ind w:firstLine="720"/>
        <w:rPr>
          <w:rFonts w:ascii="Times New Roman" w:hAnsi="Times New Roman"/>
          <w:sz w:val="20"/>
          <w:lang w:val="pt-BR" w:eastAsia="es-ES_tradnl"/>
        </w:rPr>
      </w:pPr>
      <w:r w:rsidRPr="00D65A20">
        <w:rPr>
          <w:rFonts w:ascii="Times New Roman" w:hAnsi="Times New Roman"/>
          <w:sz w:val="20"/>
          <w:lang w:val="pt-BR"/>
        </w:rPr>
        <w:t>Desse modo, Antígua e Barbuda informa a todos os Estados membros e à Secretaria-Geral da Organização dos Estados Americanos que, até novo aviso, assim como fez no Quadragésimo Nono Período Ordinário de Sessões da Assembleia Geral, não se considerará vinculado a nenhuma declaração ou resolução emanada do Quinquagésimo Período Ordinário de Sessões da Assembleia Geral, nem a quaisquer futuras declarações ou resoluções de qualquer Conselho ou órgão da Organização que incluam a participação de qualquer pessoa ou entidade pretensamente falando pela República Bolivariana da Venezuela ou agindo em seu nome, e nas quais se alcancem 18 votos com a participação de um pretenso representante da República Bolivariana da Venezuela</w:t>
      </w:r>
      <w:r w:rsidR="00375862" w:rsidRPr="00D65A20">
        <w:rPr>
          <w:rFonts w:ascii="Times New Roman" w:hAnsi="Times New Roman"/>
          <w:sz w:val="20"/>
          <w:lang w:val="pt-BR" w:eastAsia="es-ES_tradnl"/>
        </w:rPr>
        <w:t>.</w:t>
      </w:r>
    </w:p>
    <w:p w14:paraId="6E834F37" w14:textId="77777777" w:rsidR="00440A50" w:rsidRPr="00D65A20" w:rsidRDefault="00440A50" w:rsidP="00375862">
      <w:pPr>
        <w:widowControl/>
        <w:outlineLvl w:val="0"/>
        <w:rPr>
          <w:rFonts w:ascii="Times New Roman" w:hAnsi="Times New Roman"/>
          <w:sz w:val="20"/>
          <w:lang w:val="pt-BR"/>
        </w:rPr>
      </w:pPr>
      <w:bookmarkStart w:id="191" w:name="_Toc56522584"/>
      <w:bookmarkStart w:id="192" w:name="_Toc56526513"/>
      <w:bookmarkStart w:id="193" w:name="_Toc56526723"/>
    </w:p>
    <w:p w14:paraId="6E834F38" w14:textId="284D1A7F" w:rsidR="00440A50" w:rsidRPr="00D65A20" w:rsidRDefault="00440A50" w:rsidP="00440A50">
      <w:pPr>
        <w:rPr>
          <w:rStyle w:val="FootnoteReference"/>
          <w:rFonts w:ascii="Times New Roman" w:hAnsi="Times New Roman"/>
          <w:sz w:val="20"/>
          <w:lang w:val="pt-BR"/>
        </w:rPr>
      </w:pPr>
      <w:r w:rsidRPr="00D65A20">
        <w:rPr>
          <w:rFonts w:ascii="Times New Roman" w:hAnsi="Times New Roman"/>
          <w:sz w:val="20"/>
          <w:lang w:val="pt-BR"/>
        </w:rPr>
        <w:tab/>
        <w:t xml:space="preserve">2. </w:t>
      </w:r>
      <w:r w:rsidR="00E55832">
        <w:rPr>
          <w:rFonts w:ascii="Times New Roman" w:hAnsi="Times New Roman"/>
          <w:sz w:val="20"/>
          <w:lang w:val="pt-BR"/>
        </w:rPr>
        <w:tab/>
      </w:r>
      <w:r w:rsidRPr="00D65A20">
        <w:rPr>
          <w:rFonts w:ascii="Times New Roman" w:hAnsi="Times New Roman"/>
          <w:sz w:val="20"/>
          <w:lang w:val="pt-BR"/>
        </w:rPr>
        <w:t>(...) Quinquagésimo Período Ordinário de Sessões da Assembleia Geral.</w:t>
      </w:r>
    </w:p>
    <w:p w14:paraId="6E834F39" w14:textId="77777777" w:rsidR="000D0D52" w:rsidRPr="00D65A20" w:rsidRDefault="00375862" w:rsidP="00375862">
      <w:pPr>
        <w:widowControl/>
        <w:outlineLvl w:val="0"/>
        <w:rPr>
          <w:rFonts w:ascii="Times New Roman" w:hAnsi="Times New Roman"/>
          <w:sz w:val="20"/>
          <w:lang w:val="pt-BR"/>
        </w:rPr>
      </w:pPr>
      <w:r w:rsidRPr="00D65A20">
        <w:rPr>
          <w:rFonts w:ascii="Times New Roman" w:hAnsi="Times New Roman"/>
          <w:noProof/>
          <w:sz w:val="20"/>
          <w:lang w:val="pt-BR" w:eastAsia="pt-BR"/>
        </w:rPr>
        <mc:AlternateContent>
          <mc:Choice Requires="wps">
            <w:drawing>
              <wp:anchor distT="0" distB="0" distL="114300" distR="114300" simplePos="0" relativeHeight="251660288" behindDoc="0" locked="1" layoutInCell="1" allowOverlap="1" wp14:anchorId="6E834F49" wp14:editId="6B72FDAB">
                <wp:simplePos x="0" y="0"/>
                <wp:positionH relativeFrom="column">
                  <wp:posOffset>-91440</wp:posOffset>
                </wp:positionH>
                <wp:positionV relativeFrom="page">
                  <wp:posOffset>9144000</wp:posOffset>
                </wp:positionV>
                <wp:extent cx="3381375"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1375"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6E83503C" w14:textId="73CCD62B" w:rsidR="004B5422" w:rsidRPr="00375862" w:rsidRDefault="004B5422">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CA769E">
                              <w:rPr>
                                <w:rFonts w:ascii="Times New Roman" w:hAnsi="Times New Roman"/>
                                <w:noProof/>
                                <w:sz w:val="18"/>
                              </w:rPr>
                              <w:t>AG08273P10</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34F49" id="Text Box 6" o:spid="_x0000_s1032" type="#_x0000_t202" style="position:absolute;left:0;text-align:left;margin-left:-7.2pt;margin-top:10in;width:266.25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" filled="f" stroked="f">
                <v:stroke joinstyle="round"/>
                <v:textbox>
                  <w:txbxContent>
                    <w:p w14:paraId="6E83503C" w14:textId="73CCD62B" w:rsidR="004B5422" w:rsidRPr="00375862" w:rsidRDefault="004B5422">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CA769E">
                        <w:rPr>
                          <w:rFonts w:ascii="Times New Roman" w:hAnsi="Times New Roman"/>
                          <w:noProof/>
                          <w:sz w:val="18"/>
                        </w:rPr>
                        <w:t>AG08273P10</w:t>
                      </w:r>
                      <w:r>
                        <w:rPr>
                          <w:rFonts w:ascii="Times New Roman" w:hAnsi="Times New Roman"/>
                          <w:sz w:val="18"/>
                        </w:rPr>
                        <w:fldChar w:fldCharType="end"/>
                      </w:r>
                    </w:p>
                  </w:txbxContent>
                </v:textbox>
                <w10:wrap anchory="page"/>
                <w10:anchorlock/>
              </v:shape>
            </w:pict>
          </mc:Fallback>
        </mc:AlternateContent>
      </w:r>
      <w:bookmarkEnd w:id="191"/>
      <w:bookmarkEnd w:id="192"/>
      <w:bookmarkEnd w:id="193"/>
    </w:p>
    <w:sectPr w:rsidR="000D0D52" w:rsidRPr="00D65A20" w:rsidSect="00E8396E">
      <w:headerReference w:type="default" r:id="rId92"/>
      <w:footnotePr>
        <w:numRestart w:val="eachSect"/>
      </w:footnotePr>
      <w:type w:val="oddPage"/>
      <w:pgSz w:w="12240" w:h="15840" w:code="1"/>
      <w:pgMar w:top="2160" w:right="1570" w:bottom="1296" w:left="1699" w:header="126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E44FF" w14:textId="77777777" w:rsidR="00EE250E" w:rsidRDefault="00EE250E">
      <w:pPr>
        <w:spacing w:line="20" w:lineRule="exact"/>
      </w:pPr>
    </w:p>
  </w:endnote>
  <w:endnote w:type="continuationSeparator" w:id="0">
    <w:p w14:paraId="517AB8C8" w14:textId="77777777" w:rsidR="00EE250E" w:rsidRDefault="00EE250E">
      <w:r>
        <w:t xml:space="preserve"> </w:t>
      </w:r>
    </w:p>
  </w:endnote>
  <w:endnote w:type="continuationNotice" w:id="1">
    <w:p w14:paraId="322EC33D" w14:textId="77777777" w:rsidR="00EE250E" w:rsidRDefault="00EE250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swiss"/>
    <w:pitch w:val="variable"/>
    <w:sig w:usb0="00000003" w:usb1="500079DB" w:usb2="0000001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ontserrat">
    <w:altName w:val="Calibri"/>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00000007" w:usb1="00000000" w:usb2="00000000" w:usb3="00000000" w:csb0="00000093"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089124"/>
      <w:docPartObj>
        <w:docPartGallery w:val="Page Numbers (Bottom of Page)"/>
        <w:docPartUnique/>
      </w:docPartObj>
    </w:sdtPr>
    <w:sdtEndPr>
      <w:rPr>
        <w:noProof/>
      </w:rPr>
    </w:sdtEndPr>
    <w:sdtContent>
      <w:p w14:paraId="6E834F75" w14:textId="77777777" w:rsidR="004B5422" w:rsidRDefault="004B5422">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14:paraId="6E834F76" w14:textId="77777777" w:rsidR="004B5422" w:rsidRDefault="004B542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F92" w14:textId="77777777" w:rsidR="004B5422" w:rsidRDefault="004B542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F93" w14:textId="77777777" w:rsidR="004B5422" w:rsidRDefault="004B542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F97" w14:textId="77777777" w:rsidR="004B5422" w:rsidRDefault="004B5422" w:rsidP="00EE6CD9">
    <w:pPr>
      <w:pStyle w:val="Footer"/>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F98" w14:textId="77777777" w:rsidR="004B5422" w:rsidRDefault="004B5422" w:rsidP="00EE6CD9">
    <w:pPr>
      <w:pStyle w:val="Footer"/>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F9B" w14:textId="77777777" w:rsidR="004B5422" w:rsidRDefault="004B5422" w:rsidP="00EE6CD9">
    <w:pPr>
      <w:pStyle w:val="Footer"/>
      <w:ind w:right="36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F9E" w14:textId="77777777" w:rsidR="004B5422" w:rsidRDefault="004B5422" w:rsidP="00EE6CD9">
    <w:pPr>
      <w:pStyle w:val="Footer"/>
      <w:ind w:right="36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FA3" w14:textId="77777777" w:rsidR="004B5422" w:rsidRDefault="004B5422" w:rsidP="00EE6CD9">
    <w:pPr>
      <w:pStyle w:val="Footer"/>
      <w:ind w:right="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FA6" w14:textId="77777777" w:rsidR="004B5422" w:rsidRDefault="004B5422" w:rsidP="00EE6CD9">
    <w:pPr>
      <w:pStyle w:val="Footer"/>
      <w:ind w:right="36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FA9" w14:textId="77777777" w:rsidR="004B5422" w:rsidRDefault="004B5422" w:rsidP="00EE6CD9">
    <w:pPr>
      <w:pStyle w:val="Footer"/>
      <w:ind w:right="360"/>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FAE" w14:textId="77777777" w:rsidR="004B5422" w:rsidRDefault="004B5422" w:rsidP="00EE6C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041258"/>
      <w:docPartObj>
        <w:docPartGallery w:val="Page Numbers (Bottom of Page)"/>
        <w:docPartUnique/>
      </w:docPartObj>
    </w:sdtPr>
    <w:sdtEndPr>
      <w:rPr>
        <w:noProof/>
      </w:rPr>
    </w:sdtEndPr>
    <w:sdtContent>
      <w:p w14:paraId="6E834F7A" w14:textId="77777777" w:rsidR="004B5422" w:rsidRDefault="004B5422">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14:paraId="6E834F7B" w14:textId="77777777" w:rsidR="004B5422" w:rsidRDefault="004B5422">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FB3" w14:textId="77777777" w:rsidR="004B5422" w:rsidRDefault="004B5422" w:rsidP="00EE6CD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F7D" w14:textId="77777777" w:rsidR="004B5422" w:rsidRDefault="004B54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F80" w14:textId="77777777" w:rsidR="004B5422" w:rsidRDefault="004B542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F81" w14:textId="77777777" w:rsidR="004B5422" w:rsidRDefault="004B542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F84" w14:textId="77777777" w:rsidR="004B5422" w:rsidRDefault="004B542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F89" w14:textId="77777777" w:rsidR="004B5422" w:rsidRDefault="004B542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F8C" w14:textId="77777777" w:rsidR="004B5422" w:rsidRDefault="004B542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F8F" w14:textId="77777777" w:rsidR="004B5422" w:rsidRDefault="004B5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AF363" w14:textId="77777777" w:rsidR="00EE250E" w:rsidRDefault="00EE250E">
      <w:r>
        <w:separator/>
      </w:r>
    </w:p>
  </w:footnote>
  <w:footnote w:type="continuationSeparator" w:id="0">
    <w:p w14:paraId="5367E0FC" w14:textId="77777777" w:rsidR="00EE250E" w:rsidRDefault="00EE250E">
      <w:r>
        <w:continuationSeparator/>
      </w:r>
    </w:p>
  </w:footnote>
  <w:footnote w:id="1">
    <w:p w14:paraId="6E834FB9" w14:textId="77777777" w:rsidR="004B5422" w:rsidRPr="00F405D3" w:rsidRDefault="004B5422" w:rsidP="00F405D3">
      <w:pPr>
        <w:ind w:left="720" w:hanging="360"/>
        <w:rPr>
          <w:rFonts w:eastAsia="MS Mincho"/>
          <w:lang w:val="pt-BR" w:eastAsia="es-ES_tradnl"/>
        </w:rPr>
      </w:pPr>
      <w:r>
        <w:rPr>
          <w:rStyle w:val="FootnoteReference"/>
          <w:rFonts w:ascii="Times New Roman" w:hAnsi="Times New Roman"/>
          <w:sz w:val="20"/>
          <w:lang w:val="en-US"/>
        </w:rPr>
        <w:footnoteRef/>
      </w:r>
      <w:r w:rsidRPr="00F405D3">
        <w:rPr>
          <w:rFonts w:ascii="Times New Roman" w:hAnsi="Times New Roman"/>
          <w:sz w:val="20"/>
          <w:lang w:val="pt-BR"/>
        </w:rPr>
        <w:t>.</w:t>
      </w:r>
      <w:r w:rsidRPr="00F405D3">
        <w:rPr>
          <w:rFonts w:ascii="Times New Roman" w:hAnsi="Times New Roman"/>
          <w:sz w:val="20"/>
          <w:lang w:val="pt-BR"/>
        </w:rPr>
        <w:tab/>
        <w:t>Antígua e Barbuda considera que a República Bolivariana da Venezuela não é um Estado membro da Organização dos Estados Americanos pois, em 27 de abril de 2017, o Governo da República (...)</w:t>
      </w:r>
    </w:p>
  </w:footnote>
  <w:footnote w:id="2">
    <w:p w14:paraId="6E834FBA" w14:textId="50246213" w:rsidR="004B5422" w:rsidRPr="00883231" w:rsidRDefault="004B5422" w:rsidP="00982CE9">
      <w:pPr>
        <w:pStyle w:val="Default"/>
        <w:ind w:left="720" w:hanging="360"/>
        <w:jc w:val="both"/>
        <w:rPr>
          <w:rFonts w:ascii="Montserrat" w:hAnsi="Montserrat" w:cs="Montserrat"/>
          <w:sz w:val="20"/>
          <w:szCs w:val="20"/>
          <w:lang w:val="pt-BR"/>
        </w:rPr>
      </w:pPr>
      <w:r w:rsidRPr="00982CE9">
        <w:rPr>
          <w:rStyle w:val="FootnoteReference"/>
          <w:sz w:val="20"/>
          <w:szCs w:val="20"/>
          <w:lang w:val="en-US"/>
        </w:rPr>
        <w:footnoteRef/>
      </w:r>
      <w:r w:rsidRPr="00883231">
        <w:rPr>
          <w:sz w:val="20"/>
          <w:szCs w:val="20"/>
          <w:lang w:val="pt-BR"/>
        </w:rPr>
        <w:t>.</w:t>
      </w:r>
      <w:r w:rsidRPr="00883231">
        <w:rPr>
          <w:sz w:val="20"/>
          <w:szCs w:val="20"/>
          <w:lang w:val="pt-BR"/>
        </w:rPr>
        <w:tab/>
      </w:r>
      <w:r w:rsidRPr="00883231">
        <w:rPr>
          <w:sz w:val="20"/>
          <w:szCs w:val="20"/>
          <w:lang w:val="pt-BR"/>
        </w:rPr>
        <w:t>O México reitera a posição expressa em sua intervenção feita durante a apresentação do relatório do Secretário-Geral sobre credenciais, no âmbito da sessão plenária do</w:t>
      </w:r>
      <w:r w:rsidRPr="00883231">
        <w:rPr>
          <w:lang w:val="pt-BR"/>
        </w:rPr>
        <w:t xml:space="preserve"> </w:t>
      </w:r>
      <w:r w:rsidR="0054371E" w:rsidRPr="0054371E">
        <w:rPr>
          <w:sz w:val="20"/>
          <w:szCs w:val="20"/>
          <w:lang w:val="pt-BR"/>
        </w:rPr>
        <w:t>(</w:t>
      </w:r>
      <w:r w:rsidRPr="00883231">
        <w:rPr>
          <w:sz w:val="20"/>
          <w:szCs w:val="20"/>
          <w:lang w:val="pt-BR"/>
        </w:rPr>
        <w:t>…</w:t>
      </w:r>
      <w:r w:rsidR="0054371E">
        <w:rPr>
          <w:sz w:val="20"/>
          <w:szCs w:val="20"/>
          <w:lang w:val="pt-BR"/>
        </w:rPr>
        <w:t>)</w:t>
      </w:r>
      <w:r w:rsidRPr="00883231">
        <w:rPr>
          <w:sz w:val="20"/>
          <w:szCs w:val="20"/>
          <w:lang w:val="pt-BR"/>
        </w:rPr>
        <w:t xml:space="preserve"> </w:t>
      </w:r>
    </w:p>
  </w:footnote>
  <w:footnote w:id="3">
    <w:p w14:paraId="6E834FBB" w14:textId="77777777" w:rsidR="004B5422" w:rsidRDefault="004B5422" w:rsidP="00AC5431">
      <w:pPr>
        <w:ind w:left="720" w:hanging="360"/>
        <w:rPr>
          <w:rFonts w:ascii="Times New Roman" w:eastAsia="MS Mincho" w:hAnsi="Times New Roman"/>
          <w:lang w:val="pt-BR" w:eastAsia="es-ES_tradnl"/>
        </w:rPr>
      </w:pPr>
      <w:r>
        <w:rPr>
          <w:rStyle w:val="FootnoteReference"/>
          <w:rFonts w:ascii="Times New Roman" w:hAnsi="Times New Roman"/>
          <w:sz w:val="20"/>
          <w:lang w:val="en-US"/>
        </w:rPr>
        <w:footnoteRef/>
      </w:r>
      <w:r w:rsidRPr="00AC5431">
        <w:rPr>
          <w:rFonts w:ascii="Times New Roman" w:hAnsi="Times New Roman"/>
          <w:sz w:val="20"/>
          <w:lang w:val="pt-BR"/>
        </w:rPr>
        <w:t>.</w:t>
      </w:r>
      <w:r w:rsidRPr="00AC5431">
        <w:rPr>
          <w:rFonts w:ascii="Times New Roman" w:hAnsi="Times New Roman"/>
          <w:sz w:val="20"/>
          <w:lang w:val="pt-BR"/>
        </w:rPr>
        <w:tab/>
        <w:t>Antígua e Barbuda considera que a República Bolivariana da Venezuela não é um Estado membro da Organização dos Estados Americanos pois, em 27 de abril de 2017, o Governo da República (...)</w:t>
      </w:r>
    </w:p>
  </w:footnote>
  <w:footnote w:id="4">
    <w:p w14:paraId="6E834FBC" w14:textId="4E926445" w:rsidR="004B5422" w:rsidRPr="0077509F" w:rsidRDefault="004B5422" w:rsidP="00982CE9">
      <w:pPr>
        <w:pStyle w:val="Default"/>
        <w:ind w:left="720" w:hanging="360"/>
        <w:jc w:val="both"/>
        <w:rPr>
          <w:rFonts w:ascii="Montserrat" w:hAnsi="Montserrat" w:cs="Montserrat"/>
          <w:sz w:val="20"/>
          <w:szCs w:val="20"/>
          <w:lang w:val="pt-BR"/>
        </w:rPr>
      </w:pPr>
      <w:r w:rsidRPr="00982CE9">
        <w:rPr>
          <w:rStyle w:val="FootnoteReference"/>
          <w:sz w:val="20"/>
          <w:szCs w:val="20"/>
          <w:lang w:val="en-US"/>
        </w:rPr>
        <w:footnoteRef/>
      </w:r>
      <w:r w:rsidRPr="00AD0FB1">
        <w:rPr>
          <w:sz w:val="20"/>
          <w:szCs w:val="20"/>
          <w:lang w:val="pt-BR"/>
        </w:rPr>
        <w:t>.</w:t>
      </w:r>
      <w:r w:rsidRPr="00AD0FB1">
        <w:rPr>
          <w:sz w:val="20"/>
          <w:szCs w:val="20"/>
          <w:lang w:val="pt-BR"/>
        </w:rPr>
        <w:tab/>
      </w:r>
      <w:r w:rsidRPr="0077509F">
        <w:rPr>
          <w:sz w:val="20"/>
          <w:szCs w:val="20"/>
          <w:lang w:val="pt-BR"/>
        </w:rPr>
        <w:t xml:space="preserve">O México reitera a posição expressa em sua intervenção feita durante a apresentação do relatório do Secretário-Geral sobre credenciais, no âmbito da sessão plenária </w:t>
      </w:r>
      <w:r w:rsidRPr="00377CA8">
        <w:rPr>
          <w:sz w:val="20"/>
          <w:szCs w:val="20"/>
          <w:lang w:val="pt-BR"/>
        </w:rPr>
        <w:t xml:space="preserve">do </w:t>
      </w:r>
      <w:r w:rsidR="00377CA8" w:rsidRPr="00377CA8">
        <w:rPr>
          <w:sz w:val="20"/>
          <w:szCs w:val="20"/>
          <w:lang w:val="pt-BR"/>
        </w:rPr>
        <w:t>(</w:t>
      </w:r>
      <w:r w:rsidRPr="00377CA8">
        <w:rPr>
          <w:sz w:val="20"/>
          <w:szCs w:val="20"/>
          <w:lang w:val="pt-BR"/>
        </w:rPr>
        <w:t xml:space="preserve">… </w:t>
      </w:r>
      <w:r w:rsidR="00377CA8" w:rsidRPr="00377CA8">
        <w:rPr>
          <w:sz w:val="20"/>
          <w:szCs w:val="20"/>
          <w:lang w:val="pt-BR"/>
        </w:rPr>
        <w:t>)</w:t>
      </w:r>
    </w:p>
  </w:footnote>
  <w:footnote w:id="5">
    <w:p w14:paraId="6E834FBD" w14:textId="77777777" w:rsidR="004B5422" w:rsidRDefault="004B5422" w:rsidP="00AC5431">
      <w:pPr>
        <w:pStyle w:val="yiv6969577381ydp55b6f93cyiv1108822727ydpc3e487cbmsonormal"/>
        <w:shd w:val="clear" w:color="auto" w:fill="FFFFFF"/>
        <w:spacing w:before="0" w:beforeAutospacing="0" w:after="0" w:afterAutospacing="0"/>
        <w:ind w:left="720" w:hanging="360"/>
        <w:jc w:val="both"/>
        <w:rPr>
          <w:sz w:val="20"/>
          <w:szCs w:val="20"/>
          <w:lang w:val="pt-BR"/>
        </w:rPr>
      </w:pPr>
      <w:r>
        <w:rPr>
          <w:rStyle w:val="FootnoteReference"/>
          <w:sz w:val="20"/>
          <w:szCs w:val="20"/>
          <w:lang w:val="en-US"/>
        </w:rPr>
        <w:footnoteRef/>
      </w:r>
      <w:r>
        <w:rPr>
          <w:sz w:val="20"/>
          <w:szCs w:val="20"/>
          <w:lang w:val="pt-BR"/>
        </w:rPr>
        <w:t>.</w:t>
      </w:r>
      <w:r>
        <w:rPr>
          <w:sz w:val="20"/>
          <w:szCs w:val="20"/>
          <w:lang w:val="pt-BR"/>
        </w:rPr>
        <w:tab/>
      </w:r>
      <w:r>
        <w:rPr>
          <w:color w:val="26282A"/>
          <w:sz w:val="20"/>
          <w:szCs w:val="20"/>
          <w:lang w:val="pt-BR"/>
        </w:rPr>
        <w:t>O Governo da República da Nicarágua vem fazendo constar sua reserva expressa aos mandatos e às iniciativas propostas na Quinta, Sexta e Sétima Cúpulas das Américas, uma vez que, no (...)</w:t>
      </w:r>
    </w:p>
  </w:footnote>
  <w:footnote w:id="6">
    <w:p w14:paraId="6E834FBE" w14:textId="77777777" w:rsidR="004B5422" w:rsidRDefault="004B5422" w:rsidP="00AC5431">
      <w:pPr>
        <w:pStyle w:val="yiv6969577381ydp55b6f93cyiv1108822727ydpc3e487cbmsonormal"/>
        <w:shd w:val="clear" w:color="auto" w:fill="FFFFFF"/>
        <w:spacing w:before="0" w:beforeAutospacing="0" w:after="0" w:afterAutospacing="0"/>
        <w:ind w:left="720" w:hanging="360"/>
        <w:jc w:val="both"/>
        <w:rPr>
          <w:sz w:val="20"/>
          <w:szCs w:val="20"/>
          <w:lang w:val="pt-BR"/>
        </w:rPr>
      </w:pPr>
      <w:r>
        <w:rPr>
          <w:rStyle w:val="FootnoteReference"/>
          <w:sz w:val="20"/>
          <w:szCs w:val="20"/>
          <w:lang w:val="en-US"/>
        </w:rPr>
        <w:footnoteRef/>
      </w:r>
      <w:r>
        <w:rPr>
          <w:sz w:val="20"/>
          <w:szCs w:val="20"/>
          <w:lang w:val="pt-BR"/>
        </w:rPr>
        <w:t>.</w:t>
      </w:r>
      <w:r>
        <w:rPr>
          <w:sz w:val="20"/>
          <w:szCs w:val="20"/>
          <w:lang w:val="pt-BR"/>
        </w:rPr>
        <w:tab/>
      </w:r>
      <w:r>
        <w:rPr>
          <w:sz w:val="20"/>
          <w:szCs w:val="20"/>
          <w:lang w:val="pt-BR"/>
        </w:rPr>
        <w:t>No que se refere à Oitava Cúpula das Américas, o Governo da República da Nicarágua levou ao conhecimento dos Chefes de Estado e de Governo presentes na Oitava Cúpula das Américas que a (...)</w:t>
      </w:r>
    </w:p>
  </w:footnote>
  <w:footnote w:id="7">
    <w:p w14:paraId="6E834FBF" w14:textId="77777777" w:rsidR="004B5422" w:rsidRPr="00AC5431" w:rsidRDefault="004B5422" w:rsidP="00AC5431">
      <w:pPr>
        <w:pStyle w:val="yiv6969577381ydp55b6f93cyiv1108822727ydpc3e487cbmsonormal"/>
        <w:shd w:val="clear" w:color="auto" w:fill="FFFFFF"/>
        <w:spacing w:before="0" w:beforeAutospacing="0" w:after="0" w:afterAutospacing="0"/>
        <w:ind w:left="720" w:hanging="360"/>
        <w:jc w:val="both"/>
        <w:rPr>
          <w:sz w:val="20"/>
          <w:szCs w:val="20"/>
          <w:lang w:val="pt-BR"/>
        </w:rPr>
      </w:pPr>
      <w:r>
        <w:rPr>
          <w:rStyle w:val="FootnoteReference"/>
          <w:sz w:val="20"/>
          <w:szCs w:val="20"/>
          <w:lang w:val="en-US"/>
        </w:rPr>
        <w:footnoteRef/>
      </w:r>
      <w:r w:rsidRPr="00AC5431">
        <w:rPr>
          <w:sz w:val="20"/>
          <w:szCs w:val="20"/>
          <w:lang w:val="pt-BR"/>
        </w:rPr>
        <w:t>.</w:t>
      </w:r>
      <w:r w:rsidRPr="00AC5431">
        <w:rPr>
          <w:sz w:val="20"/>
          <w:szCs w:val="20"/>
          <w:lang w:val="pt-BR"/>
        </w:rPr>
        <w:tab/>
      </w:r>
      <w:r>
        <w:rPr>
          <w:i/>
          <w:sz w:val="20"/>
          <w:lang w:val="pt-BR"/>
        </w:rPr>
        <w:t>Idem.</w:t>
      </w:r>
    </w:p>
  </w:footnote>
  <w:footnote w:id="8">
    <w:p w14:paraId="6E834FC0" w14:textId="77777777" w:rsidR="004B5422" w:rsidRPr="00AC5431" w:rsidRDefault="004B5422" w:rsidP="00AC5431">
      <w:pPr>
        <w:pStyle w:val="yiv6969577381ydp55b6f93cyiv1108822727ydpc3e487cbmsonormal"/>
        <w:shd w:val="clear" w:color="auto" w:fill="FFFFFF"/>
        <w:spacing w:before="0" w:beforeAutospacing="0" w:after="0" w:afterAutospacing="0"/>
        <w:ind w:left="720" w:hanging="360"/>
        <w:jc w:val="both"/>
        <w:rPr>
          <w:sz w:val="20"/>
          <w:szCs w:val="20"/>
          <w:lang w:val="pt-BR"/>
        </w:rPr>
      </w:pPr>
      <w:r>
        <w:rPr>
          <w:rStyle w:val="FootnoteReference"/>
          <w:sz w:val="20"/>
          <w:szCs w:val="20"/>
          <w:lang w:val="en-US"/>
        </w:rPr>
        <w:footnoteRef/>
      </w:r>
      <w:r w:rsidRPr="00AC5431">
        <w:rPr>
          <w:sz w:val="20"/>
          <w:szCs w:val="20"/>
          <w:lang w:val="pt-BR"/>
        </w:rPr>
        <w:t>.</w:t>
      </w:r>
      <w:r w:rsidRPr="00AC5431">
        <w:rPr>
          <w:sz w:val="20"/>
          <w:szCs w:val="20"/>
          <w:lang w:val="pt-BR"/>
        </w:rPr>
        <w:tab/>
      </w:r>
      <w:r>
        <w:rPr>
          <w:i/>
          <w:sz w:val="20"/>
          <w:lang w:val="pt-BR"/>
        </w:rPr>
        <w:t>Idem.</w:t>
      </w:r>
    </w:p>
  </w:footnote>
  <w:footnote w:id="9">
    <w:p w14:paraId="6E834FC1" w14:textId="77777777" w:rsidR="004B5422" w:rsidRDefault="004B5422" w:rsidP="00AC5431">
      <w:pPr>
        <w:ind w:left="720" w:hanging="360"/>
        <w:rPr>
          <w:rFonts w:ascii="Times New Roman" w:eastAsia="MS Mincho" w:hAnsi="Times New Roman"/>
          <w:lang w:val="pt-BR" w:eastAsia="es-ES_tradnl"/>
        </w:rPr>
      </w:pPr>
      <w:r>
        <w:rPr>
          <w:rStyle w:val="FootnoteReference"/>
          <w:rFonts w:ascii="Times New Roman" w:hAnsi="Times New Roman"/>
          <w:sz w:val="20"/>
          <w:lang w:val="en-US"/>
        </w:rPr>
        <w:footnoteRef/>
      </w:r>
      <w:r>
        <w:rPr>
          <w:rFonts w:ascii="Times New Roman" w:hAnsi="Times New Roman"/>
          <w:sz w:val="20"/>
          <w:lang w:val="pt-BR"/>
        </w:rPr>
        <w:t>.</w:t>
      </w:r>
      <w:r>
        <w:rPr>
          <w:rFonts w:ascii="Times New Roman" w:hAnsi="Times New Roman"/>
          <w:sz w:val="20"/>
          <w:lang w:val="pt-BR"/>
        </w:rPr>
        <w:tab/>
      </w:r>
      <w:r>
        <w:rPr>
          <w:rFonts w:ascii="Times New Roman" w:hAnsi="Times New Roman"/>
          <w:sz w:val="20"/>
          <w:lang w:val="pt-BR"/>
        </w:rPr>
        <w:t>Antígua e Barbuda considera que a República Bolivariana da Venezuela não é um Estado membro da Organização dos Estados Americanos pois, em 27 de abril de 2017, o Governo da República (...)</w:t>
      </w:r>
    </w:p>
  </w:footnote>
  <w:footnote w:id="10">
    <w:p w14:paraId="6E834FC2" w14:textId="299CD352" w:rsidR="004B5422" w:rsidRPr="0077509F" w:rsidRDefault="004B5422" w:rsidP="00714959">
      <w:pPr>
        <w:pStyle w:val="Default"/>
        <w:ind w:left="720" w:hanging="360"/>
        <w:jc w:val="both"/>
        <w:rPr>
          <w:rFonts w:ascii="Montserrat" w:hAnsi="Montserrat" w:cs="Montserrat"/>
          <w:sz w:val="20"/>
          <w:szCs w:val="20"/>
          <w:lang w:val="pt-BR"/>
        </w:rPr>
      </w:pPr>
      <w:r w:rsidRPr="00982CE9">
        <w:rPr>
          <w:rStyle w:val="FootnoteReference"/>
          <w:sz w:val="20"/>
          <w:szCs w:val="20"/>
          <w:lang w:val="en-US"/>
        </w:rPr>
        <w:footnoteRef/>
      </w:r>
      <w:r w:rsidRPr="00E615D5">
        <w:rPr>
          <w:sz w:val="20"/>
          <w:szCs w:val="20"/>
          <w:lang w:val="pt-BR"/>
        </w:rPr>
        <w:t>.</w:t>
      </w:r>
      <w:r w:rsidRPr="00E615D5">
        <w:rPr>
          <w:sz w:val="20"/>
          <w:szCs w:val="20"/>
          <w:lang w:val="pt-BR"/>
        </w:rPr>
        <w:tab/>
      </w:r>
      <w:r w:rsidRPr="0077509F">
        <w:rPr>
          <w:sz w:val="20"/>
          <w:szCs w:val="20"/>
          <w:lang w:val="pt-BR"/>
        </w:rPr>
        <w:t xml:space="preserve">O México reitera a posição expressa em sua </w:t>
      </w:r>
      <w:r w:rsidRPr="00377CA8">
        <w:rPr>
          <w:sz w:val="20"/>
          <w:szCs w:val="20"/>
          <w:lang w:val="pt-BR"/>
        </w:rPr>
        <w:t xml:space="preserve">intervenção feita durante a apresentação do relatório do Secretário-Geral sobre credenciais, no âmbito da sessão plenária do </w:t>
      </w:r>
      <w:r w:rsidR="00377CA8" w:rsidRPr="00377CA8">
        <w:rPr>
          <w:sz w:val="20"/>
          <w:szCs w:val="20"/>
          <w:lang w:val="pt-BR"/>
        </w:rPr>
        <w:t>(</w:t>
      </w:r>
      <w:r w:rsidRPr="00377CA8">
        <w:rPr>
          <w:sz w:val="20"/>
          <w:szCs w:val="20"/>
          <w:lang w:val="pt-BR"/>
        </w:rPr>
        <w:t xml:space="preserve">… </w:t>
      </w:r>
      <w:r w:rsidR="00377CA8" w:rsidRPr="00377CA8">
        <w:rPr>
          <w:sz w:val="20"/>
          <w:szCs w:val="20"/>
          <w:lang w:val="pt-BR"/>
        </w:rPr>
        <w:t>)</w:t>
      </w:r>
    </w:p>
  </w:footnote>
  <w:footnote w:id="11">
    <w:p w14:paraId="6E834FC3" w14:textId="77777777" w:rsidR="004B5422" w:rsidRPr="00377CA8" w:rsidRDefault="004B5422" w:rsidP="0011327F">
      <w:pPr>
        <w:ind w:left="720" w:hanging="360"/>
        <w:rPr>
          <w:rFonts w:ascii="Times New Roman" w:eastAsia="MS Mincho" w:hAnsi="Times New Roman"/>
          <w:sz w:val="20"/>
          <w:lang w:val="pt-BR" w:eastAsia="es-ES_tradnl"/>
        </w:rPr>
      </w:pPr>
      <w:r>
        <w:rPr>
          <w:rStyle w:val="FootnoteReference"/>
          <w:sz w:val="20"/>
          <w:lang w:val="en-US"/>
        </w:rPr>
        <w:footnoteRef/>
      </w:r>
      <w:r>
        <w:rPr>
          <w:rFonts w:ascii="Times New Roman" w:hAnsi="Times New Roman"/>
          <w:sz w:val="20"/>
          <w:lang w:val="pt-BR"/>
        </w:rPr>
        <w:t>.</w:t>
      </w:r>
      <w:r>
        <w:rPr>
          <w:rFonts w:ascii="Times New Roman" w:hAnsi="Times New Roman"/>
          <w:sz w:val="20"/>
          <w:lang w:val="pt-BR"/>
        </w:rPr>
        <w:tab/>
      </w:r>
      <w:r>
        <w:rPr>
          <w:rFonts w:ascii="Times New Roman" w:hAnsi="Times New Roman"/>
          <w:sz w:val="20"/>
          <w:lang w:val="pt-BR"/>
        </w:rPr>
        <w:t xml:space="preserve">Antígua e Barbuda considera que a República Bolivariana da Venezuela não é um Estado membro da Organização dos Estados </w:t>
      </w:r>
      <w:r w:rsidRPr="00377CA8">
        <w:rPr>
          <w:rFonts w:ascii="Times New Roman" w:hAnsi="Times New Roman"/>
          <w:sz w:val="20"/>
          <w:lang w:val="pt-BR"/>
        </w:rPr>
        <w:t>Americanos pois, em 27 de abril de 2017, o Governo da República (...)</w:t>
      </w:r>
    </w:p>
  </w:footnote>
  <w:footnote w:id="12">
    <w:p w14:paraId="6E834FC4" w14:textId="5D21071C" w:rsidR="004B5422" w:rsidRPr="0077509F" w:rsidRDefault="004B5422" w:rsidP="00714959">
      <w:pPr>
        <w:pStyle w:val="Default"/>
        <w:ind w:left="720" w:hanging="360"/>
        <w:jc w:val="both"/>
        <w:rPr>
          <w:rFonts w:ascii="Montserrat" w:hAnsi="Montserrat" w:cs="Montserrat"/>
          <w:sz w:val="20"/>
          <w:szCs w:val="20"/>
          <w:lang w:val="pt-BR"/>
        </w:rPr>
      </w:pPr>
      <w:r w:rsidRPr="00377CA8">
        <w:rPr>
          <w:rStyle w:val="FootnoteReference"/>
          <w:sz w:val="20"/>
          <w:szCs w:val="20"/>
          <w:lang w:val="en-US"/>
        </w:rPr>
        <w:footnoteRef/>
      </w:r>
      <w:r w:rsidRPr="00377CA8">
        <w:rPr>
          <w:sz w:val="20"/>
          <w:szCs w:val="20"/>
          <w:lang w:val="pt-BR"/>
        </w:rPr>
        <w:t>.</w:t>
      </w:r>
      <w:r w:rsidRPr="00377CA8">
        <w:rPr>
          <w:sz w:val="20"/>
          <w:szCs w:val="20"/>
          <w:lang w:val="pt-BR"/>
        </w:rPr>
        <w:tab/>
      </w:r>
      <w:r w:rsidRPr="00377CA8">
        <w:rPr>
          <w:sz w:val="20"/>
          <w:szCs w:val="20"/>
          <w:lang w:val="pt-BR"/>
        </w:rPr>
        <w:t xml:space="preserve">O México reitera a posição expressa em sua intervenção feita durante a apresentação do relatório do Secretário-Geral sobre credenciais, no âmbito da sessão plenária do </w:t>
      </w:r>
      <w:r w:rsidR="00377CA8" w:rsidRPr="00377CA8">
        <w:rPr>
          <w:sz w:val="20"/>
          <w:szCs w:val="20"/>
          <w:lang w:val="pt-BR"/>
        </w:rPr>
        <w:t>(</w:t>
      </w:r>
      <w:r w:rsidRPr="00377CA8">
        <w:rPr>
          <w:sz w:val="20"/>
          <w:szCs w:val="20"/>
          <w:lang w:val="pt-BR"/>
        </w:rPr>
        <w:t xml:space="preserve">… </w:t>
      </w:r>
      <w:r w:rsidR="00377CA8" w:rsidRPr="00377CA8">
        <w:rPr>
          <w:sz w:val="20"/>
          <w:szCs w:val="20"/>
          <w:lang w:val="pt-BR"/>
        </w:rPr>
        <w:t>)</w:t>
      </w:r>
    </w:p>
  </w:footnote>
  <w:footnote w:id="13">
    <w:p w14:paraId="6E834FC5" w14:textId="77777777" w:rsidR="004B5422" w:rsidRDefault="004B5422" w:rsidP="0011327F">
      <w:pPr>
        <w:pStyle w:val="FootnoteText"/>
        <w:tabs>
          <w:tab w:val="clear" w:pos="360"/>
          <w:tab w:val="left" w:pos="720"/>
        </w:tabs>
        <w:ind w:left="720"/>
        <w:rPr>
          <w:rFonts w:ascii="Times New Roman" w:hAnsi="Times New Roman"/>
          <w:sz w:val="20"/>
          <w:lang w:val="pt-BR"/>
        </w:rPr>
      </w:pPr>
      <w:r>
        <w:rPr>
          <w:rStyle w:val="FootnoteReference"/>
          <w:sz w:val="20"/>
        </w:rPr>
        <w:footnoteRef/>
      </w:r>
      <w:r>
        <w:rPr>
          <w:rFonts w:ascii="Times New Roman" w:hAnsi="Times New Roman"/>
          <w:sz w:val="20"/>
          <w:lang w:val="pt-BR"/>
        </w:rPr>
        <w:t>.</w:t>
      </w:r>
      <w:r>
        <w:rPr>
          <w:rFonts w:ascii="Times New Roman" w:hAnsi="Times New Roman"/>
          <w:sz w:val="20"/>
          <w:lang w:val="pt-BR"/>
        </w:rPr>
        <w:tab/>
      </w:r>
      <w:r>
        <w:rPr>
          <w:rFonts w:ascii="Times New Roman" w:hAnsi="Times New Roman"/>
          <w:sz w:val="20"/>
          <w:lang w:val="pt-BR"/>
        </w:rPr>
        <w:t>Sétima Reunião de Ministros em Matéria de Segurança Pública das Américas (MISPA-VII), Equador, 30 e 31 de outubro de 2019; reunião especial sobre vínculos entre o delito (...)</w:t>
      </w:r>
    </w:p>
  </w:footnote>
  <w:footnote w:id="14">
    <w:p w14:paraId="6E834FC6" w14:textId="77777777" w:rsidR="004B5422" w:rsidRDefault="004B5422" w:rsidP="0011327F">
      <w:pPr>
        <w:ind w:left="720" w:hanging="360"/>
        <w:rPr>
          <w:rFonts w:ascii="Times New Roman" w:hAnsi="Times New Roman"/>
          <w:sz w:val="20"/>
          <w:lang w:val="pt-BR"/>
        </w:rPr>
      </w:pPr>
      <w:r>
        <w:rPr>
          <w:rStyle w:val="FootnoteReference"/>
          <w:sz w:val="20"/>
        </w:rPr>
        <w:footnoteRef/>
      </w:r>
      <w:r>
        <w:rPr>
          <w:rFonts w:ascii="Times New Roman" w:hAnsi="Times New Roman"/>
          <w:sz w:val="20"/>
          <w:lang w:val="pt-BR"/>
        </w:rPr>
        <w:t>.</w:t>
      </w:r>
      <w:r>
        <w:rPr>
          <w:rFonts w:ascii="Times New Roman" w:hAnsi="Times New Roman"/>
          <w:sz w:val="20"/>
          <w:lang w:val="pt-BR"/>
        </w:rPr>
        <w:tab/>
      </w:r>
      <w:r>
        <w:rPr>
          <w:rFonts w:ascii="Times New Roman" w:hAnsi="Times New Roman"/>
          <w:sz w:val="20"/>
          <w:lang w:val="pt-BR"/>
        </w:rPr>
        <w:t xml:space="preserve">Os Estados Unidos não apoiam e não assinarão o Tratado sobre a Proibição de Armas Nucleares (TPAN), nem consideram que ele seja uma “medida eficaz” para o desarmamento, como se estipula no artigo VI (...) </w:t>
      </w:r>
    </w:p>
  </w:footnote>
  <w:footnote w:id="15">
    <w:p w14:paraId="6E834FC7" w14:textId="77777777" w:rsidR="004B5422" w:rsidRDefault="004B5422" w:rsidP="0011327F">
      <w:pPr>
        <w:ind w:left="720" w:hanging="360"/>
        <w:rPr>
          <w:rFonts w:ascii="Times New Roman" w:hAnsi="Times New Roman"/>
          <w:sz w:val="20"/>
          <w:lang w:val="pt-BR"/>
        </w:rPr>
      </w:pPr>
      <w:r>
        <w:rPr>
          <w:rFonts w:ascii="Times New Roman" w:hAnsi="Times New Roman"/>
          <w:sz w:val="20"/>
        </w:rPr>
        <w:footnoteRef/>
      </w:r>
      <w:r>
        <w:rPr>
          <w:rFonts w:ascii="Times New Roman" w:hAnsi="Times New Roman"/>
          <w:sz w:val="20"/>
          <w:lang w:val="pt-BR"/>
        </w:rPr>
        <w:t xml:space="preserve"> </w:t>
      </w:r>
      <w:r>
        <w:rPr>
          <w:rFonts w:ascii="Times New Roman" w:hAnsi="Times New Roman"/>
          <w:sz w:val="20"/>
          <w:lang w:val="pt-BR"/>
        </w:rPr>
        <w:tab/>
      </w:r>
      <w:r>
        <w:rPr>
          <w:rFonts w:ascii="Times New Roman" w:hAnsi="Times New Roman"/>
          <w:sz w:val="20"/>
          <w:lang w:val="pt-BR"/>
        </w:rPr>
        <w:t xml:space="preserve">Os </w:t>
      </w:r>
      <w:r>
        <w:rPr>
          <w:rFonts w:ascii="Times New Roman" w:hAnsi="Times New Roman"/>
          <w:sz w:val="20"/>
          <w:lang w:val="pt-BR"/>
        </w:rPr>
        <w:t xml:space="preserve">Estados Unidos não são Parte na Convenção sobre a Proibição do Uso, Armazenamento, Produção e Transferência de Minas Antipessoal e sobre sua Destruição. Os Estados Unidos são o (...) </w:t>
      </w:r>
    </w:p>
  </w:footnote>
  <w:footnote w:id="16">
    <w:p w14:paraId="6E834FC8" w14:textId="24D9160B" w:rsidR="004B5422" w:rsidRDefault="004B5422" w:rsidP="0011327F">
      <w:pPr>
        <w:pStyle w:val="FootnoteText"/>
        <w:tabs>
          <w:tab w:val="clear" w:pos="360"/>
          <w:tab w:val="left" w:pos="720"/>
        </w:tabs>
        <w:ind w:left="720"/>
        <w:rPr>
          <w:rFonts w:ascii="Times New Roman" w:hAnsi="Times New Roman"/>
          <w:sz w:val="20"/>
          <w:lang w:val="pt-BR"/>
        </w:rPr>
      </w:pPr>
      <w:r>
        <w:rPr>
          <w:rStyle w:val="FootnoteReference"/>
          <w:sz w:val="20"/>
        </w:rPr>
        <w:footnoteRef/>
      </w:r>
      <w:r>
        <w:rPr>
          <w:rFonts w:ascii="Times New Roman" w:hAnsi="Times New Roman"/>
          <w:sz w:val="20"/>
          <w:lang w:val="pt-BR"/>
        </w:rPr>
        <w:t>.</w:t>
      </w:r>
      <w:r>
        <w:rPr>
          <w:rFonts w:ascii="Times New Roman" w:hAnsi="Times New Roman"/>
          <w:sz w:val="20"/>
          <w:lang w:val="pt-BR"/>
        </w:rPr>
        <w:tab/>
      </w:r>
      <w:r>
        <w:rPr>
          <w:rFonts w:ascii="Times New Roman" w:hAnsi="Times New Roman"/>
          <w:sz w:val="20"/>
          <w:lang w:val="pt-BR"/>
        </w:rPr>
        <w:t>O Governo da Nicarágua não acompanhará nenhuma Declaração da Conferência de Ministros das Américas cujos objetivos extrapolem o caráter e a natureza de ser ela um foro (...)</w:t>
      </w:r>
    </w:p>
  </w:footnote>
  <w:footnote w:id="17">
    <w:p w14:paraId="6E834FC9" w14:textId="77777777" w:rsidR="004B5422" w:rsidRDefault="004B5422" w:rsidP="0011327F">
      <w:pPr>
        <w:pStyle w:val="FootnoteText"/>
        <w:ind w:left="720" w:hanging="720"/>
        <w:rPr>
          <w:rFonts w:ascii="Times New Roman" w:hAnsi="Times New Roman"/>
          <w:sz w:val="20"/>
          <w:lang w:val="pt-BR"/>
        </w:rPr>
      </w:pPr>
      <w:r>
        <w:rPr>
          <w:rFonts w:ascii="Times New Roman" w:hAnsi="Times New Roman"/>
          <w:sz w:val="20"/>
          <w:lang w:val="pt-BR"/>
        </w:rPr>
        <w:tab/>
      </w:r>
      <w:r>
        <w:rPr>
          <w:rStyle w:val="FootnoteReference"/>
          <w:sz w:val="20"/>
        </w:rPr>
        <w:footnoteRef/>
      </w:r>
      <w:r>
        <w:rPr>
          <w:rFonts w:ascii="Times New Roman" w:hAnsi="Times New Roman"/>
          <w:sz w:val="20"/>
          <w:lang w:val="pt-BR"/>
        </w:rPr>
        <w:t>.</w:t>
      </w:r>
      <w:r>
        <w:rPr>
          <w:rFonts w:ascii="Times New Roman" w:hAnsi="Times New Roman"/>
          <w:sz w:val="20"/>
          <w:lang w:val="pt-BR"/>
        </w:rPr>
        <w:tab/>
      </w:r>
      <w:r>
        <w:rPr>
          <w:rFonts w:ascii="Times New Roman" w:hAnsi="Times New Roman"/>
          <w:sz w:val="20"/>
          <w:lang w:val="pt-BR"/>
        </w:rPr>
        <w:t>O Governo da Nicarágua reconhece nas medidas de fortalecimento da confiança e da segurança um instrumento importante para o fomento de um clima internacional de confiança e paz (...)</w:t>
      </w:r>
    </w:p>
  </w:footnote>
  <w:footnote w:id="18">
    <w:p w14:paraId="6E834FCA" w14:textId="77777777" w:rsidR="004B5422" w:rsidRDefault="004B5422" w:rsidP="0011327F">
      <w:pPr>
        <w:pStyle w:val="FootnoteText"/>
        <w:ind w:left="720" w:hanging="720"/>
        <w:rPr>
          <w:rFonts w:ascii="Times New Roman" w:hAnsi="Times New Roman"/>
          <w:sz w:val="20"/>
          <w:lang w:val="pt-BR"/>
        </w:rPr>
      </w:pPr>
      <w:r>
        <w:rPr>
          <w:rFonts w:ascii="Times New Roman" w:hAnsi="Times New Roman"/>
          <w:sz w:val="20"/>
          <w:lang w:val="pt-BR"/>
        </w:rPr>
        <w:tab/>
      </w:r>
      <w:r>
        <w:rPr>
          <w:rStyle w:val="FootnoteReference"/>
          <w:sz w:val="20"/>
        </w:rPr>
        <w:footnoteRef/>
      </w:r>
      <w:r>
        <w:rPr>
          <w:rFonts w:ascii="Times New Roman" w:hAnsi="Times New Roman"/>
          <w:sz w:val="20"/>
          <w:lang w:val="pt-BR"/>
        </w:rPr>
        <w:t>.</w:t>
      </w:r>
      <w:r>
        <w:rPr>
          <w:rFonts w:ascii="Times New Roman" w:hAnsi="Times New Roman"/>
          <w:sz w:val="20"/>
          <w:lang w:val="pt-BR"/>
        </w:rPr>
        <w:tab/>
      </w:r>
      <w:r>
        <w:rPr>
          <w:rFonts w:ascii="Times New Roman" w:hAnsi="Times New Roman"/>
          <w:sz w:val="20"/>
          <w:lang w:val="pt-BR"/>
        </w:rPr>
        <w:t>O Governo da Nicarágua expressa o seu desacordo em que se estabeleça uma unidade de apoio policial dentro da estrutura da SSM devido ao fato de isso implicar uma duplicação de (...)</w:t>
      </w:r>
    </w:p>
  </w:footnote>
  <w:footnote w:id="19">
    <w:p w14:paraId="6E834FCB" w14:textId="4B78205F" w:rsidR="004B5422" w:rsidRDefault="004B5422" w:rsidP="0011327F">
      <w:pPr>
        <w:pStyle w:val="FootnoteText"/>
        <w:tabs>
          <w:tab w:val="clear" w:pos="360"/>
          <w:tab w:val="left" w:pos="720"/>
        </w:tabs>
        <w:ind w:left="720"/>
        <w:rPr>
          <w:rFonts w:ascii="Times New Roman" w:hAnsi="Times New Roman"/>
          <w:sz w:val="20"/>
          <w:lang w:val="pt-BR"/>
        </w:rPr>
      </w:pPr>
      <w:r w:rsidRPr="00E728AD">
        <w:rPr>
          <w:rStyle w:val="FootnoteReference"/>
          <w:sz w:val="20"/>
        </w:rPr>
        <w:footnoteRef/>
      </w:r>
      <w:r w:rsidRPr="00E728AD">
        <w:rPr>
          <w:rFonts w:ascii="Times New Roman" w:hAnsi="Times New Roman"/>
          <w:sz w:val="20"/>
          <w:lang w:val="pt-BR"/>
        </w:rPr>
        <w:t>.</w:t>
      </w:r>
      <w:r w:rsidRPr="00E728AD">
        <w:rPr>
          <w:rFonts w:ascii="Times New Roman" w:hAnsi="Times New Roman"/>
          <w:sz w:val="20"/>
          <w:lang w:val="pt-BR"/>
        </w:rPr>
        <w:tab/>
      </w:r>
      <w:r w:rsidRPr="00E728AD">
        <w:rPr>
          <w:rFonts w:ascii="Times New Roman" w:hAnsi="Times New Roman"/>
          <w:sz w:val="20"/>
          <w:lang w:val="pt-BR"/>
        </w:rPr>
        <w:t>Resolução E/RES/2019/23 do Conselho Econômico e Social (ECOSOC) da Organização das Nações Unidas, em 23</w:t>
      </w:r>
      <w:r w:rsidRPr="00E728AD">
        <w:rPr>
          <w:rFonts w:ascii="Times New Roman" w:hAnsi="Times New Roman"/>
          <w:sz w:val="20"/>
          <w:vertAlign w:val="superscript"/>
          <w:lang w:val="pt-BR"/>
        </w:rPr>
        <w:t xml:space="preserve"> </w:t>
      </w:r>
      <w:r w:rsidRPr="00E728AD">
        <w:rPr>
          <w:rFonts w:ascii="Times New Roman" w:hAnsi="Times New Roman"/>
          <w:sz w:val="20"/>
          <w:lang w:val="pt-BR"/>
        </w:rPr>
        <w:t>de julho de 2019.</w:t>
      </w:r>
      <w:r>
        <w:rPr>
          <w:rFonts w:ascii="Times New Roman" w:hAnsi="Times New Roman"/>
          <w:sz w:val="20"/>
          <w:lang w:val="pt-BR"/>
        </w:rPr>
        <w:t xml:space="preserve"> </w:t>
      </w:r>
    </w:p>
  </w:footnote>
  <w:footnote w:id="20">
    <w:p w14:paraId="6E834FCC" w14:textId="77777777" w:rsidR="004B5422" w:rsidRDefault="004B5422" w:rsidP="0011327F">
      <w:pPr>
        <w:pStyle w:val="FootnoteText"/>
        <w:tabs>
          <w:tab w:val="clear" w:pos="360"/>
          <w:tab w:val="left" w:pos="720"/>
        </w:tabs>
        <w:ind w:left="720"/>
        <w:rPr>
          <w:rFonts w:ascii="Times New Roman" w:hAnsi="Times New Roman"/>
          <w:sz w:val="20"/>
          <w:lang w:val="pt-BR"/>
        </w:rPr>
      </w:pPr>
      <w:r>
        <w:rPr>
          <w:rStyle w:val="FootnoteReference"/>
          <w:sz w:val="20"/>
        </w:rPr>
        <w:footnoteRef/>
      </w:r>
      <w:r>
        <w:rPr>
          <w:rFonts w:ascii="Times New Roman" w:hAnsi="Times New Roman"/>
          <w:sz w:val="20"/>
          <w:lang w:val="pt-BR"/>
        </w:rPr>
        <w:t>.</w:t>
      </w:r>
      <w:r>
        <w:rPr>
          <w:rFonts w:ascii="Times New Roman" w:hAnsi="Times New Roman"/>
          <w:sz w:val="20"/>
          <w:lang w:val="pt-BR"/>
        </w:rPr>
        <w:tab/>
      </w:r>
      <w:r>
        <w:rPr>
          <w:rFonts w:ascii="Times New Roman" w:hAnsi="Times New Roman"/>
          <w:sz w:val="20"/>
          <w:lang w:val="pt-BR"/>
        </w:rPr>
        <w:t>No que se refere à Oitava Cúpula das Américas, o Governo da República da Nicarágua levou ao conhecimento dos Chefes de Estado e de Governo presentes na Oitava Cúpula das Américas que a (...)</w:t>
      </w:r>
    </w:p>
  </w:footnote>
  <w:footnote w:id="21">
    <w:p w14:paraId="6E834FCD" w14:textId="77777777" w:rsidR="004B5422" w:rsidRDefault="004B5422" w:rsidP="0011327F">
      <w:pPr>
        <w:pStyle w:val="FootnoteText"/>
        <w:tabs>
          <w:tab w:val="clear" w:pos="360"/>
          <w:tab w:val="left" w:pos="720"/>
        </w:tabs>
        <w:ind w:left="720"/>
        <w:rPr>
          <w:rFonts w:ascii="Times New Roman" w:hAnsi="Times New Roman"/>
          <w:sz w:val="20"/>
          <w:lang w:val="pt-BR"/>
        </w:rPr>
      </w:pPr>
      <w:r>
        <w:rPr>
          <w:rStyle w:val="FootnoteReference"/>
          <w:sz w:val="20"/>
        </w:rPr>
        <w:footnoteRef/>
      </w:r>
      <w:r>
        <w:rPr>
          <w:rFonts w:ascii="Times New Roman" w:hAnsi="Times New Roman"/>
          <w:sz w:val="20"/>
          <w:lang w:val="pt-BR"/>
        </w:rPr>
        <w:t>.</w:t>
      </w:r>
      <w:r>
        <w:rPr>
          <w:rFonts w:ascii="Times New Roman" w:hAnsi="Times New Roman"/>
          <w:sz w:val="20"/>
          <w:lang w:val="pt-BR"/>
        </w:rPr>
        <w:tab/>
      </w:r>
      <w:r>
        <w:rPr>
          <w:rFonts w:ascii="Times New Roman" w:hAnsi="Times New Roman"/>
          <w:sz w:val="20"/>
          <w:lang w:val="pt-BR"/>
        </w:rPr>
        <w:t>O Governo da Nicarágua continua comprometido com a prevenção, o combate e a erradicação do tráfico ilícito de armas. E, tendo presente o seu compromisso com a paz e a segurança do cidadão, (...)</w:t>
      </w:r>
    </w:p>
  </w:footnote>
  <w:footnote w:id="22">
    <w:p w14:paraId="6E834FCE" w14:textId="1E540D91" w:rsidR="004B5422" w:rsidRDefault="004B5422" w:rsidP="0011327F">
      <w:pPr>
        <w:pStyle w:val="FootnoteText"/>
        <w:tabs>
          <w:tab w:val="clear" w:pos="360"/>
          <w:tab w:val="left" w:pos="720"/>
        </w:tabs>
        <w:ind w:left="720"/>
        <w:rPr>
          <w:rFonts w:ascii="Times New Roman" w:hAnsi="Times New Roman"/>
          <w:sz w:val="20"/>
          <w:lang w:val="pt-BR"/>
        </w:rPr>
      </w:pPr>
      <w:r>
        <w:rPr>
          <w:rStyle w:val="FootnoteReference"/>
          <w:sz w:val="20"/>
        </w:rPr>
        <w:footnoteRef/>
      </w:r>
      <w:r>
        <w:rPr>
          <w:rFonts w:ascii="Times New Roman" w:hAnsi="Times New Roman"/>
          <w:sz w:val="20"/>
          <w:lang w:val="pt-BR"/>
        </w:rPr>
        <w:t>.</w:t>
      </w:r>
      <w:r>
        <w:rPr>
          <w:rFonts w:ascii="Times New Roman" w:hAnsi="Times New Roman"/>
          <w:sz w:val="20"/>
          <w:lang w:val="pt-BR"/>
        </w:rPr>
        <w:tab/>
      </w:r>
      <w:r>
        <w:rPr>
          <w:rFonts w:ascii="Times New Roman" w:hAnsi="Times New Roman"/>
          <w:sz w:val="20"/>
          <w:lang w:val="pt-BR"/>
        </w:rPr>
        <w:t xml:space="preserve">A Rede Virtual de </w:t>
      </w:r>
      <w:r w:rsidR="00B707BC">
        <w:rPr>
          <w:rFonts w:ascii="Times New Roman" w:hAnsi="Times New Roman"/>
          <w:sz w:val="20"/>
          <w:lang w:val="pt-BR"/>
        </w:rPr>
        <w:t xml:space="preserve">Intercâmbio de </w:t>
      </w:r>
      <w:r>
        <w:rPr>
          <w:rFonts w:ascii="Times New Roman" w:hAnsi="Times New Roman"/>
          <w:sz w:val="20"/>
          <w:lang w:val="pt-BR"/>
        </w:rPr>
        <w:t xml:space="preserve">Informações sobre Tráfico Ilícito </w:t>
      </w:r>
      <w:r w:rsidR="00B707BC">
        <w:rPr>
          <w:rFonts w:ascii="Times New Roman" w:hAnsi="Times New Roman"/>
          <w:sz w:val="20"/>
          <w:lang w:val="pt-BR"/>
        </w:rPr>
        <w:t xml:space="preserve">e Atividades de Fabricação </w:t>
      </w:r>
      <w:r>
        <w:rPr>
          <w:rFonts w:ascii="Times New Roman" w:hAnsi="Times New Roman"/>
          <w:sz w:val="20"/>
          <w:lang w:val="pt-BR"/>
        </w:rPr>
        <w:t>de Armas Pequenas e Armamento Leve, criada no âmbito do projeto “Apoio à luta contra a proliferação e o tráfico ilícitos de armas (...)</w:t>
      </w:r>
    </w:p>
  </w:footnote>
  <w:footnote w:id="23">
    <w:p w14:paraId="6E834FCF" w14:textId="5002C003" w:rsidR="004B5422" w:rsidRDefault="004B5422" w:rsidP="0011327F">
      <w:pPr>
        <w:pStyle w:val="FootnoteText"/>
        <w:tabs>
          <w:tab w:val="clear" w:pos="360"/>
          <w:tab w:val="left" w:pos="720"/>
        </w:tabs>
        <w:ind w:left="720" w:hanging="540"/>
        <w:rPr>
          <w:rFonts w:ascii="Times New Roman" w:hAnsi="Times New Roman"/>
          <w:sz w:val="20"/>
          <w:lang w:val="pt-BR"/>
        </w:rPr>
      </w:pPr>
      <w:r>
        <w:rPr>
          <w:rStyle w:val="FootnoteReference"/>
          <w:sz w:val="20"/>
        </w:rPr>
        <w:footnoteRef/>
      </w:r>
      <w:r w:rsidR="009C048C">
        <w:rPr>
          <w:rFonts w:ascii="Times New Roman" w:hAnsi="Times New Roman"/>
          <w:sz w:val="20"/>
          <w:lang w:val="pt-BR"/>
        </w:rPr>
        <w:t>.</w:t>
      </w:r>
      <w:r>
        <w:rPr>
          <w:rFonts w:ascii="Times New Roman" w:hAnsi="Times New Roman"/>
          <w:sz w:val="20"/>
          <w:lang w:val="pt-BR"/>
        </w:rPr>
        <w:tab/>
      </w:r>
      <w:r>
        <w:rPr>
          <w:rFonts w:ascii="Times New Roman" w:hAnsi="Times New Roman"/>
          <w:sz w:val="20"/>
          <w:lang w:val="pt-BR"/>
        </w:rPr>
        <w:t>Os Estados Unidos não consideram que a Organização dos Estados Americanos e a Comissão de Segurança Hemisférica sejam os foros apropriados para abordar de forma coletiva (…)</w:t>
      </w:r>
    </w:p>
  </w:footnote>
  <w:footnote w:id="24">
    <w:p w14:paraId="6E834FD0" w14:textId="77777777" w:rsidR="004B5422" w:rsidRDefault="004B5422" w:rsidP="0011327F">
      <w:pPr>
        <w:pStyle w:val="FootnoteText"/>
        <w:tabs>
          <w:tab w:val="clear" w:pos="360"/>
          <w:tab w:val="left" w:pos="720"/>
        </w:tabs>
        <w:ind w:left="720" w:hanging="540"/>
        <w:rPr>
          <w:rFonts w:ascii="Times New Roman" w:hAnsi="Times New Roman"/>
          <w:sz w:val="20"/>
          <w:lang w:val="pt-BR"/>
        </w:rPr>
      </w:pPr>
      <w:r>
        <w:rPr>
          <w:rStyle w:val="FootnoteReference"/>
          <w:sz w:val="20"/>
        </w:rPr>
        <w:footnoteRef/>
      </w:r>
      <w:r>
        <w:rPr>
          <w:rFonts w:ascii="Times New Roman" w:hAnsi="Times New Roman"/>
          <w:sz w:val="20"/>
          <w:lang w:val="pt-BR"/>
        </w:rPr>
        <w:t>.</w:t>
      </w:r>
      <w:r>
        <w:rPr>
          <w:rFonts w:ascii="Times New Roman" w:hAnsi="Times New Roman"/>
          <w:sz w:val="20"/>
          <w:lang w:val="pt-BR"/>
        </w:rPr>
        <w:tab/>
      </w:r>
      <w:r>
        <w:rPr>
          <w:rFonts w:ascii="Times New Roman" w:hAnsi="Times New Roman"/>
          <w:sz w:val="20"/>
          <w:lang w:val="pt-BR"/>
        </w:rPr>
        <w:t>A Delegação do Brasil entende não ser adequado o tratamento, em resolução sobre segurança hemisférica, de questões econômicas, tais como o perdão e o reescalonamento (...)</w:t>
      </w:r>
    </w:p>
  </w:footnote>
  <w:footnote w:id="25">
    <w:p w14:paraId="6E834FD1" w14:textId="77777777" w:rsidR="004B5422" w:rsidRDefault="004B5422" w:rsidP="0011327F">
      <w:pPr>
        <w:pStyle w:val="FootnoteText"/>
        <w:tabs>
          <w:tab w:val="clear" w:pos="360"/>
          <w:tab w:val="left" w:pos="720"/>
        </w:tabs>
        <w:ind w:left="720" w:hanging="540"/>
        <w:rPr>
          <w:rFonts w:ascii="Times New Roman" w:hAnsi="Times New Roman"/>
          <w:sz w:val="20"/>
          <w:lang w:val="pt-BR"/>
        </w:rPr>
      </w:pPr>
      <w:r>
        <w:rPr>
          <w:rStyle w:val="FootnoteReference"/>
          <w:sz w:val="20"/>
        </w:rPr>
        <w:footnoteRef/>
      </w:r>
      <w:r>
        <w:rPr>
          <w:rFonts w:ascii="Times New Roman" w:hAnsi="Times New Roman"/>
          <w:sz w:val="20"/>
          <w:lang w:val="pt-BR"/>
        </w:rPr>
        <w:t>.</w:t>
      </w:r>
      <w:r>
        <w:rPr>
          <w:rFonts w:ascii="Times New Roman" w:hAnsi="Times New Roman"/>
          <w:sz w:val="20"/>
          <w:lang w:val="pt-BR"/>
        </w:rPr>
        <w:tab/>
      </w:r>
      <w:r>
        <w:rPr>
          <w:rFonts w:ascii="Times New Roman" w:hAnsi="Times New Roman"/>
          <w:sz w:val="20"/>
          <w:lang w:val="pt-BR"/>
        </w:rPr>
        <w:t>Os Estados Unidos observam que as referências à mudança do clima e/ou ao Acordo de Paris são feitas sem prejuízo das posições dos Estados Unidos. Os Estados Unidos notam que, (...)</w:t>
      </w:r>
    </w:p>
  </w:footnote>
  <w:footnote w:id="26">
    <w:p w14:paraId="6E834FD2" w14:textId="77777777" w:rsidR="004B5422" w:rsidRDefault="004B5422" w:rsidP="0011327F">
      <w:pPr>
        <w:pStyle w:val="FootnoteText"/>
        <w:tabs>
          <w:tab w:val="clear" w:pos="360"/>
          <w:tab w:val="left" w:pos="720"/>
        </w:tabs>
        <w:ind w:left="720" w:hanging="540"/>
        <w:rPr>
          <w:rFonts w:ascii="Times New Roman" w:hAnsi="Times New Roman"/>
          <w:sz w:val="20"/>
          <w:lang w:val="pt-BR"/>
        </w:rPr>
      </w:pPr>
      <w:r>
        <w:rPr>
          <w:rStyle w:val="FootnoteReference"/>
          <w:sz w:val="20"/>
        </w:rPr>
        <w:footnoteRef/>
      </w:r>
      <w:r>
        <w:rPr>
          <w:rFonts w:ascii="Times New Roman" w:hAnsi="Times New Roman"/>
          <w:sz w:val="20"/>
          <w:lang w:val="pt-BR"/>
        </w:rPr>
        <w:t>.</w:t>
      </w:r>
      <w:r>
        <w:rPr>
          <w:rFonts w:ascii="Times New Roman" w:hAnsi="Times New Roman"/>
          <w:sz w:val="20"/>
          <w:lang w:val="pt-BR"/>
        </w:rPr>
        <w:tab/>
      </w:r>
      <w:r>
        <w:rPr>
          <w:rFonts w:ascii="Times New Roman" w:hAnsi="Times New Roman"/>
          <w:sz w:val="20"/>
          <w:lang w:val="pt-BR"/>
        </w:rPr>
        <w:t xml:space="preserve">O Governo da Nicarágua dá </w:t>
      </w:r>
      <w:r>
        <w:rPr>
          <w:rFonts w:ascii="Times New Roman" w:hAnsi="Times New Roman"/>
          <w:color w:val="333333"/>
          <w:sz w:val="20"/>
          <w:lang w:val="pt-BR"/>
        </w:rPr>
        <w:t>importância</w:t>
      </w:r>
      <w:r>
        <w:rPr>
          <w:rFonts w:ascii="Times New Roman" w:hAnsi="Times New Roman"/>
          <w:sz w:val="20"/>
          <w:lang w:val="pt-BR"/>
        </w:rPr>
        <w:t xml:space="preserve"> especial às implicações geradas pela mudança do clima para a segurança; todavia, não pode apoiar a redação de alguns dos parágrafos (…)</w:t>
      </w:r>
    </w:p>
  </w:footnote>
  <w:footnote w:id="27">
    <w:p w14:paraId="6E834FD3" w14:textId="77777777" w:rsidR="004B5422" w:rsidRDefault="004B5422" w:rsidP="0011327F">
      <w:pPr>
        <w:pStyle w:val="FootnoteText"/>
        <w:tabs>
          <w:tab w:val="clear" w:pos="360"/>
          <w:tab w:val="left" w:pos="720"/>
        </w:tabs>
        <w:ind w:left="720" w:hanging="540"/>
        <w:rPr>
          <w:rFonts w:ascii="Times New Roman" w:hAnsi="Times New Roman"/>
          <w:sz w:val="20"/>
          <w:lang w:val="pt-BR"/>
        </w:rPr>
      </w:pPr>
      <w:r>
        <w:rPr>
          <w:rStyle w:val="FootnoteReference"/>
          <w:sz w:val="20"/>
        </w:rPr>
        <w:footnoteRef/>
      </w:r>
      <w:r>
        <w:rPr>
          <w:rFonts w:ascii="Times New Roman" w:hAnsi="Times New Roman"/>
          <w:sz w:val="20"/>
          <w:lang w:val="pt-BR"/>
        </w:rPr>
        <w:t>.</w:t>
      </w:r>
      <w:r>
        <w:rPr>
          <w:rFonts w:ascii="Times New Roman" w:hAnsi="Times New Roman"/>
          <w:sz w:val="20"/>
          <w:lang w:val="pt-BR"/>
        </w:rPr>
        <w:tab/>
      </w:r>
      <w:r>
        <w:rPr>
          <w:rFonts w:ascii="Times New Roman" w:hAnsi="Times New Roman"/>
          <w:sz w:val="20"/>
          <w:lang w:val="pt-BR"/>
        </w:rPr>
        <w:t>A Delegação do Brasil não subscreve o capítulo em sua atual linguagem. A começar pelo título, a expressão “implicações da mudança do clima na segurança” não encontra respaldo na linguagem (...)</w:t>
      </w:r>
    </w:p>
  </w:footnote>
  <w:footnote w:id="28">
    <w:p w14:paraId="6E834FD4" w14:textId="77777777" w:rsidR="004B5422" w:rsidRDefault="004B5422" w:rsidP="0011327F">
      <w:pPr>
        <w:pStyle w:val="FootnoteText"/>
        <w:tabs>
          <w:tab w:val="clear" w:pos="360"/>
          <w:tab w:val="left" w:pos="720"/>
        </w:tabs>
        <w:ind w:left="720"/>
        <w:rPr>
          <w:rFonts w:ascii="Times New Roman" w:hAnsi="Times New Roman"/>
          <w:sz w:val="20"/>
          <w:lang w:val="pt-BR"/>
        </w:rPr>
      </w:pPr>
      <w:r>
        <w:rPr>
          <w:rStyle w:val="FootnoteReference"/>
          <w:sz w:val="20"/>
        </w:rPr>
        <w:footnoteRef/>
      </w:r>
      <w:r>
        <w:rPr>
          <w:rFonts w:ascii="Times New Roman" w:hAnsi="Times New Roman"/>
          <w:sz w:val="20"/>
          <w:lang w:val="pt-BR"/>
        </w:rPr>
        <w:t>.</w:t>
      </w:r>
      <w:r>
        <w:rPr>
          <w:rFonts w:ascii="Times New Roman" w:hAnsi="Times New Roman"/>
          <w:sz w:val="20"/>
          <w:lang w:val="pt-BR"/>
        </w:rPr>
        <w:tab/>
      </w:r>
      <w:r>
        <w:rPr>
          <w:rFonts w:ascii="Times New Roman" w:hAnsi="Times New Roman"/>
          <w:sz w:val="20"/>
          <w:lang w:val="pt-BR"/>
        </w:rPr>
        <w:t>O Governo da Nicarágua considera que o contexto histórico que gerou as condições para o surgimento da Junta Interamericana de Defesa não condiz com as realidades dos (…)</w:t>
      </w:r>
    </w:p>
  </w:footnote>
  <w:footnote w:id="29">
    <w:p w14:paraId="6E834FD5" w14:textId="77777777" w:rsidR="004B5422" w:rsidRDefault="004B5422" w:rsidP="0011327F">
      <w:pPr>
        <w:pStyle w:val="FootnoteText"/>
        <w:tabs>
          <w:tab w:val="clear" w:pos="360"/>
          <w:tab w:val="left" w:pos="720"/>
        </w:tabs>
        <w:ind w:left="720"/>
        <w:rPr>
          <w:rFonts w:ascii="Times New Roman" w:hAnsi="Times New Roman"/>
          <w:sz w:val="20"/>
          <w:lang w:val="pt-BR"/>
        </w:rPr>
      </w:pPr>
      <w:r>
        <w:rPr>
          <w:rStyle w:val="FootnoteReference"/>
          <w:sz w:val="20"/>
        </w:rPr>
        <w:footnoteRef/>
      </w:r>
      <w:r>
        <w:rPr>
          <w:rFonts w:ascii="Times New Roman" w:hAnsi="Times New Roman"/>
          <w:sz w:val="20"/>
          <w:lang w:val="pt-BR"/>
        </w:rPr>
        <w:t>.</w:t>
      </w:r>
      <w:r>
        <w:rPr>
          <w:rFonts w:ascii="Times New Roman" w:hAnsi="Times New Roman"/>
          <w:sz w:val="20"/>
          <w:lang w:val="pt-BR"/>
        </w:rPr>
        <w:tab/>
      </w:r>
      <w:r>
        <w:rPr>
          <w:rFonts w:ascii="Times New Roman" w:hAnsi="Times New Roman"/>
          <w:sz w:val="20"/>
          <w:lang w:val="pt-BR"/>
        </w:rPr>
        <w:t>Lista provisória de reuniões.</w:t>
      </w:r>
    </w:p>
  </w:footnote>
  <w:footnote w:id="30">
    <w:p w14:paraId="213D9B26" w14:textId="77777777" w:rsidR="001061BB" w:rsidRPr="006D2791" w:rsidRDefault="001061BB" w:rsidP="001061BB">
      <w:pPr>
        <w:ind w:left="720" w:hanging="360"/>
        <w:rPr>
          <w:rFonts w:ascii="Times New Roman" w:eastAsia="MS Mincho" w:hAnsi="Times New Roman"/>
          <w:sz w:val="20"/>
          <w:lang w:val="pt-BR" w:eastAsia="es-ES_tradnl"/>
        </w:rPr>
      </w:pPr>
      <w:r>
        <w:rPr>
          <w:rStyle w:val="FootnoteReference"/>
          <w:rFonts w:ascii="Times New Roman" w:hAnsi="Times New Roman"/>
          <w:sz w:val="20"/>
          <w:lang w:val="en-US"/>
        </w:rPr>
        <w:footnoteRef/>
      </w:r>
      <w:r>
        <w:rPr>
          <w:rFonts w:ascii="Times New Roman" w:hAnsi="Times New Roman"/>
          <w:sz w:val="20"/>
          <w:lang w:val="pt-BR"/>
        </w:rPr>
        <w:t>.</w:t>
      </w:r>
      <w:r>
        <w:rPr>
          <w:rFonts w:ascii="Times New Roman" w:hAnsi="Times New Roman"/>
          <w:sz w:val="20"/>
          <w:lang w:val="pt-BR"/>
        </w:rPr>
        <w:tab/>
      </w:r>
      <w:r>
        <w:rPr>
          <w:rFonts w:ascii="Times New Roman" w:hAnsi="Times New Roman"/>
          <w:sz w:val="20"/>
          <w:lang w:val="pt-BR"/>
        </w:rPr>
        <w:t xml:space="preserve">Antígua e Barbuda considera que a República </w:t>
      </w:r>
      <w:r w:rsidRPr="006D2791">
        <w:rPr>
          <w:rFonts w:ascii="Times New Roman" w:hAnsi="Times New Roman"/>
          <w:sz w:val="20"/>
          <w:lang w:val="pt-BR"/>
        </w:rPr>
        <w:t>Bolivariana da Venezuela não é um Estado membro da Organização dos Estados Americanos pois, em 27 de abril de 2017, o Governo da República (...)</w:t>
      </w:r>
    </w:p>
  </w:footnote>
  <w:footnote w:id="31">
    <w:p w14:paraId="5375D147" w14:textId="3DCCA5D3" w:rsidR="001061BB" w:rsidRPr="0077509F" w:rsidRDefault="001061BB" w:rsidP="001061BB">
      <w:pPr>
        <w:pStyle w:val="Default"/>
        <w:ind w:left="720" w:hanging="360"/>
        <w:jc w:val="both"/>
        <w:rPr>
          <w:rFonts w:ascii="Montserrat" w:hAnsi="Montserrat" w:cs="Montserrat"/>
          <w:sz w:val="20"/>
          <w:szCs w:val="20"/>
          <w:lang w:val="pt-BR"/>
        </w:rPr>
      </w:pPr>
      <w:r w:rsidRPr="006D2791">
        <w:rPr>
          <w:rStyle w:val="FootnoteReference"/>
          <w:sz w:val="20"/>
          <w:szCs w:val="20"/>
          <w:lang w:val="en-US"/>
        </w:rPr>
        <w:footnoteRef/>
      </w:r>
      <w:r w:rsidRPr="006D2791">
        <w:rPr>
          <w:sz w:val="20"/>
          <w:szCs w:val="20"/>
          <w:lang w:val="pt-BR"/>
        </w:rPr>
        <w:t>.</w:t>
      </w:r>
      <w:r w:rsidRPr="006D2791">
        <w:rPr>
          <w:sz w:val="20"/>
          <w:szCs w:val="20"/>
          <w:lang w:val="pt-BR"/>
        </w:rPr>
        <w:tab/>
      </w:r>
      <w:r w:rsidRPr="006D2791">
        <w:rPr>
          <w:sz w:val="20"/>
          <w:szCs w:val="20"/>
          <w:lang w:val="pt-BR"/>
        </w:rPr>
        <w:t xml:space="preserve">O México reitera a posição expressa em sua intervenção feita durante a apresentação do relatório do Secretário-Geral sobre credenciais, no âmbito da sessão plenária do </w:t>
      </w:r>
      <w:r w:rsidR="006D2791" w:rsidRPr="006D2791">
        <w:rPr>
          <w:sz w:val="20"/>
          <w:szCs w:val="20"/>
          <w:lang w:val="pt-BR"/>
        </w:rPr>
        <w:t>(</w:t>
      </w:r>
      <w:r w:rsidRPr="006D2791">
        <w:rPr>
          <w:sz w:val="20"/>
          <w:szCs w:val="20"/>
          <w:lang w:val="pt-BR"/>
        </w:rPr>
        <w:t>…</w:t>
      </w:r>
      <w:r w:rsidR="006D2791" w:rsidRPr="006D2791">
        <w:rPr>
          <w:sz w:val="20"/>
          <w:szCs w:val="20"/>
          <w:lang w:val="pt-BR"/>
        </w:rPr>
        <w:t>)</w:t>
      </w:r>
      <w:r w:rsidRPr="0077509F">
        <w:rPr>
          <w:sz w:val="20"/>
          <w:szCs w:val="20"/>
          <w:lang w:val="pt-BR"/>
        </w:rPr>
        <w:t xml:space="preserve"> </w:t>
      </w:r>
    </w:p>
  </w:footnote>
  <w:footnote w:id="32">
    <w:p w14:paraId="6E834FD8" w14:textId="77777777" w:rsidR="004B5422" w:rsidRPr="006D2791" w:rsidRDefault="004B5422" w:rsidP="00BB3DE0">
      <w:pPr>
        <w:pStyle w:val="FootnoteText"/>
        <w:tabs>
          <w:tab w:val="clear" w:pos="360"/>
          <w:tab w:val="left" w:pos="720"/>
        </w:tabs>
        <w:ind w:left="720"/>
        <w:rPr>
          <w:sz w:val="20"/>
          <w:lang w:val="pt-BR"/>
        </w:rPr>
      </w:pPr>
      <w:r>
        <w:rPr>
          <w:rStyle w:val="FootnoteReference"/>
          <w:rFonts w:ascii="Times New Roman" w:hAnsi="Times New Roman"/>
          <w:sz w:val="20"/>
        </w:rPr>
        <w:footnoteRef/>
      </w:r>
      <w:r>
        <w:rPr>
          <w:rFonts w:ascii="Times New Roman" w:hAnsi="Times New Roman"/>
          <w:sz w:val="20"/>
          <w:lang w:val="pt-BR"/>
        </w:rPr>
        <w:t>.</w:t>
      </w:r>
      <w:r>
        <w:rPr>
          <w:rFonts w:ascii="Times New Roman" w:hAnsi="Times New Roman"/>
          <w:sz w:val="20"/>
          <w:lang w:val="pt-BR"/>
        </w:rPr>
        <w:tab/>
        <w:t xml:space="preserve">Os Estados Unidos salientam que as referências </w:t>
      </w:r>
      <w:r w:rsidRPr="006D2791">
        <w:rPr>
          <w:rFonts w:ascii="Times New Roman" w:hAnsi="Times New Roman"/>
          <w:sz w:val="20"/>
          <w:lang w:val="pt-BR"/>
        </w:rPr>
        <w:t xml:space="preserve">à mudança do clima ou ao Acordo de Paris não prejudicam as posições do país. Os Estados Unidos observam que, em 4 de novembro de 2019 (...) </w:t>
      </w:r>
    </w:p>
  </w:footnote>
  <w:footnote w:id="33">
    <w:p w14:paraId="6E834FD9" w14:textId="77777777" w:rsidR="004B5422" w:rsidRPr="006D2791" w:rsidRDefault="004B5422" w:rsidP="00BB3DE0">
      <w:pPr>
        <w:ind w:left="720" w:hanging="360"/>
        <w:rPr>
          <w:rFonts w:ascii="Times New Roman" w:eastAsia="MS Mincho" w:hAnsi="Times New Roman"/>
          <w:sz w:val="20"/>
          <w:lang w:val="pt-BR" w:eastAsia="es-ES_tradnl"/>
        </w:rPr>
      </w:pPr>
      <w:r w:rsidRPr="006D2791">
        <w:rPr>
          <w:rStyle w:val="FootnoteReference"/>
          <w:rFonts w:ascii="Times New Roman" w:hAnsi="Times New Roman"/>
          <w:sz w:val="20"/>
          <w:lang w:val="en-US"/>
        </w:rPr>
        <w:footnoteRef/>
      </w:r>
      <w:r w:rsidRPr="006D2791">
        <w:rPr>
          <w:rFonts w:ascii="Times New Roman" w:hAnsi="Times New Roman"/>
          <w:sz w:val="20"/>
          <w:lang w:val="pt-BR"/>
        </w:rPr>
        <w:t>.</w:t>
      </w:r>
      <w:r w:rsidRPr="006D2791">
        <w:rPr>
          <w:rFonts w:ascii="Times New Roman" w:hAnsi="Times New Roman"/>
          <w:sz w:val="20"/>
          <w:lang w:val="pt-BR"/>
        </w:rPr>
        <w:tab/>
      </w:r>
      <w:r w:rsidRPr="006D2791">
        <w:rPr>
          <w:rFonts w:ascii="Times New Roman" w:hAnsi="Times New Roman"/>
          <w:sz w:val="20"/>
          <w:lang w:val="pt-BR"/>
        </w:rPr>
        <w:t>Antígua e Barbuda considera que a República Bolivariana da Venezuela não é um Estado membro da Organização dos Estados Americanos pois, em 27 de abril de 2017, o Governo da República (...)</w:t>
      </w:r>
    </w:p>
  </w:footnote>
  <w:footnote w:id="34">
    <w:p w14:paraId="6E834FDA" w14:textId="7FA851E3" w:rsidR="004B5422" w:rsidRPr="0077509F" w:rsidRDefault="004B5422" w:rsidP="00714959">
      <w:pPr>
        <w:pStyle w:val="Default"/>
        <w:ind w:left="720" w:hanging="360"/>
        <w:jc w:val="both"/>
        <w:rPr>
          <w:rFonts w:ascii="Montserrat" w:hAnsi="Montserrat" w:cs="Montserrat"/>
          <w:sz w:val="20"/>
          <w:szCs w:val="20"/>
          <w:lang w:val="pt-BR"/>
        </w:rPr>
      </w:pPr>
      <w:r w:rsidRPr="006D2791">
        <w:rPr>
          <w:rStyle w:val="FootnoteReference"/>
          <w:sz w:val="20"/>
          <w:szCs w:val="20"/>
          <w:lang w:val="en-US"/>
        </w:rPr>
        <w:footnoteRef/>
      </w:r>
      <w:r w:rsidRPr="006D2791">
        <w:rPr>
          <w:sz w:val="20"/>
          <w:szCs w:val="20"/>
          <w:lang w:val="pt-BR"/>
        </w:rPr>
        <w:t>.</w:t>
      </w:r>
      <w:r w:rsidRPr="006D2791">
        <w:rPr>
          <w:sz w:val="20"/>
          <w:szCs w:val="20"/>
          <w:lang w:val="pt-BR"/>
        </w:rPr>
        <w:tab/>
      </w:r>
      <w:r w:rsidRPr="006D2791">
        <w:rPr>
          <w:sz w:val="20"/>
          <w:szCs w:val="20"/>
          <w:lang w:val="pt-BR"/>
        </w:rPr>
        <w:t xml:space="preserve">O México reitera a posição expressa em sua intervenção feita durante a apresentação do relatório do Secretário-Geral sobre credenciais, no âmbito da sessão plenária do </w:t>
      </w:r>
      <w:r w:rsidR="006D2791" w:rsidRPr="006D2791">
        <w:rPr>
          <w:sz w:val="20"/>
          <w:szCs w:val="20"/>
          <w:lang w:val="pt-BR"/>
        </w:rPr>
        <w:t>(</w:t>
      </w:r>
      <w:r w:rsidRPr="006D2791">
        <w:rPr>
          <w:sz w:val="20"/>
          <w:szCs w:val="20"/>
          <w:lang w:val="pt-BR"/>
        </w:rPr>
        <w:t>…</w:t>
      </w:r>
      <w:r w:rsidR="006D2791" w:rsidRPr="006D2791">
        <w:rPr>
          <w:sz w:val="20"/>
          <w:szCs w:val="20"/>
          <w:lang w:val="pt-BR"/>
        </w:rPr>
        <w:t>)</w:t>
      </w:r>
      <w:r w:rsidRPr="0077509F">
        <w:rPr>
          <w:sz w:val="20"/>
          <w:szCs w:val="20"/>
          <w:lang w:val="pt-BR"/>
        </w:rPr>
        <w:t xml:space="preserve"> </w:t>
      </w:r>
    </w:p>
  </w:footnote>
  <w:footnote w:id="35">
    <w:p w14:paraId="6E834FDB" w14:textId="77777777" w:rsidR="004B5422" w:rsidRDefault="004B5422" w:rsidP="00BB3DE0">
      <w:pPr>
        <w:pStyle w:val="FootnoteText"/>
        <w:tabs>
          <w:tab w:val="clear" w:pos="360"/>
          <w:tab w:val="left" w:pos="720"/>
        </w:tabs>
        <w:ind w:left="720"/>
        <w:rPr>
          <w:rFonts w:ascii="Times New Roman" w:hAnsi="Times New Roman"/>
          <w:sz w:val="20"/>
          <w:lang w:val="pt-BR"/>
        </w:rPr>
      </w:pPr>
      <w:r>
        <w:rPr>
          <w:rFonts w:ascii="Times New Roman" w:hAnsi="Times New Roman"/>
          <w:sz w:val="20"/>
          <w:lang w:val="pt-PT"/>
        </w:rPr>
        <w:footnoteRef/>
      </w:r>
      <w:r>
        <w:rPr>
          <w:rFonts w:ascii="Times New Roman" w:hAnsi="Times New Roman"/>
          <w:sz w:val="20"/>
          <w:lang w:val="pt-PT"/>
        </w:rPr>
        <w:t>.</w:t>
      </w:r>
      <w:r>
        <w:rPr>
          <w:rFonts w:ascii="Times New Roman" w:hAnsi="Times New Roman"/>
          <w:sz w:val="20"/>
          <w:lang w:val="pt-PT"/>
        </w:rPr>
        <w:tab/>
      </w:r>
      <w:r>
        <w:rPr>
          <w:rFonts w:ascii="Times New Roman" w:hAnsi="Times New Roman"/>
          <w:sz w:val="20"/>
          <w:lang w:val="pt-BR"/>
        </w:rPr>
        <w:t xml:space="preserve">O conceito de “abordagens baseadas no ecossistema” é explicado em detalhe na Decisão VII/11 da Convenção sobre Diversidade Biológica. Não existe ainda uma definição internacionalmente (...) </w:t>
      </w:r>
    </w:p>
  </w:footnote>
  <w:footnote w:id="36">
    <w:p w14:paraId="6E834FDC" w14:textId="77777777" w:rsidR="004B5422" w:rsidRDefault="004B5422" w:rsidP="00144F9C">
      <w:pPr>
        <w:ind w:left="720" w:hanging="360"/>
        <w:rPr>
          <w:rFonts w:ascii="Times New Roman" w:eastAsia="MS Mincho" w:hAnsi="Times New Roman"/>
          <w:lang w:val="pt-BR" w:eastAsia="es-ES_tradnl"/>
        </w:rPr>
      </w:pPr>
      <w:r>
        <w:rPr>
          <w:rStyle w:val="FootnoteReference"/>
          <w:rFonts w:ascii="Times New Roman" w:hAnsi="Times New Roman"/>
          <w:sz w:val="20"/>
          <w:lang w:val="en-US"/>
        </w:rPr>
        <w:footnoteRef/>
      </w:r>
      <w:r>
        <w:rPr>
          <w:rFonts w:ascii="Times New Roman" w:hAnsi="Times New Roman"/>
          <w:sz w:val="20"/>
          <w:lang w:val="pt-BR"/>
        </w:rPr>
        <w:t>.</w:t>
      </w:r>
      <w:r>
        <w:rPr>
          <w:rFonts w:ascii="Times New Roman" w:hAnsi="Times New Roman"/>
          <w:sz w:val="20"/>
          <w:lang w:val="pt-BR"/>
        </w:rPr>
        <w:tab/>
      </w:r>
      <w:r>
        <w:rPr>
          <w:rFonts w:ascii="Times New Roman" w:hAnsi="Times New Roman"/>
          <w:sz w:val="20"/>
          <w:lang w:val="pt-BR"/>
        </w:rPr>
        <w:t>Antígua e Barbuda considera que a República Bolivariana da Venezuela não é um Estado membro da Organização dos Estados Americanos pois, em 27 de abril de 2017, o Governo da República (...)</w:t>
      </w:r>
    </w:p>
  </w:footnote>
  <w:footnote w:id="37">
    <w:p w14:paraId="6E834FDD" w14:textId="77777777" w:rsidR="004B5422" w:rsidRPr="0077509F" w:rsidRDefault="004B5422" w:rsidP="00714959">
      <w:pPr>
        <w:pStyle w:val="Default"/>
        <w:ind w:left="720" w:hanging="360"/>
        <w:jc w:val="both"/>
        <w:rPr>
          <w:rFonts w:ascii="Montserrat" w:hAnsi="Montserrat" w:cs="Montserrat"/>
          <w:sz w:val="20"/>
          <w:szCs w:val="20"/>
          <w:lang w:val="pt-BR"/>
        </w:rPr>
      </w:pPr>
      <w:r w:rsidRPr="00982CE9">
        <w:rPr>
          <w:rStyle w:val="FootnoteReference"/>
          <w:sz w:val="20"/>
          <w:szCs w:val="20"/>
          <w:lang w:val="en-US"/>
        </w:rPr>
        <w:footnoteRef/>
      </w:r>
      <w:r w:rsidRPr="00883231">
        <w:rPr>
          <w:sz w:val="20"/>
          <w:szCs w:val="20"/>
          <w:lang w:val="pt-BR"/>
        </w:rPr>
        <w:t>.</w:t>
      </w:r>
      <w:r w:rsidRPr="00883231">
        <w:rPr>
          <w:sz w:val="20"/>
          <w:szCs w:val="20"/>
          <w:lang w:val="pt-BR"/>
        </w:rPr>
        <w:tab/>
      </w:r>
      <w:r w:rsidRPr="0077509F">
        <w:rPr>
          <w:sz w:val="20"/>
          <w:szCs w:val="20"/>
          <w:lang w:val="pt-BR"/>
        </w:rPr>
        <w:t>O México reitera a posição expressa em sua intervenção feita durante a apresentação do relatório do Secretário-Geral sobre credenciais, no âmbito da sessão plenária do</w:t>
      </w:r>
      <w:r w:rsidRPr="0077509F">
        <w:rPr>
          <w:lang w:val="pt-BR"/>
        </w:rPr>
        <w:t xml:space="preserve"> </w:t>
      </w:r>
      <w:r w:rsidRPr="0077509F">
        <w:rPr>
          <w:sz w:val="20"/>
          <w:szCs w:val="20"/>
          <w:lang w:val="pt-BR"/>
        </w:rPr>
        <w:t xml:space="preserve">… </w:t>
      </w:r>
    </w:p>
  </w:footnote>
  <w:footnote w:id="38">
    <w:p w14:paraId="6E834FDE" w14:textId="596F8BE8" w:rsidR="004B5422" w:rsidRPr="006D2791" w:rsidRDefault="004B5422" w:rsidP="000F1736">
      <w:pPr>
        <w:pStyle w:val="FootnoteText"/>
        <w:tabs>
          <w:tab w:val="clear" w:pos="360"/>
          <w:tab w:val="left" w:pos="720"/>
        </w:tabs>
        <w:ind w:left="720"/>
        <w:rPr>
          <w:rFonts w:ascii="Times New Roman" w:hAnsi="Times New Roman"/>
          <w:sz w:val="20"/>
          <w:lang w:val="pt-BR"/>
        </w:rPr>
      </w:pPr>
      <w:r>
        <w:rPr>
          <w:lang w:val="pt-BR"/>
        </w:rPr>
        <w:footnoteRef/>
      </w:r>
      <w:r>
        <w:rPr>
          <w:rFonts w:ascii="Times New Roman" w:hAnsi="Times New Roman"/>
          <w:sz w:val="20"/>
          <w:lang w:val="pt-BR"/>
        </w:rPr>
        <w:t>.</w:t>
      </w:r>
      <w:r>
        <w:rPr>
          <w:rFonts w:ascii="Times New Roman" w:hAnsi="Times New Roman"/>
          <w:sz w:val="20"/>
          <w:lang w:val="pt-BR"/>
        </w:rPr>
        <w:tab/>
        <w:t xml:space="preserve">O México apoia o início das discussões de um projeto de resolução denominado “Rumo a uma Carta Empresarial Interamericana” no entendimento de que </w:t>
      </w:r>
      <w:r w:rsidRPr="006D2791">
        <w:rPr>
          <w:rFonts w:ascii="Times New Roman" w:hAnsi="Times New Roman"/>
          <w:sz w:val="20"/>
          <w:lang w:val="pt-BR"/>
        </w:rPr>
        <w:t xml:space="preserve">esse documento não será de (...) </w:t>
      </w:r>
    </w:p>
  </w:footnote>
  <w:footnote w:id="39">
    <w:p w14:paraId="6E834FDF" w14:textId="77777777" w:rsidR="004B5422" w:rsidRPr="006D2791" w:rsidRDefault="004B5422" w:rsidP="000F1736">
      <w:pPr>
        <w:ind w:left="720" w:hanging="360"/>
        <w:rPr>
          <w:rFonts w:ascii="Times New Roman" w:eastAsia="MS Mincho" w:hAnsi="Times New Roman"/>
          <w:sz w:val="20"/>
          <w:lang w:val="pt-BR" w:eastAsia="es-ES_tradnl"/>
        </w:rPr>
      </w:pPr>
      <w:r w:rsidRPr="006D2791">
        <w:rPr>
          <w:rStyle w:val="FootnoteReference"/>
          <w:rFonts w:ascii="Times New Roman" w:hAnsi="Times New Roman"/>
          <w:sz w:val="20"/>
          <w:lang w:val="en-US"/>
        </w:rPr>
        <w:footnoteRef/>
      </w:r>
      <w:r w:rsidRPr="006D2791">
        <w:rPr>
          <w:rFonts w:ascii="Times New Roman" w:hAnsi="Times New Roman"/>
          <w:sz w:val="20"/>
          <w:lang w:val="pt-BR"/>
        </w:rPr>
        <w:t>.</w:t>
      </w:r>
      <w:r w:rsidRPr="006D2791">
        <w:rPr>
          <w:rFonts w:ascii="Times New Roman" w:hAnsi="Times New Roman"/>
          <w:sz w:val="20"/>
          <w:lang w:val="pt-BR"/>
        </w:rPr>
        <w:tab/>
      </w:r>
      <w:r w:rsidRPr="006D2791">
        <w:rPr>
          <w:rFonts w:ascii="Times New Roman" w:hAnsi="Times New Roman"/>
          <w:sz w:val="20"/>
          <w:lang w:val="pt-BR"/>
        </w:rPr>
        <w:t>Antígua e Barbuda considera que a República Bolivariana da Venezuela não é um Estado membro da Organização dos Estados Americanos pois, em 27 de abril de 2017, o Governo da República (...)</w:t>
      </w:r>
    </w:p>
  </w:footnote>
  <w:footnote w:id="40">
    <w:p w14:paraId="6E834FE0" w14:textId="1299D562" w:rsidR="004B5422" w:rsidRPr="0077509F" w:rsidRDefault="004B5422" w:rsidP="00714959">
      <w:pPr>
        <w:pStyle w:val="Default"/>
        <w:ind w:left="720" w:hanging="360"/>
        <w:jc w:val="both"/>
        <w:rPr>
          <w:rFonts w:ascii="Montserrat" w:hAnsi="Montserrat" w:cs="Montserrat"/>
          <w:sz w:val="20"/>
          <w:szCs w:val="20"/>
          <w:lang w:val="pt-BR"/>
        </w:rPr>
      </w:pPr>
      <w:r w:rsidRPr="006D2791">
        <w:rPr>
          <w:rStyle w:val="FootnoteReference"/>
          <w:sz w:val="20"/>
          <w:szCs w:val="20"/>
          <w:lang w:val="en-US"/>
        </w:rPr>
        <w:footnoteRef/>
      </w:r>
      <w:r w:rsidRPr="006D2791">
        <w:rPr>
          <w:sz w:val="20"/>
          <w:szCs w:val="20"/>
          <w:lang w:val="pt-BR"/>
        </w:rPr>
        <w:t>.</w:t>
      </w:r>
      <w:r w:rsidRPr="006D2791">
        <w:rPr>
          <w:sz w:val="20"/>
          <w:szCs w:val="20"/>
          <w:lang w:val="pt-BR"/>
        </w:rPr>
        <w:tab/>
      </w:r>
      <w:r w:rsidRPr="006D2791">
        <w:rPr>
          <w:sz w:val="20"/>
          <w:szCs w:val="20"/>
          <w:lang w:val="pt-BR"/>
        </w:rPr>
        <w:t xml:space="preserve">O México reitera a posição expressa em sua intervenção feita durante a apresentação do relatório do Secretário-Geral sobre credenciais, no âmbito da sessão plenária do </w:t>
      </w:r>
      <w:r w:rsidR="006D2791" w:rsidRPr="006D2791">
        <w:rPr>
          <w:sz w:val="20"/>
          <w:szCs w:val="20"/>
          <w:lang w:val="pt-BR"/>
        </w:rPr>
        <w:t>(</w:t>
      </w:r>
      <w:r w:rsidRPr="006D2791">
        <w:rPr>
          <w:sz w:val="20"/>
          <w:szCs w:val="20"/>
          <w:lang w:val="pt-BR"/>
        </w:rPr>
        <w:t xml:space="preserve">… </w:t>
      </w:r>
      <w:r w:rsidR="006D2791" w:rsidRPr="006D2791">
        <w:rPr>
          <w:sz w:val="20"/>
          <w:szCs w:val="20"/>
          <w:lang w:val="pt-BR"/>
        </w:rPr>
        <w:t>)</w:t>
      </w:r>
    </w:p>
  </w:footnote>
  <w:footnote w:id="41">
    <w:p w14:paraId="6E834FE1" w14:textId="77777777" w:rsidR="004B5422" w:rsidRPr="000B13C0" w:rsidRDefault="004B5422" w:rsidP="00A925FD">
      <w:pPr>
        <w:ind w:left="720" w:hanging="360"/>
        <w:rPr>
          <w:rFonts w:ascii="Times New Roman" w:eastAsia="MS Mincho" w:hAnsi="Times New Roman"/>
          <w:sz w:val="20"/>
          <w:lang w:val="pt-BR" w:eastAsia="es-ES_tradnl"/>
        </w:rPr>
      </w:pPr>
      <w:r>
        <w:rPr>
          <w:rStyle w:val="FootnoteReference"/>
          <w:rFonts w:ascii="Times New Roman" w:hAnsi="Times New Roman"/>
          <w:sz w:val="20"/>
          <w:lang w:val="en-US"/>
        </w:rPr>
        <w:footnoteRef/>
      </w:r>
      <w:r>
        <w:rPr>
          <w:rFonts w:ascii="Times New Roman" w:hAnsi="Times New Roman"/>
          <w:sz w:val="20"/>
          <w:lang w:val="pt-BR"/>
        </w:rPr>
        <w:t>.</w:t>
      </w:r>
      <w:r>
        <w:rPr>
          <w:rFonts w:ascii="Times New Roman" w:hAnsi="Times New Roman"/>
          <w:sz w:val="20"/>
          <w:lang w:val="pt-BR"/>
        </w:rPr>
        <w:tab/>
      </w:r>
      <w:r>
        <w:rPr>
          <w:rFonts w:ascii="Times New Roman" w:hAnsi="Times New Roman"/>
          <w:sz w:val="20"/>
          <w:lang w:val="pt-BR"/>
        </w:rPr>
        <w:t xml:space="preserve">Antígua e Barbuda considera que a República Bolivariana da </w:t>
      </w:r>
      <w:r w:rsidRPr="000B13C0">
        <w:rPr>
          <w:rFonts w:ascii="Times New Roman" w:hAnsi="Times New Roman"/>
          <w:sz w:val="20"/>
          <w:lang w:val="pt-BR"/>
        </w:rPr>
        <w:t>Venezuela não é um Estado membro da Organização dos Estados Americanos pois, em 27 de abril de 2017, o Governo da República (...)</w:t>
      </w:r>
    </w:p>
  </w:footnote>
  <w:footnote w:id="42">
    <w:p w14:paraId="6E834FE2" w14:textId="2D838035" w:rsidR="004B5422" w:rsidRPr="000B13C0" w:rsidRDefault="004B5422" w:rsidP="00714959">
      <w:pPr>
        <w:pStyle w:val="Default"/>
        <w:ind w:left="720" w:hanging="360"/>
        <w:jc w:val="both"/>
        <w:rPr>
          <w:sz w:val="20"/>
          <w:szCs w:val="20"/>
          <w:lang w:val="pt-BR"/>
        </w:rPr>
      </w:pPr>
      <w:r w:rsidRPr="000B13C0">
        <w:rPr>
          <w:rStyle w:val="FootnoteReference"/>
          <w:sz w:val="20"/>
          <w:szCs w:val="20"/>
          <w:lang w:val="en-US"/>
        </w:rPr>
        <w:footnoteRef/>
      </w:r>
      <w:r w:rsidRPr="000B13C0">
        <w:rPr>
          <w:sz w:val="20"/>
          <w:szCs w:val="20"/>
          <w:lang w:val="pt-BR"/>
        </w:rPr>
        <w:t>.</w:t>
      </w:r>
      <w:r w:rsidRPr="000B13C0">
        <w:rPr>
          <w:sz w:val="20"/>
          <w:szCs w:val="20"/>
          <w:lang w:val="pt-BR"/>
        </w:rPr>
        <w:tab/>
      </w:r>
      <w:r w:rsidRPr="000B13C0">
        <w:rPr>
          <w:sz w:val="20"/>
          <w:szCs w:val="20"/>
          <w:lang w:val="pt-BR"/>
        </w:rPr>
        <w:t xml:space="preserve">O México reitera a posição expressa em sua intervenção feita durante a apresentação do relatório do Secretário-Geral sobre credenciais, no âmbito da sessão plenária do </w:t>
      </w:r>
      <w:r w:rsidR="000B13C0" w:rsidRPr="000B13C0">
        <w:rPr>
          <w:sz w:val="20"/>
          <w:szCs w:val="20"/>
          <w:lang w:val="pt-BR"/>
        </w:rPr>
        <w:t>(</w:t>
      </w:r>
      <w:r w:rsidRPr="000B13C0">
        <w:rPr>
          <w:sz w:val="20"/>
          <w:szCs w:val="20"/>
          <w:lang w:val="pt-BR"/>
        </w:rPr>
        <w:t>…</w:t>
      </w:r>
      <w:r w:rsidR="000B13C0" w:rsidRPr="000B13C0">
        <w:rPr>
          <w:sz w:val="20"/>
          <w:szCs w:val="20"/>
          <w:lang w:val="pt-BR"/>
        </w:rPr>
        <w:t>)</w:t>
      </w:r>
    </w:p>
  </w:footnote>
  <w:footnote w:id="43">
    <w:p w14:paraId="6E834FE3" w14:textId="1DC66F5B" w:rsidR="004B5422" w:rsidRDefault="004B5422" w:rsidP="00A925FD">
      <w:pPr>
        <w:pStyle w:val="FootnoteText"/>
        <w:ind w:left="720"/>
        <w:rPr>
          <w:rFonts w:ascii="Times New Roman" w:hAnsi="Times New Roman"/>
          <w:lang w:val="pt-BR"/>
        </w:rPr>
      </w:pPr>
      <w:r w:rsidRPr="000B13C0">
        <w:rPr>
          <w:rStyle w:val="FootnoteReference"/>
          <w:rFonts w:ascii="Times New Roman" w:hAnsi="Times New Roman"/>
          <w:sz w:val="20"/>
        </w:rPr>
        <w:footnoteRef/>
      </w:r>
      <w:r w:rsidRPr="000B13C0">
        <w:rPr>
          <w:rFonts w:ascii="Times New Roman" w:hAnsi="Times New Roman"/>
          <w:sz w:val="20"/>
          <w:lang w:val="pt-BR"/>
        </w:rPr>
        <w:t>.</w:t>
      </w:r>
      <w:r w:rsidRPr="000B13C0">
        <w:rPr>
          <w:rFonts w:ascii="Times New Roman" w:hAnsi="Times New Roman"/>
          <w:sz w:val="20"/>
          <w:lang w:val="pt-BR"/>
        </w:rPr>
        <w:tab/>
        <w:t xml:space="preserve">Os Estados Unidos salientam que as referências à mudança do clima ou ao Acordo de Paris não prejudicam as posições do país. Os Estados Unidos observam que, em 4 de novembro de </w:t>
      </w:r>
      <w:r w:rsidR="00E34A5E" w:rsidRPr="000B13C0">
        <w:rPr>
          <w:rFonts w:ascii="Times New Roman" w:hAnsi="Times New Roman"/>
          <w:sz w:val="20"/>
          <w:lang w:val="pt-BR"/>
        </w:rPr>
        <w:t>2019, (...)</w:t>
      </w:r>
      <w:r>
        <w:rPr>
          <w:lang w:val="pt-BR"/>
        </w:rPr>
        <w:t xml:space="preserve"> </w:t>
      </w:r>
    </w:p>
  </w:footnote>
  <w:footnote w:id="44">
    <w:p w14:paraId="6E834FE4" w14:textId="2F60C170" w:rsidR="004B5422" w:rsidRDefault="004B5422" w:rsidP="00A925FD">
      <w:pPr>
        <w:pStyle w:val="FootnoteText"/>
        <w:tabs>
          <w:tab w:val="left" w:pos="720"/>
        </w:tabs>
        <w:ind w:left="720"/>
        <w:rPr>
          <w:lang w:val="pt-BR"/>
        </w:rPr>
      </w:pPr>
      <w:r>
        <w:rPr>
          <w:rStyle w:val="FootnoteReference"/>
        </w:rPr>
        <w:footnoteRef/>
      </w:r>
      <w:r>
        <w:rPr>
          <w:lang w:val="pt-BR"/>
        </w:rPr>
        <w:t>.</w:t>
      </w:r>
      <w:r>
        <w:rPr>
          <w:lang w:val="pt-BR"/>
        </w:rPr>
        <w:tab/>
      </w:r>
      <w:r w:rsidRPr="00A033BC">
        <w:rPr>
          <w:lang w:val="pt-BR"/>
        </w:rPr>
        <w:t>Idem</w:t>
      </w:r>
      <w:r>
        <w:rPr>
          <w:lang w:val="pt-BR"/>
        </w:rPr>
        <w:t xml:space="preserve"> </w:t>
      </w:r>
    </w:p>
  </w:footnote>
  <w:footnote w:id="45">
    <w:p w14:paraId="6E834FE5" w14:textId="77777777" w:rsidR="004B5422" w:rsidRDefault="004B5422" w:rsidP="00A925FD">
      <w:pPr>
        <w:ind w:left="720" w:hanging="360"/>
        <w:rPr>
          <w:rFonts w:ascii="Times New Roman" w:hAnsi="Times New Roman"/>
          <w:sz w:val="20"/>
          <w:lang w:val="pt-BR"/>
        </w:rPr>
      </w:pPr>
      <w:r>
        <w:rPr>
          <w:rStyle w:val="FootnoteReference"/>
          <w:rFonts w:ascii="Times New Roman" w:hAnsi="Times New Roman"/>
          <w:sz w:val="20"/>
        </w:rPr>
        <w:footnoteRef/>
      </w:r>
      <w:r>
        <w:rPr>
          <w:rFonts w:ascii="Times New Roman" w:hAnsi="Times New Roman"/>
          <w:sz w:val="20"/>
          <w:lang w:val="pt-BR"/>
        </w:rPr>
        <w:t>.</w:t>
      </w:r>
      <w:r>
        <w:rPr>
          <w:rFonts w:ascii="Times New Roman" w:hAnsi="Times New Roman"/>
          <w:sz w:val="20"/>
          <w:lang w:val="pt-BR"/>
        </w:rPr>
        <w:tab/>
      </w:r>
      <w:r>
        <w:rPr>
          <w:rFonts w:ascii="Times New Roman" w:hAnsi="Times New Roman"/>
          <w:color w:val="202124"/>
          <w:sz w:val="20"/>
          <w:lang w:val="pt-PT"/>
        </w:rPr>
        <w:t xml:space="preserve">Conforme observado na Declaração Nacional dos Estados Unidos da América de 7 de dezembro de 2018 sobre a Adoção do Pacto Global para uma Migração Segura, Ordenada e Regular (GCM),(...) </w:t>
      </w:r>
    </w:p>
  </w:footnote>
  <w:footnote w:id="46">
    <w:p w14:paraId="6E834FE6" w14:textId="2DE9C0BA" w:rsidR="004B5422" w:rsidRDefault="004B5422" w:rsidP="00A925FD">
      <w:pPr>
        <w:tabs>
          <w:tab w:val="left" w:pos="360"/>
        </w:tabs>
        <w:ind w:left="720" w:hanging="360"/>
        <w:rPr>
          <w:rFonts w:ascii="Times New Roman" w:hAnsi="Times New Roman"/>
          <w:sz w:val="20"/>
          <w:lang w:val="pt-BR"/>
        </w:rPr>
      </w:pPr>
      <w:r>
        <w:rPr>
          <w:rStyle w:val="FootnoteReference"/>
          <w:rFonts w:ascii="Times New Roman" w:hAnsi="Times New Roman"/>
          <w:sz w:val="20"/>
        </w:rPr>
        <w:footnoteRef/>
      </w:r>
      <w:r>
        <w:rPr>
          <w:rFonts w:ascii="Times New Roman" w:hAnsi="Times New Roman"/>
          <w:sz w:val="20"/>
          <w:lang w:val="pt-BR"/>
        </w:rPr>
        <w:t>.</w:t>
      </w:r>
      <w:r>
        <w:rPr>
          <w:rFonts w:ascii="Times New Roman" w:hAnsi="Times New Roman"/>
          <w:sz w:val="20"/>
          <w:lang w:val="pt-BR"/>
        </w:rPr>
        <w:tab/>
      </w:r>
      <w:r>
        <w:rPr>
          <w:rFonts w:ascii="Times New Roman" w:hAnsi="Times New Roman"/>
          <w:color w:val="222222"/>
          <w:sz w:val="20"/>
          <w:lang w:val="pt-PT"/>
        </w:rPr>
        <w:t>Os Estados Unidos acreditam que o financiamento em condições mais favoráveis deve ser focado nos países mais necessitados e menos capazes de mobilizar financiamento de outras fontes.</w:t>
      </w:r>
    </w:p>
  </w:footnote>
  <w:footnote w:id="47">
    <w:p w14:paraId="6E834FE7" w14:textId="77777777" w:rsidR="004B5422" w:rsidRDefault="004B5422" w:rsidP="00A925FD">
      <w:pPr>
        <w:pStyle w:val="NormalWeb"/>
        <w:shd w:val="clear" w:color="auto" w:fill="FFFFFF"/>
        <w:spacing w:before="0" w:after="0"/>
        <w:ind w:left="720" w:hanging="360"/>
        <w:jc w:val="both"/>
        <w:rPr>
          <w:sz w:val="24"/>
          <w:szCs w:val="24"/>
          <w:lang w:val="pt-PT"/>
        </w:rPr>
      </w:pPr>
      <w:r>
        <w:rPr>
          <w:rStyle w:val="FootnoteReference"/>
          <w:sz w:val="20"/>
          <w:szCs w:val="20"/>
        </w:rPr>
        <w:footnoteRef/>
      </w:r>
      <w:r>
        <w:rPr>
          <w:sz w:val="20"/>
          <w:szCs w:val="20"/>
          <w:lang w:val="pt-BR"/>
        </w:rPr>
        <w:t>.</w:t>
      </w:r>
      <w:r>
        <w:rPr>
          <w:sz w:val="20"/>
          <w:szCs w:val="20"/>
          <w:lang w:val="pt-BR"/>
        </w:rPr>
        <w:tab/>
      </w:r>
      <w:r>
        <w:rPr>
          <w:color w:val="222222"/>
          <w:sz w:val="20"/>
          <w:szCs w:val="20"/>
          <w:lang w:val="pt-PT"/>
        </w:rPr>
        <w:t>Os Estados Unidos observam que as referências às mudanças climáticas e/ou ao Acordo de Paris não prejudicam as posições dos Estados Unidos.</w:t>
      </w:r>
    </w:p>
  </w:footnote>
  <w:footnote w:id="48">
    <w:p w14:paraId="6E834FE8" w14:textId="61E2371E" w:rsidR="004B5422" w:rsidRPr="003B14C3" w:rsidRDefault="004B5422" w:rsidP="00A925FD">
      <w:pPr>
        <w:ind w:left="720" w:hanging="360"/>
        <w:rPr>
          <w:rFonts w:ascii="Times New Roman" w:hAnsi="Times New Roman"/>
          <w:b/>
          <w:bCs/>
          <w:sz w:val="20"/>
          <w:lang w:val="pt-BR"/>
        </w:rPr>
      </w:pPr>
      <w:r>
        <w:rPr>
          <w:rFonts w:ascii="Times New Roman" w:hAnsi="Times New Roman"/>
          <w:sz w:val="20"/>
          <w:lang w:val="pt-BR"/>
        </w:rPr>
        <w:t>8</w:t>
      </w:r>
      <w:r w:rsidRPr="00883231">
        <w:rPr>
          <w:rStyle w:val="FootnoteReference"/>
          <w:rFonts w:ascii="Times New Roman" w:hAnsi="Times New Roman"/>
          <w:sz w:val="20"/>
          <w:lang w:val="pt-BR"/>
        </w:rPr>
        <w:t>.</w:t>
      </w:r>
      <w:r>
        <w:rPr>
          <w:rFonts w:ascii="Times New Roman" w:hAnsi="Times New Roman"/>
          <w:sz w:val="20"/>
          <w:lang w:val="pt-BR"/>
        </w:rPr>
        <w:t xml:space="preserve"> </w:t>
      </w:r>
      <w:r>
        <w:rPr>
          <w:rFonts w:ascii="Times New Roman" w:hAnsi="Times New Roman"/>
          <w:sz w:val="20"/>
          <w:shd w:val="clear" w:color="auto" w:fill="FFFFFF"/>
          <w:lang w:val="pt-BR"/>
        </w:rPr>
        <w:tab/>
        <w:t xml:space="preserve">Essas organizações podem ser, entre outras, as Nações Unidas, o Banco Mundial, o Comitê Internacional da Cruz Vermelha (CICV), </w:t>
      </w:r>
      <w:r w:rsidRPr="003B14C3">
        <w:rPr>
          <w:rStyle w:val="Strong"/>
          <w:rFonts w:ascii="Times New Roman" w:hAnsi="Times New Roman"/>
          <w:b w:val="0"/>
          <w:sz w:val="20"/>
          <w:shd w:val="clear" w:color="auto" w:fill="FFFFFF"/>
          <w:lang w:val="pt-BR"/>
        </w:rPr>
        <w:t>a Federação Internacional da Cruz Vermelha, (...)</w:t>
      </w:r>
    </w:p>
  </w:footnote>
  <w:footnote w:id="49">
    <w:p w14:paraId="6E834FE9" w14:textId="77777777" w:rsidR="004B5422" w:rsidRDefault="004B5422" w:rsidP="00D230D1">
      <w:pPr>
        <w:ind w:left="720" w:hanging="360"/>
        <w:rPr>
          <w:rFonts w:ascii="Times New Roman" w:eastAsia="MS Mincho" w:hAnsi="Times New Roman"/>
          <w:lang w:val="pt-BR" w:eastAsia="es-ES_tradnl"/>
        </w:rPr>
      </w:pPr>
      <w:r w:rsidRPr="001A24B6">
        <w:rPr>
          <w:rStyle w:val="FootnoteReference"/>
          <w:rFonts w:ascii="Times New Roman" w:hAnsi="Times New Roman"/>
          <w:sz w:val="20"/>
        </w:rPr>
        <w:footnoteRef/>
      </w:r>
      <w:r w:rsidRPr="001A24B6">
        <w:rPr>
          <w:rFonts w:ascii="Times New Roman" w:hAnsi="Times New Roman"/>
          <w:sz w:val="20"/>
          <w:lang w:val="pt-BR"/>
        </w:rPr>
        <w:t>.</w:t>
      </w:r>
      <w:r w:rsidRPr="001A24B6">
        <w:rPr>
          <w:rFonts w:ascii="Times New Roman" w:hAnsi="Times New Roman"/>
          <w:sz w:val="20"/>
          <w:lang w:val="pt-BR"/>
        </w:rPr>
        <w:tab/>
      </w:r>
      <w:r w:rsidRPr="001A24B6">
        <w:rPr>
          <w:rFonts w:ascii="Times New Roman" w:hAnsi="Times New Roman"/>
          <w:sz w:val="20"/>
          <w:lang w:val="pt-BR"/>
        </w:rPr>
        <w:t>Antígua e Barbuda considera que a República Bolivariana da Venezuela não é um Estado membro da Organização dos Estados Americanos pois, em 27 de abril de 2017, o Governo da República (...)</w:t>
      </w:r>
    </w:p>
  </w:footnote>
  <w:footnote w:id="50">
    <w:p w14:paraId="6E834FEA" w14:textId="007310AD" w:rsidR="004B5422" w:rsidRPr="0077509F" w:rsidRDefault="004B5422" w:rsidP="00714959">
      <w:pPr>
        <w:pStyle w:val="Default"/>
        <w:ind w:left="720" w:hanging="360"/>
        <w:jc w:val="both"/>
        <w:rPr>
          <w:rFonts w:ascii="Montserrat" w:hAnsi="Montserrat" w:cs="Montserrat"/>
          <w:sz w:val="20"/>
          <w:szCs w:val="20"/>
          <w:lang w:val="pt-BR"/>
        </w:rPr>
      </w:pPr>
      <w:r w:rsidRPr="00982CE9">
        <w:rPr>
          <w:rStyle w:val="FootnoteReference"/>
          <w:sz w:val="20"/>
          <w:szCs w:val="20"/>
          <w:lang w:val="en-US"/>
        </w:rPr>
        <w:footnoteRef/>
      </w:r>
      <w:r w:rsidRPr="00883231">
        <w:rPr>
          <w:sz w:val="20"/>
          <w:szCs w:val="20"/>
          <w:lang w:val="pt-BR"/>
        </w:rPr>
        <w:t>.</w:t>
      </w:r>
      <w:r w:rsidRPr="00883231">
        <w:rPr>
          <w:sz w:val="20"/>
          <w:szCs w:val="20"/>
          <w:lang w:val="pt-BR"/>
        </w:rPr>
        <w:tab/>
      </w:r>
      <w:r w:rsidRPr="0077509F">
        <w:rPr>
          <w:sz w:val="20"/>
          <w:szCs w:val="20"/>
          <w:lang w:val="pt-BR"/>
        </w:rPr>
        <w:t>O México reitera a posição expressa em sua intervenção feita d</w:t>
      </w:r>
      <w:r w:rsidRPr="00B65BC5">
        <w:rPr>
          <w:sz w:val="20"/>
          <w:szCs w:val="20"/>
          <w:lang w:val="pt-BR"/>
        </w:rPr>
        <w:t xml:space="preserve">urante a apresentação do relatório do Secretário-Geral sobre credenciais, no âmbito da sessão plenária do </w:t>
      </w:r>
      <w:r w:rsidR="00B65BC5" w:rsidRPr="00B65BC5">
        <w:rPr>
          <w:sz w:val="20"/>
          <w:szCs w:val="20"/>
          <w:lang w:val="pt-BR"/>
        </w:rPr>
        <w:t>(</w:t>
      </w:r>
      <w:r w:rsidRPr="00B65BC5">
        <w:rPr>
          <w:sz w:val="20"/>
          <w:szCs w:val="20"/>
          <w:lang w:val="pt-BR"/>
        </w:rPr>
        <w:t>…</w:t>
      </w:r>
      <w:r w:rsidR="00B65BC5" w:rsidRPr="00B65BC5">
        <w:rPr>
          <w:sz w:val="20"/>
          <w:szCs w:val="20"/>
          <w:lang w:val="pt-BR"/>
        </w:rPr>
        <w:t>)</w:t>
      </w:r>
      <w:r w:rsidRPr="0077509F">
        <w:rPr>
          <w:sz w:val="20"/>
          <w:szCs w:val="20"/>
          <w:lang w:val="pt-BR"/>
        </w:rPr>
        <w:t xml:space="preserve"> </w:t>
      </w:r>
    </w:p>
  </w:footnote>
  <w:footnote w:id="51">
    <w:p w14:paraId="6E834FEB" w14:textId="0505D9CF" w:rsidR="004B5422" w:rsidRDefault="004B5422" w:rsidP="00D230D1">
      <w:pPr>
        <w:pStyle w:val="FootnoteText"/>
        <w:tabs>
          <w:tab w:val="left" w:pos="720"/>
        </w:tabs>
        <w:ind w:left="720"/>
        <w:rPr>
          <w:rFonts w:ascii="Times New Roman" w:hAnsi="Times New Roman"/>
          <w:lang w:val="pt-BR"/>
        </w:rPr>
      </w:pPr>
      <w:r>
        <w:rPr>
          <w:rStyle w:val="FootnoteReference"/>
        </w:rPr>
        <w:footnoteRef/>
      </w:r>
      <w:r>
        <w:rPr>
          <w:lang w:val="pt-BR"/>
        </w:rPr>
        <w:t>.</w:t>
      </w:r>
      <w:r>
        <w:rPr>
          <w:lang w:val="pt-BR"/>
        </w:rPr>
        <w:tab/>
        <w:t>Os Estados Unidos observam que as referências à mudança do clima e/ou ao Acordo de Paris são entendidas sem prejuízo das posições estadunidenses. Os Estados Unidos assinalam</w:t>
      </w:r>
      <w:r w:rsidR="00B65BC5">
        <w:rPr>
          <w:lang w:val="pt-BR"/>
        </w:rPr>
        <w:t xml:space="preserve"> (</w:t>
      </w:r>
      <w:r>
        <w:rPr>
          <w:lang w:val="pt-BR"/>
        </w:rPr>
        <w:t>...</w:t>
      </w:r>
      <w:r w:rsidR="00B65BC5">
        <w:rPr>
          <w:lang w:val="pt-BR"/>
        </w:rPr>
        <w:t>)</w:t>
      </w:r>
    </w:p>
  </w:footnote>
  <w:footnote w:id="52">
    <w:p w14:paraId="6E834FEC" w14:textId="77777777" w:rsidR="004B5422" w:rsidRPr="00DB52AC" w:rsidRDefault="004B5422" w:rsidP="00D230D1">
      <w:pPr>
        <w:ind w:left="720" w:hanging="360"/>
        <w:rPr>
          <w:rFonts w:ascii="Times New Roman" w:eastAsia="MS Mincho" w:hAnsi="Times New Roman"/>
          <w:sz w:val="20"/>
          <w:lang w:val="pt-BR" w:eastAsia="es-ES_tradnl"/>
        </w:rPr>
      </w:pPr>
      <w:r>
        <w:rPr>
          <w:rStyle w:val="FootnoteReference"/>
          <w:sz w:val="20"/>
          <w:lang w:val="en-US"/>
        </w:rPr>
        <w:footnoteRef/>
      </w:r>
      <w:r>
        <w:rPr>
          <w:rFonts w:ascii="Times New Roman" w:hAnsi="Times New Roman"/>
          <w:sz w:val="20"/>
          <w:lang w:val="pt-BR"/>
        </w:rPr>
        <w:t>.</w:t>
      </w:r>
      <w:r>
        <w:rPr>
          <w:rFonts w:ascii="Times New Roman" w:hAnsi="Times New Roman"/>
          <w:sz w:val="20"/>
          <w:lang w:val="pt-BR"/>
        </w:rPr>
        <w:tab/>
        <w:t xml:space="preserve">Antígua e Barbuda considera que a República Bolivariana da </w:t>
      </w:r>
      <w:r w:rsidRPr="00DB52AC">
        <w:rPr>
          <w:rFonts w:ascii="Times New Roman" w:hAnsi="Times New Roman"/>
          <w:sz w:val="20"/>
          <w:lang w:val="pt-BR"/>
        </w:rPr>
        <w:t>Venezuela não é um Estado membro da Organização dos Estados Americanos pois, em 27 de abril de 2017, o Governo da República (...)</w:t>
      </w:r>
    </w:p>
  </w:footnote>
  <w:footnote w:id="53">
    <w:p w14:paraId="6E834FED" w14:textId="09456F42" w:rsidR="004B5422" w:rsidRPr="0077509F" w:rsidRDefault="004B5422" w:rsidP="00714959">
      <w:pPr>
        <w:pStyle w:val="Default"/>
        <w:ind w:left="720" w:hanging="360"/>
        <w:jc w:val="both"/>
        <w:rPr>
          <w:rFonts w:ascii="Montserrat" w:hAnsi="Montserrat" w:cs="Montserrat"/>
          <w:sz w:val="20"/>
          <w:szCs w:val="20"/>
          <w:lang w:val="pt-BR"/>
        </w:rPr>
      </w:pPr>
      <w:r w:rsidRPr="00DB52AC">
        <w:rPr>
          <w:rStyle w:val="FootnoteReference"/>
          <w:sz w:val="20"/>
          <w:szCs w:val="20"/>
          <w:lang w:val="en-US"/>
        </w:rPr>
        <w:footnoteRef/>
      </w:r>
      <w:r w:rsidRPr="00DB52AC">
        <w:rPr>
          <w:sz w:val="20"/>
          <w:szCs w:val="20"/>
          <w:lang w:val="pt-BR"/>
        </w:rPr>
        <w:t>.</w:t>
      </w:r>
      <w:r w:rsidRPr="00DB52AC">
        <w:rPr>
          <w:sz w:val="20"/>
          <w:szCs w:val="20"/>
          <w:lang w:val="pt-BR"/>
        </w:rPr>
        <w:tab/>
      </w:r>
      <w:r w:rsidRPr="00DB52AC">
        <w:rPr>
          <w:sz w:val="20"/>
          <w:szCs w:val="20"/>
          <w:lang w:val="pt-BR"/>
        </w:rPr>
        <w:t xml:space="preserve">O México reitera a posição expressa em sua intervenção feita durante a apresentação do relatório do Secretário-Geral sobre credenciais, no âmbito da sessão plenária do </w:t>
      </w:r>
      <w:r w:rsidR="00DB52AC" w:rsidRPr="00DB52AC">
        <w:rPr>
          <w:sz w:val="20"/>
          <w:szCs w:val="20"/>
          <w:lang w:val="pt-BR"/>
        </w:rPr>
        <w:t>(</w:t>
      </w:r>
      <w:r w:rsidRPr="00DB52AC">
        <w:rPr>
          <w:sz w:val="20"/>
          <w:szCs w:val="20"/>
          <w:lang w:val="pt-BR"/>
        </w:rPr>
        <w:t>…</w:t>
      </w:r>
      <w:r w:rsidR="00DB52AC" w:rsidRPr="00DB52AC">
        <w:rPr>
          <w:sz w:val="20"/>
          <w:szCs w:val="20"/>
          <w:lang w:val="pt-BR"/>
        </w:rPr>
        <w:t>)</w:t>
      </w:r>
      <w:r w:rsidRPr="0077509F">
        <w:rPr>
          <w:sz w:val="20"/>
          <w:szCs w:val="20"/>
          <w:lang w:val="pt-BR"/>
        </w:rPr>
        <w:t xml:space="preserve"> </w:t>
      </w:r>
    </w:p>
  </w:footnote>
  <w:footnote w:id="54">
    <w:p w14:paraId="6E834FEE" w14:textId="5A561290" w:rsidR="004B5422" w:rsidRDefault="004B5422" w:rsidP="00D230D1">
      <w:pPr>
        <w:pStyle w:val="FootnoteText"/>
        <w:ind w:left="720"/>
        <w:rPr>
          <w:rFonts w:ascii="Times New Roman" w:eastAsia="Calibri" w:hAnsi="Times New Roman"/>
          <w:sz w:val="20"/>
          <w:lang w:val="pt-BR"/>
        </w:rPr>
      </w:pPr>
      <w:r w:rsidRPr="00883231">
        <w:rPr>
          <w:rStyle w:val="FootnoteReference"/>
          <w:rFonts w:ascii="Times New Roman" w:hAnsi="Times New Roman"/>
          <w:sz w:val="20"/>
          <w:lang w:val="pt-BR"/>
        </w:rPr>
        <w:t>3</w:t>
      </w:r>
      <w:r>
        <w:rPr>
          <w:rFonts w:ascii="Times New Roman" w:hAnsi="Times New Roman"/>
          <w:sz w:val="20"/>
          <w:lang w:val="pt-BR"/>
        </w:rPr>
        <w:t>.</w:t>
      </w:r>
      <w:r>
        <w:rPr>
          <w:rFonts w:ascii="Times New Roman" w:hAnsi="Times New Roman"/>
          <w:sz w:val="20"/>
          <w:lang w:val="pt-BR"/>
        </w:rPr>
        <w:tab/>
      </w:r>
      <w:r w:rsidRPr="003600D2">
        <w:rPr>
          <w:rFonts w:ascii="Times New Roman" w:hAnsi="Times New Roman"/>
          <w:sz w:val="20"/>
          <w:lang w:val="pt-BR"/>
        </w:rPr>
        <w:t>Este cargo continuará</w:t>
      </w:r>
      <w:r>
        <w:rPr>
          <w:rFonts w:ascii="Times New Roman" w:hAnsi="Times New Roman"/>
          <w:sz w:val="20"/>
          <w:lang w:val="pt-BR"/>
        </w:rPr>
        <w:t xml:space="preserve"> sendo de confiança até que a Assembleia Geral aprove as modificações nos estatutos pertinentes, necessárias para que o Secretário Executivo seja selecionado (</w:t>
      </w:r>
      <w:r>
        <w:rPr>
          <w:rFonts w:ascii="Times New Roman" w:hAnsi="Times New Roman"/>
          <w:color w:val="000000"/>
          <w:sz w:val="20"/>
          <w:lang w:val="pt-BR"/>
        </w:rPr>
        <w:t>...)</w:t>
      </w:r>
    </w:p>
  </w:footnote>
  <w:footnote w:id="55">
    <w:p w14:paraId="6E834FEF" w14:textId="331309C3" w:rsidR="004B5422" w:rsidRDefault="004B5422" w:rsidP="00D230D1">
      <w:pPr>
        <w:pStyle w:val="FootnoteText"/>
        <w:ind w:left="0" w:firstLine="0"/>
        <w:rPr>
          <w:rFonts w:ascii="Times New Roman" w:hAnsi="Times New Roman"/>
          <w:sz w:val="20"/>
          <w:lang w:val="pt-BR"/>
        </w:rPr>
      </w:pPr>
      <w:r>
        <w:rPr>
          <w:rFonts w:ascii="Times New Roman" w:hAnsi="Times New Roman"/>
          <w:sz w:val="20"/>
          <w:lang w:val="pt-BR"/>
        </w:rPr>
        <w:tab/>
      </w:r>
      <w:r w:rsidRPr="00883231">
        <w:rPr>
          <w:rStyle w:val="FootnoteReference"/>
          <w:rFonts w:ascii="Times New Roman" w:hAnsi="Times New Roman"/>
          <w:sz w:val="20"/>
          <w:lang w:val="pt-BR"/>
        </w:rPr>
        <w:t>4</w:t>
      </w:r>
      <w:r>
        <w:rPr>
          <w:rFonts w:ascii="Times New Roman" w:hAnsi="Times New Roman"/>
          <w:sz w:val="20"/>
          <w:lang w:val="pt-BR"/>
        </w:rPr>
        <w:tab/>
      </w:r>
      <w:r>
        <w:rPr>
          <w:rFonts w:ascii="Times New Roman" w:hAnsi="Times New Roman"/>
          <w:i/>
          <w:sz w:val="20"/>
          <w:lang w:val="pt-BR"/>
        </w:rPr>
        <w:t>Idem</w:t>
      </w:r>
    </w:p>
  </w:footnote>
  <w:footnote w:id="56">
    <w:p w14:paraId="7E6D906A" w14:textId="77777777" w:rsidR="004A6B17" w:rsidRPr="00767D31" w:rsidRDefault="004A6B17" w:rsidP="004A6B17">
      <w:pPr>
        <w:ind w:left="720" w:hanging="360"/>
        <w:rPr>
          <w:rFonts w:ascii="Times New Roman" w:eastAsia="MS Mincho" w:hAnsi="Times New Roman"/>
          <w:sz w:val="20"/>
          <w:lang w:val="pt-BR" w:eastAsia="es-ES_tradnl"/>
        </w:rPr>
      </w:pPr>
      <w:r>
        <w:rPr>
          <w:rStyle w:val="FootnoteReference"/>
          <w:sz w:val="20"/>
          <w:lang w:val="en-US"/>
        </w:rPr>
        <w:footnoteRef/>
      </w:r>
      <w:r>
        <w:rPr>
          <w:sz w:val="20"/>
          <w:lang w:val="pt-BR"/>
        </w:rPr>
        <w:t>.</w:t>
      </w:r>
      <w:r>
        <w:rPr>
          <w:sz w:val="20"/>
          <w:lang w:val="pt-BR"/>
        </w:rPr>
        <w:tab/>
        <w:t xml:space="preserve">Antígua e Barbuda considera que a República Bolivariana da Venezuela não é um Estado membro da Organização dos Estados Americanos pois, em 27 de abril de </w:t>
      </w:r>
      <w:r w:rsidRPr="00767D31">
        <w:rPr>
          <w:rFonts w:ascii="Times New Roman" w:hAnsi="Times New Roman"/>
          <w:sz w:val="20"/>
          <w:lang w:val="pt-BR"/>
        </w:rPr>
        <w:t>2017, o Governo da República (...)</w:t>
      </w:r>
    </w:p>
  </w:footnote>
  <w:footnote w:id="57">
    <w:p w14:paraId="4C4A34BC" w14:textId="52C0489E" w:rsidR="004A6B17" w:rsidRPr="0077509F" w:rsidRDefault="004A6B17" w:rsidP="004A6B17">
      <w:pPr>
        <w:pStyle w:val="Default"/>
        <w:ind w:left="720" w:hanging="360"/>
        <w:jc w:val="both"/>
        <w:rPr>
          <w:rFonts w:ascii="Montserrat" w:hAnsi="Montserrat" w:cs="Montserrat"/>
          <w:sz w:val="20"/>
          <w:szCs w:val="20"/>
          <w:lang w:val="pt-BR"/>
        </w:rPr>
      </w:pPr>
      <w:r w:rsidRPr="00767D31">
        <w:rPr>
          <w:rStyle w:val="FootnoteReference"/>
          <w:sz w:val="20"/>
          <w:szCs w:val="20"/>
          <w:lang w:val="en-US"/>
        </w:rPr>
        <w:footnoteRef/>
      </w:r>
      <w:r w:rsidRPr="00767D31">
        <w:rPr>
          <w:sz w:val="20"/>
          <w:szCs w:val="20"/>
          <w:lang w:val="pt-BR"/>
        </w:rPr>
        <w:t>.</w:t>
      </w:r>
      <w:r w:rsidRPr="00767D31">
        <w:rPr>
          <w:sz w:val="20"/>
          <w:szCs w:val="20"/>
          <w:lang w:val="pt-BR"/>
        </w:rPr>
        <w:tab/>
      </w:r>
      <w:r w:rsidRPr="00767D31">
        <w:rPr>
          <w:sz w:val="20"/>
          <w:szCs w:val="20"/>
          <w:lang w:val="pt-BR"/>
        </w:rPr>
        <w:t xml:space="preserve">O México reitera a posição expressa em sua intervenção feita durante a apresentação do relatório do Secretário-Geral sobre credenciais, no âmbito da sessão plenária do </w:t>
      </w:r>
      <w:r w:rsidR="00767D31" w:rsidRPr="00767D31">
        <w:rPr>
          <w:sz w:val="20"/>
          <w:szCs w:val="20"/>
          <w:lang w:val="pt-BR"/>
        </w:rPr>
        <w:t>(</w:t>
      </w:r>
      <w:r w:rsidRPr="00767D31">
        <w:rPr>
          <w:sz w:val="20"/>
          <w:szCs w:val="20"/>
          <w:lang w:val="pt-BR"/>
        </w:rPr>
        <w:t xml:space="preserve">… </w:t>
      </w:r>
      <w:r w:rsidR="00767D31" w:rsidRPr="00767D31">
        <w:rPr>
          <w:sz w:val="20"/>
          <w:szCs w:val="20"/>
          <w:lang w:val="pt-BR"/>
        </w:rPr>
        <w:t>)</w:t>
      </w:r>
    </w:p>
  </w:footnote>
  <w:footnote w:id="58">
    <w:p w14:paraId="55D5DE72" w14:textId="0C06E6D7" w:rsidR="004A6B17" w:rsidRDefault="004A6B17" w:rsidP="004A6B17">
      <w:pPr>
        <w:pStyle w:val="FootnoteText"/>
        <w:ind w:left="720" w:hanging="720"/>
        <w:rPr>
          <w:rFonts w:ascii="Times New Roman" w:eastAsia="Batang" w:hAnsi="Times New Roman"/>
          <w:sz w:val="20"/>
          <w:lang w:val="pt-BR" w:eastAsia="x-none"/>
        </w:rPr>
      </w:pPr>
      <w:r>
        <w:rPr>
          <w:rFonts w:ascii="Times New Roman" w:hAnsi="Times New Roman"/>
          <w:sz w:val="20"/>
          <w:lang w:val="pt-BR"/>
        </w:rPr>
        <w:tab/>
      </w:r>
      <w:r>
        <w:rPr>
          <w:rStyle w:val="FootnoteReference"/>
          <w:rFonts w:ascii="Times New Roman" w:hAnsi="Times New Roman"/>
          <w:sz w:val="20"/>
        </w:rPr>
        <w:footnoteRef/>
      </w:r>
      <w:r>
        <w:rPr>
          <w:rFonts w:ascii="Times New Roman" w:hAnsi="Times New Roman"/>
          <w:sz w:val="20"/>
          <w:lang w:val="pt-BR"/>
        </w:rPr>
        <w:t xml:space="preserve">. </w:t>
      </w:r>
      <w:r>
        <w:rPr>
          <w:rFonts w:ascii="Times New Roman" w:hAnsi="Times New Roman"/>
          <w:sz w:val="20"/>
          <w:lang w:val="pt-BR"/>
        </w:rPr>
        <w:tab/>
      </w:r>
      <w:r>
        <w:rPr>
          <w:rFonts w:ascii="Times New Roman" w:hAnsi="Times New Roman"/>
          <w:sz w:val="20"/>
          <w:lang w:val="pt-BR"/>
        </w:rPr>
        <w:t xml:space="preserve">O Governo da República da Nicarágua levou ao conhecimento dos Chefes de Estado e de Governo presentes na Oitava Cúpula das Américas que a Nicarágua não aprova o Compromisso de </w:t>
      </w:r>
      <w:r w:rsidR="00E34A5E">
        <w:rPr>
          <w:rFonts w:ascii="Times New Roman" w:hAnsi="Times New Roman"/>
          <w:sz w:val="20"/>
          <w:lang w:val="pt-BR"/>
        </w:rPr>
        <w:t xml:space="preserve">Lima, </w:t>
      </w:r>
      <w:r w:rsidR="006A3719">
        <w:rPr>
          <w:rFonts w:ascii="Times New Roman" w:hAnsi="Times New Roman"/>
          <w:sz w:val="20"/>
          <w:lang w:val="pt-BR"/>
        </w:rPr>
        <w:t>(</w:t>
      </w:r>
      <w:r w:rsidR="00E34A5E">
        <w:rPr>
          <w:rFonts w:ascii="Times New Roman" w:hAnsi="Times New Roman"/>
          <w:sz w:val="20"/>
          <w:lang w:val="pt-BR"/>
        </w:rPr>
        <w:t>...</w:t>
      </w:r>
      <w:r w:rsidR="006A3719">
        <w:rPr>
          <w:rFonts w:ascii="Times New Roman" w:hAnsi="Times New Roman"/>
          <w:sz w:val="20"/>
          <w:lang w:val="pt-BR"/>
        </w:rPr>
        <w:t>)</w:t>
      </w:r>
    </w:p>
  </w:footnote>
  <w:footnote w:id="59">
    <w:p w14:paraId="08C3A691" w14:textId="2CEBFF55" w:rsidR="004A6B17" w:rsidRDefault="004A6B17" w:rsidP="004A6B17">
      <w:pPr>
        <w:pStyle w:val="FootnoteText"/>
        <w:ind w:left="720" w:hanging="720"/>
        <w:rPr>
          <w:rFonts w:ascii="Times New Roman" w:hAnsi="Times New Roman"/>
          <w:sz w:val="20"/>
          <w:lang w:val="pt-BR"/>
        </w:rPr>
      </w:pPr>
      <w:r>
        <w:rPr>
          <w:rFonts w:ascii="Times New Roman" w:hAnsi="Times New Roman"/>
          <w:sz w:val="20"/>
          <w:lang w:val="pt-BR"/>
        </w:rPr>
        <w:tab/>
      </w:r>
      <w:r>
        <w:rPr>
          <w:rStyle w:val="FootnoteReference"/>
          <w:rFonts w:ascii="Times New Roman" w:hAnsi="Times New Roman"/>
          <w:sz w:val="20"/>
        </w:rPr>
        <w:footnoteRef/>
      </w:r>
      <w:r>
        <w:rPr>
          <w:rFonts w:ascii="Times New Roman" w:hAnsi="Times New Roman"/>
          <w:sz w:val="20"/>
          <w:lang w:val="pt-BR"/>
        </w:rPr>
        <w:t xml:space="preserve"> </w:t>
      </w:r>
      <w:r>
        <w:rPr>
          <w:rFonts w:ascii="Times New Roman" w:hAnsi="Times New Roman"/>
          <w:sz w:val="20"/>
          <w:lang w:val="pt-BR"/>
        </w:rPr>
        <w:t>.</w:t>
      </w:r>
      <w:r>
        <w:rPr>
          <w:rFonts w:ascii="Times New Roman" w:hAnsi="Times New Roman"/>
          <w:sz w:val="20"/>
          <w:lang w:val="pt-BR"/>
        </w:rPr>
        <w:tab/>
        <w:t>Os Estados Unidos protegem e promovem os direitos da criança e do adolescente. No entanto, os Estados Unidos observam que os países têm uma ampla variedade de políticas e ações que podem ser apropriadas</w:t>
      </w:r>
      <w:r w:rsidR="006A3719">
        <w:rPr>
          <w:rFonts w:ascii="Times New Roman" w:hAnsi="Times New Roman"/>
          <w:sz w:val="20"/>
          <w:lang w:val="pt-BR"/>
        </w:rPr>
        <w:t xml:space="preserve"> (</w:t>
      </w:r>
      <w:r>
        <w:rPr>
          <w:rFonts w:ascii="Times New Roman" w:hAnsi="Times New Roman"/>
          <w:sz w:val="20"/>
          <w:lang w:val="pt-BR"/>
        </w:rPr>
        <w:t>...</w:t>
      </w:r>
      <w:r w:rsidR="006A3719">
        <w:rPr>
          <w:rFonts w:ascii="Times New Roman" w:hAnsi="Times New Roman"/>
          <w:sz w:val="20"/>
          <w:lang w:val="pt-BR"/>
        </w:rPr>
        <w:t>)</w:t>
      </w:r>
    </w:p>
  </w:footnote>
  <w:footnote w:id="60">
    <w:p w14:paraId="31247EF3" w14:textId="77777777" w:rsidR="006A3719" w:rsidRDefault="006A3719" w:rsidP="006A3719">
      <w:pPr>
        <w:pStyle w:val="FootnoteText"/>
        <w:rPr>
          <w:rFonts w:ascii="Times New Roman" w:hAnsi="Times New Roman"/>
          <w:sz w:val="20"/>
          <w:lang w:val="pt-BR"/>
        </w:rPr>
      </w:pPr>
      <w:r>
        <w:rPr>
          <w:rFonts w:ascii="Times New Roman" w:hAnsi="Times New Roman"/>
          <w:sz w:val="20"/>
          <w:lang w:val="pt-BR"/>
        </w:rPr>
        <w:tab/>
      </w:r>
      <w:r>
        <w:rPr>
          <w:rStyle w:val="FootnoteReference"/>
          <w:rFonts w:ascii="Times New Roman" w:hAnsi="Times New Roman"/>
          <w:sz w:val="20"/>
        </w:rPr>
        <w:footnoteRef/>
      </w:r>
      <w:r>
        <w:rPr>
          <w:rFonts w:ascii="Times New Roman" w:hAnsi="Times New Roman"/>
          <w:sz w:val="20"/>
          <w:lang w:val="pt-BR"/>
        </w:rPr>
        <w:t>.</w:t>
      </w:r>
      <w:r>
        <w:rPr>
          <w:rFonts w:ascii="Times New Roman" w:hAnsi="Times New Roman"/>
          <w:sz w:val="20"/>
          <w:lang w:val="pt-BR"/>
        </w:rPr>
        <w:tab/>
        <w:t xml:space="preserve"> Ver a nota de rodapé 2.</w:t>
      </w:r>
    </w:p>
  </w:footnote>
  <w:footnote w:id="61">
    <w:p w14:paraId="3E9E46A7" w14:textId="77777777" w:rsidR="004A6B17" w:rsidRDefault="004A6B17" w:rsidP="004A6B17">
      <w:pPr>
        <w:pStyle w:val="FootnoteText"/>
        <w:rPr>
          <w:rFonts w:ascii="Times New Roman" w:hAnsi="Times New Roman"/>
          <w:sz w:val="20"/>
          <w:lang w:val="pt-BR"/>
        </w:rPr>
      </w:pPr>
      <w:r>
        <w:rPr>
          <w:rFonts w:ascii="Times New Roman" w:hAnsi="Times New Roman"/>
          <w:sz w:val="20"/>
          <w:lang w:val="pt-BR"/>
        </w:rPr>
        <w:tab/>
      </w:r>
      <w:r>
        <w:rPr>
          <w:rStyle w:val="FootnoteReference"/>
          <w:rFonts w:ascii="Times New Roman" w:hAnsi="Times New Roman"/>
          <w:sz w:val="20"/>
        </w:rPr>
        <w:footnoteRef/>
      </w:r>
      <w:r>
        <w:rPr>
          <w:rFonts w:ascii="Times New Roman" w:hAnsi="Times New Roman"/>
          <w:sz w:val="20"/>
          <w:lang w:val="pt-BR"/>
        </w:rPr>
        <w:t xml:space="preserve"> </w:t>
      </w:r>
      <w:r>
        <w:rPr>
          <w:rFonts w:ascii="Times New Roman" w:hAnsi="Times New Roman"/>
          <w:sz w:val="20"/>
          <w:lang w:val="pt-BR"/>
        </w:rPr>
        <w:t>.</w:t>
      </w:r>
      <w:r>
        <w:rPr>
          <w:rFonts w:ascii="Times New Roman" w:hAnsi="Times New Roman"/>
          <w:sz w:val="20"/>
          <w:lang w:val="pt-BR"/>
        </w:rPr>
        <w:tab/>
      </w:r>
      <w:r>
        <w:rPr>
          <w:rFonts w:ascii="Times New Roman" w:hAnsi="Times New Roman"/>
          <w:sz w:val="20"/>
          <w:lang w:val="pt-BR"/>
        </w:rPr>
        <w:t>Ver a nota de rodapé 2.</w:t>
      </w:r>
    </w:p>
  </w:footnote>
  <w:footnote w:id="62">
    <w:p w14:paraId="59094CB5" w14:textId="4BA40F2B" w:rsidR="004A6B17" w:rsidRDefault="004A6B17" w:rsidP="004A6B17">
      <w:pPr>
        <w:pStyle w:val="FootnoteText"/>
        <w:ind w:left="720" w:hanging="450"/>
        <w:rPr>
          <w:rFonts w:ascii="Times New Roman" w:hAnsi="Times New Roman"/>
          <w:sz w:val="20"/>
          <w:lang w:val="pt-BR"/>
        </w:rPr>
      </w:pPr>
      <w:r>
        <w:rPr>
          <w:rFonts w:ascii="Times New Roman" w:hAnsi="Times New Roman"/>
          <w:sz w:val="20"/>
          <w:lang w:val="pt-BR"/>
        </w:rPr>
        <w:tab/>
      </w:r>
      <w:r>
        <w:rPr>
          <w:rStyle w:val="FootnoteReference"/>
          <w:rFonts w:ascii="Times New Roman" w:hAnsi="Times New Roman"/>
          <w:sz w:val="20"/>
        </w:rPr>
        <w:footnoteRef/>
      </w:r>
      <w:r>
        <w:rPr>
          <w:rFonts w:ascii="Times New Roman" w:hAnsi="Times New Roman"/>
          <w:sz w:val="20"/>
          <w:lang w:val="pt-BR"/>
        </w:rPr>
        <w:t xml:space="preserve">. </w:t>
      </w:r>
      <w:r>
        <w:rPr>
          <w:rFonts w:ascii="Times New Roman" w:hAnsi="Times New Roman"/>
          <w:sz w:val="20"/>
          <w:lang w:val="pt-BR"/>
        </w:rPr>
        <w:tab/>
      </w:r>
      <w:r>
        <w:rPr>
          <w:rFonts w:ascii="Times New Roman" w:hAnsi="Times New Roman"/>
          <w:sz w:val="20"/>
          <w:lang w:val="pt-BR"/>
        </w:rPr>
        <w:t xml:space="preserve">Os Estados Unidos observam que o Direito internacional dos direitos humanos não dispõe sobre um direito de acesso à informação. O direito à liberdade de expressão inclui a liberdade de </w:t>
      </w:r>
      <w:r w:rsidR="00E34A5E">
        <w:rPr>
          <w:rFonts w:ascii="Times New Roman" w:hAnsi="Times New Roman"/>
          <w:sz w:val="20"/>
          <w:lang w:val="pt-BR"/>
        </w:rPr>
        <w:t xml:space="preserve">buscar, </w:t>
      </w:r>
      <w:r w:rsidR="00B36B09">
        <w:rPr>
          <w:rFonts w:ascii="Times New Roman" w:hAnsi="Times New Roman"/>
          <w:sz w:val="20"/>
          <w:lang w:val="pt-BR"/>
        </w:rPr>
        <w:t>(</w:t>
      </w:r>
      <w:r w:rsidR="00E34A5E">
        <w:rPr>
          <w:rFonts w:ascii="Times New Roman" w:hAnsi="Times New Roman"/>
          <w:sz w:val="20"/>
          <w:lang w:val="pt-BR"/>
        </w:rPr>
        <w:t>...</w:t>
      </w:r>
      <w:r w:rsidR="00B36B09">
        <w:rPr>
          <w:rFonts w:ascii="Times New Roman" w:hAnsi="Times New Roman"/>
          <w:sz w:val="20"/>
          <w:lang w:val="pt-BR"/>
        </w:rPr>
        <w:t>)</w:t>
      </w:r>
    </w:p>
  </w:footnote>
  <w:footnote w:id="63">
    <w:p w14:paraId="54D0A600" w14:textId="787F531C" w:rsidR="004A6B17" w:rsidRDefault="004A6B17" w:rsidP="009D0A16">
      <w:pPr>
        <w:pStyle w:val="FootnoteText"/>
        <w:spacing w:before="240"/>
        <w:ind w:left="720" w:hanging="450"/>
        <w:rPr>
          <w:rFonts w:ascii="Times New Roman" w:hAnsi="Times New Roman"/>
          <w:sz w:val="20"/>
          <w:lang w:val="pt-BR"/>
        </w:rPr>
      </w:pPr>
      <w:r>
        <w:rPr>
          <w:rFonts w:ascii="Times New Roman" w:hAnsi="Times New Roman"/>
          <w:sz w:val="20"/>
          <w:lang w:val="pt-BR"/>
        </w:rPr>
        <w:tab/>
      </w:r>
      <w:r>
        <w:rPr>
          <w:rStyle w:val="FootnoteReference"/>
          <w:rFonts w:ascii="Times New Roman" w:hAnsi="Times New Roman"/>
          <w:sz w:val="20"/>
        </w:rPr>
        <w:footnoteRef/>
      </w:r>
      <w:r>
        <w:rPr>
          <w:rFonts w:ascii="Times New Roman" w:hAnsi="Times New Roman"/>
          <w:sz w:val="20"/>
          <w:lang w:val="pt-BR"/>
        </w:rPr>
        <w:t xml:space="preserve">. </w:t>
      </w:r>
      <w:r>
        <w:rPr>
          <w:rFonts w:ascii="Times New Roman" w:hAnsi="Times New Roman"/>
          <w:sz w:val="20"/>
          <w:lang w:val="pt-BR"/>
        </w:rPr>
        <w:tab/>
        <w:t>Os Estados Unidos acreditam que os diferentes Estados têm diferentes meios de promover a participação plena e significativa das mulheres nos processos de tomada de decisão, e</w:t>
      </w:r>
      <w:r w:rsidR="009D0A16">
        <w:rPr>
          <w:rFonts w:ascii="Times New Roman" w:hAnsi="Times New Roman"/>
          <w:sz w:val="20"/>
          <w:lang w:val="pt-BR"/>
        </w:rPr>
        <w:t xml:space="preserve"> (</w:t>
      </w:r>
      <w:r>
        <w:rPr>
          <w:rFonts w:ascii="Times New Roman" w:hAnsi="Times New Roman"/>
          <w:sz w:val="20"/>
          <w:lang w:val="pt-BR"/>
        </w:rPr>
        <w:t>...</w:t>
      </w:r>
      <w:r w:rsidR="009D0A16">
        <w:rPr>
          <w:rFonts w:ascii="Times New Roman" w:hAnsi="Times New Roman"/>
          <w:sz w:val="20"/>
          <w:lang w:val="pt-BR"/>
        </w:rPr>
        <w:t>)</w:t>
      </w:r>
      <w:r>
        <w:rPr>
          <w:rFonts w:ascii="Times New Roman" w:hAnsi="Times New Roman"/>
          <w:sz w:val="20"/>
          <w:lang w:val="pt-BR"/>
        </w:rPr>
        <w:t xml:space="preserve"> </w:t>
      </w:r>
    </w:p>
  </w:footnote>
  <w:footnote w:id="64">
    <w:p w14:paraId="637D3D91" w14:textId="4CD12B27" w:rsidR="004A6B17" w:rsidRDefault="004A6B17" w:rsidP="004A6B17">
      <w:pPr>
        <w:pStyle w:val="FootnoteText"/>
        <w:tabs>
          <w:tab w:val="clear" w:pos="360"/>
          <w:tab w:val="left" w:pos="720"/>
        </w:tabs>
        <w:ind w:left="720" w:hanging="450"/>
        <w:rPr>
          <w:rFonts w:ascii="Times New Roman" w:hAnsi="Times New Roman"/>
          <w:sz w:val="20"/>
          <w:lang w:val="pt-BR"/>
        </w:rPr>
      </w:pPr>
      <w:r>
        <w:rPr>
          <w:rStyle w:val="FootnoteReference"/>
          <w:rFonts w:ascii="Times New Roman" w:hAnsi="Times New Roman"/>
          <w:sz w:val="20"/>
        </w:rPr>
        <w:footnoteRef/>
      </w:r>
      <w:r>
        <w:rPr>
          <w:rFonts w:ascii="Times New Roman" w:hAnsi="Times New Roman"/>
          <w:sz w:val="20"/>
          <w:lang w:val="pt-BR"/>
        </w:rPr>
        <w:t xml:space="preserve">. </w:t>
      </w:r>
      <w:r>
        <w:rPr>
          <w:rFonts w:ascii="Times New Roman" w:hAnsi="Times New Roman"/>
          <w:sz w:val="20"/>
          <w:lang w:val="pt-BR"/>
        </w:rPr>
        <w:tab/>
        <w:t>Os Estados Unidos recordam que a transparência é fundamental para a governança efetiva e a democracia e que as leis que garantem acesso público adequado a informações governamentais</w:t>
      </w:r>
      <w:r w:rsidR="009D0A16">
        <w:rPr>
          <w:rFonts w:ascii="Times New Roman" w:hAnsi="Times New Roman"/>
          <w:sz w:val="20"/>
          <w:lang w:val="pt-BR"/>
        </w:rPr>
        <w:t xml:space="preserve"> (</w:t>
      </w:r>
      <w:r>
        <w:rPr>
          <w:rFonts w:ascii="Times New Roman" w:hAnsi="Times New Roman"/>
          <w:sz w:val="20"/>
          <w:lang w:val="pt-BR"/>
        </w:rPr>
        <w:t>...</w:t>
      </w:r>
      <w:r w:rsidR="009D0A16">
        <w:rPr>
          <w:rFonts w:ascii="Times New Roman" w:hAnsi="Times New Roman"/>
          <w:sz w:val="20"/>
          <w:lang w:val="pt-BR"/>
        </w:rPr>
        <w:t>)</w:t>
      </w:r>
    </w:p>
  </w:footnote>
  <w:footnote w:id="65">
    <w:p w14:paraId="6E834FF9" w14:textId="77777777" w:rsidR="004B5422" w:rsidRPr="009D0A16" w:rsidRDefault="004B5422" w:rsidP="00EC5CCF">
      <w:pPr>
        <w:ind w:left="720" w:hanging="360"/>
        <w:rPr>
          <w:rFonts w:eastAsia="MS Mincho"/>
          <w:sz w:val="20"/>
          <w:lang w:val="pt-BR" w:eastAsia="es-ES_tradnl"/>
        </w:rPr>
      </w:pPr>
      <w:r>
        <w:rPr>
          <w:rStyle w:val="FootnoteReference"/>
          <w:sz w:val="20"/>
        </w:rPr>
        <w:footnoteRef/>
      </w:r>
      <w:r>
        <w:rPr>
          <w:sz w:val="20"/>
          <w:lang w:val="pt-BR"/>
        </w:rPr>
        <w:t>.</w:t>
      </w:r>
      <w:r>
        <w:rPr>
          <w:sz w:val="20"/>
          <w:lang w:val="pt-BR"/>
        </w:rPr>
        <w:tab/>
        <w:t xml:space="preserve">Antígua e Barbuda considera que a República Bolivariana </w:t>
      </w:r>
      <w:r w:rsidRPr="009D0A16">
        <w:rPr>
          <w:sz w:val="20"/>
          <w:lang w:val="pt-BR"/>
        </w:rPr>
        <w:t>da Venezuela não é um Estado membro da Organização dos Estados Americanos pois, em 27 de abril de 2017, o Governo da República (...)</w:t>
      </w:r>
    </w:p>
  </w:footnote>
  <w:footnote w:id="66">
    <w:p w14:paraId="6E834FFA" w14:textId="04767616" w:rsidR="004B5422" w:rsidRPr="0077509F" w:rsidRDefault="004B5422" w:rsidP="00714959">
      <w:pPr>
        <w:pStyle w:val="Default"/>
        <w:ind w:left="720" w:hanging="360"/>
        <w:jc w:val="both"/>
        <w:rPr>
          <w:rFonts w:ascii="Montserrat" w:hAnsi="Montserrat" w:cs="Montserrat"/>
          <w:sz w:val="20"/>
          <w:szCs w:val="20"/>
          <w:lang w:val="pt-BR"/>
        </w:rPr>
      </w:pPr>
      <w:r w:rsidRPr="009D0A16">
        <w:rPr>
          <w:rStyle w:val="FootnoteReference"/>
          <w:sz w:val="20"/>
          <w:szCs w:val="20"/>
          <w:lang w:val="en-US"/>
        </w:rPr>
        <w:footnoteRef/>
      </w:r>
      <w:r w:rsidRPr="009D0A16">
        <w:rPr>
          <w:sz w:val="20"/>
          <w:szCs w:val="20"/>
          <w:lang w:val="pt-BR"/>
        </w:rPr>
        <w:t>.</w:t>
      </w:r>
      <w:r w:rsidRPr="009D0A16">
        <w:rPr>
          <w:sz w:val="20"/>
          <w:szCs w:val="20"/>
          <w:lang w:val="pt-BR"/>
        </w:rPr>
        <w:tab/>
      </w:r>
      <w:r w:rsidRPr="009D0A16">
        <w:rPr>
          <w:sz w:val="20"/>
          <w:szCs w:val="20"/>
          <w:lang w:val="pt-BR"/>
        </w:rPr>
        <w:t xml:space="preserve">O México reitera a posição expressa em sua intervenção feita durante a apresentação do relatório do Secretário-Geral sobre credenciais, no âmbito da sessão plenária do </w:t>
      </w:r>
      <w:r w:rsidR="009D0A16" w:rsidRPr="009D0A16">
        <w:rPr>
          <w:sz w:val="20"/>
          <w:szCs w:val="20"/>
          <w:lang w:val="pt-BR"/>
        </w:rPr>
        <w:t xml:space="preserve"> (</w:t>
      </w:r>
      <w:r w:rsidRPr="009D0A16">
        <w:rPr>
          <w:sz w:val="20"/>
          <w:szCs w:val="20"/>
          <w:lang w:val="pt-BR"/>
        </w:rPr>
        <w:t>…</w:t>
      </w:r>
      <w:r w:rsidR="009D0A16" w:rsidRPr="009D0A16">
        <w:rPr>
          <w:sz w:val="20"/>
          <w:szCs w:val="20"/>
          <w:lang w:val="pt-BR"/>
        </w:rPr>
        <w:t>)</w:t>
      </w:r>
      <w:r w:rsidRPr="009D0A16">
        <w:rPr>
          <w:sz w:val="20"/>
          <w:szCs w:val="20"/>
          <w:lang w:val="pt-BR"/>
        </w:rPr>
        <w:t xml:space="preserve"> </w:t>
      </w:r>
    </w:p>
  </w:footnote>
  <w:footnote w:id="67">
    <w:p w14:paraId="6E834FFB" w14:textId="77777777" w:rsidR="004B5422" w:rsidRDefault="004B5422" w:rsidP="00EC5CCF">
      <w:pPr>
        <w:pStyle w:val="NormalWeb"/>
        <w:spacing w:before="0" w:after="0"/>
        <w:ind w:left="720" w:hanging="360"/>
        <w:jc w:val="both"/>
        <w:rPr>
          <w:rFonts w:eastAsia="Calibri"/>
          <w:sz w:val="20"/>
          <w:szCs w:val="20"/>
          <w:lang w:val="pt-BR"/>
        </w:rPr>
      </w:pPr>
      <w:r>
        <w:rPr>
          <w:sz w:val="20"/>
          <w:szCs w:val="20"/>
          <w:lang w:val="es-US"/>
        </w:rPr>
        <w:footnoteRef/>
      </w:r>
      <w:r>
        <w:rPr>
          <w:sz w:val="20"/>
          <w:szCs w:val="20"/>
          <w:lang w:val="pt-BR"/>
        </w:rPr>
        <w:t>.</w:t>
      </w:r>
      <w:r>
        <w:rPr>
          <w:sz w:val="20"/>
          <w:szCs w:val="20"/>
          <w:lang w:val="pt-BR"/>
        </w:rPr>
        <w:tab/>
        <w:t>Os Estados Unidos não são parte na Convenção da OEA sobre Asilo Diplomático de 1954 e não reconhecem a prática do asilo diplomático como uma questão de Direito internacional. (...)</w:t>
      </w:r>
    </w:p>
  </w:footnote>
  <w:footnote w:id="68">
    <w:p w14:paraId="6E834FFC" w14:textId="13AA62CE" w:rsidR="004B5422" w:rsidRDefault="004B5422" w:rsidP="00EC5CCF">
      <w:pPr>
        <w:pStyle w:val="NormalWeb"/>
        <w:spacing w:before="0" w:after="0"/>
        <w:ind w:left="720" w:hanging="360"/>
        <w:jc w:val="both"/>
        <w:rPr>
          <w:sz w:val="20"/>
          <w:szCs w:val="20"/>
          <w:lang w:val="pt-BR"/>
        </w:rPr>
      </w:pPr>
      <w:r>
        <w:rPr>
          <w:sz w:val="20"/>
          <w:szCs w:val="20"/>
          <w:lang w:val="es-US"/>
        </w:rPr>
        <w:footnoteRef/>
      </w:r>
      <w:r>
        <w:rPr>
          <w:sz w:val="20"/>
          <w:szCs w:val="20"/>
          <w:lang w:val="pt-BR"/>
        </w:rPr>
        <w:t>.</w:t>
      </w:r>
      <w:r>
        <w:rPr>
          <w:sz w:val="20"/>
          <w:szCs w:val="20"/>
          <w:lang w:val="pt-BR"/>
        </w:rPr>
        <w:tab/>
      </w:r>
      <w:r>
        <w:rPr>
          <w:sz w:val="20"/>
          <w:szCs w:val="20"/>
          <w:lang w:val="pt-BR"/>
        </w:rPr>
        <w:t>Os Estados Unidos lembram que um documento adotado pela CJI como próprio, como é o caso das diretrizes para os acordos vinculantes e não vinculantes, não representa (...)</w:t>
      </w:r>
    </w:p>
  </w:footnote>
  <w:footnote w:id="69">
    <w:p w14:paraId="6E834FFD" w14:textId="77777777" w:rsidR="004B5422" w:rsidRDefault="004B5422" w:rsidP="00EC5CCF">
      <w:pPr>
        <w:pStyle w:val="NormalWeb"/>
        <w:spacing w:before="0" w:after="0"/>
        <w:ind w:left="720" w:hanging="360"/>
        <w:jc w:val="both"/>
        <w:rPr>
          <w:sz w:val="20"/>
          <w:szCs w:val="20"/>
          <w:lang w:val="pt-BR"/>
        </w:rPr>
      </w:pPr>
      <w:r>
        <w:rPr>
          <w:sz w:val="20"/>
          <w:szCs w:val="20"/>
          <w:lang w:val="es-US"/>
        </w:rPr>
        <w:footnoteRef/>
      </w:r>
      <w:r>
        <w:rPr>
          <w:sz w:val="20"/>
          <w:szCs w:val="20"/>
          <w:lang w:val="pt-BR"/>
        </w:rPr>
        <w:t>.</w:t>
      </w:r>
      <w:r>
        <w:rPr>
          <w:sz w:val="20"/>
          <w:szCs w:val="20"/>
          <w:lang w:val="pt-BR"/>
        </w:rPr>
        <w:tab/>
      </w:r>
      <w:r>
        <w:rPr>
          <w:sz w:val="20"/>
          <w:szCs w:val="20"/>
          <w:lang w:val="pt-BR"/>
        </w:rPr>
        <w:t>A posição dos Estados Unidos é que nem o Direito internacional consuetudinário nem a Convenção de Genebra de 1949 e seus Protocolos Adicionais obrigam os Estados a respeitar e fazer respeitar (...)</w:t>
      </w:r>
    </w:p>
  </w:footnote>
  <w:footnote w:id="70">
    <w:p w14:paraId="6E834FFE" w14:textId="77777777" w:rsidR="004B5422" w:rsidRDefault="004B5422" w:rsidP="00EC5CCF">
      <w:pPr>
        <w:pStyle w:val="PlainText"/>
        <w:ind w:left="720" w:hanging="360"/>
        <w:jc w:val="both"/>
        <w:rPr>
          <w:rFonts w:ascii="Times New Roman" w:hAnsi="Times New Roman"/>
          <w:sz w:val="20"/>
          <w:szCs w:val="20"/>
          <w:lang w:val="pt-BR"/>
        </w:rPr>
      </w:pPr>
      <w:r>
        <w:rPr>
          <w:rFonts w:ascii="Times New Roman" w:hAnsi="Times New Roman"/>
          <w:sz w:val="20"/>
          <w:szCs w:val="20"/>
          <w:lang w:val="es-US"/>
        </w:rPr>
        <w:footnoteRef/>
      </w:r>
      <w:r>
        <w:rPr>
          <w:rFonts w:ascii="Times New Roman" w:hAnsi="Times New Roman"/>
          <w:sz w:val="20"/>
          <w:szCs w:val="20"/>
          <w:lang w:val="pt-BR"/>
        </w:rPr>
        <w:t>.</w:t>
      </w:r>
      <w:r>
        <w:rPr>
          <w:rFonts w:ascii="Times New Roman" w:hAnsi="Times New Roman"/>
          <w:sz w:val="20"/>
          <w:szCs w:val="20"/>
          <w:lang w:val="pt-BR"/>
        </w:rPr>
        <w:tab/>
      </w:r>
      <w:r>
        <w:rPr>
          <w:rFonts w:ascii="Times New Roman" w:hAnsi="Times New Roman"/>
          <w:color w:val="000000"/>
          <w:sz w:val="20"/>
          <w:szCs w:val="20"/>
          <w:lang w:val="pt-BR"/>
        </w:rPr>
        <w:t xml:space="preserve">O Canadá está comprometido com o objetivo de se alcançar um mundo sem armas nucleares e trabalha de maneira construtiva para isso. Com essa finalidade, o Canadá cumpre as suas obrigações (...) </w:t>
      </w:r>
    </w:p>
  </w:footnote>
  <w:footnote w:id="71">
    <w:p w14:paraId="6E834FFF" w14:textId="3C47D10B" w:rsidR="004B5422" w:rsidRDefault="004B5422" w:rsidP="00EC5CCF">
      <w:pPr>
        <w:pStyle w:val="NormalWeb"/>
        <w:spacing w:before="0" w:after="0"/>
        <w:ind w:left="720" w:hanging="360"/>
        <w:jc w:val="both"/>
        <w:rPr>
          <w:sz w:val="20"/>
          <w:szCs w:val="20"/>
          <w:lang w:val="pt-BR"/>
        </w:rPr>
      </w:pPr>
      <w:r>
        <w:rPr>
          <w:sz w:val="20"/>
          <w:szCs w:val="20"/>
          <w:lang w:val="es-US"/>
        </w:rPr>
        <w:footnoteRef/>
      </w:r>
      <w:r>
        <w:rPr>
          <w:sz w:val="20"/>
          <w:szCs w:val="20"/>
          <w:lang w:val="pt-BR"/>
        </w:rPr>
        <w:t>.</w:t>
      </w:r>
      <w:r>
        <w:rPr>
          <w:sz w:val="20"/>
          <w:szCs w:val="20"/>
          <w:lang w:val="pt-BR"/>
        </w:rPr>
        <w:tab/>
      </w:r>
      <w:r>
        <w:rPr>
          <w:sz w:val="20"/>
          <w:szCs w:val="20"/>
          <w:lang w:val="pt-BR"/>
        </w:rPr>
        <w:t>Os Estados Unidos não apoiam e não assinarão o Tratado sobre a Proibição de Armas Nucleares</w:t>
      </w:r>
      <w:r w:rsidR="007B2BD2">
        <w:rPr>
          <w:sz w:val="20"/>
          <w:szCs w:val="20"/>
          <w:lang w:val="pt-BR"/>
        </w:rPr>
        <w:t xml:space="preserve"> </w:t>
      </w:r>
      <w:r>
        <w:rPr>
          <w:sz w:val="20"/>
          <w:szCs w:val="20"/>
          <w:lang w:val="pt-BR"/>
        </w:rPr>
        <w:t xml:space="preserve">(TPAN), nem consideram que ele seja uma “medida eficaz” para o desarmamento nuclear, conforme estabelecido (...) </w:t>
      </w:r>
    </w:p>
  </w:footnote>
  <w:footnote w:id="72">
    <w:p w14:paraId="6E835000" w14:textId="77777777" w:rsidR="004B5422" w:rsidRDefault="004B5422" w:rsidP="00EC5CCF">
      <w:pPr>
        <w:pStyle w:val="NormalWeb"/>
        <w:spacing w:before="0" w:after="0"/>
        <w:ind w:left="720" w:hanging="360"/>
        <w:jc w:val="both"/>
        <w:rPr>
          <w:sz w:val="20"/>
          <w:szCs w:val="20"/>
          <w:lang w:val="pt-BR"/>
        </w:rPr>
      </w:pPr>
      <w:r>
        <w:rPr>
          <w:sz w:val="20"/>
          <w:szCs w:val="20"/>
          <w:lang w:val="es-US"/>
        </w:rPr>
        <w:footnoteRef/>
      </w:r>
      <w:r>
        <w:rPr>
          <w:sz w:val="20"/>
          <w:szCs w:val="20"/>
          <w:lang w:val="pt-BR"/>
        </w:rPr>
        <w:t>.</w:t>
      </w:r>
      <w:r>
        <w:rPr>
          <w:sz w:val="20"/>
          <w:szCs w:val="20"/>
          <w:lang w:val="pt-BR"/>
        </w:rPr>
        <w:tab/>
      </w:r>
      <w:r>
        <w:rPr>
          <w:sz w:val="20"/>
          <w:szCs w:val="20"/>
          <w:lang w:val="pt-BR"/>
        </w:rPr>
        <w:t xml:space="preserve">Os Estados Unidos opõem-se à discussão proposta sobre sistemas de armas autônomas letais (LAWS) neste fórum. O Grupo de Peritos Governamentais em Tecnologias Emergentes na Área de (...) </w:t>
      </w:r>
    </w:p>
  </w:footnote>
  <w:footnote w:id="73">
    <w:p w14:paraId="6E835001" w14:textId="77777777" w:rsidR="004B5422" w:rsidRPr="007B686E" w:rsidRDefault="004B5422" w:rsidP="00EC5CCF">
      <w:pPr>
        <w:ind w:left="720" w:hanging="360"/>
        <w:rPr>
          <w:rFonts w:ascii="Times New Roman" w:eastAsia="MS Mincho" w:hAnsi="Times New Roman"/>
          <w:sz w:val="20"/>
          <w:lang w:val="pt-BR" w:eastAsia="es-ES_tradnl"/>
        </w:rPr>
      </w:pPr>
      <w:r>
        <w:rPr>
          <w:rStyle w:val="FootnoteReference"/>
          <w:rFonts w:ascii="Times New Roman" w:hAnsi="Times New Roman"/>
          <w:sz w:val="20"/>
          <w:lang w:val="en-US"/>
        </w:rPr>
        <w:footnoteRef/>
      </w:r>
      <w:r>
        <w:rPr>
          <w:rFonts w:ascii="Times New Roman" w:hAnsi="Times New Roman"/>
          <w:sz w:val="20"/>
          <w:lang w:val="pt-BR"/>
        </w:rPr>
        <w:t>.</w:t>
      </w:r>
      <w:r>
        <w:rPr>
          <w:rFonts w:ascii="Times New Roman" w:hAnsi="Times New Roman"/>
          <w:sz w:val="20"/>
          <w:lang w:val="pt-BR"/>
        </w:rPr>
        <w:tab/>
      </w:r>
      <w:r>
        <w:rPr>
          <w:rFonts w:ascii="Times New Roman" w:hAnsi="Times New Roman"/>
          <w:sz w:val="20"/>
          <w:lang w:val="pt-BR"/>
        </w:rPr>
        <w:t>Antígua e Barbuda considera que a República Bolivariana da Ven</w:t>
      </w:r>
      <w:r w:rsidRPr="007B686E">
        <w:rPr>
          <w:rFonts w:ascii="Times New Roman" w:hAnsi="Times New Roman"/>
          <w:sz w:val="20"/>
          <w:lang w:val="pt-BR"/>
        </w:rPr>
        <w:t>ezuela não é um Estado membro da Organização dos Estados Americanos pois, em 27 de abril de 2017, o Governo da República (...)</w:t>
      </w:r>
    </w:p>
  </w:footnote>
  <w:footnote w:id="74">
    <w:p w14:paraId="6E835002" w14:textId="44E7544B" w:rsidR="004B5422" w:rsidRPr="0077509F" w:rsidRDefault="004B5422" w:rsidP="00714959">
      <w:pPr>
        <w:pStyle w:val="Default"/>
        <w:ind w:left="720" w:hanging="360"/>
        <w:jc w:val="both"/>
        <w:rPr>
          <w:rFonts w:ascii="Montserrat" w:hAnsi="Montserrat" w:cs="Montserrat"/>
          <w:sz w:val="20"/>
          <w:szCs w:val="20"/>
          <w:lang w:val="pt-BR"/>
        </w:rPr>
      </w:pPr>
      <w:r w:rsidRPr="007B686E">
        <w:rPr>
          <w:rStyle w:val="FootnoteReference"/>
          <w:sz w:val="20"/>
          <w:szCs w:val="20"/>
          <w:lang w:val="en-US"/>
        </w:rPr>
        <w:footnoteRef/>
      </w:r>
      <w:r w:rsidRPr="007B686E">
        <w:rPr>
          <w:sz w:val="20"/>
          <w:szCs w:val="20"/>
          <w:lang w:val="pt-BR"/>
        </w:rPr>
        <w:t>.</w:t>
      </w:r>
      <w:r w:rsidRPr="007B686E">
        <w:rPr>
          <w:sz w:val="20"/>
          <w:szCs w:val="20"/>
          <w:lang w:val="pt-BR"/>
        </w:rPr>
        <w:tab/>
      </w:r>
      <w:r w:rsidRPr="007B686E">
        <w:rPr>
          <w:sz w:val="20"/>
          <w:szCs w:val="20"/>
          <w:lang w:val="pt-BR"/>
        </w:rPr>
        <w:t xml:space="preserve">O México reitera a posição expressa em sua intervenção feita durante a apresentação do relatório do Secretário-Geral sobre credenciais, no âmbito da sessão plenária do </w:t>
      </w:r>
      <w:r w:rsidR="007B686E" w:rsidRPr="007B686E">
        <w:rPr>
          <w:sz w:val="20"/>
          <w:szCs w:val="20"/>
          <w:lang w:val="pt-BR"/>
        </w:rPr>
        <w:t xml:space="preserve"> (</w:t>
      </w:r>
      <w:r w:rsidRPr="007B686E">
        <w:rPr>
          <w:sz w:val="20"/>
          <w:szCs w:val="20"/>
          <w:lang w:val="pt-BR"/>
        </w:rPr>
        <w:t>…</w:t>
      </w:r>
      <w:r w:rsidR="007B686E" w:rsidRPr="007B686E">
        <w:rPr>
          <w:sz w:val="20"/>
          <w:szCs w:val="20"/>
          <w:lang w:val="pt-BR"/>
        </w:rPr>
        <w:t>)</w:t>
      </w:r>
      <w:r w:rsidRPr="007B686E">
        <w:rPr>
          <w:sz w:val="20"/>
          <w:szCs w:val="20"/>
          <w:lang w:val="pt-BR"/>
        </w:rPr>
        <w:t xml:space="preserve"> </w:t>
      </w:r>
    </w:p>
  </w:footnote>
  <w:footnote w:id="75">
    <w:p w14:paraId="0591B114" w14:textId="77777777" w:rsidR="000933AA" w:rsidRPr="007B686E" w:rsidRDefault="000933AA" w:rsidP="000933AA">
      <w:pPr>
        <w:pStyle w:val="FootnoteText"/>
        <w:tabs>
          <w:tab w:val="clear" w:pos="360"/>
          <w:tab w:val="left" w:pos="720"/>
        </w:tabs>
        <w:ind w:left="720"/>
        <w:rPr>
          <w:rFonts w:ascii="Times New Roman" w:hAnsi="Times New Roman"/>
          <w:sz w:val="20"/>
          <w:lang w:val="pt-BR"/>
        </w:rPr>
      </w:pPr>
      <w:r>
        <w:rPr>
          <w:rStyle w:val="FootnoteReference"/>
          <w:rFonts w:ascii="Times New Roman" w:hAnsi="Times New Roman"/>
          <w:sz w:val="20"/>
        </w:rPr>
        <w:footnoteRef/>
      </w:r>
      <w:r>
        <w:rPr>
          <w:rFonts w:ascii="Times New Roman" w:hAnsi="Times New Roman"/>
          <w:sz w:val="20"/>
          <w:lang w:val="pt-BR"/>
        </w:rPr>
        <w:t xml:space="preserve">. </w:t>
      </w:r>
      <w:r>
        <w:rPr>
          <w:rFonts w:ascii="Times New Roman" w:hAnsi="Times New Roman"/>
          <w:sz w:val="20"/>
          <w:lang w:val="pt-BR"/>
        </w:rPr>
        <w:tab/>
        <w:t xml:space="preserve">O Governo de Santa Lúcia apoia todos os esforços que </w:t>
      </w:r>
      <w:r w:rsidRPr="007B686E">
        <w:rPr>
          <w:rFonts w:ascii="Times New Roman" w:hAnsi="Times New Roman"/>
          <w:sz w:val="20"/>
          <w:lang w:val="pt-BR"/>
        </w:rPr>
        <w:t xml:space="preserve">visam à promoção e à proteção dos direitos de todos os cidadãos e continua empenhado no cumprimento das suas obrigações nos termos (...) </w:t>
      </w:r>
    </w:p>
  </w:footnote>
  <w:footnote w:id="76">
    <w:p w14:paraId="4142F57A" w14:textId="77777777" w:rsidR="000933AA" w:rsidRPr="007B686E" w:rsidRDefault="000933AA" w:rsidP="000933AA">
      <w:pPr>
        <w:pStyle w:val="FootnoteText"/>
        <w:tabs>
          <w:tab w:val="clear" w:pos="360"/>
          <w:tab w:val="left" w:pos="720"/>
        </w:tabs>
        <w:ind w:left="720"/>
        <w:rPr>
          <w:rFonts w:ascii="Times New Roman" w:hAnsi="Times New Roman"/>
          <w:sz w:val="20"/>
          <w:lang w:val="pt-BR"/>
        </w:rPr>
      </w:pPr>
      <w:r w:rsidRPr="007B686E">
        <w:rPr>
          <w:rStyle w:val="FootnoteReference"/>
          <w:rFonts w:ascii="Times New Roman" w:hAnsi="Times New Roman"/>
          <w:sz w:val="20"/>
        </w:rPr>
        <w:footnoteRef/>
      </w:r>
      <w:r w:rsidRPr="007B686E">
        <w:rPr>
          <w:rFonts w:ascii="Times New Roman" w:hAnsi="Times New Roman"/>
          <w:sz w:val="20"/>
          <w:lang w:val="pt-BR"/>
        </w:rPr>
        <w:t xml:space="preserve">. </w:t>
      </w:r>
      <w:r w:rsidRPr="007B686E">
        <w:rPr>
          <w:rFonts w:ascii="Times New Roman" w:hAnsi="Times New Roman"/>
          <w:sz w:val="20"/>
          <w:lang w:val="pt-BR"/>
        </w:rPr>
        <w:tab/>
      </w:r>
      <w:r w:rsidRPr="007B686E">
        <w:rPr>
          <w:rFonts w:ascii="Times New Roman" w:hAnsi="Times New Roman"/>
          <w:sz w:val="20"/>
          <w:lang w:val="pt-BR"/>
        </w:rPr>
        <w:t>Antígua e Barbuda considera que a República Bolivariana da Venezuela não é um Estado membro da Organização dos Estados Americanos pois, em 27 de abril de 2017, o Governo da República (...)</w:t>
      </w:r>
    </w:p>
  </w:footnote>
  <w:footnote w:id="77">
    <w:p w14:paraId="40D01F6A" w14:textId="351D9C0C" w:rsidR="000933AA" w:rsidRPr="0077509F" w:rsidRDefault="000933AA" w:rsidP="000933AA">
      <w:pPr>
        <w:pStyle w:val="Default"/>
        <w:ind w:left="720" w:hanging="360"/>
        <w:jc w:val="both"/>
        <w:rPr>
          <w:rFonts w:ascii="Montserrat" w:hAnsi="Montserrat" w:cs="Montserrat"/>
          <w:sz w:val="20"/>
          <w:szCs w:val="20"/>
          <w:lang w:val="pt-BR"/>
        </w:rPr>
      </w:pPr>
      <w:r w:rsidRPr="007B686E">
        <w:rPr>
          <w:rStyle w:val="FootnoteReference"/>
          <w:sz w:val="20"/>
          <w:szCs w:val="20"/>
          <w:lang w:val="en-US"/>
        </w:rPr>
        <w:footnoteRef/>
      </w:r>
      <w:r w:rsidRPr="007B686E">
        <w:rPr>
          <w:sz w:val="20"/>
          <w:szCs w:val="20"/>
          <w:lang w:val="pt-BR"/>
        </w:rPr>
        <w:t>.</w:t>
      </w:r>
      <w:r w:rsidRPr="007B686E">
        <w:rPr>
          <w:sz w:val="20"/>
          <w:szCs w:val="20"/>
          <w:lang w:val="pt-BR"/>
        </w:rPr>
        <w:tab/>
      </w:r>
      <w:r w:rsidRPr="007B686E">
        <w:rPr>
          <w:sz w:val="20"/>
          <w:szCs w:val="20"/>
          <w:lang w:val="pt-BR"/>
        </w:rPr>
        <w:t xml:space="preserve">O México reitera a posição expressa em sua intervenção feita durante a apresentação do relatório do Secretário-Geral sobre credenciais, no âmbito da sessão plenária do </w:t>
      </w:r>
      <w:r w:rsidR="007B686E" w:rsidRPr="007B686E">
        <w:rPr>
          <w:sz w:val="20"/>
          <w:szCs w:val="20"/>
          <w:lang w:val="pt-BR"/>
        </w:rPr>
        <w:t>(</w:t>
      </w:r>
      <w:r w:rsidRPr="007B686E">
        <w:rPr>
          <w:sz w:val="20"/>
          <w:szCs w:val="20"/>
          <w:lang w:val="pt-BR"/>
        </w:rPr>
        <w:t>…</w:t>
      </w:r>
      <w:r w:rsidR="007B686E" w:rsidRPr="007B686E">
        <w:rPr>
          <w:sz w:val="20"/>
          <w:szCs w:val="20"/>
          <w:lang w:val="pt-BR"/>
        </w:rPr>
        <w:t>)</w:t>
      </w:r>
      <w:r w:rsidRPr="0077509F">
        <w:rPr>
          <w:sz w:val="20"/>
          <w:szCs w:val="20"/>
          <w:lang w:val="pt-BR"/>
        </w:rPr>
        <w:t xml:space="preserve"> </w:t>
      </w:r>
    </w:p>
  </w:footnote>
  <w:footnote w:id="78">
    <w:p w14:paraId="0B51F409" w14:textId="77777777" w:rsidR="000933AA" w:rsidRDefault="000933AA" w:rsidP="000933AA">
      <w:pPr>
        <w:pStyle w:val="FootnoteText"/>
        <w:tabs>
          <w:tab w:val="clear" w:pos="360"/>
          <w:tab w:val="left" w:pos="720"/>
        </w:tabs>
        <w:ind w:left="720"/>
        <w:rPr>
          <w:rFonts w:ascii="Times New Roman" w:hAnsi="Times New Roman"/>
          <w:sz w:val="20"/>
          <w:lang w:val="pt-BR"/>
        </w:rPr>
      </w:pPr>
      <w:r>
        <w:rPr>
          <w:rStyle w:val="FootnoteReference"/>
          <w:rFonts w:ascii="Times New Roman" w:hAnsi="Times New Roman"/>
          <w:sz w:val="20"/>
        </w:rPr>
        <w:footnoteRef/>
      </w:r>
      <w:r>
        <w:rPr>
          <w:rFonts w:ascii="Times New Roman" w:hAnsi="Times New Roman"/>
          <w:sz w:val="20"/>
          <w:lang w:val="pt-BR"/>
        </w:rPr>
        <w:t xml:space="preserve">. </w:t>
      </w:r>
      <w:r>
        <w:rPr>
          <w:rFonts w:ascii="Times New Roman" w:hAnsi="Times New Roman"/>
          <w:sz w:val="20"/>
          <w:lang w:val="pt-BR"/>
        </w:rPr>
        <w:tab/>
        <w:t>Os Estados Unidos observam que esta resolução faz referência a “direitos” que não existem no âmbito do Direito internacional consuetudinário ou em tratados nos quais os Estados Unidos sejam parte. (...)</w:t>
      </w:r>
    </w:p>
  </w:footnote>
  <w:footnote w:id="79">
    <w:p w14:paraId="620BBE88" w14:textId="77777777" w:rsidR="000933AA" w:rsidRDefault="000933AA" w:rsidP="000933AA">
      <w:pPr>
        <w:pStyle w:val="FootnoteText"/>
        <w:tabs>
          <w:tab w:val="clear" w:pos="360"/>
          <w:tab w:val="left" w:pos="720"/>
        </w:tabs>
        <w:ind w:left="720"/>
        <w:rPr>
          <w:rFonts w:ascii="Times New Roman" w:hAnsi="Times New Roman"/>
          <w:sz w:val="20"/>
          <w:lang w:val="pt-BR"/>
        </w:rPr>
      </w:pPr>
      <w:r>
        <w:rPr>
          <w:rStyle w:val="FootnoteReference"/>
          <w:rFonts w:ascii="Times New Roman" w:hAnsi="Times New Roman"/>
          <w:sz w:val="20"/>
        </w:rPr>
        <w:footnoteRef/>
      </w:r>
      <w:r>
        <w:rPr>
          <w:rFonts w:ascii="Times New Roman" w:hAnsi="Times New Roman"/>
          <w:sz w:val="20"/>
          <w:lang w:val="pt-BR"/>
        </w:rPr>
        <w:t xml:space="preserve">. </w:t>
      </w:r>
      <w:r>
        <w:rPr>
          <w:rFonts w:ascii="Times New Roman" w:hAnsi="Times New Roman"/>
          <w:sz w:val="20"/>
          <w:lang w:val="pt-BR"/>
        </w:rPr>
        <w:tab/>
      </w:r>
      <w:r>
        <w:rPr>
          <w:rFonts w:ascii="Times New Roman" w:hAnsi="Times New Roman"/>
          <w:sz w:val="20"/>
          <w:lang w:val="pt-BR"/>
        </w:rPr>
        <w:t xml:space="preserve">Os Estados Unidos observam que o primeiro parágrafo preambular desta seção faz referência a “direitos” que não existem no Direito internacional consuetudinário ou nos tratados nos quais (...) </w:t>
      </w:r>
    </w:p>
  </w:footnote>
  <w:footnote w:id="80">
    <w:p w14:paraId="77994942" w14:textId="77777777" w:rsidR="000933AA" w:rsidRDefault="000933AA" w:rsidP="000933AA">
      <w:pPr>
        <w:pStyle w:val="FootnoteText"/>
        <w:tabs>
          <w:tab w:val="clear" w:pos="360"/>
          <w:tab w:val="left" w:pos="720"/>
        </w:tabs>
        <w:ind w:left="720"/>
        <w:rPr>
          <w:rFonts w:ascii="Times New Roman" w:hAnsi="Times New Roman"/>
          <w:sz w:val="20"/>
          <w:lang w:val="pt-BR"/>
        </w:rPr>
      </w:pPr>
      <w:r>
        <w:rPr>
          <w:rStyle w:val="FootnoteReference"/>
          <w:rFonts w:ascii="Times New Roman" w:hAnsi="Times New Roman"/>
          <w:sz w:val="20"/>
        </w:rPr>
        <w:footnoteRef/>
      </w:r>
      <w:r>
        <w:rPr>
          <w:rFonts w:ascii="Times New Roman" w:hAnsi="Times New Roman"/>
          <w:sz w:val="20"/>
          <w:lang w:val="pt-BR"/>
        </w:rPr>
        <w:t>.</w:t>
      </w:r>
      <w:r>
        <w:rPr>
          <w:rFonts w:ascii="Times New Roman" w:hAnsi="Times New Roman"/>
          <w:sz w:val="20"/>
          <w:lang w:val="pt-BR"/>
        </w:rPr>
        <w:tab/>
      </w:r>
      <w:r>
        <w:rPr>
          <w:rFonts w:ascii="Times New Roman" w:hAnsi="Times New Roman"/>
          <w:sz w:val="20"/>
          <w:lang w:val="pt-BR"/>
        </w:rPr>
        <w:t xml:space="preserve">Os Estados Unidos protegem e promovem os direitos da criança. No entanto, os Estados Unidos observam que os países têm uma ampla variedade de políticas e ações que podem ser (...) </w:t>
      </w:r>
    </w:p>
  </w:footnote>
  <w:footnote w:id="81">
    <w:p w14:paraId="4E9C71B8" w14:textId="77777777" w:rsidR="000933AA" w:rsidRDefault="000933AA" w:rsidP="000933AA">
      <w:pPr>
        <w:pStyle w:val="FootnoteText"/>
        <w:tabs>
          <w:tab w:val="clear" w:pos="360"/>
          <w:tab w:val="left" w:pos="720"/>
        </w:tabs>
        <w:ind w:left="720"/>
        <w:rPr>
          <w:rFonts w:ascii="Times New Roman" w:hAnsi="Times New Roman"/>
          <w:sz w:val="20"/>
          <w:lang w:val="pt-BR"/>
        </w:rPr>
      </w:pPr>
      <w:r>
        <w:rPr>
          <w:rStyle w:val="FootnoteReference"/>
          <w:rFonts w:ascii="Times New Roman" w:hAnsi="Times New Roman"/>
          <w:sz w:val="20"/>
        </w:rPr>
        <w:footnoteRef/>
      </w:r>
      <w:r>
        <w:rPr>
          <w:rFonts w:ascii="Times New Roman" w:hAnsi="Times New Roman"/>
          <w:sz w:val="20"/>
          <w:lang w:val="pt-BR"/>
        </w:rPr>
        <w:t>.</w:t>
      </w:r>
      <w:r>
        <w:rPr>
          <w:rFonts w:ascii="Times New Roman" w:hAnsi="Times New Roman"/>
          <w:sz w:val="20"/>
          <w:lang w:val="pt-BR"/>
        </w:rPr>
        <w:tab/>
      </w:r>
      <w:r>
        <w:rPr>
          <w:rFonts w:ascii="Times New Roman" w:hAnsi="Times New Roman"/>
          <w:sz w:val="20"/>
          <w:lang w:val="pt-BR"/>
        </w:rPr>
        <w:t xml:space="preserve">Os Estados Unidos não são parte na Convenção Internacional para a Proteção de Todas as Pessoas contra o Desaparecimento Forçado, nem da Convenção Interamericana sobre o (...) </w:t>
      </w:r>
    </w:p>
  </w:footnote>
  <w:footnote w:id="82">
    <w:p w14:paraId="62C38CB6" w14:textId="77777777" w:rsidR="000933AA" w:rsidRDefault="000933AA" w:rsidP="000933AA">
      <w:pPr>
        <w:tabs>
          <w:tab w:val="left" w:pos="360"/>
        </w:tabs>
        <w:ind w:left="720" w:hanging="720"/>
        <w:rPr>
          <w:rFonts w:ascii="Times New Roman" w:hAnsi="Times New Roman"/>
          <w:sz w:val="20"/>
          <w:lang w:val="pt-BR"/>
        </w:rPr>
      </w:pPr>
      <w:r>
        <w:rPr>
          <w:sz w:val="20"/>
          <w:lang w:val="pt-BR"/>
        </w:rPr>
        <w:tab/>
      </w:r>
      <w:r>
        <w:rPr>
          <w:rStyle w:val="FootnoteReference"/>
          <w:sz w:val="20"/>
        </w:rPr>
        <w:footnoteRef/>
      </w:r>
      <w:r>
        <w:rPr>
          <w:sz w:val="20"/>
          <w:lang w:val="pt-BR"/>
        </w:rPr>
        <w:t>.</w:t>
      </w:r>
      <w:r>
        <w:rPr>
          <w:sz w:val="20"/>
          <w:lang w:val="pt-BR"/>
        </w:rPr>
        <w:tab/>
      </w:r>
      <w:r>
        <w:rPr>
          <w:bCs/>
          <w:color w:val="000000"/>
          <w:sz w:val="20"/>
          <w:shd w:val="clear" w:color="auto" w:fill="FFFFFF"/>
          <w:lang w:val="pt-BR"/>
        </w:rPr>
        <w:t xml:space="preserve">O Brasil acompanha o consenso com base no entendimento de que a expressão "direitos ambientais", conquanto não presente no Protocolo de São Salvador, refere-se às obrigações dos Estados (...) </w:t>
      </w:r>
    </w:p>
  </w:footnote>
  <w:footnote w:id="83">
    <w:p w14:paraId="02FA1F67" w14:textId="77777777" w:rsidR="000933AA" w:rsidRDefault="000933AA" w:rsidP="000933AA">
      <w:pPr>
        <w:pStyle w:val="FootnoteText"/>
        <w:ind w:left="720" w:hanging="720"/>
        <w:rPr>
          <w:rFonts w:ascii="Times New Roman" w:hAnsi="Times New Roman"/>
          <w:sz w:val="20"/>
          <w:lang w:val="pt-BR"/>
        </w:rPr>
      </w:pPr>
      <w:r>
        <w:rPr>
          <w:rFonts w:ascii="Times New Roman" w:hAnsi="Times New Roman"/>
          <w:sz w:val="20"/>
          <w:lang w:val="pt-BR"/>
        </w:rPr>
        <w:tab/>
      </w:r>
      <w:r>
        <w:rPr>
          <w:lang w:val="pt-BR"/>
        </w:rPr>
        <w:footnoteRef/>
      </w:r>
      <w:r>
        <w:rPr>
          <w:rFonts w:ascii="Times New Roman" w:hAnsi="Times New Roman"/>
          <w:sz w:val="20"/>
          <w:lang w:val="pt-BR"/>
        </w:rPr>
        <w:t xml:space="preserve">. </w:t>
      </w:r>
      <w:r>
        <w:rPr>
          <w:rFonts w:ascii="Times New Roman" w:hAnsi="Times New Roman"/>
          <w:sz w:val="20"/>
          <w:lang w:val="pt-BR"/>
        </w:rPr>
        <w:tab/>
      </w:r>
      <w:r>
        <w:rPr>
          <w:rFonts w:ascii="Times New Roman" w:hAnsi="Times New Roman"/>
          <w:sz w:val="20"/>
          <w:lang w:val="pt-BR"/>
        </w:rPr>
        <w:t>A Costa Rica faz constar sua posição em relação ao parágrafo preambular 6</w:t>
      </w:r>
      <w:r w:rsidRPr="00F17B15">
        <w:rPr>
          <w:rFonts w:ascii="Times New Roman" w:hAnsi="Times New Roman"/>
          <w:sz w:val="20"/>
          <w:vertAlign w:val="superscript"/>
          <w:lang w:val="pt-BR"/>
        </w:rPr>
        <w:t>o</w:t>
      </w:r>
      <w:r>
        <w:rPr>
          <w:rFonts w:ascii="Times New Roman" w:hAnsi="Times New Roman"/>
          <w:sz w:val="20"/>
          <w:lang w:val="pt-BR"/>
        </w:rPr>
        <w:t xml:space="preserve"> desta seção. Na Costa Rica, a liberdade de culto está garantida no artigo 75 da Constituição Política e na (...) </w:t>
      </w:r>
    </w:p>
  </w:footnote>
  <w:footnote w:id="84">
    <w:p w14:paraId="50935A81" w14:textId="77777777" w:rsidR="000933AA" w:rsidRDefault="000933AA" w:rsidP="000933AA">
      <w:pPr>
        <w:pStyle w:val="FootnoteText"/>
        <w:ind w:left="720" w:hanging="720"/>
        <w:rPr>
          <w:rFonts w:ascii="Times New Roman" w:hAnsi="Times New Roman"/>
          <w:sz w:val="20"/>
          <w:lang w:val="pt-BR"/>
        </w:rPr>
      </w:pPr>
      <w:r>
        <w:rPr>
          <w:rFonts w:ascii="Times New Roman" w:hAnsi="Times New Roman"/>
          <w:sz w:val="20"/>
          <w:lang w:val="pt-BR"/>
        </w:rPr>
        <w:tab/>
      </w:r>
      <w:r>
        <w:rPr>
          <w:rStyle w:val="FootnoteReference"/>
          <w:rFonts w:ascii="Times New Roman" w:hAnsi="Times New Roman"/>
          <w:sz w:val="20"/>
        </w:rPr>
        <w:footnoteRef/>
      </w:r>
      <w:r>
        <w:rPr>
          <w:rFonts w:ascii="Times New Roman" w:hAnsi="Times New Roman"/>
          <w:sz w:val="20"/>
          <w:lang w:val="pt-BR"/>
        </w:rPr>
        <w:t xml:space="preserve">. </w:t>
      </w:r>
      <w:r>
        <w:rPr>
          <w:rFonts w:ascii="Times New Roman" w:hAnsi="Times New Roman"/>
          <w:sz w:val="20"/>
          <w:lang w:val="pt-BR"/>
        </w:rPr>
        <w:tab/>
      </w:r>
      <w:r>
        <w:rPr>
          <w:rFonts w:ascii="Times New Roman" w:hAnsi="Times New Roman"/>
          <w:sz w:val="20"/>
          <w:lang w:val="pt-BR"/>
        </w:rPr>
        <w:t>A Delegação da Bolívia soma-se ao consenso da resolução, fazendo notar que considera que esse é um reflexo adequado do Direito internacional dos direitos humanos, sem que signifique a (...)</w:t>
      </w:r>
    </w:p>
  </w:footnote>
  <w:footnote w:id="85">
    <w:p w14:paraId="4003E786" w14:textId="77777777" w:rsidR="000933AA" w:rsidRDefault="000933AA" w:rsidP="000933AA">
      <w:pPr>
        <w:ind w:left="720" w:hanging="360"/>
        <w:rPr>
          <w:rFonts w:ascii="Times New Roman" w:hAnsi="Times New Roman"/>
          <w:b/>
          <w:bCs/>
          <w:i/>
          <w:iCs/>
          <w:color w:val="1F497D"/>
          <w:sz w:val="20"/>
          <w:lang w:val="pt-BR"/>
        </w:rPr>
      </w:pPr>
      <w:r>
        <w:rPr>
          <w:rStyle w:val="FootnoteReference"/>
          <w:sz w:val="20"/>
        </w:rPr>
        <w:footnoteRef/>
      </w:r>
      <w:r>
        <w:rPr>
          <w:sz w:val="20"/>
          <w:lang w:val="pt-BR"/>
        </w:rPr>
        <w:t xml:space="preserve">. </w:t>
      </w:r>
      <w:r>
        <w:rPr>
          <w:sz w:val="20"/>
          <w:lang w:val="pt-BR"/>
        </w:rPr>
        <w:tab/>
      </w:r>
      <w:r>
        <w:rPr>
          <w:bCs/>
          <w:iCs/>
          <w:sz w:val="20"/>
          <w:lang w:val="pt-BR"/>
        </w:rPr>
        <w:t>O Estado da Guatemala declara que promove e defende os direitos humanos reconhecidos nos pactos internacionais, para todos os seus cidadãos, ao amparo do contemplado na Constituição Política (...)</w:t>
      </w:r>
    </w:p>
  </w:footnote>
  <w:footnote w:id="86">
    <w:p w14:paraId="70D5D64B" w14:textId="77777777" w:rsidR="000933AA" w:rsidRDefault="000933AA" w:rsidP="000933AA">
      <w:pPr>
        <w:ind w:left="720" w:hanging="360"/>
        <w:rPr>
          <w:bCs/>
          <w:iCs/>
          <w:sz w:val="20"/>
          <w:lang w:val="pt-BR"/>
        </w:rPr>
      </w:pPr>
      <w:r>
        <w:rPr>
          <w:rStyle w:val="FootnoteReference"/>
          <w:sz w:val="20"/>
        </w:rPr>
        <w:footnoteRef/>
      </w:r>
      <w:r>
        <w:rPr>
          <w:sz w:val="20"/>
          <w:lang w:val="pt-BR"/>
        </w:rPr>
        <w:t xml:space="preserve">. </w:t>
      </w:r>
      <w:r>
        <w:rPr>
          <w:sz w:val="20"/>
          <w:lang w:val="pt-BR"/>
        </w:rPr>
        <w:tab/>
      </w:r>
      <w:r>
        <w:rPr>
          <w:sz w:val="20"/>
          <w:lang w:val="pt-BR"/>
        </w:rPr>
        <w:t xml:space="preserve">Os Estados Unidos compreendem que os esforços para erradicar o racismo e a discriminação devem ser coerentes com as obrigações e compromissos internacionais dos Estados em matéria de (...) </w:t>
      </w:r>
    </w:p>
  </w:footnote>
  <w:footnote w:id="87">
    <w:p w14:paraId="568AFA8C" w14:textId="77777777" w:rsidR="000933AA" w:rsidRDefault="000933AA" w:rsidP="000933AA">
      <w:pPr>
        <w:pStyle w:val="FootnoteText"/>
        <w:ind w:left="720" w:hanging="720"/>
        <w:rPr>
          <w:rFonts w:ascii="Times New Roman" w:hAnsi="Times New Roman"/>
          <w:sz w:val="20"/>
          <w:lang w:val="pt-BR"/>
        </w:rPr>
      </w:pPr>
      <w:r>
        <w:rPr>
          <w:rFonts w:ascii="Times New Roman" w:hAnsi="Times New Roman"/>
          <w:sz w:val="20"/>
          <w:lang w:val="pt-BR"/>
        </w:rPr>
        <w:tab/>
      </w:r>
      <w:r>
        <w:rPr>
          <w:rStyle w:val="FootnoteReference"/>
          <w:rFonts w:ascii="Times New Roman" w:hAnsi="Times New Roman"/>
          <w:sz w:val="20"/>
        </w:rPr>
        <w:footnoteRef/>
      </w:r>
      <w:r>
        <w:rPr>
          <w:rFonts w:ascii="Times New Roman" w:hAnsi="Times New Roman"/>
          <w:sz w:val="20"/>
          <w:lang w:val="pt-BR"/>
        </w:rPr>
        <w:t>.</w:t>
      </w:r>
      <w:r>
        <w:rPr>
          <w:rFonts w:ascii="Times New Roman" w:hAnsi="Times New Roman"/>
          <w:sz w:val="20"/>
          <w:lang w:val="pt-BR"/>
        </w:rPr>
        <w:tab/>
      </w:r>
      <w:r>
        <w:rPr>
          <w:rFonts w:ascii="Times New Roman" w:hAnsi="Times New Roman"/>
          <w:sz w:val="20"/>
          <w:lang w:val="pt-BR"/>
        </w:rPr>
        <w:t xml:space="preserve">Nos Estados Unidos, os réus acusados de delitos ou contravenções que possam resultar em pena de encarceramento e os réus menores de idade têm direito de que lhes seja designado um (...) </w:t>
      </w:r>
    </w:p>
  </w:footnote>
  <w:footnote w:id="88">
    <w:p w14:paraId="2CBABE14" w14:textId="77777777" w:rsidR="000933AA" w:rsidRDefault="000933AA" w:rsidP="000933AA">
      <w:pPr>
        <w:pStyle w:val="FootnoteText"/>
        <w:ind w:left="720" w:hanging="720"/>
        <w:rPr>
          <w:rFonts w:ascii="Times New Roman" w:hAnsi="Times New Roman"/>
          <w:sz w:val="20"/>
          <w:lang w:val="pt-BR"/>
        </w:rPr>
      </w:pPr>
      <w:r>
        <w:rPr>
          <w:rFonts w:ascii="Times New Roman" w:hAnsi="Times New Roman"/>
          <w:sz w:val="20"/>
          <w:lang w:val="pt-BR"/>
        </w:rPr>
        <w:tab/>
      </w:r>
      <w:r>
        <w:rPr>
          <w:rStyle w:val="FootnoteReference"/>
          <w:rFonts w:ascii="Times New Roman" w:hAnsi="Times New Roman"/>
          <w:sz w:val="20"/>
        </w:rPr>
        <w:footnoteRef/>
      </w:r>
      <w:r>
        <w:rPr>
          <w:rFonts w:ascii="Times New Roman" w:hAnsi="Times New Roman"/>
          <w:sz w:val="20"/>
          <w:lang w:val="pt-BR"/>
        </w:rPr>
        <w:t>.</w:t>
      </w:r>
      <w:r>
        <w:rPr>
          <w:rFonts w:ascii="Times New Roman" w:hAnsi="Times New Roman"/>
          <w:sz w:val="20"/>
          <w:lang w:val="pt-BR"/>
        </w:rPr>
        <w:tab/>
      </w:r>
      <w:r>
        <w:rPr>
          <w:rFonts w:ascii="Times New Roman" w:hAnsi="Times New Roman"/>
          <w:iCs/>
          <w:color w:val="000000"/>
          <w:sz w:val="20"/>
          <w:lang w:val="pt-BR"/>
        </w:rPr>
        <w:t>Em relação ao parágrafo resolutivo 3</w:t>
      </w:r>
      <w:r w:rsidRPr="00F17B15">
        <w:rPr>
          <w:rFonts w:ascii="Times New Roman" w:hAnsi="Times New Roman"/>
          <w:iCs/>
          <w:color w:val="000000"/>
          <w:sz w:val="20"/>
          <w:vertAlign w:val="superscript"/>
          <w:lang w:val="pt-BR"/>
        </w:rPr>
        <w:t>o</w:t>
      </w:r>
      <w:r>
        <w:rPr>
          <w:rFonts w:ascii="Times New Roman" w:hAnsi="Times New Roman"/>
          <w:iCs/>
          <w:color w:val="000000"/>
          <w:sz w:val="20"/>
          <w:lang w:val="pt-BR"/>
        </w:rPr>
        <w:t xml:space="preserve"> desta </w:t>
      </w:r>
      <w:r>
        <w:rPr>
          <w:rStyle w:val="gmaildefault"/>
          <w:rFonts w:ascii="Times New Roman" w:hAnsi="Times New Roman"/>
          <w:iCs/>
          <w:color w:val="000000"/>
          <w:sz w:val="20"/>
          <w:lang w:val="pt-BR"/>
        </w:rPr>
        <w:t>seção</w:t>
      </w:r>
      <w:r>
        <w:rPr>
          <w:rFonts w:ascii="Times New Roman" w:hAnsi="Times New Roman"/>
          <w:iCs/>
          <w:color w:val="000000"/>
          <w:sz w:val="20"/>
          <w:lang w:val="pt-BR"/>
        </w:rPr>
        <w:t xml:space="preserve">, a República do Chile não subscreveu o Acordo Regional sobre Acesso à Informação, Participação Pública e Acesso à Justiça em Assuntos (...) </w:t>
      </w:r>
    </w:p>
  </w:footnote>
  <w:footnote w:id="89">
    <w:p w14:paraId="131ACA5A" w14:textId="5FD71969" w:rsidR="000933AA" w:rsidRDefault="000933AA" w:rsidP="000933AA">
      <w:pPr>
        <w:autoSpaceDE w:val="0"/>
        <w:autoSpaceDN w:val="0"/>
        <w:adjustRightInd w:val="0"/>
        <w:ind w:left="720" w:hanging="360"/>
        <w:rPr>
          <w:rFonts w:ascii="Times New Roman" w:hAnsi="Times New Roman"/>
          <w:color w:val="0000FF"/>
          <w:sz w:val="20"/>
          <w:lang w:val="pt-BR" w:eastAsia="es-MX"/>
        </w:rPr>
      </w:pPr>
      <w:r>
        <w:rPr>
          <w:rStyle w:val="FootnoteReference"/>
          <w:sz w:val="20"/>
        </w:rPr>
        <w:footnoteRef/>
      </w:r>
      <w:r>
        <w:rPr>
          <w:sz w:val="20"/>
        </w:rPr>
        <w:t>.</w:t>
      </w:r>
      <w:r>
        <w:rPr>
          <w:sz w:val="20"/>
        </w:rPr>
        <w:tab/>
      </w:r>
      <w:proofErr w:type="spellStart"/>
      <w:r>
        <w:rPr>
          <w:sz w:val="20"/>
        </w:rPr>
        <w:t>Relatório</w:t>
      </w:r>
      <w:proofErr w:type="spellEnd"/>
      <w:r>
        <w:rPr>
          <w:color w:val="000000"/>
          <w:sz w:val="20"/>
          <w:lang w:eastAsia="es-MX"/>
        </w:rPr>
        <w:t xml:space="preserve"> </w:t>
      </w:r>
      <w:r>
        <w:rPr>
          <w:i/>
          <w:iCs/>
          <w:color w:val="000000"/>
          <w:sz w:val="20"/>
          <w:lang w:eastAsia="es-MX"/>
        </w:rPr>
        <w:t>Tendencias globale</w:t>
      </w:r>
      <w:r w:rsidR="00BC49C0">
        <w:rPr>
          <w:i/>
          <w:iCs/>
          <w:color w:val="000000"/>
          <w:sz w:val="20"/>
          <w:lang w:eastAsia="es-MX"/>
        </w:rPr>
        <w:t>s: D</w:t>
      </w:r>
      <w:r>
        <w:rPr>
          <w:i/>
          <w:iCs/>
          <w:color w:val="000000"/>
          <w:sz w:val="20"/>
          <w:lang w:eastAsia="es-MX"/>
        </w:rPr>
        <w:t>esplazamiento forzado en 2019</w:t>
      </w:r>
      <w:r>
        <w:rPr>
          <w:color w:val="000000"/>
          <w:sz w:val="20"/>
          <w:lang w:eastAsia="es-MX"/>
        </w:rPr>
        <w:t xml:space="preserve">, p. 75, ACNUR. </w:t>
      </w:r>
      <w:r>
        <w:rPr>
          <w:color w:val="000000"/>
          <w:sz w:val="20"/>
          <w:lang w:val="pt-BR" w:eastAsia="es-MX"/>
        </w:rPr>
        <w:t xml:space="preserve">Disponível em: </w:t>
      </w:r>
      <w:r>
        <w:rPr>
          <w:color w:val="0000FF"/>
          <w:sz w:val="20"/>
          <w:u w:val="single"/>
          <w:lang w:val="pt-BR" w:eastAsia="es-MX"/>
        </w:rPr>
        <w:t>https://www.acnur.org/5eeaf5664.pdf</w:t>
      </w:r>
      <w:r>
        <w:rPr>
          <w:color w:val="0000FF"/>
          <w:sz w:val="20"/>
          <w:lang w:val="pt-BR" w:eastAsia="es-MX"/>
        </w:rPr>
        <w:t>.</w:t>
      </w:r>
    </w:p>
  </w:footnote>
  <w:footnote w:id="90">
    <w:p w14:paraId="05D1A44F" w14:textId="77777777" w:rsidR="000933AA" w:rsidRDefault="000933AA" w:rsidP="000933AA">
      <w:pPr>
        <w:autoSpaceDE w:val="0"/>
        <w:autoSpaceDN w:val="0"/>
        <w:adjustRightInd w:val="0"/>
        <w:ind w:left="720" w:hanging="360"/>
        <w:rPr>
          <w:sz w:val="20"/>
          <w:lang w:val="pt-BR"/>
        </w:rPr>
      </w:pPr>
      <w:r>
        <w:rPr>
          <w:rStyle w:val="FootnoteReference"/>
          <w:sz w:val="20"/>
        </w:rPr>
        <w:footnoteRef/>
      </w:r>
      <w:r>
        <w:rPr>
          <w:sz w:val="20"/>
          <w:lang w:val="pt-BR"/>
        </w:rPr>
        <w:t>.</w:t>
      </w:r>
      <w:r>
        <w:rPr>
          <w:sz w:val="20"/>
          <w:lang w:val="pt-BR"/>
        </w:rPr>
        <w:tab/>
        <w:t xml:space="preserve">Os Estados Unidos recordam que essas medidas devem ser coerentes com as obrigações e compromissos dos Estados em matéria de direitos humanos, inclusive no que diz respeito à (...) </w:t>
      </w:r>
    </w:p>
  </w:footnote>
  <w:footnote w:id="91">
    <w:p w14:paraId="5699145C" w14:textId="77777777" w:rsidR="000933AA" w:rsidRDefault="000933AA" w:rsidP="000933AA">
      <w:pPr>
        <w:pStyle w:val="FootnoteText"/>
        <w:ind w:left="720" w:hanging="720"/>
        <w:rPr>
          <w:rFonts w:ascii="Times New Roman" w:hAnsi="Times New Roman"/>
          <w:sz w:val="20"/>
          <w:lang w:val="pt-BR"/>
        </w:rPr>
      </w:pPr>
      <w:r>
        <w:rPr>
          <w:rFonts w:ascii="Times New Roman" w:hAnsi="Times New Roman"/>
          <w:sz w:val="20"/>
          <w:lang w:val="pt-PT"/>
        </w:rPr>
        <w:tab/>
      </w:r>
      <w:r>
        <w:rPr>
          <w:rFonts w:ascii="Times New Roman" w:hAnsi="Times New Roman"/>
          <w:sz w:val="20"/>
          <w:lang w:val="pt-PT"/>
        </w:rPr>
        <w:footnoteRef/>
      </w:r>
      <w:r>
        <w:rPr>
          <w:rFonts w:ascii="Times New Roman" w:hAnsi="Times New Roman"/>
          <w:sz w:val="20"/>
          <w:lang w:val="pt-PT"/>
        </w:rPr>
        <w:t xml:space="preserve">. </w:t>
      </w:r>
      <w:r>
        <w:rPr>
          <w:rFonts w:ascii="Times New Roman" w:hAnsi="Times New Roman"/>
          <w:sz w:val="20"/>
          <w:lang w:val="pt-PT"/>
        </w:rPr>
        <w:tab/>
        <w:t xml:space="preserve">O Governo da Jamaica reitera o seu compromisso de respeitar e promover os direitos humanos e de proteger e defender os direitos humanos de todos os seus cidadãos, inclusive contra qualquer (...) </w:t>
      </w:r>
    </w:p>
  </w:footnote>
  <w:footnote w:id="92">
    <w:p w14:paraId="49AEE6F6" w14:textId="77777777" w:rsidR="000933AA" w:rsidRDefault="000933AA" w:rsidP="000933AA">
      <w:pPr>
        <w:pStyle w:val="FootnoteText"/>
        <w:ind w:left="720" w:hanging="720"/>
        <w:rPr>
          <w:rFonts w:ascii="Times New Roman" w:hAnsi="Times New Roman"/>
          <w:sz w:val="20"/>
          <w:lang w:val="pt-BR"/>
        </w:rPr>
      </w:pPr>
      <w:r>
        <w:rPr>
          <w:rFonts w:ascii="Times New Roman" w:hAnsi="Times New Roman"/>
          <w:sz w:val="20"/>
          <w:lang w:val="pt-BR"/>
        </w:rPr>
        <w:tab/>
      </w:r>
      <w:r>
        <w:rPr>
          <w:rStyle w:val="FootnoteReference"/>
          <w:rFonts w:ascii="Times New Roman" w:hAnsi="Times New Roman"/>
          <w:sz w:val="20"/>
        </w:rPr>
        <w:footnoteRef/>
      </w:r>
      <w:r>
        <w:rPr>
          <w:rFonts w:ascii="Times New Roman" w:hAnsi="Times New Roman"/>
          <w:sz w:val="20"/>
          <w:lang w:val="pt-BR"/>
        </w:rPr>
        <w:t xml:space="preserve">. </w:t>
      </w:r>
      <w:r>
        <w:rPr>
          <w:rFonts w:ascii="Times New Roman" w:hAnsi="Times New Roman"/>
          <w:sz w:val="20"/>
          <w:lang w:val="pt-BR"/>
        </w:rPr>
        <w:tab/>
      </w:r>
      <w:r>
        <w:rPr>
          <w:rFonts w:ascii="Times New Roman" w:hAnsi="Times New Roman"/>
          <w:sz w:val="20"/>
          <w:lang w:val="pt-PT"/>
        </w:rPr>
        <w:t xml:space="preserve">Trinidad e Tobago não pode associar-se ao consenso nesta seção devido a um conflito com a legislação interna em vigor. O Governo de Trinidad e Tobago continua firmemente (...) </w:t>
      </w:r>
    </w:p>
  </w:footnote>
  <w:footnote w:id="93">
    <w:p w14:paraId="55DF4787" w14:textId="77777777" w:rsidR="000933AA" w:rsidRDefault="000933AA" w:rsidP="000933AA">
      <w:pPr>
        <w:pStyle w:val="FootnoteText"/>
        <w:ind w:left="720" w:hanging="720"/>
        <w:rPr>
          <w:rFonts w:ascii="Times New Roman" w:hAnsi="Times New Roman"/>
          <w:sz w:val="20"/>
          <w:lang w:val="pt-BR"/>
        </w:rPr>
      </w:pPr>
      <w:r>
        <w:rPr>
          <w:rFonts w:ascii="Times New Roman" w:hAnsi="Times New Roman"/>
          <w:sz w:val="20"/>
          <w:lang w:val="pt-BR"/>
        </w:rPr>
        <w:tab/>
      </w:r>
      <w:r>
        <w:rPr>
          <w:rStyle w:val="FootnoteReference"/>
          <w:rFonts w:ascii="Times New Roman" w:hAnsi="Times New Roman"/>
          <w:sz w:val="20"/>
        </w:rPr>
        <w:footnoteRef/>
      </w:r>
      <w:r>
        <w:rPr>
          <w:rFonts w:ascii="Times New Roman" w:hAnsi="Times New Roman"/>
          <w:sz w:val="20"/>
          <w:lang w:val="pt-BR"/>
        </w:rPr>
        <w:t xml:space="preserve">. </w:t>
      </w:r>
      <w:r>
        <w:rPr>
          <w:rFonts w:ascii="Times New Roman" w:hAnsi="Times New Roman"/>
          <w:sz w:val="20"/>
          <w:lang w:val="pt-BR"/>
        </w:rPr>
        <w:tab/>
      </w:r>
      <w:r>
        <w:rPr>
          <w:rFonts w:ascii="Times New Roman" w:hAnsi="Times New Roman"/>
          <w:sz w:val="20"/>
          <w:shd w:val="clear" w:color="auto" w:fill="FFFFFF"/>
          <w:lang w:val="pt-BR"/>
        </w:rPr>
        <w:t xml:space="preserve">A República do Paraguai reitera seu compromisso com os princípios da Declaração Universal dos Direitos Humanos e convenções internacionais subscritas sobre a matéria, reafirmando os (...) </w:t>
      </w:r>
    </w:p>
  </w:footnote>
  <w:footnote w:id="94">
    <w:p w14:paraId="71C7EFEA" w14:textId="77777777" w:rsidR="000933AA" w:rsidRDefault="000933AA" w:rsidP="000933AA">
      <w:pPr>
        <w:pStyle w:val="FootnoteText"/>
        <w:ind w:left="720" w:hanging="720"/>
        <w:rPr>
          <w:rFonts w:ascii="Times New Roman" w:hAnsi="Times New Roman"/>
          <w:sz w:val="20"/>
          <w:lang w:val="pt-BR"/>
        </w:rPr>
      </w:pPr>
      <w:r>
        <w:rPr>
          <w:rFonts w:ascii="Times New Roman" w:hAnsi="Times New Roman"/>
          <w:sz w:val="20"/>
          <w:lang w:val="pt-BR"/>
        </w:rPr>
        <w:tab/>
      </w:r>
      <w:r>
        <w:rPr>
          <w:rStyle w:val="FootnoteReference"/>
          <w:rFonts w:ascii="Times New Roman" w:hAnsi="Times New Roman"/>
          <w:sz w:val="20"/>
        </w:rPr>
        <w:footnoteRef/>
      </w:r>
      <w:r>
        <w:rPr>
          <w:rFonts w:ascii="Times New Roman" w:hAnsi="Times New Roman"/>
          <w:sz w:val="20"/>
          <w:lang w:val="pt-BR"/>
        </w:rPr>
        <w:t xml:space="preserve">. </w:t>
      </w:r>
      <w:r>
        <w:rPr>
          <w:rFonts w:ascii="Times New Roman" w:hAnsi="Times New Roman"/>
          <w:sz w:val="20"/>
          <w:lang w:val="pt-BR"/>
        </w:rPr>
        <w:tab/>
      </w:r>
      <w:r>
        <w:rPr>
          <w:rFonts w:ascii="Times New Roman" w:hAnsi="Times New Roman"/>
          <w:sz w:val="20"/>
          <w:lang w:val="pt-BR"/>
        </w:rPr>
        <w:t>O Governo de Santa Lúcia continua comprometido com suas obrigações nos termos da Declaração Universal dos Direitos Humanos e das convenções internacionais afins das quais Santa Lúcia (...)</w:t>
      </w:r>
    </w:p>
  </w:footnote>
  <w:footnote w:id="95">
    <w:p w14:paraId="1E4BD71A" w14:textId="77777777" w:rsidR="000933AA" w:rsidRDefault="000933AA" w:rsidP="000933AA">
      <w:pPr>
        <w:pStyle w:val="FootnoteText"/>
        <w:ind w:left="720" w:hanging="720"/>
        <w:rPr>
          <w:rFonts w:ascii="Times New Roman" w:hAnsi="Times New Roman"/>
          <w:sz w:val="20"/>
          <w:lang w:val="pt-BR"/>
        </w:rPr>
      </w:pPr>
      <w:r>
        <w:rPr>
          <w:rFonts w:ascii="Times New Roman" w:hAnsi="Times New Roman"/>
          <w:sz w:val="20"/>
          <w:lang w:val="pt-BR"/>
        </w:rPr>
        <w:tab/>
      </w:r>
      <w:r>
        <w:rPr>
          <w:rStyle w:val="FootnoteReference"/>
          <w:rFonts w:ascii="Times New Roman" w:hAnsi="Times New Roman"/>
          <w:sz w:val="20"/>
        </w:rPr>
        <w:footnoteRef/>
      </w:r>
      <w:r>
        <w:rPr>
          <w:rFonts w:ascii="Times New Roman" w:hAnsi="Times New Roman"/>
          <w:sz w:val="20"/>
          <w:lang w:val="pt-BR"/>
        </w:rPr>
        <w:t xml:space="preserve">. </w:t>
      </w:r>
      <w:r>
        <w:rPr>
          <w:rFonts w:ascii="Times New Roman" w:hAnsi="Times New Roman"/>
          <w:sz w:val="20"/>
          <w:lang w:val="pt-BR"/>
        </w:rPr>
        <w:tab/>
      </w:r>
      <w:r>
        <w:rPr>
          <w:rFonts w:ascii="Times New Roman" w:hAnsi="Times New Roman"/>
          <w:sz w:val="20"/>
          <w:lang w:val="pt-BR"/>
        </w:rPr>
        <w:t>Ver a nota de rodapé 10.</w:t>
      </w:r>
    </w:p>
  </w:footnote>
  <w:footnote w:id="96">
    <w:p w14:paraId="5E87B3EB" w14:textId="77777777" w:rsidR="000933AA" w:rsidRDefault="000933AA" w:rsidP="000933AA">
      <w:pPr>
        <w:pStyle w:val="FootnoteText"/>
        <w:ind w:left="720" w:hanging="720"/>
        <w:rPr>
          <w:rFonts w:ascii="Times New Roman" w:hAnsi="Times New Roman"/>
          <w:sz w:val="20"/>
          <w:lang w:val="pt-BR"/>
        </w:rPr>
      </w:pPr>
      <w:r>
        <w:rPr>
          <w:rFonts w:ascii="Times New Roman" w:hAnsi="Times New Roman"/>
          <w:sz w:val="20"/>
          <w:lang w:val="pt-BR"/>
        </w:rPr>
        <w:tab/>
      </w:r>
      <w:r>
        <w:rPr>
          <w:rStyle w:val="FootnoteReference"/>
          <w:rFonts w:ascii="Times New Roman" w:hAnsi="Times New Roman"/>
          <w:sz w:val="20"/>
        </w:rPr>
        <w:footnoteRef/>
      </w:r>
      <w:r>
        <w:rPr>
          <w:rFonts w:ascii="Times New Roman" w:hAnsi="Times New Roman"/>
          <w:sz w:val="20"/>
          <w:lang w:val="pt-BR"/>
        </w:rPr>
        <w:t xml:space="preserve">. </w:t>
      </w:r>
      <w:r>
        <w:rPr>
          <w:rFonts w:ascii="Times New Roman" w:hAnsi="Times New Roman"/>
          <w:sz w:val="20"/>
          <w:lang w:val="pt-BR"/>
        </w:rPr>
        <w:tab/>
      </w:r>
      <w:r>
        <w:rPr>
          <w:rFonts w:ascii="Times New Roman" w:hAnsi="Times New Roman"/>
          <w:sz w:val="20"/>
          <w:lang w:val="pt-BR"/>
        </w:rPr>
        <w:t>A República de Honduras declara o seu compromisso com os direitos humanos e com as convenções internacionais e, em relação às disposições constantes desta resolução, expressa sua reserva quanto (...)</w:t>
      </w:r>
    </w:p>
  </w:footnote>
  <w:footnote w:id="97">
    <w:p w14:paraId="170E3669" w14:textId="77777777" w:rsidR="000933AA" w:rsidRDefault="000933AA" w:rsidP="000933AA">
      <w:pPr>
        <w:ind w:left="720" w:hanging="360"/>
        <w:rPr>
          <w:rFonts w:ascii="Times New Roman" w:hAnsi="Times New Roman"/>
          <w:sz w:val="20"/>
          <w:lang w:val="pt-BR"/>
        </w:rPr>
      </w:pPr>
      <w:r>
        <w:rPr>
          <w:rStyle w:val="FootnoteReference"/>
          <w:sz w:val="20"/>
        </w:rPr>
        <w:footnoteRef/>
      </w:r>
      <w:r>
        <w:rPr>
          <w:sz w:val="20"/>
          <w:lang w:val="pt-BR"/>
        </w:rPr>
        <w:t xml:space="preserve">. </w:t>
      </w:r>
      <w:r>
        <w:rPr>
          <w:sz w:val="20"/>
          <w:lang w:val="pt-BR"/>
        </w:rPr>
        <w:tab/>
      </w:r>
      <w:r>
        <w:rPr>
          <w:sz w:val="20"/>
          <w:lang w:val="pt-BR"/>
        </w:rPr>
        <w:t xml:space="preserve">O Governo do Suriname permanece comprometido com a promoção e a defesa dos direitos humanos e das liberdades fundamentais para todos. Em conformidade com as disposições pertinentes de (...) </w:t>
      </w:r>
    </w:p>
  </w:footnote>
  <w:footnote w:id="98">
    <w:p w14:paraId="174A0D2C" w14:textId="77777777" w:rsidR="000933AA" w:rsidRPr="00B7196F" w:rsidRDefault="000933AA" w:rsidP="000933AA">
      <w:pPr>
        <w:pStyle w:val="FootnoteText"/>
        <w:ind w:left="720" w:hanging="720"/>
        <w:rPr>
          <w:rStyle w:val="FootnoteReference"/>
          <w:rFonts w:ascii="Times New Roman" w:hAnsi="Times New Roman"/>
          <w:lang w:val="pt-BR"/>
        </w:rPr>
      </w:pPr>
      <w:r>
        <w:rPr>
          <w:rFonts w:ascii="Times New Roman" w:hAnsi="Times New Roman"/>
          <w:sz w:val="20"/>
          <w:lang w:val="pt-BR"/>
        </w:rPr>
        <w:tab/>
      </w:r>
      <w:r>
        <w:rPr>
          <w:rFonts w:ascii="Times New Roman" w:hAnsi="Times New Roman"/>
          <w:sz w:val="20"/>
          <w:lang w:val="pt-BR"/>
        </w:rPr>
        <w:footnoteRef/>
      </w:r>
      <w:r>
        <w:rPr>
          <w:rFonts w:ascii="Times New Roman" w:hAnsi="Times New Roman"/>
          <w:sz w:val="20"/>
          <w:lang w:val="pt-BR"/>
        </w:rPr>
        <w:t>.</w:t>
      </w:r>
      <w:r>
        <w:rPr>
          <w:rFonts w:ascii="Times New Roman" w:hAnsi="Times New Roman"/>
          <w:sz w:val="20"/>
          <w:lang w:val="pt-BR"/>
        </w:rPr>
        <w:tab/>
      </w:r>
      <w:r>
        <w:rPr>
          <w:rFonts w:ascii="Times New Roman" w:hAnsi="Times New Roman"/>
          <w:sz w:val="20"/>
          <w:lang w:val="pt-BR"/>
        </w:rPr>
        <w:t>São Vicente e Granadinas não adere ao consenso sobre a aprovação desta seção da resolução. São Vicente e Granadinas promove e defende os direitos humanos e reafirma a igualdade de todos os (...)</w:t>
      </w:r>
    </w:p>
  </w:footnote>
  <w:footnote w:id="99">
    <w:p w14:paraId="0EE81F36" w14:textId="77777777" w:rsidR="000933AA" w:rsidRPr="00B7196F" w:rsidRDefault="000933AA" w:rsidP="000933AA">
      <w:pPr>
        <w:pStyle w:val="FootnoteText"/>
        <w:ind w:left="720" w:hanging="720"/>
        <w:rPr>
          <w:lang w:val="pt-BR"/>
        </w:rPr>
      </w:pPr>
      <w:r>
        <w:rPr>
          <w:rFonts w:ascii="Times New Roman" w:hAnsi="Times New Roman"/>
          <w:sz w:val="20"/>
          <w:lang w:val="pt-BR"/>
        </w:rPr>
        <w:tab/>
      </w:r>
      <w:r>
        <w:rPr>
          <w:rStyle w:val="FootnoteReference"/>
          <w:rFonts w:ascii="Times New Roman" w:hAnsi="Times New Roman"/>
          <w:sz w:val="20"/>
        </w:rPr>
        <w:footnoteRef/>
      </w:r>
      <w:r>
        <w:rPr>
          <w:rFonts w:ascii="Times New Roman" w:hAnsi="Times New Roman"/>
          <w:sz w:val="20"/>
          <w:lang w:val="pt-BR"/>
        </w:rPr>
        <w:t xml:space="preserve">. </w:t>
      </w:r>
      <w:r>
        <w:rPr>
          <w:rFonts w:ascii="Times New Roman" w:hAnsi="Times New Roman"/>
          <w:sz w:val="20"/>
          <w:lang w:val="pt-BR"/>
        </w:rPr>
        <w:tab/>
      </w:r>
      <w:r>
        <w:rPr>
          <w:rFonts w:ascii="Times New Roman" w:hAnsi="Times New Roman"/>
          <w:color w:val="000000"/>
          <w:sz w:val="20"/>
          <w:lang w:val="pt-BR"/>
        </w:rPr>
        <w:t>O Governo de Barbados declara que esta seção da resolução contém uma série de questões e termos que não são abordados nas leis nacionais nem têm o consenso nacional. Por esse motivo, Barbados (...)</w:t>
      </w:r>
    </w:p>
  </w:footnote>
  <w:footnote w:id="100">
    <w:p w14:paraId="7A02265E" w14:textId="77777777" w:rsidR="000933AA" w:rsidRDefault="000933AA" w:rsidP="000933AA">
      <w:pPr>
        <w:pStyle w:val="FootnoteText"/>
        <w:ind w:left="720" w:hanging="720"/>
        <w:rPr>
          <w:rFonts w:ascii="Times New Roman" w:hAnsi="Times New Roman"/>
          <w:sz w:val="20"/>
          <w:lang w:val="pt-BR"/>
        </w:rPr>
      </w:pPr>
      <w:r>
        <w:rPr>
          <w:rFonts w:ascii="Times New Roman" w:hAnsi="Times New Roman"/>
          <w:sz w:val="20"/>
          <w:lang w:val="pt-BR"/>
        </w:rPr>
        <w:tab/>
      </w:r>
      <w:r>
        <w:rPr>
          <w:rFonts w:ascii="Times New Roman" w:hAnsi="Times New Roman"/>
          <w:sz w:val="20"/>
          <w:lang w:val="pt-BR"/>
        </w:rPr>
        <w:footnoteRef/>
      </w:r>
      <w:r>
        <w:rPr>
          <w:rFonts w:ascii="Times New Roman" w:hAnsi="Times New Roman"/>
          <w:sz w:val="20"/>
          <w:lang w:val="pt-BR"/>
        </w:rPr>
        <w:t xml:space="preserve">. </w:t>
      </w:r>
      <w:r>
        <w:rPr>
          <w:rFonts w:ascii="Times New Roman" w:hAnsi="Times New Roman"/>
          <w:sz w:val="20"/>
          <w:lang w:val="pt-BR"/>
        </w:rPr>
        <w:tab/>
      </w:r>
      <w:r>
        <w:rPr>
          <w:rFonts w:ascii="Times New Roman" w:hAnsi="Times New Roman"/>
          <w:sz w:val="20"/>
          <w:lang w:val="pt-BR"/>
        </w:rPr>
        <w:t xml:space="preserve">O Governo da República do Paraguai não acompanha a “Declaração de São Domingos sobre igualdade e autonomia no exercício dos direitos políticos das mulheres para o fortalecimento (...) </w:t>
      </w:r>
    </w:p>
  </w:footnote>
  <w:footnote w:id="101">
    <w:p w14:paraId="3F86D67D" w14:textId="77777777" w:rsidR="000933AA" w:rsidRDefault="000933AA" w:rsidP="000933AA">
      <w:pPr>
        <w:pStyle w:val="FootnoteText"/>
        <w:ind w:left="720" w:hanging="720"/>
        <w:rPr>
          <w:rFonts w:ascii="Times New Roman" w:hAnsi="Times New Roman"/>
          <w:sz w:val="20"/>
          <w:lang w:val="pt-BR"/>
        </w:rPr>
      </w:pPr>
      <w:r>
        <w:rPr>
          <w:rFonts w:ascii="Times New Roman" w:hAnsi="Times New Roman"/>
          <w:sz w:val="20"/>
          <w:lang w:val="pt-BR"/>
        </w:rPr>
        <w:tab/>
      </w:r>
      <w:r>
        <w:rPr>
          <w:rStyle w:val="FootnoteReference"/>
          <w:rFonts w:ascii="Times New Roman" w:hAnsi="Times New Roman"/>
          <w:sz w:val="20"/>
        </w:rPr>
        <w:footnoteRef/>
      </w:r>
      <w:r>
        <w:rPr>
          <w:rFonts w:ascii="Times New Roman" w:hAnsi="Times New Roman"/>
          <w:sz w:val="20"/>
          <w:lang w:val="pt-BR"/>
        </w:rPr>
        <w:t xml:space="preserve">. </w:t>
      </w:r>
      <w:r>
        <w:rPr>
          <w:rFonts w:ascii="Times New Roman" w:hAnsi="Times New Roman"/>
          <w:sz w:val="20"/>
          <w:lang w:val="pt-BR"/>
        </w:rPr>
        <w:tab/>
      </w:r>
      <w:r>
        <w:rPr>
          <w:rFonts w:ascii="Times New Roman" w:hAnsi="Times New Roman"/>
          <w:sz w:val="20"/>
          <w:lang w:val="pt-BR"/>
        </w:rPr>
        <w:t>Ver a nota de rodapé 10.</w:t>
      </w:r>
    </w:p>
  </w:footnote>
  <w:footnote w:id="102">
    <w:p w14:paraId="32DF5A72" w14:textId="77777777" w:rsidR="000933AA" w:rsidRDefault="000933AA" w:rsidP="000933AA">
      <w:pPr>
        <w:pStyle w:val="FootnoteText"/>
        <w:ind w:left="720" w:hanging="720"/>
        <w:rPr>
          <w:rFonts w:ascii="Times New Roman" w:hAnsi="Times New Roman"/>
          <w:sz w:val="20"/>
          <w:lang w:val="pt-BR"/>
        </w:rPr>
      </w:pPr>
      <w:r>
        <w:rPr>
          <w:rFonts w:ascii="Times New Roman" w:hAnsi="Times New Roman"/>
          <w:sz w:val="20"/>
          <w:lang w:val="pt-BR"/>
        </w:rPr>
        <w:tab/>
      </w:r>
      <w:r>
        <w:rPr>
          <w:rFonts w:ascii="Times New Roman" w:hAnsi="Times New Roman"/>
          <w:sz w:val="20"/>
          <w:lang w:val="pt-BR"/>
        </w:rPr>
        <w:footnoteRef/>
      </w:r>
      <w:r>
        <w:rPr>
          <w:rFonts w:ascii="Times New Roman" w:hAnsi="Times New Roman"/>
          <w:sz w:val="20"/>
          <w:lang w:val="pt-BR"/>
        </w:rPr>
        <w:t xml:space="preserve">. </w:t>
      </w:r>
      <w:r>
        <w:rPr>
          <w:rFonts w:ascii="Times New Roman" w:hAnsi="Times New Roman"/>
          <w:sz w:val="20"/>
          <w:lang w:val="pt-BR"/>
        </w:rPr>
        <w:tab/>
      </w:r>
      <w:r>
        <w:rPr>
          <w:rFonts w:ascii="Times New Roman" w:hAnsi="Times New Roman"/>
          <w:sz w:val="20"/>
          <w:lang w:val="pt-BR"/>
        </w:rPr>
        <w:t>O Governo de Santa Lúcia apoia todos os esforços destinados à promoção da equidade e da igualdade de gênero, e dos direitos humanos de todas as mulheres e meninas, bem como da eliminação (...)</w:t>
      </w:r>
    </w:p>
    <w:p w14:paraId="3D9D8382" w14:textId="77777777" w:rsidR="000933AA" w:rsidRDefault="000933AA" w:rsidP="000933AA">
      <w:pPr>
        <w:pStyle w:val="FootnoteText"/>
        <w:ind w:left="720" w:hanging="720"/>
        <w:rPr>
          <w:rFonts w:ascii="Times New Roman" w:hAnsi="Times New Roman"/>
          <w:sz w:val="20"/>
          <w:lang w:val="pt-BR"/>
        </w:rPr>
      </w:pPr>
      <w:r>
        <w:rPr>
          <w:rFonts w:ascii="Times New Roman" w:hAnsi="Times New Roman"/>
          <w:sz w:val="20"/>
          <w:lang w:val="pt-BR"/>
        </w:rPr>
        <w:t xml:space="preserve"> </w:t>
      </w:r>
    </w:p>
  </w:footnote>
  <w:footnote w:id="103">
    <w:p w14:paraId="5ECADFA0" w14:textId="77777777" w:rsidR="000933AA" w:rsidRDefault="000933AA" w:rsidP="000933AA">
      <w:pPr>
        <w:pStyle w:val="FootnoteText"/>
        <w:ind w:left="720" w:hanging="720"/>
        <w:rPr>
          <w:rFonts w:ascii="Times New Roman" w:hAnsi="Times New Roman"/>
          <w:sz w:val="20"/>
          <w:lang w:val="pt-BR"/>
        </w:rPr>
      </w:pPr>
      <w:r>
        <w:rPr>
          <w:rFonts w:ascii="Times New Roman" w:hAnsi="Times New Roman"/>
          <w:sz w:val="20"/>
          <w:lang w:val="pt-BR"/>
        </w:rPr>
        <w:tab/>
      </w:r>
      <w:r>
        <w:rPr>
          <w:rStyle w:val="FootnoteReference"/>
          <w:rFonts w:ascii="Times New Roman" w:hAnsi="Times New Roman"/>
          <w:sz w:val="20"/>
        </w:rPr>
        <w:footnoteRef/>
      </w:r>
      <w:r>
        <w:rPr>
          <w:rFonts w:ascii="Times New Roman" w:hAnsi="Times New Roman"/>
          <w:sz w:val="20"/>
          <w:lang w:val="pt-BR"/>
        </w:rPr>
        <w:t>.</w:t>
      </w:r>
      <w:r>
        <w:rPr>
          <w:rFonts w:ascii="Times New Roman" w:hAnsi="Times New Roman"/>
          <w:sz w:val="20"/>
          <w:lang w:val="pt-BR"/>
        </w:rPr>
        <w:tab/>
      </w:r>
      <w:r>
        <w:rPr>
          <w:rFonts w:ascii="Times New Roman" w:hAnsi="Times New Roman"/>
          <w:sz w:val="20"/>
          <w:lang w:val="pt-BR"/>
        </w:rPr>
        <w:t xml:space="preserve">Os Estados Unidos não podem se associar a esta seção da resolução porque o país não é parte na Convenção de Belém do Pará. No entanto, os Estados Unidos continuam firmemente (...) </w:t>
      </w:r>
    </w:p>
  </w:footnote>
  <w:footnote w:id="104">
    <w:p w14:paraId="27F1EF51" w14:textId="77777777" w:rsidR="000933AA" w:rsidRDefault="000933AA" w:rsidP="000933AA">
      <w:pPr>
        <w:pStyle w:val="FootnoteText"/>
        <w:ind w:left="720" w:hanging="720"/>
        <w:rPr>
          <w:rFonts w:ascii="Times New Roman" w:hAnsi="Times New Roman"/>
          <w:sz w:val="20"/>
          <w:lang w:val="pt-BR"/>
        </w:rPr>
      </w:pPr>
      <w:r>
        <w:rPr>
          <w:rFonts w:ascii="Times New Roman" w:hAnsi="Times New Roman"/>
          <w:sz w:val="20"/>
          <w:lang w:val="pt-BR"/>
        </w:rPr>
        <w:tab/>
      </w:r>
      <w:r>
        <w:rPr>
          <w:rStyle w:val="FootnoteReference"/>
          <w:rFonts w:ascii="Times New Roman" w:hAnsi="Times New Roman"/>
          <w:sz w:val="20"/>
        </w:rPr>
        <w:footnoteRef/>
      </w:r>
      <w:r>
        <w:rPr>
          <w:rFonts w:ascii="Times New Roman" w:hAnsi="Times New Roman"/>
          <w:sz w:val="20"/>
          <w:lang w:val="pt-BR"/>
        </w:rPr>
        <w:t xml:space="preserve">. </w:t>
      </w:r>
      <w:r>
        <w:rPr>
          <w:rFonts w:ascii="Times New Roman" w:hAnsi="Times New Roman"/>
          <w:sz w:val="20"/>
          <w:lang w:val="pt-BR"/>
        </w:rPr>
        <w:tab/>
      </w:r>
      <w:r>
        <w:rPr>
          <w:rFonts w:ascii="Times New Roman" w:hAnsi="Times New Roman"/>
          <w:sz w:val="20"/>
          <w:lang w:val="pt-BR"/>
        </w:rPr>
        <w:t>Ver nota de rodapé 25.</w:t>
      </w:r>
    </w:p>
  </w:footnote>
  <w:footnote w:id="105">
    <w:p w14:paraId="0776C960" w14:textId="77777777" w:rsidR="000933AA" w:rsidRDefault="000933AA" w:rsidP="000933AA">
      <w:pPr>
        <w:pStyle w:val="FootnoteText"/>
        <w:ind w:left="720" w:hanging="720"/>
        <w:rPr>
          <w:rFonts w:ascii="Times New Roman" w:hAnsi="Times New Roman"/>
          <w:sz w:val="20"/>
          <w:lang w:val="pt-BR"/>
        </w:rPr>
      </w:pPr>
      <w:r>
        <w:rPr>
          <w:rFonts w:ascii="Times New Roman" w:hAnsi="Times New Roman"/>
          <w:sz w:val="20"/>
          <w:lang w:val="pt-BR"/>
        </w:rPr>
        <w:tab/>
      </w:r>
      <w:r>
        <w:rPr>
          <w:rStyle w:val="FootnoteReference"/>
          <w:rFonts w:ascii="Times New Roman" w:hAnsi="Times New Roman"/>
          <w:sz w:val="20"/>
        </w:rPr>
        <w:footnoteRef/>
      </w:r>
      <w:r>
        <w:rPr>
          <w:rFonts w:ascii="Times New Roman" w:hAnsi="Times New Roman"/>
          <w:sz w:val="20"/>
          <w:lang w:val="pt-BR"/>
        </w:rPr>
        <w:t xml:space="preserve">. </w:t>
      </w:r>
      <w:r>
        <w:rPr>
          <w:rFonts w:ascii="Times New Roman" w:hAnsi="Times New Roman"/>
          <w:sz w:val="20"/>
          <w:lang w:val="pt-BR"/>
        </w:rPr>
        <w:tab/>
      </w:r>
      <w:r>
        <w:rPr>
          <w:rFonts w:ascii="Times New Roman" w:hAnsi="Times New Roman"/>
          <w:sz w:val="20"/>
          <w:lang w:val="pt-BR"/>
        </w:rPr>
        <w:t>Ver nota de rodapé 10.</w:t>
      </w:r>
    </w:p>
  </w:footnote>
  <w:footnote w:id="106">
    <w:p w14:paraId="73181E45" w14:textId="77777777" w:rsidR="000933AA" w:rsidRDefault="000933AA" w:rsidP="000933AA">
      <w:pPr>
        <w:pStyle w:val="FootnoteText"/>
        <w:ind w:left="720" w:hanging="720"/>
        <w:rPr>
          <w:rFonts w:ascii="Times New Roman" w:hAnsi="Times New Roman"/>
          <w:sz w:val="20"/>
          <w:lang w:val="pt-BR"/>
        </w:rPr>
      </w:pPr>
      <w:r>
        <w:rPr>
          <w:rFonts w:ascii="Times New Roman" w:hAnsi="Times New Roman"/>
          <w:sz w:val="20"/>
          <w:lang w:val="pt-BR"/>
        </w:rPr>
        <w:tab/>
      </w:r>
      <w:r>
        <w:rPr>
          <w:rFonts w:ascii="Times New Roman" w:hAnsi="Times New Roman"/>
          <w:sz w:val="20"/>
          <w:lang w:val="pt-BR"/>
        </w:rPr>
        <w:footnoteRef/>
      </w:r>
      <w:r>
        <w:rPr>
          <w:rFonts w:ascii="Times New Roman" w:hAnsi="Times New Roman"/>
          <w:sz w:val="20"/>
          <w:lang w:val="pt-BR"/>
        </w:rPr>
        <w:t xml:space="preserve">. </w:t>
      </w:r>
      <w:r>
        <w:rPr>
          <w:rFonts w:ascii="Times New Roman" w:hAnsi="Times New Roman"/>
          <w:sz w:val="20"/>
          <w:lang w:val="pt-BR"/>
        </w:rPr>
        <w:tab/>
      </w:r>
      <w:r>
        <w:rPr>
          <w:rFonts w:ascii="Times New Roman" w:hAnsi="Times New Roman"/>
          <w:sz w:val="20"/>
          <w:lang w:val="pt-BR"/>
        </w:rPr>
        <w:t>O Governo de Santa Lúcia apoia todos os esforços que visem à prevenção, punição e erradicação da violência contra as mulheres. Santa Lúcia está comprometida com as suas obrigações emanadas (...)</w:t>
      </w:r>
    </w:p>
  </w:footnote>
  <w:footnote w:id="107">
    <w:p w14:paraId="7F4E3852" w14:textId="77777777" w:rsidR="000933AA" w:rsidRDefault="000933AA" w:rsidP="000933AA">
      <w:pPr>
        <w:pStyle w:val="FootnoteText"/>
        <w:ind w:left="720" w:hanging="720"/>
        <w:rPr>
          <w:rFonts w:ascii="Times New Roman" w:hAnsi="Times New Roman"/>
          <w:sz w:val="20"/>
          <w:lang w:val="pt-BR"/>
        </w:rPr>
      </w:pPr>
      <w:r>
        <w:rPr>
          <w:rFonts w:ascii="Times New Roman" w:hAnsi="Times New Roman"/>
          <w:sz w:val="20"/>
          <w:lang w:val="pt-BR"/>
        </w:rPr>
        <w:tab/>
      </w:r>
      <w:r>
        <w:rPr>
          <w:rStyle w:val="FootnoteReference"/>
          <w:rFonts w:ascii="Times New Roman" w:hAnsi="Times New Roman"/>
          <w:sz w:val="20"/>
        </w:rPr>
        <w:footnoteRef/>
      </w:r>
      <w:r>
        <w:rPr>
          <w:rFonts w:ascii="Times New Roman" w:hAnsi="Times New Roman"/>
          <w:sz w:val="20"/>
          <w:lang w:val="pt-BR"/>
        </w:rPr>
        <w:t xml:space="preserve">. </w:t>
      </w:r>
      <w:r>
        <w:rPr>
          <w:rFonts w:ascii="Times New Roman" w:hAnsi="Times New Roman"/>
          <w:sz w:val="20"/>
          <w:lang w:val="pt-BR"/>
        </w:rPr>
        <w:tab/>
      </w:r>
      <w:r>
        <w:rPr>
          <w:rFonts w:ascii="Times New Roman" w:hAnsi="Times New Roman"/>
          <w:sz w:val="20"/>
          <w:lang w:val="pt-BR"/>
        </w:rPr>
        <w:t xml:space="preserve">O México, como apresentador da seção “Acompanhamento da implementação da Declaração Americana sobre os Direitos dos Povos Indígenas e do Plano de Ação sobre a Declaração (...) </w:t>
      </w:r>
    </w:p>
  </w:footnote>
  <w:footnote w:id="108">
    <w:p w14:paraId="76D39A58" w14:textId="24A3668E" w:rsidR="000933AA" w:rsidRDefault="000933AA" w:rsidP="000933AA">
      <w:pPr>
        <w:pStyle w:val="FootnoteText"/>
        <w:ind w:left="720" w:hanging="720"/>
        <w:rPr>
          <w:rFonts w:ascii="Times New Roman" w:hAnsi="Times New Roman"/>
          <w:sz w:val="20"/>
          <w:lang w:val="pt-BR"/>
        </w:rPr>
      </w:pPr>
      <w:r>
        <w:rPr>
          <w:rFonts w:ascii="Times New Roman" w:hAnsi="Times New Roman"/>
          <w:sz w:val="20"/>
          <w:lang w:val="pt-BR"/>
        </w:rPr>
        <w:tab/>
      </w:r>
      <w:r>
        <w:rPr>
          <w:rStyle w:val="FootnoteReference"/>
          <w:rFonts w:ascii="Times New Roman" w:hAnsi="Times New Roman"/>
          <w:sz w:val="20"/>
        </w:rPr>
        <w:footnoteRef/>
      </w:r>
      <w:r>
        <w:rPr>
          <w:rFonts w:ascii="Times New Roman" w:hAnsi="Times New Roman"/>
          <w:sz w:val="20"/>
          <w:lang w:val="pt-BR"/>
        </w:rPr>
        <w:t xml:space="preserve">. </w:t>
      </w:r>
      <w:r>
        <w:rPr>
          <w:rFonts w:ascii="Times New Roman" w:hAnsi="Times New Roman"/>
          <w:sz w:val="20"/>
          <w:lang w:val="pt-BR"/>
        </w:rPr>
        <w:tab/>
      </w:r>
      <w:r>
        <w:rPr>
          <w:rFonts w:ascii="Times New Roman" w:hAnsi="Times New Roman"/>
          <w:sz w:val="20"/>
          <w:lang w:val="pt-BR"/>
        </w:rPr>
        <w:t xml:space="preserve">El Salvador é um país que se caracteriza por seu alto compromisso com os </w:t>
      </w:r>
      <w:r w:rsidR="007C16D2">
        <w:rPr>
          <w:rFonts w:ascii="Times New Roman" w:hAnsi="Times New Roman"/>
          <w:sz w:val="20"/>
          <w:lang w:val="pt-BR"/>
        </w:rPr>
        <w:t>direitos humanos</w:t>
      </w:r>
      <w:r>
        <w:rPr>
          <w:rFonts w:ascii="Times New Roman" w:hAnsi="Times New Roman"/>
          <w:sz w:val="20"/>
          <w:lang w:val="pt-BR"/>
        </w:rPr>
        <w:t xml:space="preserve"> e outros princípios básicos para a convivência mundial, estabelecidos na Carta das Nações Unidas (...)</w:t>
      </w:r>
    </w:p>
  </w:footnote>
  <w:footnote w:id="109">
    <w:p w14:paraId="2ED52C36" w14:textId="77777777" w:rsidR="000933AA" w:rsidRDefault="000933AA" w:rsidP="000933AA">
      <w:pPr>
        <w:pStyle w:val="FootnoteText"/>
        <w:ind w:left="720" w:hanging="720"/>
        <w:rPr>
          <w:rFonts w:ascii="Times New Roman" w:hAnsi="Times New Roman"/>
          <w:sz w:val="20"/>
          <w:lang w:val="pt-BR"/>
        </w:rPr>
      </w:pPr>
      <w:r>
        <w:rPr>
          <w:rFonts w:ascii="Times New Roman" w:hAnsi="Times New Roman"/>
          <w:sz w:val="20"/>
          <w:lang w:val="pt-BR"/>
        </w:rPr>
        <w:tab/>
      </w:r>
      <w:r>
        <w:rPr>
          <w:rStyle w:val="FootnoteReference"/>
          <w:rFonts w:ascii="Times New Roman" w:hAnsi="Times New Roman"/>
          <w:sz w:val="20"/>
        </w:rPr>
        <w:footnoteRef/>
      </w:r>
      <w:r>
        <w:rPr>
          <w:rFonts w:ascii="Times New Roman" w:hAnsi="Times New Roman"/>
          <w:sz w:val="20"/>
          <w:lang w:val="pt-BR"/>
        </w:rPr>
        <w:t xml:space="preserve">. </w:t>
      </w:r>
      <w:r>
        <w:rPr>
          <w:rFonts w:ascii="Times New Roman" w:hAnsi="Times New Roman"/>
          <w:sz w:val="20"/>
          <w:lang w:val="pt-BR"/>
        </w:rPr>
        <w:tab/>
      </w:r>
      <w:r>
        <w:rPr>
          <w:rFonts w:ascii="Times New Roman" w:hAnsi="Times New Roman"/>
          <w:sz w:val="20"/>
          <w:lang w:val="pt-BR"/>
        </w:rPr>
        <w:t xml:space="preserve">Os Estados Unidos recordam a distinção entre direitos humanos, cujos beneficiários são indivíduos, e direitos coletivos, cujos beneficiários são povos. Os Estados Unidos recordam ainda que (...) </w:t>
      </w:r>
    </w:p>
  </w:footnote>
  <w:footnote w:id="110">
    <w:p w14:paraId="430DF267" w14:textId="77777777" w:rsidR="000933AA" w:rsidRDefault="000933AA" w:rsidP="000933AA">
      <w:pPr>
        <w:ind w:left="714" w:hanging="357"/>
        <w:contextualSpacing/>
        <w:rPr>
          <w:rFonts w:ascii="Times New Roman" w:eastAsia="Calibri" w:hAnsi="Times New Roman"/>
          <w:sz w:val="20"/>
          <w:lang w:val="pt-BR"/>
        </w:rPr>
      </w:pPr>
      <w:r>
        <w:rPr>
          <w:rStyle w:val="FootnoteReference"/>
          <w:sz w:val="20"/>
        </w:rPr>
        <w:footnoteRef/>
      </w:r>
      <w:r>
        <w:rPr>
          <w:sz w:val="20"/>
          <w:lang w:val="pt-BR"/>
        </w:rPr>
        <w:t xml:space="preserve">. </w:t>
      </w:r>
      <w:r>
        <w:rPr>
          <w:sz w:val="20"/>
          <w:lang w:val="pt-BR"/>
        </w:rPr>
        <w:tab/>
      </w:r>
      <w:r>
        <w:rPr>
          <w:sz w:val="20"/>
          <w:lang w:val="pt-BR"/>
        </w:rPr>
        <w:t>Reserva da</w:t>
      </w:r>
      <w:r>
        <w:rPr>
          <w:rFonts w:eastAsia="Calibri"/>
          <w:sz w:val="20"/>
          <w:lang w:val="pt-BR"/>
        </w:rPr>
        <w:t xml:space="preserve"> Nicarágua ao Relatório Anual da CIDH, capítulo IV.B: “A Nicarágua foi reconhecida internacionalmente por sua vocação de paz e por ser o país mais seguro da região, o que (...) </w:t>
      </w:r>
    </w:p>
  </w:footnote>
  <w:footnote w:id="111">
    <w:p w14:paraId="6E835028" w14:textId="426A5B71" w:rsidR="004B5422" w:rsidRDefault="004B5422" w:rsidP="00E13A8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hanging="360"/>
        <w:jc w:val="both"/>
        <w:rPr>
          <w:rFonts w:eastAsia="Calibri"/>
          <w:sz w:val="20"/>
          <w:szCs w:val="20"/>
          <w:lang w:val="pt-BR"/>
        </w:rPr>
      </w:pPr>
      <w:r>
        <w:rPr>
          <w:sz w:val="20"/>
          <w:szCs w:val="20"/>
          <w:lang w:val="pt-BR"/>
        </w:rPr>
        <w:footnoteRef/>
      </w:r>
      <w:r>
        <w:rPr>
          <w:sz w:val="20"/>
          <w:szCs w:val="20"/>
          <w:lang w:val="pt-BR"/>
        </w:rPr>
        <w:t>.</w:t>
      </w:r>
      <w:r>
        <w:rPr>
          <w:sz w:val="20"/>
          <w:szCs w:val="20"/>
          <w:lang w:val="pt-BR"/>
        </w:rPr>
        <w:tab/>
      </w:r>
      <w:r>
        <w:rPr>
          <w:sz w:val="20"/>
          <w:szCs w:val="20"/>
          <w:lang w:val="pt-BR"/>
        </w:rPr>
        <w:t>A Delegação do Governo de Reconciliação e Unidade Nacional reitera os termos expressos em sua nota de rodapé refletidos no capítulo III da Agenda do Quinquagésimo Período Ordinário de (...)</w:t>
      </w:r>
    </w:p>
  </w:footnote>
  <w:footnote w:id="112">
    <w:p w14:paraId="6E835029" w14:textId="77777777" w:rsidR="004B5422" w:rsidRPr="00E55832" w:rsidRDefault="004B5422" w:rsidP="00E13A8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hanging="360"/>
        <w:jc w:val="both"/>
        <w:rPr>
          <w:sz w:val="20"/>
          <w:szCs w:val="20"/>
          <w:lang w:val="pt-BR"/>
        </w:rPr>
      </w:pPr>
      <w:r>
        <w:rPr>
          <w:rStyle w:val="FootnoteReference"/>
          <w:sz w:val="20"/>
          <w:szCs w:val="20"/>
          <w:lang w:val="fr-FR"/>
        </w:rPr>
        <w:footnoteRef/>
      </w:r>
      <w:r>
        <w:rPr>
          <w:rStyle w:val="FootnoteReference"/>
          <w:sz w:val="20"/>
          <w:szCs w:val="20"/>
          <w:lang w:val="pt-BR"/>
        </w:rPr>
        <w:t>.</w:t>
      </w:r>
      <w:r>
        <w:rPr>
          <w:rStyle w:val="FootnoteReference"/>
          <w:sz w:val="20"/>
          <w:szCs w:val="20"/>
          <w:lang w:val="pt-BR"/>
        </w:rPr>
        <w:tab/>
      </w:r>
      <w:r>
        <w:rPr>
          <w:sz w:val="20"/>
          <w:szCs w:val="20"/>
          <w:lang w:val="pt-BR"/>
        </w:rPr>
        <w:t xml:space="preserve">São Vicente e Granadinas não se junta à maioria sobre a aprovação desta resolução. São Vicente e Granadinas adere aos princípios fundamentais do </w:t>
      </w:r>
      <w:r w:rsidRPr="00E55832">
        <w:rPr>
          <w:sz w:val="20"/>
          <w:szCs w:val="20"/>
          <w:lang w:val="pt-BR"/>
        </w:rPr>
        <w:t>respeito à soberania dos Estados, à não (...)</w:t>
      </w:r>
    </w:p>
  </w:footnote>
  <w:footnote w:id="113">
    <w:p w14:paraId="6E83502A" w14:textId="77777777" w:rsidR="004B5422" w:rsidRPr="00E55832" w:rsidRDefault="004B5422" w:rsidP="00E13A8E">
      <w:pPr>
        <w:ind w:left="720" w:hanging="360"/>
        <w:rPr>
          <w:rFonts w:ascii="Times New Roman" w:eastAsia="MS Mincho" w:hAnsi="Times New Roman"/>
          <w:sz w:val="20"/>
          <w:lang w:val="pt-BR" w:eastAsia="es-ES_tradnl"/>
        </w:rPr>
      </w:pPr>
      <w:r w:rsidRPr="00E55832">
        <w:rPr>
          <w:rStyle w:val="FootnoteReference"/>
          <w:rFonts w:ascii="Times New Roman" w:hAnsi="Times New Roman"/>
          <w:sz w:val="20"/>
          <w:lang w:val="en-US"/>
        </w:rPr>
        <w:footnoteRef/>
      </w:r>
      <w:r w:rsidRPr="00E55832">
        <w:rPr>
          <w:rFonts w:ascii="Times New Roman" w:hAnsi="Times New Roman"/>
          <w:sz w:val="20"/>
          <w:lang w:val="pt-BR"/>
        </w:rPr>
        <w:t>.</w:t>
      </w:r>
      <w:r w:rsidRPr="00E55832">
        <w:rPr>
          <w:rFonts w:ascii="Times New Roman" w:hAnsi="Times New Roman"/>
          <w:sz w:val="20"/>
          <w:lang w:val="pt-BR"/>
        </w:rPr>
        <w:tab/>
      </w:r>
      <w:r w:rsidRPr="00E55832">
        <w:rPr>
          <w:rFonts w:ascii="Times New Roman" w:hAnsi="Times New Roman"/>
          <w:sz w:val="20"/>
          <w:lang w:val="pt-BR"/>
        </w:rPr>
        <w:t>Antígua e Barbuda considera que a República Bolivariana da Venezuela não é um Estado membro da Organização dos Estados Americanos pois, em 27 de abril de 2017, o Governo da República (...)</w:t>
      </w:r>
    </w:p>
  </w:footnote>
  <w:footnote w:id="114">
    <w:p w14:paraId="6E83502B" w14:textId="77777777" w:rsidR="004B5422" w:rsidRPr="00E55832" w:rsidRDefault="004B5422" w:rsidP="00E13A8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hanging="360"/>
        <w:jc w:val="both"/>
        <w:rPr>
          <w:rFonts w:eastAsia="Calibri"/>
          <w:sz w:val="20"/>
          <w:szCs w:val="20"/>
          <w:lang w:val="pt-BR"/>
        </w:rPr>
      </w:pPr>
      <w:r w:rsidRPr="00E55832">
        <w:rPr>
          <w:sz w:val="20"/>
          <w:szCs w:val="20"/>
          <w:lang w:val="pt-BR"/>
        </w:rPr>
        <w:footnoteRef/>
      </w:r>
      <w:r w:rsidRPr="00E55832">
        <w:rPr>
          <w:sz w:val="20"/>
          <w:szCs w:val="20"/>
          <w:lang w:val="pt-BR"/>
        </w:rPr>
        <w:t>.</w:t>
      </w:r>
      <w:r w:rsidRPr="00E55832">
        <w:rPr>
          <w:sz w:val="20"/>
          <w:szCs w:val="20"/>
          <w:lang w:val="pt-BR"/>
        </w:rPr>
        <w:tab/>
      </w:r>
      <w:r w:rsidRPr="00E55832">
        <w:rPr>
          <w:sz w:val="20"/>
          <w:szCs w:val="20"/>
          <w:lang w:val="pt-BR"/>
        </w:rPr>
        <w:t xml:space="preserve">O Governo do </w:t>
      </w:r>
      <w:r w:rsidRPr="00E55832">
        <w:rPr>
          <w:i/>
          <w:sz w:val="20"/>
          <w:szCs w:val="20"/>
          <w:lang w:val="pt-BR"/>
        </w:rPr>
        <w:t>Commonwealth</w:t>
      </w:r>
      <w:r w:rsidRPr="00E55832">
        <w:rPr>
          <w:sz w:val="20"/>
          <w:szCs w:val="20"/>
          <w:lang w:val="pt-BR"/>
        </w:rPr>
        <w:t xml:space="preserve"> da Dominica reitera suas reservas registradas nos anais do Quadragésimo Nono Período Ordinário de Sessões da Assembleia Geral e renova as referidas (...) </w:t>
      </w:r>
    </w:p>
  </w:footnote>
  <w:footnote w:id="115">
    <w:p w14:paraId="6E83502C" w14:textId="18C3B857" w:rsidR="004B5422" w:rsidRPr="0077509F" w:rsidRDefault="004B5422" w:rsidP="00714959">
      <w:pPr>
        <w:pStyle w:val="Default"/>
        <w:ind w:left="720" w:hanging="360"/>
        <w:jc w:val="both"/>
        <w:rPr>
          <w:rFonts w:ascii="Montserrat" w:hAnsi="Montserrat" w:cs="Montserrat"/>
          <w:sz w:val="20"/>
          <w:szCs w:val="20"/>
          <w:lang w:val="pt-BR"/>
        </w:rPr>
      </w:pPr>
      <w:r w:rsidRPr="00E55832">
        <w:rPr>
          <w:rStyle w:val="FootnoteReference"/>
          <w:sz w:val="20"/>
          <w:szCs w:val="20"/>
          <w:lang w:val="en-US"/>
        </w:rPr>
        <w:footnoteRef/>
      </w:r>
      <w:r w:rsidRPr="00E55832">
        <w:rPr>
          <w:sz w:val="20"/>
          <w:szCs w:val="20"/>
          <w:lang w:val="pt-BR"/>
        </w:rPr>
        <w:t>.</w:t>
      </w:r>
      <w:r w:rsidRPr="00E55832">
        <w:rPr>
          <w:sz w:val="20"/>
          <w:szCs w:val="20"/>
          <w:lang w:val="pt-BR"/>
        </w:rPr>
        <w:tab/>
      </w:r>
      <w:r w:rsidRPr="00E55832">
        <w:rPr>
          <w:sz w:val="20"/>
          <w:szCs w:val="20"/>
          <w:lang w:val="pt-BR"/>
        </w:rPr>
        <w:t xml:space="preserve">O México reitera a posição expressa em sua intervenção feita durante a apresentação do relatório do Secretário-Geral sobre credenciais, no âmbito da sessão plenária do </w:t>
      </w:r>
      <w:r w:rsidR="00E55832" w:rsidRPr="00E55832">
        <w:rPr>
          <w:sz w:val="20"/>
          <w:szCs w:val="20"/>
          <w:lang w:val="pt-BR"/>
        </w:rPr>
        <w:t>(</w:t>
      </w:r>
      <w:r w:rsidRPr="00E55832">
        <w:rPr>
          <w:sz w:val="20"/>
          <w:szCs w:val="20"/>
          <w:lang w:val="pt-BR"/>
        </w:rPr>
        <w:t>…</w:t>
      </w:r>
      <w:r w:rsidR="00E55832" w:rsidRPr="00E55832">
        <w:rPr>
          <w:sz w:val="20"/>
          <w:szCs w:val="20"/>
          <w:lang w:val="pt-BR"/>
        </w:rPr>
        <w:t>)</w:t>
      </w:r>
      <w:r w:rsidRPr="0077509F">
        <w:rPr>
          <w:sz w:val="20"/>
          <w:szCs w:val="20"/>
          <w:lang w:val="pt-BR"/>
        </w:rPr>
        <w:t xml:space="preserve"> </w:t>
      </w:r>
    </w:p>
  </w:footnote>
  <w:footnote w:id="116">
    <w:p w14:paraId="6E83502D" w14:textId="77777777" w:rsidR="004B5422" w:rsidRDefault="004B5422" w:rsidP="0054287A">
      <w:pPr>
        <w:pStyle w:val="NormalWeb"/>
        <w:spacing w:before="0" w:after="0"/>
        <w:ind w:left="720" w:hanging="360"/>
        <w:jc w:val="both"/>
        <w:rPr>
          <w:sz w:val="20"/>
          <w:szCs w:val="24"/>
          <w:lang w:val="pt-BR"/>
        </w:rPr>
      </w:pPr>
      <w:r>
        <w:rPr>
          <w:sz w:val="20"/>
          <w:lang w:val="pt-BR"/>
        </w:rPr>
        <w:footnoteRef/>
      </w:r>
      <w:r>
        <w:rPr>
          <w:sz w:val="20"/>
          <w:lang w:val="pt-BR"/>
        </w:rPr>
        <w:t>.</w:t>
      </w:r>
      <w:r>
        <w:rPr>
          <w:sz w:val="20"/>
          <w:lang w:val="pt-BR"/>
        </w:rPr>
        <w:tab/>
        <w:t xml:space="preserve">Antígua e Barbuda considera que a República Bolivariana da Venezuela não é um Estado membro da Organização dos Estados Americanos pois, em 27 de abril de 2017, o Governo da República (...) </w:t>
      </w:r>
    </w:p>
  </w:footnote>
  <w:footnote w:id="117">
    <w:p w14:paraId="6E83502E" w14:textId="77777777" w:rsidR="004B5422" w:rsidRDefault="004B5422" w:rsidP="0054287A">
      <w:pPr>
        <w:pStyle w:val="NormalWeb"/>
        <w:spacing w:before="0" w:after="0"/>
        <w:ind w:left="720" w:hanging="360"/>
        <w:jc w:val="both"/>
        <w:rPr>
          <w:sz w:val="20"/>
          <w:lang w:val="pt-BR"/>
        </w:rPr>
      </w:pPr>
      <w:r>
        <w:rPr>
          <w:sz w:val="20"/>
          <w:lang w:val="pt-BR"/>
        </w:rPr>
        <w:footnoteRef/>
      </w:r>
      <w:r>
        <w:rPr>
          <w:sz w:val="20"/>
          <w:lang w:val="pt-BR"/>
        </w:rPr>
        <w:t>.</w:t>
      </w:r>
      <w:r>
        <w:rPr>
          <w:sz w:val="20"/>
          <w:lang w:val="pt-BR"/>
        </w:rPr>
        <w:tab/>
      </w:r>
      <w:r>
        <w:rPr>
          <w:sz w:val="20"/>
          <w:lang w:val="pt-BR"/>
        </w:rPr>
        <w:t xml:space="preserve">O Governo do </w:t>
      </w:r>
      <w:r w:rsidRPr="00883231">
        <w:rPr>
          <w:i/>
          <w:sz w:val="20"/>
          <w:lang w:val="pt-BR"/>
        </w:rPr>
        <w:t>Commonwealth</w:t>
      </w:r>
      <w:r>
        <w:rPr>
          <w:sz w:val="20"/>
          <w:lang w:val="pt-BR"/>
        </w:rPr>
        <w:t xml:space="preserve"> da Dominica reitera suas reservas registradas nos anais do Quadragésimo Nono Período Ordinário de Sessões da Assembleia Geral e renova as referidas (...) </w:t>
      </w:r>
    </w:p>
  </w:footnote>
  <w:footnote w:id="118">
    <w:p w14:paraId="6E83502F" w14:textId="77777777" w:rsidR="004B5422" w:rsidRDefault="004B5422" w:rsidP="0054287A">
      <w:pPr>
        <w:pStyle w:val="NormalWeb"/>
        <w:spacing w:before="0" w:after="0"/>
        <w:ind w:left="720" w:hanging="360"/>
        <w:jc w:val="both"/>
        <w:rPr>
          <w:sz w:val="20"/>
          <w:lang w:val="pt-BR"/>
        </w:rPr>
      </w:pPr>
      <w:r>
        <w:rPr>
          <w:sz w:val="20"/>
          <w:lang w:val="pt-BR"/>
        </w:rPr>
        <w:footnoteRef/>
      </w:r>
      <w:r>
        <w:rPr>
          <w:sz w:val="20"/>
          <w:lang w:val="pt-BR"/>
        </w:rPr>
        <w:t>.</w:t>
      </w:r>
      <w:r>
        <w:rPr>
          <w:sz w:val="20"/>
          <w:lang w:val="pt-BR"/>
        </w:rPr>
        <w:tab/>
      </w:r>
      <w:r>
        <w:rPr>
          <w:sz w:val="20"/>
          <w:lang w:val="pt-BR"/>
        </w:rPr>
        <w:t xml:space="preserve">São Vicente e Granadinas não adere à maioria sobre a aprovação desta resolução e deixa registrada sua reserva. Em 2017, o legalmente eleito Governo da República Bolivariana da Venezuela tomou (...) </w:t>
      </w:r>
    </w:p>
  </w:footnote>
  <w:footnote w:id="119">
    <w:p w14:paraId="6E835031" w14:textId="77777777" w:rsidR="004B5422" w:rsidRPr="00E55832" w:rsidRDefault="004B5422" w:rsidP="0054287A">
      <w:pPr>
        <w:pStyle w:val="NormalWeb"/>
        <w:spacing w:before="0" w:after="0"/>
        <w:ind w:left="720" w:hanging="360"/>
        <w:jc w:val="both"/>
        <w:rPr>
          <w:sz w:val="20"/>
          <w:szCs w:val="20"/>
          <w:lang w:val="pt-BR"/>
        </w:rPr>
      </w:pPr>
      <w:r>
        <w:rPr>
          <w:sz w:val="20"/>
          <w:lang w:val="pt-BR"/>
        </w:rPr>
        <w:footnoteRef/>
      </w:r>
      <w:r>
        <w:rPr>
          <w:sz w:val="20"/>
          <w:lang w:val="pt-BR"/>
        </w:rPr>
        <w:t>.</w:t>
      </w:r>
      <w:r>
        <w:rPr>
          <w:sz w:val="20"/>
          <w:lang w:val="pt-BR"/>
        </w:rPr>
        <w:tab/>
      </w:r>
      <w:r>
        <w:rPr>
          <w:sz w:val="20"/>
          <w:lang w:val="pt-BR"/>
        </w:rPr>
        <w:t xml:space="preserve">O Governo da República da Nicarágua rejeita e condena a </w:t>
      </w:r>
      <w:r w:rsidRPr="00E55832">
        <w:rPr>
          <w:sz w:val="20"/>
          <w:szCs w:val="20"/>
          <w:lang w:val="pt-BR"/>
        </w:rPr>
        <w:t>inclusão do tema “A situação na República Bolivariana da Venezuela” na seção III da agenda da Assembleia Geral e a resolução apresentada (...)</w:t>
      </w:r>
    </w:p>
  </w:footnote>
  <w:footnote w:id="120">
    <w:p w14:paraId="6E835032" w14:textId="189CF73C" w:rsidR="004B5422" w:rsidRPr="0077509F" w:rsidRDefault="004B5422" w:rsidP="00714959">
      <w:pPr>
        <w:pStyle w:val="Default"/>
        <w:ind w:left="720" w:hanging="360"/>
        <w:jc w:val="both"/>
        <w:rPr>
          <w:rFonts w:ascii="Montserrat" w:hAnsi="Montserrat" w:cs="Montserrat"/>
          <w:sz w:val="20"/>
          <w:szCs w:val="20"/>
          <w:lang w:val="pt-BR"/>
        </w:rPr>
      </w:pPr>
      <w:r w:rsidRPr="00E55832">
        <w:rPr>
          <w:rStyle w:val="FootnoteReference"/>
          <w:sz w:val="20"/>
          <w:szCs w:val="20"/>
          <w:lang w:val="en-US"/>
        </w:rPr>
        <w:footnoteRef/>
      </w:r>
      <w:r w:rsidRPr="00E55832">
        <w:rPr>
          <w:sz w:val="20"/>
          <w:szCs w:val="20"/>
          <w:lang w:val="pt-BR"/>
        </w:rPr>
        <w:t>.</w:t>
      </w:r>
      <w:r w:rsidRPr="00E55832">
        <w:rPr>
          <w:sz w:val="20"/>
          <w:szCs w:val="20"/>
          <w:lang w:val="pt-BR"/>
        </w:rPr>
        <w:tab/>
      </w:r>
      <w:r w:rsidRPr="00E55832">
        <w:rPr>
          <w:sz w:val="20"/>
          <w:szCs w:val="20"/>
          <w:lang w:val="pt-BR"/>
        </w:rPr>
        <w:t xml:space="preserve">O México reitera a posição expressa em sua intervenção feita durante a apresentação do relatório do Secretário-Geral sobre credenciais, no âmbito da sessão plenária do </w:t>
      </w:r>
      <w:r w:rsidR="00E55832" w:rsidRPr="00E55832">
        <w:rPr>
          <w:sz w:val="20"/>
          <w:szCs w:val="20"/>
          <w:lang w:val="pt-BR"/>
        </w:rPr>
        <w:t>(</w:t>
      </w:r>
      <w:r w:rsidRPr="00E55832">
        <w:rPr>
          <w:sz w:val="20"/>
          <w:szCs w:val="20"/>
          <w:lang w:val="pt-BR"/>
        </w:rPr>
        <w:t>…</w:t>
      </w:r>
      <w:r w:rsidR="00E55832" w:rsidRPr="00E55832">
        <w:rPr>
          <w:sz w:val="20"/>
          <w:szCs w:val="20"/>
          <w:lang w:val="pt-BR"/>
        </w:rPr>
        <w:t>)</w:t>
      </w:r>
      <w:r w:rsidRPr="0077509F">
        <w:rPr>
          <w:sz w:val="20"/>
          <w:szCs w:val="20"/>
          <w:lang w:val="pt-BR"/>
        </w:rPr>
        <w:t xml:space="preserve"> </w:t>
      </w:r>
    </w:p>
  </w:footnote>
  <w:footnote w:id="121">
    <w:p w14:paraId="6E835033" w14:textId="77777777" w:rsidR="004B5422" w:rsidRDefault="004B5422" w:rsidP="0054287A">
      <w:pPr>
        <w:pStyle w:val="NormalWeb"/>
        <w:spacing w:before="0" w:after="0"/>
        <w:ind w:left="720" w:hanging="360"/>
        <w:jc w:val="both"/>
        <w:rPr>
          <w:sz w:val="20"/>
          <w:szCs w:val="20"/>
          <w:lang w:val="pt-BR"/>
        </w:rPr>
      </w:pPr>
      <w:r>
        <w:rPr>
          <w:sz w:val="20"/>
          <w:szCs w:val="20"/>
          <w:lang w:val="pt-BR"/>
        </w:rPr>
        <w:footnoteRef/>
      </w:r>
      <w:r>
        <w:rPr>
          <w:sz w:val="20"/>
          <w:szCs w:val="20"/>
          <w:lang w:val="pt-BR"/>
        </w:rPr>
        <w:t>.</w:t>
      </w:r>
      <w:r>
        <w:rPr>
          <w:sz w:val="20"/>
          <w:szCs w:val="20"/>
          <w:lang w:val="pt-BR"/>
        </w:rPr>
        <w:tab/>
        <w:t xml:space="preserve">A República Dominicana não acompanha o consenso quanto ao parágrafo dispositivo 11 desta resolução, em virtude de reservas sobre sua aplicação no tempo. </w:t>
      </w:r>
    </w:p>
  </w:footnote>
  <w:footnote w:id="122">
    <w:p w14:paraId="6E835034" w14:textId="77777777" w:rsidR="004B5422" w:rsidRPr="00E55832" w:rsidRDefault="004B5422" w:rsidP="00375862">
      <w:pPr>
        <w:ind w:left="720" w:hanging="360"/>
        <w:rPr>
          <w:rFonts w:ascii="Times New Roman" w:eastAsia="MS Mincho" w:hAnsi="Times New Roman"/>
          <w:sz w:val="20"/>
          <w:lang w:val="pt-BR"/>
        </w:rPr>
      </w:pPr>
      <w:r>
        <w:rPr>
          <w:rStyle w:val="FootnoteReference"/>
          <w:rFonts w:ascii="Times New Roman" w:hAnsi="Times New Roman"/>
          <w:sz w:val="20"/>
        </w:rPr>
        <w:footnoteRef/>
      </w:r>
      <w:r>
        <w:rPr>
          <w:rFonts w:ascii="Times New Roman" w:hAnsi="Times New Roman"/>
          <w:sz w:val="20"/>
          <w:lang w:val="pt-BR"/>
        </w:rPr>
        <w:t>.</w:t>
      </w:r>
      <w:r>
        <w:rPr>
          <w:rFonts w:ascii="Times New Roman" w:hAnsi="Times New Roman"/>
          <w:sz w:val="20"/>
          <w:lang w:val="pt-BR"/>
        </w:rPr>
        <w:tab/>
        <w:t xml:space="preserve">Antígua e Barbuda considera que a República Bolivariana </w:t>
      </w:r>
      <w:r w:rsidRPr="00E55832">
        <w:rPr>
          <w:rFonts w:ascii="Times New Roman" w:hAnsi="Times New Roman"/>
          <w:sz w:val="20"/>
          <w:lang w:val="pt-BR"/>
        </w:rPr>
        <w:t>da Venezuela não é um Estado membro da Organização dos Estados Americanos pois, em 27 de abril de 2017, o Governo da República (...)</w:t>
      </w:r>
    </w:p>
  </w:footnote>
  <w:footnote w:id="123">
    <w:p w14:paraId="6E835035" w14:textId="56201832" w:rsidR="004B5422" w:rsidRPr="0077509F" w:rsidRDefault="004B5422" w:rsidP="00714959">
      <w:pPr>
        <w:pStyle w:val="Default"/>
        <w:ind w:left="720" w:hanging="360"/>
        <w:jc w:val="both"/>
        <w:rPr>
          <w:rFonts w:ascii="Montserrat" w:hAnsi="Montserrat" w:cs="Montserrat"/>
          <w:sz w:val="20"/>
          <w:szCs w:val="20"/>
          <w:lang w:val="pt-BR"/>
        </w:rPr>
      </w:pPr>
      <w:r w:rsidRPr="00E55832">
        <w:rPr>
          <w:rStyle w:val="FootnoteReference"/>
          <w:sz w:val="20"/>
          <w:szCs w:val="20"/>
          <w:lang w:val="en-US"/>
        </w:rPr>
        <w:footnoteRef/>
      </w:r>
      <w:r w:rsidRPr="00E55832">
        <w:rPr>
          <w:sz w:val="20"/>
          <w:szCs w:val="20"/>
          <w:lang w:val="pt-BR"/>
        </w:rPr>
        <w:t>.</w:t>
      </w:r>
      <w:r w:rsidRPr="00E55832">
        <w:rPr>
          <w:sz w:val="20"/>
          <w:szCs w:val="20"/>
          <w:lang w:val="pt-BR"/>
        </w:rPr>
        <w:tab/>
      </w:r>
      <w:r w:rsidRPr="00E55832">
        <w:rPr>
          <w:sz w:val="20"/>
          <w:szCs w:val="20"/>
          <w:lang w:val="pt-BR"/>
        </w:rPr>
        <w:t xml:space="preserve">O México reitera a posição expressa em sua intervenção feita durante a apresentação do relatório do Secretário-Geral sobre credenciais, no âmbito da sessão plenária do </w:t>
      </w:r>
      <w:r w:rsidR="00E55832" w:rsidRPr="00E55832">
        <w:rPr>
          <w:sz w:val="20"/>
          <w:szCs w:val="20"/>
          <w:lang w:val="pt-BR"/>
        </w:rPr>
        <w:t>(</w:t>
      </w:r>
      <w:r w:rsidRPr="00E55832">
        <w:rPr>
          <w:sz w:val="20"/>
          <w:szCs w:val="20"/>
          <w:lang w:val="pt-BR"/>
        </w:rPr>
        <w:t>…</w:t>
      </w:r>
      <w:r w:rsidR="00E55832" w:rsidRPr="00E55832">
        <w:rPr>
          <w:sz w:val="20"/>
          <w:szCs w:val="20"/>
          <w:lang w:val="pt-BR"/>
        </w:rPr>
        <w:t>)</w:t>
      </w:r>
      <w:r w:rsidRPr="0077509F">
        <w:rPr>
          <w:sz w:val="20"/>
          <w:szCs w:val="20"/>
          <w:lang w:val="pt-B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F73" w14:textId="77777777" w:rsidR="004B5422" w:rsidRPr="00E33A13" w:rsidRDefault="004B5422">
    <w:pPr>
      <w:pStyle w:val="Header"/>
      <w:jc w:val="center"/>
      <w:rPr>
        <w:rFonts w:ascii="Times New Roman" w:hAnsi="Times New Roman"/>
      </w:rPr>
    </w:pPr>
  </w:p>
  <w:p w14:paraId="6E834F74" w14:textId="77777777" w:rsidR="004B5422" w:rsidRDefault="004B5422" w:rsidP="00E33A13">
    <w:pPr>
      <w:pStyle w:val="Header"/>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F90" w14:textId="77777777" w:rsidR="004B5422" w:rsidRPr="000E27B1" w:rsidRDefault="00CA769E">
    <w:pPr>
      <w:pStyle w:val="Header"/>
      <w:jc w:val="center"/>
      <w:rPr>
        <w:rFonts w:ascii="Times New Roman" w:hAnsi="Times New Roman"/>
      </w:rPr>
    </w:pPr>
    <w:sdt>
      <w:sdtPr>
        <w:rPr>
          <w:rFonts w:ascii="Times New Roman" w:hAnsi="Times New Roman"/>
        </w:rPr>
        <w:id w:val="1268425373"/>
        <w:docPartObj>
          <w:docPartGallery w:val="Page Numbers (Top of Page)"/>
          <w:docPartUnique/>
        </w:docPartObj>
      </w:sdtPr>
      <w:sdtEndPr>
        <w:rPr>
          <w:noProof/>
        </w:rPr>
      </w:sdtEndPr>
      <w:sdtContent>
        <w:r w:rsidR="004B5422" w:rsidRPr="000E27B1">
          <w:rPr>
            <w:rFonts w:ascii="Times New Roman" w:hAnsi="Times New Roman"/>
          </w:rPr>
          <w:fldChar w:fldCharType="begin"/>
        </w:r>
        <w:r w:rsidR="004B5422" w:rsidRPr="000E27B1">
          <w:rPr>
            <w:rFonts w:ascii="Times New Roman" w:hAnsi="Times New Roman"/>
          </w:rPr>
          <w:instrText xml:space="preserve"> PAGE   \* MERGEFORMAT </w:instrText>
        </w:r>
        <w:r w:rsidR="004B5422" w:rsidRPr="000E27B1">
          <w:rPr>
            <w:rFonts w:ascii="Times New Roman" w:hAnsi="Times New Roman"/>
          </w:rPr>
          <w:fldChar w:fldCharType="separate"/>
        </w:r>
        <w:r w:rsidR="004B5422">
          <w:rPr>
            <w:rFonts w:ascii="Times New Roman" w:hAnsi="Times New Roman"/>
            <w:noProof/>
          </w:rPr>
          <w:t>- 61 -</w:t>
        </w:r>
        <w:r w:rsidR="004B5422" w:rsidRPr="000E27B1">
          <w:rPr>
            <w:rFonts w:ascii="Times New Roman" w:hAnsi="Times New Roman"/>
            <w:noProof/>
          </w:rPr>
          <w:fldChar w:fldCharType="end"/>
        </w:r>
        <w:r w:rsidR="004B5422" w:rsidRPr="000E27B1">
          <w:rPr>
            <w:rFonts w:ascii="Times New Roman" w:hAnsi="Times New Roman"/>
            <w:noProof/>
          </w:rPr>
          <w:t xml:space="preserve"> </w:t>
        </w:r>
      </w:sdtContent>
    </w:sdt>
  </w:p>
  <w:p w14:paraId="6E834F91" w14:textId="77777777" w:rsidR="004B5422" w:rsidRDefault="004B542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109124"/>
      <w:docPartObj>
        <w:docPartGallery w:val="Page Numbers (Top of Page)"/>
        <w:docPartUnique/>
      </w:docPartObj>
    </w:sdtPr>
    <w:sdtEndPr>
      <w:rPr>
        <w:noProof/>
      </w:rPr>
    </w:sdtEndPr>
    <w:sdtContent>
      <w:p w14:paraId="6E834F94" w14:textId="77777777" w:rsidR="004B5422" w:rsidRPr="0037138D" w:rsidRDefault="004B5422" w:rsidP="0037138D">
        <w:pPr>
          <w:pStyle w:val="Header"/>
          <w:jc w:val="center"/>
        </w:pPr>
        <w:r>
          <w:fldChar w:fldCharType="begin"/>
        </w:r>
        <w:r>
          <w:instrText xml:space="preserve"> PAGE   \* MERGEFORMAT </w:instrText>
        </w:r>
        <w:r>
          <w:fldChar w:fldCharType="separate"/>
        </w:r>
        <w:r>
          <w:rPr>
            <w:noProof/>
          </w:rPr>
          <w:t>- 87 -</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F95" w14:textId="77777777" w:rsidR="004B5422" w:rsidRPr="0057146C" w:rsidRDefault="004B5422">
    <w:pPr>
      <w:pStyle w:val="Header"/>
      <w:jc w:val="center"/>
      <w:rPr>
        <w:rFonts w:ascii="Times New Roman" w:hAnsi="Times New Roman"/>
        <w:noProof/>
      </w:rPr>
    </w:pPr>
    <w:r>
      <w:rPr>
        <w:rFonts w:ascii="Times New Roman" w:hAnsi="Times New Roman"/>
      </w:rPr>
      <w:t xml:space="preserve">- </w:t>
    </w:r>
    <w:r w:rsidRPr="0057146C">
      <w:rPr>
        <w:rFonts w:ascii="Times New Roman" w:hAnsi="Times New Roman"/>
      </w:rPr>
      <w:fldChar w:fldCharType="begin"/>
    </w:r>
    <w:r w:rsidRPr="0057146C">
      <w:rPr>
        <w:rFonts w:ascii="Times New Roman" w:hAnsi="Times New Roman"/>
      </w:rPr>
      <w:instrText xml:space="preserve"> PAGE   \* MERGEFORMAT </w:instrText>
    </w:r>
    <w:r w:rsidRPr="0057146C">
      <w:rPr>
        <w:rFonts w:ascii="Times New Roman" w:hAnsi="Times New Roman"/>
      </w:rPr>
      <w:fldChar w:fldCharType="separate"/>
    </w:r>
    <w:r w:rsidRPr="0057146C">
      <w:rPr>
        <w:rFonts w:ascii="Times New Roman" w:hAnsi="Times New Roman"/>
      </w:rPr>
      <w:t>2</w:t>
    </w:r>
    <w:r w:rsidRPr="0057146C">
      <w:rPr>
        <w:rFonts w:ascii="Times New Roman" w:hAnsi="Times New Roman"/>
      </w:rPr>
      <w:fldChar w:fldCharType="end"/>
    </w:r>
    <w:r>
      <w:rPr>
        <w:rFonts w:ascii="Times New Roman" w:hAnsi="Times New Roman"/>
      </w:rPr>
      <w:t xml:space="preserve"> -</w:t>
    </w:r>
  </w:p>
  <w:p w14:paraId="6E834F96" w14:textId="77777777" w:rsidR="004B5422" w:rsidRPr="0057146C" w:rsidRDefault="004B5422">
    <w:pPr>
      <w:pStyle w:val="Header"/>
      <w:rPr>
        <w:rFonts w:ascii="Times New Roman" w:hAnsi="Times New Roman"/>
        <w:noProof/>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946217"/>
      <w:docPartObj>
        <w:docPartGallery w:val="Page Numbers (Top of Page)"/>
        <w:docPartUnique/>
      </w:docPartObj>
    </w:sdtPr>
    <w:sdtEndPr>
      <w:rPr>
        <w:noProof/>
      </w:rPr>
    </w:sdtEndPr>
    <w:sdtContent>
      <w:p w14:paraId="6E834F99" w14:textId="77777777" w:rsidR="004B5422" w:rsidRDefault="004B5422">
        <w:pPr>
          <w:pStyle w:val="Header"/>
          <w:jc w:val="center"/>
        </w:pPr>
        <w:r>
          <w:fldChar w:fldCharType="begin"/>
        </w:r>
        <w:r>
          <w:instrText xml:space="preserve"> PAGE   \* MERGEFORMAT </w:instrText>
        </w:r>
        <w:r>
          <w:fldChar w:fldCharType="separate"/>
        </w:r>
        <w:r>
          <w:rPr>
            <w:noProof/>
          </w:rPr>
          <w:t>- 93 -</w:t>
        </w:r>
        <w:r>
          <w:rPr>
            <w:noProof/>
          </w:rPr>
          <w:fldChar w:fldCharType="end"/>
        </w:r>
      </w:p>
    </w:sdtContent>
  </w:sdt>
  <w:p w14:paraId="6E834F9A" w14:textId="77777777" w:rsidR="004B5422" w:rsidRDefault="004B542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162393"/>
      <w:docPartObj>
        <w:docPartGallery w:val="Page Numbers (Top of Page)"/>
        <w:docPartUnique/>
      </w:docPartObj>
    </w:sdtPr>
    <w:sdtEndPr>
      <w:rPr>
        <w:noProof/>
      </w:rPr>
    </w:sdtEndPr>
    <w:sdtContent>
      <w:p w14:paraId="6E834F9C" w14:textId="77777777" w:rsidR="004B5422" w:rsidRDefault="004B5422">
        <w:pPr>
          <w:pStyle w:val="Header"/>
          <w:jc w:val="center"/>
        </w:pPr>
        <w:r>
          <w:fldChar w:fldCharType="begin"/>
        </w:r>
        <w:r>
          <w:instrText xml:space="preserve"> PAGE   \* MERGEFORMAT </w:instrText>
        </w:r>
        <w:r>
          <w:fldChar w:fldCharType="separate"/>
        </w:r>
        <w:r>
          <w:rPr>
            <w:noProof/>
          </w:rPr>
          <w:t>- 140 -</w:t>
        </w:r>
        <w:r>
          <w:rPr>
            <w:noProof/>
          </w:rPr>
          <w:fldChar w:fldCharType="end"/>
        </w:r>
        <w:r>
          <w:rPr>
            <w:noProof/>
          </w:rPr>
          <w:t xml:space="preserve"> </w:t>
        </w:r>
      </w:p>
    </w:sdtContent>
  </w:sdt>
  <w:p w14:paraId="6E834F9D" w14:textId="77777777" w:rsidR="004B5422" w:rsidRPr="006415DE" w:rsidRDefault="004B542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F9F" w14:textId="77777777" w:rsidR="004B5422" w:rsidRPr="00CB249F" w:rsidRDefault="004B5422">
    <w:pPr>
      <w:pStyle w:val="Header"/>
      <w:jc w:val="center"/>
      <w:rPr>
        <w:szCs w:val="22"/>
      </w:rPr>
    </w:pPr>
  </w:p>
  <w:p w14:paraId="6E834FA0" w14:textId="77777777" w:rsidR="004B5422" w:rsidRPr="00310F11" w:rsidRDefault="004B5422">
    <w:pPr>
      <w:pStyle w:val="Header"/>
      <w:rPr>
        <w:lang w:val="es-CL"/>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633181"/>
      <w:docPartObj>
        <w:docPartGallery w:val="Page Numbers (Top of Page)"/>
        <w:docPartUnique/>
      </w:docPartObj>
    </w:sdtPr>
    <w:sdtEndPr>
      <w:rPr>
        <w:noProof/>
      </w:rPr>
    </w:sdtEndPr>
    <w:sdtContent>
      <w:p w14:paraId="6E834FA1" w14:textId="77777777" w:rsidR="004B5422" w:rsidRDefault="004B5422">
        <w:pPr>
          <w:pStyle w:val="Header"/>
          <w:jc w:val="center"/>
        </w:pPr>
        <w:r>
          <w:t xml:space="preserve"> </w:t>
        </w:r>
        <w:r>
          <w:fldChar w:fldCharType="begin"/>
        </w:r>
        <w:r>
          <w:instrText xml:space="preserve"> PAGE   \* MERGEFORMAT </w:instrText>
        </w:r>
        <w:r>
          <w:fldChar w:fldCharType="separate"/>
        </w:r>
        <w:r>
          <w:rPr>
            <w:noProof/>
          </w:rPr>
          <w:t>- 149 -</w:t>
        </w:r>
        <w:r>
          <w:rPr>
            <w:noProof/>
          </w:rPr>
          <w:fldChar w:fldCharType="end"/>
        </w:r>
        <w:r>
          <w:rPr>
            <w:noProof/>
          </w:rPr>
          <w:t xml:space="preserve"> </w:t>
        </w:r>
      </w:p>
    </w:sdtContent>
  </w:sdt>
  <w:p w14:paraId="6E834FA2" w14:textId="77777777" w:rsidR="004B5422" w:rsidRPr="006415DE" w:rsidRDefault="004B542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895430"/>
      <w:docPartObj>
        <w:docPartGallery w:val="Page Numbers (Top of Page)"/>
        <w:docPartUnique/>
      </w:docPartObj>
    </w:sdtPr>
    <w:sdtEndPr>
      <w:rPr>
        <w:noProof/>
      </w:rPr>
    </w:sdtEndPr>
    <w:sdtContent>
      <w:p w14:paraId="6E834FA4" w14:textId="77777777" w:rsidR="004B5422" w:rsidRDefault="004B5422">
        <w:pPr>
          <w:pStyle w:val="Header"/>
          <w:jc w:val="center"/>
        </w:pPr>
        <w:r>
          <w:t xml:space="preserve"> </w:t>
        </w:r>
        <w:r>
          <w:fldChar w:fldCharType="begin"/>
        </w:r>
        <w:r>
          <w:instrText xml:space="preserve"> PAGE   \* MERGEFORMAT </w:instrText>
        </w:r>
        <w:r>
          <w:fldChar w:fldCharType="separate"/>
        </w:r>
        <w:r>
          <w:rPr>
            <w:noProof/>
          </w:rPr>
          <w:t>- 153 -</w:t>
        </w:r>
        <w:r>
          <w:rPr>
            <w:noProof/>
          </w:rPr>
          <w:fldChar w:fldCharType="end"/>
        </w:r>
        <w:r>
          <w:rPr>
            <w:noProof/>
          </w:rPr>
          <w:t xml:space="preserve"> </w:t>
        </w:r>
      </w:p>
    </w:sdtContent>
  </w:sdt>
  <w:p w14:paraId="6E834FA5" w14:textId="77777777" w:rsidR="004B5422" w:rsidRPr="006415DE" w:rsidRDefault="004B542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340094"/>
      <w:docPartObj>
        <w:docPartGallery w:val="Page Numbers (Top of Page)"/>
        <w:docPartUnique/>
      </w:docPartObj>
    </w:sdtPr>
    <w:sdtEndPr>
      <w:rPr>
        <w:noProof/>
      </w:rPr>
    </w:sdtEndPr>
    <w:sdtContent>
      <w:p w14:paraId="6E834FA7" w14:textId="77777777" w:rsidR="004B5422" w:rsidRDefault="004B5422">
        <w:pPr>
          <w:pStyle w:val="Header"/>
          <w:jc w:val="center"/>
        </w:pPr>
        <w:r>
          <w:fldChar w:fldCharType="begin"/>
        </w:r>
        <w:r>
          <w:instrText xml:space="preserve"> PAGE   \* MERGEFORMAT </w:instrText>
        </w:r>
        <w:r>
          <w:fldChar w:fldCharType="separate"/>
        </w:r>
        <w:r>
          <w:rPr>
            <w:noProof/>
          </w:rPr>
          <w:t>- 190 -</w:t>
        </w:r>
        <w:r>
          <w:rPr>
            <w:noProof/>
          </w:rPr>
          <w:fldChar w:fldCharType="end"/>
        </w:r>
        <w:r>
          <w:rPr>
            <w:noProof/>
          </w:rPr>
          <w:t xml:space="preserve"> </w:t>
        </w:r>
      </w:p>
    </w:sdtContent>
  </w:sdt>
  <w:p w14:paraId="6E834FA8" w14:textId="77777777" w:rsidR="004B5422" w:rsidRPr="006415DE" w:rsidRDefault="004B542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FAA" w14:textId="77777777" w:rsidR="004B5422" w:rsidRPr="00CB249F" w:rsidRDefault="004B5422">
    <w:pPr>
      <w:pStyle w:val="Header"/>
      <w:jc w:val="center"/>
      <w:rPr>
        <w:szCs w:val="22"/>
      </w:rPr>
    </w:pPr>
  </w:p>
  <w:p w14:paraId="6E834FAB" w14:textId="77777777" w:rsidR="004B5422" w:rsidRPr="00310F11" w:rsidRDefault="004B5422">
    <w:pPr>
      <w:pStyle w:val="Header"/>
      <w:rPr>
        <w:lang w:val="es-C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F77" w14:textId="77777777" w:rsidR="004B5422" w:rsidRDefault="004B5422">
    <w:pPr>
      <w:pStyle w:val="Header"/>
      <w:jc w:val="center"/>
    </w:pPr>
  </w:p>
  <w:p w14:paraId="6E834F78" w14:textId="77777777" w:rsidR="004B5422" w:rsidRDefault="004B5422">
    <w:pPr>
      <w:pStyle w:val="Header"/>
      <w:jc w:val="center"/>
    </w:pPr>
  </w:p>
  <w:p w14:paraId="6E834F79" w14:textId="77777777" w:rsidR="004B5422" w:rsidRDefault="004B5422">
    <w:pPr>
      <w:pStyle w:val="Header"/>
      <w:jc w:val="cent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586179"/>
      <w:docPartObj>
        <w:docPartGallery w:val="Page Numbers (Top of Page)"/>
        <w:docPartUnique/>
      </w:docPartObj>
    </w:sdtPr>
    <w:sdtEndPr>
      <w:rPr>
        <w:noProof/>
      </w:rPr>
    </w:sdtEndPr>
    <w:sdtContent>
      <w:p w14:paraId="6E834FAC" w14:textId="77777777" w:rsidR="004B5422" w:rsidRDefault="004B5422">
        <w:pPr>
          <w:pStyle w:val="Header"/>
          <w:jc w:val="center"/>
        </w:pPr>
        <w:r>
          <w:t xml:space="preserve"> </w:t>
        </w:r>
        <w:r>
          <w:fldChar w:fldCharType="begin"/>
        </w:r>
        <w:r>
          <w:instrText xml:space="preserve"> PAGE   \* MERGEFORMAT </w:instrText>
        </w:r>
        <w:r>
          <w:fldChar w:fldCharType="separate"/>
        </w:r>
        <w:r>
          <w:rPr>
            <w:noProof/>
          </w:rPr>
          <w:t>- 197 -</w:t>
        </w:r>
        <w:r>
          <w:rPr>
            <w:noProof/>
          </w:rPr>
          <w:fldChar w:fldCharType="end"/>
        </w:r>
        <w:r>
          <w:rPr>
            <w:noProof/>
          </w:rPr>
          <w:t xml:space="preserve"> </w:t>
        </w:r>
      </w:p>
    </w:sdtContent>
  </w:sdt>
  <w:p w14:paraId="6E834FAD" w14:textId="77777777" w:rsidR="004B5422" w:rsidRPr="006415DE" w:rsidRDefault="004B542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FAF" w14:textId="77777777" w:rsidR="004B5422" w:rsidRPr="00EF2809" w:rsidRDefault="004B5422">
    <w:pPr>
      <w:pStyle w:val="Header"/>
      <w:jc w:val="center"/>
      <w:rPr>
        <w:noProof/>
        <w:lang w:val="en-US"/>
      </w:rPr>
    </w:pPr>
  </w:p>
  <w:p w14:paraId="6E834FB0" w14:textId="77777777" w:rsidR="004B5422" w:rsidRPr="00EF2809" w:rsidRDefault="004B5422">
    <w:pPr>
      <w:pStyle w:val="Header"/>
      <w:jc w:val="center"/>
      <w:rPr>
        <w:noProof/>
        <w:lang w:val="en-US"/>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129239"/>
      <w:docPartObj>
        <w:docPartGallery w:val="Page Numbers (Top of Page)"/>
        <w:docPartUnique/>
      </w:docPartObj>
    </w:sdtPr>
    <w:sdtEndPr>
      <w:rPr>
        <w:noProof/>
      </w:rPr>
    </w:sdtEndPr>
    <w:sdtContent>
      <w:p w14:paraId="6E834FB1" w14:textId="77777777" w:rsidR="004B5422" w:rsidRDefault="004B5422">
        <w:pPr>
          <w:pStyle w:val="Header"/>
          <w:jc w:val="center"/>
        </w:pPr>
        <w:r>
          <w:fldChar w:fldCharType="begin"/>
        </w:r>
        <w:r>
          <w:instrText xml:space="preserve"> PAGE   \* MERGEFORMAT </w:instrText>
        </w:r>
        <w:r>
          <w:fldChar w:fldCharType="separate"/>
        </w:r>
        <w:r>
          <w:rPr>
            <w:noProof/>
          </w:rPr>
          <w:t>- 204 -</w:t>
        </w:r>
        <w:r>
          <w:rPr>
            <w:noProof/>
          </w:rPr>
          <w:fldChar w:fldCharType="end"/>
        </w:r>
        <w:r>
          <w:rPr>
            <w:noProof/>
          </w:rPr>
          <w:t xml:space="preserve"> </w:t>
        </w:r>
      </w:p>
    </w:sdtContent>
  </w:sdt>
  <w:p w14:paraId="6E834FB2" w14:textId="77777777" w:rsidR="004B5422" w:rsidRPr="006415DE" w:rsidRDefault="004B5422">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FB4" w14:textId="77777777" w:rsidR="004B5422" w:rsidRDefault="004B5422">
    <w:pPr>
      <w:pStyle w:val="Header"/>
      <w:jc w:val="center"/>
    </w:pPr>
  </w:p>
  <w:p w14:paraId="6E834FB5" w14:textId="77777777" w:rsidR="004B5422" w:rsidRDefault="004B5422">
    <w:pPr>
      <w:pStyle w:val="Header"/>
      <w:jc w:val="center"/>
    </w:pPr>
  </w:p>
  <w:p w14:paraId="6E834FB6" w14:textId="77777777" w:rsidR="004B5422" w:rsidRDefault="004B5422">
    <w:pPr>
      <w:pStyle w:val="Header"/>
      <w:jc w:val="cent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077051"/>
      <w:docPartObj>
        <w:docPartGallery w:val="Page Numbers (Top of Page)"/>
        <w:docPartUnique/>
      </w:docPartObj>
    </w:sdtPr>
    <w:sdtEndPr>
      <w:rPr>
        <w:noProof/>
      </w:rPr>
    </w:sdtEndPr>
    <w:sdtContent>
      <w:p w14:paraId="6E834FB7" w14:textId="77777777" w:rsidR="004B5422" w:rsidRDefault="004B5422">
        <w:pPr>
          <w:pStyle w:val="Header"/>
          <w:jc w:val="center"/>
        </w:pPr>
        <w:r>
          <w:fldChar w:fldCharType="begin"/>
        </w:r>
        <w:r>
          <w:instrText xml:space="preserve"> PAGE   \* MERGEFORMAT </w:instrText>
        </w:r>
        <w:r>
          <w:fldChar w:fldCharType="separate"/>
        </w:r>
        <w:r>
          <w:rPr>
            <w:noProof/>
          </w:rPr>
          <w:t>- 206 -</w:t>
        </w:r>
        <w:r>
          <w:rPr>
            <w:noProof/>
          </w:rPr>
          <w:fldChar w:fldCharType="end"/>
        </w:r>
        <w:r>
          <w:rPr>
            <w:noProof/>
          </w:rPr>
          <w:t xml:space="preserve"> </w:t>
        </w:r>
      </w:p>
    </w:sdtContent>
  </w:sdt>
  <w:p w14:paraId="6E834FB8" w14:textId="77777777" w:rsidR="004B5422" w:rsidRPr="006415DE" w:rsidRDefault="004B54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843200"/>
      <w:docPartObj>
        <w:docPartGallery w:val="Page Numbers (Top of Page)"/>
        <w:docPartUnique/>
      </w:docPartObj>
    </w:sdtPr>
    <w:sdtEndPr>
      <w:rPr>
        <w:noProof/>
      </w:rPr>
    </w:sdtEndPr>
    <w:sdtContent>
      <w:p w14:paraId="6E834F7C" w14:textId="77777777" w:rsidR="004B5422" w:rsidRPr="0037138D" w:rsidRDefault="004B5422" w:rsidP="0037138D">
        <w:pPr>
          <w:pStyle w:val="Header"/>
          <w:jc w:val="center"/>
        </w:pPr>
        <w:r>
          <w:t xml:space="preserve"> </w:t>
        </w:r>
        <w:r>
          <w:fldChar w:fldCharType="begin"/>
        </w:r>
        <w:r>
          <w:instrText xml:space="preserve"> PAGE   \* MERGEFORMAT </w:instrText>
        </w:r>
        <w:r>
          <w:fldChar w:fldCharType="separate"/>
        </w:r>
        <w:r>
          <w:rPr>
            <w:noProof/>
          </w:rPr>
          <w:t>- 27 -</w:t>
        </w:r>
        <w:r>
          <w:rPr>
            <w:noProof/>
          </w:rPr>
          <w:fldChar w:fldCharType="end"/>
        </w:r>
        <w:r>
          <w:rPr>
            <w:noProof/>
          </w:rPr>
          <w:t xml:space="preserve"> </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F7E" w14:textId="77777777" w:rsidR="004B5422" w:rsidRDefault="004B5422">
    <w:pPr>
      <w:pStyle w:val="Header"/>
      <w:jc w:val="center"/>
    </w:pPr>
  </w:p>
  <w:p w14:paraId="6E834F7F" w14:textId="77777777" w:rsidR="004B5422" w:rsidRDefault="004B5422">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601171192"/>
      <w:docPartObj>
        <w:docPartGallery w:val="Page Numbers (Top of Page)"/>
        <w:docPartUnique/>
      </w:docPartObj>
    </w:sdtPr>
    <w:sdtEndPr>
      <w:rPr>
        <w:noProof/>
      </w:rPr>
    </w:sdtEndPr>
    <w:sdtContent>
      <w:p w14:paraId="6E834F82" w14:textId="77777777" w:rsidR="004B5422" w:rsidRPr="00611431" w:rsidRDefault="004B5422">
        <w:pPr>
          <w:pStyle w:val="Header"/>
          <w:jc w:val="center"/>
          <w:rPr>
            <w:rFonts w:ascii="Times New Roman" w:hAnsi="Times New Roman"/>
          </w:rPr>
        </w:pPr>
        <w:r w:rsidRPr="00611431">
          <w:rPr>
            <w:rFonts w:ascii="Times New Roman" w:hAnsi="Times New Roman"/>
          </w:rPr>
          <w:t xml:space="preserve"> </w:t>
        </w:r>
        <w:r w:rsidRPr="00611431">
          <w:rPr>
            <w:rFonts w:ascii="Times New Roman" w:hAnsi="Times New Roman"/>
          </w:rPr>
          <w:fldChar w:fldCharType="begin"/>
        </w:r>
        <w:r w:rsidRPr="00611431">
          <w:rPr>
            <w:rFonts w:ascii="Times New Roman" w:hAnsi="Times New Roman"/>
          </w:rPr>
          <w:instrText xml:space="preserve"> PAGE   \* MERGEFORMAT </w:instrText>
        </w:r>
        <w:r w:rsidRPr="00611431">
          <w:rPr>
            <w:rFonts w:ascii="Times New Roman" w:hAnsi="Times New Roman"/>
          </w:rPr>
          <w:fldChar w:fldCharType="separate"/>
        </w:r>
        <w:r>
          <w:rPr>
            <w:rFonts w:ascii="Times New Roman" w:hAnsi="Times New Roman"/>
            <w:noProof/>
          </w:rPr>
          <w:t>- 5 -</w:t>
        </w:r>
        <w:r w:rsidRPr="00611431">
          <w:rPr>
            <w:rFonts w:ascii="Times New Roman" w:hAnsi="Times New Roman"/>
            <w:noProof/>
          </w:rPr>
          <w:fldChar w:fldCharType="end"/>
        </w:r>
        <w:r>
          <w:rPr>
            <w:rFonts w:ascii="Times New Roman" w:hAnsi="Times New Roman"/>
            <w:noProof/>
          </w:rPr>
          <w:t xml:space="preserve"> </w:t>
        </w:r>
      </w:p>
    </w:sdtContent>
  </w:sdt>
  <w:p w14:paraId="6E834F83" w14:textId="77777777" w:rsidR="004B5422" w:rsidRPr="00611431" w:rsidRDefault="004B5422">
    <w:pPr>
      <w:pStyle w:val="Header"/>
      <w:jc w:val="cente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2101910391"/>
      <w:docPartObj>
        <w:docPartGallery w:val="Page Numbers (Top of Page)"/>
        <w:docPartUnique/>
      </w:docPartObj>
    </w:sdtPr>
    <w:sdtEndPr>
      <w:rPr>
        <w:noProof/>
      </w:rPr>
    </w:sdtEndPr>
    <w:sdtContent>
      <w:p w14:paraId="6E834F85" w14:textId="77777777" w:rsidR="004B5422" w:rsidRPr="00611431" w:rsidRDefault="004B5422">
        <w:pPr>
          <w:pStyle w:val="Header"/>
          <w:jc w:val="center"/>
          <w:rPr>
            <w:rFonts w:ascii="Times New Roman" w:hAnsi="Times New Roman"/>
          </w:rPr>
        </w:pPr>
        <w:r w:rsidRPr="00611431">
          <w:rPr>
            <w:rFonts w:ascii="Times New Roman" w:hAnsi="Times New Roman"/>
          </w:rPr>
          <w:fldChar w:fldCharType="begin"/>
        </w:r>
        <w:r w:rsidRPr="00611431">
          <w:rPr>
            <w:rFonts w:ascii="Times New Roman" w:hAnsi="Times New Roman"/>
          </w:rPr>
          <w:instrText xml:space="preserve"> PAGE   \* MERGEFORMAT </w:instrText>
        </w:r>
        <w:r w:rsidRPr="00611431">
          <w:rPr>
            <w:rFonts w:ascii="Times New Roman" w:hAnsi="Times New Roman"/>
          </w:rPr>
          <w:fldChar w:fldCharType="separate"/>
        </w:r>
        <w:r>
          <w:rPr>
            <w:rFonts w:ascii="Times New Roman" w:hAnsi="Times New Roman"/>
            <w:noProof/>
          </w:rPr>
          <w:t>- 9 -</w:t>
        </w:r>
        <w:r w:rsidRPr="00611431">
          <w:rPr>
            <w:rFonts w:ascii="Times New Roman" w:hAnsi="Times New Roman"/>
            <w:noProof/>
          </w:rPr>
          <w:fldChar w:fldCharType="end"/>
        </w:r>
        <w:r>
          <w:rPr>
            <w:rFonts w:ascii="Times New Roman" w:hAnsi="Times New Roman"/>
            <w:noProof/>
          </w:rPr>
          <w:t xml:space="preserve"> </w:t>
        </w:r>
      </w:p>
    </w:sdtContent>
  </w:sdt>
  <w:p w14:paraId="6E834F86" w14:textId="77777777" w:rsidR="004B5422" w:rsidRPr="00611431" w:rsidRDefault="004B5422">
    <w:pPr>
      <w:pStyle w:val="Header"/>
      <w:jc w:val="center"/>
      <w:rPr>
        <w:rFonts w:ascii="Times New Roman" w:hAnsi="Times New Roman"/>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259565693"/>
      <w:docPartObj>
        <w:docPartGallery w:val="Page Numbers (Top of Page)"/>
        <w:docPartUnique/>
      </w:docPartObj>
    </w:sdtPr>
    <w:sdtEndPr>
      <w:rPr>
        <w:noProof/>
      </w:rPr>
    </w:sdtEndPr>
    <w:sdtContent>
      <w:p w14:paraId="6E834F87" w14:textId="77777777" w:rsidR="004B5422" w:rsidRPr="00611431" w:rsidRDefault="004B5422">
        <w:pPr>
          <w:pStyle w:val="Header"/>
          <w:jc w:val="center"/>
          <w:rPr>
            <w:rFonts w:ascii="Times New Roman" w:hAnsi="Times New Roman"/>
          </w:rPr>
        </w:pPr>
        <w:r w:rsidRPr="00611431">
          <w:rPr>
            <w:rFonts w:ascii="Times New Roman" w:hAnsi="Times New Roman"/>
          </w:rPr>
          <w:t xml:space="preserve"> </w:t>
        </w:r>
        <w:r w:rsidRPr="00611431">
          <w:rPr>
            <w:rFonts w:ascii="Times New Roman" w:hAnsi="Times New Roman"/>
          </w:rPr>
          <w:fldChar w:fldCharType="begin"/>
        </w:r>
        <w:r w:rsidRPr="00611431">
          <w:rPr>
            <w:rFonts w:ascii="Times New Roman" w:hAnsi="Times New Roman"/>
          </w:rPr>
          <w:instrText xml:space="preserve"> PAGE   \* MERGEFORMAT </w:instrText>
        </w:r>
        <w:r w:rsidRPr="00611431">
          <w:rPr>
            <w:rFonts w:ascii="Times New Roman" w:hAnsi="Times New Roman"/>
          </w:rPr>
          <w:fldChar w:fldCharType="separate"/>
        </w:r>
        <w:r>
          <w:rPr>
            <w:rFonts w:ascii="Times New Roman" w:hAnsi="Times New Roman"/>
            <w:noProof/>
          </w:rPr>
          <w:t>- 13 -</w:t>
        </w:r>
        <w:r w:rsidRPr="00611431">
          <w:rPr>
            <w:rFonts w:ascii="Times New Roman" w:hAnsi="Times New Roman"/>
            <w:noProof/>
          </w:rPr>
          <w:fldChar w:fldCharType="end"/>
        </w:r>
        <w:r>
          <w:rPr>
            <w:rFonts w:ascii="Times New Roman" w:hAnsi="Times New Roman"/>
            <w:noProof/>
          </w:rPr>
          <w:t xml:space="preserve"> </w:t>
        </w:r>
      </w:p>
    </w:sdtContent>
  </w:sdt>
  <w:p w14:paraId="6E834F88" w14:textId="77777777" w:rsidR="004B5422" w:rsidRPr="00611431" w:rsidRDefault="004B5422">
    <w:pPr>
      <w:pStyle w:val="Header"/>
      <w:jc w:val="cente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799648125"/>
      <w:docPartObj>
        <w:docPartGallery w:val="Page Numbers (Top of Page)"/>
        <w:docPartUnique/>
      </w:docPartObj>
    </w:sdtPr>
    <w:sdtEndPr>
      <w:rPr>
        <w:noProof/>
      </w:rPr>
    </w:sdtEndPr>
    <w:sdtContent>
      <w:p w14:paraId="6E834F8A" w14:textId="77777777" w:rsidR="004B5422" w:rsidRPr="00611431" w:rsidRDefault="004B5422">
        <w:pPr>
          <w:pStyle w:val="Header"/>
          <w:jc w:val="center"/>
          <w:rPr>
            <w:rFonts w:ascii="Times New Roman" w:hAnsi="Times New Roman"/>
          </w:rPr>
        </w:pPr>
        <w:r w:rsidRPr="00611431">
          <w:rPr>
            <w:rFonts w:ascii="Times New Roman" w:hAnsi="Times New Roman"/>
          </w:rPr>
          <w:t xml:space="preserve"> </w:t>
        </w:r>
        <w:r w:rsidRPr="00611431">
          <w:rPr>
            <w:rFonts w:ascii="Times New Roman" w:hAnsi="Times New Roman"/>
          </w:rPr>
          <w:fldChar w:fldCharType="begin"/>
        </w:r>
        <w:r w:rsidRPr="00611431">
          <w:rPr>
            <w:rFonts w:ascii="Times New Roman" w:hAnsi="Times New Roman"/>
          </w:rPr>
          <w:instrText xml:space="preserve"> PAGE   \* MERGEFORMAT </w:instrText>
        </w:r>
        <w:r w:rsidRPr="00611431">
          <w:rPr>
            <w:rFonts w:ascii="Times New Roman" w:hAnsi="Times New Roman"/>
          </w:rPr>
          <w:fldChar w:fldCharType="separate"/>
        </w:r>
        <w:r>
          <w:rPr>
            <w:rFonts w:ascii="Times New Roman" w:hAnsi="Times New Roman"/>
            <w:noProof/>
          </w:rPr>
          <w:t>- 49 -</w:t>
        </w:r>
        <w:r w:rsidRPr="00611431">
          <w:rPr>
            <w:rFonts w:ascii="Times New Roman" w:hAnsi="Times New Roman"/>
            <w:noProof/>
          </w:rPr>
          <w:fldChar w:fldCharType="end"/>
        </w:r>
        <w:r>
          <w:rPr>
            <w:rFonts w:ascii="Times New Roman" w:hAnsi="Times New Roman"/>
            <w:noProof/>
          </w:rPr>
          <w:t xml:space="preserve"> </w:t>
        </w:r>
      </w:p>
    </w:sdtContent>
  </w:sdt>
  <w:p w14:paraId="6E834F8B" w14:textId="77777777" w:rsidR="004B5422" w:rsidRPr="00611431" w:rsidRDefault="004B5422">
    <w:pPr>
      <w:pStyle w:val="Header"/>
      <w:jc w:val="cente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F8D" w14:textId="77777777" w:rsidR="004B5422" w:rsidRPr="000E27B1" w:rsidRDefault="00CA769E">
    <w:pPr>
      <w:pStyle w:val="Header"/>
      <w:jc w:val="center"/>
      <w:rPr>
        <w:rFonts w:ascii="Times New Roman" w:hAnsi="Times New Roman"/>
      </w:rPr>
    </w:pPr>
    <w:sdt>
      <w:sdtPr>
        <w:rPr>
          <w:rFonts w:ascii="Times New Roman" w:hAnsi="Times New Roman"/>
        </w:rPr>
        <w:id w:val="-371376662"/>
        <w:docPartObj>
          <w:docPartGallery w:val="Page Numbers (Top of Page)"/>
          <w:docPartUnique/>
        </w:docPartObj>
      </w:sdtPr>
      <w:sdtEndPr>
        <w:rPr>
          <w:noProof/>
        </w:rPr>
      </w:sdtEndPr>
      <w:sdtContent>
        <w:r w:rsidR="004B5422" w:rsidRPr="000E27B1">
          <w:rPr>
            <w:rFonts w:ascii="Times New Roman" w:hAnsi="Times New Roman"/>
          </w:rPr>
          <w:fldChar w:fldCharType="begin"/>
        </w:r>
        <w:r w:rsidR="004B5422" w:rsidRPr="000E27B1">
          <w:rPr>
            <w:rFonts w:ascii="Times New Roman" w:hAnsi="Times New Roman"/>
          </w:rPr>
          <w:instrText xml:space="preserve"> PAGE   \* MERGEFORMAT </w:instrText>
        </w:r>
        <w:r w:rsidR="004B5422" w:rsidRPr="000E27B1">
          <w:rPr>
            <w:rFonts w:ascii="Times New Roman" w:hAnsi="Times New Roman"/>
          </w:rPr>
          <w:fldChar w:fldCharType="separate"/>
        </w:r>
        <w:r w:rsidR="004B5422">
          <w:rPr>
            <w:rFonts w:ascii="Times New Roman" w:hAnsi="Times New Roman"/>
            <w:noProof/>
          </w:rPr>
          <w:t>- 53 -</w:t>
        </w:r>
        <w:r w:rsidR="004B5422" w:rsidRPr="000E27B1">
          <w:rPr>
            <w:rFonts w:ascii="Times New Roman" w:hAnsi="Times New Roman"/>
            <w:noProof/>
          </w:rPr>
          <w:fldChar w:fldCharType="end"/>
        </w:r>
        <w:r w:rsidR="004B5422">
          <w:rPr>
            <w:rFonts w:ascii="Times New Roman" w:hAnsi="Times New Roman"/>
            <w:noProof/>
          </w:rPr>
          <w:t xml:space="preserve"> </w:t>
        </w:r>
      </w:sdtContent>
    </w:sdt>
  </w:p>
  <w:p w14:paraId="6E834F8E" w14:textId="77777777" w:rsidR="004B5422" w:rsidRDefault="004B5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BBB"/>
    <w:multiLevelType w:val="hybridMultilevel"/>
    <w:tmpl w:val="17683576"/>
    <w:lvl w:ilvl="0" w:tplc="0409000F">
      <w:start w:val="1"/>
      <w:numFmt w:val="decimal"/>
      <w:lvlText w:val="%1."/>
      <w:lvlJc w:val="left"/>
      <w:pPr>
        <w:ind w:left="720" w:hanging="360"/>
      </w:pPr>
      <w:rPr>
        <w:b w:val="0"/>
        <w:strike w:val="0"/>
        <w:dstrike w:val="0"/>
        <w:u w:val="none"/>
        <w:effect w:val="none"/>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6A76695"/>
    <w:multiLevelType w:val="hybridMultilevel"/>
    <w:tmpl w:val="A7588BB6"/>
    <w:lvl w:ilvl="0" w:tplc="592EC240">
      <w:start w:val="1"/>
      <w:numFmt w:val="decimal"/>
      <w:lvlText w:val="%1."/>
      <w:lvlJc w:val="left"/>
      <w:pPr>
        <w:ind w:left="8190" w:hanging="720"/>
      </w:pPr>
      <w:rPr>
        <w:rFonts w:ascii="Times New Roman" w:hAnsi="Times New Roman" w:cs="Times New Roman" w:hint="default"/>
        <w:i w:val="0"/>
        <w:strike w:val="0"/>
        <w:dstrike w:val="0"/>
        <w:u w:val="none"/>
        <w:effect w:val="none"/>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2" w15:restartNumberingAfterBreak="0">
    <w:nsid w:val="071E267A"/>
    <w:multiLevelType w:val="multilevel"/>
    <w:tmpl w:val="4946714E"/>
    <w:lvl w:ilvl="0">
      <w:start w:val="1"/>
      <w:numFmt w:val="decimal"/>
      <w:lvlText w:val="%1."/>
      <w:lvlJc w:val="left"/>
      <w:pPr>
        <w:ind w:left="432" w:hanging="360"/>
      </w:pPr>
      <w:rPr>
        <w:rFonts w:cs="Times New Roman"/>
        <w:spacing w:val="10"/>
        <w:sz w:val="24"/>
        <w:szCs w:val="24"/>
      </w:rPr>
    </w:lvl>
    <w:lvl w:ilvl="1">
      <w:numFmt w:val="bullet"/>
      <w:lvlText w:val="•"/>
      <w:lvlJc w:val="left"/>
      <w:pPr>
        <w:ind w:left="1048" w:hanging="720"/>
      </w:pPr>
      <w:rPr>
        <w:lang w:val="es-ES" w:eastAsia="en-US" w:bidi="ar-SA"/>
      </w:rPr>
    </w:lvl>
    <w:lvl w:ilvl="2">
      <w:numFmt w:val="bullet"/>
      <w:lvlText w:val="•"/>
      <w:lvlJc w:val="left"/>
      <w:pPr>
        <w:ind w:left="1996" w:hanging="720"/>
      </w:pPr>
      <w:rPr>
        <w:lang w:val="es-ES" w:eastAsia="en-US" w:bidi="ar-SA"/>
      </w:rPr>
    </w:lvl>
    <w:lvl w:ilvl="3">
      <w:numFmt w:val="bullet"/>
      <w:lvlText w:val="•"/>
      <w:lvlJc w:val="left"/>
      <w:pPr>
        <w:ind w:left="2944" w:hanging="720"/>
      </w:pPr>
      <w:rPr>
        <w:lang w:val="es-ES" w:eastAsia="en-US" w:bidi="ar-SA"/>
      </w:rPr>
    </w:lvl>
    <w:lvl w:ilvl="4">
      <w:numFmt w:val="bullet"/>
      <w:lvlText w:val="•"/>
      <w:lvlJc w:val="left"/>
      <w:pPr>
        <w:ind w:left="3892" w:hanging="720"/>
      </w:pPr>
      <w:rPr>
        <w:lang w:val="es-ES" w:eastAsia="en-US" w:bidi="ar-SA"/>
      </w:rPr>
    </w:lvl>
    <w:lvl w:ilvl="5">
      <w:numFmt w:val="bullet"/>
      <w:lvlText w:val="•"/>
      <w:lvlJc w:val="left"/>
      <w:pPr>
        <w:ind w:left="4840" w:hanging="720"/>
      </w:pPr>
      <w:rPr>
        <w:lang w:val="es-ES" w:eastAsia="en-US" w:bidi="ar-SA"/>
      </w:rPr>
    </w:lvl>
    <w:lvl w:ilvl="6">
      <w:numFmt w:val="bullet"/>
      <w:lvlText w:val="•"/>
      <w:lvlJc w:val="left"/>
      <w:pPr>
        <w:ind w:left="5788" w:hanging="720"/>
      </w:pPr>
      <w:rPr>
        <w:lang w:val="es-ES" w:eastAsia="en-US" w:bidi="ar-SA"/>
      </w:rPr>
    </w:lvl>
    <w:lvl w:ilvl="7">
      <w:numFmt w:val="bullet"/>
      <w:lvlText w:val="•"/>
      <w:lvlJc w:val="left"/>
      <w:pPr>
        <w:ind w:left="6736" w:hanging="720"/>
      </w:pPr>
      <w:rPr>
        <w:lang w:val="es-ES" w:eastAsia="en-US" w:bidi="ar-SA"/>
      </w:rPr>
    </w:lvl>
    <w:lvl w:ilvl="8">
      <w:numFmt w:val="bullet"/>
      <w:lvlText w:val="•"/>
      <w:lvlJc w:val="left"/>
      <w:pPr>
        <w:ind w:left="7684" w:hanging="720"/>
      </w:pPr>
      <w:rPr>
        <w:lang w:val="es-ES" w:eastAsia="en-US" w:bidi="ar-SA"/>
      </w:rPr>
    </w:lvl>
  </w:abstractNum>
  <w:abstractNum w:abstractNumId="3" w15:restartNumberingAfterBreak="0">
    <w:nsid w:val="084029BC"/>
    <w:multiLevelType w:val="hybridMultilevel"/>
    <w:tmpl w:val="951E4DA8"/>
    <w:lvl w:ilvl="0" w:tplc="05805652">
      <w:start w:val="1"/>
      <w:numFmt w:val="upperLetter"/>
      <w:lvlText w:val="%1."/>
      <w:lvlJc w:val="left"/>
      <w:pPr>
        <w:ind w:left="720" w:hanging="360"/>
      </w:pPr>
      <w:rPr>
        <w:rFonts w:cs="Times New Roman"/>
        <w:vertAlign w:val="baseline"/>
      </w:rPr>
    </w:lvl>
    <w:lvl w:ilvl="1" w:tplc="0B54EA7C">
      <w:start w:val="1"/>
      <w:numFmt w:val="lowerLetter"/>
      <w:lvlText w:val="%2."/>
      <w:lvlJc w:val="left"/>
      <w:pPr>
        <w:ind w:left="1440" w:hanging="360"/>
      </w:pPr>
      <w:rPr>
        <w:rFonts w:cs="Times New Roman"/>
      </w:rPr>
    </w:lvl>
    <w:lvl w:ilvl="2" w:tplc="456A6CBA">
      <w:start w:val="1"/>
      <w:numFmt w:val="lowerRoman"/>
      <w:lvlText w:val="%3."/>
      <w:lvlJc w:val="right"/>
      <w:pPr>
        <w:ind w:left="2160" w:hanging="180"/>
      </w:pPr>
      <w:rPr>
        <w:rFonts w:cs="Times New Roman"/>
      </w:rPr>
    </w:lvl>
    <w:lvl w:ilvl="3" w:tplc="821AC86E">
      <w:start w:val="1"/>
      <w:numFmt w:val="decimal"/>
      <w:lvlText w:val="%4."/>
      <w:lvlJc w:val="left"/>
      <w:pPr>
        <w:ind w:left="2880" w:hanging="360"/>
      </w:pPr>
      <w:rPr>
        <w:rFonts w:cs="Times New Roman"/>
      </w:rPr>
    </w:lvl>
    <w:lvl w:ilvl="4" w:tplc="B6C427A0">
      <w:start w:val="1"/>
      <w:numFmt w:val="lowerLetter"/>
      <w:lvlText w:val="%5."/>
      <w:lvlJc w:val="left"/>
      <w:pPr>
        <w:ind w:left="3600" w:hanging="360"/>
      </w:pPr>
      <w:rPr>
        <w:rFonts w:cs="Times New Roman"/>
      </w:rPr>
    </w:lvl>
    <w:lvl w:ilvl="5" w:tplc="91BED26E">
      <w:start w:val="1"/>
      <w:numFmt w:val="lowerRoman"/>
      <w:lvlText w:val="%6."/>
      <w:lvlJc w:val="right"/>
      <w:pPr>
        <w:ind w:left="4320" w:hanging="180"/>
      </w:pPr>
      <w:rPr>
        <w:rFonts w:cs="Times New Roman"/>
      </w:rPr>
    </w:lvl>
    <w:lvl w:ilvl="6" w:tplc="4F0048FE">
      <w:start w:val="1"/>
      <w:numFmt w:val="decimal"/>
      <w:lvlText w:val="%7."/>
      <w:lvlJc w:val="left"/>
      <w:pPr>
        <w:ind w:left="5040" w:hanging="360"/>
      </w:pPr>
      <w:rPr>
        <w:rFonts w:cs="Times New Roman"/>
      </w:rPr>
    </w:lvl>
    <w:lvl w:ilvl="7" w:tplc="C7B2B304">
      <w:start w:val="1"/>
      <w:numFmt w:val="lowerLetter"/>
      <w:lvlText w:val="%8."/>
      <w:lvlJc w:val="left"/>
      <w:pPr>
        <w:ind w:left="5760" w:hanging="360"/>
      </w:pPr>
      <w:rPr>
        <w:rFonts w:cs="Times New Roman"/>
      </w:rPr>
    </w:lvl>
    <w:lvl w:ilvl="8" w:tplc="1E5AA5F6">
      <w:start w:val="1"/>
      <w:numFmt w:val="lowerRoman"/>
      <w:lvlText w:val="%9."/>
      <w:lvlJc w:val="right"/>
      <w:pPr>
        <w:ind w:left="6480" w:hanging="180"/>
      </w:pPr>
      <w:rPr>
        <w:rFonts w:cs="Times New Roman"/>
      </w:rPr>
    </w:lvl>
  </w:abstractNum>
  <w:abstractNum w:abstractNumId="4" w15:restartNumberingAfterBreak="0">
    <w:nsid w:val="0EBF7A5A"/>
    <w:multiLevelType w:val="hybridMultilevel"/>
    <w:tmpl w:val="54A6CE1C"/>
    <w:lvl w:ilvl="0" w:tplc="EFCE6B76">
      <w:start w:val="1"/>
      <w:numFmt w:val="lowerLetter"/>
      <w:lvlText w:val="%1)"/>
      <w:lvlJc w:val="left"/>
      <w:pPr>
        <w:ind w:left="1800" w:hanging="360"/>
      </w:pPr>
      <w:rPr>
        <w:rFonts w:cs="Times New Roman"/>
        <w:b w:val="0"/>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132D4F5E"/>
    <w:multiLevelType w:val="hybridMultilevel"/>
    <w:tmpl w:val="3A0E88BC"/>
    <w:lvl w:ilvl="0" w:tplc="040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6F9745B"/>
    <w:multiLevelType w:val="hybridMultilevel"/>
    <w:tmpl w:val="951E4DA8"/>
    <w:lvl w:ilvl="0" w:tplc="5F4E9702">
      <w:start w:val="1"/>
      <w:numFmt w:val="upperLetter"/>
      <w:lvlText w:val="%1."/>
      <w:lvlJc w:val="left"/>
      <w:pPr>
        <w:ind w:left="720" w:hanging="360"/>
      </w:pPr>
      <w:rPr>
        <w:rFonts w:cs="Times New Roman"/>
        <w:vertAlign w:val="baseline"/>
      </w:rPr>
    </w:lvl>
    <w:lvl w:ilvl="1" w:tplc="9C78451A">
      <w:start w:val="1"/>
      <w:numFmt w:val="lowerLetter"/>
      <w:lvlText w:val="%2."/>
      <w:lvlJc w:val="left"/>
      <w:pPr>
        <w:ind w:left="1440" w:hanging="360"/>
      </w:pPr>
      <w:rPr>
        <w:rFonts w:cs="Times New Roman"/>
      </w:rPr>
    </w:lvl>
    <w:lvl w:ilvl="2" w:tplc="8CEA602C">
      <w:start w:val="1"/>
      <w:numFmt w:val="lowerRoman"/>
      <w:lvlText w:val="%3."/>
      <w:lvlJc w:val="right"/>
      <w:pPr>
        <w:ind w:left="2160" w:hanging="180"/>
      </w:pPr>
      <w:rPr>
        <w:rFonts w:cs="Times New Roman"/>
      </w:rPr>
    </w:lvl>
    <w:lvl w:ilvl="3" w:tplc="EE4A1C4A">
      <w:start w:val="1"/>
      <w:numFmt w:val="decimal"/>
      <w:lvlText w:val="%4."/>
      <w:lvlJc w:val="left"/>
      <w:pPr>
        <w:ind w:left="2880" w:hanging="360"/>
      </w:pPr>
      <w:rPr>
        <w:rFonts w:cs="Times New Roman"/>
      </w:rPr>
    </w:lvl>
    <w:lvl w:ilvl="4" w:tplc="BC0E04D6">
      <w:start w:val="1"/>
      <w:numFmt w:val="lowerLetter"/>
      <w:lvlText w:val="%5."/>
      <w:lvlJc w:val="left"/>
      <w:pPr>
        <w:ind w:left="3600" w:hanging="360"/>
      </w:pPr>
      <w:rPr>
        <w:rFonts w:cs="Times New Roman"/>
      </w:rPr>
    </w:lvl>
    <w:lvl w:ilvl="5" w:tplc="E74AB4B4">
      <w:start w:val="1"/>
      <w:numFmt w:val="lowerRoman"/>
      <w:lvlText w:val="%6."/>
      <w:lvlJc w:val="right"/>
      <w:pPr>
        <w:ind w:left="4320" w:hanging="180"/>
      </w:pPr>
      <w:rPr>
        <w:rFonts w:cs="Times New Roman"/>
      </w:rPr>
    </w:lvl>
    <w:lvl w:ilvl="6" w:tplc="F7028E62">
      <w:start w:val="1"/>
      <w:numFmt w:val="decimal"/>
      <w:lvlText w:val="%7."/>
      <w:lvlJc w:val="left"/>
      <w:pPr>
        <w:ind w:left="5040" w:hanging="360"/>
      </w:pPr>
      <w:rPr>
        <w:rFonts w:cs="Times New Roman"/>
      </w:rPr>
    </w:lvl>
    <w:lvl w:ilvl="7" w:tplc="CDF60B12">
      <w:start w:val="1"/>
      <w:numFmt w:val="lowerLetter"/>
      <w:lvlText w:val="%8."/>
      <w:lvlJc w:val="left"/>
      <w:pPr>
        <w:ind w:left="5760" w:hanging="360"/>
      </w:pPr>
      <w:rPr>
        <w:rFonts w:cs="Times New Roman"/>
      </w:rPr>
    </w:lvl>
    <w:lvl w:ilvl="8" w:tplc="FB98A210">
      <w:start w:val="1"/>
      <w:numFmt w:val="lowerRoman"/>
      <w:lvlText w:val="%9."/>
      <w:lvlJc w:val="right"/>
      <w:pPr>
        <w:ind w:left="6480" w:hanging="180"/>
      </w:pPr>
      <w:rPr>
        <w:rFonts w:cs="Times New Roman"/>
      </w:rPr>
    </w:lvl>
  </w:abstractNum>
  <w:abstractNum w:abstractNumId="7" w15:restartNumberingAfterBreak="0">
    <w:nsid w:val="18761CF7"/>
    <w:multiLevelType w:val="hybridMultilevel"/>
    <w:tmpl w:val="F2D67F18"/>
    <w:lvl w:ilvl="0" w:tplc="2E141102">
      <w:start w:val="8"/>
      <w:numFmt w:val="decimal"/>
      <w:lvlText w:val="%1."/>
      <w:lvlJc w:val="left"/>
      <w:pPr>
        <w:ind w:left="1800" w:hanging="360"/>
      </w:pPr>
      <w:rPr>
        <w:b w:val="0"/>
        <w:color w:val="000000"/>
      </w:r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8" w15:restartNumberingAfterBreak="0">
    <w:nsid w:val="18DF65A4"/>
    <w:multiLevelType w:val="hybridMultilevel"/>
    <w:tmpl w:val="0A42ED42"/>
    <w:lvl w:ilvl="0" w:tplc="85A8F676">
      <w:start w:val="1"/>
      <w:numFmt w:val="decimal"/>
      <w:lvlText w:val="%1."/>
      <w:lvlJc w:val="left"/>
      <w:pPr>
        <w:ind w:left="100" w:hanging="720"/>
      </w:pPr>
      <w:rPr>
        <w:rFonts w:ascii="Times New Roman" w:eastAsia="Times New Roman" w:hAnsi="Times New Roman" w:cs="Times New Roman" w:hint="default"/>
        <w:w w:val="100"/>
        <w:sz w:val="22"/>
        <w:szCs w:val="22"/>
        <w:lang w:val="es-ES" w:eastAsia="en-US" w:bidi="ar-SA"/>
      </w:rPr>
    </w:lvl>
    <w:lvl w:ilvl="1" w:tplc="A0F670B2">
      <w:numFmt w:val="bullet"/>
      <w:lvlText w:val="•"/>
      <w:lvlJc w:val="left"/>
      <w:pPr>
        <w:ind w:left="1048" w:hanging="720"/>
      </w:pPr>
      <w:rPr>
        <w:lang w:val="es-ES" w:eastAsia="en-US" w:bidi="ar-SA"/>
      </w:rPr>
    </w:lvl>
    <w:lvl w:ilvl="2" w:tplc="FEFEF052">
      <w:numFmt w:val="bullet"/>
      <w:lvlText w:val="•"/>
      <w:lvlJc w:val="left"/>
      <w:pPr>
        <w:ind w:left="1996" w:hanging="720"/>
      </w:pPr>
      <w:rPr>
        <w:lang w:val="es-ES" w:eastAsia="en-US" w:bidi="ar-SA"/>
      </w:rPr>
    </w:lvl>
    <w:lvl w:ilvl="3" w:tplc="24FC4CA0">
      <w:numFmt w:val="bullet"/>
      <w:lvlText w:val="•"/>
      <w:lvlJc w:val="left"/>
      <w:pPr>
        <w:ind w:left="2944" w:hanging="720"/>
      </w:pPr>
      <w:rPr>
        <w:lang w:val="es-ES" w:eastAsia="en-US" w:bidi="ar-SA"/>
      </w:rPr>
    </w:lvl>
    <w:lvl w:ilvl="4" w:tplc="174E4EEA">
      <w:numFmt w:val="bullet"/>
      <w:lvlText w:val="•"/>
      <w:lvlJc w:val="left"/>
      <w:pPr>
        <w:ind w:left="3892" w:hanging="720"/>
      </w:pPr>
      <w:rPr>
        <w:lang w:val="es-ES" w:eastAsia="en-US" w:bidi="ar-SA"/>
      </w:rPr>
    </w:lvl>
    <w:lvl w:ilvl="5" w:tplc="CCA4550A">
      <w:numFmt w:val="bullet"/>
      <w:lvlText w:val="•"/>
      <w:lvlJc w:val="left"/>
      <w:pPr>
        <w:ind w:left="4840" w:hanging="720"/>
      </w:pPr>
      <w:rPr>
        <w:lang w:val="es-ES" w:eastAsia="en-US" w:bidi="ar-SA"/>
      </w:rPr>
    </w:lvl>
    <w:lvl w:ilvl="6" w:tplc="E5883BD0">
      <w:numFmt w:val="bullet"/>
      <w:lvlText w:val="•"/>
      <w:lvlJc w:val="left"/>
      <w:pPr>
        <w:ind w:left="5788" w:hanging="720"/>
      </w:pPr>
      <w:rPr>
        <w:lang w:val="es-ES" w:eastAsia="en-US" w:bidi="ar-SA"/>
      </w:rPr>
    </w:lvl>
    <w:lvl w:ilvl="7" w:tplc="E43E9E1A">
      <w:numFmt w:val="bullet"/>
      <w:lvlText w:val="•"/>
      <w:lvlJc w:val="left"/>
      <w:pPr>
        <w:ind w:left="6736" w:hanging="720"/>
      </w:pPr>
      <w:rPr>
        <w:lang w:val="es-ES" w:eastAsia="en-US" w:bidi="ar-SA"/>
      </w:rPr>
    </w:lvl>
    <w:lvl w:ilvl="8" w:tplc="C3F4EB10">
      <w:numFmt w:val="bullet"/>
      <w:lvlText w:val="•"/>
      <w:lvlJc w:val="left"/>
      <w:pPr>
        <w:ind w:left="7684" w:hanging="720"/>
      </w:pPr>
      <w:rPr>
        <w:lang w:val="es-ES" w:eastAsia="en-US" w:bidi="ar-SA"/>
      </w:rPr>
    </w:lvl>
  </w:abstractNum>
  <w:abstractNum w:abstractNumId="9" w15:restartNumberingAfterBreak="0">
    <w:nsid w:val="1971290A"/>
    <w:multiLevelType w:val="hybridMultilevel"/>
    <w:tmpl w:val="B05AE358"/>
    <w:lvl w:ilvl="0" w:tplc="3716B012">
      <w:start w:val="1"/>
      <w:numFmt w:val="lowerRoman"/>
      <w:lvlText w:val="%1."/>
      <w:lvlJc w:val="left"/>
      <w:pPr>
        <w:ind w:left="1800" w:hanging="360"/>
      </w:pPr>
      <w:rPr>
        <w:b w:val="0"/>
      </w:rPr>
    </w:lvl>
    <w:lvl w:ilvl="1" w:tplc="FFFFFFFF">
      <w:start w:val="1"/>
      <w:numFmt w:val="decimal"/>
      <w:lvlText w:val="%2."/>
      <w:lvlJc w:val="left"/>
      <w:pPr>
        <w:ind w:left="3600" w:hanging="1440"/>
      </w:pPr>
    </w:lvl>
    <w:lvl w:ilvl="2" w:tplc="FFFFFFFF">
      <w:start w:val="1"/>
      <w:numFmt w:val="lowerLetter"/>
      <w:lvlText w:val="%3."/>
      <w:lvlJc w:val="left"/>
      <w:pPr>
        <w:ind w:left="3420" w:hanging="36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0" w15:restartNumberingAfterBreak="0">
    <w:nsid w:val="1D184A69"/>
    <w:multiLevelType w:val="hybridMultilevel"/>
    <w:tmpl w:val="CAC80476"/>
    <w:lvl w:ilvl="0" w:tplc="A7C24336">
      <w:start w:val="1"/>
      <w:numFmt w:val="upperLetter"/>
      <w:lvlText w:val="%1."/>
      <w:lvlJc w:val="left"/>
      <w:pPr>
        <w:ind w:left="720" w:hanging="360"/>
      </w:pPr>
      <w:rPr>
        <w:rFonts w:cs="Times New Roman"/>
      </w:rPr>
    </w:lvl>
    <w:lvl w:ilvl="1" w:tplc="E4A088F0">
      <w:start w:val="1"/>
      <w:numFmt w:val="lowerLetter"/>
      <w:lvlText w:val="%2."/>
      <w:lvlJc w:val="left"/>
      <w:pPr>
        <w:ind w:left="1440" w:hanging="360"/>
      </w:pPr>
      <w:rPr>
        <w:rFonts w:cs="Times New Roman"/>
      </w:rPr>
    </w:lvl>
    <w:lvl w:ilvl="2" w:tplc="CDBAED78">
      <w:start w:val="1"/>
      <w:numFmt w:val="lowerRoman"/>
      <w:lvlText w:val="%3."/>
      <w:lvlJc w:val="right"/>
      <w:pPr>
        <w:ind w:left="2160" w:hanging="180"/>
      </w:pPr>
      <w:rPr>
        <w:rFonts w:cs="Times New Roman"/>
      </w:rPr>
    </w:lvl>
    <w:lvl w:ilvl="3" w:tplc="B5562FA0">
      <w:start w:val="1"/>
      <w:numFmt w:val="decimal"/>
      <w:lvlText w:val="%4."/>
      <w:lvlJc w:val="left"/>
      <w:pPr>
        <w:ind w:left="2880" w:hanging="360"/>
      </w:pPr>
      <w:rPr>
        <w:rFonts w:cs="Times New Roman"/>
      </w:rPr>
    </w:lvl>
    <w:lvl w:ilvl="4" w:tplc="984410B8">
      <w:start w:val="1"/>
      <w:numFmt w:val="lowerLetter"/>
      <w:lvlText w:val="%5."/>
      <w:lvlJc w:val="left"/>
      <w:pPr>
        <w:ind w:left="3600" w:hanging="360"/>
      </w:pPr>
      <w:rPr>
        <w:rFonts w:cs="Times New Roman"/>
      </w:rPr>
    </w:lvl>
    <w:lvl w:ilvl="5" w:tplc="E31095EC">
      <w:start w:val="1"/>
      <w:numFmt w:val="lowerRoman"/>
      <w:lvlText w:val="%6."/>
      <w:lvlJc w:val="right"/>
      <w:pPr>
        <w:ind w:left="4320" w:hanging="180"/>
      </w:pPr>
      <w:rPr>
        <w:rFonts w:cs="Times New Roman"/>
      </w:rPr>
    </w:lvl>
    <w:lvl w:ilvl="6" w:tplc="1682D1E2">
      <w:start w:val="1"/>
      <w:numFmt w:val="decimal"/>
      <w:lvlText w:val="%7."/>
      <w:lvlJc w:val="left"/>
      <w:pPr>
        <w:ind w:left="5040" w:hanging="360"/>
      </w:pPr>
      <w:rPr>
        <w:rFonts w:cs="Times New Roman"/>
      </w:rPr>
    </w:lvl>
    <w:lvl w:ilvl="7" w:tplc="5CA6C3E0">
      <w:start w:val="1"/>
      <w:numFmt w:val="lowerLetter"/>
      <w:lvlText w:val="%8."/>
      <w:lvlJc w:val="left"/>
      <w:pPr>
        <w:ind w:left="5760" w:hanging="360"/>
      </w:pPr>
      <w:rPr>
        <w:rFonts w:cs="Times New Roman"/>
      </w:rPr>
    </w:lvl>
    <w:lvl w:ilvl="8" w:tplc="E0D27A24">
      <w:start w:val="1"/>
      <w:numFmt w:val="lowerRoman"/>
      <w:lvlText w:val="%9."/>
      <w:lvlJc w:val="right"/>
      <w:pPr>
        <w:ind w:left="6480" w:hanging="180"/>
      </w:pPr>
      <w:rPr>
        <w:rFonts w:cs="Times New Roman"/>
      </w:rPr>
    </w:lvl>
  </w:abstractNum>
  <w:abstractNum w:abstractNumId="11" w15:restartNumberingAfterBreak="0">
    <w:nsid w:val="1D5F7229"/>
    <w:multiLevelType w:val="hybridMultilevel"/>
    <w:tmpl w:val="F1DE6EFE"/>
    <w:lvl w:ilvl="0" w:tplc="04090019">
      <w:start w:val="1"/>
      <w:numFmt w:val="lowerLetter"/>
      <w:lvlText w:val="%1."/>
      <w:lvlJc w:val="left"/>
      <w:pPr>
        <w:ind w:left="720" w:hanging="360"/>
      </w:pPr>
    </w:lvl>
    <w:lvl w:ilvl="1" w:tplc="04090017">
      <w:start w:val="1"/>
      <w:numFmt w:val="lowerLetter"/>
      <w:lvlText w:val="%2)"/>
      <w:lvlJc w:val="left"/>
      <w:pPr>
        <w:ind w:left="1440" w:hanging="360"/>
      </w:pPr>
      <w:rPr>
        <w:i w:val="0"/>
      </w:rPr>
    </w:lvl>
    <w:lvl w:ilvl="2" w:tplc="9F50496E">
      <w:start w:val="1"/>
      <w:numFmt w:val="lowerLetter"/>
      <w:lvlText w:val="%3)"/>
      <w:lvlJc w:val="left"/>
      <w:pPr>
        <w:ind w:left="2340" w:hanging="36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1D853858"/>
    <w:multiLevelType w:val="hybridMultilevel"/>
    <w:tmpl w:val="6CCC335A"/>
    <w:lvl w:ilvl="0" w:tplc="1884FB16">
      <w:start w:val="22"/>
      <w:numFmt w:val="decimal"/>
      <w:lvlText w:val="%1."/>
      <w:lvlJc w:val="left"/>
      <w:pPr>
        <w:ind w:left="1080" w:hanging="360"/>
      </w:pPr>
      <w:rPr>
        <w:i w:val="0"/>
        <w:strike w:val="0"/>
        <w:dstrike w:val="0"/>
        <w:color w:val="000000"/>
        <w:u w:val="none" w:color="000000"/>
        <w:effect w:val="no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15:restartNumberingAfterBreak="0">
    <w:nsid w:val="1E125676"/>
    <w:multiLevelType w:val="hybridMultilevel"/>
    <w:tmpl w:val="2FA2C758"/>
    <w:lvl w:ilvl="0" w:tplc="214A59FA">
      <w:start w:val="2"/>
      <w:numFmt w:val="upperRoman"/>
      <w:lvlText w:val="%1."/>
      <w:lvlJc w:val="left"/>
      <w:pPr>
        <w:ind w:left="1260" w:hanging="72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4" w15:restartNumberingAfterBreak="0">
    <w:nsid w:val="1E927AD4"/>
    <w:multiLevelType w:val="hybridMultilevel"/>
    <w:tmpl w:val="D4CE76E6"/>
    <w:lvl w:ilvl="0" w:tplc="A9688DBE">
      <w:start w:val="2"/>
      <w:numFmt w:val="decimal"/>
      <w:lvlText w:val="%1."/>
      <w:lvlJc w:val="left"/>
      <w:pPr>
        <w:ind w:left="975" w:hanging="615"/>
      </w:pPr>
      <w:rPr>
        <w:rFonts w:ascii="Times New Roman" w:eastAsia="Calibri" w:hAnsi="Times New Roman" w:cs="Times New Roman"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1F4971E5"/>
    <w:multiLevelType w:val="hybridMultilevel"/>
    <w:tmpl w:val="56CAE41E"/>
    <w:lvl w:ilvl="0" w:tplc="9558BD5E">
      <w:start w:val="3"/>
      <w:numFmt w:val="lowerLetter"/>
      <w:lvlText w:val="%1)"/>
      <w:lvlJc w:val="left"/>
      <w:pPr>
        <w:ind w:left="1890" w:hanging="360"/>
      </w:pPr>
      <w:rPr>
        <w:b w:val="0"/>
        <w:i w:val="0"/>
        <w:strike w:val="0"/>
        <w:dstrike w:val="0"/>
        <w:color w:val="auto"/>
        <w:u w:val="none"/>
        <w:effect w:val="no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15:restartNumberingAfterBreak="0">
    <w:nsid w:val="1F5A7A06"/>
    <w:multiLevelType w:val="hybridMultilevel"/>
    <w:tmpl w:val="D33EA6C0"/>
    <w:lvl w:ilvl="0" w:tplc="3E9C5530">
      <w:start w:val="1"/>
      <w:numFmt w:val="upperLetter"/>
      <w:lvlText w:val="%1."/>
      <w:lvlJc w:val="left"/>
      <w:pPr>
        <w:ind w:left="720" w:hanging="360"/>
      </w:pPr>
      <w:rPr>
        <w:rFonts w:cs="Times New Roman"/>
      </w:rPr>
    </w:lvl>
    <w:lvl w:ilvl="1" w:tplc="8A4C0FD2">
      <w:start w:val="1"/>
      <w:numFmt w:val="lowerLetter"/>
      <w:lvlText w:val="%2."/>
      <w:lvlJc w:val="left"/>
      <w:pPr>
        <w:ind w:left="1440" w:hanging="360"/>
      </w:pPr>
      <w:rPr>
        <w:rFonts w:cs="Times New Roman"/>
      </w:rPr>
    </w:lvl>
    <w:lvl w:ilvl="2" w:tplc="49245BDE">
      <w:start w:val="1"/>
      <w:numFmt w:val="lowerRoman"/>
      <w:lvlText w:val="%3."/>
      <w:lvlJc w:val="right"/>
      <w:pPr>
        <w:ind w:left="2160" w:hanging="180"/>
      </w:pPr>
      <w:rPr>
        <w:rFonts w:cs="Times New Roman"/>
      </w:rPr>
    </w:lvl>
    <w:lvl w:ilvl="3" w:tplc="BC126E4C">
      <w:start w:val="1"/>
      <w:numFmt w:val="decimal"/>
      <w:lvlText w:val="%4."/>
      <w:lvlJc w:val="left"/>
      <w:pPr>
        <w:ind w:left="2880" w:hanging="360"/>
      </w:pPr>
      <w:rPr>
        <w:rFonts w:cs="Times New Roman"/>
      </w:rPr>
    </w:lvl>
    <w:lvl w:ilvl="4" w:tplc="EA3A5136">
      <w:start w:val="1"/>
      <w:numFmt w:val="lowerLetter"/>
      <w:lvlText w:val="%5."/>
      <w:lvlJc w:val="left"/>
      <w:pPr>
        <w:ind w:left="3600" w:hanging="360"/>
      </w:pPr>
      <w:rPr>
        <w:rFonts w:cs="Times New Roman"/>
      </w:rPr>
    </w:lvl>
    <w:lvl w:ilvl="5" w:tplc="EBDC1752">
      <w:start w:val="1"/>
      <w:numFmt w:val="lowerRoman"/>
      <w:lvlText w:val="%6."/>
      <w:lvlJc w:val="right"/>
      <w:pPr>
        <w:ind w:left="4320" w:hanging="180"/>
      </w:pPr>
      <w:rPr>
        <w:rFonts w:cs="Times New Roman"/>
      </w:rPr>
    </w:lvl>
    <w:lvl w:ilvl="6" w:tplc="00947C88">
      <w:start w:val="1"/>
      <w:numFmt w:val="decimal"/>
      <w:lvlText w:val="%7."/>
      <w:lvlJc w:val="left"/>
      <w:pPr>
        <w:ind w:left="5040" w:hanging="360"/>
      </w:pPr>
      <w:rPr>
        <w:rFonts w:cs="Times New Roman"/>
      </w:rPr>
    </w:lvl>
    <w:lvl w:ilvl="7" w:tplc="E536083C">
      <w:start w:val="1"/>
      <w:numFmt w:val="lowerLetter"/>
      <w:lvlText w:val="%8."/>
      <w:lvlJc w:val="left"/>
      <w:pPr>
        <w:ind w:left="5760" w:hanging="360"/>
      </w:pPr>
      <w:rPr>
        <w:rFonts w:cs="Times New Roman"/>
      </w:rPr>
    </w:lvl>
    <w:lvl w:ilvl="8" w:tplc="51FA576E">
      <w:start w:val="1"/>
      <w:numFmt w:val="lowerRoman"/>
      <w:lvlText w:val="%9."/>
      <w:lvlJc w:val="right"/>
      <w:pPr>
        <w:ind w:left="6480" w:hanging="180"/>
      </w:pPr>
      <w:rPr>
        <w:rFonts w:cs="Times New Roman"/>
      </w:rPr>
    </w:lvl>
  </w:abstractNum>
  <w:abstractNum w:abstractNumId="17" w15:restartNumberingAfterBreak="0">
    <w:nsid w:val="1F63491B"/>
    <w:multiLevelType w:val="hybridMultilevel"/>
    <w:tmpl w:val="44A4CFAC"/>
    <w:lvl w:ilvl="0" w:tplc="63C4ECA6">
      <w:start w:val="14"/>
      <w:numFmt w:val="decimal"/>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8" w15:restartNumberingAfterBreak="0">
    <w:nsid w:val="261640B8"/>
    <w:multiLevelType w:val="hybridMultilevel"/>
    <w:tmpl w:val="17B49A0A"/>
    <w:lvl w:ilvl="0" w:tplc="DDD84A1E">
      <w:start w:val="1"/>
      <w:numFmt w:val="lowerLetter"/>
      <w:lvlText w:val="%1)"/>
      <w:lvlJc w:val="left"/>
      <w:pPr>
        <w:ind w:left="1080" w:hanging="360"/>
      </w:pPr>
      <w:rPr>
        <w:sz w:val="22"/>
        <w:szCs w:val="22"/>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start w:val="1"/>
      <w:numFmt w:val="bullet"/>
      <w:lvlText w:val=""/>
      <w:lvlJc w:val="left"/>
      <w:pPr>
        <w:ind w:left="3240" w:hanging="360"/>
      </w:pPr>
      <w:rPr>
        <w:rFonts w:ascii="Symbol" w:hAnsi="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hint="default"/>
      </w:rPr>
    </w:lvl>
    <w:lvl w:ilvl="6" w:tplc="04160001">
      <w:start w:val="1"/>
      <w:numFmt w:val="bullet"/>
      <w:lvlText w:val=""/>
      <w:lvlJc w:val="left"/>
      <w:pPr>
        <w:ind w:left="5400" w:hanging="360"/>
      </w:pPr>
      <w:rPr>
        <w:rFonts w:ascii="Symbol" w:hAnsi="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hint="default"/>
      </w:rPr>
    </w:lvl>
  </w:abstractNum>
  <w:abstractNum w:abstractNumId="19" w15:restartNumberingAfterBreak="0">
    <w:nsid w:val="288350D5"/>
    <w:multiLevelType w:val="hybridMultilevel"/>
    <w:tmpl w:val="A28EC0E4"/>
    <w:lvl w:ilvl="0" w:tplc="04090017">
      <w:start w:val="1"/>
      <w:numFmt w:val="lowerLetter"/>
      <w:lvlText w:val="%1)"/>
      <w:lvlJc w:val="left"/>
      <w:pPr>
        <w:ind w:left="2520" w:hanging="360"/>
      </w:pPr>
    </w:lvl>
    <w:lvl w:ilvl="1" w:tplc="04090017">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20" w15:restartNumberingAfterBreak="0">
    <w:nsid w:val="2C0F7CF7"/>
    <w:multiLevelType w:val="hybridMultilevel"/>
    <w:tmpl w:val="F84AD26C"/>
    <w:lvl w:ilvl="0" w:tplc="366E996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C725A2B"/>
    <w:multiLevelType w:val="hybridMultilevel"/>
    <w:tmpl w:val="7E74AD8E"/>
    <w:lvl w:ilvl="0" w:tplc="D1E6F3C4">
      <w:start w:val="1"/>
      <w:numFmt w:val="lowerLetter"/>
      <w:lvlText w:val="%1)"/>
      <w:lvlJc w:val="left"/>
      <w:pPr>
        <w:ind w:left="19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2EE37C8F"/>
    <w:multiLevelType w:val="hybridMultilevel"/>
    <w:tmpl w:val="B504D6DC"/>
    <w:lvl w:ilvl="0" w:tplc="3E989FF2">
      <w:start w:val="3"/>
      <w:numFmt w:val="decimal"/>
      <w:lvlText w:val="%1."/>
      <w:lvlJc w:val="left"/>
      <w:pPr>
        <w:ind w:left="1080" w:hanging="360"/>
      </w:pPr>
      <w:rPr>
        <w:strike w:val="0"/>
        <w:dstrike w:val="0"/>
        <w:u w:val="none" w:color="000000"/>
        <w:effect w:val="none"/>
      </w:rPr>
    </w:lvl>
    <w:lvl w:ilvl="1" w:tplc="5A422DFA">
      <w:start w:val="1"/>
      <w:numFmt w:val="lowerLetter"/>
      <w:lvlText w:val="%2)"/>
      <w:lvlJc w:val="left"/>
      <w:pPr>
        <w:ind w:left="1800" w:hanging="360"/>
      </w:pPr>
      <w:rPr>
        <w:b w:val="0"/>
        <w:i w:val="0"/>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3" w15:restartNumberingAfterBreak="0">
    <w:nsid w:val="2EF22B74"/>
    <w:multiLevelType w:val="hybridMultilevel"/>
    <w:tmpl w:val="B45E2F6E"/>
    <w:lvl w:ilvl="0" w:tplc="E6448362">
      <w:start w:val="1"/>
      <w:numFmt w:val="upperLetter"/>
      <w:lvlText w:val="%1."/>
      <w:lvlJc w:val="left"/>
      <w:pPr>
        <w:ind w:left="720" w:hanging="360"/>
      </w:pPr>
      <w:rPr>
        <w:rFonts w:cs="Times New Roman"/>
      </w:rPr>
    </w:lvl>
    <w:lvl w:ilvl="1" w:tplc="04090017">
      <w:start w:val="1"/>
      <w:numFmt w:val="lowerLetter"/>
      <w:lvlText w:val="%2)"/>
      <w:lvlJc w:val="left"/>
      <w:pPr>
        <w:ind w:left="1440" w:hanging="360"/>
      </w:pPr>
    </w:lvl>
    <w:lvl w:ilvl="2" w:tplc="21B80234">
      <w:start w:val="1"/>
      <w:numFmt w:val="lowerRoman"/>
      <w:lvlText w:val="%3."/>
      <w:lvlJc w:val="right"/>
      <w:pPr>
        <w:ind w:left="2160" w:hanging="180"/>
      </w:pPr>
      <w:rPr>
        <w:rFonts w:cs="Times New Roman"/>
      </w:rPr>
    </w:lvl>
    <w:lvl w:ilvl="3" w:tplc="C44E87DC">
      <w:start w:val="1"/>
      <w:numFmt w:val="decimal"/>
      <w:lvlText w:val="%4."/>
      <w:lvlJc w:val="left"/>
      <w:pPr>
        <w:ind w:left="2880" w:hanging="360"/>
      </w:pPr>
      <w:rPr>
        <w:rFonts w:cs="Times New Roman"/>
      </w:rPr>
    </w:lvl>
    <w:lvl w:ilvl="4" w:tplc="AD3C636E">
      <w:start w:val="1"/>
      <w:numFmt w:val="lowerLetter"/>
      <w:lvlText w:val="%5."/>
      <w:lvlJc w:val="left"/>
      <w:pPr>
        <w:ind w:left="3600" w:hanging="360"/>
      </w:pPr>
      <w:rPr>
        <w:rFonts w:cs="Times New Roman"/>
      </w:rPr>
    </w:lvl>
    <w:lvl w:ilvl="5" w:tplc="EB1AEDDA">
      <w:start w:val="1"/>
      <w:numFmt w:val="lowerRoman"/>
      <w:lvlText w:val="%6."/>
      <w:lvlJc w:val="right"/>
      <w:pPr>
        <w:ind w:left="4320" w:hanging="180"/>
      </w:pPr>
      <w:rPr>
        <w:rFonts w:cs="Times New Roman"/>
      </w:rPr>
    </w:lvl>
    <w:lvl w:ilvl="6" w:tplc="5E74EFBC">
      <w:start w:val="1"/>
      <w:numFmt w:val="decimal"/>
      <w:lvlText w:val="%7."/>
      <w:lvlJc w:val="left"/>
      <w:pPr>
        <w:ind w:left="5040" w:hanging="360"/>
      </w:pPr>
      <w:rPr>
        <w:rFonts w:cs="Times New Roman"/>
      </w:rPr>
    </w:lvl>
    <w:lvl w:ilvl="7" w:tplc="8154F45C">
      <w:start w:val="1"/>
      <w:numFmt w:val="lowerLetter"/>
      <w:lvlText w:val="%8."/>
      <w:lvlJc w:val="left"/>
      <w:pPr>
        <w:ind w:left="5760" w:hanging="360"/>
      </w:pPr>
      <w:rPr>
        <w:rFonts w:cs="Times New Roman"/>
      </w:rPr>
    </w:lvl>
    <w:lvl w:ilvl="8" w:tplc="320EB746">
      <w:start w:val="1"/>
      <w:numFmt w:val="lowerRoman"/>
      <w:lvlText w:val="%9."/>
      <w:lvlJc w:val="right"/>
      <w:pPr>
        <w:ind w:left="6480" w:hanging="180"/>
      </w:pPr>
      <w:rPr>
        <w:rFonts w:cs="Times New Roman"/>
      </w:rPr>
    </w:lvl>
  </w:abstractNum>
  <w:abstractNum w:abstractNumId="24" w15:restartNumberingAfterBreak="0">
    <w:nsid w:val="2FDB1AE2"/>
    <w:multiLevelType w:val="hybridMultilevel"/>
    <w:tmpl w:val="EF8EE218"/>
    <w:lvl w:ilvl="0" w:tplc="D38C2874">
      <w:start w:val="1"/>
      <w:numFmt w:val="lowerRoman"/>
      <w:lvlText w:val="(%1)"/>
      <w:lvlJc w:val="left"/>
      <w:pPr>
        <w:ind w:left="1890" w:hanging="360"/>
      </w:pPr>
      <w:rPr>
        <w:b w:val="0"/>
        <w:i w:val="0"/>
        <w:strike w:val="0"/>
        <w:dstrike w:val="0"/>
        <w:color w:val="auto"/>
        <w:u w:val="none"/>
        <w:effect w:val="no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31D044DB"/>
    <w:multiLevelType w:val="hybridMultilevel"/>
    <w:tmpl w:val="EC54F62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6" w15:restartNumberingAfterBreak="0">
    <w:nsid w:val="33952554"/>
    <w:multiLevelType w:val="hybridMultilevel"/>
    <w:tmpl w:val="4DDC7534"/>
    <w:lvl w:ilvl="0" w:tplc="DBC47F12">
      <w:start w:val="1"/>
      <w:numFmt w:val="decimal"/>
      <w:lvlText w:val="%1."/>
      <w:lvlJc w:val="left"/>
      <w:pPr>
        <w:ind w:left="821" w:hanging="361"/>
      </w:pPr>
      <w:rPr>
        <w:rFonts w:ascii="Times New Roman" w:eastAsia="Times New Roman" w:hAnsi="Times New Roman" w:cs="Times New Roman" w:hint="default"/>
        <w:sz w:val="22"/>
        <w:szCs w:val="22"/>
        <w:lang w:val="es-ES" w:eastAsia="en-US" w:bidi="ar-SA"/>
      </w:rPr>
    </w:lvl>
    <w:lvl w:ilvl="1" w:tplc="13727CFC">
      <w:numFmt w:val="bullet"/>
      <w:lvlText w:val="•"/>
      <w:lvlJc w:val="left"/>
      <w:pPr>
        <w:ind w:left="1696" w:hanging="361"/>
      </w:pPr>
      <w:rPr>
        <w:lang w:val="es-ES" w:eastAsia="en-US" w:bidi="ar-SA"/>
      </w:rPr>
    </w:lvl>
    <w:lvl w:ilvl="2" w:tplc="43104C96">
      <w:numFmt w:val="bullet"/>
      <w:lvlText w:val="•"/>
      <w:lvlJc w:val="left"/>
      <w:pPr>
        <w:ind w:left="2572" w:hanging="361"/>
      </w:pPr>
      <w:rPr>
        <w:lang w:val="es-ES" w:eastAsia="en-US" w:bidi="ar-SA"/>
      </w:rPr>
    </w:lvl>
    <w:lvl w:ilvl="3" w:tplc="89B0B26E">
      <w:numFmt w:val="bullet"/>
      <w:lvlText w:val="•"/>
      <w:lvlJc w:val="left"/>
      <w:pPr>
        <w:ind w:left="3448" w:hanging="361"/>
      </w:pPr>
      <w:rPr>
        <w:lang w:val="es-ES" w:eastAsia="en-US" w:bidi="ar-SA"/>
      </w:rPr>
    </w:lvl>
    <w:lvl w:ilvl="4" w:tplc="C4AA28FE">
      <w:numFmt w:val="bullet"/>
      <w:lvlText w:val="•"/>
      <w:lvlJc w:val="left"/>
      <w:pPr>
        <w:ind w:left="4324" w:hanging="361"/>
      </w:pPr>
      <w:rPr>
        <w:lang w:val="es-ES" w:eastAsia="en-US" w:bidi="ar-SA"/>
      </w:rPr>
    </w:lvl>
    <w:lvl w:ilvl="5" w:tplc="F160B544">
      <w:numFmt w:val="bullet"/>
      <w:lvlText w:val="•"/>
      <w:lvlJc w:val="left"/>
      <w:pPr>
        <w:ind w:left="5200" w:hanging="361"/>
      </w:pPr>
      <w:rPr>
        <w:lang w:val="es-ES" w:eastAsia="en-US" w:bidi="ar-SA"/>
      </w:rPr>
    </w:lvl>
    <w:lvl w:ilvl="6" w:tplc="958A41D2">
      <w:numFmt w:val="bullet"/>
      <w:lvlText w:val="•"/>
      <w:lvlJc w:val="left"/>
      <w:pPr>
        <w:ind w:left="6076" w:hanging="361"/>
      </w:pPr>
      <w:rPr>
        <w:lang w:val="es-ES" w:eastAsia="en-US" w:bidi="ar-SA"/>
      </w:rPr>
    </w:lvl>
    <w:lvl w:ilvl="7" w:tplc="91F051BE">
      <w:numFmt w:val="bullet"/>
      <w:lvlText w:val="•"/>
      <w:lvlJc w:val="left"/>
      <w:pPr>
        <w:ind w:left="6952" w:hanging="361"/>
      </w:pPr>
      <w:rPr>
        <w:lang w:val="es-ES" w:eastAsia="en-US" w:bidi="ar-SA"/>
      </w:rPr>
    </w:lvl>
    <w:lvl w:ilvl="8" w:tplc="6414CE78">
      <w:numFmt w:val="bullet"/>
      <w:lvlText w:val="•"/>
      <w:lvlJc w:val="left"/>
      <w:pPr>
        <w:ind w:left="7828" w:hanging="361"/>
      </w:pPr>
      <w:rPr>
        <w:lang w:val="es-ES" w:eastAsia="en-US" w:bidi="ar-SA"/>
      </w:rPr>
    </w:lvl>
  </w:abstractNum>
  <w:abstractNum w:abstractNumId="27" w15:restartNumberingAfterBreak="0">
    <w:nsid w:val="34AC6FD6"/>
    <w:multiLevelType w:val="hybridMultilevel"/>
    <w:tmpl w:val="4D0AF160"/>
    <w:lvl w:ilvl="0" w:tplc="9C921CBA">
      <w:start w:val="56"/>
      <w:numFmt w:val="decimal"/>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8" w15:restartNumberingAfterBreak="0">
    <w:nsid w:val="371271EB"/>
    <w:multiLevelType w:val="hybridMultilevel"/>
    <w:tmpl w:val="17F21E20"/>
    <w:lvl w:ilvl="0" w:tplc="2F820BD0">
      <w:start w:val="22"/>
      <w:numFmt w:val="decimal"/>
      <w:lvlText w:val="%1"/>
      <w:lvlJc w:val="left"/>
      <w:pPr>
        <w:ind w:left="2520" w:hanging="360"/>
      </w:pPr>
      <w:rPr>
        <w:rFonts w:hint="default"/>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D06269"/>
    <w:multiLevelType w:val="hybridMultilevel"/>
    <w:tmpl w:val="7E806496"/>
    <w:lvl w:ilvl="0" w:tplc="66902AA2">
      <w:start w:val="1"/>
      <w:numFmt w:val="lowerLetter"/>
      <w:lvlText w:val="%1)"/>
      <w:lvlJc w:val="left"/>
      <w:pPr>
        <w:ind w:left="1440" w:hanging="360"/>
      </w:pPr>
      <w:rPr>
        <w:b w:val="0"/>
        <w:strike w:val="0"/>
        <w:dstrike w:val="0"/>
        <w:color w:val="auto"/>
        <w:u w:val="none"/>
        <w:effect w:val="none"/>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0" w15:restartNumberingAfterBreak="0">
    <w:nsid w:val="3CAF53BD"/>
    <w:multiLevelType w:val="hybridMultilevel"/>
    <w:tmpl w:val="78CEE0F8"/>
    <w:lvl w:ilvl="0" w:tplc="A238F04E">
      <w:start w:val="55"/>
      <w:numFmt w:val="decimal"/>
      <w:lvlText w:val="%1."/>
      <w:lvlJc w:val="left"/>
      <w:pPr>
        <w:ind w:left="1440" w:hanging="360"/>
      </w:pPr>
      <w:rPr>
        <w:rFonts w:ascii="CG Times" w:hAnsi="CG 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F34088"/>
    <w:multiLevelType w:val="hybridMultilevel"/>
    <w:tmpl w:val="68FE32F2"/>
    <w:lvl w:ilvl="0" w:tplc="8B0A70DE">
      <w:start w:val="1"/>
      <w:numFmt w:val="lowerRoman"/>
      <w:lvlText w:val="%1."/>
      <w:lvlJc w:val="left"/>
      <w:pPr>
        <w:ind w:left="7920" w:hanging="360"/>
      </w:pPr>
    </w:lvl>
    <w:lvl w:ilvl="1" w:tplc="04090019">
      <w:start w:val="1"/>
      <w:numFmt w:val="lowerLetter"/>
      <w:lvlText w:val="%2."/>
      <w:lvlJc w:val="left"/>
      <w:pPr>
        <w:ind w:left="8640" w:hanging="360"/>
      </w:pPr>
    </w:lvl>
    <w:lvl w:ilvl="2" w:tplc="0409001B">
      <w:start w:val="1"/>
      <w:numFmt w:val="lowerRoman"/>
      <w:lvlText w:val="%3."/>
      <w:lvlJc w:val="right"/>
      <w:pPr>
        <w:ind w:left="9360" w:hanging="180"/>
      </w:pPr>
    </w:lvl>
    <w:lvl w:ilvl="3" w:tplc="0409000F">
      <w:start w:val="1"/>
      <w:numFmt w:val="decimal"/>
      <w:lvlText w:val="%4."/>
      <w:lvlJc w:val="left"/>
      <w:pPr>
        <w:ind w:left="10080" w:hanging="360"/>
      </w:pPr>
    </w:lvl>
    <w:lvl w:ilvl="4" w:tplc="04090019">
      <w:start w:val="1"/>
      <w:numFmt w:val="lowerLetter"/>
      <w:lvlText w:val="%5."/>
      <w:lvlJc w:val="left"/>
      <w:pPr>
        <w:ind w:left="10800" w:hanging="360"/>
      </w:pPr>
    </w:lvl>
    <w:lvl w:ilvl="5" w:tplc="0409001B">
      <w:start w:val="1"/>
      <w:numFmt w:val="lowerRoman"/>
      <w:lvlText w:val="%6."/>
      <w:lvlJc w:val="right"/>
      <w:pPr>
        <w:ind w:left="11520" w:hanging="180"/>
      </w:pPr>
    </w:lvl>
    <w:lvl w:ilvl="6" w:tplc="0409000F">
      <w:start w:val="1"/>
      <w:numFmt w:val="decimal"/>
      <w:lvlText w:val="%7."/>
      <w:lvlJc w:val="left"/>
      <w:pPr>
        <w:ind w:left="12240" w:hanging="360"/>
      </w:pPr>
    </w:lvl>
    <w:lvl w:ilvl="7" w:tplc="04090019">
      <w:start w:val="1"/>
      <w:numFmt w:val="lowerLetter"/>
      <w:lvlText w:val="%8."/>
      <w:lvlJc w:val="left"/>
      <w:pPr>
        <w:ind w:left="12960" w:hanging="360"/>
      </w:pPr>
    </w:lvl>
    <w:lvl w:ilvl="8" w:tplc="0409001B">
      <w:start w:val="1"/>
      <w:numFmt w:val="lowerRoman"/>
      <w:lvlText w:val="%9."/>
      <w:lvlJc w:val="right"/>
      <w:pPr>
        <w:ind w:left="13680" w:hanging="180"/>
      </w:pPr>
    </w:lvl>
  </w:abstractNum>
  <w:abstractNum w:abstractNumId="32" w15:restartNumberingAfterBreak="0">
    <w:nsid w:val="3F751E72"/>
    <w:multiLevelType w:val="hybridMultilevel"/>
    <w:tmpl w:val="28FCD302"/>
    <w:lvl w:ilvl="0" w:tplc="6B38DA4C">
      <w:start w:val="1"/>
      <w:numFmt w:val="lowerLetter"/>
      <w:lvlText w:val="%1)"/>
      <w:lvlJc w:val="left"/>
      <w:pPr>
        <w:ind w:left="720" w:hanging="360"/>
      </w:pPr>
      <w:rPr>
        <w:b w:val="0"/>
        <w:i w:val="0"/>
        <w:strike w:val="0"/>
        <w:dstrike w:val="0"/>
        <w:color w:val="auto"/>
        <w:sz w:val="22"/>
        <w:szCs w:val="22"/>
        <w:u w:val="none"/>
        <w:effect w:val="none"/>
      </w:rPr>
    </w:lvl>
    <w:lvl w:ilvl="1" w:tplc="96C6AE6A">
      <w:start w:val="1"/>
      <w:numFmt w:val="lowerLetter"/>
      <w:lvlText w:val="%2)"/>
      <w:lvlJc w:val="left"/>
      <w:pPr>
        <w:ind w:left="1440" w:hanging="360"/>
      </w:pPr>
      <w:rPr>
        <w:b w:val="0"/>
        <w:i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40BC24DA"/>
    <w:multiLevelType w:val="hybridMultilevel"/>
    <w:tmpl w:val="8B0CC0BE"/>
    <w:lvl w:ilvl="0" w:tplc="EAC29460">
      <w:start w:val="53"/>
      <w:numFmt w:val="decimal"/>
      <w:lvlText w:val="%1."/>
      <w:lvlJc w:val="left"/>
      <w:pPr>
        <w:ind w:left="1440" w:hanging="360"/>
      </w:pPr>
      <w:rPr>
        <w:rFonts w:ascii="CG Times" w:hAnsi="CG Times" w:hint="default"/>
      </w:r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34" w15:restartNumberingAfterBreak="0">
    <w:nsid w:val="49364EFE"/>
    <w:multiLevelType w:val="hybridMultilevel"/>
    <w:tmpl w:val="AE4AD8AA"/>
    <w:lvl w:ilvl="0" w:tplc="DCC89A40">
      <w:start w:val="1"/>
      <w:numFmt w:val="upperLetter"/>
      <w:lvlText w:val="%1."/>
      <w:lvlJc w:val="left"/>
      <w:pPr>
        <w:ind w:left="720" w:hanging="360"/>
      </w:pPr>
      <w:rPr>
        <w:rFonts w:cs="Times New Roman"/>
      </w:rPr>
    </w:lvl>
    <w:lvl w:ilvl="1" w:tplc="01126B60">
      <w:start w:val="1"/>
      <w:numFmt w:val="lowerLetter"/>
      <w:lvlText w:val="%2."/>
      <w:lvlJc w:val="left"/>
      <w:pPr>
        <w:ind w:left="1440" w:hanging="360"/>
      </w:pPr>
      <w:rPr>
        <w:rFonts w:cs="Times New Roman"/>
      </w:rPr>
    </w:lvl>
    <w:lvl w:ilvl="2" w:tplc="AD02CDEE">
      <w:start w:val="1"/>
      <w:numFmt w:val="lowerRoman"/>
      <w:lvlText w:val="%3."/>
      <w:lvlJc w:val="right"/>
      <w:pPr>
        <w:ind w:left="2160" w:hanging="180"/>
      </w:pPr>
      <w:rPr>
        <w:rFonts w:cs="Times New Roman"/>
      </w:rPr>
    </w:lvl>
    <w:lvl w:ilvl="3" w:tplc="E2767B5E">
      <w:start w:val="1"/>
      <w:numFmt w:val="decimal"/>
      <w:lvlText w:val="%4."/>
      <w:lvlJc w:val="left"/>
      <w:pPr>
        <w:ind w:left="2880" w:hanging="360"/>
      </w:pPr>
      <w:rPr>
        <w:rFonts w:cs="Times New Roman"/>
      </w:rPr>
    </w:lvl>
    <w:lvl w:ilvl="4" w:tplc="4D9A7B98">
      <w:start w:val="1"/>
      <w:numFmt w:val="lowerLetter"/>
      <w:lvlText w:val="%5."/>
      <w:lvlJc w:val="left"/>
      <w:pPr>
        <w:ind w:left="3600" w:hanging="360"/>
      </w:pPr>
      <w:rPr>
        <w:rFonts w:cs="Times New Roman"/>
      </w:rPr>
    </w:lvl>
    <w:lvl w:ilvl="5" w:tplc="029087C2">
      <w:start w:val="1"/>
      <w:numFmt w:val="lowerRoman"/>
      <w:lvlText w:val="%6."/>
      <w:lvlJc w:val="right"/>
      <w:pPr>
        <w:ind w:left="4320" w:hanging="180"/>
      </w:pPr>
      <w:rPr>
        <w:rFonts w:cs="Times New Roman"/>
      </w:rPr>
    </w:lvl>
    <w:lvl w:ilvl="6" w:tplc="C896AF40">
      <w:start w:val="1"/>
      <w:numFmt w:val="decimal"/>
      <w:lvlText w:val="%7."/>
      <w:lvlJc w:val="left"/>
      <w:pPr>
        <w:ind w:left="5040" w:hanging="360"/>
      </w:pPr>
      <w:rPr>
        <w:rFonts w:cs="Times New Roman"/>
      </w:rPr>
    </w:lvl>
    <w:lvl w:ilvl="7" w:tplc="D19CC30E">
      <w:start w:val="1"/>
      <w:numFmt w:val="lowerLetter"/>
      <w:lvlText w:val="%8."/>
      <w:lvlJc w:val="left"/>
      <w:pPr>
        <w:ind w:left="5760" w:hanging="360"/>
      </w:pPr>
      <w:rPr>
        <w:rFonts w:cs="Times New Roman"/>
      </w:rPr>
    </w:lvl>
    <w:lvl w:ilvl="8" w:tplc="9DDEFF24">
      <w:start w:val="1"/>
      <w:numFmt w:val="lowerRoman"/>
      <w:lvlText w:val="%9."/>
      <w:lvlJc w:val="right"/>
      <w:pPr>
        <w:ind w:left="6480" w:hanging="180"/>
      </w:pPr>
      <w:rPr>
        <w:rFonts w:cs="Times New Roman"/>
      </w:rPr>
    </w:lvl>
  </w:abstractNum>
  <w:abstractNum w:abstractNumId="35" w15:restartNumberingAfterBreak="0">
    <w:nsid w:val="4A3B7972"/>
    <w:multiLevelType w:val="hybridMultilevel"/>
    <w:tmpl w:val="B8A62B2E"/>
    <w:lvl w:ilvl="0" w:tplc="04160017">
      <w:start w:val="6"/>
      <w:numFmt w:val="lowerLetter"/>
      <w:lvlText w:val="%1)"/>
      <w:lvlJc w:val="left"/>
      <w:pPr>
        <w:ind w:left="1776" w:hanging="360"/>
      </w:p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start w:val="1"/>
      <w:numFmt w:val="decimal"/>
      <w:lvlText w:val="%4."/>
      <w:lvlJc w:val="left"/>
      <w:pPr>
        <w:ind w:left="3936" w:hanging="360"/>
      </w:pPr>
    </w:lvl>
    <w:lvl w:ilvl="4" w:tplc="04160019">
      <w:start w:val="1"/>
      <w:numFmt w:val="lowerLetter"/>
      <w:lvlText w:val="%5."/>
      <w:lvlJc w:val="left"/>
      <w:pPr>
        <w:ind w:left="4656" w:hanging="360"/>
      </w:pPr>
    </w:lvl>
    <w:lvl w:ilvl="5" w:tplc="0416001B">
      <w:start w:val="1"/>
      <w:numFmt w:val="lowerRoman"/>
      <w:lvlText w:val="%6."/>
      <w:lvlJc w:val="right"/>
      <w:pPr>
        <w:ind w:left="5376" w:hanging="180"/>
      </w:pPr>
    </w:lvl>
    <w:lvl w:ilvl="6" w:tplc="0416000F">
      <w:start w:val="1"/>
      <w:numFmt w:val="decimal"/>
      <w:lvlText w:val="%7."/>
      <w:lvlJc w:val="left"/>
      <w:pPr>
        <w:ind w:left="6096" w:hanging="360"/>
      </w:pPr>
    </w:lvl>
    <w:lvl w:ilvl="7" w:tplc="04160019">
      <w:start w:val="1"/>
      <w:numFmt w:val="lowerLetter"/>
      <w:lvlText w:val="%8."/>
      <w:lvlJc w:val="left"/>
      <w:pPr>
        <w:ind w:left="6816" w:hanging="360"/>
      </w:pPr>
    </w:lvl>
    <w:lvl w:ilvl="8" w:tplc="0416001B">
      <w:start w:val="1"/>
      <w:numFmt w:val="lowerRoman"/>
      <w:lvlText w:val="%9."/>
      <w:lvlJc w:val="right"/>
      <w:pPr>
        <w:ind w:left="7536" w:hanging="180"/>
      </w:pPr>
    </w:lvl>
  </w:abstractNum>
  <w:abstractNum w:abstractNumId="36" w15:restartNumberingAfterBreak="0">
    <w:nsid w:val="4E543096"/>
    <w:multiLevelType w:val="hybridMultilevel"/>
    <w:tmpl w:val="CDFCF6B4"/>
    <w:lvl w:ilvl="0" w:tplc="80442A8C">
      <w:start w:val="10"/>
      <w:numFmt w:val="decimal"/>
      <w:lvlText w:val="%1."/>
      <w:lvlJc w:val="left"/>
      <w:pPr>
        <w:ind w:left="7920" w:hanging="360"/>
      </w:pPr>
      <w:rPr>
        <w:strike w:val="0"/>
        <w:dstrike w:val="0"/>
        <w:u w:val="none" w:color="000000"/>
        <w:effect w:val="none"/>
      </w:rPr>
    </w:lvl>
    <w:lvl w:ilvl="1" w:tplc="04090017">
      <w:start w:val="1"/>
      <w:numFmt w:val="lowerLetter"/>
      <w:lvlText w:val="%2)"/>
      <w:lvlJc w:val="left"/>
      <w:pPr>
        <w:ind w:left="198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7" w15:restartNumberingAfterBreak="0">
    <w:nsid w:val="4E6A7892"/>
    <w:multiLevelType w:val="multilevel"/>
    <w:tmpl w:val="99E6B5A6"/>
    <w:lvl w:ilvl="0">
      <w:start w:val="3"/>
      <w:numFmt w:val="decimal"/>
      <w:lvlText w:val="%1."/>
      <w:lvlJc w:val="left"/>
      <w:pPr>
        <w:ind w:left="1080" w:hanging="360"/>
      </w:pPr>
      <w:rPr>
        <w:strike w:val="0"/>
        <w:dstrike w:val="0"/>
        <w:u w:val="none"/>
        <w:effect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4FAC4ECE"/>
    <w:multiLevelType w:val="hybridMultilevel"/>
    <w:tmpl w:val="E7041B4A"/>
    <w:lvl w:ilvl="0" w:tplc="325A002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4FBF0EB7"/>
    <w:multiLevelType w:val="hybridMultilevel"/>
    <w:tmpl w:val="E6B0AA3A"/>
    <w:lvl w:ilvl="0" w:tplc="9FC02DFE">
      <w:start w:val="2"/>
      <w:numFmt w:val="decimal"/>
      <w:lvlText w:val="%1."/>
      <w:lvlJc w:val="left"/>
      <w:pPr>
        <w:ind w:left="720" w:hanging="360"/>
      </w:pPr>
      <w:rPr>
        <w:rFonts w:eastAsia="Calibri"/>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0A228F2"/>
    <w:multiLevelType w:val="hybridMultilevel"/>
    <w:tmpl w:val="6DE2D934"/>
    <w:lvl w:ilvl="0" w:tplc="3E943316">
      <w:start w:val="1"/>
      <w:numFmt w:val="decimal"/>
      <w:lvlText w:val="%1."/>
      <w:lvlJc w:val="left"/>
      <w:pPr>
        <w:ind w:left="927" w:hanging="360"/>
      </w:pPr>
      <w:rPr>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1" w15:restartNumberingAfterBreak="0">
    <w:nsid w:val="536751C8"/>
    <w:multiLevelType w:val="hybridMultilevel"/>
    <w:tmpl w:val="4066D3C6"/>
    <w:lvl w:ilvl="0" w:tplc="D100A6D4">
      <w:start w:val="1"/>
      <w:numFmt w:val="decimal"/>
      <w:lvlText w:val="(%1)"/>
      <w:lvlJc w:val="left"/>
      <w:pPr>
        <w:ind w:left="2880" w:hanging="720"/>
      </w:pPr>
      <w:rPr>
        <w:b w:val="0"/>
        <w:strike w:val="0"/>
        <w:dstrike w:val="0"/>
        <w:u w:val="none"/>
        <w:effect w:val="none"/>
      </w:rPr>
    </w:lvl>
    <w:lvl w:ilvl="1" w:tplc="0C0C0019">
      <w:start w:val="1"/>
      <w:numFmt w:val="lowerLetter"/>
      <w:lvlText w:val="%2."/>
      <w:lvlJc w:val="left"/>
      <w:pPr>
        <w:ind w:left="3240" w:hanging="360"/>
      </w:pPr>
    </w:lvl>
    <w:lvl w:ilvl="2" w:tplc="0C0C001B">
      <w:start w:val="1"/>
      <w:numFmt w:val="lowerRoman"/>
      <w:lvlText w:val="%3."/>
      <w:lvlJc w:val="right"/>
      <w:pPr>
        <w:ind w:left="3960" w:hanging="180"/>
      </w:pPr>
    </w:lvl>
    <w:lvl w:ilvl="3" w:tplc="0C0C000F">
      <w:start w:val="1"/>
      <w:numFmt w:val="decimal"/>
      <w:lvlText w:val="%4."/>
      <w:lvlJc w:val="left"/>
      <w:pPr>
        <w:ind w:left="4680" w:hanging="360"/>
      </w:pPr>
    </w:lvl>
    <w:lvl w:ilvl="4" w:tplc="0C0C0019">
      <w:start w:val="1"/>
      <w:numFmt w:val="lowerLetter"/>
      <w:lvlText w:val="%5."/>
      <w:lvlJc w:val="left"/>
      <w:pPr>
        <w:ind w:left="5400" w:hanging="360"/>
      </w:pPr>
    </w:lvl>
    <w:lvl w:ilvl="5" w:tplc="0C0C001B">
      <w:start w:val="1"/>
      <w:numFmt w:val="lowerRoman"/>
      <w:lvlText w:val="%6."/>
      <w:lvlJc w:val="right"/>
      <w:pPr>
        <w:ind w:left="6120" w:hanging="180"/>
      </w:pPr>
    </w:lvl>
    <w:lvl w:ilvl="6" w:tplc="0C0C000F">
      <w:start w:val="1"/>
      <w:numFmt w:val="decimal"/>
      <w:lvlText w:val="%7."/>
      <w:lvlJc w:val="left"/>
      <w:pPr>
        <w:ind w:left="6840" w:hanging="360"/>
      </w:pPr>
    </w:lvl>
    <w:lvl w:ilvl="7" w:tplc="0C0C0019">
      <w:start w:val="1"/>
      <w:numFmt w:val="lowerLetter"/>
      <w:lvlText w:val="%8."/>
      <w:lvlJc w:val="left"/>
      <w:pPr>
        <w:ind w:left="7560" w:hanging="360"/>
      </w:pPr>
    </w:lvl>
    <w:lvl w:ilvl="8" w:tplc="0C0C001B">
      <w:start w:val="1"/>
      <w:numFmt w:val="lowerRoman"/>
      <w:lvlText w:val="%9."/>
      <w:lvlJc w:val="right"/>
      <w:pPr>
        <w:ind w:left="8280" w:hanging="180"/>
      </w:pPr>
    </w:lvl>
  </w:abstractNum>
  <w:abstractNum w:abstractNumId="42" w15:restartNumberingAfterBreak="0">
    <w:nsid w:val="56A66597"/>
    <w:multiLevelType w:val="hybridMultilevel"/>
    <w:tmpl w:val="1A4411BA"/>
    <w:lvl w:ilvl="0" w:tplc="3974A836">
      <w:start w:val="5"/>
      <w:numFmt w:val="decimal"/>
      <w:lvlText w:val="%1."/>
      <w:lvlJc w:val="left"/>
      <w:pPr>
        <w:ind w:left="4680" w:hanging="360"/>
      </w:pPr>
      <w:rPr>
        <w:rFonts w:hint="default"/>
        <w:color w:val="202124"/>
      </w:rPr>
    </w:lvl>
    <w:lvl w:ilvl="1" w:tplc="04160019" w:tentative="1">
      <w:start w:val="1"/>
      <w:numFmt w:val="lowerLetter"/>
      <w:lvlText w:val="%2."/>
      <w:lvlJc w:val="left"/>
      <w:pPr>
        <w:ind w:left="3600" w:hanging="360"/>
      </w:pPr>
    </w:lvl>
    <w:lvl w:ilvl="2" w:tplc="0416001B" w:tentative="1">
      <w:start w:val="1"/>
      <w:numFmt w:val="lowerRoman"/>
      <w:lvlText w:val="%3."/>
      <w:lvlJc w:val="right"/>
      <w:pPr>
        <w:ind w:left="4320" w:hanging="180"/>
      </w:pPr>
    </w:lvl>
    <w:lvl w:ilvl="3" w:tplc="0416000F" w:tentative="1">
      <w:start w:val="1"/>
      <w:numFmt w:val="decimal"/>
      <w:lvlText w:val="%4."/>
      <w:lvlJc w:val="left"/>
      <w:pPr>
        <w:ind w:left="5040" w:hanging="360"/>
      </w:pPr>
    </w:lvl>
    <w:lvl w:ilvl="4" w:tplc="04160019" w:tentative="1">
      <w:start w:val="1"/>
      <w:numFmt w:val="lowerLetter"/>
      <w:lvlText w:val="%5."/>
      <w:lvlJc w:val="left"/>
      <w:pPr>
        <w:ind w:left="5760" w:hanging="360"/>
      </w:pPr>
    </w:lvl>
    <w:lvl w:ilvl="5" w:tplc="0416001B" w:tentative="1">
      <w:start w:val="1"/>
      <w:numFmt w:val="lowerRoman"/>
      <w:lvlText w:val="%6."/>
      <w:lvlJc w:val="right"/>
      <w:pPr>
        <w:ind w:left="6480" w:hanging="180"/>
      </w:pPr>
    </w:lvl>
    <w:lvl w:ilvl="6" w:tplc="0416000F" w:tentative="1">
      <w:start w:val="1"/>
      <w:numFmt w:val="decimal"/>
      <w:lvlText w:val="%7."/>
      <w:lvlJc w:val="left"/>
      <w:pPr>
        <w:ind w:left="7200" w:hanging="360"/>
      </w:pPr>
    </w:lvl>
    <w:lvl w:ilvl="7" w:tplc="04160019" w:tentative="1">
      <w:start w:val="1"/>
      <w:numFmt w:val="lowerLetter"/>
      <w:lvlText w:val="%8."/>
      <w:lvlJc w:val="left"/>
      <w:pPr>
        <w:ind w:left="7920" w:hanging="360"/>
      </w:pPr>
    </w:lvl>
    <w:lvl w:ilvl="8" w:tplc="0416001B" w:tentative="1">
      <w:start w:val="1"/>
      <w:numFmt w:val="lowerRoman"/>
      <w:lvlText w:val="%9."/>
      <w:lvlJc w:val="right"/>
      <w:pPr>
        <w:ind w:left="8640" w:hanging="180"/>
      </w:pPr>
    </w:lvl>
  </w:abstractNum>
  <w:abstractNum w:abstractNumId="43" w15:restartNumberingAfterBreak="0">
    <w:nsid w:val="56DD1E93"/>
    <w:multiLevelType w:val="hybridMultilevel"/>
    <w:tmpl w:val="E6F616FA"/>
    <w:lvl w:ilvl="0" w:tplc="FFFFFFFF">
      <w:start w:val="1"/>
      <w:numFmt w:val="lowerRoman"/>
      <w:lvlText w:val="%1."/>
      <w:lvlJc w:val="left"/>
      <w:pPr>
        <w:ind w:left="720" w:hanging="360"/>
      </w:pPr>
      <w:rPr>
        <w:i w:val="0"/>
      </w:rPr>
    </w:lvl>
    <w:lvl w:ilvl="1" w:tplc="D3C24F64">
      <w:numFmt w:val="bullet"/>
      <w:lvlText w:val="·"/>
      <w:lvlJc w:val="left"/>
      <w:pPr>
        <w:ind w:left="1755" w:hanging="675"/>
      </w:pPr>
      <w:rPr>
        <w:rFonts w:ascii="Cambria" w:eastAsia="Calibri" w:hAnsi="Cambria" w:cs="Times New Roman" w:hint="default"/>
        <w:b/>
        <w:sz w:val="27"/>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57A0535E"/>
    <w:multiLevelType w:val="hybridMultilevel"/>
    <w:tmpl w:val="C338CFE8"/>
    <w:lvl w:ilvl="0" w:tplc="804EBBD2">
      <w:start w:val="1"/>
      <w:numFmt w:val="lowerLetter"/>
      <w:lvlText w:val="%1)"/>
      <w:lvlJc w:val="left"/>
      <w:pPr>
        <w:ind w:left="720" w:hanging="360"/>
      </w:pPr>
      <w:rPr>
        <w:i w:val="0"/>
        <w:strike w:val="0"/>
        <w:dstrike w:val="0"/>
        <w:u w:val="none"/>
        <w:effect w:val="no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5" w15:restartNumberingAfterBreak="0">
    <w:nsid w:val="58737E79"/>
    <w:multiLevelType w:val="hybridMultilevel"/>
    <w:tmpl w:val="FE280860"/>
    <w:lvl w:ilvl="0" w:tplc="EE18A570">
      <w:start w:val="1"/>
      <w:numFmt w:val="lowerLetter"/>
      <w:lvlText w:val="%1)"/>
      <w:lvlJc w:val="left"/>
      <w:pPr>
        <w:ind w:left="2160" w:firstLine="0"/>
      </w:pPr>
      <w:rPr>
        <w:b w:val="0"/>
        <w:i w:val="0"/>
        <w:strike w:val="0"/>
        <w:dstrike w:val="0"/>
        <w:color w:val="000000"/>
        <w:sz w:val="22"/>
        <w:szCs w:val="22"/>
        <w:u w:val="none" w:color="000000"/>
        <w:effect w:val="none"/>
        <w:bdr w:val="none" w:sz="0" w:space="0" w:color="auto" w:frame="1"/>
        <w:vertAlign w:val="baseline"/>
      </w:rPr>
    </w:lvl>
    <w:lvl w:ilvl="1" w:tplc="F604A9A4">
      <w:start w:val="1"/>
      <w:numFmt w:val="lowerLetter"/>
      <w:lvlText w:val="%2"/>
      <w:lvlJc w:val="left"/>
      <w:pPr>
        <w:ind w:left="207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6F78CB6C">
      <w:start w:val="1"/>
      <w:numFmt w:val="lowerRoman"/>
      <w:lvlText w:val="%3"/>
      <w:lvlJc w:val="left"/>
      <w:pPr>
        <w:ind w:left="279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E827B5A">
      <w:start w:val="1"/>
      <w:numFmt w:val="decimal"/>
      <w:lvlText w:val="%4"/>
      <w:lvlJc w:val="left"/>
      <w:pPr>
        <w:ind w:left="35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C1880DF8">
      <w:start w:val="1"/>
      <w:numFmt w:val="lowerLetter"/>
      <w:lvlText w:val="%5"/>
      <w:lvlJc w:val="left"/>
      <w:pPr>
        <w:ind w:left="423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66320608">
      <w:start w:val="1"/>
      <w:numFmt w:val="lowerRoman"/>
      <w:lvlText w:val="%6"/>
      <w:lvlJc w:val="left"/>
      <w:pPr>
        <w:ind w:left="495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A4B41B70">
      <w:start w:val="1"/>
      <w:numFmt w:val="decimal"/>
      <w:lvlText w:val="%7"/>
      <w:lvlJc w:val="left"/>
      <w:pPr>
        <w:ind w:left="567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DE40F414">
      <w:start w:val="1"/>
      <w:numFmt w:val="lowerLetter"/>
      <w:lvlText w:val="%8"/>
      <w:lvlJc w:val="left"/>
      <w:pPr>
        <w:ind w:left="639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978E716">
      <w:start w:val="1"/>
      <w:numFmt w:val="lowerRoman"/>
      <w:lvlText w:val="%9"/>
      <w:lvlJc w:val="left"/>
      <w:pPr>
        <w:ind w:left="71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6" w15:restartNumberingAfterBreak="0">
    <w:nsid w:val="5C9F7ABD"/>
    <w:multiLevelType w:val="hybridMultilevel"/>
    <w:tmpl w:val="9D3C960A"/>
    <w:lvl w:ilvl="0" w:tplc="8EF605D6">
      <w:start w:val="58"/>
      <w:numFmt w:val="decimal"/>
      <w:lvlText w:val="%1."/>
      <w:lvlJc w:val="left"/>
      <w:pPr>
        <w:ind w:left="644" w:hanging="360"/>
      </w:pPr>
      <w:rPr>
        <w:b w:val="0"/>
        <w:color w:val="000000"/>
      </w:r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47" w15:restartNumberingAfterBreak="0">
    <w:nsid w:val="5DD73D38"/>
    <w:multiLevelType w:val="hybridMultilevel"/>
    <w:tmpl w:val="4F004978"/>
    <w:lvl w:ilvl="0" w:tplc="013000C0">
      <w:start w:val="1"/>
      <w:numFmt w:val="lowerLetter"/>
      <w:lvlText w:val="%1)"/>
      <w:lvlJc w:val="left"/>
      <w:pPr>
        <w:ind w:left="2520" w:hanging="360"/>
      </w:pPr>
      <w:rPr>
        <w:i w:val="0"/>
      </w:r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48" w15:restartNumberingAfterBreak="0">
    <w:nsid w:val="5FF33267"/>
    <w:multiLevelType w:val="hybridMultilevel"/>
    <w:tmpl w:val="CFEC2E72"/>
    <w:lvl w:ilvl="0" w:tplc="10F02DC8">
      <w:start w:val="34"/>
      <w:numFmt w:val="decimal"/>
      <w:lvlText w:val="%1."/>
      <w:lvlJc w:val="left"/>
      <w:pPr>
        <w:ind w:left="1080" w:hanging="360"/>
      </w:pPr>
      <w:rPr>
        <w:rFonts w:ascii="Times New Roman" w:hAnsi="Times New Roman" w:cs="Times New Roman"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5D85C88"/>
    <w:multiLevelType w:val="hybridMultilevel"/>
    <w:tmpl w:val="39AE59DE"/>
    <w:lvl w:ilvl="0" w:tplc="1D5CB502">
      <w:start w:val="1"/>
      <w:numFmt w:val="upperLetter"/>
      <w:lvlText w:val="%1."/>
      <w:lvlJc w:val="left"/>
      <w:pPr>
        <w:ind w:left="720" w:hanging="360"/>
      </w:pPr>
      <w:rPr>
        <w:rFonts w:cs="Times New Roman"/>
        <w:strike w:val="0"/>
        <w:dstrike w:val="0"/>
        <w:u w:val="none"/>
        <w:effect w:val="none"/>
      </w:rPr>
    </w:lvl>
    <w:lvl w:ilvl="1" w:tplc="AA5E46EE">
      <w:start w:val="1"/>
      <w:numFmt w:val="lowerLetter"/>
      <w:lvlText w:val="%2."/>
      <w:lvlJc w:val="left"/>
      <w:pPr>
        <w:ind w:left="1440" w:hanging="360"/>
      </w:pPr>
      <w:rPr>
        <w:rFonts w:cs="Times New Roman"/>
      </w:rPr>
    </w:lvl>
    <w:lvl w:ilvl="2" w:tplc="76C83BB6">
      <w:start w:val="1"/>
      <w:numFmt w:val="lowerRoman"/>
      <w:lvlText w:val="%3."/>
      <w:lvlJc w:val="right"/>
      <w:pPr>
        <w:ind w:left="2160" w:hanging="180"/>
      </w:pPr>
      <w:rPr>
        <w:rFonts w:cs="Times New Roman"/>
      </w:rPr>
    </w:lvl>
    <w:lvl w:ilvl="3" w:tplc="2558163E">
      <w:start w:val="1"/>
      <w:numFmt w:val="decimal"/>
      <w:lvlText w:val="%4."/>
      <w:lvlJc w:val="left"/>
      <w:pPr>
        <w:ind w:left="2880" w:hanging="360"/>
      </w:pPr>
      <w:rPr>
        <w:rFonts w:cs="Times New Roman"/>
      </w:rPr>
    </w:lvl>
    <w:lvl w:ilvl="4" w:tplc="8B04BCB6">
      <w:start w:val="1"/>
      <w:numFmt w:val="lowerLetter"/>
      <w:lvlText w:val="%5."/>
      <w:lvlJc w:val="left"/>
      <w:pPr>
        <w:ind w:left="3600" w:hanging="360"/>
      </w:pPr>
      <w:rPr>
        <w:rFonts w:cs="Times New Roman"/>
      </w:rPr>
    </w:lvl>
    <w:lvl w:ilvl="5" w:tplc="07FCC942">
      <w:start w:val="1"/>
      <w:numFmt w:val="lowerRoman"/>
      <w:lvlText w:val="%6."/>
      <w:lvlJc w:val="right"/>
      <w:pPr>
        <w:ind w:left="4320" w:hanging="180"/>
      </w:pPr>
      <w:rPr>
        <w:rFonts w:cs="Times New Roman"/>
      </w:rPr>
    </w:lvl>
    <w:lvl w:ilvl="6" w:tplc="883A79DE">
      <w:start w:val="1"/>
      <w:numFmt w:val="decimal"/>
      <w:lvlText w:val="%7."/>
      <w:lvlJc w:val="left"/>
      <w:pPr>
        <w:ind w:left="5040" w:hanging="360"/>
      </w:pPr>
      <w:rPr>
        <w:rFonts w:cs="Times New Roman"/>
      </w:rPr>
    </w:lvl>
    <w:lvl w:ilvl="7" w:tplc="C4A0A86E">
      <w:start w:val="1"/>
      <w:numFmt w:val="lowerLetter"/>
      <w:lvlText w:val="%8."/>
      <w:lvlJc w:val="left"/>
      <w:pPr>
        <w:ind w:left="5760" w:hanging="360"/>
      </w:pPr>
      <w:rPr>
        <w:rFonts w:cs="Times New Roman"/>
      </w:rPr>
    </w:lvl>
    <w:lvl w:ilvl="8" w:tplc="1938FEB2">
      <w:start w:val="1"/>
      <w:numFmt w:val="lowerRoman"/>
      <w:lvlText w:val="%9."/>
      <w:lvlJc w:val="right"/>
      <w:pPr>
        <w:ind w:left="6480" w:hanging="180"/>
      </w:pPr>
      <w:rPr>
        <w:rFonts w:cs="Times New Roman"/>
      </w:rPr>
    </w:lvl>
  </w:abstractNum>
  <w:abstractNum w:abstractNumId="50" w15:restartNumberingAfterBreak="0">
    <w:nsid w:val="66297E0D"/>
    <w:multiLevelType w:val="hybridMultilevel"/>
    <w:tmpl w:val="32844CD4"/>
    <w:lvl w:ilvl="0" w:tplc="64E6445A">
      <w:start w:val="1"/>
      <w:numFmt w:val="decimal"/>
      <w:lvlText w:val="%1."/>
      <w:lvlJc w:val="left"/>
      <w:pPr>
        <w:ind w:left="720" w:hanging="360"/>
      </w:pPr>
    </w:lvl>
    <w:lvl w:ilvl="1" w:tplc="8392DF80">
      <w:start w:val="1"/>
      <w:numFmt w:val="lowerLetter"/>
      <w:lvlText w:val="%2."/>
      <w:lvlJc w:val="left"/>
      <w:pPr>
        <w:ind w:left="1440" w:hanging="360"/>
      </w:pPr>
    </w:lvl>
    <w:lvl w:ilvl="2" w:tplc="F0AA280E">
      <w:start w:val="1"/>
      <w:numFmt w:val="lowerRoman"/>
      <w:lvlText w:val="%3."/>
      <w:lvlJc w:val="right"/>
      <w:pPr>
        <w:ind w:left="2160" w:hanging="180"/>
      </w:pPr>
    </w:lvl>
    <w:lvl w:ilvl="3" w:tplc="240C6036">
      <w:start w:val="1"/>
      <w:numFmt w:val="decimal"/>
      <w:lvlText w:val="%4."/>
      <w:lvlJc w:val="left"/>
      <w:pPr>
        <w:ind w:left="2880" w:hanging="360"/>
      </w:pPr>
    </w:lvl>
    <w:lvl w:ilvl="4" w:tplc="83028706">
      <w:start w:val="1"/>
      <w:numFmt w:val="lowerLetter"/>
      <w:lvlText w:val="%5."/>
      <w:lvlJc w:val="left"/>
      <w:pPr>
        <w:ind w:left="3600" w:hanging="360"/>
      </w:pPr>
    </w:lvl>
    <w:lvl w:ilvl="5" w:tplc="5E2C4210">
      <w:start w:val="1"/>
      <w:numFmt w:val="lowerRoman"/>
      <w:lvlText w:val="%6."/>
      <w:lvlJc w:val="right"/>
      <w:pPr>
        <w:ind w:left="4320" w:hanging="180"/>
      </w:pPr>
    </w:lvl>
    <w:lvl w:ilvl="6" w:tplc="E3D28B1C">
      <w:start w:val="1"/>
      <w:numFmt w:val="decimal"/>
      <w:lvlText w:val="%7."/>
      <w:lvlJc w:val="left"/>
      <w:pPr>
        <w:ind w:left="5040" w:hanging="360"/>
      </w:pPr>
    </w:lvl>
    <w:lvl w:ilvl="7" w:tplc="56742516">
      <w:start w:val="1"/>
      <w:numFmt w:val="lowerLetter"/>
      <w:lvlText w:val="%8."/>
      <w:lvlJc w:val="left"/>
      <w:pPr>
        <w:ind w:left="5760" w:hanging="360"/>
      </w:pPr>
    </w:lvl>
    <w:lvl w:ilvl="8" w:tplc="28C8F300">
      <w:start w:val="1"/>
      <w:numFmt w:val="lowerRoman"/>
      <w:lvlText w:val="%9."/>
      <w:lvlJc w:val="right"/>
      <w:pPr>
        <w:ind w:left="6480" w:hanging="180"/>
      </w:pPr>
    </w:lvl>
  </w:abstractNum>
  <w:abstractNum w:abstractNumId="51" w15:restartNumberingAfterBreak="0">
    <w:nsid w:val="67EB67BE"/>
    <w:multiLevelType w:val="hybridMultilevel"/>
    <w:tmpl w:val="932A4C34"/>
    <w:lvl w:ilvl="0" w:tplc="2FC2A256">
      <w:start w:val="1"/>
      <w:numFmt w:val="upperRoman"/>
      <w:lvlText w:val="%1."/>
      <w:lvlJc w:val="left"/>
      <w:pPr>
        <w:ind w:left="1440" w:hanging="720"/>
      </w:pPr>
      <w:rPr>
        <w:rFonts w:eastAsia="Times New Roman" w:cs="Times New Roman"/>
        <w:i w:val="0"/>
      </w:rPr>
    </w:lvl>
    <w:lvl w:ilvl="1" w:tplc="3628FA8A">
      <w:start w:val="1"/>
      <w:numFmt w:val="lowerLetter"/>
      <w:lvlText w:val="%2."/>
      <w:lvlJc w:val="left"/>
      <w:pPr>
        <w:ind w:left="1440" w:hanging="360"/>
      </w:pPr>
      <w:rPr>
        <w:rFonts w:cs="Times New Roman"/>
      </w:rPr>
    </w:lvl>
    <w:lvl w:ilvl="2" w:tplc="1FF67158">
      <w:start w:val="1"/>
      <w:numFmt w:val="lowerRoman"/>
      <w:lvlText w:val="%3."/>
      <w:lvlJc w:val="right"/>
      <w:pPr>
        <w:ind w:left="2160" w:hanging="180"/>
      </w:pPr>
      <w:rPr>
        <w:rFonts w:cs="Times New Roman"/>
      </w:rPr>
    </w:lvl>
    <w:lvl w:ilvl="3" w:tplc="D222E908">
      <w:start w:val="1"/>
      <w:numFmt w:val="decimal"/>
      <w:lvlText w:val="%4."/>
      <w:lvlJc w:val="left"/>
      <w:pPr>
        <w:ind w:left="2880" w:hanging="360"/>
      </w:pPr>
      <w:rPr>
        <w:rFonts w:cs="Times New Roman"/>
      </w:rPr>
    </w:lvl>
    <w:lvl w:ilvl="4" w:tplc="822AFB58">
      <w:start w:val="1"/>
      <w:numFmt w:val="lowerLetter"/>
      <w:lvlText w:val="%5."/>
      <w:lvlJc w:val="left"/>
      <w:pPr>
        <w:ind w:left="3600" w:hanging="360"/>
      </w:pPr>
      <w:rPr>
        <w:rFonts w:cs="Times New Roman"/>
      </w:rPr>
    </w:lvl>
    <w:lvl w:ilvl="5" w:tplc="0450DD88">
      <w:start w:val="1"/>
      <w:numFmt w:val="lowerRoman"/>
      <w:lvlText w:val="%6."/>
      <w:lvlJc w:val="right"/>
      <w:pPr>
        <w:ind w:left="4320" w:hanging="180"/>
      </w:pPr>
      <w:rPr>
        <w:rFonts w:cs="Times New Roman"/>
      </w:rPr>
    </w:lvl>
    <w:lvl w:ilvl="6" w:tplc="3272A11A">
      <w:start w:val="1"/>
      <w:numFmt w:val="decimal"/>
      <w:lvlText w:val="%7."/>
      <w:lvlJc w:val="left"/>
      <w:pPr>
        <w:ind w:left="5040" w:hanging="360"/>
      </w:pPr>
      <w:rPr>
        <w:rFonts w:cs="Times New Roman"/>
      </w:rPr>
    </w:lvl>
    <w:lvl w:ilvl="7" w:tplc="ED964604">
      <w:start w:val="1"/>
      <w:numFmt w:val="lowerLetter"/>
      <w:lvlText w:val="%8."/>
      <w:lvlJc w:val="left"/>
      <w:pPr>
        <w:ind w:left="5760" w:hanging="360"/>
      </w:pPr>
      <w:rPr>
        <w:rFonts w:cs="Times New Roman"/>
      </w:rPr>
    </w:lvl>
    <w:lvl w:ilvl="8" w:tplc="9BE65F92">
      <w:start w:val="1"/>
      <w:numFmt w:val="lowerRoman"/>
      <w:lvlText w:val="%9."/>
      <w:lvlJc w:val="right"/>
      <w:pPr>
        <w:ind w:left="6480" w:hanging="180"/>
      </w:pPr>
      <w:rPr>
        <w:rFonts w:cs="Times New Roman"/>
      </w:rPr>
    </w:lvl>
  </w:abstractNum>
  <w:abstractNum w:abstractNumId="52" w15:restartNumberingAfterBreak="0">
    <w:nsid w:val="6CC92170"/>
    <w:multiLevelType w:val="multilevel"/>
    <w:tmpl w:val="FD2055D2"/>
    <w:lvl w:ilvl="0">
      <w:start w:val="1"/>
      <w:numFmt w:val="lowerLetter"/>
      <w:lvlText w:val="%1)"/>
      <w:lvlJc w:val="left"/>
      <w:pPr>
        <w:ind w:left="1890" w:hanging="360"/>
      </w:pPr>
      <w:rPr>
        <w:b w:val="0"/>
        <w:i w:val="0"/>
        <w:strike w:val="0"/>
        <w:dstrike w:val="0"/>
        <w:color w:val="000000"/>
        <w:u w:val="none"/>
        <w:effect w:val="no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6F5B57F5"/>
    <w:multiLevelType w:val="hybridMultilevel"/>
    <w:tmpl w:val="D13ECA46"/>
    <w:lvl w:ilvl="0" w:tplc="68BA3A66">
      <w:numFmt w:val="bullet"/>
      <w:lvlText w:val="-"/>
      <w:lvlJc w:val="left"/>
      <w:pPr>
        <w:ind w:left="720" w:hanging="360"/>
      </w:pPr>
      <w:rPr>
        <w:rFonts w:ascii="Times New Roman" w:eastAsia="Times New Roman" w:hAnsi="Times New Roman"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4" w15:restartNumberingAfterBreak="0">
    <w:nsid w:val="6FA26D74"/>
    <w:multiLevelType w:val="hybridMultilevel"/>
    <w:tmpl w:val="379CB5A6"/>
    <w:lvl w:ilvl="0" w:tplc="18085CDE">
      <w:start w:val="4"/>
      <w:numFmt w:val="decimal"/>
      <w:lvlText w:val="%1."/>
      <w:lvlJc w:val="left"/>
      <w:pPr>
        <w:ind w:left="1080" w:hanging="360"/>
      </w:pPr>
      <w:rPr>
        <w:color w:val="2021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5" w15:restartNumberingAfterBreak="0">
    <w:nsid w:val="705B1759"/>
    <w:multiLevelType w:val="hybridMultilevel"/>
    <w:tmpl w:val="2362AE30"/>
    <w:lvl w:ilvl="0" w:tplc="FFFFFFFF">
      <w:start w:val="1"/>
      <w:numFmt w:val="lowerLetter"/>
      <w:lvlText w:val="%1)"/>
      <w:lvlJc w:val="left"/>
      <w:pPr>
        <w:ind w:left="1776" w:hanging="360"/>
      </w:pPr>
      <w:rPr>
        <w:rFonts w:ascii="Times New Roman" w:eastAsia="Times New Roman" w:hAnsi="Times New Roman" w:cs="Times New Roman" w:hint="default"/>
        <w:b w:val="0"/>
        <w:strike w:val="0"/>
        <w:dstrike w:val="0"/>
        <w:u w:val="none"/>
        <w:effect w:val="none"/>
      </w:rPr>
    </w:lvl>
    <w:lvl w:ilvl="1" w:tplc="FFFFFFFF">
      <w:start w:val="1"/>
      <w:numFmt w:val="lowerLetter"/>
      <w:lvlText w:val="%2."/>
      <w:lvlJc w:val="left"/>
      <w:pPr>
        <w:ind w:left="2496" w:hanging="360"/>
      </w:pPr>
    </w:lvl>
    <w:lvl w:ilvl="2" w:tplc="FFFFFFFF">
      <w:start w:val="1"/>
      <w:numFmt w:val="lowerRoman"/>
      <w:lvlText w:val="%3."/>
      <w:lvlJc w:val="right"/>
      <w:pPr>
        <w:ind w:left="3216" w:hanging="180"/>
      </w:pPr>
    </w:lvl>
    <w:lvl w:ilvl="3" w:tplc="FFFFFFFF">
      <w:start w:val="1"/>
      <w:numFmt w:val="decimal"/>
      <w:lvlText w:val="%4."/>
      <w:lvlJc w:val="left"/>
      <w:pPr>
        <w:ind w:left="3936" w:hanging="360"/>
      </w:pPr>
    </w:lvl>
    <w:lvl w:ilvl="4" w:tplc="FFFFFFFF">
      <w:start w:val="1"/>
      <w:numFmt w:val="lowerLetter"/>
      <w:lvlText w:val="%5."/>
      <w:lvlJc w:val="left"/>
      <w:pPr>
        <w:ind w:left="4656" w:hanging="360"/>
      </w:pPr>
    </w:lvl>
    <w:lvl w:ilvl="5" w:tplc="FFFFFFFF">
      <w:start w:val="1"/>
      <w:numFmt w:val="lowerRoman"/>
      <w:lvlText w:val="%6."/>
      <w:lvlJc w:val="right"/>
      <w:pPr>
        <w:ind w:left="5376" w:hanging="180"/>
      </w:pPr>
    </w:lvl>
    <w:lvl w:ilvl="6" w:tplc="FFFFFFFF">
      <w:start w:val="1"/>
      <w:numFmt w:val="decimal"/>
      <w:lvlText w:val="%7."/>
      <w:lvlJc w:val="left"/>
      <w:pPr>
        <w:ind w:left="6096" w:hanging="360"/>
      </w:pPr>
    </w:lvl>
    <w:lvl w:ilvl="7" w:tplc="FFFFFFFF">
      <w:start w:val="1"/>
      <w:numFmt w:val="lowerLetter"/>
      <w:lvlText w:val="%8."/>
      <w:lvlJc w:val="left"/>
      <w:pPr>
        <w:ind w:left="6816" w:hanging="360"/>
      </w:pPr>
    </w:lvl>
    <w:lvl w:ilvl="8" w:tplc="FFFFFFFF">
      <w:start w:val="1"/>
      <w:numFmt w:val="lowerRoman"/>
      <w:lvlText w:val="%9."/>
      <w:lvlJc w:val="right"/>
      <w:pPr>
        <w:ind w:left="7536" w:hanging="180"/>
      </w:pPr>
    </w:lvl>
  </w:abstractNum>
  <w:abstractNum w:abstractNumId="56" w15:restartNumberingAfterBreak="0">
    <w:nsid w:val="71BA3201"/>
    <w:multiLevelType w:val="hybridMultilevel"/>
    <w:tmpl w:val="FD7E54A2"/>
    <w:lvl w:ilvl="0" w:tplc="04090017">
      <w:start w:val="1"/>
      <w:numFmt w:val="lowerLetter"/>
      <w:lvlText w:val="%1)"/>
      <w:lvlJc w:val="left"/>
      <w:pPr>
        <w:ind w:left="2160" w:hanging="360"/>
      </w:pPr>
      <w:rPr>
        <w:strike w:val="0"/>
        <w:dstrike w:val="0"/>
        <w:color w:val="auto"/>
        <w:u w:val="none"/>
        <w:effect w:val="none"/>
      </w:r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57" w15:restartNumberingAfterBreak="0">
    <w:nsid w:val="71C436BC"/>
    <w:multiLevelType w:val="hybridMultilevel"/>
    <w:tmpl w:val="07BCF38E"/>
    <w:lvl w:ilvl="0" w:tplc="66B0F16A">
      <w:start w:val="1"/>
      <w:numFmt w:val="decimal"/>
      <w:lvlText w:val="%1."/>
      <w:lvlJc w:val="left"/>
      <w:pPr>
        <w:ind w:left="135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58" w15:restartNumberingAfterBreak="0">
    <w:nsid w:val="721152BD"/>
    <w:multiLevelType w:val="hybridMultilevel"/>
    <w:tmpl w:val="1D76BDF8"/>
    <w:lvl w:ilvl="0" w:tplc="C06A2970">
      <w:start w:val="3"/>
      <w:numFmt w:val="decimal"/>
      <w:lvlText w:val="%1."/>
      <w:lvlJc w:val="left"/>
      <w:pPr>
        <w:ind w:left="1440" w:hanging="360"/>
      </w:pPr>
      <w:rPr>
        <w:sz w:val="22"/>
      </w:r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59" w15:restartNumberingAfterBreak="0">
    <w:nsid w:val="72561EC1"/>
    <w:multiLevelType w:val="hybridMultilevel"/>
    <w:tmpl w:val="E9E45498"/>
    <w:lvl w:ilvl="0" w:tplc="04090017">
      <w:start w:val="1"/>
      <w:numFmt w:val="lowerLetter"/>
      <w:lvlText w:val="%1)"/>
      <w:lvlJc w:val="left"/>
      <w:pPr>
        <w:ind w:left="2520" w:hanging="360"/>
      </w:pPr>
      <w:rPr>
        <w:b w:val="0"/>
        <w:i w:val="0"/>
      </w:rPr>
    </w:lvl>
    <w:lvl w:ilvl="1" w:tplc="FFFFFFFF">
      <w:start w:val="1"/>
      <w:numFmt w:val="lowerLetter"/>
      <w:lvlText w:val="%2."/>
      <w:lvlJc w:val="left"/>
      <w:pPr>
        <w:ind w:left="3240" w:hanging="360"/>
      </w:pPr>
    </w:lvl>
    <w:lvl w:ilvl="2" w:tplc="FFFFFFFF">
      <w:start w:val="1"/>
      <w:numFmt w:val="lowerRoman"/>
      <w:lvlText w:val="%3."/>
      <w:lvlJc w:val="right"/>
      <w:pPr>
        <w:ind w:left="3960" w:hanging="180"/>
      </w:pPr>
    </w:lvl>
    <w:lvl w:ilvl="3" w:tplc="FFFFFFFF">
      <w:start w:val="1"/>
      <w:numFmt w:val="decimal"/>
      <w:lvlText w:val="%4."/>
      <w:lvlJc w:val="left"/>
      <w:pPr>
        <w:ind w:left="4680" w:hanging="360"/>
      </w:pPr>
    </w:lvl>
    <w:lvl w:ilvl="4" w:tplc="FFFFFFFF">
      <w:start w:val="1"/>
      <w:numFmt w:val="lowerLetter"/>
      <w:lvlText w:val="%5."/>
      <w:lvlJc w:val="left"/>
      <w:pPr>
        <w:ind w:left="5400" w:hanging="360"/>
      </w:pPr>
    </w:lvl>
    <w:lvl w:ilvl="5" w:tplc="FFFFFFFF">
      <w:start w:val="1"/>
      <w:numFmt w:val="lowerRoman"/>
      <w:lvlText w:val="%6."/>
      <w:lvlJc w:val="right"/>
      <w:pPr>
        <w:ind w:left="6120" w:hanging="180"/>
      </w:pPr>
    </w:lvl>
    <w:lvl w:ilvl="6" w:tplc="FFFFFFFF">
      <w:start w:val="1"/>
      <w:numFmt w:val="decimal"/>
      <w:lvlText w:val="%7."/>
      <w:lvlJc w:val="left"/>
      <w:pPr>
        <w:ind w:left="6840" w:hanging="360"/>
      </w:pPr>
    </w:lvl>
    <w:lvl w:ilvl="7" w:tplc="FFFFFFFF">
      <w:start w:val="1"/>
      <w:numFmt w:val="lowerLetter"/>
      <w:lvlText w:val="%8."/>
      <w:lvlJc w:val="left"/>
      <w:pPr>
        <w:ind w:left="7560" w:hanging="360"/>
      </w:pPr>
    </w:lvl>
    <w:lvl w:ilvl="8" w:tplc="FFFFFFFF">
      <w:start w:val="1"/>
      <w:numFmt w:val="lowerRoman"/>
      <w:lvlText w:val="%9."/>
      <w:lvlJc w:val="right"/>
      <w:pPr>
        <w:ind w:left="8280" w:hanging="180"/>
      </w:pPr>
    </w:lvl>
  </w:abstractNum>
  <w:abstractNum w:abstractNumId="60" w15:restartNumberingAfterBreak="0">
    <w:nsid w:val="77D56C83"/>
    <w:multiLevelType w:val="hybridMultilevel"/>
    <w:tmpl w:val="512A1C6A"/>
    <w:lvl w:ilvl="0" w:tplc="9214709A">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61" w15:restartNumberingAfterBreak="0">
    <w:nsid w:val="7A4A47AA"/>
    <w:multiLevelType w:val="hybridMultilevel"/>
    <w:tmpl w:val="ADBA38C8"/>
    <w:lvl w:ilvl="0" w:tplc="D164A2DE">
      <w:start w:val="1"/>
      <w:numFmt w:val="upperRoman"/>
      <w:lvlText w:val="%1."/>
      <w:lvlJc w:val="left"/>
      <w:pPr>
        <w:tabs>
          <w:tab w:val="num" w:pos="540"/>
        </w:tabs>
        <w:ind w:left="540" w:hanging="180"/>
      </w:pPr>
      <w:rPr>
        <w:rFonts w:cs="Times New Roman"/>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2" w15:restartNumberingAfterBreak="0">
    <w:nsid w:val="7D8F3374"/>
    <w:multiLevelType w:val="hybridMultilevel"/>
    <w:tmpl w:val="80BE923A"/>
    <w:lvl w:ilvl="0" w:tplc="2D62527A">
      <w:start w:val="1"/>
      <w:numFmt w:val="lowerLetter"/>
      <w:lvlText w:val="%1)"/>
      <w:lvlJc w:val="left"/>
      <w:pPr>
        <w:ind w:left="720" w:hanging="360"/>
      </w:pPr>
      <w:rPr>
        <w:rFonts w:cs="Times New Roman" w:hint="default"/>
        <w:b w:val="0"/>
        <w:bCs w:val="0"/>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3" w15:restartNumberingAfterBreak="0">
    <w:nsid w:val="7EF85266"/>
    <w:multiLevelType w:val="hybridMultilevel"/>
    <w:tmpl w:val="698EEDA8"/>
    <w:lvl w:ilvl="0" w:tplc="0118332A">
      <w:start w:val="2"/>
      <w:numFmt w:val="lowerLetter"/>
      <w:lvlText w:val="%1)"/>
      <w:lvlJc w:val="left"/>
      <w:pPr>
        <w:ind w:left="2487" w:hanging="360"/>
      </w:pPr>
      <w:rPr>
        <w:i w:val="0"/>
        <w:strike w:val="0"/>
        <w:dstrike w:val="0"/>
        <w:u w:val="none"/>
        <w:effect w:val="none"/>
      </w:rPr>
    </w:lvl>
    <w:lvl w:ilvl="1" w:tplc="04160019">
      <w:start w:val="1"/>
      <w:numFmt w:val="lowerLetter"/>
      <w:lvlText w:val="%2."/>
      <w:lvlJc w:val="left"/>
      <w:pPr>
        <w:ind w:left="3207" w:hanging="360"/>
      </w:pPr>
    </w:lvl>
    <w:lvl w:ilvl="2" w:tplc="0416001B">
      <w:start w:val="1"/>
      <w:numFmt w:val="lowerRoman"/>
      <w:lvlText w:val="%3."/>
      <w:lvlJc w:val="right"/>
      <w:pPr>
        <w:ind w:left="3927" w:hanging="180"/>
      </w:pPr>
    </w:lvl>
    <w:lvl w:ilvl="3" w:tplc="0416000F">
      <w:start w:val="1"/>
      <w:numFmt w:val="decimal"/>
      <w:lvlText w:val="%4."/>
      <w:lvlJc w:val="left"/>
      <w:pPr>
        <w:ind w:left="4647" w:hanging="360"/>
      </w:pPr>
    </w:lvl>
    <w:lvl w:ilvl="4" w:tplc="04160019">
      <w:start w:val="1"/>
      <w:numFmt w:val="lowerLetter"/>
      <w:lvlText w:val="%5."/>
      <w:lvlJc w:val="left"/>
      <w:pPr>
        <w:ind w:left="5367" w:hanging="360"/>
      </w:pPr>
    </w:lvl>
    <w:lvl w:ilvl="5" w:tplc="0416001B">
      <w:start w:val="1"/>
      <w:numFmt w:val="lowerRoman"/>
      <w:lvlText w:val="%6."/>
      <w:lvlJc w:val="right"/>
      <w:pPr>
        <w:ind w:left="6087" w:hanging="180"/>
      </w:pPr>
    </w:lvl>
    <w:lvl w:ilvl="6" w:tplc="0416000F">
      <w:start w:val="1"/>
      <w:numFmt w:val="decimal"/>
      <w:lvlText w:val="%7."/>
      <w:lvlJc w:val="left"/>
      <w:pPr>
        <w:ind w:left="6807" w:hanging="360"/>
      </w:pPr>
    </w:lvl>
    <w:lvl w:ilvl="7" w:tplc="04160019">
      <w:start w:val="1"/>
      <w:numFmt w:val="lowerLetter"/>
      <w:lvlText w:val="%8."/>
      <w:lvlJc w:val="left"/>
      <w:pPr>
        <w:ind w:left="7527" w:hanging="360"/>
      </w:pPr>
    </w:lvl>
    <w:lvl w:ilvl="8" w:tplc="0416001B">
      <w:start w:val="1"/>
      <w:numFmt w:val="lowerRoman"/>
      <w:lvlText w:val="%9."/>
      <w:lvlJc w:val="right"/>
      <w:pPr>
        <w:ind w:left="8247" w:hanging="180"/>
      </w:pPr>
    </w:lvl>
  </w:abstractNum>
  <w:abstractNum w:abstractNumId="64" w15:restartNumberingAfterBreak="0">
    <w:nsid w:val="7F610D80"/>
    <w:multiLevelType w:val="hybridMultilevel"/>
    <w:tmpl w:val="D3506560"/>
    <w:lvl w:ilvl="0" w:tplc="D056F1AC">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lvlOverride w:ilvl="2"/>
    <w:lvlOverride w:ilvl="3"/>
    <w:lvlOverride w:ilvl="4"/>
    <w:lvlOverride w:ilvl="5"/>
    <w:lvlOverride w:ilvl="6"/>
    <w:lvlOverride w:ilvl="7"/>
    <w:lvlOverride w:ilvl="8"/>
  </w:num>
  <w:num w:numId="2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53"/>
  </w:num>
  <w:num w:numId="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5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5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num>
  <w:num w:numId="59">
    <w:abstractNumId w:val="28"/>
  </w:num>
  <w:num w:numId="60">
    <w:abstractNumId w:val="2"/>
    <w:lvlOverride w:ilvl="0">
      <w:startOverride w:val="1"/>
    </w:lvlOverride>
    <w:lvlOverride w:ilvl="1"/>
    <w:lvlOverride w:ilvl="2"/>
    <w:lvlOverride w:ilvl="3"/>
    <w:lvlOverride w:ilvl="4"/>
    <w:lvlOverride w:ilvl="5"/>
    <w:lvlOverride w:ilvl="6"/>
    <w:lvlOverride w:ilvl="7"/>
    <w:lvlOverride w:ilvl="8"/>
  </w:num>
  <w:num w:numId="61">
    <w:abstractNumId w:val="8"/>
    <w:lvlOverride w:ilvl="0">
      <w:startOverride w:val="1"/>
    </w:lvlOverride>
    <w:lvlOverride w:ilvl="1"/>
    <w:lvlOverride w:ilvl="2"/>
    <w:lvlOverride w:ilvl="3"/>
    <w:lvlOverride w:ilvl="4"/>
    <w:lvlOverride w:ilvl="5"/>
    <w:lvlOverride w:ilvl="6"/>
    <w:lvlOverride w:ilvl="7"/>
    <w:lvlOverride w:ilvl="8"/>
  </w:num>
  <w:num w:numId="62">
    <w:abstractNumId w:val="26"/>
    <w:lvlOverride w:ilvl="0">
      <w:startOverride w:val="1"/>
    </w:lvlOverride>
    <w:lvlOverride w:ilvl="1"/>
    <w:lvlOverride w:ilvl="2"/>
    <w:lvlOverride w:ilvl="3"/>
    <w:lvlOverride w:ilvl="4"/>
    <w:lvlOverride w:ilvl="5"/>
    <w:lvlOverride w:ilvl="6"/>
    <w:lvlOverride w:ilvl="7"/>
    <w:lvlOverride w:ilvl="8"/>
  </w:num>
  <w:num w:numId="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4"/>
  </w:num>
  <w:num w:numId="65">
    <w:abstractNumId w:val="18"/>
  </w:num>
  <w:num w:numId="66">
    <w:abstractNumId w:val="35"/>
  </w:num>
  <w:num w:numId="67">
    <w:abstractNumId w:val="4"/>
  </w:num>
  <w:num w:numId="68">
    <w:abstractNumId w:val="42"/>
  </w:num>
  <w:num w:numId="69">
    <w:abstractNumId w:val="33"/>
  </w:num>
  <w:num w:numId="70">
    <w:abstractNumId w:val="3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1A8E"/>
    <w:rsid w:val="00003CFB"/>
    <w:rsid w:val="00005176"/>
    <w:rsid w:val="00005A3B"/>
    <w:rsid w:val="00006AEF"/>
    <w:rsid w:val="000073E1"/>
    <w:rsid w:val="0002025E"/>
    <w:rsid w:val="00022A54"/>
    <w:rsid w:val="00023CA9"/>
    <w:rsid w:val="00024B61"/>
    <w:rsid w:val="00025D54"/>
    <w:rsid w:val="00026A5D"/>
    <w:rsid w:val="00027E4F"/>
    <w:rsid w:val="00030799"/>
    <w:rsid w:val="00033861"/>
    <w:rsid w:val="0003645B"/>
    <w:rsid w:val="00037BF8"/>
    <w:rsid w:val="000411F9"/>
    <w:rsid w:val="00041962"/>
    <w:rsid w:val="00041EFB"/>
    <w:rsid w:val="000420FB"/>
    <w:rsid w:val="00042BE2"/>
    <w:rsid w:val="0004357B"/>
    <w:rsid w:val="00044770"/>
    <w:rsid w:val="000502D4"/>
    <w:rsid w:val="000503DB"/>
    <w:rsid w:val="00051FE2"/>
    <w:rsid w:val="000529D4"/>
    <w:rsid w:val="00055C2B"/>
    <w:rsid w:val="00056FAE"/>
    <w:rsid w:val="000616ED"/>
    <w:rsid w:val="00062375"/>
    <w:rsid w:val="00074E04"/>
    <w:rsid w:val="00075AEC"/>
    <w:rsid w:val="00075B73"/>
    <w:rsid w:val="000760E9"/>
    <w:rsid w:val="000761D4"/>
    <w:rsid w:val="000779F7"/>
    <w:rsid w:val="00084424"/>
    <w:rsid w:val="000844AB"/>
    <w:rsid w:val="00084D0B"/>
    <w:rsid w:val="00084DE5"/>
    <w:rsid w:val="00085442"/>
    <w:rsid w:val="000870CA"/>
    <w:rsid w:val="0008785C"/>
    <w:rsid w:val="00092020"/>
    <w:rsid w:val="000933AA"/>
    <w:rsid w:val="00097CB4"/>
    <w:rsid w:val="000A0371"/>
    <w:rsid w:val="000A2A31"/>
    <w:rsid w:val="000A34BC"/>
    <w:rsid w:val="000A3717"/>
    <w:rsid w:val="000A39C0"/>
    <w:rsid w:val="000A6A85"/>
    <w:rsid w:val="000A6BAD"/>
    <w:rsid w:val="000B13C0"/>
    <w:rsid w:val="000B5A4E"/>
    <w:rsid w:val="000B78D6"/>
    <w:rsid w:val="000B7BEC"/>
    <w:rsid w:val="000D0705"/>
    <w:rsid w:val="000D0ABE"/>
    <w:rsid w:val="000D0D52"/>
    <w:rsid w:val="000D272C"/>
    <w:rsid w:val="000D3DC5"/>
    <w:rsid w:val="000E27B1"/>
    <w:rsid w:val="000E2CA3"/>
    <w:rsid w:val="000E3BBE"/>
    <w:rsid w:val="000F03F2"/>
    <w:rsid w:val="000F1736"/>
    <w:rsid w:val="000F1E9B"/>
    <w:rsid w:val="000F24D2"/>
    <w:rsid w:val="000F3D4A"/>
    <w:rsid w:val="000F4FEF"/>
    <w:rsid w:val="000F71AB"/>
    <w:rsid w:val="000F7324"/>
    <w:rsid w:val="000F78A6"/>
    <w:rsid w:val="00100A25"/>
    <w:rsid w:val="00103DE6"/>
    <w:rsid w:val="001061BB"/>
    <w:rsid w:val="00106CC3"/>
    <w:rsid w:val="00107305"/>
    <w:rsid w:val="00110313"/>
    <w:rsid w:val="0011085A"/>
    <w:rsid w:val="00110CF1"/>
    <w:rsid w:val="00111C38"/>
    <w:rsid w:val="00112B3A"/>
    <w:rsid w:val="0011327F"/>
    <w:rsid w:val="001157FD"/>
    <w:rsid w:val="0012208C"/>
    <w:rsid w:val="001228A0"/>
    <w:rsid w:val="00125BD4"/>
    <w:rsid w:val="0012644D"/>
    <w:rsid w:val="00127AB3"/>
    <w:rsid w:val="00127E4F"/>
    <w:rsid w:val="00130B12"/>
    <w:rsid w:val="00133E6E"/>
    <w:rsid w:val="00143C5D"/>
    <w:rsid w:val="00144F9C"/>
    <w:rsid w:val="0014539D"/>
    <w:rsid w:val="00146733"/>
    <w:rsid w:val="0015342F"/>
    <w:rsid w:val="00153ACA"/>
    <w:rsid w:val="00170B10"/>
    <w:rsid w:val="00172445"/>
    <w:rsid w:val="00172651"/>
    <w:rsid w:val="0017511E"/>
    <w:rsid w:val="00181484"/>
    <w:rsid w:val="001814EC"/>
    <w:rsid w:val="00184223"/>
    <w:rsid w:val="00184317"/>
    <w:rsid w:val="001851D0"/>
    <w:rsid w:val="001855C0"/>
    <w:rsid w:val="0019174C"/>
    <w:rsid w:val="001927C9"/>
    <w:rsid w:val="00195386"/>
    <w:rsid w:val="001A24B6"/>
    <w:rsid w:val="001A2E48"/>
    <w:rsid w:val="001A3792"/>
    <w:rsid w:val="001A4D90"/>
    <w:rsid w:val="001A79B2"/>
    <w:rsid w:val="001B1E35"/>
    <w:rsid w:val="001B403E"/>
    <w:rsid w:val="001B6E93"/>
    <w:rsid w:val="001C0EEE"/>
    <w:rsid w:val="001C1303"/>
    <w:rsid w:val="001C5081"/>
    <w:rsid w:val="001C5A63"/>
    <w:rsid w:val="001C60A5"/>
    <w:rsid w:val="001D4952"/>
    <w:rsid w:val="001D4983"/>
    <w:rsid w:val="001D4CD5"/>
    <w:rsid w:val="001D6B9F"/>
    <w:rsid w:val="001D7FEF"/>
    <w:rsid w:val="001E01BA"/>
    <w:rsid w:val="001E32D0"/>
    <w:rsid w:val="001E65B5"/>
    <w:rsid w:val="001F0306"/>
    <w:rsid w:val="001F0DB4"/>
    <w:rsid w:val="001F24D5"/>
    <w:rsid w:val="001F326B"/>
    <w:rsid w:val="001F4F7D"/>
    <w:rsid w:val="001F6D1D"/>
    <w:rsid w:val="001F74EC"/>
    <w:rsid w:val="0020181D"/>
    <w:rsid w:val="002039A0"/>
    <w:rsid w:val="00212173"/>
    <w:rsid w:val="002122F1"/>
    <w:rsid w:val="00217160"/>
    <w:rsid w:val="002171A5"/>
    <w:rsid w:val="0022168B"/>
    <w:rsid w:val="002248A3"/>
    <w:rsid w:val="0022563F"/>
    <w:rsid w:val="00226E45"/>
    <w:rsid w:val="00234E55"/>
    <w:rsid w:val="00235C68"/>
    <w:rsid w:val="00236B3B"/>
    <w:rsid w:val="00240D62"/>
    <w:rsid w:val="00246997"/>
    <w:rsid w:val="0025628F"/>
    <w:rsid w:val="00256857"/>
    <w:rsid w:val="00262038"/>
    <w:rsid w:val="002628BC"/>
    <w:rsid w:val="00263B33"/>
    <w:rsid w:val="00266441"/>
    <w:rsid w:val="00266D7E"/>
    <w:rsid w:val="00267E44"/>
    <w:rsid w:val="00277F9E"/>
    <w:rsid w:val="002803F1"/>
    <w:rsid w:val="00282D84"/>
    <w:rsid w:val="00283BC7"/>
    <w:rsid w:val="00286A53"/>
    <w:rsid w:val="00295277"/>
    <w:rsid w:val="002A11D8"/>
    <w:rsid w:val="002A132B"/>
    <w:rsid w:val="002A2A8F"/>
    <w:rsid w:val="002A4DE9"/>
    <w:rsid w:val="002A64E1"/>
    <w:rsid w:val="002B38E1"/>
    <w:rsid w:val="002B74CE"/>
    <w:rsid w:val="002C239C"/>
    <w:rsid w:val="002C5B6D"/>
    <w:rsid w:val="002C6760"/>
    <w:rsid w:val="002C684C"/>
    <w:rsid w:val="002C6F23"/>
    <w:rsid w:val="002C7614"/>
    <w:rsid w:val="002D10F1"/>
    <w:rsid w:val="002D58C3"/>
    <w:rsid w:val="002D7863"/>
    <w:rsid w:val="002E17EA"/>
    <w:rsid w:val="002E59A5"/>
    <w:rsid w:val="002F2445"/>
    <w:rsid w:val="002F2899"/>
    <w:rsid w:val="002F2F1E"/>
    <w:rsid w:val="002F326B"/>
    <w:rsid w:val="002F65E7"/>
    <w:rsid w:val="002F7E3F"/>
    <w:rsid w:val="0030037B"/>
    <w:rsid w:val="00300DC2"/>
    <w:rsid w:val="00302501"/>
    <w:rsid w:val="00310322"/>
    <w:rsid w:val="00315718"/>
    <w:rsid w:val="0031686E"/>
    <w:rsid w:val="00316FC5"/>
    <w:rsid w:val="003250BF"/>
    <w:rsid w:val="00331F36"/>
    <w:rsid w:val="00333E9F"/>
    <w:rsid w:val="00335446"/>
    <w:rsid w:val="00343364"/>
    <w:rsid w:val="00343A03"/>
    <w:rsid w:val="00351233"/>
    <w:rsid w:val="003514B6"/>
    <w:rsid w:val="003525E3"/>
    <w:rsid w:val="003555BF"/>
    <w:rsid w:val="00357439"/>
    <w:rsid w:val="003600D2"/>
    <w:rsid w:val="00360827"/>
    <w:rsid w:val="003627D4"/>
    <w:rsid w:val="0036424A"/>
    <w:rsid w:val="00365087"/>
    <w:rsid w:val="0036650C"/>
    <w:rsid w:val="0037138D"/>
    <w:rsid w:val="00373883"/>
    <w:rsid w:val="003742D1"/>
    <w:rsid w:val="00374B1C"/>
    <w:rsid w:val="0037583E"/>
    <w:rsid w:val="00375862"/>
    <w:rsid w:val="00375DD9"/>
    <w:rsid w:val="00377CA8"/>
    <w:rsid w:val="003808F7"/>
    <w:rsid w:val="0038223A"/>
    <w:rsid w:val="00386792"/>
    <w:rsid w:val="0039190A"/>
    <w:rsid w:val="00393F1D"/>
    <w:rsid w:val="00394084"/>
    <w:rsid w:val="003957CC"/>
    <w:rsid w:val="003A03DB"/>
    <w:rsid w:val="003A49C1"/>
    <w:rsid w:val="003A53E9"/>
    <w:rsid w:val="003B14C3"/>
    <w:rsid w:val="003B4234"/>
    <w:rsid w:val="003C1980"/>
    <w:rsid w:val="003C30B0"/>
    <w:rsid w:val="003C5B2A"/>
    <w:rsid w:val="003D01F9"/>
    <w:rsid w:val="003D401F"/>
    <w:rsid w:val="003E28D3"/>
    <w:rsid w:val="003E6823"/>
    <w:rsid w:val="003F11C6"/>
    <w:rsid w:val="003F2F77"/>
    <w:rsid w:val="003F6476"/>
    <w:rsid w:val="003F72BB"/>
    <w:rsid w:val="00402D36"/>
    <w:rsid w:val="004043F3"/>
    <w:rsid w:val="0040679F"/>
    <w:rsid w:val="00414548"/>
    <w:rsid w:val="004170F9"/>
    <w:rsid w:val="0042080F"/>
    <w:rsid w:val="00423E78"/>
    <w:rsid w:val="0042498A"/>
    <w:rsid w:val="0042520C"/>
    <w:rsid w:val="004267B3"/>
    <w:rsid w:val="00426E96"/>
    <w:rsid w:val="00426EBD"/>
    <w:rsid w:val="0043084F"/>
    <w:rsid w:val="0043460F"/>
    <w:rsid w:val="00435FE2"/>
    <w:rsid w:val="00440498"/>
    <w:rsid w:val="00440A50"/>
    <w:rsid w:val="00440D67"/>
    <w:rsid w:val="00441C4F"/>
    <w:rsid w:val="00442BEF"/>
    <w:rsid w:val="00445D3A"/>
    <w:rsid w:val="0045017A"/>
    <w:rsid w:val="00456721"/>
    <w:rsid w:val="0046076C"/>
    <w:rsid w:val="00462BF8"/>
    <w:rsid w:val="0046474F"/>
    <w:rsid w:val="00470389"/>
    <w:rsid w:val="00474623"/>
    <w:rsid w:val="00476DCA"/>
    <w:rsid w:val="004822B1"/>
    <w:rsid w:val="00483393"/>
    <w:rsid w:val="00487841"/>
    <w:rsid w:val="0049265D"/>
    <w:rsid w:val="00493432"/>
    <w:rsid w:val="00496DDC"/>
    <w:rsid w:val="004A6A67"/>
    <w:rsid w:val="004A6B17"/>
    <w:rsid w:val="004A7F93"/>
    <w:rsid w:val="004B0279"/>
    <w:rsid w:val="004B17A9"/>
    <w:rsid w:val="004B1A99"/>
    <w:rsid w:val="004B22E0"/>
    <w:rsid w:val="004B2E13"/>
    <w:rsid w:val="004B513B"/>
    <w:rsid w:val="004B5422"/>
    <w:rsid w:val="004C2449"/>
    <w:rsid w:val="004C48DD"/>
    <w:rsid w:val="004C6334"/>
    <w:rsid w:val="004C7CA9"/>
    <w:rsid w:val="004D3055"/>
    <w:rsid w:val="004D3F18"/>
    <w:rsid w:val="004D7FDE"/>
    <w:rsid w:val="004E0AD5"/>
    <w:rsid w:val="004E2B18"/>
    <w:rsid w:val="004E3B08"/>
    <w:rsid w:val="004E558E"/>
    <w:rsid w:val="004E55DA"/>
    <w:rsid w:val="004F2722"/>
    <w:rsid w:val="004F2A1F"/>
    <w:rsid w:val="004F740E"/>
    <w:rsid w:val="00506557"/>
    <w:rsid w:val="00506AF0"/>
    <w:rsid w:val="00506F24"/>
    <w:rsid w:val="00507847"/>
    <w:rsid w:val="0051438C"/>
    <w:rsid w:val="005147EE"/>
    <w:rsid w:val="00515844"/>
    <w:rsid w:val="00520877"/>
    <w:rsid w:val="00523713"/>
    <w:rsid w:val="0052456A"/>
    <w:rsid w:val="00525A15"/>
    <w:rsid w:val="00535483"/>
    <w:rsid w:val="0053556B"/>
    <w:rsid w:val="0053718D"/>
    <w:rsid w:val="0054275E"/>
    <w:rsid w:val="0054287A"/>
    <w:rsid w:val="0054371E"/>
    <w:rsid w:val="00546532"/>
    <w:rsid w:val="00546742"/>
    <w:rsid w:val="00552A92"/>
    <w:rsid w:val="00553081"/>
    <w:rsid w:val="00554D39"/>
    <w:rsid w:val="005564A7"/>
    <w:rsid w:val="00556919"/>
    <w:rsid w:val="00561F9F"/>
    <w:rsid w:val="00562859"/>
    <w:rsid w:val="00564607"/>
    <w:rsid w:val="0056531F"/>
    <w:rsid w:val="00566423"/>
    <w:rsid w:val="00566AB8"/>
    <w:rsid w:val="00566D18"/>
    <w:rsid w:val="005674CA"/>
    <w:rsid w:val="0057538A"/>
    <w:rsid w:val="00576574"/>
    <w:rsid w:val="00576CEB"/>
    <w:rsid w:val="00585D01"/>
    <w:rsid w:val="0058643C"/>
    <w:rsid w:val="00587830"/>
    <w:rsid w:val="00594464"/>
    <w:rsid w:val="0059647F"/>
    <w:rsid w:val="00597012"/>
    <w:rsid w:val="005976EB"/>
    <w:rsid w:val="005A0B60"/>
    <w:rsid w:val="005A1235"/>
    <w:rsid w:val="005A4B51"/>
    <w:rsid w:val="005A4B8F"/>
    <w:rsid w:val="005A593F"/>
    <w:rsid w:val="005B0A40"/>
    <w:rsid w:val="005B167A"/>
    <w:rsid w:val="005B1C7F"/>
    <w:rsid w:val="005B6D2B"/>
    <w:rsid w:val="005C5E85"/>
    <w:rsid w:val="005C6DE7"/>
    <w:rsid w:val="005C7303"/>
    <w:rsid w:val="005D430B"/>
    <w:rsid w:val="005E1425"/>
    <w:rsid w:val="005E311D"/>
    <w:rsid w:val="005E495B"/>
    <w:rsid w:val="005F37D5"/>
    <w:rsid w:val="005F4A1B"/>
    <w:rsid w:val="005F56D7"/>
    <w:rsid w:val="005F5C0D"/>
    <w:rsid w:val="005F675C"/>
    <w:rsid w:val="00605B3C"/>
    <w:rsid w:val="00605E29"/>
    <w:rsid w:val="00607538"/>
    <w:rsid w:val="00611431"/>
    <w:rsid w:val="00612BB7"/>
    <w:rsid w:val="00613B4E"/>
    <w:rsid w:val="006175A3"/>
    <w:rsid w:val="00624C79"/>
    <w:rsid w:val="00627A19"/>
    <w:rsid w:val="00637AC3"/>
    <w:rsid w:val="00643E56"/>
    <w:rsid w:val="00643F8F"/>
    <w:rsid w:val="00645074"/>
    <w:rsid w:val="006464CF"/>
    <w:rsid w:val="00650554"/>
    <w:rsid w:val="00654892"/>
    <w:rsid w:val="00657BE6"/>
    <w:rsid w:val="006650E9"/>
    <w:rsid w:val="0066525C"/>
    <w:rsid w:val="00665FF3"/>
    <w:rsid w:val="00670004"/>
    <w:rsid w:val="00671677"/>
    <w:rsid w:val="00674584"/>
    <w:rsid w:val="0068044C"/>
    <w:rsid w:val="0068536F"/>
    <w:rsid w:val="00686A8F"/>
    <w:rsid w:val="00687D65"/>
    <w:rsid w:val="00690947"/>
    <w:rsid w:val="00692F8B"/>
    <w:rsid w:val="00693634"/>
    <w:rsid w:val="00697F8A"/>
    <w:rsid w:val="006A3719"/>
    <w:rsid w:val="006A63AD"/>
    <w:rsid w:val="006A7362"/>
    <w:rsid w:val="006B10BC"/>
    <w:rsid w:val="006B35EF"/>
    <w:rsid w:val="006C0B91"/>
    <w:rsid w:val="006C137C"/>
    <w:rsid w:val="006C2CA3"/>
    <w:rsid w:val="006C54BB"/>
    <w:rsid w:val="006C658A"/>
    <w:rsid w:val="006C7968"/>
    <w:rsid w:val="006D2791"/>
    <w:rsid w:val="006D75CD"/>
    <w:rsid w:val="006E0D40"/>
    <w:rsid w:val="006E10EA"/>
    <w:rsid w:val="006E2CA6"/>
    <w:rsid w:val="006E3F05"/>
    <w:rsid w:val="006E49F7"/>
    <w:rsid w:val="006E6DF3"/>
    <w:rsid w:val="006F097F"/>
    <w:rsid w:val="006F2198"/>
    <w:rsid w:val="006F48F9"/>
    <w:rsid w:val="006F51BC"/>
    <w:rsid w:val="0070166D"/>
    <w:rsid w:val="007024D5"/>
    <w:rsid w:val="00702ABD"/>
    <w:rsid w:val="007042B3"/>
    <w:rsid w:val="0070448D"/>
    <w:rsid w:val="00705D94"/>
    <w:rsid w:val="00710F78"/>
    <w:rsid w:val="00711755"/>
    <w:rsid w:val="007123CA"/>
    <w:rsid w:val="00714959"/>
    <w:rsid w:val="007157AD"/>
    <w:rsid w:val="0072003F"/>
    <w:rsid w:val="007203E1"/>
    <w:rsid w:val="00722913"/>
    <w:rsid w:val="00722F3D"/>
    <w:rsid w:val="007231C9"/>
    <w:rsid w:val="007246BC"/>
    <w:rsid w:val="0072662B"/>
    <w:rsid w:val="00730E55"/>
    <w:rsid w:val="0073183C"/>
    <w:rsid w:val="00732A4D"/>
    <w:rsid w:val="007372BE"/>
    <w:rsid w:val="007377B9"/>
    <w:rsid w:val="00737931"/>
    <w:rsid w:val="007408CE"/>
    <w:rsid w:val="00742518"/>
    <w:rsid w:val="00743C06"/>
    <w:rsid w:val="007464A3"/>
    <w:rsid w:val="00746A35"/>
    <w:rsid w:val="0074770C"/>
    <w:rsid w:val="00750701"/>
    <w:rsid w:val="0075244A"/>
    <w:rsid w:val="00753648"/>
    <w:rsid w:val="00757271"/>
    <w:rsid w:val="007672B1"/>
    <w:rsid w:val="00767D31"/>
    <w:rsid w:val="00771FB6"/>
    <w:rsid w:val="007767B2"/>
    <w:rsid w:val="00780E2A"/>
    <w:rsid w:val="007847A0"/>
    <w:rsid w:val="00785C67"/>
    <w:rsid w:val="00786994"/>
    <w:rsid w:val="00791299"/>
    <w:rsid w:val="00793ED6"/>
    <w:rsid w:val="00795C30"/>
    <w:rsid w:val="007A070F"/>
    <w:rsid w:val="007A093D"/>
    <w:rsid w:val="007A1ED9"/>
    <w:rsid w:val="007A7CFF"/>
    <w:rsid w:val="007A7E6B"/>
    <w:rsid w:val="007B2BD2"/>
    <w:rsid w:val="007B3C21"/>
    <w:rsid w:val="007B686E"/>
    <w:rsid w:val="007B6B6D"/>
    <w:rsid w:val="007C0258"/>
    <w:rsid w:val="007C16D2"/>
    <w:rsid w:val="007C1E1A"/>
    <w:rsid w:val="007C25AE"/>
    <w:rsid w:val="007C3369"/>
    <w:rsid w:val="007C39FD"/>
    <w:rsid w:val="007C40B9"/>
    <w:rsid w:val="007C4741"/>
    <w:rsid w:val="007C4750"/>
    <w:rsid w:val="007C7318"/>
    <w:rsid w:val="007C7451"/>
    <w:rsid w:val="007C7821"/>
    <w:rsid w:val="007D0A72"/>
    <w:rsid w:val="007D202A"/>
    <w:rsid w:val="007E11DC"/>
    <w:rsid w:val="007E1C52"/>
    <w:rsid w:val="007E1F81"/>
    <w:rsid w:val="007E2123"/>
    <w:rsid w:val="007E5172"/>
    <w:rsid w:val="007E542A"/>
    <w:rsid w:val="007F06CF"/>
    <w:rsid w:val="007F4074"/>
    <w:rsid w:val="007F5381"/>
    <w:rsid w:val="007F5A52"/>
    <w:rsid w:val="007F6735"/>
    <w:rsid w:val="007F6CD2"/>
    <w:rsid w:val="00800520"/>
    <w:rsid w:val="00803E6E"/>
    <w:rsid w:val="00805510"/>
    <w:rsid w:val="00805F9C"/>
    <w:rsid w:val="008105AF"/>
    <w:rsid w:val="008112B9"/>
    <w:rsid w:val="0081158D"/>
    <w:rsid w:val="00823665"/>
    <w:rsid w:val="00826AA2"/>
    <w:rsid w:val="00827422"/>
    <w:rsid w:val="00830029"/>
    <w:rsid w:val="0083317C"/>
    <w:rsid w:val="00836E33"/>
    <w:rsid w:val="00841AE0"/>
    <w:rsid w:val="00841D65"/>
    <w:rsid w:val="00842D35"/>
    <w:rsid w:val="00850F8B"/>
    <w:rsid w:val="00851442"/>
    <w:rsid w:val="0085375E"/>
    <w:rsid w:val="0085638A"/>
    <w:rsid w:val="00856EF6"/>
    <w:rsid w:val="0085717A"/>
    <w:rsid w:val="008577C4"/>
    <w:rsid w:val="008606C4"/>
    <w:rsid w:val="00862D21"/>
    <w:rsid w:val="00864C34"/>
    <w:rsid w:val="008709FA"/>
    <w:rsid w:val="00877D54"/>
    <w:rsid w:val="00882857"/>
    <w:rsid w:val="00883231"/>
    <w:rsid w:val="00883F00"/>
    <w:rsid w:val="0088463B"/>
    <w:rsid w:val="00885454"/>
    <w:rsid w:val="00886039"/>
    <w:rsid w:val="00890828"/>
    <w:rsid w:val="00891BD7"/>
    <w:rsid w:val="00894429"/>
    <w:rsid w:val="00895E37"/>
    <w:rsid w:val="00897E98"/>
    <w:rsid w:val="008A245C"/>
    <w:rsid w:val="008A5D4E"/>
    <w:rsid w:val="008A6471"/>
    <w:rsid w:val="008A6D3D"/>
    <w:rsid w:val="008A6ED9"/>
    <w:rsid w:val="008A7BA2"/>
    <w:rsid w:val="008A7D30"/>
    <w:rsid w:val="008B4B94"/>
    <w:rsid w:val="008C17DF"/>
    <w:rsid w:val="008C219E"/>
    <w:rsid w:val="008D568B"/>
    <w:rsid w:val="008D5E83"/>
    <w:rsid w:val="008D6BDC"/>
    <w:rsid w:val="008E0A50"/>
    <w:rsid w:val="008E21E2"/>
    <w:rsid w:val="008E29C0"/>
    <w:rsid w:val="008E4172"/>
    <w:rsid w:val="008E5190"/>
    <w:rsid w:val="008E5C5A"/>
    <w:rsid w:val="008E6DD9"/>
    <w:rsid w:val="008F15F2"/>
    <w:rsid w:val="008F465B"/>
    <w:rsid w:val="00903213"/>
    <w:rsid w:val="00905786"/>
    <w:rsid w:val="00910C5A"/>
    <w:rsid w:val="00917BC3"/>
    <w:rsid w:val="00923023"/>
    <w:rsid w:val="009260F8"/>
    <w:rsid w:val="00926327"/>
    <w:rsid w:val="00927BE8"/>
    <w:rsid w:val="00930D87"/>
    <w:rsid w:val="00934592"/>
    <w:rsid w:val="00935A98"/>
    <w:rsid w:val="0094574A"/>
    <w:rsid w:val="00947E4B"/>
    <w:rsid w:val="00950863"/>
    <w:rsid w:val="00955266"/>
    <w:rsid w:val="00955268"/>
    <w:rsid w:val="00957B79"/>
    <w:rsid w:val="00963B3D"/>
    <w:rsid w:val="00963F41"/>
    <w:rsid w:val="00964B6C"/>
    <w:rsid w:val="00967AC5"/>
    <w:rsid w:val="00973544"/>
    <w:rsid w:val="0097387B"/>
    <w:rsid w:val="009763A2"/>
    <w:rsid w:val="00982CE9"/>
    <w:rsid w:val="009857B2"/>
    <w:rsid w:val="00991893"/>
    <w:rsid w:val="00992987"/>
    <w:rsid w:val="009A17DB"/>
    <w:rsid w:val="009A24B8"/>
    <w:rsid w:val="009A3E67"/>
    <w:rsid w:val="009A56E6"/>
    <w:rsid w:val="009A7102"/>
    <w:rsid w:val="009B3FD0"/>
    <w:rsid w:val="009B5410"/>
    <w:rsid w:val="009B78D7"/>
    <w:rsid w:val="009C0445"/>
    <w:rsid w:val="009C048C"/>
    <w:rsid w:val="009C05D6"/>
    <w:rsid w:val="009C2AFE"/>
    <w:rsid w:val="009C5902"/>
    <w:rsid w:val="009C60D3"/>
    <w:rsid w:val="009D0A16"/>
    <w:rsid w:val="009D11C7"/>
    <w:rsid w:val="009D1AAD"/>
    <w:rsid w:val="009D44A3"/>
    <w:rsid w:val="009D72FA"/>
    <w:rsid w:val="009E014E"/>
    <w:rsid w:val="009E093E"/>
    <w:rsid w:val="009E337D"/>
    <w:rsid w:val="009E766B"/>
    <w:rsid w:val="009F0176"/>
    <w:rsid w:val="009F0234"/>
    <w:rsid w:val="009F1270"/>
    <w:rsid w:val="009F1712"/>
    <w:rsid w:val="009F3EDE"/>
    <w:rsid w:val="009F4D92"/>
    <w:rsid w:val="009F69E3"/>
    <w:rsid w:val="00A033BC"/>
    <w:rsid w:val="00A0517A"/>
    <w:rsid w:val="00A063EC"/>
    <w:rsid w:val="00A13239"/>
    <w:rsid w:val="00A2388F"/>
    <w:rsid w:val="00A313C6"/>
    <w:rsid w:val="00A31562"/>
    <w:rsid w:val="00A31648"/>
    <w:rsid w:val="00A35383"/>
    <w:rsid w:val="00A35571"/>
    <w:rsid w:val="00A377AA"/>
    <w:rsid w:val="00A378E5"/>
    <w:rsid w:val="00A40807"/>
    <w:rsid w:val="00A42144"/>
    <w:rsid w:val="00A427A0"/>
    <w:rsid w:val="00A429DE"/>
    <w:rsid w:val="00A43404"/>
    <w:rsid w:val="00A436E1"/>
    <w:rsid w:val="00A47C7F"/>
    <w:rsid w:val="00A510A1"/>
    <w:rsid w:val="00A52084"/>
    <w:rsid w:val="00A52701"/>
    <w:rsid w:val="00A544BF"/>
    <w:rsid w:val="00A56B1E"/>
    <w:rsid w:val="00A61412"/>
    <w:rsid w:val="00A61813"/>
    <w:rsid w:val="00A63EAB"/>
    <w:rsid w:val="00A7217A"/>
    <w:rsid w:val="00A754B3"/>
    <w:rsid w:val="00A778EB"/>
    <w:rsid w:val="00A80D7F"/>
    <w:rsid w:val="00A813E3"/>
    <w:rsid w:val="00A84E35"/>
    <w:rsid w:val="00A90322"/>
    <w:rsid w:val="00A925FD"/>
    <w:rsid w:val="00A9590D"/>
    <w:rsid w:val="00AA025A"/>
    <w:rsid w:val="00AA3553"/>
    <w:rsid w:val="00AA4399"/>
    <w:rsid w:val="00AA4DDB"/>
    <w:rsid w:val="00AA5D5E"/>
    <w:rsid w:val="00AA6DD9"/>
    <w:rsid w:val="00AB1188"/>
    <w:rsid w:val="00AB283D"/>
    <w:rsid w:val="00AB4AB0"/>
    <w:rsid w:val="00AB4B8B"/>
    <w:rsid w:val="00AB59EC"/>
    <w:rsid w:val="00AB60F5"/>
    <w:rsid w:val="00AB7454"/>
    <w:rsid w:val="00AB7F16"/>
    <w:rsid w:val="00AC06F4"/>
    <w:rsid w:val="00AC0C12"/>
    <w:rsid w:val="00AC2EB5"/>
    <w:rsid w:val="00AC5431"/>
    <w:rsid w:val="00AD0FB1"/>
    <w:rsid w:val="00AD1B7D"/>
    <w:rsid w:val="00AD58E6"/>
    <w:rsid w:val="00AD5D09"/>
    <w:rsid w:val="00AD6044"/>
    <w:rsid w:val="00AD6535"/>
    <w:rsid w:val="00AD760B"/>
    <w:rsid w:val="00AE051F"/>
    <w:rsid w:val="00AF3C43"/>
    <w:rsid w:val="00AF5933"/>
    <w:rsid w:val="00B00FFA"/>
    <w:rsid w:val="00B02B17"/>
    <w:rsid w:val="00B03076"/>
    <w:rsid w:val="00B04717"/>
    <w:rsid w:val="00B23B10"/>
    <w:rsid w:val="00B2405A"/>
    <w:rsid w:val="00B2560F"/>
    <w:rsid w:val="00B26F5A"/>
    <w:rsid w:val="00B31126"/>
    <w:rsid w:val="00B31B42"/>
    <w:rsid w:val="00B33327"/>
    <w:rsid w:val="00B3403A"/>
    <w:rsid w:val="00B34945"/>
    <w:rsid w:val="00B36B09"/>
    <w:rsid w:val="00B44328"/>
    <w:rsid w:val="00B47CC3"/>
    <w:rsid w:val="00B543D1"/>
    <w:rsid w:val="00B56688"/>
    <w:rsid w:val="00B571F3"/>
    <w:rsid w:val="00B63433"/>
    <w:rsid w:val="00B639DE"/>
    <w:rsid w:val="00B63BE9"/>
    <w:rsid w:val="00B65BC5"/>
    <w:rsid w:val="00B707BC"/>
    <w:rsid w:val="00B7196F"/>
    <w:rsid w:val="00B732AB"/>
    <w:rsid w:val="00B75839"/>
    <w:rsid w:val="00B75F66"/>
    <w:rsid w:val="00B80187"/>
    <w:rsid w:val="00B81061"/>
    <w:rsid w:val="00B856E0"/>
    <w:rsid w:val="00B97BFA"/>
    <w:rsid w:val="00BA2A23"/>
    <w:rsid w:val="00BA2F8E"/>
    <w:rsid w:val="00BA3C43"/>
    <w:rsid w:val="00BA4D3D"/>
    <w:rsid w:val="00BA4DA6"/>
    <w:rsid w:val="00BA5EB4"/>
    <w:rsid w:val="00BB2BAA"/>
    <w:rsid w:val="00BB3DE0"/>
    <w:rsid w:val="00BB7D54"/>
    <w:rsid w:val="00BC0209"/>
    <w:rsid w:val="00BC04C1"/>
    <w:rsid w:val="00BC08E2"/>
    <w:rsid w:val="00BC11DE"/>
    <w:rsid w:val="00BC13FF"/>
    <w:rsid w:val="00BC37F0"/>
    <w:rsid w:val="00BC49C0"/>
    <w:rsid w:val="00BC54FC"/>
    <w:rsid w:val="00BC769D"/>
    <w:rsid w:val="00BD4D0C"/>
    <w:rsid w:val="00BD4FB8"/>
    <w:rsid w:val="00BD7E05"/>
    <w:rsid w:val="00BE01FD"/>
    <w:rsid w:val="00BE32F8"/>
    <w:rsid w:val="00BE4941"/>
    <w:rsid w:val="00BE56F8"/>
    <w:rsid w:val="00BE6609"/>
    <w:rsid w:val="00BE6E64"/>
    <w:rsid w:val="00BE72F9"/>
    <w:rsid w:val="00BF3D47"/>
    <w:rsid w:val="00C00464"/>
    <w:rsid w:val="00C013E1"/>
    <w:rsid w:val="00C01A18"/>
    <w:rsid w:val="00C03CC1"/>
    <w:rsid w:val="00C042DE"/>
    <w:rsid w:val="00C0481D"/>
    <w:rsid w:val="00C04937"/>
    <w:rsid w:val="00C06448"/>
    <w:rsid w:val="00C06E74"/>
    <w:rsid w:val="00C07C99"/>
    <w:rsid w:val="00C10530"/>
    <w:rsid w:val="00C108A4"/>
    <w:rsid w:val="00C11559"/>
    <w:rsid w:val="00C12EF4"/>
    <w:rsid w:val="00C13381"/>
    <w:rsid w:val="00C16152"/>
    <w:rsid w:val="00C16AB6"/>
    <w:rsid w:val="00C174F2"/>
    <w:rsid w:val="00C20F04"/>
    <w:rsid w:val="00C21582"/>
    <w:rsid w:val="00C22422"/>
    <w:rsid w:val="00C2297C"/>
    <w:rsid w:val="00C2498D"/>
    <w:rsid w:val="00C25FB8"/>
    <w:rsid w:val="00C270C4"/>
    <w:rsid w:val="00C348CF"/>
    <w:rsid w:val="00C37625"/>
    <w:rsid w:val="00C37C45"/>
    <w:rsid w:val="00C403F5"/>
    <w:rsid w:val="00C50C0E"/>
    <w:rsid w:val="00C51357"/>
    <w:rsid w:val="00C56329"/>
    <w:rsid w:val="00C64B4B"/>
    <w:rsid w:val="00C6598B"/>
    <w:rsid w:val="00C8304D"/>
    <w:rsid w:val="00C845FC"/>
    <w:rsid w:val="00C8531C"/>
    <w:rsid w:val="00C85B34"/>
    <w:rsid w:val="00C958A1"/>
    <w:rsid w:val="00C96CA6"/>
    <w:rsid w:val="00C9752E"/>
    <w:rsid w:val="00CA4A11"/>
    <w:rsid w:val="00CA5990"/>
    <w:rsid w:val="00CA769E"/>
    <w:rsid w:val="00CB0E24"/>
    <w:rsid w:val="00CB1250"/>
    <w:rsid w:val="00CB2A81"/>
    <w:rsid w:val="00CB412A"/>
    <w:rsid w:val="00CB770D"/>
    <w:rsid w:val="00CC00A6"/>
    <w:rsid w:val="00CC2D4C"/>
    <w:rsid w:val="00CC521F"/>
    <w:rsid w:val="00CC65A2"/>
    <w:rsid w:val="00CD1EB1"/>
    <w:rsid w:val="00CD31F2"/>
    <w:rsid w:val="00CD3603"/>
    <w:rsid w:val="00CD59C0"/>
    <w:rsid w:val="00CD666D"/>
    <w:rsid w:val="00CE56B3"/>
    <w:rsid w:val="00CF03E4"/>
    <w:rsid w:val="00CF1320"/>
    <w:rsid w:val="00CF3709"/>
    <w:rsid w:val="00D02B75"/>
    <w:rsid w:val="00D02DA2"/>
    <w:rsid w:val="00D02DF3"/>
    <w:rsid w:val="00D03E89"/>
    <w:rsid w:val="00D05FA3"/>
    <w:rsid w:val="00D0681F"/>
    <w:rsid w:val="00D079B1"/>
    <w:rsid w:val="00D07CAD"/>
    <w:rsid w:val="00D13690"/>
    <w:rsid w:val="00D14362"/>
    <w:rsid w:val="00D16FBB"/>
    <w:rsid w:val="00D21ED9"/>
    <w:rsid w:val="00D23078"/>
    <w:rsid w:val="00D230D1"/>
    <w:rsid w:val="00D25D8B"/>
    <w:rsid w:val="00D26E57"/>
    <w:rsid w:val="00D31A5E"/>
    <w:rsid w:val="00D31B84"/>
    <w:rsid w:val="00D31E1A"/>
    <w:rsid w:val="00D33DC8"/>
    <w:rsid w:val="00D367C0"/>
    <w:rsid w:val="00D411FF"/>
    <w:rsid w:val="00D427D0"/>
    <w:rsid w:val="00D45EFE"/>
    <w:rsid w:val="00D47C45"/>
    <w:rsid w:val="00D506B1"/>
    <w:rsid w:val="00D5108E"/>
    <w:rsid w:val="00D52A05"/>
    <w:rsid w:val="00D60D7D"/>
    <w:rsid w:val="00D61C43"/>
    <w:rsid w:val="00D63091"/>
    <w:rsid w:val="00D65A20"/>
    <w:rsid w:val="00D67C7B"/>
    <w:rsid w:val="00D80B13"/>
    <w:rsid w:val="00D84F81"/>
    <w:rsid w:val="00D91046"/>
    <w:rsid w:val="00D949D7"/>
    <w:rsid w:val="00D971A2"/>
    <w:rsid w:val="00D975C0"/>
    <w:rsid w:val="00DA1A8E"/>
    <w:rsid w:val="00DB04A8"/>
    <w:rsid w:val="00DB2383"/>
    <w:rsid w:val="00DB52AC"/>
    <w:rsid w:val="00DC0F32"/>
    <w:rsid w:val="00DC14CC"/>
    <w:rsid w:val="00DC15D4"/>
    <w:rsid w:val="00DC64CC"/>
    <w:rsid w:val="00DC67F9"/>
    <w:rsid w:val="00DC7A57"/>
    <w:rsid w:val="00DC7E41"/>
    <w:rsid w:val="00DD13F1"/>
    <w:rsid w:val="00DD219C"/>
    <w:rsid w:val="00DD3444"/>
    <w:rsid w:val="00DD360F"/>
    <w:rsid w:val="00DD71BE"/>
    <w:rsid w:val="00DE11C3"/>
    <w:rsid w:val="00DE3E39"/>
    <w:rsid w:val="00DE50AE"/>
    <w:rsid w:val="00DE6B4E"/>
    <w:rsid w:val="00DE7377"/>
    <w:rsid w:val="00DF071D"/>
    <w:rsid w:val="00DF334D"/>
    <w:rsid w:val="00DF490A"/>
    <w:rsid w:val="00DF4C5C"/>
    <w:rsid w:val="00DF5A1F"/>
    <w:rsid w:val="00E00AA7"/>
    <w:rsid w:val="00E046CF"/>
    <w:rsid w:val="00E04E4A"/>
    <w:rsid w:val="00E052EB"/>
    <w:rsid w:val="00E06FE1"/>
    <w:rsid w:val="00E076E7"/>
    <w:rsid w:val="00E13A8E"/>
    <w:rsid w:val="00E1490E"/>
    <w:rsid w:val="00E17F9B"/>
    <w:rsid w:val="00E20299"/>
    <w:rsid w:val="00E223AB"/>
    <w:rsid w:val="00E23AE5"/>
    <w:rsid w:val="00E26064"/>
    <w:rsid w:val="00E302D9"/>
    <w:rsid w:val="00E31E5D"/>
    <w:rsid w:val="00E337F0"/>
    <w:rsid w:val="00E33A13"/>
    <w:rsid w:val="00E34A5E"/>
    <w:rsid w:val="00E3501A"/>
    <w:rsid w:val="00E36A73"/>
    <w:rsid w:val="00E37393"/>
    <w:rsid w:val="00E37A7D"/>
    <w:rsid w:val="00E404FD"/>
    <w:rsid w:val="00E43B35"/>
    <w:rsid w:val="00E441BB"/>
    <w:rsid w:val="00E45AC1"/>
    <w:rsid w:val="00E50F1D"/>
    <w:rsid w:val="00E51ECB"/>
    <w:rsid w:val="00E553E7"/>
    <w:rsid w:val="00E55832"/>
    <w:rsid w:val="00E57DC2"/>
    <w:rsid w:val="00E60BBC"/>
    <w:rsid w:val="00E61229"/>
    <w:rsid w:val="00E612ED"/>
    <w:rsid w:val="00E615D5"/>
    <w:rsid w:val="00E625FC"/>
    <w:rsid w:val="00E64E0C"/>
    <w:rsid w:val="00E728AD"/>
    <w:rsid w:val="00E72EC6"/>
    <w:rsid w:val="00E7650D"/>
    <w:rsid w:val="00E81014"/>
    <w:rsid w:val="00E8396E"/>
    <w:rsid w:val="00E87B80"/>
    <w:rsid w:val="00E96CC9"/>
    <w:rsid w:val="00E97213"/>
    <w:rsid w:val="00EA0C9B"/>
    <w:rsid w:val="00EA1936"/>
    <w:rsid w:val="00EA1CB2"/>
    <w:rsid w:val="00EA4156"/>
    <w:rsid w:val="00EA687E"/>
    <w:rsid w:val="00EA79FD"/>
    <w:rsid w:val="00EB16B7"/>
    <w:rsid w:val="00EB324D"/>
    <w:rsid w:val="00EB382B"/>
    <w:rsid w:val="00EB546E"/>
    <w:rsid w:val="00EC0681"/>
    <w:rsid w:val="00EC381C"/>
    <w:rsid w:val="00EC4A14"/>
    <w:rsid w:val="00EC5CCF"/>
    <w:rsid w:val="00EC6F17"/>
    <w:rsid w:val="00EC753A"/>
    <w:rsid w:val="00ED0D8E"/>
    <w:rsid w:val="00ED1B4A"/>
    <w:rsid w:val="00ED3446"/>
    <w:rsid w:val="00ED34E9"/>
    <w:rsid w:val="00ED51C4"/>
    <w:rsid w:val="00ED5C58"/>
    <w:rsid w:val="00ED62C8"/>
    <w:rsid w:val="00EE250E"/>
    <w:rsid w:val="00EE4117"/>
    <w:rsid w:val="00EE68D1"/>
    <w:rsid w:val="00EE6CD9"/>
    <w:rsid w:val="00EE782F"/>
    <w:rsid w:val="00EF0154"/>
    <w:rsid w:val="00EF6CE9"/>
    <w:rsid w:val="00F025FC"/>
    <w:rsid w:val="00F0413C"/>
    <w:rsid w:val="00F0728C"/>
    <w:rsid w:val="00F076B0"/>
    <w:rsid w:val="00F168D1"/>
    <w:rsid w:val="00F236AD"/>
    <w:rsid w:val="00F2431A"/>
    <w:rsid w:val="00F255E5"/>
    <w:rsid w:val="00F26EF8"/>
    <w:rsid w:val="00F3077F"/>
    <w:rsid w:val="00F36503"/>
    <w:rsid w:val="00F40498"/>
    <w:rsid w:val="00F405D3"/>
    <w:rsid w:val="00F40882"/>
    <w:rsid w:val="00F43538"/>
    <w:rsid w:val="00F5146A"/>
    <w:rsid w:val="00F51885"/>
    <w:rsid w:val="00F526B5"/>
    <w:rsid w:val="00F60E46"/>
    <w:rsid w:val="00F611B0"/>
    <w:rsid w:val="00F628F0"/>
    <w:rsid w:val="00F638EE"/>
    <w:rsid w:val="00F72494"/>
    <w:rsid w:val="00F73CA8"/>
    <w:rsid w:val="00F73F9C"/>
    <w:rsid w:val="00F7685B"/>
    <w:rsid w:val="00F77183"/>
    <w:rsid w:val="00F81DE3"/>
    <w:rsid w:val="00F951B3"/>
    <w:rsid w:val="00F96D35"/>
    <w:rsid w:val="00F97AF3"/>
    <w:rsid w:val="00F97C5E"/>
    <w:rsid w:val="00FA06D1"/>
    <w:rsid w:val="00FA1890"/>
    <w:rsid w:val="00FA2B96"/>
    <w:rsid w:val="00FA2C37"/>
    <w:rsid w:val="00FA6A9D"/>
    <w:rsid w:val="00FB2439"/>
    <w:rsid w:val="00FB4D56"/>
    <w:rsid w:val="00FB63F3"/>
    <w:rsid w:val="00FC3526"/>
    <w:rsid w:val="00FC41D3"/>
    <w:rsid w:val="00FC4E89"/>
    <w:rsid w:val="00FC6AFF"/>
    <w:rsid w:val="00FD0363"/>
    <w:rsid w:val="00FD1180"/>
    <w:rsid w:val="00FD1D06"/>
    <w:rsid w:val="00FE17A3"/>
    <w:rsid w:val="00FE38D8"/>
    <w:rsid w:val="00FF117B"/>
    <w:rsid w:val="00FF68B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E833FA7"/>
  <w15:docId w15:val="{CBAD301C-716E-47A0-ABA3-052B7A49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D09"/>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paragraph" w:styleId="Heading1">
    <w:name w:val="heading 1"/>
    <w:aliases w:val="Heading 1 Char Char,Heading 1 Char1,Heading 1 Char1 Car"/>
    <w:basedOn w:val="Normal"/>
    <w:next w:val="Normal"/>
    <w:link w:val="Heading1Char"/>
    <w:qFormat/>
    <w:rsid w:val="00EA193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pPr>
    <w:rPr>
      <w:rFonts w:ascii="Times New Roman" w:hAnsi="Times New Roman"/>
      <w:bCs/>
      <w:szCs w:val="28"/>
      <w:lang w:eastAsia="es-ES"/>
    </w:rPr>
  </w:style>
  <w:style w:type="paragraph" w:styleId="Heading2">
    <w:name w:val="heading 2"/>
    <w:basedOn w:val="Normal"/>
    <w:next w:val="Normal"/>
    <w:link w:val="Heading2Char"/>
    <w:unhideWhenUsed/>
    <w:qFormat/>
    <w:rsid w:val="00EE6CD9"/>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1"/>
    </w:pPr>
    <w:rPr>
      <w:rFonts w:ascii="Calibri Light" w:hAnsi="Calibri Light"/>
      <w:b/>
      <w:bCs/>
      <w:i/>
      <w:iCs/>
      <w:sz w:val="28"/>
      <w:szCs w:val="28"/>
      <w:lang w:eastAsia="es-ES"/>
    </w:rPr>
  </w:style>
  <w:style w:type="paragraph" w:styleId="Heading3">
    <w:name w:val="heading 3"/>
    <w:basedOn w:val="Normal"/>
    <w:next w:val="Normal"/>
    <w:link w:val="Heading3Char"/>
    <w:unhideWhenUsed/>
    <w:qFormat/>
    <w:rsid w:val="00EE6CD9"/>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2"/>
    </w:pPr>
    <w:rPr>
      <w:rFonts w:ascii="Cambria" w:hAnsi="Cambria"/>
      <w:b/>
      <w:bCs/>
      <w:sz w:val="26"/>
      <w:szCs w:val="26"/>
      <w:lang w:eastAsia="es-ES"/>
    </w:rPr>
  </w:style>
  <w:style w:type="paragraph" w:styleId="Heading4">
    <w:name w:val="heading 4"/>
    <w:basedOn w:val="Normal"/>
    <w:next w:val="Normal"/>
    <w:link w:val="Heading4Char"/>
    <w:qFormat/>
    <w:rsid w:val="00110CF1"/>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3"/>
    </w:pPr>
    <w:rPr>
      <w:rFonts w:ascii="Times New Roman" w:eastAsia="Batang" w:hAnsi="Times New Roman"/>
      <w:bCs/>
      <w:szCs w:val="28"/>
      <w:lang w:val="es-ES_tradnl" w:eastAsia="x-none"/>
    </w:rPr>
  </w:style>
  <w:style w:type="paragraph" w:styleId="Heading6">
    <w:name w:val="heading 6"/>
    <w:basedOn w:val="Normal"/>
    <w:next w:val="Normal"/>
    <w:link w:val="Heading6Char"/>
    <w:semiHidden/>
    <w:unhideWhenUsed/>
    <w:qFormat/>
    <w:rsid w:val="00110CF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5"/>
    </w:pPr>
    <w:rPr>
      <w:rFonts w:ascii="Calibri" w:hAnsi="Calibri"/>
      <w:b/>
      <w:bCs/>
      <w:szCs w:val="22"/>
    </w:rPr>
  </w:style>
  <w:style w:type="paragraph" w:styleId="Heading7">
    <w:name w:val="heading 7"/>
    <w:basedOn w:val="Normal"/>
    <w:next w:val="Normal"/>
    <w:link w:val="Heading7Char"/>
    <w:semiHidden/>
    <w:unhideWhenUsed/>
    <w:qFormat/>
    <w:rsid w:val="00110CF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rsid w:val="00EA1936"/>
    <w:rPr>
      <w:bCs/>
      <w:sz w:val="22"/>
      <w:szCs w:val="28"/>
      <w:lang w:val="es-ES" w:eastAsia="es-ES"/>
    </w:rPr>
  </w:style>
  <w:style w:type="paragraph" w:styleId="EndnoteText">
    <w:name w:val="endnote text"/>
    <w:basedOn w:val="Normal"/>
    <w:link w:val="EndnoteTextChar"/>
  </w:style>
  <w:style w:type="character" w:customStyle="1" w:styleId="EndnoteTextChar">
    <w:name w:val="Endnote Text Char"/>
    <w:basedOn w:val="DefaultParagraphFont"/>
    <w:link w:val="EndnoteText"/>
    <w:rsid w:val="009260F8"/>
    <w:rPr>
      <w:rFonts w:ascii="CG Times" w:hAnsi="CG Times"/>
      <w:sz w:val="22"/>
      <w:lang w:val="es-ES"/>
    </w:rPr>
  </w:style>
  <w:style w:type="character" w:styleId="EndnoteReference">
    <w:name w:val="endnote reference"/>
    <w:basedOn w:val="DefaultParagraphFont"/>
    <w:uiPriority w:val="99"/>
    <w:rPr>
      <w:vertAlign w:val="superscript"/>
    </w:rPr>
  </w:style>
  <w:style w:type="paragraph" w:styleId="FootnoteText">
    <w:name w:val="footnote text"/>
    <w:aliases w:val="Car1,FA Fu,FA Fußnotentext,FA Fuﬂnotentext,Footnote Text Char Char Char,Footnote Text Char Char Char Char,Footnote Text Char Char Char Char Char,Footnote reference,Texto nota pie [MM],ft,ft Car Car,texto de nota al pie,footnote text, Car1"/>
    <w:basedOn w:val="Normal"/>
    <w:link w:val="FootnoteTextChar"/>
    <w:qFormat/>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customStyle="1" w:styleId="FootnoteTextChar">
    <w:name w:val="Footnote Text Char"/>
    <w:aliases w:val="Car1 Char,FA Fu Char,FA Fußnotentext Char,FA Fuﬂnotentext Char,Footnote Text Char Char Char Char1,Footnote Text Char Char Char Char Char1,Footnote Text Char Char Char Char Char Char,Footnote reference Char,Texto nota pie [MM] Char"/>
    <w:basedOn w:val="DefaultParagraphFont"/>
    <w:link w:val="FootnoteText"/>
    <w:rsid w:val="009260F8"/>
    <w:rPr>
      <w:rFonts w:ascii="CG Times" w:hAnsi="CG Times"/>
      <w:sz w:val="18"/>
      <w:lang w:val="es-ES"/>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
    <w:basedOn w:val="DefaultParagraphFont"/>
    <w:rPr>
      <w:color w:val="auto"/>
      <w:vertAlign w:val="baseline"/>
    </w:rPr>
  </w:style>
  <w:style w:type="paragraph" w:styleId="TOC1">
    <w:name w:val="toc 1"/>
    <w:basedOn w:val="Normal"/>
    <w:next w:val="Normal"/>
    <w:uiPriority w:val="39"/>
    <w:pPr>
      <w:tabs>
        <w:tab w:val="right" w:leader="dot" w:pos="9360"/>
      </w:tabs>
      <w:suppressAutoHyphens/>
      <w:spacing w:before="480"/>
      <w:ind w:left="720" w:right="720" w:hanging="720"/>
    </w:pPr>
  </w:style>
  <w:style w:type="paragraph" w:styleId="TOC2">
    <w:name w:val="toc 2"/>
    <w:basedOn w:val="Normal"/>
    <w:next w:val="Normal"/>
    <w:uiPriority w:val="39"/>
    <w:pPr>
      <w:tabs>
        <w:tab w:val="right" w:leader="dot" w:pos="9360"/>
      </w:tabs>
      <w:suppressAutoHyphens/>
      <w:ind w:left="1440" w:right="720" w:hanging="720"/>
    </w:pPr>
  </w:style>
  <w:style w:type="paragraph" w:styleId="TOC3">
    <w:name w:val="toc 3"/>
    <w:basedOn w:val="Normal"/>
    <w:next w:val="Normal"/>
    <w:uiPriority w:val="39"/>
    <w:pPr>
      <w:tabs>
        <w:tab w:val="right" w:leader="dot" w:pos="9360"/>
      </w:tabs>
      <w:suppressAutoHyphens/>
      <w:ind w:left="2160" w:right="720" w:hanging="720"/>
    </w:pPr>
  </w:style>
  <w:style w:type="paragraph" w:styleId="TOC4">
    <w:name w:val="toc 4"/>
    <w:basedOn w:val="Normal"/>
    <w:next w:val="Normal"/>
    <w:uiPriority w:val="39"/>
    <w:pPr>
      <w:tabs>
        <w:tab w:val="right" w:leader="dot" w:pos="9360"/>
      </w:tabs>
      <w:suppressAutoHyphens/>
      <w:ind w:left="2880" w:right="720" w:hanging="720"/>
    </w:pPr>
  </w:style>
  <w:style w:type="paragraph" w:styleId="TOC5">
    <w:name w:val="toc 5"/>
    <w:basedOn w:val="Normal"/>
    <w:next w:val="Normal"/>
    <w:uiPriority w:val="39"/>
    <w:pPr>
      <w:tabs>
        <w:tab w:val="right" w:leader="dot" w:pos="9360"/>
      </w:tabs>
      <w:suppressAutoHyphens/>
      <w:ind w:left="3600" w:right="720" w:hanging="720"/>
    </w:pPr>
  </w:style>
  <w:style w:type="paragraph" w:styleId="TOC6">
    <w:name w:val="toc 6"/>
    <w:basedOn w:val="Normal"/>
    <w:next w:val="Normal"/>
    <w:uiPriority w:val="39"/>
    <w:pPr>
      <w:tabs>
        <w:tab w:val="right" w:pos="9360"/>
      </w:tabs>
      <w:suppressAutoHyphens/>
      <w:ind w:left="720" w:hanging="720"/>
    </w:pPr>
  </w:style>
  <w:style w:type="paragraph" w:styleId="TOC7">
    <w:name w:val="toc 7"/>
    <w:basedOn w:val="Normal"/>
    <w:next w:val="Normal"/>
    <w:uiPriority w:val="39"/>
    <w:pPr>
      <w:suppressAutoHyphens/>
      <w:ind w:left="720" w:hanging="720"/>
    </w:pPr>
  </w:style>
  <w:style w:type="paragraph" w:styleId="TOC8">
    <w:name w:val="toc 8"/>
    <w:basedOn w:val="Normal"/>
    <w:next w:val="Normal"/>
    <w:uiPriority w:val="39"/>
    <w:pPr>
      <w:tabs>
        <w:tab w:val="right" w:pos="9360"/>
      </w:tabs>
      <w:suppressAutoHyphens/>
      <w:ind w:left="720" w:hanging="720"/>
    </w:pPr>
  </w:style>
  <w:style w:type="paragraph" w:styleId="TOC9">
    <w:name w:val="toc 9"/>
    <w:basedOn w:val="Normal"/>
    <w:next w:val="Normal"/>
    <w:uiPriority w:val="39"/>
    <w:pPr>
      <w:tabs>
        <w:tab w:val="right" w:leader="dot" w:pos="9360"/>
      </w:tabs>
      <w:suppressAutoHyphens/>
      <w:ind w:left="720" w:hanging="720"/>
    </w:pPr>
  </w:style>
  <w:style w:type="paragraph" w:styleId="Index1">
    <w:name w:val="index 1"/>
    <w:basedOn w:val="Normal"/>
    <w:next w:val="Normal"/>
    <w:pPr>
      <w:tabs>
        <w:tab w:val="right" w:leader="dot" w:pos="9360"/>
      </w:tabs>
      <w:suppressAutoHyphens/>
      <w:ind w:left="1440" w:right="720" w:hanging="1440"/>
    </w:pPr>
  </w:style>
  <w:style w:type="paragraph" w:styleId="Index2">
    <w:name w:val="index 2"/>
    <w:basedOn w:val="Normal"/>
    <w:next w:val="Normal"/>
    <w:uiPriority w:val="99"/>
    <w:semiHidden/>
    <w:pPr>
      <w:tabs>
        <w:tab w:val="right" w:leader="dot" w:pos="9360"/>
      </w:tabs>
      <w:suppressAutoHyphens/>
      <w:ind w:left="1440" w:right="720" w:hanging="720"/>
    </w:pPr>
  </w:style>
  <w:style w:type="paragraph" w:styleId="TOAHeading">
    <w:name w:val="toa heading"/>
    <w:basedOn w:val="Normal"/>
    <w:next w:val="Normal"/>
    <w:uiPriority w:val="99"/>
    <w:semiHidden/>
    <w:pPr>
      <w:tabs>
        <w:tab w:val="right" w:pos="9360"/>
      </w:tabs>
      <w:suppressAutoHyphens/>
    </w:p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Header">
    <w:name w:val="header"/>
    <w:aliases w:val="encabezado"/>
    <w:basedOn w:val="Normal"/>
    <w:link w:val="HeaderChar"/>
    <w:uiPriority w:val="99"/>
    <w:qFormat/>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HeaderChar">
    <w:name w:val="Header Char"/>
    <w:aliases w:val="encabezado Char"/>
    <w:basedOn w:val="DefaultParagraphFont"/>
    <w:link w:val="Header"/>
    <w:uiPriority w:val="99"/>
    <w:rsid w:val="00E33A13"/>
    <w:rPr>
      <w:rFonts w:ascii="CG Times" w:hAnsi="CG Times"/>
      <w:sz w:val="22"/>
      <w:lang w:val="es-ES"/>
    </w:rPr>
  </w:style>
  <w:style w:type="character" w:styleId="PageNumber">
    <w:name w:val="page number"/>
    <w:basedOn w:val="DefaultParagraphFont"/>
  </w:style>
  <w:style w:type="paragraph" w:styleId="Footer">
    <w:name w:val="footer"/>
    <w:basedOn w:val="Normal"/>
    <w:link w:val="Foot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FooterChar">
    <w:name w:val="Footer Char"/>
    <w:basedOn w:val="DefaultParagraphFont"/>
    <w:link w:val="Footer"/>
    <w:uiPriority w:val="99"/>
    <w:rsid w:val="009260F8"/>
    <w:rPr>
      <w:rFonts w:ascii="CG Times" w:hAnsi="CG Times"/>
      <w:sz w:val="22"/>
      <w:lang w:val="es-ES"/>
    </w:rPr>
  </w:style>
  <w:style w:type="paragraph" w:customStyle="1" w:styleId="FootnoteCall">
    <w:name w:val="Footnote Call"/>
    <w:basedOn w:val="Normal"/>
    <w:uiPriority w:val="99"/>
    <w:qFormat/>
  </w:style>
  <w:style w:type="paragraph" w:customStyle="1" w:styleId="CPClassification">
    <w:name w:val="CP Classification"/>
    <w:basedOn w:val="Normal"/>
    <w:uiPriority w:val="99"/>
    <w:qFormat/>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lang w:val="pt-PT"/>
    </w:rPr>
  </w:style>
  <w:style w:type="paragraph" w:customStyle="1" w:styleId="CPTitle">
    <w:name w:val="CP Title"/>
    <w:basedOn w:val="Normal"/>
    <w:uiPriority w:val="99"/>
    <w:qFormat/>
    <w:pPr>
      <w:widowControl/>
      <w:tabs>
        <w:tab w:val="clear" w:pos="3600"/>
        <w:tab w:val="clear" w:pos="4320"/>
        <w:tab w:val="clear" w:pos="5760"/>
        <w:tab w:val="clear" w:pos="6480"/>
        <w:tab w:val="left" w:pos="8640"/>
      </w:tabs>
      <w:jc w:val="center"/>
    </w:pPr>
    <w:rPr>
      <w:rFonts w:ascii="Times New Roman" w:hAnsi="Times New Roman"/>
      <w:lang w:val="pt-PT"/>
    </w:rPr>
  </w:style>
  <w:style w:type="character" w:styleId="Hyperlink">
    <w:name w:val="Hyperlink"/>
    <w:basedOn w:val="DefaultParagraphFont"/>
    <w:uiPriority w:val="99"/>
    <w:unhideWhenUsed/>
    <w:rsid w:val="00D367C0"/>
    <w:rPr>
      <w:color w:val="0000FF" w:themeColor="hyperlink"/>
      <w:u w:val="single"/>
    </w:rPr>
  </w:style>
  <w:style w:type="paragraph" w:customStyle="1" w:styleId="Body">
    <w:name w:val="Body"/>
    <w:rsid w:val="00967AC5"/>
    <w:pPr>
      <w:widowControl w:val="0"/>
      <w:jc w:val="both"/>
    </w:pPr>
    <w:rPr>
      <w:rFonts w:ascii="Arial" w:eastAsia="Arial Unicode MS" w:hAnsi="Arial" w:cs="Arial Unicode MS"/>
      <w:color w:val="000000"/>
      <w:sz w:val="24"/>
      <w:szCs w:val="24"/>
      <w:u w:color="000000"/>
      <w14:textOutline w14:w="0" w14:cap="flat" w14:cmpd="sng" w14:algn="ctr">
        <w14:noFill/>
        <w14:prstDash w14:val="solid"/>
        <w14:bevel/>
      </w14:textOutline>
    </w:rPr>
  </w:style>
  <w:style w:type="paragraph" w:customStyle="1" w:styleId="yiv6969577381ydp55b6f93cyiv1108822727ydpc3e487cbmsonormal">
    <w:name w:val="yiv6969577381ydp55b6f93cyiv1108822727ydpc3e487cbmsonormal"/>
    <w:basedOn w:val="Normal"/>
    <w:uiPriority w:val="99"/>
    <w:qFormat/>
    <w:rsid w:val="00EA193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s-MX" w:eastAsia="es-MX"/>
    </w:rPr>
  </w:style>
  <w:style w:type="paragraph" w:styleId="ListParagraph">
    <w:name w:val="List Paragraph"/>
    <w:basedOn w:val="Normal"/>
    <w:uiPriority w:val="34"/>
    <w:qFormat/>
    <w:rsid w:val="00EA193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ind w:left="720"/>
      <w:contextualSpacing/>
      <w:jc w:val="left"/>
    </w:pPr>
    <w:rPr>
      <w:rFonts w:ascii="Calibri" w:eastAsia="Calibri" w:hAnsi="Calibri"/>
      <w:szCs w:val="22"/>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link w:val="NormalWeb"/>
    <w:uiPriority w:val="99"/>
    <w:rsid w:val="009260F8"/>
    <w:rPr>
      <w:sz w:val="16"/>
      <w:szCs w:val="16"/>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link w:val="CommentReference"/>
    <w:uiPriority w:val="99"/>
    <w:qFormat/>
    <w:rsid w:val="009260F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after="100"/>
      <w:jc w:val="left"/>
    </w:pPr>
    <w:rPr>
      <w:rFonts w:ascii="Times New Roman" w:hAnsi="Times New Roman"/>
      <w:sz w:val="16"/>
      <w:szCs w:val="16"/>
      <w:lang w:val="en-US"/>
    </w:rPr>
  </w:style>
  <w:style w:type="paragraph" w:styleId="BalloonText">
    <w:name w:val="Balloon Text"/>
    <w:basedOn w:val="Normal"/>
    <w:link w:val="BalloonTextChar"/>
    <w:rsid w:val="009260F8"/>
    <w:rPr>
      <w:rFonts w:ascii="Segoe UI" w:hAnsi="Segoe UI"/>
      <w:sz w:val="18"/>
      <w:szCs w:val="18"/>
    </w:rPr>
  </w:style>
  <w:style w:type="character" w:customStyle="1" w:styleId="BalloonTextChar">
    <w:name w:val="Balloon Text Char"/>
    <w:basedOn w:val="DefaultParagraphFont"/>
    <w:link w:val="BalloonText"/>
    <w:rsid w:val="009260F8"/>
    <w:rPr>
      <w:rFonts w:ascii="Segoe UI" w:hAnsi="Segoe UI"/>
      <w:sz w:val="18"/>
      <w:szCs w:val="18"/>
      <w:lang w:val="es-ES"/>
    </w:rPr>
  </w:style>
  <w:style w:type="character" w:customStyle="1" w:styleId="ListParagraphChar">
    <w:name w:val="List Paragraph Char"/>
    <w:aliases w:val="3 Char,Bullet 1 Char,Bullet Points Char,Colorful List - Accent 11 Char,Dot pt Char,F5 List Paragraph Char,Indicator Text Char,List Paragraph Char Char Char Char,List Paragraph1 Char,No Spacing1 Char,Numbered Para 1 Char,lp1 Char"/>
    <w:link w:val="ListParagraph1"/>
    <w:uiPriority w:val="34"/>
    <w:qFormat/>
    <w:locked/>
    <w:rsid w:val="009260F8"/>
    <w:rPr>
      <w:lang w:val="es-ES"/>
    </w:rPr>
  </w:style>
  <w:style w:type="paragraph" w:customStyle="1" w:styleId="ListParagraph1">
    <w:name w:val="List Paragraph1"/>
    <w:aliases w:val="3,Bullet 1,Bullet Points,Colorful List - Accent 11,Dot pt,F5 List Paragraph,Indicator Text,Issue Action POC,List Paragraph Char Char Char,List Paragraph2,MAIN CONTENT,No Spacing1,Normal numbered,Numbered Para 1,lp1"/>
    <w:basedOn w:val="Normal"/>
    <w:link w:val="ListParagraphChar"/>
    <w:uiPriority w:val="34"/>
    <w:qFormat/>
    <w:rsid w:val="009260F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pPr>
    <w:rPr>
      <w:rFonts w:ascii="Times New Roman" w:hAnsi="Times New Roman"/>
      <w:sz w:val="20"/>
    </w:rPr>
  </w:style>
  <w:style w:type="paragraph" w:customStyle="1" w:styleId="Default">
    <w:name w:val="Default"/>
    <w:qFormat/>
    <w:rsid w:val="009260F8"/>
    <w:pPr>
      <w:autoSpaceDE w:val="0"/>
      <w:autoSpaceDN w:val="0"/>
      <w:adjustRightInd w:val="0"/>
    </w:pPr>
    <w:rPr>
      <w:color w:val="000000"/>
      <w:sz w:val="24"/>
      <w:szCs w:val="24"/>
      <w:lang w:val="es-ES"/>
    </w:rPr>
  </w:style>
  <w:style w:type="character" w:customStyle="1" w:styleId="s7">
    <w:name w:val="s7"/>
    <w:rsid w:val="009260F8"/>
  </w:style>
  <w:style w:type="character" w:customStyle="1" w:styleId="CommentTextChar">
    <w:name w:val="Comment Text Char"/>
    <w:basedOn w:val="DefaultParagraphFont"/>
    <w:link w:val="CommentText"/>
    <w:rsid w:val="009260F8"/>
    <w:rPr>
      <w:rFonts w:ascii="CG Times" w:hAnsi="CG Times"/>
      <w:lang w:val="es-ES"/>
    </w:rPr>
  </w:style>
  <w:style w:type="paragraph" w:styleId="CommentText">
    <w:name w:val="annotation text"/>
    <w:basedOn w:val="Normal"/>
    <w:link w:val="CommentTextChar"/>
    <w:rsid w:val="009260F8"/>
    <w:rPr>
      <w:sz w:val="20"/>
    </w:rPr>
  </w:style>
  <w:style w:type="paragraph" w:customStyle="1" w:styleId="msonormalcxspmiddle">
    <w:name w:val="msonormalcxspmiddle"/>
    <w:basedOn w:val="Normal"/>
    <w:uiPriority w:val="99"/>
    <w:qFormat/>
    <w:rsid w:val="009260F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paragraph" w:styleId="PlainText">
    <w:name w:val="Plain Text"/>
    <w:basedOn w:val="Normal"/>
    <w:link w:val="PlainTextChar"/>
    <w:uiPriority w:val="99"/>
    <w:rsid w:val="009260F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hAnsi="Calibri"/>
      <w:szCs w:val="21"/>
    </w:rPr>
  </w:style>
  <w:style w:type="character" w:customStyle="1" w:styleId="PlainTextChar">
    <w:name w:val="Plain Text Char"/>
    <w:basedOn w:val="DefaultParagraphFont"/>
    <w:link w:val="PlainText"/>
    <w:uiPriority w:val="99"/>
    <w:rsid w:val="009260F8"/>
    <w:rPr>
      <w:rFonts w:ascii="Calibri" w:hAnsi="Calibri"/>
      <w:sz w:val="22"/>
      <w:szCs w:val="21"/>
      <w:lang w:val="es-ES"/>
    </w:rPr>
  </w:style>
  <w:style w:type="character" w:customStyle="1" w:styleId="UnresolvedMention1">
    <w:name w:val="Unresolved Mention1"/>
    <w:uiPriority w:val="99"/>
    <w:rsid w:val="009260F8"/>
    <w:rPr>
      <w:rFonts w:cs="Times New Roman"/>
      <w:color w:val="605E5C"/>
      <w:shd w:val="clear" w:color="auto" w:fill="E1DFDD"/>
    </w:rPr>
  </w:style>
  <w:style w:type="paragraph" w:customStyle="1" w:styleId="null1">
    <w:name w:val="null1"/>
    <w:basedOn w:val="Normal"/>
    <w:uiPriority w:val="99"/>
    <w:qFormat/>
    <w:rsid w:val="009260F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character" w:customStyle="1" w:styleId="null">
    <w:name w:val="null"/>
    <w:uiPriority w:val="99"/>
    <w:rsid w:val="009260F8"/>
    <w:rPr>
      <w:rFonts w:cs="Times New Roman"/>
    </w:rPr>
  </w:style>
  <w:style w:type="paragraph" w:styleId="NoSpacing">
    <w:name w:val="No Spacing"/>
    <w:uiPriority w:val="99"/>
    <w:qFormat/>
    <w:rsid w:val="009260F8"/>
    <w:rPr>
      <w:rFonts w:ascii="Calibri" w:hAnsi="Calibri"/>
      <w:sz w:val="22"/>
      <w:szCs w:val="22"/>
      <w:lang w:val="es-ES"/>
    </w:rPr>
  </w:style>
  <w:style w:type="paragraph" w:customStyle="1" w:styleId="xxwordsection1">
    <w:name w:val="x_x_wordsection1"/>
    <w:basedOn w:val="Normal"/>
    <w:uiPriority w:val="99"/>
    <w:qFormat/>
    <w:rsid w:val="009260F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imes New Roman" w:eastAsia="Calibri" w:hAnsi="Times New Roman"/>
      <w:sz w:val="24"/>
      <w:szCs w:val="24"/>
      <w:lang w:eastAsia="es-MX"/>
    </w:rPr>
  </w:style>
  <w:style w:type="character" w:customStyle="1" w:styleId="gmail-il">
    <w:name w:val="gmail-il"/>
    <w:basedOn w:val="DefaultParagraphFont"/>
    <w:rsid w:val="009260F8"/>
  </w:style>
  <w:style w:type="character" w:styleId="Strong">
    <w:name w:val="Strong"/>
    <w:qFormat/>
    <w:rsid w:val="009260F8"/>
    <w:rPr>
      <w:rFonts w:cs="Times New Roman"/>
      <w:b/>
      <w:bCs/>
    </w:rPr>
  </w:style>
  <w:style w:type="character" w:styleId="Emphasis">
    <w:name w:val="Emphasis"/>
    <w:uiPriority w:val="20"/>
    <w:qFormat/>
    <w:rsid w:val="009260F8"/>
    <w:rPr>
      <w:i/>
      <w:iCs/>
    </w:rPr>
  </w:style>
  <w:style w:type="paragraph" w:styleId="BodyText">
    <w:name w:val="Body Text"/>
    <w:basedOn w:val="Normal"/>
    <w:link w:val="BodyTextChar"/>
    <w:unhideWhenUsed/>
    <w:rsid w:val="004D7FD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54"/>
        <w:tab w:val="left" w:pos="1308"/>
        <w:tab w:val="left" w:pos="1962"/>
        <w:tab w:val="left" w:pos="2616"/>
        <w:tab w:val="left" w:pos="3270"/>
        <w:tab w:val="left" w:pos="3924"/>
        <w:tab w:val="left" w:pos="4578"/>
        <w:tab w:val="left" w:pos="5232"/>
        <w:tab w:val="left" w:pos="5886"/>
        <w:tab w:val="left" w:pos="6540"/>
        <w:tab w:val="left" w:pos="7194"/>
      </w:tabs>
      <w:suppressAutoHyphens/>
      <w:spacing w:before="100" w:beforeAutospacing="1" w:after="100" w:afterAutospacing="1"/>
    </w:pPr>
    <w:rPr>
      <w:rFonts w:ascii="Times New Roman" w:hAnsi="Times New Roman" w:cs="Arial"/>
      <w:spacing w:val="-2"/>
      <w:sz w:val="16"/>
      <w:szCs w:val="24"/>
      <w:lang w:val="es-ES_tradnl"/>
    </w:rPr>
  </w:style>
  <w:style w:type="character" w:customStyle="1" w:styleId="BodyTextChar">
    <w:name w:val="Body Text Char"/>
    <w:basedOn w:val="DefaultParagraphFont"/>
    <w:link w:val="BodyText"/>
    <w:rsid w:val="004D7FDE"/>
    <w:rPr>
      <w:rFonts w:cs="Arial"/>
      <w:spacing w:val="-2"/>
      <w:sz w:val="16"/>
      <w:szCs w:val="24"/>
      <w:lang w:val="es-ES_tradnl"/>
    </w:rPr>
  </w:style>
  <w:style w:type="character" w:customStyle="1" w:styleId="Heading2Char">
    <w:name w:val="Heading 2 Char"/>
    <w:basedOn w:val="DefaultParagraphFont"/>
    <w:link w:val="Heading2"/>
    <w:rsid w:val="00EE6CD9"/>
    <w:rPr>
      <w:rFonts w:ascii="Calibri Light" w:hAnsi="Calibri Light"/>
      <w:b/>
      <w:bCs/>
      <w:i/>
      <w:iCs/>
      <w:sz w:val="28"/>
      <w:szCs w:val="28"/>
      <w:lang w:val="es-ES" w:eastAsia="es-ES"/>
    </w:rPr>
  </w:style>
  <w:style w:type="character" w:customStyle="1" w:styleId="Heading3Char">
    <w:name w:val="Heading 3 Char"/>
    <w:basedOn w:val="DefaultParagraphFont"/>
    <w:link w:val="Heading3"/>
    <w:rsid w:val="00EE6CD9"/>
    <w:rPr>
      <w:rFonts w:ascii="Cambria" w:hAnsi="Cambria"/>
      <w:b/>
      <w:bCs/>
      <w:sz w:val="26"/>
      <w:szCs w:val="26"/>
      <w:lang w:val="es-ES" w:eastAsia="es-ES"/>
    </w:rPr>
  </w:style>
  <w:style w:type="numbering" w:customStyle="1" w:styleId="NoList1">
    <w:name w:val="No List1"/>
    <w:next w:val="NoList"/>
    <w:uiPriority w:val="99"/>
    <w:semiHidden/>
    <w:unhideWhenUsed/>
    <w:rsid w:val="00EE6CD9"/>
  </w:style>
  <w:style w:type="character" w:styleId="FollowedHyperlink">
    <w:name w:val="FollowedHyperlink"/>
    <w:unhideWhenUsed/>
    <w:rsid w:val="00EE6CD9"/>
    <w:rPr>
      <w:color w:val="800080"/>
      <w:u w:val="single"/>
      <w:lang w:val="es-ES" w:eastAsia="es-ES"/>
    </w:rPr>
  </w:style>
  <w:style w:type="character" w:customStyle="1" w:styleId="Heading1Char2">
    <w:name w:val="Heading 1 Char2"/>
    <w:aliases w:val="Heading 1 Char Char Char1,Heading 1 Char1 Char1,Heading 1 Char1 Car Char1"/>
    <w:rsid w:val="00EE6CD9"/>
    <w:rPr>
      <w:rFonts w:ascii="Cambria" w:eastAsia="Times New Roman" w:hAnsi="Cambria" w:cs="Times New Roman"/>
      <w:b/>
      <w:bCs/>
      <w:color w:val="365F91"/>
      <w:sz w:val="28"/>
      <w:szCs w:val="28"/>
      <w:lang w:eastAsia="en-US"/>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uiPriority w:val="99"/>
    <w:semiHidden/>
    <w:rsid w:val="00EE6CD9"/>
    <w:rPr>
      <w:sz w:val="20"/>
      <w:szCs w:val="20"/>
    </w:rPr>
  </w:style>
  <w:style w:type="character" w:customStyle="1" w:styleId="DateChar">
    <w:name w:val="Date Char"/>
    <w:basedOn w:val="DefaultParagraphFont"/>
    <w:link w:val="Date"/>
    <w:semiHidden/>
    <w:locked/>
    <w:rsid w:val="00EE6CD9"/>
  </w:style>
  <w:style w:type="character" w:customStyle="1" w:styleId="BodyTextIndent3Char">
    <w:name w:val="Body Text Indent 3 Char"/>
    <w:link w:val="BodyTextIndent3"/>
    <w:semiHidden/>
    <w:locked/>
    <w:rsid w:val="00EE6CD9"/>
    <w:rPr>
      <w:sz w:val="16"/>
      <w:szCs w:val="16"/>
    </w:rPr>
  </w:style>
  <w:style w:type="character" w:customStyle="1" w:styleId="DocumentMapChar">
    <w:name w:val="Document Map Char"/>
    <w:link w:val="DocumentMap"/>
    <w:semiHidden/>
    <w:locked/>
    <w:rsid w:val="00EE6CD9"/>
    <w:rPr>
      <w:rFonts w:ascii="Tahoma" w:hAnsi="Tahoma" w:cs="Tahoma"/>
      <w:sz w:val="16"/>
      <w:szCs w:val="16"/>
    </w:rPr>
  </w:style>
  <w:style w:type="character" w:customStyle="1" w:styleId="CommentTextChar1">
    <w:name w:val="Comment Text Char1"/>
    <w:semiHidden/>
    <w:rsid w:val="00EE6CD9"/>
    <w:rPr>
      <w:sz w:val="20"/>
      <w:szCs w:val="20"/>
    </w:rPr>
  </w:style>
  <w:style w:type="character" w:customStyle="1" w:styleId="CommentSubjectChar">
    <w:name w:val="Comment Subject Char"/>
    <w:link w:val="CommentSubject"/>
    <w:locked/>
    <w:rsid w:val="00EE6CD9"/>
    <w:rPr>
      <w:b/>
      <w:bCs/>
    </w:rPr>
  </w:style>
  <w:style w:type="paragraph" w:customStyle="1" w:styleId="xmsonormal">
    <w:name w:val="x_msonormal"/>
    <w:basedOn w:val="Normal"/>
    <w:uiPriority w:val="99"/>
    <w:qFormat/>
    <w:rsid w:val="00EE6CD9"/>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n-US"/>
    </w:rPr>
  </w:style>
  <w:style w:type="paragraph" w:customStyle="1" w:styleId="TitleUppercase">
    <w:name w:val="Title Uppercase"/>
    <w:basedOn w:val="Normal"/>
    <w:uiPriority w:val="99"/>
    <w:qFormat/>
    <w:rsid w:val="00EE6CD9"/>
    <w:pPr>
      <w:widowControl/>
      <w:tabs>
        <w:tab w:val="clear" w:pos="3600"/>
        <w:tab w:val="clear" w:pos="4320"/>
        <w:tab w:val="clear" w:pos="5760"/>
        <w:tab w:val="clear" w:pos="6480"/>
        <w:tab w:val="left" w:pos="8640"/>
      </w:tabs>
      <w:jc w:val="center"/>
    </w:pPr>
    <w:rPr>
      <w:rFonts w:ascii="Times New Roman" w:hAnsi="Times New Roman"/>
      <w:lang w:val="en-US"/>
    </w:rPr>
  </w:style>
  <w:style w:type="paragraph" w:customStyle="1" w:styleId="Heading">
    <w:name w:val="Heading"/>
    <w:basedOn w:val="Normal"/>
    <w:uiPriority w:val="99"/>
    <w:qFormat/>
    <w:rsid w:val="00EE6CD9"/>
    <w:pPr>
      <w:widowControl/>
      <w:tabs>
        <w:tab w:val="clear" w:pos="720"/>
        <w:tab w:val="clear" w:pos="1440"/>
        <w:tab w:val="clear" w:pos="2880"/>
        <w:tab w:val="clear" w:pos="3600"/>
        <w:tab w:val="clear" w:pos="4320"/>
        <w:tab w:val="clear" w:pos="5760"/>
        <w:tab w:val="clear" w:pos="6480"/>
        <w:tab w:val="clear" w:pos="7920"/>
        <w:tab w:val="center" w:pos="2160"/>
      </w:tabs>
      <w:snapToGrid w:val="0"/>
      <w:jc w:val="left"/>
    </w:pPr>
    <w:rPr>
      <w:rFonts w:ascii="Times New Roman" w:eastAsia="Calibri" w:hAnsi="Times New Roman"/>
      <w:szCs w:val="22"/>
      <w:lang w:eastAsia="es-ES"/>
    </w:rPr>
  </w:style>
  <w:style w:type="paragraph" w:customStyle="1" w:styleId="xmsonormal0">
    <w:name w:val="xmsonormal"/>
    <w:basedOn w:val="Normal"/>
    <w:uiPriority w:val="99"/>
    <w:qFormat/>
    <w:rsid w:val="00EE6CD9"/>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lang w:eastAsia="es-ES"/>
    </w:rPr>
  </w:style>
  <w:style w:type="paragraph" w:customStyle="1" w:styleId="Cuerpo">
    <w:name w:val="Cuerpo"/>
    <w:uiPriority w:val="99"/>
    <w:qFormat/>
    <w:rsid w:val="00EE6CD9"/>
    <w:rPr>
      <w:rFonts w:ascii="Helvetica Neue" w:eastAsia="Arial Unicode MS" w:hAnsi="Helvetica Neue" w:cs="Arial Unicode MS"/>
      <w:color w:val="000000"/>
      <w:sz w:val="22"/>
      <w:szCs w:val="22"/>
      <w:lang w:val="es-ES" w:eastAsia="es-ES"/>
    </w:rPr>
  </w:style>
  <w:style w:type="character" w:customStyle="1" w:styleId="Style2Char">
    <w:name w:val="Style2 Char"/>
    <w:link w:val="Style2"/>
    <w:locked/>
    <w:rsid w:val="00EE6CD9"/>
    <w:rPr>
      <w:iCs/>
      <w:caps/>
    </w:rPr>
  </w:style>
  <w:style w:type="paragraph" w:customStyle="1" w:styleId="Style2">
    <w:name w:val="Style2"/>
    <w:basedOn w:val="Heading2"/>
    <w:link w:val="Style2Char"/>
    <w:autoRedefine/>
    <w:qFormat/>
    <w:rsid w:val="00EE6CD9"/>
    <w:pPr>
      <w:keepNext w:val="0"/>
      <w:spacing w:before="0" w:after="0"/>
      <w:jc w:val="center"/>
    </w:pPr>
    <w:rPr>
      <w:rFonts w:ascii="Times New Roman" w:hAnsi="Times New Roman"/>
      <w:b w:val="0"/>
      <w:bCs w:val="0"/>
      <w:i w:val="0"/>
      <w:caps/>
      <w:sz w:val="20"/>
      <w:szCs w:val="20"/>
      <w:lang w:val="en-US" w:eastAsia="en-US"/>
    </w:rPr>
  </w:style>
  <w:style w:type="character" w:customStyle="1" w:styleId="HeaderChar1">
    <w:name w:val="Header Char1"/>
    <w:aliases w:val="encabezado Char1"/>
    <w:basedOn w:val="DefaultParagraphFont"/>
    <w:uiPriority w:val="99"/>
    <w:semiHidden/>
    <w:rsid w:val="00EE6CD9"/>
  </w:style>
  <w:style w:type="paragraph" w:styleId="BodyTextIndent3">
    <w:name w:val="Body Text Indent 3"/>
    <w:basedOn w:val="Normal"/>
    <w:link w:val="BodyTextIndent3Char"/>
    <w:semiHidden/>
    <w:unhideWhenUsed/>
    <w:rsid w:val="00EE6CD9"/>
    <w:pPr>
      <w:spacing w:after="120"/>
      <w:ind w:left="360"/>
    </w:pPr>
    <w:rPr>
      <w:rFonts w:ascii="Times New Roman" w:hAnsi="Times New Roman"/>
      <w:sz w:val="16"/>
      <w:szCs w:val="16"/>
      <w:lang w:val="en-US"/>
    </w:rPr>
  </w:style>
  <w:style w:type="character" w:customStyle="1" w:styleId="BodyTextIndent3Char1">
    <w:name w:val="Body Text Indent 3 Char1"/>
    <w:basedOn w:val="DefaultParagraphFont"/>
    <w:semiHidden/>
    <w:rsid w:val="00EE6CD9"/>
    <w:rPr>
      <w:rFonts w:ascii="CG Times" w:hAnsi="CG Times"/>
      <w:sz w:val="16"/>
      <w:szCs w:val="16"/>
      <w:lang w:val="es-ES"/>
    </w:rPr>
  </w:style>
  <w:style w:type="character" w:customStyle="1" w:styleId="FooterChar1">
    <w:name w:val="Footer Char1"/>
    <w:basedOn w:val="DefaultParagraphFont"/>
    <w:uiPriority w:val="99"/>
    <w:semiHidden/>
    <w:rsid w:val="00EE6CD9"/>
  </w:style>
  <w:style w:type="paragraph" w:styleId="Date">
    <w:name w:val="Date"/>
    <w:basedOn w:val="Normal"/>
    <w:next w:val="Normal"/>
    <w:link w:val="DateChar"/>
    <w:semiHidden/>
    <w:unhideWhenUsed/>
    <w:rsid w:val="00EE6CD9"/>
    <w:rPr>
      <w:rFonts w:ascii="Times New Roman" w:hAnsi="Times New Roman"/>
      <w:sz w:val="20"/>
      <w:lang w:val="en-US"/>
    </w:rPr>
  </w:style>
  <w:style w:type="character" w:customStyle="1" w:styleId="DateChar1">
    <w:name w:val="Date Char1"/>
    <w:basedOn w:val="DefaultParagraphFont"/>
    <w:semiHidden/>
    <w:rsid w:val="00EE6CD9"/>
    <w:rPr>
      <w:rFonts w:ascii="CG Times" w:hAnsi="CG Times"/>
      <w:sz w:val="22"/>
      <w:lang w:val="es-ES"/>
    </w:rPr>
  </w:style>
  <w:style w:type="character" w:customStyle="1" w:styleId="EndnoteTextChar1">
    <w:name w:val="Endnote Text Char1"/>
    <w:semiHidden/>
    <w:rsid w:val="00EE6CD9"/>
    <w:rPr>
      <w:sz w:val="20"/>
      <w:szCs w:val="20"/>
    </w:rPr>
  </w:style>
  <w:style w:type="character" w:customStyle="1" w:styleId="hps">
    <w:name w:val="hps"/>
    <w:rsid w:val="00EE6CD9"/>
  </w:style>
  <w:style w:type="character" w:customStyle="1" w:styleId="tw4winMark">
    <w:name w:val="tw4winMark"/>
    <w:rsid w:val="00EE6CD9"/>
    <w:rPr>
      <w:rFonts w:ascii="Courier New" w:hAnsi="Courier New" w:cs="Courier New" w:hint="default"/>
      <w:vanish/>
      <w:webHidden w:val="0"/>
      <w:color w:val="800080"/>
      <w:sz w:val="24"/>
      <w:vertAlign w:val="subscript"/>
      <w:lang w:val="es-ES" w:eastAsia="es-ES"/>
      <w:specVanish w:val="0"/>
    </w:rPr>
  </w:style>
  <w:style w:type="paragraph" w:styleId="DocumentMap">
    <w:name w:val="Document Map"/>
    <w:basedOn w:val="Normal"/>
    <w:link w:val="DocumentMapChar"/>
    <w:semiHidden/>
    <w:unhideWhenUsed/>
    <w:rsid w:val="00EE6CD9"/>
    <w:rPr>
      <w:rFonts w:ascii="Tahoma" w:hAnsi="Tahoma" w:cs="Tahoma"/>
      <w:sz w:val="16"/>
      <w:szCs w:val="16"/>
      <w:lang w:val="en-US"/>
    </w:rPr>
  </w:style>
  <w:style w:type="character" w:customStyle="1" w:styleId="DocumentMapChar1">
    <w:name w:val="Document Map Char1"/>
    <w:basedOn w:val="DefaultParagraphFont"/>
    <w:semiHidden/>
    <w:rsid w:val="00EE6CD9"/>
    <w:rPr>
      <w:rFonts w:ascii="Segoe UI" w:hAnsi="Segoe UI" w:cs="Segoe UI"/>
      <w:sz w:val="16"/>
      <w:szCs w:val="16"/>
      <w:lang w:val="es-ES"/>
    </w:rPr>
  </w:style>
  <w:style w:type="character" w:customStyle="1" w:styleId="BalloonTextChar1">
    <w:name w:val="Balloon Text Char1"/>
    <w:semiHidden/>
    <w:rsid w:val="00EE6CD9"/>
    <w:rPr>
      <w:rFonts w:ascii="Tahoma" w:hAnsi="Tahoma" w:cs="Tahoma"/>
      <w:sz w:val="16"/>
      <w:szCs w:val="16"/>
    </w:rPr>
  </w:style>
  <w:style w:type="character" w:customStyle="1" w:styleId="PlainTextChar1">
    <w:name w:val="Plain Text Char1"/>
    <w:uiPriority w:val="99"/>
    <w:semiHidden/>
    <w:rsid w:val="00EE6CD9"/>
    <w:rPr>
      <w:rFonts w:ascii="Consolas" w:hAnsi="Consolas" w:cs="Consolas"/>
      <w:sz w:val="21"/>
      <w:szCs w:val="21"/>
    </w:rPr>
  </w:style>
  <w:style w:type="paragraph" w:styleId="CommentSubject">
    <w:name w:val="annotation subject"/>
    <w:basedOn w:val="CommentText"/>
    <w:next w:val="CommentText"/>
    <w:link w:val="CommentSubjectChar"/>
    <w:unhideWhenUsed/>
    <w:rsid w:val="00EE6CD9"/>
    <w:rPr>
      <w:rFonts w:ascii="Times New Roman" w:hAnsi="Times New Roman"/>
      <w:b/>
      <w:bCs/>
      <w:lang w:val="en-US"/>
    </w:rPr>
  </w:style>
  <w:style w:type="character" w:customStyle="1" w:styleId="CommentSubjectChar1">
    <w:name w:val="Comment Subject Char1"/>
    <w:basedOn w:val="CommentTextChar"/>
    <w:semiHidden/>
    <w:rsid w:val="00EE6CD9"/>
    <w:rPr>
      <w:rFonts w:ascii="CG Times" w:hAnsi="CG Times"/>
      <w:b/>
      <w:bCs/>
      <w:lang w:val="es-ES"/>
    </w:rPr>
  </w:style>
  <w:style w:type="character" w:customStyle="1" w:styleId="CharacterStyle2">
    <w:name w:val="Character Style 2"/>
    <w:uiPriority w:val="99"/>
    <w:rsid w:val="00EE6CD9"/>
    <w:rPr>
      <w:rFonts w:ascii="Arial" w:hAnsi="Arial" w:cs="Arial" w:hint="default"/>
      <w:b/>
      <w:bCs/>
      <w:sz w:val="18"/>
      <w:szCs w:val="18"/>
    </w:rPr>
  </w:style>
  <w:style w:type="table" w:styleId="TableList4">
    <w:name w:val="Table List 4"/>
    <w:basedOn w:val="TableNormal"/>
    <w:semiHidden/>
    <w:unhideWhenUsed/>
    <w:rsid w:val="00EE6CD9"/>
    <w:rPr>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
    <w:name w:val="Table Grid"/>
    <w:basedOn w:val="TableNormal"/>
    <w:uiPriority w:val="59"/>
    <w:rsid w:val="00EE6CD9"/>
    <w:rPr>
      <w:rFonts w:ascii="Calibri" w:eastAsia="Calibri" w:hAnsi="Calibri"/>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110CF1"/>
    <w:rPr>
      <w:rFonts w:eastAsia="Batang"/>
      <w:bCs/>
      <w:sz w:val="22"/>
      <w:szCs w:val="28"/>
      <w:lang w:val="es-ES_tradnl" w:eastAsia="x-none"/>
    </w:rPr>
  </w:style>
  <w:style w:type="character" w:customStyle="1" w:styleId="Heading6Char">
    <w:name w:val="Heading 6 Char"/>
    <w:basedOn w:val="DefaultParagraphFont"/>
    <w:link w:val="Heading6"/>
    <w:semiHidden/>
    <w:rsid w:val="00110CF1"/>
    <w:rPr>
      <w:rFonts w:ascii="Calibri" w:hAnsi="Calibri"/>
      <w:b/>
      <w:bCs/>
      <w:sz w:val="22"/>
      <w:szCs w:val="22"/>
      <w:lang w:val="es-ES"/>
    </w:rPr>
  </w:style>
  <w:style w:type="character" w:customStyle="1" w:styleId="Heading7Char">
    <w:name w:val="Heading 7 Char"/>
    <w:basedOn w:val="DefaultParagraphFont"/>
    <w:link w:val="Heading7"/>
    <w:semiHidden/>
    <w:rsid w:val="00110CF1"/>
    <w:rPr>
      <w:rFonts w:ascii="Calibri" w:hAnsi="Calibri"/>
      <w:sz w:val="24"/>
      <w:szCs w:val="24"/>
      <w:lang w:val="es-ES"/>
    </w:rPr>
  </w:style>
  <w:style w:type="paragraph" w:customStyle="1" w:styleId="CM4">
    <w:name w:val="CM4"/>
    <w:basedOn w:val="Default"/>
    <w:next w:val="Default"/>
    <w:rsid w:val="00110CF1"/>
    <w:pPr>
      <w:widowControl w:val="0"/>
      <w:spacing w:line="368" w:lineRule="atLeast"/>
    </w:pPr>
    <w:rPr>
      <w:rFonts w:ascii="Arial" w:hAnsi="Arial"/>
      <w:color w:val="auto"/>
      <w:lang w:val="en-US"/>
    </w:rPr>
  </w:style>
  <w:style w:type="paragraph" w:customStyle="1" w:styleId="CM9">
    <w:name w:val="CM9"/>
    <w:basedOn w:val="Default"/>
    <w:next w:val="Default"/>
    <w:rsid w:val="00110CF1"/>
    <w:pPr>
      <w:widowControl w:val="0"/>
    </w:pPr>
    <w:rPr>
      <w:rFonts w:ascii="Arial" w:hAnsi="Arial"/>
      <w:color w:val="auto"/>
      <w:lang w:val="en-US"/>
    </w:rPr>
  </w:style>
  <w:style w:type="paragraph" w:styleId="TOCHeading">
    <w:name w:val="TOC Heading"/>
    <w:basedOn w:val="Heading1"/>
    <w:next w:val="Normal"/>
    <w:uiPriority w:val="39"/>
    <w:unhideWhenUsed/>
    <w:qFormat/>
    <w:rsid w:val="00110CF1"/>
    <w:pPr>
      <w:keepNext/>
      <w:keepLines/>
      <w:spacing w:before="480" w:line="276" w:lineRule="auto"/>
      <w:jc w:val="left"/>
      <w:outlineLvl w:val="9"/>
    </w:pPr>
    <w:rPr>
      <w:rFonts w:ascii="Cambria" w:eastAsia="MS Gothic" w:hAnsi="Cambria"/>
      <w:b/>
      <w:color w:val="365F91"/>
      <w:sz w:val="28"/>
      <w:lang w:val="en-US" w:eastAsia="ja-JP"/>
    </w:rPr>
  </w:style>
  <w:style w:type="paragraph" w:customStyle="1" w:styleId="HeaderFooter">
    <w:name w:val="Header &amp; Footer"/>
    <w:uiPriority w:val="99"/>
    <w:rsid w:val="00110CF1"/>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Helvetica"/>
      <w:color w:val="000000"/>
      <w:sz w:val="24"/>
      <w:szCs w:val="24"/>
    </w:rPr>
  </w:style>
  <w:style w:type="paragraph" w:styleId="BodyTextIndent">
    <w:name w:val="Body Text Indent"/>
    <w:basedOn w:val="Normal"/>
    <w:link w:val="BodyTextIndentChar"/>
    <w:unhideWhenUsed/>
    <w:rsid w:val="00110CF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ind w:left="360"/>
      <w:jc w:val="left"/>
    </w:pPr>
    <w:rPr>
      <w:rFonts w:ascii="Times New Roman" w:hAnsi="Times New Roman"/>
    </w:rPr>
  </w:style>
  <w:style w:type="character" w:customStyle="1" w:styleId="BodyTextIndentChar">
    <w:name w:val="Body Text Indent Char"/>
    <w:basedOn w:val="DefaultParagraphFont"/>
    <w:link w:val="BodyTextIndent"/>
    <w:rsid w:val="00110CF1"/>
    <w:rPr>
      <w:sz w:val="22"/>
      <w:lang w:val="es-ES"/>
    </w:rPr>
  </w:style>
  <w:style w:type="paragraph" w:customStyle="1" w:styleId="Body1">
    <w:name w:val="Body 1"/>
    <w:rsid w:val="00110CF1"/>
    <w:pPr>
      <w:spacing w:after="200" w:line="276" w:lineRule="auto"/>
      <w:outlineLvl w:val="0"/>
    </w:pPr>
    <w:rPr>
      <w:rFonts w:ascii="Helvetica" w:eastAsia="Arial Unicode MS" w:hAnsi="Helvetica"/>
      <w:color w:val="000000"/>
      <w:sz w:val="22"/>
      <w:u w:color="000000"/>
      <w:lang w:val="en-CA" w:eastAsia="en-CA"/>
    </w:rPr>
  </w:style>
  <w:style w:type="paragraph" w:customStyle="1" w:styleId="Prrafodelista">
    <w:name w:val="Párrafo de lista"/>
    <w:basedOn w:val="Normal"/>
    <w:uiPriority w:val="34"/>
    <w:qFormat/>
    <w:rsid w:val="00110CF1"/>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hAnsi="Times New Roman"/>
      <w:sz w:val="24"/>
      <w:szCs w:val="24"/>
      <w:lang w:eastAsia="es-ES"/>
    </w:rPr>
  </w:style>
  <w:style w:type="paragraph" w:customStyle="1" w:styleId="SingleTxt">
    <w:name w:val="__Single Txt"/>
    <w:basedOn w:val="Normal"/>
    <w:rsid w:val="00110CF1"/>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pPr>
    <w:rPr>
      <w:rFonts w:ascii="Times New Roman" w:hAnsi="Times New Roman"/>
      <w:spacing w:val="4"/>
      <w:w w:val="103"/>
      <w:kern w:val="2"/>
      <w:sz w:val="20"/>
      <w:lang w:val="fr-CA" w:eastAsia="ar-SA"/>
    </w:rPr>
  </w:style>
  <w:style w:type="paragraph" w:customStyle="1" w:styleId="Prrafodelista1">
    <w:name w:val="Párrafo de lista1"/>
    <w:basedOn w:val="Normal"/>
    <w:qFormat/>
    <w:rsid w:val="00110CF1"/>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contextualSpacing/>
      <w:jc w:val="left"/>
    </w:pPr>
    <w:rPr>
      <w:rFonts w:ascii="Cambria" w:eastAsia="MS Mincho" w:hAnsi="Cambria"/>
      <w:sz w:val="24"/>
      <w:szCs w:val="24"/>
      <w:lang w:val="es-ES_tradnl" w:eastAsia="es-ES"/>
    </w:rPr>
  </w:style>
  <w:style w:type="paragraph" w:styleId="BodyTextIndent2">
    <w:name w:val="Body Text Indent 2"/>
    <w:basedOn w:val="Normal"/>
    <w:link w:val="BodyTextIndent2Char"/>
    <w:rsid w:val="00110CF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line="480" w:lineRule="auto"/>
      <w:ind w:left="360"/>
      <w:jc w:val="left"/>
    </w:pPr>
    <w:rPr>
      <w:rFonts w:ascii="Times New Roman" w:hAnsi="Times New Roman"/>
      <w:sz w:val="24"/>
      <w:szCs w:val="24"/>
    </w:rPr>
  </w:style>
  <w:style w:type="character" w:customStyle="1" w:styleId="BodyTextIndent2Char">
    <w:name w:val="Body Text Indent 2 Char"/>
    <w:basedOn w:val="DefaultParagraphFont"/>
    <w:link w:val="BodyTextIndent2"/>
    <w:rsid w:val="00110CF1"/>
    <w:rPr>
      <w:sz w:val="24"/>
      <w:szCs w:val="24"/>
      <w:lang w:val="es-ES"/>
    </w:rPr>
  </w:style>
  <w:style w:type="paragraph" w:styleId="BodyText3">
    <w:name w:val="Body Text 3"/>
    <w:basedOn w:val="Normal"/>
    <w:link w:val="BodyText3Char"/>
    <w:rsid w:val="00110CF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jc w:val="left"/>
    </w:pPr>
    <w:rPr>
      <w:rFonts w:ascii="Times New Roman" w:hAnsi="Times New Roman"/>
      <w:sz w:val="16"/>
      <w:szCs w:val="16"/>
    </w:rPr>
  </w:style>
  <w:style w:type="character" w:customStyle="1" w:styleId="BodyText3Char">
    <w:name w:val="Body Text 3 Char"/>
    <w:basedOn w:val="DefaultParagraphFont"/>
    <w:link w:val="BodyText3"/>
    <w:rsid w:val="00110CF1"/>
    <w:rPr>
      <w:sz w:val="16"/>
      <w:szCs w:val="16"/>
      <w:lang w:val="es-ES"/>
    </w:rPr>
  </w:style>
  <w:style w:type="paragraph" w:customStyle="1" w:styleId="Prrafodelista2">
    <w:name w:val="Párrafo de lista2"/>
    <w:basedOn w:val="Normal"/>
    <w:qFormat/>
    <w:rsid w:val="00110CF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szCs w:val="22"/>
    </w:rPr>
  </w:style>
  <w:style w:type="paragraph" w:styleId="Revision">
    <w:name w:val="Revision"/>
    <w:hidden/>
    <w:uiPriority w:val="99"/>
    <w:semiHidden/>
    <w:rsid w:val="00110CF1"/>
    <w:rPr>
      <w:sz w:val="24"/>
      <w:szCs w:val="24"/>
      <w:lang w:val="es-ES"/>
    </w:rPr>
  </w:style>
  <w:style w:type="paragraph" w:customStyle="1" w:styleId="Predeterminado">
    <w:name w:val="Predeterminado"/>
    <w:rsid w:val="00110CF1"/>
    <w:pPr>
      <w:tabs>
        <w:tab w:val="left" w:pos="720"/>
      </w:tabs>
      <w:suppressAutoHyphens/>
      <w:spacing w:after="160" w:line="256" w:lineRule="auto"/>
    </w:pPr>
    <w:rPr>
      <w:rFonts w:ascii="Calibri" w:eastAsia="SimSun" w:hAnsi="Calibri" w:cs="Calibri"/>
      <w:sz w:val="22"/>
      <w:szCs w:val="22"/>
    </w:rPr>
  </w:style>
  <w:style w:type="paragraph" w:customStyle="1" w:styleId="paragraph">
    <w:name w:val="paragraph"/>
    <w:basedOn w:val="Normal"/>
    <w:rsid w:val="00110CF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Theme="minorHAnsi" w:hAnsi="Times New Roman"/>
      <w:sz w:val="24"/>
      <w:szCs w:val="24"/>
      <w:lang w:val="en-US"/>
    </w:rPr>
  </w:style>
  <w:style w:type="character" w:customStyle="1" w:styleId="normaltextrun">
    <w:name w:val="normaltextrun"/>
    <w:basedOn w:val="DefaultParagraphFont"/>
    <w:rsid w:val="00110CF1"/>
  </w:style>
  <w:style w:type="character" w:customStyle="1" w:styleId="eop">
    <w:name w:val="eop"/>
    <w:basedOn w:val="DefaultParagraphFont"/>
    <w:rsid w:val="00110CF1"/>
  </w:style>
  <w:style w:type="character" w:customStyle="1" w:styleId="gmail-normaltextrun">
    <w:name w:val="gmail-normaltextrun"/>
    <w:basedOn w:val="DefaultParagraphFont"/>
    <w:rsid w:val="00110CF1"/>
  </w:style>
  <w:style w:type="character" w:customStyle="1" w:styleId="apple-converted-space">
    <w:name w:val="apple-converted-space"/>
    <w:basedOn w:val="DefaultParagraphFont"/>
    <w:rsid w:val="00110CF1"/>
  </w:style>
  <w:style w:type="character" w:customStyle="1" w:styleId="gmaildefault">
    <w:name w:val="gmail_default"/>
    <w:basedOn w:val="DefaultParagraphFont"/>
    <w:rsid w:val="00110CF1"/>
  </w:style>
  <w:style w:type="paragraph" w:styleId="HTMLPreformatted">
    <w:name w:val="HTML Preformatted"/>
    <w:basedOn w:val="Normal"/>
    <w:link w:val="HTMLPreformattedChar"/>
    <w:uiPriority w:val="99"/>
    <w:semiHidden/>
    <w:unhideWhenUsed/>
    <w:rsid w:val="0002025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02025E"/>
    <w:rPr>
      <w:rFonts w:ascii="Courier New" w:hAnsi="Courier New" w:cs="Courier New"/>
      <w:lang w:val="es-ES"/>
    </w:rPr>
  </w:style>
  <w:style w:type="character" w:customStyle="1" w:styleId="Ninguno">
    <w:name w:val="Ninguno"/>
    <w:rsid w:val="007E1C52"/>
    <w:rPr>
      <w:lang w:val="pt-PT"/>
    </w:rPr>
  </w:style>
  <w:style w:type="numbering" w:customStyle="1" w:styleId="NoList2">
    <w:name w:val="No List2"/>
    <w:next w:val="NoList"/>
    <w:uiPriority w:val="99"/>
    <w:semiHidden/>
    <w:unhideWhenUsed/>
    <w:rsid w:val="00D230D1"/>
  </w:style>
  <w:style w:type="paragraph" w:customStyle="1" w:styleId="Style20">
    <w:name w:val="Style 2"/>
    <w:basedOn w:val="Heading1"/>
    <w:next w:val="Normal"/>
    <w:autoRedefine/>
    <w:uiPriority w:val="99"/>
    <w:qFormat/>
    <w:rsid w:val="00D230D1"/>
    <w:pPr>
      <w:widowControl w:val="0"/>
      <w:autoSpaceDE w:val="0"/>
      <w:autoSpaceDN w:val="0"/>
      <w:ind w:right="72" w:firstLine="792"/>
      <w:jc w:val="left"/>
      <w:outlineLvl w:val="9"/>
    </w:pPr>
    <w:rPr>
      <w:bCs w:val="0"/>
      <w:sz w:val="24"/>
      <w:szCs w:val="24"/>
      <w:lang w:val="pt-BR" w:eastAsia="en-US"/>
    </w:rPr>
  </w:style>
  <w:style w:type="table" w:customStyle="1" w:styleId="TableList41">
    <w:name w:val="Table List 41"/>
    <w:basedOn w:val="TableNormal"/>
    <w:next w:val="TableList4"/>
    <w:semiHidden/>
    <w:unhideWhenUsed/>
    <w:rsid w:val="00D230D1"/>
    <w:rPr>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UnresolvedMention">
    <w:name w:val="Unresolved Mention"/>
    <w:basedOn w:val="DefaultParagraphFont"/>
    <w:uiPriority w:val="99"/>
    <w:semiHidden/>
    <w:unhideWhenUsed/>
    <w:rsid w:val="00597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70186">
      <w:bodyDiv w:val="1"/>
      <w:marLeft w:val="0"/>
      <w:marRight w:val="0"/>
      <w:marTop w:val="0"/>
      <w:marBottom w:val="0"/>
      <w:divBdr>
        <w:top w:val="none" w:sz="0" w:space="0" w:color="auto"/>
        <w:left w:val="none" w:sz="0" w:space="0" w:color="auto"/>
        <w:bottom w:val="none" w:sz="0" w:space="0" w:color="auto"/>
        <w:right w:val="none" w:sz="0" w:space="0" w:color="auto"/>
      </w:divBdr>
    </w:div>
    <w:div w:id="165483463">
      <w:bodyDiv w:val="1"/>
      <w:marLeft w:val="0"/>
      <w:marRight w:val="0"/>
      <w:marTop w:val="0"/>
      <w:marBottom w:val="0"/>
      <w:divBdr>
        <w:top w:val="none" w:sz="0" w:space="0" w:color="auto"/>
        <w:left w:val="none" w:sz="0" w:space="0" w:color="auto"/>
        <w:bottom w:val="none" w:sz="0" w:space="0" w:color="auto"/>
        <w:right w:val="none" w:sz="0" w:space="0" w:color="auto"/>
      </w:divBdr>
    </w:div>
    <w:div w:id="282805586">
      <w:bodyDiv w:val="1"/>
      <w:marLeft w:val="0"/>
      <w:marRight w:val="0"/>
      <w:marTop w:val="0"/>
      <w:marBottom w:val="0"/>
      <w:divBdr>
        <w:top w:val="none" w:sz="0" w:space="0" w:color="auto"/>
        <w:left w:val="none" w:sz="0" w:space="0" w:color="auto"/>
        <w:bottom w:val="none" w:sz="0" w:space="0" w:color="auto"/>
        <w:right w:val="none" w:sz="0" w:space="0" w:color="auto"/>
      </w:divBdr>
    </w:div>
    <w:div w:id="301154564">
      <w:bodyDiv w:val="1"/>
      <w:marLeft w:val="0"/>
      <w:marRight w:val="0"/>
      <w:marTop w:val="0"/>
      <w:marBottom w:val="0"/>
      <w:divBdr>
        <w:top w:val="none" w:sz="0" w:space="0" w:color="auto"/>
        <w:left w:val="none" w:sz="0" w:space="0" w:color="auto"/>
        <w:bottom w:val="none" w:sz="0" w:space="0" w:color="auto"/>
        <w:right w:val="none" w:sz="0" w:space="0" w:color="auto"/>
      </w:divBdr>
    </w:div>
    <w:div w:id="362949870">
      <w:bodyDiv w:val="1"/>
      <w:marLeft w:val="0"/>
      <w:marRight w:val="0"/>
      <w:marTop w:val="0"/>
      <w:marBottom w:val="0"/>
      <w:divBdr>
        <w:top w:val="none" w:sz="0" w:space="0" w:color="auto"/>
        <w:left w:val="none" w:sz="0" w:space="0" w:color="auto"/>
        <w:bottom w:val="none" w:sz="0" w:space="0" w:color="auto"/>
        <w:right w:val="none" w:sz="0" w:space="0" w:color="auto"/>
      </w:divBdr>
    </w:div>
    <w:div w:id="405759931">
      <w:bodyDiv w:val="1"/>
      <w:marLeft w:val="0"/>
      <w:marRight w:val="0"/>
      <w:marTop w:val="0"/>
      <w:marBottom w:val="0"/>
      <w:divBdr>
        <w:top w:val="none" w:sz="0" w:space="0" w:color="auto"/>
        <w:left w:val="none" w:sz="0" w:space="0" w:color="auto"/>
        <w:bottom w:val="none" w:sz="0" w:space="0" w:color="auto"/>
        <w:right w:val="none" w:sz="0" w:space="0" w:color="auto"/>
      </w:divBdr>
    </w:div>
    <w:div w:id="425200314">
      <w:bodyDiv w:val="1"/>
      <w:marLeft w:val="0"/>
      <w:marRight w:val="0"/>
      <w:marTop w:val="0"/>
      <w:marBottom w:val="0"/>
      <w:divBdr>
        <w:top w:val="none" w:sz="0" w:space="0" w:color="auto"/>
        <w:left w:val="none" w:sz="0" w:space="0" w:color="auto"/>
        <w:bottom w:val="none" w:sz="0" w:space="0" w:color="auto"/>
        <w:right w:val="none" w:sz="0" w:space="0" w:color="auto"/>
      </w:divBdr>
    </w:div>
    <w:div w:id="481849271">
      <w:bodyDiv w:val="1"/>
      <w:marLeft w:val="0"/>
      <w:marRight w:val="0"/>
      <w:marTop w:val="0"/>
      <w:marBottom w:val="0"/>
      <w:divBdr>
        <w:top w:val="none" w:sz="0" w:space="0" w:color="auto"/>
        <w:left w:val="none" w:sz="0" w:space="0" w:color="auto"/>
        <w:bottom w:val="none" w:sz="0" w:space="0" w:color="auto"/>
        <w:right w:val="none" w:sz="0" w:space="0" w:color="auto"/>
      </w:divBdr>
    </w:div>
    <w:div w:id="537282350">
      <w:bodyDiv w:val="1"/>
      <w:marLeft w:val="0"/>
      <w:marRight w:val="0"/>
      <w:marTop w:val="0"/>
      <w:marBottom w:val="0"/>
      <w:divBdr>
        <w:top w:val="none" w:sz="0" w:space="0" w:color="auto"/>
        <w:left w:val="none" w:sz="0" w:space="0" w:color="auto"/>
        <w:bottom w:val="none" w:sz="0" w:space="0" w:color="auto"/>
        <w:right w:val="none" w:sz="0" w:space="0" w:color="auto"/>
      </w:divBdr>
    </w:div>
    <w:div w:id="860900121">
      <w:bodyDiv w:val="1"/>
      <w:marLeft w:val="0"/>
      <w:marRight w:val="0"/>
      <w:marTop w:val="0"/>
      <w:marBottom w:val="0"/>
      <w:divBdr>
        <w:top w:val="none" w:sz="0" w:space="0" w:color="auto"/>
        <w:left w:val="none" w:sz="0" w:space="0" w:color="auto"/>
        <w:bottom w:val="none" w:sz="0" w:space="0" w:color="auto"/>
        <w:right w:val="none" w:sz="0" w:space="0" w:color="auto"/>
      </w:divBdr>
    </w:div>
    <w:div w:id="889271656">
      <w:bodyDiv w:val="1"/>
      <w:marLeft w:val="0"/>
      <w:marRight w:val="0"/>
      <w:marTop w:val="0"/>
      <w:marBottom w:val="0"/>
      <w:divBdr>
        <w:top w:val="none" w:sz="0" w:space="0" w:color="auto"/>
        <w:left w:val="none" w:sz="0" w:space="0" w:color="auto"/>
        <w:bottom w:val="none" w:sz="0" w:space="0" w:color="auto"/>
        <w:right w:val="none" w:sz="0" w:space="0" w:color="auto"/>
      </w:divBdr>
    </w:div>
    <w:div w:id="922759649">
      <w:bodyDiv w:val="1"/>
      <w:marLeft w:val="0"/>
      <w:marRight w:val="0"/>
      <w:marTop w:val="0"/>
      <w:marBottom w:val="0"/>
      <w:divBdr>
        <w:top w:val="none" w:sz="0" w:space="0" w:color="auto"/>
        <w:left w:val="none" w:sz="0" w:space="0" w:color="auto"/>
        <w:bottom w:val="none" w:sz="0" w:space="0" w:color="auto"/>
        <w:right w:val="none" w:sz="0" w:space="0" w:color="auto"/>
      </w:divBdr>
    </w:div>
    <w:div w:id="937178436">
      <w:bodyDiv w:val="1"/>
      <w:marLeft w:val="0"/>
      <w:marRight w:val="0"/>
      <w:marTop w:val="0"/>
      <w:marBottom w:val="0"/>
      <w:divBdr>
        <w:top w:val="none" w:sz="0" w:space="0" w:color="auto"/>
        <w:left w:val="none" w:sz="0" w:space="0" w:color="auto"/>
        <w:bottom w:val="none" w:sz="0" w:space="0" w:color="auto"/>
        <w:right w:val="none" w:sz="0" w:space="0" w:color="auto"/>
      </w:divBdr>
    </w:div>
    <w:div w:id="1007055398">
      <w:bodyDiv w:val="1"/>
      <w:marLeft w:val="0"/>
      <w:marRight w:val="0"/>
      <w:marTop w:val="0"/>
      <w:marBottom w:val="0"/>
      <w:divBdr>
        <w:top w:val="none" w:sz="0" w:space="0" w:color="auto"/>
        <w:left w:val="none" w:sz="0" w:space="0" w:color="auto"/>
        <w:bottom w:val="none" w:sz="0" w:space="0" w:color="auto"/>
        <w:right w:val="none" w:sz="0" w:space="0" w:color="auto"/>
      </w:divBdr>
    </w:div>
    <w:div w:id="1021736182">
      <w:bodyDiv w:val="1"/>
      <w:marLeft w:val="0"/>
      <w:marRight w:val="0"/>
      <w:marTop w:val="0"/>
      <w:marBottom w:val="0"/>
      <w:divBdr>
        <w:top w:val="none" w:sz="0" w:space="0" w:color="auto"/>
        <w:left w:val="none" w:sz="0" w:space="0" w:color="auto"/>
        <w:bottom w:val="none" w:sz="0" w:space="0" w:color="auto"/>
        <w:right w:val="none" w:sz="0" w:space="0" w:color="auto"/>
      </w:divBdr>
    </w:div>
    <w:div w:id="1034892219">
      <w:bodyDiv w:val="1"/>
      <w:marLeft w:val="0"/>
      <w:marRight w:val="0"/>
      <w:marTop w:val="0"/>
      <w:marBottom w:val="0"/>
      <w:divBdr>
        <w:top w:val="none" w:sz="0" w:space="0" w:color="auto"/>
        <w:left w:val="none" w:sz="0" w:space="0" w:color="auto"/>
        <w:bottom w:val="none" w:sz="0" w:space="0" w:color="auto"/>
        <w:right w:val="none" w:sz="0" w:space="0" w:color="auto"/>
      </w:divBdr>
    </w:div>
    <w:div w:id="1152404396">
      <w:bodyDiv w:val="1"/>
      <w:marLeft w:val="0"/>
      <w:marRight w:val="0"/>
      <w:marTop w:val="0"/>
      <w:marBottom w:val="0"/>
      <w:divBdr>
        <w:top w:val="none" w:sz="0" w:space="0" w:color="auto"/>
        <w:left w:val="none" w:sz="0" w:space="0" w:color="auto"/>
        <w:bottom w:val="none" w:sz="0" w:space="0" w:color="auto"/>
        <w:right w:val="none" w:sz="0" w:space="0" w:color="auto"/>
      </w:divBdr>
    </w:div>
    <w:div w:id="1274634786">
      <w:bodyDiv w:val="1"/>
      <w:marLeft w:val="0"/>
      <w:marRight w:val="0"/>
      <w:marTop w:val="0"/>
      <w:marBottom w:val="0"/>
      <w:divBdr>
        <w:top w:val="none" w:sz="0" w:space="0" w:color="auto"/>
        <w:left w:val="none" w:sz="0" w:space="0" w:color="auto"/>
        <w:bottom w:val="none" w:sz="0" w:space="0" w:color="auto"/>
        <w:right w:val="none" w:sz="0" w:space="0" w:color="auto"/>
      </w:divBdr>
    </w:div>
    <w:div w:id="1471363978">
      <w:bodyDiv w:val="1"/>
      <w:marLeft w:val="0"/>
      <w:marRight w:val="0"/>
      <w:marTop w:val="0"/>
      <w:marBottom w:val="0"/>
      <w:divBdr>
        <w:top w:val="none" w:sz="0" w:space="0" w:color="auto"/>
        <w:left w:val="none" w:sz="0" w:space="0" w:color="auto"/>
        <w:bottom w:val="none" w:sz="0" w:space="0" w:color="auto"/>
        <w:right w:val="none" w:sz="0" w:space="0" w:color="auto"/>
      </w:divBdr>
    </w:div>
    <w:div w:id="1577470908">
      <w:bodyDiv w:val="1"/>
      <w:marLeft w:val="0"/>
      <w:marRight w:val="0"/>
      <w:marTop w:val="0"/>
      <w:marBottom w:val="0"/>
      <w:divBdr>
        <w:top w:val="none" w:sz="0" w:space="0" w:color="auto"/>
        <w:left w:val="none" w:sz="0" w:space="0" w:color="auto"/>
        <w:bottom w:val="none" w:sz="0" w:space="0" w:color="auto"/>
        <w:right w:val="none" w:sz="0" w:space="0" w:color="auto"/>
      </w:divBdr>
    </w:div>
    <w:div w:id="1768651833">
      <w:bodyDiv w:val="1"/>
      <w:marLeft w:val="0"/>
      <w:marRight w:val="0"/>
      <w:marTop w:val="0"/>
      <w:marBottom w:val="0"/>
      <w:divBdr>
        <w:top w:val="none" w:sz="0" w:space="0" w:color="auto"/>
        <w:left w:val="none" w:sz="0" w:space="0" w:color="auto"/>
        <w:bottom w:val="none" w:sz="0" w:space="0" w:color="auto"/>
        <w:right w:val="none" w:sz="0" w:space="0" w:color="auto"/>
      </w:divBdr>
    </w:div>
    <w:div w:id="1901935689">
      <w:bodyDiv w:val="1"/>
      <w:marLeft w:val="0"/>
      <w:marRight w:val="0"/>
      <w:marTop w:val="0"/>
      <w:marBottom w:val="0"/>
      <w:divBdr>
        <w:top w:val="none" w:sz="0" w:space="0" w:color="auto"/>
        <w:left w:val="none" w:sz="0" w:space="0" w:color="auto"/>
        <w:bottom w:val="none" w:sz="0" w:space="0" w:color="auto"/>
        <w:right w:val="none" w:sz="0" w:space="0" w:color="auto"/>
      </w:divBdr>
    </w:div>
    <w:div w:id="2115202846">
      <w:bodyDiv w:val="1"/>
      <w:marLeft w:val="0"/>
      <w:marRight w:val="0"/>
      <w:marTop w:val="0"/>
      <w:marBottom w:val="0"/>
      <w:divBdr>
        <w:top w:val="none" w:sz="0" w:space="0" w:color="auto"/>
        <w:left w:val="none" w:sz="0" w:space="0" w:color="auto"/>
        <w:bottom w:val="none" w:sz="0" w:space="0" w:color="auto"/>
        <w:right w:val="none" w:sz="0" w:space="0" w:color="auto"/>
      </w:divBdr>
    </w:div>
    <w:div w:id="2141073216">
      <w:bodyDiv w:val="1"/>
      <w:marLeft w:val="0"/>
      <w:marRight w:val="0"/>
      <w:marTop w:val="0"/>
      <w:marBottom w:val="0"/>
      <w:divBdr>
        <w:top w:val="none" w:sz="0" w:space="0" w:color="auto"/>
        <w:left w:val="none" w:sz="0" w:space="0" w:color="auto"/>
        <w:bottom w:val="none" w:sz="0" w:space="0" w:color="auto"/>
        <w:right w:val="none" w:sz="0" w:space="0" w:color="auto"/>
      </w:divBdr>
    </w:div>
    <w:div w:id="214145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m.oas.org/IDMS/Redirectpage.aspx?class=CP/CSH&amp;classNum=1953&amp;lang=p" TargetMode="External"/><Relationship Id="rId21" Type="http://schemas.openxmlformats.org/officeDocument/2006/relationships/header" Target="header6.xml"/><Relationship Id="rId42" Type="http://schemas.openxmlformats.org/officeDocument/2006/relationships/hyperlink" Target="http://scm.oas.org/IDMS/Redirectpage.aspx?class=CP/doc.&amp;classNum=5469&amp;lang=e" TargetMode="External"/><Relationship Id="rId47" Type="http://schemas.openxmlformats.org/officeDocument/2006/relationships/header" Target="header11.xml"/><Relationship Id="rId63" Type="http://schemas.openxmlformats.org/officeDocument/2006/relationships/hyperlink" Target="http://scm.oas.org/IDMS/Redirectpage.aspx?class=AG/RES.%20%20(XLVIII-E/14)&amp;classNum=1&amp;lang=f" TargetMode="External"/><Relationship Id="rId68" Type="http://schemas.openxmlformats.org/officeDocument/2006/relationships/hyperlink" Target="http://scm.oas.org/doc_public/PORTUGUESE/hist_17/CIDRP02030P05.doc" TargetMode="External"/><Relationship Id="rId84" Type="http://schemas.openxmlformats.org/officeDocument/2006/relationships/footer" Target="footer18.xml"/><Relationship Id="rId89" Type="http://schemas.openxmlformats.org/officeDocument/2006/relationships/header" Target="header22.xml"/><Relationship Id="rId16" Type="http://schemas.openxmlformats.org/officeDocument/2006/relationships/header" Target="header4.xml"/><Relationship Id="rId11" Type="http://schemas.openxmlformats.org/officeDocument/2006/relationships/footer" Target="footer1.xml"/><Relationship Id="rId32" Type="http://schemas.openxmlformats.org/officeDocument/2006/relationships/hyperlink" Target="http://scm.oas.org/IDMS/Redirectpage.aspx?class=CP/CSH&amp;classNum=1984&amp;lang=p" TargetMode="External"/><Relationship Id="rId37" Type="http://schemas.openxmlformats.org/officeDocument/2006/relationships/header" Target="header9.xml"/><Relationship Id="rId53" Type="http://schemas.openxmlformats.org/officeDocument/2006/relationships/hyperlink" Target="http://scm.oas.org/doc_public/portuguese/HIST_18/CP39515p03.doc" TargetMode="External"/><Relationship Id="rId58" Type="http://schemas.openxmlformats.org/officeDocument/2006/relationships/hyperlink" Target="http://scm.oas.org/IDMS/Redirectpage.aspx?class=AG/RES.%20%20(LI-E/16)&amp;classNum=1&amp;lang=p" TargetMode="External"/><Relationship Id="rId74" Type="http://schemas.openxmlformats.org/officeDocument/2006/relationships/image" Target="media/image2.emf"/><Relationship Id="rId79" Type="http://schemas.openxmlformats.org/officeDocument/2006/relationships/header" Target="header16.xml"/><Relationship Id="rId5" Type="http://schemas.openxmlformats.org/officeDocument/2006/relationships/webSettings" Target="webSettings.xml"/><Relationship Id="rId90" Type="http://schemas.openxmlformats.org/officeDocument/2006/relationships/footer" Target="footer20.xml"/><Relationship Id="rId22" Type="http://schemas.openxmlformats.org/officeDocument/2006/relationships/hyperlink" Target="http://scm.oas.org/IDMS/Redirectpage.aspx?class=AG/doc.&amp;classNum=5691&amp;addendum=1&amp;lang=p" TargetMode="External"/><Relationship Id="rId27" Type="http://schemas.openxmlformats.org/officeDocument/2006/relationships/hyperlink" Target="http://www.oas.org/MFCS/Default.aspx?Lang=ENG" TargetMode="External"/><Relationship Id="rId43" Type="http://schemas.openxmlformats.org/officeDocument/2006/relationships/hyperlink" Target="http://scm.oas.org/doc_public/ENGLISH/HIST_18/CIDIS00003E02.doc" TargetMode="External"/><Relationship Id="rId48" Type="http://schemas.openxmlformats.org/officeDocument/2006/relationships/header" Target="header12.xml"/><Relationship Id="rId64" Type="http://schemas.openxmlformats.org/officeDocument/2006/relationships/hyperlink" Target="http://scm.oas.org/IDMS/Redirectpage.aspx?class=AG/RES.%20%20(LI-E/16)&amp;classNum=2&amp;lang=p" TargetMode="External"/><Relationship Id="rId69" Type="http://schemas.openxmlformats.org/officeDocument/2006/relationships/hyperlink" Target="http://scm.oas.org/doc_public/PORTUGUESE/hist_18/CIDRP02360P05.doc" TargetMode="External"/><Relationship Id="rId8" Type="http://schemas.openxmlformats.org/officeDocument/2006/relationships/image" Target="media/image1.emf"/><Relationship Id="rId51" Type="http://schemas.openxmlformats.org/officeDocument/2006/relationships/header" Target="header13.xml"/><Relationship Id="rId72" Type="http://schemas.openxmlformats.org/officeDocument/2006/relationships/hyperlink" Target="http://scm.oas.org/doc_public/PORTUGUESE/HIST_20/CP42142P03.docx" TargetMode="External"/><Relationship Id="rId80" Type="http://schemas.openxmlformats.org/officeDocument/2006/relationships/footer" Target="footer16.xml"/><Relationship Id="rId85" Type="http://schemas.openxmlformats.org/officeDocument/2006/relationships/header" Target="header19.xm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scm.oas.org/IDMS/Redirectpage.aspx?class=CP/doc&amp;classNum=5598&amp;lang=p" TargetMode="External"/><Relationship Id="rId33" Type="http://schemas.openxmlformats.org/officeDocument/2006/relationships/header" Target="header7.xml"/><Relationship Id="rId38" Type="http://schemas.openxmlformats.org/officeDocument/2006/relationships/footer" Target="footer9.xml"/><Relationship Id="rId46" Type="http://schemas.openxmlformats.org/officeDocument/2006/relationships/footer" Target="footer11.xml"/><Relationship Id="rId59" Type="http://schemas.openxmlformats.org/officeDocument/2006/relationships/hyperlink" Target="http://scm.oas.org/doc_public/portuguese/hist_19/cp40513p02.doc" TargetMode="External"/><Relationship Id="rId67" Type="http://schemas.openxmlformats.org/officeDocument/2006/relationships/hyperlink" Target="http://scm.oas.org/doc_public/PORTUGUESE/HIST_07/AG03796P02.doc" TargetMode="External"/><Relationship Id="rId20" Type="http://schemas.openxmlformats.org/officeDocument/2006/relationships/footer" Target="footer6.xml"/><Relationship Id="rId41" Type="http://schemas.openxmlformats.org/officeDocument/2006/relationships/hyperlink" Target="http://scm.oas.org/IDMS/Redirectpage.aspx?class=AG/RES.%20%20(LI-E/16)&amp;classNum=1&amp;lang=p" TargetMode="External"/><Relationship Id="rId54" Type="http://schemas.openxmlformats.org/officeDocument/2006/relationships/hyperlink" Target="http://scm.oas.org/doc_public/portuguese/HIST_18/CP39512p03.doc" TargetMode="External"/><Relationship Id="rId62" Type="http://schemas.openxmlformats.org/officeDocument/2006/relationships/hyperlink" Target="http://www.oas.org/consejo/GENERAL%20ASSEMBLY/Documents/pl00095e05.doc" TargetMode="External"/><Relationship Id="rId70" Type="http://schemas.openxmlformats.org/officeDocument/2006/relationships/hyperlink" Target="http://scm.oas.org/doc_public/SPANISH/HIST_20/CP42562S03.docx" TargetMode="External"/><Relationship Id="rId75" Type="http://schemas.openxmlformats.org/officeDocument/2006/relationships/footer" Target="footer14.xml"/><Relationship Id="rId83" Type="http://schemas.openxmlformats.org/officeDocument/2006/relationships/header" Target="header18.xml"/><Relationship Id="rId88" Type="http://schemas.openxmlformats.org/officeDocument/2006/relationships/header" Target="header21.xml"/><Relationship Id="rId9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cm.oas.org/IDMS/Redirectpage.aspx?class=CP/doc&amp;classNum=5625&amp;lang=s" TargetMode="External"/><Relationship Id="rId28" Type="http://schemas.openxmlformats.org/officeDocument/2006/relationships/hyperlink" Target="http://scm.oas.org/IDMS/Redirectpage.aspx?class=AG/doc.&amp;classNum=5667&amp;lang=p" TargetMode="External"/><Relationship Id="rId36" Type="http://schemas.openxmlformats.org/officeDocument/2006/relationships/footer" Target="footer8.xml"/><Relationship Id="rId49" Type="http://schemas.openxmlformats.org/officeDocument/2006/relationships/footer" Target="footer12.xml"/><Relationship Id="rId57" Type="http://schemas.openxmlformats.org/officeDocument/2006/relationships/hyperlink" Target="http://scm.oas.org/IDMS/Redirectpage.aspx?class=CP/doc.&amp;classNum=5642&amp;lang=S" TargetMode="External"/><Relationship Id="rId10" Type="http://schemas.openxmlformats.org/officeDocument/2006/relationships/header" Target="header1.xml"/><Relationship Id="rId31" Type="http://schemas.openxmlformats.org/officeDocument/2006/relationships/hyperlink" Target="http://scm.oas.org/IDMS/Redirectpage.aspx?class=CP/CSH&amp;classNum=1953&amp;lang=p" TargetMode="External"/><Relationship Id="rId44" Type="http://schemas.openxmlformats.org/officeDocument/2006/relationships/hyperlink" Target="http://scm.oas.org/IDMS/Redirectpage.aspx?class=cidi/doc.&amp;classNum=283&amp;lang=s" TargetMode="External"/><Relationship Id="rId52" Type="http://schemas.openxmlformats.org/officeDocument/2006/relationships/hyperlink" Target="http://scm.oas.org/doc_public/portuguese/HIST_07/AG03819p07.doc" TargetMode="External"/><Relationship Id="rId60" Type="http://schemas.openxmlformats.org/officeDocument/2006/relationships/hyperlink" Target="http://scm.oas.org/IDMS/Redirectpage.aspx?class=CP/doc.&amp;classNum=5469&amp;lang=p" TargetMode="External"/><Relationship Id="rId65" Type="http://schemas.openxmlformats.org/officeDocument/2006/relationships/hyperlink" Target="http://scm.oas.org/doc_public/portuguese/HIST_17/AG07524p02.doc" TargetMode="External"/><Relationship Id="rId73" Type="http://schemas.openxmlformats.org/officeDocument/2006/relationships/hyperlink" Target="http://scm.oas.org/doc_public/PORTUGUESE/HIST_20/CP42590P03.docx" TargetMode="External"/><Relationship Id="rId78" Type="http://schemas.openxmlformats.org/officeDocument/2006/relationships/header" Target="header15.xml"/><Relationship Id="rId81" Type="http://schemas.openxmlformats.org/officeDocument/2006/relationships/header" Target="header17.xml"/><Relationship Id="rId86" Type="http://schemas.openxmlformats.org/officeDocument/2006/relationships/header" Target="header20.xm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5.xml"/><Relationship Id="rId39" Type="http://schemas.openxmlformats.org/officeDocument/2006/relationships/header" Target="header10.xml"/><Relationship Id="rId34" Type="http://schemas.openxmlformats.org/officeDocument/2006/relationships/footer" Target="footer7.xml"/><Relationship Id="rId50" Type="http://schemas.openxmlformats.org/officeDocument/2006/relationships/footer" Target="footer13.xml"/><Relationship Id="rId55" Type="http://schemas.openxmlformats.org/officeDocument/2006/relationships/hyperlink" Target="http://scm.oas.org/doc_public/portuguese/HIST_18/CP39515p03.doc" TargetMode="External"/><Relationship Id="rId76" Type="http://schemas.openxmlformats.org/officeDocument/2006/relationships/header" Target="header14.xml"/><Relationship Id="rId7" Type="http://schemas.openxmlformats.org/officeDocument/2006/relationships/endnotes" Target="endnotes.xml"/><Relationship Id="rId71" Type="http://schemas.openxmlformats.org/officeDocument/2006/relationships/hyperlink" Target="http://scm.oas.org/IDMS/Redirectpage.aspx?class=AG/RES.%20%20(XLVIII-E/14)&amp;classNum=1&amp;lang=p" TargetMode="External"/><Relationship Id="rId92" Type="http://schemas.openxmlformats.org/officeDocument/2006/relationships/header" Target="header24.xml"/><Relationship Id="rId2" Type="http://schemas.openxmlformats.org/officeDocument/2006/relationships/numbering" Target="numbering.xml"/><Relationship Id="rId29" Type="http://schemas.openxmlformats.org/officeDocument/2006/relationships/hyperlink" Target="https://www.oas.org/ext/es/seguridad/red-prevencion-crimen/" TargetMode="External"/><Relationship Id="rId24" Type="http://schemas.openxmlformats.org/officeDocument/2006/relationships/hyperlink" Target="http://scm.oas.org/IDMS/Redirectpage.aspx?class=CP/doc.&amp;classNum=5612&amp;lang=s" TargetMode="External"/><Relationship Id="rId40" Type="http://schemas.openxmlformats.org/officeDocument/2006/relationships/footer" Target="footer10.xml"/><Relationship Id="rId45" Type="http://schemas.openxmlformats.org/officeDocument/2006/relationships/hyperlink" Target="http://scm.oas.org/doc_public/SPANISH/HIST_20/CIDTR00310S02.doc" TargetMode="External"/><Relationship Id="rId66" Type="http://schemas.openxmlformats.org/officeDocument/2006/relationships/hyperlink" Target="http://scm.oas.org/doc_public/portuguese/HIST_17/AG07524p02.doc" TargetMode="External"/><Relationship Id="rId87" Type="http://schemas.openxmlformats.org/officeDocument/2006/relationships/footer" Target="footer19.xml"/><Relationship Id="rId61" Type="http://schemas.openxmlformats.org/officeDocument/2006/relationships/hyperlink" Target="http://scm.oas.org/doc_public/PORTUGUESE/HIST_17/AG07239P03.doc" TargetMode="External"/><Relationship Id="rId82" Type="http://schemas.openxmlformats.org/officeDocument/2006/relationships/footer" Target="footer17.xml"/><Relationship Id="rId19" Type="http://schemas.openxmlformats.org/officeDocument/2006/relationships/header" Target="header5.xml"/><Relationship Id="rId14" Type="http://schemas.openxmlformats.org/officeDocument/2006/relationships/header" Target="header3.xml"/><Relationship Id="rId30" Type="http://schemas.openxmlformats.org/officeDocument/2006/relationships/hyperlink" Target="http://scm.oas.org/IDMS/Redirectpage.aspx?class=AG/doc.&amp;classNum=5667&amp;lang=s" TargetMode="External"/><Relationship Id="rId35" Type="http://schemas.openxmlformats.org/officeDocument/2006/relationships/header" Target="header8.xml"/><Relationship Id="rId56" Type="http://schemas.openxmlformats.org/officeDocument/2006/relationships/hyperlink" Target="http://scm.oas.org/doc_public/SPANISH/HIST_20/CP42904S03.docx" TargetMode="External"/><Relationship Id="rId77"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D5633-179D-4382-8F23-21FCC9E40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1904</TotalTime>
  <Pages>206</Pages>
  <Words>75315</Words>
  <Characters>429297</Characters>
  <Application>Microsoft Office Word</Application>
  <DocSecurity>0</DocSecurity>
  <Lines>3577</Lines>
  <Paragraphs>1007</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503605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victor</dc:creator>
  <cp:lastModifiedBy>Salas, Soledad</cp:lastModifiedBy>
  <cp:revision>12</cp:revision>
  <cp:lastPrinted>2021-04-15T16:15:00Z</cp:lastPrinted>
  <dcterms:created xsi:type="dcterms:W3CDTF">2021-06-08T13:15:00Z</dcterms:created>
  <dcterms:modified xsi:type="dcterms:W3CDTF">2021-06-21T20:21:00Z</dcterms:modified>
</cp:coreProperties>
</file>