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FFA" w:rsidRDefault="00EF4FFA" w:rsidP="00577FCC">
      <w:pPr>
        <w:rPr>
          <w:szCs w:val="22"/>
          <w:lang w:val="fr-FR"/>
        </w:rPr>
      </w:pPr>
    </w:p>
    <w:p w:rsidR="00EF4FFA" w:rsidRDefault="00EF4FFA" w:rsidP="00577FCC">
      <w:pPr>
        <w:rPr>
          <w:szCs w:val="22"/>
          <w:lang w:val="fr-FR"/>
        </w:rPr>
      </w:pPr>
    </w:p>
    <w:p w:rsidR="00EF4FFA" w:rsidRDefault="00EF4FFA" w:rsidP="00577FCC">
      <w:pPr>
        <w:rPr>
          <w:szCs w:val="22"/>
          <w:lang w:val="fr-FR"/>
        </w:rPr>
      </w:pPr>
    </w:p>
    <w:p w:rsidR="00577FCC" w:rsidRPr="00577FCC" w:rsidRDefault="00EF4FFA" w:rsidP="00577FCC">
      <w:pPr>
        <w:rPr>
          <w:szCs w:val="22"/>
          <w:lang w:val="fr-FR"/>
        </w:rPr>
      </w:pPr>
      <w:r>
        <w:rPr>
          <w:noProof/>
          <w:szCs w:val="22"/>
          <w:lang w:val="en-US"/>
        </w:rPr>
        <w:object w:dxaOrig="1440" w:dyaOrig="1440" w14:anchorId="15D3C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23.85pt;margin-top:-59.25pt;width:320.1pt;height:28.05pt;z-index:-251658752;mso-wrap-edited:f" wrapcoords="3572 1580 2041 2634 170 7376 170 11590 2381 19493 5272 20020 11055 20020 17008 20020 21260 12117 21600 4215 18709 2107 9524 1580 3572 1580" o:allowincell="f" fillcolor="window">
            <v:imagedata r:id="rId8" o:title=""/>
            <w10:wrap type="tight"/>
          </v:shape>
          <o:OLEObject Type="Embed" ProgID="Word.Picture.8" ShapeID="_x0000_s1030" DrawAspect="Content" ObjectID="_1666614743" r:id="rId9"/>
        </w:object>
      </w:r>
      <w:r w:rsidR="00577FCC">
        <w:rPr>
          <w:szCs w:val="22"/>
          <w:lang w:val="fr-FR"/>
        </w:rPr>
        <w:t>CINQUANTIÈME SESSION ORDINAIRE</w:t>
      </w:r>
      <w:r w:rsidR="00577FCC">
        <w:rPr>
          <w:szCs w:val="22"/>
          <w:lang w:val="fr-FR"/>
        </w:rPr>
        <w:tab/>
      </w:r>
      <w:r w:rsidR="00577FCC">
        <w:rPr>
          <w:szCs w:val="22"/>
          <w:lang w:val="fr-FR"/>
        </w:rPr>
        <w:tab/>
      </w:r>
      <w:r w:rsidR="00577FCC" w:rsidRPr="00577FCC">
        <w:rPr>
          <w:szCs w:val="22"/>
          <w:lang w:val="fr-FR"/>
        </w:rPr>
        <w:tab/>
      </w:r>
      <w:r w:rsidR="00577FCC" w:rsidRPr="00577FCC">
        <w:rPr>
          <w:szCs w:val="22"/>
          <w:lang w:val="fr-FR"/>
        </w:rPr>
        <w:tab/>
      </w:r>
      <w:r w:rsidR="00577FCC" w:rsidRPr="00577FCC">
        <w:rPr>
          <w:szCs w:val="22"/>
          <w:lang w:val="fr-FR"/>
        </w:rPr>
        <w:tab/>
        <w:t>OEA/</w:t>
      </w:r>
      <w:proofErr w:type="spellStart"/>
      <w:r w:rsidR="00577FCC" w:rsidRPr="00577FCC">
        <w:rPr>
          <w:szCs w:val="22"/>
          <w:lang w:val="fr-FR"/>
        </w:rPr>
        <w:t>Ser.P</w:t>
      </w:r>
      <w:proofErr w:type="spellEnd"/>
    </w:p>
    <w:p w:rsidR="00577FCC" w:rsidRPr="00577FCC" w:rsidRDefault="00577FCC" w:rsidP="004E085C">
      <w:pPr>
        <w:ind w:right="-389"/>
        <w:rPr>
          <w:szCs w:val="22"/>
          <w:lang w:val="fr-FR"/>
        </w:rPr>
      </w:pPr>
      <w:r w:rsidRPr="00577FCC">
        <w:rPr>
          <w:szCs w:val="22"/>
          <w:lang w:val="fr-FR"/>
        </w:rPr>
        <w:t>D</w:t>
      </w:r>
      <w:r>
        <w:rPr>
          <w:szCs w:val="22"/>
          <w:lang w:val="fr-FR"/>
        </w:rPr>
        <w:t xml:space="preserve">u </w:t>
      </w:r>
      <w:r w:rsidRPr="00577FCC">
        <w:rPr>
          <w:szCs w:val="22"/>
          <w:lang w:val="fr-FR"/>
        </w:rPr>
        <w:t xml:space="preserve">20 </w:t>
      </w:r>
      <w:r>
        <w:rPr>
          <w:szCs w:val="22"/>
          <w:lang w:val="fr-FR"/>
        </w:rPr>
        <w:t xml:space="preserve">au </w:t>
      </w:r>
      <w:r w:rsidRPr="00577FCC">
        <w:rPr>
          <w:szCs w:val="22"/>
          <w:lang w:val="fr-FR"/>
        </w:rPr>
        <w:t>21 oct</w:t>
      </w:r>
      <w:r>
        <w:rPr>
          <w:szCs w:val="22"/>
          <w:lang w:val="fr-FR"/>
        </w:rPr>
        <w:t>o</w:t>
      </w:r>
      <w:r w:rsidRPr="00577FCC">
        <w:rPr>
          <w:szCs w:val="22"/>
          <w:lang w:val="fr-FR"/>
        </w:rPr>
        <w:t>bre 2020</w:t>
      </w:r>
      <w:r w:rsidRPr="00577FCC">
        <w:rPr>
          <w:szCs w:val="22"/>
          <w:lang w:val="fr-FR"/>
        </w:rPr>
        <w:tab/>
      </w:r>
      <w:r w:rsidRPr="00577FCC">
        <w:rPr>
          <w:szCs w:val="22"/>
          <w:lang w:val="fr-FR"/>
        </w:rPr>
        <w:tab/>
      </w:r>
      <w:r w:rsidRPr="00577FCC">
        <w:rPr>
          <w:szCs w:val="22"/>
          <w:lang w:val="fr-FR"/>
        </w:rPr>
        <w:tab/>
      </w:r>
      <w:r w:rsidRPr="00577FCC">
        <w:rPr>
          <w:szCs w:val="22"/>
          <w:lang w:val="fr-FR"/>
        </w:rPr>
        <w:tab/>
      </w:r>
      <w:r w:rsidRPr="00577FCC">
        <w:rPr>
          <w:szCs w:val="22"/>
          <w:lang w:val="fr-FR"/>
        </w:rPr>
        <w:tab/>
      </w:r>
      <w:r w:rsidRPr="00577FCC">
        <w:rPr>
          <w:szCs w:val="22"/>
          <w:lang w:val="fr-FR"/>
        </w:rPr>
        <w:tab/>
      </w:r>
      <w:r w:rsidRPr="00577FCC">
        <w:rPr>
          <w:szCs w:val="22"/>
          <w:lang w:val="fr-FR"/>
        </w:rPr>
        <w:tab/>
        <w:t>AG/doc.5688/20</w:t>
      </w:r>
      <w:r w:rsidR="004E085C">
        <w:rPr>
          <w:szCs w:val="22"/>
          <w:lang w:val="fr-FR"/>
        </w:rPr>
        <w:t xml:space="preserve"> </w:t>
      </w:r>
      <w:proofErr w:type="spellStart"/>
      <w:r w:rsidR="004E085C">
        <w:rPr>
          <w:szCs w:val="22"/>
          <w:lang w:val="fr-FR"/>
        </w:rPr>
        <w:t>rev</w:t>
      </w:r>
      <w:proofErr w:type="spellEnd"/>
      <w:r w:rsidR="004E085C">
        <w:rPr>
          <w:szCs w:val="22"/>
          <w:lang w:val="fr-FR"/>
        </w:rPr>
        <w:t xml:space="preserve">. </w:t>
      </w:r>
      <w:r w:rsidR="00CD62FD">
        <w:rPr>
          <w:szCs w:val="22"/>
          <w:lang w:val="fr-FR"/>
        </w:rPr>
        <w:t>2</w:t>
      </w:r>
    </w:p>
    <w:p w:rsidR="00316551" w:rsidRDefault="00316551" w:rsidP="00577FCC">
      <w:pPr>
        <w:rPr>
          <w:szCs w:val="22"/>
          <w:lang w:val="fr-FR"/>
        </w:rPr>
      </w:pPr>
      <w:r w:rsidRPr="000D3A64">
        <w:rPr>
          <w:szCs w:val="22"/>
          <w:lang w:val="fr-CA"/>
        </w:rPr>
        <w:t>Washington, D.C., États-Unis d</w:t>
      </w:r>
      <w:r>
        <w:rPr>
          <w:szCs w:val="22"/>
          <w:lang w:val="fr-CA"/>
        </w:rPr>
        <w:t>’</w:t>
      </w:r>
      <w:r w:rsidRPr="000D3A64">
        <w:rPr>
          <w:szCs w:val="22"/>
          <w:lang w:val="fr-CA"/>
        </w:rPr>
        <w:t>Amérique</w:t>
      </w:r>
      <w:r>
        <w:rPr>
          <w:szCs w:val="22"/>
          <w:lang w:val="fr-CA"/>
        </w:rPr>
        <w:tab/>
      </w:r>
      <w:r>
        <w:rPr>
          <w:szCs w:val="22"/>
          <w:lang w:val="fr-CA"/>
        </w:rPr>
        <w:tab/>
      </w:r>
      <w:r>
        <w:rPr>
          <w:szCs w:val="22"/>
          <w:lang w:val="fr-CA"/>
        </w:rPr>
        <w:tab/>
      </w:r>
      <w:r>
        <w:rPr>
          <w:szCs w:val="22"/>
          <w:lang w:val="fr-CA"/>
        </w:rPr>
        <w:tab/>
      </w:r>
      <w:r>
        <w:rPr>
          <w:szCs w:val="22"/>
          <w:lang w:val="fr-CA"/>
        </w:rPr>
        <w:tab/>
      </w:r>
      <w:r>
        <w:rPr>
          <w:szCs w:val="22"/>
          <w:lang w:val="fr-FR"/>
        </w:rPr>
        <w:t>27</w:t>
      </w:r>
      <w:r w:rsidRPr="00577FCC">
        <w:rPr>
          <w:szCs w:val="22"/>
          <w:lang w:val="fr-FR"/>
        </w:rPr>
        <w:t xml:space="preserve"> oct</w:t>
      </w:r>
      <w:r>
        <w:rPr>
          <w:szCs w:val="22"/>
          <w:lang w:val="fr-FR"/>
        </w:rPr>
        <w:t>o</w:t>
      </w:r>
      <w:r w:rsidRPr="00577FCC">
        <w:rPr>
          <w:szCs w:val="22"/>
          <w:lang w:val="fr-FR"/>
        </w:rPr>
        <w:t>bre 2020</w:t>
      </w:r>
    </w:p>
    <w:p w:rsidR="00577FCC" w:rsidRPr="00577FCC" w:rsidRDefault="00577FCC" w:rsidP="00577FCC">
      <w:pPr>
        <w:rPr>
          <w:szCs w:val="22"/>
          <w:lang w:val="fr-FR"/>
        </w:rPr>
      </w:pPr>
      <w:r>
        <w:rPr>
          <w:szCs w:val="22"/>
          <w:lang w:val="fr-FR"/>
        </w:rPr>
        <w:t xml:space="preserve">SESSION </w:t>
      </w:r>
      <w:r w:rsidRPr="00577FCC">
        <w:rPr>
          <w:szCs w:val="22"/>
          <w:lang w:val="fr-FR"/>
        </w:rPr>
        <w:t>VIRTU</w:t>
      </w:r>
      <w:r>
        <w:rPr>
          <w:szCs w:val="22"/>
          <w:lang w:val="fr-FR"/>
        </w:rPr>
        <w:t>ELLE</w:t>
      </w:r>
      <w:r w:rsidRPr="00577FCC">
        <w:rPr>
          <w:szCs w:val="22"/>
          <w:lang w:val="fr-FR"/>
        </w:rPr>
        <w:tab/>
      </w:r>
      <w:r w:rsidRPr="00577FCC">
        <w:rPr>
          <w:szCs w:val="22"/>
          <w:lang w:val="fr-FR"/>
        </w:rPr>
        <w:tab/>
      </w:r>
      <w:r w:rsidRPr="00577FCC">
        <w:rPr>
          <w:szCs w:val="22"/>
          <w:lang w:val="fr-FR"/>
        </w:rPr>
        <w:tab/>
      </w:r>
      <w:r w:rsidRPr="00577FCC">
        <w:rPr>
          <w:szCs w:val="22"/>
          <w:lang w:val="fr-FR"/>
        </w:rPr>
        <w:tab/>
      </w:r>
      <w:r w:rsidRPr="00577FCC">
        <w:rPr>
          <w:szCs w:val="22"/>
          <w:lang w:val="fr-FR"/>
        </w:rPr>
        <w:tab/>
      </w:r>
      <w:r w:rsidRPr="00577FCC">
        <w:rPr>
          <w:szCs w:val="22"/>
          <w:lang w:val="fr-FR"/>
        </w:rPr>
        <w:tab/>
      </w:r>
      <w:r w:rsidRPr="00577FCC">
        <w:rPr>
          <w:szCs w:val="22"/>
          <w:lang w:val="fr-FR"/>
        </w:rPr>
        <w:tab/>
      </w:r>
      <w:r w:rsidRPr="00577FCC">
        <w:rPr>
          <w:szCs w:val="22"/>
          <w:lang w:val="fr-FR"/>
        </w:rPr>
        <w:tab/>
      </w:r>
      <w:r w:rsidR="00316551" w:rsidRPr="00577FCC">
        <w:rPr>
          <w:szCs w:val="22"/>
          <w:lang w:val="fr-FR"/>
        </w:rPr>
        <w:t>Original: espagnol</w:t>
      </w:r>
    </w:p>
    <w:p w:rsidR="00EF4FFA" w:rsidRDefault="00EF4FFA" w:rsidP="00316551">
      <w:pPr>
        <w:rPr>
          <w:szCs w:val="22"/>
          <w:lang w:val="fr-FR"/>
        </w:rPr>
      </w:pPr>
    </w:p>
    <w:p w:rsidR="00577FCC" w:rsidRDefault="00577FCC" w:rsidP="00316551">
      <w:pPr>
        <w:rPr>
          <w:szCs w:val="22"/>
          <w:lang w:val="fr-FR"/>
        </w:rPr>
      </w:pPr>
      <w:r w:rsidRPr="00577FCC">
        <w:rPr>
          <w:szCs w:val="22"/>
          <w:lang w:val="fr-FR"/>
        </w:rPr>
        <w:tab/>
      </w:r>
      <w:r w:rsidRPr="00577FCC">
        <w:rPr>
          <w:szCs w:val="22"/>
          <w:lang w:val="fr-FR"/>
        </w:rPr>
        <w:tab/>
      </w:r>
      <w:r w:rsidRPr="00577FCC">
        <w:rPr>
          <w:szCs w:val="22"/>
          <w:lang w:val="fr-FR"/>
        </w:rPr>
        <w:tab/>
      </w:r>
      <w:r w:rsidRPr="00577FCC">
        <w:rPr>
          <w:szCs w:val="22"/>
          <w:lang w:val="fr-FR"/>
        </w:rPr>
        <w:tab/>
      </w:r>
      <w:r w:rsidRPr="00577FCC">
        <w:rPr>
          <w:szCs w:val="22"/>
          <w:lang w:val="fr-FR"/>
        </w:rPr>
        <w:tab/>
      </w:r>
      <w:r w:rsidRPr="00577FCC">
        <w:rPr>
          <w:szCs w:val="22"/>
          <w:lang w:val="fr-FR"/>
        </w:rPr>
        <w:tab/>
      </w:r>
      <w:r w:rsidRPr="00577FCC">
        <w:rPr>
          <w:szCs w:val="22"/>
          <w:lang w:val="fr-FR"/>
        </w:rPr>
        <w:tab/>
      </w:r>
      <w:r w:rsidRPr="00577FCC">
        <w:rPr>
          <w:szCs w:val="22"/>
          <w:lang w:val="fr-FR"/>
        </w:rPr>
        <w:tab/>
      </w:r>
      <w:r>
        <w:rPr>
          <w:szCs w:val="22"/>
          <w:lang w:val="fr-FR"/>
        </w:rPr>
        <w:tab/>
      </w:r>
      <w:r>
        <w:rPr>
          <w:szCs w:val="22"/>
          <w:lang w:val="fr-FR"/>
        </w:rPr>
        <w:tab/>
      </w:r>
    </w:p>
    <w:p w:rsidR="008644F3" w:rsidRPr="00F55F67" w:rsidRDefault="00577FCC" w:rsidP="00577FCC">
      <w:pPr>
        <w:ind w:left="6891" w:hanging="411"/>
        <w:jc w:val="left"/>
        <w:rPr>
          <w:szCs w:val="22"/>
          <w:u w:val="single"/>
          <w:lang w:val="fr-FR"/>
        </w:rPr>
      </w:pPr>
      <w:r w:rsidRPr="00F55F67">
        <w:rPr>
          <w:szCs w:val="22"/>
          <w:u w:val="single"/>
          <w:lang w:val="fr-FR"/>
        </w:rPr>
        <w:t>Point 1 de l’ordre du jour</w:t>
      </w:r>
    </w:p>
    <w:p w:rsidR="008644F3" w:rsidRDefault="008644F3" w:rsidP="00B62274">
      <w:pPr>
        <w:pStyle w:val="Header"/>
        <w:tabs>
          <w:tab w:val="clear" w:pos="4320"/>
          <w:tab w:val="clear" w:pos="8640"/>
        </w:tabs>
        <w:rPr>
          <w:szCs w:val="22"/>
          <w:lang w:val="fr-FR"/>
        </w:rPr>
      </w:pPr>
    </w:p>
    <w:p w:rsidR="00EF4FFA" w:rsidRPr="00284BF9" w:rsidRDefault="00EF4FFA" w:rsidP="00B62274">
      <w:pPr>
        <w:pStyle w:val="Header"/>
        <w:tabs>
          <w:tab w:val="clear" w:pos="4320"/>
          <w:tab w:val="clear" w:pos="8640"/>
        </w:tabs>
        <w:rPr>
          <w:szCs w:val="22"/>
          <w:lang w:val="fr-FR"/>
        </w:rPr>
      </w:pPr>
    </w:p>
    <w:p w:rsidR="008644F3" w:rsidRPr="00284BF9" w:rsidRDefault="008644F3" w:rsidP="00B62274">
      <w:pPr>
        <w:pStyle w:val="Header"/>
        <w:tabs>
          <w:tab w:val="clear" w:pos="4320"/>
          <w:tab w:val="clear" w:pos="8640"/>
        </w:tabs>
        <w:rPr>
          <w:szCs w:val="22"/>
          <w:lang w:val="fr-FR"/>
        </w:rPr>
      </w:pPr>
    </w:p>
    <w:p w:rsidR="008644F3" w:rsidRPr="00284BF9" w:rsidRDefault="008644F3" w:rsidP="00B62274">
      <w:pPr>
        <w:pStyle w:val="Header"/>
        <w:tabs>
          <w:tab w:val="clear" w:pos="4320"/>
          <w:tab w:val="clear" w:pos="8640"/>
        </w:tabs>
        <w:jc w:val="center"/>
        <w:rPr>
          <w:szCs w:val="22"/>
          <w:lang w:val="fr-FR"/>
        </w:rPr>
      </w:pPr>
      <w:r w:rsidRPr="00284BF9">
        <w:rPr>
          <w:szCs w:val="22"/>
          <w:lang w:val="fr-FR"/>
        </w:rPr>
        <w:t xml:space="preserve">ORDRE DU JOUR DE LA CINQUANTIÈME SESSION ORDINAIRE </w:t>
      </w:r>
      <w:r w:rsidRPr="00284BF9">
        <w:rPr>
          <w:szCs w:val="22"/>
          <w:lang w:val="fr-FR"/>
        </w:rPr>
        <w:br/>
        <w:t>DE L’ASSEMBLÉE GÉNÉRALE</w:t>
      </w:r>
      <w:r w:rsidR="00CD62FD" w:rsidRPr="00577FCC">
        <w:rPr>
          <w:u w:val="single"/>
          <w:vertAlign w:val="superscript"/>
        </w:rPr>
        <w:footnoteReference w:id="1"/>
      </w:r>
      <w:r w:rsidR="00CD62FD" w:rsidRPr="00577FCC">
        <w:rPr>
          <w:szCs w:val="22"/>
          <w:vertAlign w:val="superscript"/>
          <w:lang w:val="fr-FR"/>
        </w:rPr>
        <w:t>/</w:t>
      </w:r>
    </w:p>
    <w:p w:rsidR="008644F3" w:rsidRPr="00284BF9" w:rsidRDefault="008644F3" w:rsidP="00B62274">
      <w:pPr>
        <w:pStyle w:val="Header"/>
        <w:tabs>
          <w:tab w:val="clear" w:pos="4320"/>
          <w:tab w:val="clear" w:pos="8640"/>
        </w:tabs>
        <w:jc w:val="center"/>
        <w:rPr>
          <w:szCs w:val="22"/>
          <w:lang w:val="fr-FR"/>
        </w:rPr>
      </w:pPr>
    </w:p>
    <w:p w:rsidR="008644F3" w:rsidRPr="00284BF9" w:rsidRDefault="008644F3" w:rsidP="00B62274">
      <w:pPr>
        <w:pStyle w:val="Header"/>
        <w:tabs>
          <w:tab w:val="clear" w:pos="4320"/>
          <w:tab w:val="clear" w:pos="8640"/>
        </w:tabs>
        <w:jc w:val="center"/>
        <w:rPr>
          <w:szCs w:val="22"/>
          <w:lang w:val="fr-FR"/>
        </w:rPr>
      </w:pPr>
      <w:r w:rsidRPr="00284BF9">
        <w:rPr>
          <w:szCs w:val="22"/>
          <w:lang w:val="fr-FR"/>
        </w:rPr>
        <w:t xml:space="preserve">(Approuvé </w:t>
      </w:r>
      <w:r w:rsidR="004E085C">
        <w:rPr>
          <w:szCs w:val="22"/>
          <w:lang w:val="fr-FR"/>
        </w:rPr>
        <w:t xml:space="preserve">à la première séance plénière, le 20 </w:t>
      </w:r>
      <w:r w:rsidR="00284BF9" w:rsidRPr="00284BF9">
        <w:rPr>
          <w:szCs w:val="22"/>
          <w:lang w:val="fr-FR"/>
        </w:rPr>
        <w:t>octobre 2020</w:t>
      </w:r>
      <w:r w:rsidRPr="00284BF9">
        <w:rPr>
          <w:szCs w:val="22"/>
          <w:lang w:val="fr-FR"/>
        </w:rPr>
        <w:t>)</w:t>
      </w:r>
    </w:p>
    <w:p w:rsidR="008644F3" w:rsidRPr="00284BF9" w:rsidRDefault="008644F3" w:rsidP="00B62274">
      <w:pPr>
        <w:rPr>
          <w:szCs w:val="22"/>
          <w:lang w:val="fr-FR"/>
        </w:rPr>
      </w:pPr>
    </w:p>
    <w:p w:rsidR="008644F3" w:rsidRPr="00284BF9" w:rsidRDefault="008644F3" w:rsidP="00B62274">
      <w:pPr>
        <w:rPr>
          <w:szCs w:val="22"/>
          <w:lang w:val="fr-FR"/>
        </w:rPr>
      </w:pPr>
    </w:p>
    <w:p w:rsidR="008644F3" w:rsidRPr="00284BF9" w:rsidRDefault="008644F3" w:rsidP="00B62274">
      <w:pPr>
        <w:numPr>
          <w:ilvl w:val="0"/>
          <w:numId w:val="22"/>
        </w:numPr>
        <w:tabs>
          <w:tab w:val="clear" w:pos="1440"/>
        </w:tabs>
        <w:ind w:right="24"/>
        <w:rPr>
          <w:szCs w:val="22"/>
          <w:lang w:val="fr-FR"/>
        </w:rPr>
      </w:pPr>
      <w:r w:rsidRPr="00284BF9">
        <w:rPr>
          <w:szCs w:val="22"/>
          <w:lang w:val="fr-FR"/>
        </w:rPr>
        <w:t>Adoption du projet d’ordre du jour de l’Assemblée générale (article 30 du Règlement de l’Assemblée générale)</w:t>
      </w:r>
    </w:p>
    <w:p w:rsidR="008644F3" w:rsidRPr="00284BF9" w:rsidRDefault="008644F3" w:rsidP="00B62274">
      <w:pPr>
        <w:ind w:right="24"/>
        <w:rPr>
          <w:szCs w:val="22"/>
          <w:lang w:val="fr-FR"/>
        </w:rPr>
      </w:pPr>
    </w:p>
    <w:p w:rsidR="008644F3" w:rsidRPr="00284BF9" w:rsidRDefault="008644F3" w:rsidP="00B62274">
      <w:pPr>
        <w:numPr>
          <w:ilvl w:val="0"/>
          <w:numId w:val="22"/>
        </w:numPr>
        <w:tabs>
          <w:tab w:val="clear" w:pos="1440"/>
        </w:tabs>
        <w:ind w:right="24"/>
        <w:rPr>
          <w:szCs w:val="22"/>
          <w:lang w:val="fr-FR"/>
        </w:rPr>
      </w:pPr>
      <w:r w:rsidRPr="00284BF9">
        <w:rPr>
          <w:szCs w:val="22"/>
          <w:lang w:val="fr-FR"/>
        </w:rPr>
        <w:t>Approbation des recommandations de la Commission préparatoire de la cinquantième session ordinaire de l’Assemblée générale (article 20 du Règlement de l’Assemblée générale)</w:t>
      </w:r>
    </w:p>
    <w:p w:rsidR="008644F3" w:rsidRPr="00284BF9" w:rsidRDefault="008644F3" w:rsidP="00B62274">
      <w:pPr>
        <w:ind w:right="24"/>
        <w:rPr>
          <w:szCs w:val="22"/>
          <w:lang w:val="fr-FR"/>
        </w:rPr>
      </w:pPr>
    </w:p>
    <w:p w:rsidR="008644F3" w:rsidRPr="00284BF9" w:rsidRDefault="008644F3" w:rsidP="00B62274">
      <w:pPr>
        <w:numPr>
          <w:ilvl w:val="0"/>
          <w:numId w:val="22"/>
        </w:numPr>
        <w:tabs>
          <w:tab w:val="clear" w:pos="1440"/>
        </w:tabs>
        <w:ind w:right="24"/>
        <w:rPr>
          <w:i/>
          <w:szCs w:val="22"/>
          <w:lang w:val="fr-FR"/>
        </w:rPr>
      </w:pPr>
      <w:r w:rsidRPr="00284BF9">
        <w:rPr>
          <w:szCs w:val="22"/>
          <w:lang w:val="fr-FR"/>
        </w:rPr>
        <w:t xml:space="preserve">Rapport annuel du Secrétariat général sur les activités et la situation financière de l’Organisation [article 112 </w:t>
      </w:r>
      <w:r w:rsidRPr="00284BF9">
        <w:rPr>
          <w:i/>
          <w:szCs w:val="22"/>
          <w:lang w:val="fr-FR"/>
        </w:rPr>
        <w:t>g</w:t>
      </w:r>
      <w:r w:rsidRPr="00284BF9">
        <w:rPr>
          <w:szCs w:val="22"/>
          <w:lang w:val="fr-FR"/>
        </w:rPr>
        <w:t xml:space="preserve"> de la Charte de l’OEA et Normes générales de fonctionnement du Secrétariat général] (Rapport du Secrétariat général)</w:t>
      </w:r>
    </w:p>
    <w:p w:rsidR="008644F3" w:rsidRPr="00284BF9" w:rsidRDefault="008644F3" w:rsidP="00B62274">
      <w:pPr>
        <w:ind w:right="24"/>
        <w:rPr>
          <w:szCs w:val="22"/>
          <w:lang w:val="fr-FR"/>
        </w:rPr>
      </w:pPr>
    </w:p>
    <w:p w:rsidR="008644F3" w:rsidRPr="00284BF9" w:rsidRDefault="008644F3" w:rsidP="00B62274">
      <w:pPr>
        <w:pStyle w:val="19"/>
        <w:widowControl/>
        <w:numPr>
          <w:ilvl w:val="0"/>
          <w:numId w:val="22"/>
        </w:numPr>
        <w:tabs>
          <w:tab w:val="clear" w:pos="1440"/>
        </w:tabs>
        <w:snapToGrid w:val="0"/>
        <w:spacing w:line="240" w:lineRule="auto"/>
        <w:ind w:right="24"/>
        <w:jc w:val="both"/>
        <w:rPr>
          <w:sz w:val="22"/>
          <w:szCs w:val="22"/>
          <w:lang w:val="fr-FR"/>
        </w:rPr>
      </w:pPr>
      <w:r w:rsidRPr="00284BF9">
        <w:rPr>
          <w:sz w:val="22"/>
          <w:szCs w:val="22"/>
          <w:lang w:val="fr-FR"/>
        </w:rPr>
        <w:t>Rapport du Secrétaire général sur les pouvoirs (article 27 du Règlement de l’Assemblée générale)</w:t>
      </w:r>
    </w:p>
    <w:p w:rsidR="008644F3" w:rsidRPr="00284BF9" w:rsidRDefault="008644F3" w:rsidP="00B62274">
      <w:pPr>
        <w:pStyle w:val="19"/>
        <w:widowControl/>
        <w:spacing w:line="240" w:lineRule="auto"/>
        <w:ind w:right="24"/>
        <w:jc w:val="both"/>
        <w:rPr>
          <w:sz w:val="22"/>
          <w:szCs w:val="22"/>
          <w:lang w:val="fr-FR"/>
        </w:rPr>
      </w:pPr>
    </w:p>
    <w:p w:rsidR="008644F3" w:rsidRPr="00284BF9" w:rsidRDefault="008644F3" w:rsidP="00B62274">
      <w:pPr>
        <w:numPr>
          <w:ilvl w:val="0"/>
          <w:numId w:val="22"/>
        </w:numPr>
        <w:tabs>
          <w:tab w:val="clear" w:pos="1440"/>
        </w:tabs>
        <w:ind w:right="24"/>
        <w:rPr>
          <w:szCs w:val="22"/>
          <w:lang w:val="fr-FR"/>
        </w:rPr>
      </w:pPr>
      <w:r w:rsidRPr="00284BF9">
        <w:rPr>
          <w:szCs w:val="22"/>
          <w:lang w:val="fr-FR"/>
        </w:rPr>
        <w:t>Rapport annuel du Conseil permanent (article 40 du Statut du Conseil permanent)</w:t>
      </w:r>
    </w:p>
    <w:p w:rsidR="008644F3" w:rsidRPr="00284BF9" w:rsidRDefault="008644F3" w:rsidP="00B62274">
      <w:pPr>
        <w:pStyle w:val="ListParagraph"/>
        <w:ind w:left="0"/>
        <w:rPr>
          <w:sz w:val="22"/>
          <w:szCs w:val="22"/>
          <w:lang w:val="fr-FR"/>
        </w:rPr>
      </w:pPr>
    </w:p>
    <w:p w:rsidR="008644F3" w:rsidRPr="00284BF9" w:rsidRDefault="008644F3" w:rsidP="00B62274">
      <w:pPr>
        <w:numPr>
          <w:ilvl w:val="0"/>
          <w:numId w:val="22"/>
        </w:numPr>
        <w:tabs>
          <w:tab w:val="clear" w:pos="1440"/>
        </w:tabs>
        <w:ind w:right="24"/>
        <w:rPr>
          <w:szCs w:val="22"/>
          <w:lang w:val="fr-FR"/>
        </w:rPr>
      </w:pPr>
      <w:r w:rsidRPr="00284BF9">
        <w:rPr>
          <w:szCs w:val="22"/>
          <w:lang w:val="fr-FR"/>
        </w:rPr>
        <w:t xml:space="preserve">Rapport annuel du Conseil interaméricain pour le développement intégré (CIDI) (article 95 </w:t>
      </w:r>
      <w:r w:rsidRPr="00284BF9">
        <w:rPr>
          <w:i/>
          <w:szCs w:val="22"/>
          <w:lang w:val="fr-FR"/>
        </w:rPr>
        <w:t>e</w:t>
      </w:r>
      <w:r w:rsidRPr="00284BF9">
        <w:rPr>
          <w:szCs w:val="22"/>
          <w:lang w:val="fr-FR"/>
        </w:rPr>
        <w:t xml:space="preserve"> de la Charte de l’OEA)</w:t>
      </w:r>
    </w:p>
    <w:p w:rsidR="008644F3" w:rsidRPr="00284BF9" w:rsidRDefault="008644F3" w:rsidP="00B62274">
      <w:pPr>
        <w:ind w:right="24"/>
        <w:rPr>
          <w:szCs w:val="22"/>
          <w:lang w:val="fr-FR"/>
        </w:rPr>
      </w:pPr>
    </w:p>
    <w:p w:rsidR="008644F3" w:rsidRPr="00284BF9" w:rsidRDefault="008644F3" w:rsidP="00B62274">
      <w:pPr>
        <w:numPr>
          <w:ilvl w:val="0"/>
          <w:numId w:val="22"/>
        </w:numPr>
        <w:tabs>
          <w:tab w:val="clear" w:pos="1440"/>
        </w:tabs>
        <w:ind w:right="24"/>
        <w:rPr>
          <w:szCs w:val="22"/>
          <w:lang w:val="fr-FR"/>
        </w:rPr>
      </w:pPr>
      <w:r w:rsidRPr="00284BF9">
        <w:rPr>
          <w:szCs w:val="22"/>
          <w:lang w:val="fr-FR"/>
        </w:rPr>
        <w:t xml:space="preserve">Observations et recommandations du Conseil permanent sur les rapports annuels des organes, organismes et entités de l’Organisation (article 91 </w:t>
      </w:r>
      <w:r w:rsidRPr="00284BF9">
        <w:rPr>
          <w:i/>
          <w:szCs w:val="22"/>
          <w:lang w:val="fr-FR"/>
        </w:rPr>
        <w:t>f</w:t>
      </w:r>
      <w:r w:rsidRPr="00284BF9">
        <w:rPr>
          <w:szCs w:val="22"/>
          <w:lang w:val="fr-FR"/>
        </w:rPr>
        <w:t xml:space="preserve"> de la Charte de l’OEA)</w:t>
      </w:r>
    </w:p>
    <w:p w:rsidR="008644F3" w:rsidRPr="00284BF9" w:rsidRDefault="008644F3" w:rsidP="00B62274">
      <w:pPr>
        <w:ind w:right="24"/>
        <w:rPr>
          <w:szCs w:val="22"/>
          <w:lang w:val="fr-FR"/>
        </w:rPr>
      </w:pPr>
    </w:p>
    <w:p w:rsidR="008644F3" w:rsidRPr="00284BF9" w:rsidRDefault="008644F3" w:rsidP="00B62274">
      <w:pPr>
        <w:pStyle w:val="0"/>
        <w:widowControl/>
        <w:numPr>
          <w:ilvl w:val="1"/>
          <w:numId w:val="23"/>
        </w:numPr>
        <w:tabs>
          <w:tab w:val="clear" w:pos="2160"/>
        </w:tabs>
        <w:spacing w:line="240" w:lineRule="auto"/>
        <w:ind w:right="24"/>
        <w:jc w:val="both"/>
        <w:rPr>
          <w:sz w:val="22"/>
          <w:szCs w:val="22"/>
          <w:lang w:val="fr-FR"/>
        </w:rPr>
      </w:pPr>
      <w:r w:rsidRPr="00284BF9">
        <w:rPr>
          <w:sz w:val="22"/>
          <w:szCs w:val="22"/>
          <w:lang w:val="fr-FR"/>
        </w:rPr>
        <w:t>Conseil interaméricain pour le développement intégré (CIDI)</w:t>
      </w:r>
    </w:p>
    <w:p w:rsidR="008644F3" w:rsidRPr="00284BF9" w:rsidRDefault="008644F3" w:rsidP="00B62274">
      <w:pPr>
        <w:pStyle w:val="0"/>
        <w:widowControl/>
        <w:numPr>
          <w:ilvl w:val="1"/>
          <w:numId w:val="23"/>
        </w:numPr>
        <w:tabs>
          <w:tab w:val="clear" w:pos="2160"/>
        </w:tabs>
        <w:spacing w:line="240" w:lineRule="auto"/>
        <w:ind w:right="24"/>
        <w:jc w:val="both"/>
        <w:rPr>
          <w:sz w:val="22"/>
          <w:szCs w:val="22"/>
          <w:lang w:val="fr-FR"/>
        </w:rPr>
      </w:pPr>
      <w:r w:rsidRPr="00284BF9">
        <w:rPr>
          <w:sz w:val="22"/>
          <w:szCs w:val="22"/>
          <w:lang w:val="fr-FR"/>
        </w:rPr>
        <w:t xml:space="preserve">Comité juridique interaméricain (CJI) </w:t>
      </w:r>
    </w:p>
    <w:p w:rsidR="008644F3" w:rsidRPr="00284BF9" w:rsidRDefault="008644F3" w:rsidP="00B62274">
      <w:pPr>
        <w:pStyle w:val="0"/>
        <w:widowControl/>
        <w:numPr>
          <w:ilvl w:val="1"/>
          <w:numId w:val="23"/>
        </w:numPr>
        <w:tabs>
          <w:tab w:val="clear" w:pos="2160"/>
        </w:tabs>
        <w:spacing w:line="240" w:lineRule="auto"/>
        <w:ind w:right="24"/>
        <w:jc w:val="both"/>
        <w:rPr>
          <w:sz w:val="22"/>
          <w:szCs w:val="22"/>
          <w:lang w:val="fr-FR"/>
        </w:rPr>
      </w:pPr>
      <w:r w:rsidRPr="00284BF9">
        <w:rPr>
          <w:sz w:val="22"/>
          <w:szCs w:val="22"/>
          <w:lang w:val="fr-FR"/>
        </w:rPr>
        <w:t>Commission interaméricaine des droits de l’homme (CIDH)</w:t>
      </w:r>
    </w:p>
    <w:p w:rsidR="008644F3" w:rsidRPr="00284BF9" w:rsidRDefault="008644F3" w:rsidP="00B62274">
      <w:pPr>
        <w:pStyle w:val="0"/>
        <w:widowControl/>
        <w:numPr>
          <w:ilvl w:val="1"/>
          <w:numId w:val="23"/>
        </w:numPr>
        <w:tabs>
          <w:tab w:val="clear" w:pos="2160"/>
        </w:tabs>
        <w:spacing w:line="240" w:lineRule="auto"/>
        <w:ind w:right="24"/>
        <w:jc w:val="both"/>
        <w:rPr>
          <w:sz w:val="22"/>
          <w:szCs w:val="22"/>
          <w:lang w:val="fr-FR"/>
        </w:rPr>
      </w:pPr>
      <w:r w:rsidRPr="00284BF9">
        <w:rPr>
          <w:sz w:val="22"/>
          <w:szCs w:val="22"/>
          <w:lang w:val="fr-FR"/>
        </w:rPr>
        <w:t>Cour interaméricaine des droits de l’homme</w:t>
      </w:r>
    </w:p>
    <w:p w:rsidR="008644F3" w:rsidRPr="00284BF9" w:rsidRDefault="008644F3" w:rsidP="00B62274">
      <w:pPr>
        <w:pStyle w:val="0"/>
        <w:widowControl/>
        <w:numPr>
          <w:ilvl w:val="1"/>
          <w:numId w:val="23"/>
        </w:numPr>
        <w:tabs>
          <w:tab w:val="clear" w:pos="2160"/>
        </w:tabs>
        <w:spacing w:line="240" w:lineRule="auto"/>
        <w:ind w:right="24"/>
        <w:jc w:val="both"/>
        <w:rPr>
          <w:sz w:val="22"/>
          <w:szCs w:val="22"/>
          <w:lang w:val="fr-FR"/>
        </w:rPr>
      </w:pPr>
      <w:r w:rsidRPr="00284BF9">
        <w:rPr>
          <w:sz w:val="22"/>
          <w:szCs w:val="22"/>
          <w:lang w:val="fr-FR"/>
        </w:rPr>
        <w:lastRenderedPageBreak/>
        <w:t>Institut interaméricain de coopération pour l’agriculture (IICA)</w:t>
      </w:r>
    </w:p>
    <w:p w:rsidR="008644F3" w:rsidRPr="00284BF9" w:rsidRDefault="008644F3" w:rsidP="00B62274">
      <w:pPr>
        <w:pStyle w:val="0"/>
        <w:widowControl/>
        <w:numPr>
          <w:ilvl w:val="1"/>
          <w:numId w:val="23"/>
        </w:numPr>
        <w:tabs>
          <w:tab w:val="clear" w:pos="2160"/>
        </w:tabs>
        <w:spacing w:line="240" w:lineRule="auto"/>
        <w:ind w:right="24"/>
        <w:jc w:val="both"/>
        <w:rPr>
          <w:sz w:val="22"/>
          <w:szCs w:val="22"/>
          <w:lang w:val="fr-FR"/>
        </w:rPr>
      </w:pPr>
      <w:r w:rsidRPr="00284BF9">
        <w:rPr>
          <w:sz w:val="22"/>
          <w:szCs w:val="22"/>
          <w:lang w:val="fr-FR"/>
        </w:rPr>
        <w:t>Organisation panaméricaine de la Santé (OPS)</w:t>
      </w:r>
    </w:p>
    <w:p w:rsidR="008644F3" w:rsidRPr="00284BF9" w:rsidRDefault="008644F3" w:rsidP="00B62274">
      <w:pPr>
        <w:pStyle w:val="0"/>
        <w:widowControl/>
        <w:numPr>
          <w:ilvl w:val="1"/>
          <w:numId w:val="23"/>
        </w:numPr>
        <w:tabs>
          <w:tab w:val="clear" w:pos="2160"/>
        </w:tabs>
        <w:spacing w:line="240" w:lineRule="auto"/>
        <w:ind w:right="24"/>
        <w:jc w:val="both"/>
        <w:rPr>
          <w:sz w:val="22"/>
          <w:szCs w:val="22"/>
          <w:lang w:val="fr-FR"/>
        </w:rPr>
      </w:pPr>
      <w:r w:rsidRPr="00284BF9">
        <w:rPr>
          <w:sz w:val="22"/>
          <w:szCs w:val="22"/>
          <w:lang w:val="fr-FR"/>
        </w:rPr>
        <w:t>Tribunal administratif (TRIBAD)</w:t>
      </w:r>
    </w:p>
    <w:p w:rsidR="008644F3" w:rsidRPr="00284BF9" w:rsidRDefault="008644F3" w:rsidP="00B62274">
      <w:pPr>
        <w:pStyle w:val="0"/>
        <w:widowControl/>
        <w:numPr>
          <w:ilvl w:val="1"/>
          <w:numId w:val="23"/>
        </w:numPr>
        <w:tabs>
          <w:tab w:val="clear" w:pos="2160"/>
        </w:tabs>
        <w:spacing w:line="240" w:lineRule="auto"/>
        <w:ind w:right="24"/>
        <w:jc w:val="both"/>
        <w:rPr>
          <w:sz w:val="22"/>
          <w:szCs w:val="22"/>
          <w:lang w:val="fr-FR"/>
        </w:rPr>
      </w:pPr>
      <w:r w:rsidRPr="00284BF9">
        <w:rPr>
          <w:sz w:val="22"/>
          <w:szCs w:val="22"/>
          <w:lang w:val="fr-FR"/>
        </w:rPr>
        <w:t>Commission interaméricaine des femmes (CIM)</w:t>
      </w:r>
    </w:p>
    <w:p w:rsidR="008644F3" w:rsidRPr="00284BF9" w:rsidRDefault="008644F3" w:rsidP="00B62274">
      <w:pPr>
        <w:pStyle w:val="0"/>
        <w:widowControl/>
        <w:numPr>
          <w:ilvl w:val="1"/>
          <w:numId w:val="23"/>
        </w:numPr>
        <w:tabs>
          <w:tab w:val="clear" w:pos="2160"/>
        </w:tabs>
        <w:spacing w:line="240" w:lineRule="auto"/>
        <w:ind w:right="24"/>
        <w:jc w:val="both"/>
        <w:rPr>
          <w:sz w:val="22"/>
          <w:szCs w:val="22"/>
          <w:lang w:val="fr-FR"/>
        </w:rPr>
      </w:pPr>
      <w:r w:rsidRPr="00284BF9">
        <w:rPr>
          <w:sz w:val="22"/>
          <w:szCs w:val="22"/>
          <w:lang w:val="fr-FR"/>
        </w:rPr>
        <w:t xml:space="preserve">Commission interaméricaine des télécommunications (CITEL) </w:t>
      </w:r>
    </w:p>
    <w:p w:rsidR="008644F3" w:rsidRPr="00284BF9" w:rsidRDefault="008644F3" w:rsidP="00B62274">
      <w:pPr>
        <w:pStyle w:val="0"/>
        <w:widowControl/>
        <w:numPr>
          <w:ilvl w:val="1"/>
          <w:numId w:val="23"/>
        </w:numPr>
        <w:tabs>
          <w:tab w:val="clear" w:pos="2160"/>
        </w:tabs>
        <w:spacing w:line="240" w:lineRule="auto"/>
        <w:ind w:right="24"/>
        <w:jc w:val="both"/>
        <w:rPr>
          <w:sz w:val="22"/>
          <w:szCs w:val="22"/>
          <w:lang w:val="fr-FR"/>
        </w:rPr>
      </w:pPr>
      <w:r w:rsidRPr="00284BF9">
        <w:rPr>
          <w:sz w:val="22"/>
          <w:szCs w:val="22"/>
          <w:lang w:val="fr-FR"/>
        </w:rPr>
        <w:t>Commission interaméricaine de lutte contre l’abus des drogues (CICAD)</w:t>
      </w:r>
    </w:p>
    <w:p w:rsidR="008644F3" w:rsidRPr="00284BF9" w:rsidRDefault="008644F3" w:rsidP="00B62274">
      <w:pPr>
        <w:pStyle w:val="0"/>
        <w:widowControl/>
        <w:numPr>
          <w:ilvl w:val="1"/>
          <w:numId w:val="23"/>
        </w:numPr>
        <w:tabs>
          <w:tab w:val="clear" w:pos="2160"/>
        </w:tabs>
        <w:spacing w:line="240" w:lineRule="auto"/>
        <w:ind w:right="24"/>
        <w:jc w:val="both"/>
        <w:rPr>
          <w:sz w:val="22"/>
          <w:szCs w:val="22"/>
          <w:lang w:val="fr-FR"/>
        </w:rPr>
      </w:pPr>
      <w:r w:rsidRPr="00284BF9">
        <w:rPr>
          <w:sz w:val="22"/>
          <w:szCs w:val="22"/>
          <w:lang w:val="fr-FR"/>
        </w:rPr>
        <w:t>Institut interaméricain de l’enfance et de l’adolescence (IIN)</w:t>
      </w:r>
    </w:p>
    <w:p w:rsidR="008644F3" w:rsidRPr="00284BF9" w:rsidRDefault="008644F3" w:rsidP="00B62274">
      <w:pPr>
        <w:pStyle w:val="0"/>
        <w:widowControl/>
        <w:numPr>
          <w:ilvl w:val="1"/>
          <w:numId w:val="23"/>
        </w:numPr>
        <w:tabs>
          <w:tab w:val="clear" w:pos="2160"/>
        </w:tabs>
        <w:spacing w:line="240" w:lineRule="auto"/>
        <w:ind w:right="24"/>
        <w:rPr>
          <w:sz w:val="22"/>
          <w:szCs w:val="22"/>
          <w:lang w:val="fr-FR"/>
        </w:rPr>
      </w:pPr>
      <w:r w:rsidRPr="00284BF9">
        <w:rPr>
          <w:sz w:val="22"/>
          <w:szCs w:val="22"/>
          <w:lang w:val="fr-FR"/>
        </w:rPr>
        <w:t>Institut panaméricain de géographie et d’histoire (IPGH)</w:t>
      </w:r>
    </w:p>
    <w:p w:rsidR="008644F3" w:rsidRPr="00284BF9" w:rsidRDefault="008644F3" w:rsidP="00B62274">
      <w:pPr>
        <w:pStyle w:val="0"/>
        <w:widowControl/>
        <w:numPr>
          <w:ilvl w:val="1"/>
          <w:numId w:val="23"/>
        </w:numPr>
        <w:tabs>
          <w:tab w:val="clear" w:pos="2160"/>
        </w:tabs>
        <w:spacing w:line="240" w:lineRule="auto"/>
        <w:ind w:right="24"/>
        <w:rPr>
          <w:sz w:val="22"/>
          <w:szCs w:val="22"/>
          <w:lang w:val="fr-FR"/>
        </w:rPr>
      </w:pPr>
      <w:r w:rsidRPr="00284BF9">
        <w:rPr>
          <w:sz w:val="22"/>
          <w:szCs w:val="22"/>
          <w:lang w:val="fr-FR"/>
        </w:rPr>
        <w:t>Centre d’études de la justice des Amériques (CEJA)</w:t>
      </w:r>
    </w:p>
    <w:p w:rsidR="008644F3" w:rsidRPr="00284BF9" w:rsidRDefault="008644F3" w:rsidP="00B62274">
      <w:pPr>
        <w:pStyle w:val="0"/>
        <w:widowControl/>
        <w:numPr>
          <w:ilvl w:val="1"/>
          <w:numId w:val="23"/>
        </w:numPr>
        <w:tabs>
          <w:tab w:val="clear" w:pos="2160"/>
        </w:tabs>
        <w:spacing w:line="240" w:lineRule="auto"/>
        <w:ind w:right="24"/>
        <w:rPr>
          <w:sz w:val="22"/>
          <w:szCs w:val="22"/>
          <w:lang w:val="fr-FR"/>
        </w:rPr>
      </w:pPr>
      <w:r w:rsidRPr="00284BF9">
        <w:rPr>
          <w:sz w:val="22"/>
          <w:szCs w:val="22"/>
          <w:lang w:val="fr-FR"/>
        </w:rPr>
        <w:t>Comité interaméricain contre le terrorisme (CICTE)</w:t>
      </w:r>
    </w:p>
    <w:p w:rsidR="008644F3" w:rsidRPr="00284BF9" w:rsidRDefault="008644F3" w:rsidP="00B62274">
      <w:pPr>
        <w:pStyle w:val="0"/>
        <w:widowControl/>
        <w:numPr>
          <w:ilvl w:val="1"/>
          <w:numId w:val="23"/>
        </w:numPr>
        <w:tabs>
          <w:tab w:val="clear" w:pos="2160"/>
        </w:tabs>
        <w:spacing w:line="240" w:lineRule="auto"/>
        <w:ind w:right="24"/>
        <w:rPr>
          <w:sz w:val="22"/>
          <w:szCs w:val="22"/>
          <w:lang w:val="fr-FR"/>
        </w:rPr>
      </w:pPr>
      <w:r w:rsidRPr="00284BF9">
        <w:rPr>
          <w:sz w:val="22"/>
          <w:szCs w:val="22"/>
          <w:lang w:val="fr-FR"/>
        </w:rPr>
        <w:t>Organisation interaméricaine de défense (JID)</w:t>
      </w:r>
    </w:p>
    <w:p w:rsidR="008644F3" w:rsidRPr="00284BF9" w:rsidRDefault="008644F3" w:rsidP="00B62274">
      <w:pPr>
        <w:pStyle w:val="0"/>
        <w:widowControl/>
        <w:spacing w:line="240" w:lineRule="auto"/>
        <w:ind w:right="24"/>
        <w:rPr>
          <w:sz w:val="22"/>
          <w:szCs w:val="22"/>
          <w:lang w:val="fr-FR"/>
        </w:rPr>
      </w:pPr>
    </w:p>
    <w:p w:rsidR="008644F3" w:rsidRPr="00284BF9" w:rsidRDefault="008644F3" w:rsidP="00B62274">
      <w:pPr>
        <w:numPr>
          <w:ilvl w:val="0"/>
          <w:numId w:val="22"/>
        </w:numPr>
        <w:tabs>
          <w:tab w:val="clear" w:pos="1440"/>
        </w:tabs>
        <w:ind w:right="24"/>
        <w:rPr>
          <w:szCs w:val="22"/>
          <w:lang w:val="fr-FR"/>
        </w:rPr>
      </w:pPr>
      <w:r w:rsidRPr="00284BF9">
        <w:rPr>
          <w:szCs w:val="22"/>
          <w:lang w:val="fr-FR"/>
        </w:rPr>
        <w:t>Établissement du lieu et de la date de la cinquante-et-unième session ordinaire de l’Assemblée générale (article 30 du Règlement de l’Assemblée générale)</w:t>
      </w:r>
    </w:p>
    <w:p w:rsidR="008644F3" w:rsidRPr="00284BF9" w:rsidRDefault="008644F3" w:rsidP="00B62274">
      <w:pPr>
        <w:ind w:right="24"/>
        <w:rPr>
          <w:szCs w:val="22"/>
          <w:lang w:val="fr-FR"/>
        </w:rPr>
      </w:pPr>
    </w:p>
    <w:p w:rsidR="008644F3" w:rsidRPr="00284BF9" w:rsidRDefault="008644F3" w:rsidP="00B62274">
      <w:pPr>
        <w:numPr>
          <w:ilvl w:val="0"/>
          <w:numId w:val="22"/>
        </w:numPr>
        <w:tabs>
          <w:tab w:val="clear" w:pos="1440"/>
        </w:tabs>
        <w:ind w:right="24"/>
        <w:rPr>
          <w:szCs w:val="22"/>
          <w:lang w:val="fr-FR"/>
        </w:rPr>
      </w:pPr>
      <w:r w:rsidRPr="00284BF9">
        <w:rPr>
          <w:szCs w:val="22"/>
          <w:lang w:val="fr-FR"/>
        </w:rPr>
        <w:t>Élection du bureau des organes, organismes et entités de l’Organisation (article 30 du Règlement de l’Assemblée générale)</w:t>
      </w:r>
    </w:p>
    <w:p w:rsidR="008644F3" w:rsidRPr="00284BF9" w:rsidRDefault="008644F3" w:rsidP="00B62274">
      <w:pPr>
        <w:ind w:right="24"/>
        <w:rPr>
          <w:szCs w:val="22"/>
          <w:lang w:val="fr-FR"/>
        </w:rPr>
      </w:pPr>
    </w:p>
    <w:p w:rsidR="008644F3" w:rsidRPr="00284BF9" w:rsidRDefault="008644F3" w:rsidP="00B62274">
      <w:pPr>
        <w:numPr>
          <w:ilvl w:val="2"/>
          <w:numId w:val="23"/>
        </w:numPr>
        <w:tabs>
          <w:tab w:val="clear" w:pos="2520"/>
        </w:tabs>
        <w:autoSpaceDE w:val="0"/>
        <w:autoSpaceDN w:val="0"/>
        <w:adjustRightInd w:val="0"/>
        <w:ind w:left="2160"/>
        <w:rPr>
          <w:szCs w:val="22"/>
          <w:lang w:val="fr-FR"/>
        </w:rPr>
      </w:pPr>
      <w:r w:rsidRPr="00284BF9">
        <w:rPr>
          <w:szCs w:val="22"/>
          <w:lang w:val="fr-FR"/>
        </w:rPr>
        <w:t>Trois membres du Comité juridique interaméricain</w:t>
      </w:r>
    </w:p>
    <w:p w:rsidR="008644F3" w:rsidRPr="00284BF9" w:rsidRDefault="008644F3" w:rsidP="00B62274">
      <w:pPr>
        <w:numPr>
          <w:ilvl w:val="2"/>
          <w:numId w:val="23"/>
        </w:numPr>
        <w:tabs>
          <w:tab w:val="clear" w:pos="2520"/>
        </w:tabs>
        <w:autoSpaceDE w:val="0"/>
        <w:autoSpaceDN w:val="0"/>
        <w:adjustRightInd w:val="0"/>
        <w:ind w:left="2160"/>
        <w:rPr>
          <w:szCs w:val="22"/>
          <w:lang w:val="fr-FR"/>
        </w:rPr>
      </w:pPr>
      <w:r w:rsidRPr="00284BF9">
        <w:rPr>
          <w:szCs w:val="22"/>
          <w:lang w:val="fr-FR"/>
        </w:rPr>
        <w:t>Trois membres du Centre d’études de la justice des Amériques</w:t>
      </w:r>
    </w:p>
    <w:p w:rsidR="008644F3" w:rsidRPr="00284BF9" w:rsidRDefault="008644F3" w:rsidP="00B62274">
      <w:pPr>
        <w:numPr>
          <w:ilvl w:val="2"/>
          <w:numId w:val="23"/>
        </w:numPr>
        <w:tabs>
          <w:tab w:val="clear" w:pos="2520"/>
        </w:tabs>
        <w:autoSpaceDE w:val="0"/>
        <w:autoSpaceDN w:val="0"/>
        <w:adjustRightInd w:val="0"/>
        <w:ind w:left="2160"/>
        <w:rPr>
          <w:szCs w:val="22"/>
          <w:lang w:val="fr-FR"/>
        </w:rPr>
      </w:pPr>
      <w:r w:rsidRPr="00284BF9">
        <w:rPr>
          <w:szCs w:val="22"/>
          <w:lang w:val="fr-FR"/>
        </w:rPr>
        <w:t>Un membre du Tribunal administratif de l’OEA</w:t>
      </w:r>
    </w:p>
    <w:p w:rsidR="008644F3" w:rsidRPr="00284BF9" w:rsidRDefault="008644F3" w:rsidP="00B62274">
      <w:pPr>
        <w:numPr>
          <w:ilvl w:val="2"/>
          <w:numId w:val="23"/>
        </w:numPr>
        <w:tabs>
          <w:tab w:val="clear" w:pos="2520"/>
        </w:tabs>
        <w:autoSpaceDE w:val="0"/>
        <w:autoSpaceDN w:val="0"/>
        <w:adjustRightInd w:val="0"/>
        <w:ind w:left="2160"/>
        <w:rPr>
          <w:szCs w:val="22"/>
          <w:lang w:val="fr-FR"/>
        </w:rPr>
      </w:pPr>
      <w:r w:rsidRPr="00284BF9">
        <w:rPr>
          <w:szCs w:val="22"/>
          <w:lang w:val="fr-FR"/>
        </w:rPr>
        <w:t>Un membre de la Commission des vérificateurs extérieurs de l’OEA</w:t>
      </w:r>
    </w:p>
    <w:p w:rsidR="008644F3" w:rsidRPr="00284BF9" w:rsidRDefault="008644F3" w:rsidP="00B62274">
      <w:pPr>
        <w:autoSpaceDE w:val="0"/>
        <w:autoSpaceDN w:val="0"/>
        <w:adjustRightInd w:val="0"/>
        <w:ind w:right="24"/>
        <w:rPr>
          <w:szCs w:val="22"/>
          <w:lang w:val="fr-FR"/>
        </w:rPr>
      </w:pPr>
    </w:p>
    <w:p w:rsidR="008644F3" w:rsidRPr="00284BF9" w:rsidRDefault="008644F3" w:rsidP="00B62274">
      <w:pPr>
        <w:numPr>
          <w:ilvl w:val="0"/>
          <w:numId w:val="22"/>
        </w:numPr>
        <w:tabs>
          <w:tab w:val="clear" w:pos="1440"/>
        </w:tabs>
        <w:ind w:right="24"/>
        <w:rPr>
          <w:szCs w:val="22"/>
          <w:lang w:val="fr-FR"/>
        </w:rPr>
      </w:pPr>
      <w:r w:rsidRPr="00284BF9">
        <w:rPr>
          <w:szCs w:val="22"/>
          <w:lang w:val="fr-FR"/>
        </w:rPr>
        <w:t>La question des îles Malouines [AG/DEC. 70 (XLII-O/12)]</w:t>
      </w:r>
    </w:p>
    <w:p w:rsidR="008644F3" w:rsidRPr="00284BF9" w:rsidRDefault="008644F3" w:rsidP="00B62274">
      <w:pPr>
        <w:ind w:right="24"/>
        <w:rPr>
          <w:szCs w:val="22"/>
          <w:lang w:val="fr-FR"/>
        </w:rPr>
      </w:pPr>
    </w:p>
    <w:p w:rsidR="00577FCC" w:rsidRDefault="008644F3" w:rsidP="00B62274">
      <w:pPr>
        <w:numPr>
          <w:ilvl w:val="0"/>
          <w:numId w:val="22"/>
        </w:numPr>
        <w:tabs>
          <w:tab w:val="clear" w:pos="1440"/>
        </w:tabs>
        <w:ind w:right="24"/>
        <w:rPr>
          <w:szCs w:val="22"/>
          <w:lang w:val="fr-FR"/>
        </w:rPr>
      </w:pPr>
      <w:r w:rsidRPr="00284BF9">
        <w:rPr>
          <w:szCs w:val="22"/>
          <w:lang w:val="fr-FR"/>
        </w:rPr>
        <w:t>Projet de résolution : « Promotion et protection des droits de la personne »</w:t>
      </w:r>
    </w:p>
    <w:p w:rsidR="00577FCC" w:rsidRDefault="00577FCC" w:rsidP="00577FCC">
      <w:pPr>
        <w:pStyle w:val="ListParagraph"/>
        <w:rPr>
          <w:szCs w:val="22"/>
          <w:lang w:val="fr-FR"/>
        </w:rPr>
      </w:pPr>
    </w:p>
    <w:p w:rsidR="008644F3" w:rsidRDefault="008644F3" w:rsidP="00B62274">
      <w:pPr>
        <w:numPr>
          <w:ilvl w:val="0"/>
          <w:numId w:val="22"/>
        </w:numPr>
        <w:tabs>
          <w:tab w:val="clear" w:pos="1440"/>
        </w:tabs>
        <w:ind w:right="24"/>
        <w:rPr>
          <w:szCs w:val="22"/>
          <w:lang w:val="fr-FR"/>
        </w:rPr>
      </w:pPr>
      <w:r w:rsidRPr="00284BF9">
        <w:rPr>
          <w:szCs w:val="22"/>
          <w:lang w:val="fr-FR"/>
        </w:rPr>
        <w:t xml:space="preserve">Projet de résolution : « Renforcement de la démocratie » </w:t>
      </w:r>
    </w:p>
    <w:p w:rsidR="00577FCC" w:rsidRDefault="00577FCC" w:rsidP="00577FCC">
      <w:pPr>
        <w:pStyle w:val="ListParagraph"/>
        <w:rPr>
          <w:szCs w:val="22"/>
          <w:lang w:val="fr-FR"/>
        </w:rPr>
      </w:pPr>
    </w:p>
    <w:p w:rsidR="008644F3" w:rsidRDefault="008644F3" w:rsidP="00B62274">
      <w:pPr>
        <w:numPr>
          <w:ilvl w:val="0"/>
          <w:numId w:val="22"/>
        </w:numPr>
        <w:tabs>
          <w:tab w:val="clear" w:pos="1440"/>
        </w:tabs>
        <w:ind w:right="24"/>
        <w:rPr>
          <w:szCs w:val="22"/>
          <w:lang w:val="fr-FR"/>
        </w:rPr>
      </w:pPr>
      <w:r w:rsidRPr="00284BF9">
        <w:rPr>
          <w:szCs w:val="22"/>
          <w:lang w:val="fr-FR"/>
        </w:rPr>
        <w:t>Projet de résolution : « Droit international »</w:t>
      </w:r>
    </w:p>
    <w:p w:rsidR="00577FCC" w:rsidRDefault="00577FCC" w:rsidP="00577FCC">
      <w:pPr>
        <w:pStyle w:val="ListParagraph"/>
        <w:rPr>
          <w:szCs w:val="22"/>
          <w:lang w:val="fr-FR"/>
        </w:rPr>
      </w:pPr>
    </w:p>
    <w:p w:rsidR="008644F3" w:rsidRDefault="008644F3" w:rsidP="00B62274">
      <w:pPr>
        <w:numPr>
          <w:ilvl w:val="0"/>
          <w:numId w:val="22"/>
        </w:numPr>
        <w:tabs>
          <w:tab w:val="clear" w:pos="1440"/>
        </w:tabs>
        <w:ind w:right="24"/>
        <w:rPr>
          <w:szCs w:val="22"/>
          <w:lang w:val="fr-FR"/>
        </w:rPr>
      </w:pPr>
      <w:r w:rsidRPr="00284BF9">
        <w:rPr>
          <w:szCs w:val="22"/>
          <w:lang w:val="fr-FR"/>
        </w:rPr>
        <w:t>Projet de résolution : « Actualisation des procédures du Conseil permanent et de ses organes subsidiaires »</w:t>
      </w:r>
    </w:p>
    <w:p w:rsidR="00577FCC" w:rsidRDefault="00577FCC" w:rsidP="00577FCC">
      <w:pPr>
        <w:pStyle w:val="ListParagraph"/>
        <w:rPr>
          <w:szCs w:val="22"/>
          <w:lang w:val="fr-FR"/>
        </w:rPr>
      </w:pPr>
    </w:p>
    <w:p w:rsidR="008644F3" w:rsidRDefault="008644F3" w:rsidP="00B62274">
      <w:pPr>
        <w:numPr>
          <w:ilvl w:val="0"/>
          <w:numId w:val="22"/>
        </w:numPr>
        <w:tabs>
          <w:tab w:val="clear" w:pos="1440"/>
        </w:tabs>
        <w:ind w:right="24"/>
        <w:rPr>
          <w:szCs w:val="22"/>
          <w:lang w:val="fr-FR"/>
        </w:rPr>
      </w:pPr>
      <w:r w:rsidRPr="00284BF9">
        <w:rPr>
          <w:szCs w:val="22"/>
          <w:lang w:val="fr-FR"/>
        </w:rPr>
        <w:t>Projet de résolution : « Promotion de la sécurité continentale : une approche multidimensionnelle »</w:t>
      </w:r>
    </w:p>
    <w:p w:rsidR="00577FCC" w:rsidRDefault="00577FCC" w:rsidP="00577FCC">
      <w:pPr>
        <w:pStyle w:val="ListParagraph"/>
        <w:rPr>
          <w:szCs w:val="22"/>
          <w:lang w:val="fr-FR"/>
        </w:rPr>
      </w:pPr>
    </w:p>
    <w:p w:rsidR="008644F3" w:rsidRDefault="008644F3" w:rsidP="00B62274">
      <w:pPr>
        <w:numPr>
          <w:ilvl w:val="0"/>
          <w:numId w:val="22"/>
        </w:numPr>
        <w:tabs>
          <w:tab w:val="clear" w:pos="1440"/>
        </w:tabs>
        <w:ind w:right="24"/>
        <w:rPr>
          <w:szCs w:val="22"/>
          <w:lang w:val="fr-FR"/>
        </w:rPr>
      </w:pPr>
      <w:r w:rsidRPr="00284BF9">
        <w:rPr>
          <w:szCs w:val="22"/>
          <w:lang w:val="fr-FR"/>
        </w:rPr>
        <w:t xml:space="preserve">Projet de résolution : « Programme-budget 2021 de l’Organisation » </w:t>
      </w:r>
    </w:p>
    <w:p w:rsidR="00577FCC" w:rsidRDefault="00577FCC" w:rsidP="00577FCC">
      <w:pPr>
        <w:pStyle w:val="ListParagraph"/>
        <w:rPr>
          <w:szCs w:val="22"/>
          <w:lang w:val="fr-FR"/>
        </w:rPr>
      </w:pPr>
    </w:p>
    <w:p w:rsidR="008644F3" w:rsidRPr="00577FCC" w:rsidRDefault="008644F3" w:rsidP="00B62274">
      <w:pPr>
        <w:numPr>
          <w:ilvl w:val="0"/>
          <w:numId w:val="22"/>
        </w:numPr>
        <w:tabs>
          <w:tab w:val="clear" w:pos="1440"/>
        </w:tabs>
        <w:ind w:right="24"/>
        <w:rPr>
          <w:bCs/>
          <w:szCs w:val="22"/>
          <w:lang w:val="fr-FR"/>
        </w:rPr>
      </w:pPr>
      <w:r w:rsidRPr="00284BF9">
        <w:rPr>
          <w:szCs w:val="22"/>
          <w:lang w:val="fr-FR"/>
        </w:rPr>
        <w:t>Projet de résolution : « Soutien et suivi du processus des Sommets des Amériques »</w:t>
      </w:r>
    </w:p>
    <w:p w:rsidR="00577FCC" w:rsidRDefault="00577FCC" w:rsidP="00577FCC">
      <w:pPr>
        <w:pStyle w:val="ListParagraph"/>
        <w:rPr>
          <w:bCs/>
          <w:szCs w:val="22"/>
          <w:lang w:val="fr-FR"/>
        </w:rPr>
      </w:pPr>
    </w:p>
    <w:p w:rsidR="008644F3" w:rsidRDefault="008644F3" w:rsidP="00B62274">
      <w:pPr>
        <w:numPr>
          <w:ilvl w:val="0"/>
          <w:numId w:val="22"/>
        </w:numPr>
        <w:tabs>
          <w:tab w:val="clear" w:pos="1440"/>
        </w:tabs>
        <w:ind w:right="24"/>
        <w:rPr>
          <w:szCs w:val="22"/>
          <w:lang w:val="fr-FR"/>
        </w:rPr>
      </w:pPr>
      <w:r w:rsidRPr="00284BF9">
        <w:rPr>
          <w:szCs w:val="22"/>
          <w:lang w:val="fr-FR"/>
        </w:rPr>
        <w:t>Projet de résolution : « Accroissement et renforcement de la participation de la société civile et des acteurs sociaux aux activités de l’Organisation des États Américains et au processus des Sommets des Amériques »</w:t>
      </w:r>
    </w:p>
    <w:p w:rsidR="00577FCC" w:rsidRDefault="00577FCC" w:rsidP="00577FCC">
      <w:pPr>
        <w:pStyle w:val="ListParagraph"/>
        <w:rPr>
          <w:szCs w:val="22"/>
          <w:lang w:val="fr-FR"/>
        </w:rPr>
      </w:pPr>
    </w:p>
    <w:p w:rsidR="00C52091" w:rsidRPr="00EF4FFA" w:rsidRDefault="008644F3" w:rsidP="00984A67">
      <w:pPr>
        <w:numPr>
          <w:ilvl w:val="0"/>
          <w:numId w:val="22"/>
        </w:numPr>
        <w:tabs>
          <w:tab w:val="clear" w:pos="1440"/>
        </w:tabs>
        <w:ind w:right="24"/>
        <w:rPr>
          <w:szCs w:val="22"/>
          <w:lang w:val="fr-FR"/>
        </w:rPr>
      </w:pPr>
      <w:r w:rsidRPr="00EF4FFA">
        <w:rPr>
          <w:szCs w:val="22"/>
          <w:lang w:val="fr-FR"/>
        </w:rPr>
        <w:t>Projet de résolution : « Encourager les initiatives continentales en matière de développement intégré : promotion de la résilience »</w:t>
      </w:r>
    </w:p>
    <w:p w:rsidR="008644F3" w:rsidRPr="00284BF9" w:rsidRDefault="008644F3" w:rsidP="00577FCC">
      <w:pPr>
        <w:numPr>
          <w:ilvl w:val="0"/>
          <w:numId w:val="22"/>
        </w:numPr>
        <w:tabs>
          <w:tab w:val="clear" w:pos="1440"/>
        </w:tabs>
        <w:ind w:right="24"/>
        <w:rPr>
          <w:szCs w:val="22"/>
          <w:lang w:val="fr-FR"/>
        </w:rPr>
      </w:pPr>
      <w:r w:rsidRPr="00284BF9">
        <w:rPr>
          <w:szCs w:val="22"/>
          <w:lang w:val="fr-FR"/>
        </w:rPr>
        <w:lastRenderedPageBreak/>
        <w:t>Charte interaméricaine de développement des entreprises</w:t>
      </w:r>
    </w:p>
    <w:p w:rsidR="008644F3" w:rsidRPr="00284BF9" w:rsidRDefault="008644F3" w:rsidP="00B62274">
      <w:pPr>
        <w:ind w:right="24"/>
        <w:rPr>
          <w:szCs w:val="22"/>
          <w:lang w:val="fr-FR"/>
        </w:rPr>
      </w:pPr>
    </w:p>
    <w:p w:rsidR="008644F3" w:rsidRPr="00284BF9" w:rsidRDefault="008644F3" w:rsidP="00577FCC">
      <w:pPr>
        <w:numPr>
          <w:ilvl w:val="0"/>
          <w:numId w:val="22"/>
        </w:numPr>
        <w:tabs>
          <w:tab w:val="clear" w:pos="1440"/>
        </w:tabs>
        <w:ind w:right="24"/>
        <w:rPr>
          <w:szCs w:val="22"/>
          <w:lang w:val="fr-FR"/>
        </w:rPr>
      </w:pPr>
      <w:r w:rsidRPr="00284BF9">
        <w:rPr>
          <w:szCs w:val="22"/>
          <w:lang w:val="fr-FR"/>
        </w:rPr>
        <w:t>La situation en République bolivarienne du Venezuela</w:t>
      </w:r>
      <w:r w:rsidR="00CD62FD" w:rsidRPr="00577FCC">
        <w:rPr>
          <w:u w:val="single"/>
          <w:vertAlign w:val="superscript"/>
        </w:rPr>
        <w:footnoteReference w:id="2"/>
      </w:r>
      <w:r w:rsidR="00CD62FD" w:rsidRPr="00577FCC">
        <w:rPr>
          <w:szCs w:val="22"/>
          <w:vertAlign w:val="superscript"/>
          <w:lang w:val="fr-FR"/>
        </w:rPr>
        <w:t>/</w:t>
      </w:r>
    </w:p>
    <w:p w:rsidR="008644F3" w:rsidRPr="00284BF9" w:rsidRDefault="008644F3" w:rsidP="00577FCC">
      <w:pPr>
        <w:ind w:left="1440" w:right="24"/>
        <w:rPr>
          <w:szCs w:val="22"/>
          <w:lang w:val="fr-FR"/>
        </w:rPr>
      </w:pPr>
    </w:p>
    <w:p w:rsidR="008644F3" w:rsidRDefault="008644F3" w:rsidP="00E208D8">
      <w:pPr>
        <w:numPr>
          <w:ilvl w:val="0"/>
          <w:numId w:val="22"/>
        </w:numPr>
        <w:tabs>
          <w:tab w:val="clear" w:pos="1440"/>
        </w:tabs>
        <w:ind w:right="24"/>
        <w:rPr>
          <w:szCs w:val="22"/>
          <w:lang w:val="fr-FR"/>
        </w:rPr>
      </w:pPr>
      <w:r w:rsidRPr="00577FCC">
        <w:rPr>
          <w:szCs w:val="22"/>
          <w:lang w:val="fr-FR"/>
        </w:rPr>
        <w:t>La situation au Nicaragua</w:t>
      </w:r>
      <w:r w:rsidR="00CD62FD" w:rsidRPr="00577FCC">
        <w:rPr>
          <w:u w:val="single"/>
          <w:vertAlign w:val="superscript"/>
        </w:rPr>
        <w:footnoteReference w:id="3"/>
      </w:r>
      <w:r w:rsidR="00CD62FD" w:rsidRPr="00577FCC">
        <w:rPr>
          <w:szCs w:val="22"/>
          <w:vertAlign w:val="superscript"/>
          <w:lang w:val="fr-FR"/>
        </w:rPr>
        <w:t>/</w:t>
      </w:r>
    </w:p>
    <w:p w:rsidR="00577FCC" w:rsidRDefault="00577FCC" w:rsidP="00577FCC">
      <w:pPr>
        <w:ind w:left="1440" w:right="24"/>
        <w:rPr>
          <w:szCs w:val="22"/>
          <w:lang w:val="fr-FR"/>
        </w:rPr>
      </w:pPr>
    </w:p>
    <w:p w:rsidR="008644F3" w:rsidRPr="00284BF9" w:rsidRDefault="008644F3" w:rsidP="00577FCC">
      <w:pPr>
        <w:numPr>
          <w:ilvl w:val="0"/>
          <w:numId w:val="22"/>
        </w:numPr>
        <w:tabs>
          <w:tab w:val="clear" w:pos="1440"/>
        </w:tabs>
        <w:ind w:right="24"/>
        <w:rPr>
          <w:szCs w:val="22"/>
          <w:lang w:val="fr-FR"/>
        </w:rPr>
      </w:pPr>
      <w:r w:rsidRPr="00284BF9">
        <w:rPr>
          <w:szCs w:val="22"/>
          <w:lang w:val="fr-FR"/>
        </w:rPr>
        <w:t>Les défis pour la sécurité alimentaire et nutritionnelle dans les Amériques face à la pandémie de COVID-19 dans le cadre du Plan d’action de Guatemala 2019</w:t>
      </w:r>
    </w:p>
    <w:p w:rsidR="008644F3" w:rsidRPr="00284BF9" w:rsidRDefault="008644F3" w:rsidP="00577FCC">
      <w:pPr>
        <w:ind w:left="1440"/>
        <w:rPr>
          <w:szCs w:val="22"/>
          <w:lang w:val="fr-FR"/>
        </w:rPr>
      </w:pPr>
    </w:p>
    <w:p w:rsidR="008644F3" w:rsidRPr="00284BF9" w:rsidRDefault="008644F3" w:rsidP="00577FCC">
      <w:pPr>
        <w:numPr>
          <w:ilvl w:val="0"/>
          <w:numId w:val="22"/>
        </w:numPr>
        <w:tabs>
          <w:tab w:val="clear" w:pos="1440"/>
        </w:tabs>
        <w:ind w:right="24"/>
        <w:rPr>
          <w:szCs w:val="22"/>
          <w:lang w:val="fr-FR"/>
        </w:rPr>
      </w:pPr>
      <w:r w:rsidRPr="00284BF9">
        <w:rPr>
          <w:szCs w:val="22"/>
          <w:lang w:val="fr-FR"/>
        </w:rPr>
        <w:t>Promotion de la riposte continentale au changement climatique dans le contexte de la pandémie de</w:t>
      </w:r>
      <w:r w:rsidR="00577FCC">
        <w:rPr>
          <w:szCs w:val="22"/>
          <w:lang w:val="fr-FR"/>
        </w:rPr>
        <w:t xml:space="preserve"> COVID-19</w:t>
      </w:r>
    </w:p>
    <w:p w:rsidR="00284BF9" w:rsidRPr="00577FCC" w:rsidRDefault="00284BF9" w:rsidP="00577FCC">
      <w:pPr>
        <w:pStyle w:val="ListParagraph"/>
        <w:ind w:left="1440"/>
        <w:rPr>
          <w:sz w:val="22"/>
          <w:szCs w:val="22"/>
          <w:lang w:val="fr-FR"/>
        </w:rPr>
      </w:pPr>
    </w:p>
    <w:p w:rsidR="00284BF9" w:rsidRDefault="00284BF9" w:rsidP="00577FCC">
      <w:pPr>
        <w:numPr>
          <w:ilvl w:val="0"/>
          <w:numId w:val="22"/>
        </w:numPr>
        <w:tabs>
          <w:tab w:val="clear" w:pos="1440"/>
        </w:tabs>
        <w:ind w:right="24"/>
        <w:rPr>
          <w:szCs w:val="22"/>
          <w:lang w:val="fr-FR"/>
        </w:rPr>
      </w:pPr>
      <w:r w:rsidRPr="00577FCC">
        <w:rPr>
          <w:szCs w:val="22"/>
          <w:lang w:val="fr-FR"/>
        </w:rPr>
        <w:t>Projet de résolution : « Rôle prioritaire de l’Organisation des États Américains dans le développement des télécommunications/technologies de l’information et des communications par l’intermédiaire de la Commission interaméricaine des télécommunications (CITEL) » </w:t>
      </w:r>
    </w:p>
    <w:p w:rsidR="004E085C" w:rsidRDefault="004E085C" w:rsidP="004E085C">
      <w:pPr>
        <w:pStyle w:val="ListParagraph"/>
        <w:rPr>
          <w:szCs w:val="22"/>
          <w:lang w:val="fr-FR"/>
        </w:rPr>
      </w:pPr>
    </w:p>
    <w:p w:rsidR="004E085C" w:rsidRPr="004E085C" w:rsidRDefault="004E085C" w:rsidP="004E085C">
      <w:pPr>
        <w:numPr>
          <w:ilvl w:val="0"/>
          <w:numId w:val="22"/>
        </w:numPr>
        <w:tabs>
          <w:tab w:val="clear" w:pos="1440"/>
        </w:tabs>
        <w:ind w:right="24"/>
        <w:rPr>
          <w:szCs w:val="22"/>
          <w:lang w:val="fr-FR"/>
        </w:rPr>
      </w:pPr>
      <w:r>
        <w:rPr>
          <w:szCs w:val="22"/>
          <w:lang w:val="fr-FR"/>
        </w:rPr>
        <w:t>Renforcement de la participation des observateurs permanents aux activités de l’Organisation des États Américains</w:t>
      </w:r>
    </w:p>
    <w:p w:rsidR="008644F3" w:rsidRPr="00284BF9" w:rsidRDefault="008644F3" w:rsidP="00577FCC">
      <w:pPr>
        <w:ind w:left="1440"/>
        <w:rPr>
          <w:szCs w:val="22"/>
          <w:lang w:val="fr-FR"/>
        </w:rPr>
      </w:pPr>
    </w:p>
    <w:p w:rsidR="008644F3" w:rsidRPr="00284BF9" w:rsidRDefault="008644F3" w:rsidP="00B62274">
      <w:pPr>
        <w:jc w:val="left"/>
        <w:rPr>
          <w:szCs w:val="22"/>
          <w:lang w:val="fr-FR"/>
        </w:rPr>
      </w:pPr>
      <w:r w:rsidRPr="00284BF9">
        <w:rPr>
          <w:szCs w:val="22"/>
          <w:lang w:val="fr-FR"/>
        </w:rPr>
        <w:br w:type="page"/>
      </w:r>
    </w:p>
    <w:p w:rsidR="008644F3" w:rsidRPr="00284BF9" w:rsidRDefault="008644F3" w:rsidP="00B62274">
      <w:pPr>
        <w:ind w:right="24"/>
        <w:jc w:val="center"/>
        <w:rPr>
          <w:sz w:val="20"/>
          <w:lang w:val="fr-FR"/>
        </w:rPr>
      </w:pPr>
      <w:r w:rsidRPr="00284BF9">
        <w:rPr>
          <w:sz w:val="20"/>
          <w:lang w:val="fr-FR"/>
        </w:rPr>
        <w:lastRenderedPageBreak/>
        <w:t>NOTE</w:t>
      </w:r>
      <w:r w:rsidR="00C52091">
        <w:rPr>
          <w:sz w:val="20"/>
          <w:lang w:val="fr-FR"/>
        </w:rPr>
        <w:t>S</w:t>
      </w:r>
      <w:r w:rsidRPr="00284BF9">
        <w:rPr>
          <w:sz w:val="20"/>
          <w:lang w:val="fr-FR"/>
        </w:rPr>
        <w:t xml:space="preserve"> DE BAS DE PAGE</w:t>
      </w:r>
    </w:p>
    <w:p w:rsidR="008644F3" w:rsidRPr="00284BF9" w:rsidRDefault="008644F3" w:rsidP="00B62274">
      <w:pPr>
        <w:ind w:right="24"/>
        <w:rPr>
          <w:sz w:val="20"/>
          <w:lang w:val="fr-FR"/>
        </w:rPr>
      </w:pPr>
    </w:p>
    <w:p w:rsidR="008644F3" w:rsidRPr="00284BF9" w:rsidRDefault="008644F3" w:rsidP="00B62274">
      <w:pPr>
        <w:ind w:right="24"/>
        <w:rPr>
          <w:sz w:val="20"/>
          <w:lang w:val="fr-FR"/>
        </w:rPr>
      </w:pPr>
    </w:p>
    <w:p w:rsidR="00CD62FD" w:rsidRPr="00CD62FD" w:rsidRDefault="008644F3" w:rsidP="00CD62FD">
      <w:pPr>
        <w:ind w:left="720" w:hanging="360"/>
        <w:rPr>
          <w:color w:val="000000" w:themeColor="text1"/>
          <w:sz w:val="20"/>
          <w:lang w:val="fr-FR"/>
        </w:rPr>
      </w:pPr>
      <w:r w:rsidRPr="00284BF9">
        <w:rPr>
          <w:sz w:val="20"/>
          <w:lang w:val="fr-FR"/>
        </w:rPr>
        <w:tab/>
      </w:r>
      <w:r w:rsidR="00CD62FD">
        <w:rPr>
          <w:sz w:val="20"/>
          <w:lang w:val="fr-FR"/>
        </w:rPr>
        <w:t>1.</w:t>
      </w:r>
      <w:r w:rsidR="00CD62FD">
        <w:rPr>
          <w:sz w:val="20"/>
          <w:lang w:val="fr-FR"/>
        </w:rPr>
        <w:tab/>
        <w:t xml:space="preserve">… </w:t>
      </w:r>
      <w:r w:rsidR="00CD62FD" w:rsidRPr="00CD62FD">
        <w:rPr>
          <w:color w:val="000000" w:themeColor="text1"/>
          <w:sz w:val="20"/>
          <w:lang w:val="fr-FR"/>
        </w:rPr>
        <w:t xml:space="preserve">de la cinquantième session ordinaire de l'Assemblée générale. </w:t>
      </w:r>
    </w:p>
    <w:p w:rsidR="00CD62FD" w:rsidRPr="00CD62FD" w:rsidRDefault="00CD62FD" w:rsidP="00CD62FD">
      <w:pPr>
        <w:ind w:left="720" w:hanging="360"/>
        <w:rPr>
          <w:color w:val="000000" w:themeColor="text1"/>
          <w:sz w:val="20"/>
          <w:lang w:val="fr-FR"/>
        </w:rPr>
      </w:pPr>
    </w:p>
    <w:p w:rsidR="00CD62FD" w:rsidRPr="00CD62FD" w:rsidRDefault="00CD62FD" w:rsidP="00CD62FD">
      <w:pPr>
        <w:ind w:firstLine="720"/>
        <w:rPr>
          <w:color w:val="000000" w:themeColor="text1"/>
          <w:sz w:val="20"/>
          <w:lang w:val="fr-FR"/>
        </w:rPr>
      </w:pPr>
      <w:r w:rsidRPr="00CD62FD">
        <w:rPr>
          <w:color w:val="000000" w:themeColor="text1"/>
          <w:sz w:val="20"/>
          <w:lang w:val="fr-FR"/>
        </w:rPr>
        <w:t xml:space="preserve">Nous estimons que ces points sont de nature à constituer une ingérence et ne tiennent pas compte des buts et principes de la Charte des Nations Unies, de la nature et des buts de la Charte de l'OEA et des principes du droit international. </w:t>
      </w:r>
    </w:p>
    <w:p w:rsidR="00CD62FD" w:rsidRPr="00CD62FD" w:rsidRDefault="00CD62FD" w:rsidP="00CD62FD">
      <w:pPr>
        <w:ind w:left="720" w:hanging="360"/>
        <w:rPr>
          <w:color w:val="000000" w:themeColor="text1"/>
          <w:sz w:val="20"/>
          <w:lang w:val="fr-FR"/>
        </w:rPr>
      </w:pPr>
    </w:p>
    <w:p w:rsidR="008644F3" w:rsidRPr="00284BF9" w:rsidRDefault="00CD62FD" w:rsidP="00CD62FD">
      <w:pPr>
        <w:ind w:firstLine="720"/>
        <w:rPr>
          <w:rFonts w:eastAsia="Calibri"/>
          <w:sz w:val="20"/>
          <w:lang w:val="fr-FR"/>
        </w:rPr>
      </w:pPr>
      <w:r>
        <w:rPr>
          <w:sz w:val="20"/>
          <w:lang w:val="fr-FR"/>
        </w:rPr>
        <w:t>2</w:t>
      </w:r>
      <w:r w:rsidR="008644F3" w:rsidRPr="00284BF9">
        <w:rPr>
          <w:sz w:val="20"/>
          <w:lang w:val="fr-FR"/>
        </w:rPr>
        <w:t>.</w:t>
      </w:r>
      <w:r w:rsidR="008644F3" w:rsidRPr="00284BF9">
        <w:rPr>
          <w:sz w:val="20"/>
          <w:lang w:val="fr-FR"/>
        </w:rPr>
        <w:tab/>
        <w:t xml:space="preserve">… générale des thèmes : </w:t>
      </w:r>
      <w:r w:rsidR="008644F3" w:rsidRPr="00284BF9">
        <w:rPr>
          <w:rFonts w:eastAsia="Calibri"/>
          <w:sz w:val="20"/>
          <w:lang w:val="fr-FR"/>
        </w:rPr>
        <w:t xml:space="preserve">“La situation au Nicaragua” et “La situation </w:t>
      </w:r>
      <w:r w:rsidR="00F55F67">
        <w:rPr>
          <w:rFonts w:eastAsia="Calibri"/>
          <w:sz w:val="20"/>
          <w:lang w:val="fr-FR"/>
        </w:rPr>
        <w:t>en</w:t>
      </w:r>
      <w:r w:rsidR="008644F3" w:rsidRPr="00284BF9">
        <w:rPr>
          <w:rFonts w:eastAsia="Calibri"/>
          <w:sz w:val="20"/>
          <w:lang w:val="fr-FR"/>
        </w:rPr>
        <w:t xml:space="preserve"> République bolivarienne du Venezuela”, car ils constituent de l’ingérence et sont en violation avec les buts et principes de la Charte des Nations Unies, avec la nature et les buts de la Charte de l’OEA et avec les principes du droit international. </w:t>
      </w:r>
    </w:p>
    <w:p w:rsidR="008644F3" w:rsidRPr="00284BF9" w:rsidRDefault="008644F3" w:rsidP="00B62274">
      <w:pPr>
        <w:rPr>
          <w:rFonts w:eastAsia="Calibri"/>
          <w:sz w:val="20"/>
          <w:lang w:val="fr-FR"/>
        </w:rPr>
      </w:pPr>
    </w:p>
    <w:p w:rsidR="008644F3" w:rsidRPr="00284BF9" w:rsidRDefault="008644F3" w:rsidP="00B62274">
      <w:pPr>
        <w:ind w:firstLine="720"/>
        <w:rPr>
          <w:rFonts w:eastAsia="Calibri"/>
          <w:sz w:val="20"/>
          <w:lang w:val="fr-FR"/>
        </w:rPr>
      </w:pPr>
      <w:r w:rsidRPr="00284BF9">
        <w:rPr>
          <w:rFonts w:eastAsia="Calibri"/>
          <w:sz w:val="20"/>
          <w:lang w:val="fr-FR"/>
        </w:rPr>
        <w:t xml:space="preserve">Aucun État ou groupe d’États n’a le droit d’intervenir, directement ou indirectement, et pour quel que motif que ce soit, dans les affaires internes ou externes de tout autre. Le principe susmentionné exclut non seulement la force armée mais également toute autre ingérence ou tendance qui attente à la personnalité de l’État, des éléments politiques, économiques et culturels qui le constituent. </w:t>
      </w:r>
    </w:p>
    <w:p w:rsidR="008644F3" w:rsidRPr="00284BF9" w:rsidRDefault="008644F3" w:rsidP="00B62274">
      <w:pPr>
        <w:rPr>
          <w:rFonts w:eastAsia="Calibri"/>
          <w:sz w:val="20"/>
          <w:lang w:val="fr-FR"/>
        </w:rPr>
      </w:pPr>
    </w:p>
    <w:p w:rsidR="008644F3" w:rsidRPr="00284BF9" w:rsidRDefault="008644F3" w:rsidP="00B62274">
      <w:pPr>
        <w:ind w:firstLine="720"/>
        <w:rPr>
          <w:rFonts w:eastAsia="Calibri"/>
          <w:sz w:val="20"/>
          <w:lang w:val="fr-FR"/>
        </w:rPr>
      </w:pPr>
      <w:r w:rsidRPr="00284BF9">
        <w:rPr>
          <w:rFonts w:eastAsia="Calibri"/>
          <w:sz w:val="20"/>
          <w:lang w:val="fr-FR"/>
        </w:rPr>
        <w:t>Prétendre utiliser d’autres pays pour dévier l’attention de la pression et du désastre sanitaire, économique, politiq</w:t>
      </w:r>
      <w:bookmarkStart w:id="0" w:name="_GoBack"/>
      <w:bookmarkEnd w:id="0"/>
      <w:r w:rsidRPr="00284BF9">
        <w:rPr>
          <w:rFonts w:eastAsia="Calibri"/>
          <w:sz w:val="20"/>
          <w:lang w:val="fr-FR"/>
        </w:rPr>
        <w:t xml:space="preserve">ue et social qui existent dans les pays qui ont coparrainé ces propositions est honteux et flagrant et constitue une agression et un acte hostile contre la République du Nicaragua, laquelle n’a pas demandé ce point, et la République bolivarienne du Venezuela, pays qui n’appartient plus à l’OEA depuis longtemps. </w:t>
      </w:r>
    </w:p>
    <w:p w:rsidR="008644F3" w:rsidRPr="00284BF9" w:rsidRDefault="008644F3" w:rsidP="00B62274">
      <w:pPr>
        <w:rPr>
          <w:rFonts w:eastAsia="Calibri"/>
          <w:sz w:val="20"/>
          <w:lang w:val="fr-FR"/>
        </w:rPr>
      </w:pPr>
      <w:r w:rsidRPr="00284BF9">
        <w:rPr>
          <w:rFonts w:eastAsia="Calibri"/>
          <w:sz w:val="20"/>
          <w:lang w:val="fr-FR"/>
        </w:rPr>
        <w:t xml:space="preserve"> </w:t>
      </w:r>
    </w:p>
    <w:p w:rsidR="008644F3" w:rsidRPr="00284BF9" w:rsidRDefault="008644F3" w:rsidP="00B62274">
      <w:pPr>
        <w:ind w:firstLine="720"/>
        <w:rPr>
          <w:rFonts w:eastAsia="Calibri"/>
          <w:sz w:val="20"/>
          <w:lang w:val="fr-FR"/>
        </w:rPr>
      </w:pPr>
      <w:r w:rsidRPr="00284BF9">
        <w:rPr>
          <w:rFonts w:eastAsia="Calibri"/>
          <w:sz w:val="20"/>
          <w:lang w:val="fr-FR"/>
        </w:rPr>
        <w:t>Il y a des problèmes plus urgents que s’occuper de la pandémie du coronavirus qui affecte de nombreux pays du monde, jusqu’à maintenant plus de 19 millions de personnes ont été contaminées et le nombre de morts à cause de la COVID-19 dépasse déjà 700 714 dans le monde, selon les calculs de l’Université John Hopkins, les États-Unis étant en tête avec 156 807 morts.</w:t>
      </w:r>
    </w:p>
    <w:p w:rsidR="008644F3" w:rsidRPr="00284BF9" w:rsidRDefault="008644F3" w:rsidP="00B62274">
      <w:pPr>
        <w:rPr>
          <w:rFonts w:eastAsia="Calibri"/>
          <w:sz w:val="20"/>
          <w:lang w:val="fr-FR"/>
        </w:rPr>
      </w:pPr>
    </w:p>
    <w:p w:rsidR="008644F3" w:rsidRPr="00284BF9" w:rsidRDefault="008644F3" w:rsidP="00B62274">
      <w:pPr>
        <w:ind w:firstLine="720"/>
        <w:rPr>
          <w:rFonts w:eastAsia="Calibri"/>
          <w:sz w:val="20"/>
          <w:lang w:val="fr-FR"/>
        </w:rPr>
      </w:pPr>
      <w:r w:rsidRPr="00284BF9">
        <w:rPr>
          <w:rFonts w:eastAsia="Calibri"/>
          <w:sz w:val="20"/>
          <w:lang w:val="fr-FR"/>
        </w:rPr>
        <w:t xml:space="preserve">Elle affecte en particulier les pays d’Amérique latine et de la Caraïbe, qui ont été affectés sérieusement par cette pandémie, et en particulier les États-Unis, avec 4,8 millions de personnes contaminées et 35 États à risque de contagion élevé, sans compter la tragédie humanitaire de milliers de familles latino-américaines et afro-américaines pour lesquelles les indices de différences raciales sont disproportionnés, qui sont victimes de racisme, qui n’ont pas d’assurance médicale pour les soins de santé, qui sont sans travail, sans nourriture et en danger d’être expulsées de leurs demeures.  </w:t>
      </w:r>
    </w:p>
    <w:p w:rsidR="008644F3" w:rsidRPr="00284BF9" w:rsidRDefault="008644F3" w:rsidP="00B62274">
      <w:pPr>
        <w:rPr>
          <w:rFonts w:eastAsia="Calibri"/>
          <w:sz w:val="20"/>
          <w:lang w:val="fr-FR"/>
        </w:rPr>
      </w:pPr>
    </w:p>
    <w:p w:rsidR="008644F3" w:rsidRPr="00284BF9" w:rsidRDefault="008644F3" w:rsidP="00B62274">
      <w:pPr>
        <w:ind w:firstLine="720"/>
        <w:rPr>
          <w:rFonts w:eastAsia="Calibri"/>
          <w:sz w:val="20"/>
          <w:lang w:val="fr-FR"/>
        </w:rPr>
      </w:pPr>
      <w:r w:rsidRPr="00284BF9">
        <w:rPr>
          <w:rFonts w:eastAsia="Calibri"/>
          <w:sz w:val="20"/>
          <w:lang w:val="fr-FR"/>
        </w:rPr>
        <w:t xml:space="preserve">La préoccupation centrale des discussions de cette Assemblée générale doit être la sécurité sanitaire au profit de nos pays, partager des données d’expériences et encourager la solidarité entre les États, face aux défis que comporte la pandémie actuelle du coronavirus, au lieu de venir discuter de mesures d’agression et de déstabilisation contre la souveraineté et le droit à l’autodétermination des gouvernements du Nicaragua et du Venezuela. </w:t>
      </w:r>
    </w:p>
    <w:p w:rsidR="008644F3" w:rsidRPr="00284BF9" w:rsidRDefault="008644F3" w:rsidP="00B62274">
      <w:pPr>
        <w:rPr>
          <w:rFonts w:eastAsia="Calibri"/>
          <w:sz w:val="20"/>
          <w:lang w:val="fr-FR"/>
        </w:rPr>
      </w:pPr>
    </w:p>
    <w:p w:rsidR="008644F3" w:rsidRPr="00284BF9" w:rsidRDefault="00EF4FFA" w:rsidP="00C52091">
      <w:pPr>
        <w:ind w:right="24" w:firstLine="720"/>
        <w:rPr>
          <w:sz w:val="20"/>
          <w:lang w:val="fr-FR"/>
        </w:rPr>
      </w:pPr>
      <w:r>
        <w:rPr>
          <w:rFonts w:eastAsia="Calibri"/>
          <w:noProof/>
          <w:sz w:val="20"/>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EF4FFA" w:rsidRPr="00EF4FFA" w:rsidRDefault="00EF4FFA">
                            <w:pPr>
                              <w:rPr>
                                <w:sz w:val="18"/>
                              </w:rPr>
                            </w:pPr>
                            <w:r>
                              <w:rPr>
                                <w:sz w:val="18"/>
                              </w:rPr>
                              <w:fldChar w:fldCharType="begin"/>
                            </w:r>
                            <w:r>
                              <w:rPr>
                                <w:sz w:val="18"/>
                              </w:rPr>
                              <w:instrText xml:space="preserve"> FILENAME  \* MERGEFORMAT </w:instrText>
                            </w:r>
                            <w:r>
                              <w:rPr>
                                <w:sz w:val="18"/>
                              </w:rPr>
                              <w:fldChar w:fldCharType="separate"/>
                            </w:r>
                            <w:r>
                              <w:rPr>
                                <w:noProof/>
                                <w:sz w:val="18"/>
                              </w:rPr>
                              <w:t>AG08260F01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" filled="f" stroked="f">
                <v:stroke joinstyle="round"/>
                <v:path arrowok="t"/>
                <v:textbox>
                  <w:txbxContent>
                    <w:p w:rsidR="00EF4FFA" w:rsidRPr="00EF4FFA" w:rsidRDefault="00EF4FFA">
                      <w:pPr>
                        <w:rPr>
                          <w:sz w:val="18"/>
                        </w:rPr>
                      </w:pPr>
                      <w:r>
                        <w:rPr>
                          <w:sz w:val="18"/>
                        </w:rPr>
                        <w:fldChar w:fldCharType="begin"/>
                      </w:r>
                      <w:r>
                        <w:rPr>
                          <w:sz w:val="18"/>
                        </w:rPr>
                        <w:instrText xml:space="preserve"> FILENAME  \* MERGEFORMAT </w:instrText>
                      </w:r>
                      <w:r>
                        <w:rPr>
                          <w:sz w:val="18"/>
                        </w:rPr>
                        <w:fldChar w:fldCharType="separate"/>
                      </w:r>
                      <w:r>
                        <w:rPr>
                          <w:noProof/>
                          <w:sz w:val="18"/>
                        </w:rPr>
                        <w:t>AG08260F01</w:t>
                      </w:r>
                      <w:r>
                        <w:rPr>
                          <w:sz w:val="18"/>
                        </w:rPr>
                        <w:fldChar w:fldCharType="end"/>
                      </w:r>
                    </w:p>
                  </w:txbxContent>
                </v:textbox>
                <w10:wrap anchory="page"/>
                <w10:anchorlock/>
              </v:shape>
            </w:pict>
          </mc:Fallback>
        </mc:AlternateContent>
      </w:r>
      <w:r w:rsidR="008644F3" w:rsidRPr="00284BF9">
        <w:rPr>
          <w:rFonts w:eastAsia="Calibri"/>
          <w:sz w:val="20"/>
          <w:lang w:val="fr-FR"/>
        </w:rPr>
        <w:t xml:space="preserve">La délégation du Nicaragua réitère son rejet et sa non-acceptation de l’introduction de ces thèmes et demande que la présente </w:t>
      </w:r>
      <w:r w:rsidR="00F55F67">
        <w:rPr>
          <w:rFonts w:eastAsia="Calibri"/>
          <w:sz w:val="20"/>
          <w:lang w:val="fr-FR"/>
        </w:rPr>
        <w:t>d</w:t>
      </w:r>
      <w:r w:rsidR="008644F3" w:rsidRPr="00284BF9">
        <w:rPr>
          <w:rFonts w:eastAsia="Calibri"/>
          <w:sz w:val="20"/>
          <w:lang w:val="fr-FR"/>
        </w:rPr>
        <w:t xml:space="preserve">éclaration soit incluse en tant que note de bas de page dans le présent projet d’ordre du jour. </w:t>
      </w:r>
    </w:p>
    <w:sectPr w:rsidR="008644F3" w:rsidRPr="00284BF9" w:rsidSect="00C54900">
      <w:headerReference w:type="default" r:id="rId10"/>
      <w:footerReference w:type="default" r:id="rId11"/>
      <w:footerReference w:type="first" r:id="rId12"/>
      <w:endnotePr>
        <w:numFmt w:val="decimal"/>
      </w:endnotePr>
      <w:type w:val="oddPage"/>
      <w:pgSz w:w="12240" w:h="15840" w:code="1"/>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ECE" w:rsidRDefault="009E2ECE">
      <w:r>
        <w:separator/>
      </w:r>
    </w:p>
  </w:endnote>
  <w:endnote w:type="continuationSeparator" w:id="0">
    <w:p w:rsidR="009E2ECE" w:rsidRDefault="009E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8C" w:rsidRDefault="00897B8C" w:rsidP="008A5B9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8C" w:rsidRDefault="00897B8C" w:rsidP="008A5B9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ECE" w:rsidRDefault="009E2ECE">
      <w:r>
        <w:separator/>
      </w:r>
    </w:p>
  </w:footnote>
  <w:footnote w:type="continuationSeparator" w:id="0">
    <w:p w:rsidR="009E2ECE" w:rsidRDefault="009E2ECE">
      <w:r>
        <w:continuationSeparator/>
      </w:r>
    </w:p>
  </w:footnote>
  <w:footnote w:id="1">
    <w:p w:rsidR="00CD62FD" w:rsidRPr="00CD62FD" w:rsidRDefault="00CD62FD" w:rsidP="00CD62FD">
      <w:pPr>
        <w:ind w:left="720" w:hanging="360"/>
        <w:rPr>
          <w:sz w:val="20"/>
          <w:lang w:val="fr-CA"/>
        </w:rPr>
      </w:pPr>
      <w:r w:rsidRPr="00CD62FD">
        <w:rPr>
          <w:rStyle w:val="FootnoteReference"/>
          <w:sz w:val="20"/>
          <w:lang w:val="fr-CA"/>
        </w:rPr>
        <w:footnoteRef/>
      </w:r>
      <w:r w:rsidRPr="00CD62FD">
        <w:rPr>
          <w:sz w:val="20"/>
          <w:lang w:val="fr-CA"/>
        </w:rPr>
        <w:t>.</w:t>
      </w:r>
      <w:r w:rsidRPr="00CD62FD">
        <w:rPr>
          <w:sz w:val="20"/>
          <w:lang w:val="fr-CA"/>
        </w:rPr>
        <w:tab/>
      </w:r>
      <w:r w:rsidRPr="00CD62FD">
        <w:rPr>
          <w:color w:val="000000" w:themeColor="text1"/>
          <w:sz w:val="20"/>
          <w:lang w:val="fr-FR"/>
        </w:rPr>
        <w:t>La délégation de Saint-Vincent-et-Grenadines rejette fermement l'inscription des points « la situation en République bolivarienne du Venezuela » et « la situation au Nicaragua » au projet d'ordre du jour</w:t>
      </w:r>
      <w:r>
        <w:rPr>
          <w:color w:val="000000" w:themeColor="text1"/>
          <w:sz w:val="20"/>
          <w:lang w:val="fr-FR"/>
        </w:rPr>
        <w:t>…</w:t>
      </w:r>
    </w:p>
  </w:footnote>
  <w:footnote w:id="2">
    <w:p w:rsidR="00CD62FD" w:rsidRPr="00CD62FD" w:rsidRDefault="00CD62FD" w:rsidP="00CD62FD">
      <w:pPr>
        <w:pStyle w:val="FootnoteText"/>
        <w:ind w:left="720"/>
        <w:rPr>
          <w:rFonts w:ascii="Times New Roman" w:hAnsi="Times New Roman"/>
          <w:sz w:val="20"/>
          <w:lang w:val="fr-CA"/>
        </w:rPr>
      </w:pPr>
      <w:r w:rsidRPr="00CD62FD">
        <w:rPr>
          <w:rStyle w:val="FootnoteReference"/>
          <w:rFonts w:ascii="Times New Roman" w:hAnsi="Times New Roman"/>
          <w:sz w:val="20"/>
          <w:lang w:val="fr-CA"/>
        </w:rPr>
        <w:footnoteRef/>
      </w:r>
      <w:r w:rsidRPr="00CD62FD">
        <w:rPr>
          <w:rFonts w:ascii="Times New Roman" w:hAnsi="Times New Roman"/>
          <w:sz w:val="20"/>
          <w:lang w:val="fr-CA"/>
        </w:rPr>
        <w:t>.</w:t>
      </w:r>
      <w:r w:rsidRPr="00CD62FD">
        <w:rPr>
          <w:rFonts w:ascii="Times New Roman" w:hAnsi="Times New Roman"/>
          <w:sz w:val="20"/>
          <w:lang w:val="fr-CA"/>
        </w:rPr>
        <w:tab/>
        <w:t>La délégation du Gouvernement du Nicaragua rejette fermement et catégoriquement l’introduction au Chapitre III de l’avant-projet d’ordre du jour de la cinquantième session ordinaire de l’Assemblée …</w:t>
      </w:r>
    </w:p>
  </w:footnote>
  <w:footnote w:id="3">
    <w:p w:rsidR="00CD62FD" w:rsidRPr="00CD62FD" w:rsidRDefault="00CD62FD" w:rsidP="00CD62FD">
      <w:pPr>
        <w:pStyle w:val="FootnoteText"/>
        <w:ind w:left="720"/>
        <w:rPr>
          <w:rFonts w:ascii="Times New Roman" w:hAnsi="Times New Roman"/>
          <w:sz w:val="20"/>
          <w:lang w:val="fr-CA"/>
        </w:rPr>
      </w:pPr>
      <w:r w:rsidRPr="00CD62FD">
        <w:rPr>
          <w:rStyle w:val="FootnoteReference"/>
          <w:rFonts w:ascii="Times New Roman" w:hAnsi="Times New Roman"/>
          <w:sz w:val="20"/>
          <w:lang w:val="fr-CA"/>
        </w:rPr>
        <w:footnoteRef/>
      </w:r>
      <w:r w:rsidRPr="00CD62FD">
        <w:rPr>
          <w:rFonts w:ascii="Times New Roman" w:hAnsi="Times New Roman"/>
          <w:sz w:val="20"/>
          <w:lang w:val="fr-CA"/>
        </w:rPr>
        <w:t>.</w:t>
      </w:r>
      <w:r w:rsidRPr="00CD62FD">
        <w:rPr>
          <w:rFonts w:ascii="Times New Roman" w:hAnsi="Times New Roman"/>
          <w:sz w:val="20"/>
          <w:lang w:val="fr-CA"/>
        </w:rPr>
        <w:tab/>
        <w:t>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8C" w:rsidRPr="00C92999" w:rsidRDefault="00897B8C" w:rsidP="008A5B98">
    <w:pPr>
      <w:pStyle w:val="Header"/>
      <w:jc w:val="center"/>
      <w:rPr>
        <w:szCs w:val="22"/>
      </w:rPr>
    </w:pPr>
    <w:r w:rsidRPr="00C92999">
      <w:rPr>
        <w:szCs w:val="22"/>
      </w:rPr>
      <w:t xml:space="preserve">- </w:t>
    </w:r>
    <w:r w:rsidRPr="00C92999">
      <w:rPr>
        <w:rStyle w:val="PageNumber"/>
        <w:szCs w:val="22"/>
      </w:rPr>
      <w:fldChar w:fldCharType="begin"/>
    </w:r>
    <w:r w:rsidRPr="00C92999">
      <w:rPr>
        <w:rStyle w:val="PageNumber"/>
        <w:szCs w:val="22"/>
      </w:rPr>
      <w:instrText xml:space="preserve"> PAGE </w:instrText>
    </w:r>
    <w:r w:rsidRPr="00C92999">
      <w:rPr>
        <w:rStyle w:val="PageNumber"/>
        <w:szCs w:val="22"/>
      </w:rPr>
      <w:fldChar w:fldCharType="separate"/>
    </w:r>
    <w:r w:rsidR="00EF4FFA">
      <w:rPr>
        <w:rStyle w:val="PageNumber"/>
        <w:noProof/>
        <w:szCs w:val="22"/>
      </w:rPr>
      <w:t>3</w:t>
    </w:r>
    <w:r w:rsidRPr="00C92999">
      <w:rPr>
        <w:rStyle w:val="PageNumber"/>
        <w:szCs w:val="22"/>
      </w:rPr>
      <w:fldChar w:fldCharType="end"/>
    </w:r>
    <w:r w:rsidRPr="00C92999">
      <w:rPr>
        <w:rStyle w:val="PageNumber"/>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59F9"/>
    <w:multiLevelType w:val="hybridMultilevel"/>
    <w:tmpl w:val="CD523FC2"/>
    <w:lvl w:ilvl="0" w:tplc="C9A42CA2">
      <w:start w:val="11"/>
      <w:numFmt w:val="decimal"/>
      <w:lvlText w:val="%1."/>
      <w:lvlJc w:val="left"/>
      <w:pPr>
        <w:tabs>
          <w:tab w:val="num" w:pos="3420"/>
        </w:tabs>
        <w:ind w:left="342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8602EF"/>
    <w:multiLevelType w:val="hybridMultilevel"/>
    <w:tmpl w:val="FFB67918"/>
    <w:lvl w:ilvl="0" w:tplc="DE92293E">
      <w:start w:val="1"/>
      <w:numFmt w:val="upperRoman"/>
      <w:lvlText w:val="%1."/>
      <w:lvlJc w:val="left"/>
      <w:pPr>
        <w:tabs>
          <w:tab w:val="num" w:pos="360"/>
        </w:tabs>
        <w:ind w:left="360" w:hanging="360"/>
      </w:pPr>
      <w:rPr>
        <w:rFonts w:hint="default"/>
        <w:i w:val="0"/>
        <w:color w:val="auto"/>
      </w:rPr>
    </w:lvl>
    <w:lvl w:ilvl="1" w:tplc="BCE2A3F2">
      <w:start w:val="1"/>
      <w:numFmt w:val="lowerLetter"/>
      <w:lvlText w:val="%2."/>
      <w:lvlJc w:val="left"/>
      <w:pPr>
        <w:tabs>
          <w:tab w:val="num" w:pos="2160"/>
        </w:tabs>
        <w:ind w:left="2160" w:hanging="720"/>
      </w:pPr>
      <w:rPr>
        <w:rFonts w:ascii="Times New Roman" w:hAnsi="Times New Roman" w:hint="default"/>
        <w:i w:val="0"/>
        <w:color w:val="auto"/>
        <w:sz w:val="22"/>
        <w:szCs w:val="22"/>
      </w:rPr>
    </w:lvl>
    <w:lvl w:ilvl="2" w:tplc="79007154">
      <w:start w:val="1"/>
      <w:numFmt w:val="lowerLetter"/>
      <w:lvlText w:val="%3."/>
      <w:lvlJc w:val="left"/>
      <w:pPr>
        <w:tabs>
          <w:tab w:val="num" w:pos="2520"/>
        </w:tabs>
        <w:ind w:left="2520" w:hanging="720"/>
      </w:pPr>
      <w:rPr>
        <w:rFonts w:hint="default"/>
        <w:i w:val="0"/>
        <w:color w:val="auto"/>
      </w:rPr>
    </w:lvl>
    <w:lvl w:ilvl="3" w:tplc="FAAE73DA">
      <w:start w:val="1"/>
      <w:numFmt w:val="decimal"/>
      <w:lvlText w:val="%4."/>
      <w:lvlJc w:val="left"/>
      <w:pPr>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4541FB5"/>
    <w:multiLevelType w:val="hybridMultilevel"/>
    <w:tmpl w:val="86643B34"/>
    <w:lvl w:ilvl="0" w:tplc="E4202EC2">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247B74"/>
    <w:multiLevelType w:val="multilevel"/>
    <w:tmpl w:val="6170939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9E825EB"/>
    <w:multiLevelType w:val="singleLevel"/>
    <w:tmpl w:val="B63485B6"/>
    <w:lvl w:ilvl="0">
      <w:numFmt w:val="decimal"/>
      <w:lvlText w:val="%1"/>
      <w:legacy w:legacy="1" w:legacySpace="0" w:legacyIndent="0"/>
      <w:lvlJc w:val="left"/>
    </w:lvl>
  </w:abstractNum>
  <w:abstractNum w:abstractNumId="5" w15:restartNumberingAfterBreak="0">
    <w:nsid w:val="3D552F5B"/>
    <w:multiLevelType w:val="singleLevel"/>
    <w:tmpl w:val="B63485B6"/>
    <w:lvl w:ilvl="0">
      <w:numFmt w:val="decimal"/>
      <w:lvlText w:val="%1"/>
      <w:legacy w:legacy="1" w:legacySpace="0" w:legacyIndent="0"/>
      <w:lvlJc w:val="left"/>
    </w:lvl>
  </w:abstractNum>
  <w:abstractNum w:abstractNumId="6" w15:restartNumberingAfterBreak="0">
    <w:nsid w:val="3DC163FD"/>
    <w:multiLevelType w:val="hybridMultilevel"/>
    <w:tmpl w:val="68781CC0"/>
    <w:lvl w:ilvl="0" w:tplc="6BA86B64">
      <w:start w:val="1"/>
      <w:numFmt w:val="decimal"/>
      <w:lvlText w:val="%1."/>
      <w:lvlJc w:val="left"/>
      <w:pPr>
        <w:ind w:left="1080" w:hanging="360"/>
      </w:pPr>
      <w:rPr>
        <w:rFonts w:ascii="Times New Roman" w:hAnsi="Times New Roman" w:cs="Times New Roman" w:hint="default"/>
        <w:b w:val="0"/>
        <w:i w:val="0"/>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BC1CA3"/>
    <w:multiLevelType w:val="singleLevel"/>
    <w:tmpl w:val="B63485B6"/>
    <w:lvl w:ilvl="0">
      <w:numFmt w:val="decimal"/>
      <w:lvlText w:val="%1"/>
      <w:legacy w:legacy="1" w:legacySpace="0" w:legacyIndent="0"/>
      <w:lvlJc w:val="left"/>
    </w:lvl>
  </w:abstractNum>
  <w:abstractNum w:abstractNumId="8" w15:restartNumberingAfterBreak="0">
    <w:nsid w:val="58CB2E8E"/>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21115B"/>
    <w:multiLevelType w:val="singleLevel"/>
    <w:tmpl w:val="B63485B6"/>
    <w:lvl w:ilvl="0">
      <w:numFmt w:val="decimal"/>
      <w:lvlText w:val="%1"/>
      <w:legacy w:legacy="1" w:legacySpace="0" w:legacyIndent="0"/>
      <w:lvlJc w:val="left"/>
    </w:lvl>
  </w:abstractNum>
  <w:abstractNum w:abstractNumId="10" w15:restartNumberingAfterBreak="0">
    <w:nsid w:val="5EBB00A9"/>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0E3849"/>
    <w:multiLevelType w:val="multilevel"/>
    <w:tmpl w:val="BD48F432"/>
    <w:lvl w:ilvl="0">
      <w:start w:val="9"/>
      <w:numFmt w:val="decimal"/>
      <w:lvlText w:val="%1."/>
      <w:lvlJc w:val="left"/>
      <w:pPr>
        <w:tabs>
          <w:tab w:val="num" w:pos="3420"/>
        </w:tabs>
        <w:ind w:left="3420" w:hanging="720"/>
      </w:pPr>
      <w:rPr>
        <w:rFonts w:hint="default"/>
        <w:i w:val="0"/>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12" w15:restartNumberingAfterBreak="0">
    <w:nsid w:val="622159A4"/>
    <w:multiLevelType w:val="hybridMultilevel"/>
    <w:tmpl w:val="BD48F432"/>
    <w:lvl w:ilvl="0" w:tplc="A22A968E">
      <w:start w:val="9"/>
      <w:numFmt w:val="decimal"/>
      <w:lvlText w:val="%1."/>
      <w:lvlJc w:val="left"/>
      <w:pPr>
        <w:tabs>
          <w:tab w:val="num" w:pos="3420"/>
        </w:tabs>
        <w:ind w:left="3420" w:hanging="720"/>
      </w:pPr>
      <w:rPr>
        <w:rFonts w:hint="default"/>
        <w:i w:val="0"/>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3" w15:restartNumberingAfterBreak="0">
    <w:nsid w:val="67B84B30"/>
    <w:multiLevelType w:val="singleLevel"/>
    <w:tmpl w:val="B63485B6"/>
    <w:lvl w:ilvl="0">
      <w:numFmt w:val="decimal"/>
      <w:lvlText w:val="%1"/>
      <w:legacy w:legacy="1" w:legacySpace="0" w:legacyIndent="0"/>
      <w:lvlJc w:val="left"/>
    </w:lvl>
  </w:abstractNum>
  <w:abstractNum w:abstractNumId="14" w15:restartNumberingAfterBreak="0">
    <w:nsid w:val="689C71A0"/>
    <w:multiLevelType w:val="hybridMultilevel"/>
    <w:tmpl w:val="C8586BDC"/>
    <w:lvl w:ilvl="0" w:tplc="1038AF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0F5840"/>
    <w:multiLevelType w:val="singleLevel"/>
    <w:tmpl w:val="B63485B6"/>
    <w:lvl w:ilvl="0">
      <w:numFmt w:val="decimal"/>
      <w:lvlText w:val="%1"/>
      <w:legacy w:legacy="1" w:legacySpace="0" w:legacyIndent="0"/>
      <w:lvlJc w:val="left"/>
    </w:lvl>
  </w:abstractNum>
  <w:abstractNum w:abstractNumId="16" w15:restartNumberingAfterBreak="0">
    <w:nsid w:val="795D2853"/>
    <w:multiLevelType w:val="hybridMultilevel"/>
    <w:tmpl w:val="A15CC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C8A0C3A"/>
    <w:multiLevelType w:val="hybridMultilevel"/>
    <w:tmpl w:val="8AE602E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CF47BE9"/>
    <w:multiLevelType w:val="singleLevel"/>
    <w:tmpl w:val="B63485B6"/>
    <w:lvl w:ilvl="0">
      <w:numFmt w:val="decimal"/>
      <w:lvlText w:val="%1"/>
      <w:legacy w:legacy="1" w:legacySpace="0" w:legacyIndent="0"/>
      <w:lvlJc w:val="left"/>
    </w:lvl>
  </w:abstractNum>
  <w:abstractNum w:abstractNumId="19" w15:restartNumberingAfterBreak="0">
    <w:nsid w:val="7F912BA5"/>
    <w:multiLevelType w:val="singleLevel"/>
    <w:tmpl w:val="B63485B6"/>
    <w:lvl w:ilvl="0">
      <w:numFmt w:val="decimal"/>
      <w:lvlText w:val="%1"/>
      <w:legacy w:legacy="1" w:legacySpace="0" w:legacyIndent="0"/>
      <w:lvlJc w:val="left"/>
    </w:lvl>
  </w:abstractNum>
  <w:num w:numId="1">
    <w:abstractNumId w:val="1"/>
  </w:num>
  <w:num w:numId="2">
    <w:abstractNumId w:val="8"/>
  </w:num>
  <w:num w:numId="3">
    <w:abstractNumId w:val="2"/>
  </w:num>
  <w:num w:numId="4">
    <w:abstractNumId w:val="12"/>
  </w:num>
  <w:num w:numId="5">
    <w:abstractNumId w:val="3"/>
  </w:num>
  <w:num w:numId="6">
    <w:abstractNumId w:val="15"/>
  </w:num>
  <w:num w:numId="7">
    <w:abstractNumId w:val="5"/>
  </w:num>
  <w:num w:numId="8">
    <w:abstractNumId w:val="18"/>
  </w:num>
  <w:num w:numId="9">
    <w:abstractNumId w:val="4"/>
  </w:num>
  <w:num w:numId="10">
    <w:abstractNumId w:val="19"/>
  </w:num>
  <w:num w:numId="11">
    <w:abstractNumId w:val="14"/>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9"/>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81"/>
    <w:rsid w:val="00000D2B"/>
    <w:rsid w:val="000021BF"/>
    <w:rsid w:val="00005403"/>
    <w:rsid w:val="000054D3"/>
    <w:rsid w:val="00006F59"/>
    <w:rsid w:val="000107AC"/>
    <w:rsid w:val="000111FF"/>
    <w:rsid w:val="00012B40"/>
    <w:rsid w:val="00012CC8"/>
    <w:rsid w:val="00012EBE"/>
    <w:rsid w:val="000139C5"/>
    <w:rsid w:val="000152AD"/>
    <w:rsid w:val="000215F4"/>
    <w:rsid w:val="000236C8"/>
    <w:rsid w:val="0002437B"/>
    <w:rsid w:val="0002560C"/>
    <w:rsid w:val="00030A03"/>
    <w:rsid w:val="00031345"/>
    <w:rsid w:val="00031935"/>
    <w:rsid w:val="00032DA7"/>
    <w:rsid w:val="000351E6"/>
    <w:rsid w:val="00036BD6"/>
    <w:rsid w:val="0003700F"/>
    <w:rsid w:val="000370D6"/>
    <w:rsid w:val="00040414"/>
    <w:rsid w:val="000455A9"/>
    <w:rsid w:val="00056CC7"/>
    <w:rsid w:val="00057021"/>
    <w:rsid w:val="00060022"/>
    <w:rsid w:val="00061CB0"/>
    <w:rsid w:val="00061CD7"/>
    <w:rsid w:val="00062511"/>
    <w:rsid w:val="0006609F"/>
    <w:rsid w:val="00067679"/>
    <w:rsid w:val="000677BB"/>
    <w:rsid w:val="00071CC8"/>
    <w:rsid w:val="00073B54"/>
    <w:rsid w:val="00075259"/>
    <w:rsid w:val="00080330"/>
    <w:rsid w:val="00082959"/>
    <w:rsid w:val="00085C56"/>
    <w:rsid w:val="00086A02"/>
    <w:rsid w:val="00091D45"/>
    <w:rsid w:val="000930D9"/>
    <w:rsid w:val="000979A5"/>
    <w:rsid w:val="000A3DE8"/>
    <w:rsid w:val="000B02B9"/>
    <w:rsid w:val="000B1AD7"/>
    <w:rsid w:val="000B71F5"/>
    <w:rsid w:val="000C4746"/>
    <w:rsid w:val="000C5937"/>
    <w:rsid w:val="000C5C8D"/>
    <w:rsid w:val="000C63A1"/>
    <w:rsid w:val="000C750F"/>
    <w:rsid w:val="000D7115"/>
    <w:rsid w:val="000E025E"/>
    <w:rsid w:val="000E2824"/>
    <w:rsid w:val="000E3305"/>
    <w:rsid w:val="000E648F"/>
    <w:rsid w:val="000F3B5D"/>
    <w:rsid w:val="000F3EC1"/>
    <w:rsid w:val="000F757A"/>
    <w:rsid w:val="00101F79"/>
    <w:rsid w:val="00103491"/>
    <w:rsid w:val="00107D23"/>
    <w:rsid w:val="00112C28"/>
    <w:rsid w:val="00115935"/>
    <w:rsid w:val="0011655F"/>
    <w:rsid w:val="0012629F"/>
    <w:rsid w:val="00133F15"/>
    <w:rsid w:val="00140156"/>
    <w:rsid w:val="001412CF"/>
    <w:rsid w:val="0014425C"/>
    <w:rsid w:val="00145DAD"/>
    <w:rsid w:val="001465AF"/>
    <w:rsid w:val="00146E08"/>
    <w:rsid w:val="0015256E"/>
    <w:rsid w:val="0015268B"/>
    <w:rsid w:val="00156FCA"/>
    <w:rsid w:val="00161694"/>
    <w:rsid w:val="00164407"/>
    <w:rsid w:val="0016572A"/>
    <w:rsid w:val="00165A1B"/>
    <w:rsid w:val="00165EF4"/>
    <w:rsid w:val="00167022"/>
    <w:rsid w:val="001670A5"/>
    <w:rsid w:val="00171C4A"/>
    <w:rsid w:val="00172B77"/>
    <w:rsid w:val="00174099"/>
    <w:rsid w:val="00174280"/>
    <w:rsid w:val="00176183"/>
    <w:rsid w:val="00177A64"/>
    <w:rsid w:val="00183386"/>
    <w:rsid w:val="00183F4A"/>
    <w:rsid w:val="001A06B1"/>
    <w:rsid w:val="001A3273"/>
    <w:rsid w:val="001A4189"/>
    <w:rsid w:val="001A70DE"/>
    <w:rsid w:val="001B628F"/>
    <w:rsid w:val="001B79BC"/>
    <w:rsid w:val="001B79C1"/>
    <w:rsid w:val="001B7AC6"/>
    <w:rsid w:val="001C7866"/>
    <w:rsid w:val="001D0D30"/>
    <w:rsid w:val="001D0FEB"/>
    <w:rsid w:val="001D112E"/>
    <w:rsid w:val="001D149D"/>
    <w:rsid w:val="001D3AD8"/>
    <w:rsid w:val="001D4072"/>
    <w:rsid w:val="001D6FFC"/>
    <w:rsid w:val="001D72C0"/>
    <w:rsid w:val="001E133C"/>
    <w:rsid w:val="001E28F9"/>
    <w:rsid w:val="001E4400"/>
    <w:rsid w:val="001E4ACD"/>
    <w:rsid w:val="001E6255"/>
    <w:rsid w:val="001E6377"/>
    <w:rsid w:val="001F0A62"/>
    <w:rsid w:val="001F60BC"/>
    <w:rsid w:val="002020F2"/>
    <w:rsid w:val="00203086"/>
    <w:rsid w:val="00204110"/>
    <w:rsid w:val="00204D4F"/>
    <w:rsid w:val="00211B0D"/>
    <w:rsid w:val="00215705"/>
    <w:rsid w:val="00221584"/>
    <w:rsid w:val="00223481"/>
    <w:rsid w:val="00226434"/>
    <w:rsid w:val="002271F8"/>
    <w:rsid w:val="0022782D"/>
    <w:rsid w:val="00231BC3"/>
    <w:rsid w:val="00232A50"/>
    <w:rsid w:val="002332C2"/>
    <w:rsid w:val="00234238"/>
    <w:rsid w:val="00234FB3"/>
    <w:rsid w:val="00240041"/>
    <w:rsid w:val="002419C2"/>
    <w:rsid w:val="00243AE2"/>
    <w:rsid w:val="00243BD5"/>
    <w:rsid w:val="00247D51"/>
    <w:rsid w:val="00250B20"/>
    <w:rsid w:val="0025195D"/>
    <w:rsid w:val="00252450"/>
    <w:rsid w:val="002570D1"/>
    <w:rsid w:val="00257BA4"/>
    <w:rsid w:val="00263254"/>
    <w:rsid w:val="00267A22"/>
    <w:rsid w:val="00267D52"/>
    <w:rsid w:val="0027209F"/>
    <w:rsid w:val="00272AAF"/>
    <w:rsid w:val="00276FE9"/>
    <w:rsid w:val="00277DD2"/>
    <w:rsid w:val="00277EC6"/>
    <w:rsid w:val="00280247"/>
    <w:rsid w:val="002802AB"/>
    <w:rsid w:val="00282CCC"/>
    <w:rsid w:val="002833D1"/>
    <w:rsid w:val="00284BF9"/>
    <w:rsid w:val="00284EB2"/>
    <w:rsid w:val="00285783"/>
    <w:rsid w:val="00285A9F"/>
    <w:rsid w:val="0029007E"/>
    <w:rsid w:val="002910CA"/>
    <w:rsid w:val="00292B6D"/>
    <w:rsid w:val="00294CBD"/>
    <w:rsid w:val="002A29B5"/>
    <w:rsid w:val="002A3082"/>
    <w:rsid w:val="002A7AB6"/>
    <w:rsid w:val="002A7FB8"/>
    <w:rsid w:val="002B1684"/>
    <w:rsid w:val="002B2B01"/>
    <w:rsid w:val="002B3106"/>
    <w:rsid w:val="002B336E"/>
    <w:rsid w:val="002B769A"/>
    <w:rsid w:val="002C18BD"/>
    <w:rsid w:val="002C1F06"/>
    <w:rsid w:val="002C38A5"/>
    <w:rsid w:val="002C4ED0"/>
    <w:rsid w:val="002D08F8"/>
    <w:rsid w:val="002D1564"/>
    <w:rsid w:val="002D15FF"/>
    <w:rsid w:val="002D208D"/>
    <w:rsid w:val="002D4574"/>
    <w:rsid w:val="002E3E4C"/>
    <w:rsid w:val="002E5B27"/>
    <w:rsid w:val="002F0D43"/>
    <w:rsid w:val="002F3434"/>
    <w:rsid w:val="002F76D2"/>
    <w:rsid w:val="002F7ECC"/>
    <w:rsid w:val="0030049F"/>
    <w:rsid w:val="00302896"/>
    <w:rsid w:val="00303FBF"/>
    <w:rsid w:val="003067A2"/>
    <w:rsid w:val="0030753E"/>
    <w:rsid w:val="00310E56"/>
    <w:rsid w:val="0031121F"/>
    <w:rsid w:val="003133F6"/>
    <w:rsid w:val="00313AE8"/>
    <w:rsid w:val="00313E36"/>
    <w:rsid w:val="00316551"/>
    <w:rsid w:val="003165D3"/>
    <w:rsid w:val="00316696"/>
    <w:rsid w:val="0031713F"/>
    <w:rsid w:val="0031774B"/>
    <w:rsid w:val="0032116B"/>
    <w:rsid w:val="00321F5A"/>
    <w:rsid w:val="00323831"/>
    <w:rsid w:val="00323B79"/>
    <w:rsid w:val="003242E9"/>
    <w:rsid w:val="003263EA"/>
    <w:rsid w:val="00327802"/>
    <w:rsid w:val="003407F1"/>
    <w:rsid w:val="00340D7B"/>
    <w:rsid w:val="00341A25"/>
    <w:rsid w:val="00345BCB"/>
    <w:rsid w:val="003479F0"/>
    <w:rsid w:val="00351CC1"/>
    <w:rsid w:val="0035426A"/>
    <w:rsid w:val="00354480"/>
    <w:rsid w:val="0035482F"/>
    <w:rsid w:val="0035541E"/>
    <w:rsid w:val="003575DF"/>
    <w:rsid w:val="003621D1"/>
    <w:rsid w:val="00362560"/>
    <w:rsid w:val="00364271"/>
    <w:rsid w:val="003665F3"/>
    <w:rsid w:val="003709C0"/>
    <w:rsid w:val="00373F2E"/>
    <w:rsid w:val="00374ECA"/>
    <w:rsid w:val="003759B4"/>
    <w:rsid w:val="00382077"/>
    <w:rsid w:val="00382501"/>
    <w:rsid w:val="00383EE2"/>
    <w:rsid w:val="00385188"/>
    <w:rsid w:val="00385747"/>
    <w:rsid w:val="003862B0"/>
    <w:rsid w:val="00387372"/>
    <w:rsid w:val="00391A7F"/>
    <w:rsid w:val="00391A8F"/>
    <w:rsid w:val="0039519A"/>
    <w:rsid w:val="003A0970"/>
    <w:rsid w:val="003A0A63"/>
    <w:rsid w:val="003A32F5"/>
    <w:rsid w:val="003A49DA"/>
    <w:rsid w:val="003A4FC3"/>
    <w:rsid w:val="003A75D8"/>
    <w:rsid w:val="003B1287"/>
    <w:rsid w:val="003B1ECD"/>
    <w:rsid w:val="003B475D"/>
    <w:rsid w:val="003B509D"/>
    <w:rsid w:val="003C0B10"/>
    <w:rsid w:val="003C48E9"/>
    <w:rsid w:val="003C5781"/>
    <w:rsid w:val="003C79FF"/>
    <w:rsid w:val="003D05BF"/>
    <w:rsid w:val="003D5C06"/>
    <w:rsid w:val="003D696B"/>
    <w:rsid w:val="003D7916"/>
    <w:rsid w:val="003E1876"/>
    <w:rsid w:val="003E3806"/>
    <w:rsid w:val="003E6665"/>
    <w:rsid w:val="003E6800"/>
    <w:rsid w:val="003E74F9"/>
    <w:rsid w:val="003F38A0"/>
    <w:rsid w:val="004016A3"/>
    <w:rsid w:val="00403F6B"/>
    <w:rsid w:val="00404573"/>
    <w:rsid w:val="00404E75"/>
    <w:rsid w:val="00405BF3"/>
    <w:rsid w:val="0040637B"/>
    <w:rsid w:val="0040746D"/>
    <w:rsid w:val="00407E17"/>
    <w:rsid w:val="00414877"/>
    <w:rsid w:val="004215D0"/>
    <w:rsid w:val="004217A8"/>
    <w:rsid w:val="00423ED6"/>
    <w:rsid w:val="00426385"/>
    <w:rsid w:val="00427D6A"/>
    <w:rsid w:val="00430EF2"/>
    <w:rsid w:val="00433B51"/>
    <w:rsid w:val="004369B6"/>
    <w:rsid w:val="00436E2A"/>
    <w:rsid w:val="00440036"/>
    <w:rsid w:val="00440691"/>
    <w:rsid w:val="004427FB"/>
    <w:rsid w:val="00444D1E"/>
    <w:rsid w:val="00444DF9"/>
    <w:rsid w:val="00451756"/>
    <w:rsid w:val="0045312B"/>
    <w:rsid w:val="00453ACC"/>
    <w:rsid w:val="00454A0F"/>
    <w:rsid w:val="0045757D"/>
    <w:rsid w:val="00457CE9"/>
    <w:rsid w:val="004603C0"/>
    <w:rsid w:val="00461500"/>
    <w:rsid w:val="00461C52"/>
    <w:rsid w:val="00462162"/>
    <w:rsid w:val="004629BD"/>
    <w:rsid w:val="0046585F"/>
    <w:rsid w:val="004667CA"/>
    <w:rsid w:val="00476DB8"/>
    <w:rsid w:val="004770C5"/>
    <w:rsid w:val="00480715"/>
    <w:rsid w:val="004836BC"/>
    <w:rsid w:val="00487EAF"/>
    <w:rsid w:val="00490A9B"/>
    <w:rsid w:val="00491C50"/>
    <w:rsid w:val="00493930"/>
    <w:rsid w:val="00496B71"/>
    <w:rsid w:val="00496C63"/>
    <w:rsid w:val="004A022C"/>
    <w:rsid w:val="004A5147"/>
    <w:rsid w:val="004B0013"/>
    <w:rsid w:val="004B0764"/>
    <w:rsid w:val="004B20C6"/>
    <w:rsid w:val="004B2613"/>
    <w:rsid w:val="004C2FCC"/>
    <w:rsid w:val="004C3095"/>
    <w:rsid w:val="004C3B5D"/>
    <w:rsid w:val="004C4DE0"/>
    <w:rsid w:val="004D2E11"/>
    <w:rsid w:val="004D4816"/>
    <w:rsid w:val="004D53EE"/>
    <w:rsid w:val="004D57E7"/>
    <w:rsid w:val="004D5B01"/>
    <w:rsid w:val="004D5D9C"/>
    <w:rsid w:val="004E085C"/>
    <w:rsid w:val="004E2594"/>
    <w:rsid w:val="004E4D07"/>
    <w:rsid w:val="004E70DE"/>
    <w:rsid w:val="004F0BD9"/>
    <w:rsid w:val="004F78A0"/>
    <w:rsid w:val="004F78DB"/>
    <w:rsid w:val="00506CF5"/>
    <w:rsid w:val="00510842"/>
    <w:rsid w:val="005116CE"/>
    <w:rsid w:val="00513210"/>
    <w:rsid w:val="00533E50"/>
    <w:rsid w:val="005374C4"/>
    <w:rsid w:val="00537894"/>
    <w:rsid w:val="005433D7"/>
    <w:rsid w:val="005448BB"/>
    <w:rsid w:val="00545EF3"/>
    <w:rsid w:val="00555821"/>
    <w:rsid w:val="005626F0"/>
    <w:rsid w:val="005637D6"/>
    <w:rsid w:val="00563D6B"/>
    <w:rsid w:val="0056525C"/>
    <w:rsid w:val="00566E02"/>
    <w:rsid w:val="00571715"/>
    <w:rsid w:val="00574DAE"/>
    <w:rsid w:val="00577FCC"/>
    <w:rsid w:val="00584590"/>
    <w:rsid w:val="00585049"/>
    <w:rsid w:val="005858E5"/>
    <w:rsid w:val="005903AE"/>
    <w:rsid w:val="00591DDA"/>
    <w:rsid w:val="005931AD"/>
    <w:rsid w:val="00593C5A"/>
    <w:rsid w:val="00596731"/>
    <w:rsid w:val="005A0D25"/>
    <w:rsid w:val="005A4D38"/>
    <w:rsid w:val="005A517C"/>
    <w:rsid w:val="005A6ACA"/>
    <w:rsid w:val="005B2523"/>
    <w:rsid w:val="005B4D87"/>
    <w:rsid w:val="005C1C38"/>
    <w:rsid w:val="005C3CE1"/>
    <w:rsid w:val="005C4138"/>
    <w:rsid w:val="005C4A3B"/>
    <w:rsid w:val="005C6544"/>
    <w:rsid w:val="005D5C59"/>
    <w:rsid w:val="005E0DD4"/>
    <w:rsid w:val="005E28F8"/>
    <w:rsid w:val="005E3489"/>
    <w:rsid w:val="005E6039"/>
    <w:rsid w:val="005E7C9F"/>
    <w:rsid w:val="005F0447"/>
    <w:rsid w:val="005F0878"/>
    <w:rsid w:val="005F6F7B"/>
    <w:rsid w:val="00600636"/>
    <w:rsid w:val="006054DC"/>
    <w:rsid w:val="00607521"/>
    <w:rsid w:val="00610369"/>
    <w:rsid w:val="00611E44"/>
    <w:rsid w:val="006123A1"/>
    <w:rsid w:val="006158A9"/>
    <w:rsid w:val="00617FE1"/>
    <w:rsid w:val="00622ACE"/>
    <w:rsid w:val="006239A9"/>
    <w:rsid w:val="00624DC8"/>
    <w:rsid w:val="0063152F"/>
    <w:rsid w:val="006326D9"/>
    <w:rsid w:val="00633CDE"/>
    <w:rsid w:val="00635621"/>
    <w:rsid w:val="00635CD6"/>
    <w:rsid w:val="00641AE0"/>
    <w:rsid w:val="00642274"/>
    <w:rsid w:val="0064550C"/>
    <w:rsid w:val="0064782D"/>
    <w:rsid w:val="006502E5"/>
    <w:rsid w:val="0065085D"/>
    <w:rsid w:val="006516F1"/>
    <w:rsid w:val="00652CD9"/>
    <w:rsid w:val="00654EBA"/>
    <w:rsid w:val="006579CE"/>
    <w:rsid w:val="00660676"/>
    <w:rsid w:val="00661E95"/>
    <w:rsid w:val="006740DE"/>
    <w:rsid w:val="0067703B"/>
    <w:rsid w:val="00680320"/>
    <w:rsid w:val="00683096"/>
    <w:rsid w:val="006847B2"/>
    <w:rsid w:val="0068783E"/>
    <w:rsid w:val="00693965"/>
    <w:rsid w:val="006943AA"/>
    <w:rsid w:val="00695672"/>
    <w:rsid w:val="006A07FB"/>
    <w:rsid w:val="006A5AAF"/>
    <w:rsid w:val="006B016D"/>
    <w:rsid w:val="006B0AFA"/>
    <w:rsid w:val="006B11FB"/>
    <w:rsid w:val="006B3468"/>
    <w:rsid w:val="006C2565"/>
    <w:rsid w:val="006C2785"/>
    <w:rsid w:val="006C4503"/>
    <w:rsid w:val="006D3C03"/>
    <w:rsid w:val="006D4D6B"/>
    <w:rsid w:val="006D5348"/>
    <w:rsid w:val="006D66C8"/>
    <w:rsid w:val="006D7F40"/>
    <w:rsid w:val="006E3D4A"/>
    <w:rsid w:val="006E73CC"/>
    <w:rsid w:val="006F1F03"/>
    <w:rsid w:val="006F62F3"/>
    <w:rsid w:val="007007B5"/>
    <w:rsid w:val="0070390C"/>
    <w:rsid w:val="00705CB4"/>
    <w:rsid w:val="00707216"/>
    <w:rsid w:val="0070781A"/>
    <w:rsid w:val="00711226"/>
    <w:rsid w:val="0071271C"/>
    <w:rsid w:val="00714460"/>
    <w:rsid w:val="00714C3C"/>
    <w:rsid w:val="00715A4D"/>
    <w:rsid w:val="00715F9E"/>
    <w:rsid w:val="00717710"/>
    <w:rsid w:val="00717B13"/>
    <w:rsid w:val="0072313E"/>
    <w:rsid w:val="00723406"/>
    <w:rsid w:val="0073070D"/>
    <w:rsid w:val="00732631"/>
    <w:rsid w:val="007401A8"/>
    <w:rsid w:val="00742138"/>
    <w:rsid w:val="0074346B"/>
    <w:rsid w:val="0075040F"/>
    <w:rsid w:val="00753313"/>
    <w:rsid w:val="00755004"/>
    <w:rsid w:val="00757B8D"/>
    <w:rsid w:val="00762305"/>
    <w:rsid w:val="0076295A"/>
    <w:rsid w:val="007634A5"/>
    <w:rsid w:val="00764075"/>
    <w:rsid w:val="00764BC5"/>
    <w:rsid w:val="00764FA0"/>
    <w:rsid w:val="00765D61"/>
    <w:rsid w:val="00767694"/>
    <w:rsid w:val="00767F2F"/>
    <w:rsid w:val="00772F6C"/>
    <w:rsid w:val="007734A6"/>
    <w:rsid w:val="00773CDE"/>
    <w:rsid w:val="007809DF"/>
    <w:rsid w:val="00787590"/>
    <w:rsid w:val="00792905"/>
    <w:rsid w:val="0079330E"/>
    <w:rsid w:val="0079569B"/>
    <w:rsid w:val="00797FBF"/>
    <w:rsid w:val="007A3793"/>
    <w:rsid w:val="007B7F4D"/>
    <w:rsid w:val="007C1359"/>
    <w:rsid w:val="007C4333"/>
    <w:rsid w:val="007C58AD"/>
    <w:rsid w:val="007D09B9"/>
    <w:rsid w:val="007D3991"/>
    <w:rsid w:val="007D5CBD"/>
    <w:rsid w:val="007D67F1"/>
    <w:rsid w:val="007D6A81"/>
    <w:rsid w:val="007E09E0"/>
    <w:rsid w:val="007E4636"/>
    <w:rsid w:val="007E4C1D"/>
    <w:rsid w:val="007E52A5"/>
    <w:rsid w:val="007E54F4"/>
    <w:rsid w:val="00801288"/>
    <w:rsid w:val="008012D8"/>
    <w:rsid w:val="00801BDA"/>
    <w:rsid w:val="00802C99"/>
    <w:rsid w:val="00804CAA"/>
    <w:rsid w:val="008060FE"/>
    <w:rsid w:val="008063ED"/>
    <w:rsid w:val="0081743B"/>
    <w:rsid w:val="008206C1"/>
    <w:rsid w:val="0082124C"/>
    <w:rsid w:val="00824845"/>
    <w:rsid w:val="00826D2A"/>
    <w:rsid w:val="00827E3F"/>
    <w:rsid w:val="00830C6C"/>
    <w:rsid w:val="008368F6"/>
    <w:rsid w:val="008378A7"/>
    <w:rsid w:val="00841237"/>
    <w:rsid w:val="00842F3C"/>
    <w:rsid w:val="008442AC"/>
    <w:rsid w:val="00844455"/>
    <w:rsid w:val="00845C9F"/>
    <w:rsid w:val="00846FBC"/>
    <w:rsid w:val="0085171B"/>
    <w:rsid w:val="008553B9"/>
    <w:rsid w:val="008565A4"/>
    <w:rsid w:val="00860C2D"/>
    <w:rsid w:val="00863C12"/>
    <w:rsid w:val="0086409F"/>
    <w:rsid w:val="008644F3"/>
    <w:rsid w:val="00865C47"/>
    <w:rsid w:val="00865DE5"/>
    <w:rsid w:val="0086694A"/>
    <w:rsid w:val="00866BEC"/>
    <w:rsid w:val="00867DC0"/>
    <w:rsid w:val="00870C1A"/>
    <w:rsid w:val="00872D31"/>
    <w:rsid w:val="00872D32"/>
    <w:rsid w:val="00874991"/>
    <w:rsid w:val="0087736E"/>
    <w:rsid w:val="008800D7"/>
    <w:rsid w:val="00885DC8"/>
    <w:rsid w:val="00890DFD"/>
    <w:rsid w:val="008923A1"/>
    <w:rsid w:val="008932F6"/>
    <w:rsid w:val="0089557F"/>
    <w:rsid w:val="0089598D"/>
    <w:rsid w:val="0089619F"/>
    <w:rsid w:val="008976D1"/>
    <w:rsid w:val="00897B8C"/>
    <w:rsid w:val="008A1ABC"/>
    <w:rsid w:val="008A399A"/>
    <w:rsid w:val="008A5B98"/>
    <w:rsid w:val="008B0806"/>
    <w:rsid w:val="008C1548"/>
    <w:rsid w:val="008C2D2E"/>
    <w:rsid w:val="008C448A"/>
    <w:rsid w:val="008D0F81"/>
    <w:rsid w:val="008D1406"/>
    <w:rsid w:val="008D2DD2"/>
    <w:rsid w:val="008D3AF6"/>
    <w:rsid w:val="008E6438"/>
    <w:rsid w:val="008F0FEA"/>
    <w:rsid w:val="008F1AB8"/>
    <w:rsid w:val="008F3F67"/>
    <w:rsid w:val="008F64CD"/>
    <w:rsid w:val="0090141D"/>
    <w:rsid w:val="00902B0E"/>
    <w:rsid w:val="00905A8B"/>
    <w:rsid w:val="0091369B"/>
    <w:rsid w:val="00913B9D"/>
    <w:rsid w:val="009140B8"/>
    <w:rsid w:val="009141AF"/>
    <w:rsid w:val="00916F5D"/>
    <w:rsid w:val="00921064"/>
    <w:rsid w:val="009268AB"/>
    <w:rsid w:val="00926C0F"/>
    <w:rsid w:val="00927F82"/>
    <w:rsid w:val="00930444"/>
    <w:rsid w:val="0093385E"/>
    <w:rsid w:val="00933AA0"/>
    <w:rsid w:val="00933B20"/>
    <w:rsid w:val="009343FA"/>
    <w:rsid w:val="009372E0"/>
    <w:rsid w:val="00937DED"/>
    <w:rsid w:val="00940335"/>
    <w:rsid w:val="00943686"/>
    <w:rsid w:val="009441E3"/>
    <w:rsid w:val="009446C5"/>
    <w:rsid w:val="00947A4D"/>
    <w:rsid w:val="00956C8E"/>
    <w:rsid w:val="00957F22"/>
    <w:rsid w:val="00961CB7"/>
    <w:rsid w:val="00961DCF"/>
    <w:rsid w:val="00964616"/>
    <w:rsid w:val="009646FC"/>
    <w:rsid w:val="00971012"/>
    <w:rsid w:val="00973A0B"/>
    <w:rsid w:val="00973D8A"/>
    <w:rsid w:val="00974710"/>
    <w:rsid w:val="00975771"/>
    <w:rsid w:val="00975792"/>
    <w:rsid w:val="009766F1"/>
    <w:rsid w:val="00976C49"/>
    <w:rsid w:val="00977426"/>
    <w:rsid w:val="009802C9"/>
    <w:rsid w:val="009818C8"/>
    <w:rsid w:val="00981B71"/>
    <w:rsid w:val="00985AB5"/>
    <w:rsid w:val="00986401"/>
    <w:rsid w:val="009868A9"/>
    <w:rsid w:val="00986B12"/>
    <w:rsid w:val="00991A54"/>
    <w:rsid w:val="00996EE9"/>
    <w:rsid w:val="009A154F"/>
    <w:rsid w:val="009A2779"/>
    <w:rsid w:val="009A2A33"/>
    <w:rsid w:val="009A5197"/>
    <w:rsid w:val="009A6897"/>
    <w:rsid w:val="009B0DCB"/>
    <w:rsid w:val="009B5A1B"/>
    <w:rsid w:val="009C2A18"/>
    <w:rsid w:val="009C3649"/>
    <w:rsid w:val="009C41FC"/>
    <w:rsid w:val="009C5A16"/>
    <w:rsid w:val="009C66D2"/>
    <w:rsid w:val="009C7C3A"/>
    <w:rsid w:val="009D1C20"/>
    <w:rsid w:val="009D1F1C"/>
    <w:rsid w:val="009D34D6"/>
    <w:rsid w:val="009D5FE7"/>
    <w:rsid w:val="009D65EA"/>
    <w:rsid w:val="009E2ECE"/>
    <w:rsid w:val="009E5102"/>
    <w:rsid w:val="009F28BC"/>
    <w:rsid w:val="009F339D"/>
    <w:rsid w:val="009F3CCA"/>
    <w:rsid w:val="009F526B"/>
    <w:rsid w:val="009F596C"/>
    <w:rsid w:val="009F7326"/>
    <w:rsid w:val="00A01E2E"/>
    <w:rsid w:val="00A02131"/>
    <w:rsid w:val="00A02664"/>
    <w:rsid w:val="00A041C4"/>
    <w:rsid w:val="00A0507B"/>
    <w:rsid w:val="00A0699D"/>
    <w:rsid w:val="00A07058"/>
    <w:rsid w:val="00A0786E"/>
    <w:rsid w:val="00A11C92"/>
    <w:rsid w:val="00A11CAD"/>
    <w:rsid w:val="00A143F5"/>
    <w:rsid w:val="00A16E41"/>
    <w:rsid w:val="00A17C3C"/>
    <w:rsid w:val="00A20539"/>
    <w:rsid w:val="00A21A4B"/>
    <w:rsid w:val="00A22044"/>
    <w:rsid w:val="00A34D95"/>
    <w:rsid w:val="00A368C3"/>
    <w:rsid w:val="00A37022"/>
    <w:rsid w:val="00A421AF"/>
    <w:rsid w:val="00A47589"/>
    <w:rsid w:val="00A51A51"/>
    <w:rsid w:val="00A52435"/>
    <w:rsid w:val="00A52961"/>
    <w:rsid w:val="00A557F9"/>
    <w:rsid w:val="00A55A2B"/>
    <w:rsid w:val="00A635BC"/>
    <w:rsid w:val="00A64925"/>
    <w:rsid w:val="00A67239"/>
    <w:rsid w:val="00A751E2"/>
    <w:rsid w:val="00A84271"/>
    <w:rsid w:val="00A85F66"/>
    <w:rsid w:val="00A91425"/>
    <w:rsid w:val="00A91474"/>
    <w:rsid w:val="00A917E8"/>
    <w:rsid w:val="00A92B57"/>
    <w:rsid w:val="00A964E9"/>
    <w:rsid w:val="00AA0297"/>
    <w:rsid w:val="00AA2CF1"/>
    <w:rsid w:val="00AA3026"/>
    <w:rsid w:val="00AA5736"/>
    <w:rsid w:val="00AB21FB"/>
    <w:rsid w:val="00AB7F5E"/>
    <w:rsid w:val="00AC060E"/>
    <w:rsid w:val="00AC589D"/>
    <w:rsid w:val="00AC6FA2"/>
    <w:rsid w:val="00AD1CB9"/>
    <w:rsid w:val="00AD2853"/>
    <w:rsid w:val="00AD51F2"/>
    <w:rsid w:val="00AD62CB"/>
    <w:rsid w:val="00AD6E8C"/>
    <w:rsid w:val="00AE0765"/>
    <w:rsid w:val="00AE1FEF"/>
    <w:rsid w:val="00AE273B"/>
    <w:rsid w:val="00AE2CC1"/>
    <w:rsid w:val="00AE541D"/>
    <w:rsid w:val="00AE66CF"/>
    <w:rsid w:val="00AF2DCD"/>
    <w:rsid w:val="00AF3FDB"/>
    <w:rsid w:val="00AF43A4"/>
    <w:rsid w:val="00AF7381"/>
    <w:rsid w:val="00AF7EFF"/>
    <w:rsid w:val="00B017C4"/>
    <w:rsid w:val="00B01D7F"/>
    <w:rsid w:val="00B04140"/>
    <w:rsid w:val="00B055BD"/>
    <w:rsid w:val="00B07CEF"/>
    <w:rsid w:val="00B10219"/>
    <w:rsid w:val="00B1447C"/>
    <w:rsid w:val="00B14B71"/>
    <w:rsid w:val="00B1513A"/>
    <w:rsid w:val="00B17122"/>
    <w:rsid w:val="00B2163C"/>
    <w:rsid w:val="00B223CB"/>
    <w:rsid w:val="00B22533"/>
    <w:rsid w:val="00B227BC"/>
    <w:rsid w:val="00B23248"/>
    <w:rsid w:val="00B25113"/>
    <w:rsid w:val="00B261FD"/>
    <w:rsid w:val="00B26B73"/>
    <w:rsid w:val="00B31414"/>
    <w:rsid w:val="00B32C03"/>
    <w:rsid w:val="00B35A58"/>
    <w:rsid w:val="00B36648"/>
    <w:rsid w:val="00B373FA"/>
    <w:rsid w:val="00B42DA1"/>
    <w:rsid w:val="00B43262"/>
    <w:rsid w:val="00B469DB"/>
    <w:rsid w:val="00B474C8"/>
    <w:rsid w:val="00B52F7E"/>
    <w:rsid w:val="00B62274"/>
    <w:rsid w:val="00B62798"/>
    <w:rsid w:val="00B705D6"/>
    <w:rsid w:val="00B71369"/>
    <w:rsid w:val="00B75493"/>
    <w:rsid w:val="00B75F01"/>
    <w:rsid w:val="00B77077"/>
    <w:rsid w:val="00B81391"/>
    <w:rsid w:val="00B852F4"/>
    <w:rsid w:val="00B85C1E"/>
    <w:rsid w:val="00B87514"/>
    <w:rsid w:val="00B90E3B"/>
    <w:rsid w:val="00B9311C"/>
    <w:rsid w:val="00B9570F"/>
    <w:rsid w:val="00B9711B"/>
    <w:rsid w:val="00BA20B6"/>
    <w:rsid w:val="00BA7737"/>
    <w:rsid w:val="00BB0B72"/>
    <w:rsid w:val="00BB27D8"/>
    <w:rsid w:val="00BB3035"/>
    <w:rsid w:val="00BB34A9"/>
    <w:rsid w:val="00BB46C5"/>
    <w:rsid w:val="00BB5474"/>
    <w:rsid w:val="00BC38BF"/>
    <w:rsid w:val="00BC5753"/>
    <w:rsid w:val="00BC5E2E"/>
    <w:rsid w:val="00BD0CEF"/>
    <w:rsid w:val="00BD27DC"/>
    <w:rsid w:val="00BD50B8"/>
    <w:rsid w:val="00BD6350"/>
    <w:rsid w:val="00BE194B"/>
    <w:rsid w:val="00BE3408"/>
    <w:rsid w:val="00BF10AF"/>
    <w:rsid w:val="00BF2258"/>
    <w:rsid w:val="00BF23A2"/>
    <w:rsid w:val="00BF5353"/>
    <w:rsid w:val="00C054C1"/>
    <w:rsid w:val="00C05CF1"/>
    <w:rsid w:val="00C06118"/>
    <w:rsid w:val="00C12D50"/>
    <w:rsid w:val="00C1615C"/>
    <w:rsid w:val="00C2073E"/>
    <w:rsid w:val="00C213E9"/>
    <w:rsid w:val="00C21F4D"/>
    <w:rsid w:val="00C2345B"/>
    <w:rsid w:val="00C24E67"/>
    <w:rsid w:val="00C24FEF"/>
    <w:rsid w:val="00C34D97"/>
    <w:rsid w:val="00C372C7"/>
    <w:rsid w:val="00C410B1"/>
    <w:rsid w:val="00C44B3D"/>
    <w:rsid w:val="00C465C0"/>
    <w:rsid w:val="00C52091"/>
    <w:rsid w:val="00C54900"/>
    <w:rsid w:val="00C6558E"/>
    <w:rsid w:val="00C700B9"/>
    <w:rsid w:val="00C7293D"/>
    <w:rsid w:val="00C7495F"/>
    <w:rsid w:val="00C74BE9"/>
    <w:rsid w:val="00C75DF5"/>
    <w:rsid w:val="00C82B73"/>
    <w:rsid w:val="00C84D4E"/>
    <w:rsid w:val="00C87D7A"/>
    <w:rsid w:val="00C92999"/>
    <w:rsid w:val="00C93C62"/>
    <w:rsid w:val="00C964E8"/>
    <w:rsid w:val="00C975C8"/>
    <w:rsid w:val="00CA1064"/>
    <w:rsid w:val="00CA1EB8"/>
    <w:rsid w:val="00CA3698"/>
    <w:rsid w:val="00CB318D"/>
    <w:rsid w:val="00CB33B0"/>
    <w:rsid w:val="00CC18F6"/>
    <w:rsid w:val="00CC1D99"/>
    <w:rsid w:val="00CC3E75"/>
    <w:rsid w:val="00CC6F7B"/>
    <w:rsid w:val="00CC7B8A"/>
    <w:rsid w:val="00CD2BAF"/>
    <w:rsid w:val="00CD62FD"/>
    <w:rsid w:val="00CD78BE"/>
    <w:rsid w:val="00CD7CD3"/>
    <w:rsid w:val="00CE2D64"/>
    <w:rsid w:val="00CE523C"/>
    <w:rsid w:val="00CE62DE"/>
    <w:rsid w:val="00CE6AF1"/>
    <w:rsid w:val="00CF20AC"/>
    <w:rsid w:val="00CF256F"/>
    <w:rsid w:val="00CF2EC1"/>
    <w:rsid w:val="00CF48EC"/>
    <w:rsid w:val="00D012BD"/>
    <w:rsid w:val="00D05002"/>
    <w:rsid w:val="00D05287"/>
    <w:rsid w:val="00D1370F"/>
    <w:rsid w:val="00D15130"/>
    <w:rsid w:val="00D15C48"/>
    <w:rsid w:val="00D20155"/>
    <w:rsid w:val="00D20FFD"/>
    <w:rsid w:val="00D301D8"/>
    <w:rsid w:val="00D316A5"/>
    <w:rsid w:val="00D37A77"/>
    <w:rsid w:val="00D408FD"/>
    <w:rsid w:val="00D42E96"/>
    <w:rsid w:val="00D43F94"/>
    <w:rsid w:val="00D449C3"/>
    <w:rsid w:val="00D45C99"/>
    <w:rsid w:val="00D47B83"/>
    <w:rsid w:val="00D52FAA"/>
    <w:rsid w:val="00D56BFF"/>
    <w:rsid w:val="00D57810"/>
    <w:rsid w:val="00D60652"/>
    <w:rsid w:val="00D6410A"/>
    <w:rsid w:val="00D65675"/>
    <w:rsid w:val="00D703DC"/>
    <w:rsid w:val="00D726A4"/>
    <w:rsid w:val="00D75FC6"/>
    <w:rsid w:val="00D76122"/>
    <w:rsid w:val="00D769A4"/>
    <w:rsid w:val="00D83864"/>
    <w:rsid w:val="00D84709"/>
    <w:rsid w:val="00D8486A"/>
    <w:rsid w:val="00D8765C"/>
    <w:rsid w:val="00DA1F13"/>
    <w:rsid w:val="00DA5529"/>
    <w:rsid w:val="00DA76BE"/>
    <w:rsid w:val="00DB555C"/>
    <w:rsid w:val="00DB73ED"/>
    <w:rsid w:val="00DC1282"/>
    <w:rsid w:val="00DC3915"/>
    <w:rsid w:val="00DC3CC1"/>
    <w:rsid w:val="00DC47E4"/>
    <w:rsid w:val="00DC4A84"/>
    <w:rsid w:val="00DD0F22"/>
    <w:rsid w:val="00DD4A74"/>
    <w:rsid w:val="00DD7095"/>
    <w:rsid w:val="00DE4936"/>
    <w:rsid w:val="00DE60C1"/>
    <w:rsid w:val="00DE7834"/>
    <w:rsid w:val="00DF1583"/>
    <w:rsid w:val="00DF3EB6"/>
    <w:rsid w:val="00DF5609"/>
    <w:rsid w:val="00DF6C75"/>
    <w:rsid w:val="00E02692"/>
    <w:rsid w:val="00E028B6"/>
    <w:rsid w:val="00E065B1"/>
    <w:rsid w:val="00E13E43"/>
    <w:rsid w:val="00E15854"/>
    <w:rsid w:val="00E159A4"/>
    <w:rsid w:val="00E16968"/>
    <w:rsid w:val="00E20213"/>
    <w:rsid w:val="00E20976"/>
    <w:rsid w:val="00E21857"/>
    <w:rsid w:val="00E22979"/>
    <w:rsid w:val="00E22D70"/>
    <w:rsid w:val="00E368FD"/>
    <w:rsid w:val="00E36F1B"/>
    <w:rsid w:val="00E409A0"/>
    <w:rsid w:val="00E410AF"/>
    <w:rsid w:val="00E41187"/>
    <w:rsid w:val="00E44D8C"/>
    <w:rsid w:val="00E461EC"/>
    <w:rsid w:val="00E51FE9"/>
    <w:rsid w:val="00E5345A"/>
    <w:rsid w:val="00E57678"/>
    <w:rsid w:val="00E62ADD"/>
    <w:rsid w:val="00E6318E"/>
    <w:rsid w:val="00E64C33"/>
    <w:rsid w:val="00E65F55"/>
    <w:rsid w:val="00E730F0"/>
    <w:rsid w:val="00E73DFE"/>
    <w:rsid w:val="00E742BA"/>
    <w:rsid w:val="00E864DB"/>
    <w:rsid w:val="00E91CB0"/>
    <w:rsid w:val="00E94F50"/>
    <w:rsid w:val="00E962CF"/>
    <w:rsid w:val="00E963F9"/>
    <w:rsid w:val="00E96715"/>
    <w:rsid w:val="00EA1F3F"/>
    <w:rsid w:val="00EA2374"/>
    <w:rsid w:val="00EA3E22"/>
    <w:rsid w:val="00EA60DE"/>
    <w:rsid w:val="00EA7D13"/>
    <w:rsid w:val="00EB0BE4"/>
    <w:rsid w:val="00EB0BF8"/>
    <w:rsid w:val="00EB3B63"/>
    <w:rsid w:val="00EB3E9C"/>
    <w:rsid w:val="00EB5393"/>
    <w:rsid w:val="00EB7BBA"/>
    <w:rsid w:val="00ED0C89"/>
    <w:rsid w:val="00ED126F"/>
    <w:rsid w:val="00ED6847"/>
    <w:rsid w:val="00ED79ED"/>
    <w:rsid w:val="00ED7FAC"/>
    <w:rsid w:val="00EE1429"/>
    <w:rsid w:val="00EE2314"/>
    <w:rsid w:val="00EE268A"/>
    <w:rsid w:val="00EE4222"/>
    <w:rsid w:val="00EE6961"/>
    <w:rsid w:val="00EF0B69"/>
    <w:rsid w:val="00EF4FFA"/>
    <w:rsid w:val="00F01B16"/>
    <w:rsid w:val="00F04F68"/>
    <w:rsid w:val="00F06818"/>
    <w:rsid w:val="00F0744C"/>
    <w:rsid w:val="00F078C4"/>
    <w:rsid w:val="00F144E8"/>
    <w:rsid w:val="00F14926"/>
    <w:rsid w:val="00F14DCA"/>
    <w:rsid w:val="00F153A5"/>
    <w:rsid w:val="00F163C1"/>
    <w:rsid w:val="00F24D49"/>
    <w:rsid w:val="00F302CD"/>
    <w:rsid w:val="00F30820"/>
    <w:rsid w:val="00F34D53"/>
    <w:rsid w:val="00F35461"/>
    <w:rsid w:val="00F376B8"/>
    <w:rsid w:val="00F46A6F"/>
    <w:rsid w:val="00F50488"/>
    <w:rsid w:val="00F50760"/>
    <w:rsid w:val="00F54630"/>
    <w:rsid w:val="00F55F67"/>
    <w:rsid w:val="00F56505"/>
    <w:rsid w:val="00F6008E"/>
    <w:rsid w:val="00F71E79"/>
    <w:rsid w:val="00F74326"/>
    <w:rsid w:val="00F808B8"/>
    <w:rsid w:val="00F8348A"/>
    <w:rsid w:val="00F843CA"/>
    <w:rsid w:val="00F94BE3"/>
    <w:rsid w:val="00FA281E"/>
    <w:rsid w:val="00FB0EA8"/>
    <w:rsid w:val="00FB0FD4"/>
    <w:rsid w:val="00FB1A21"/>
    <w:rsid w:val="00FB3079"/>
    <w:rsid w:val="00FB77E2"/>
    <w:rsid w:val="00FC05BF"/>
    <w:rsid w:val="00FC296D"/>
    <w:rsid w:val="00FC58EA"/>
    <w:rsid w:val="00FC5E37"/>
    <w:rsid w:val="00FC6B04"/>
    <w:rsid w:val="00FD1911"/>
    <w:rsid w:val="00FD2E8A"/>
    <w:rsid w:val="00FD3E29"/>
    <w:rsid w:val="00FD63C4"/>
    <w:rsid w:val="00FE010D"/>
    <w:rsid w:val="00FE3423"/>
    <w:rsid w:val="00FE6725"/>
    <w:rsid w:val="00FE6A71"/>
    <w:rsid w:val="00FE6AA0"/>
    <w:rsid w:val="00FE7A4A"/>
    <w:rsid w:val="00FF0A99"/>
    <w:rsid w:val="00FF41A4"/>
    <w:rsid w:val="00FF540B"/>
    <w:rsid w:val="00FF576D"/>
    <w:rsid w:val="00FF740B"/>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2A88F95-24FB-4CE7-A61C-C3BB96F6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EA8"/>
    <w:pPr>
      <w:jc w:val="both"/>
    </w:pPr>
    <w:rPr>
      <w:sz w:val="22"/>
      <w:lang w:val="es-AR"/>
    </w:rPr>
  </w:style>
  <w:style w:type="paragraph" w:styleId="Heading1">
    <w:name w:val="heading 1"/>
    <w:basedOn w:val="Normal"/>
    <w:next w:val="Normal"/>
    <w:link w:val="Heading1Char"/>
    <w:qFormat/>
    <w:rsid w:val="00327802"/>
    <w:pPr>
      <w:keepNext/>
      <w:jc w:val="left"/>
      <w:outlineLvl w:val="0"/>
    </w:pPr>
    <w:rPr>
      <w:rFonts w:eastAsia="MS Mincho"/>
      <w:sz w:val="28"/>
      <w:szCs w:val="24"/>
      <w:lang w:val="es-ES" w:eastAsia="es-ES"/>
    </w:rPr>
  </w:style>
  <w:style w:type="paragraph" w:styleId="Heading2">
    <w:name w:val="heading 2"/>
    <w:basedOn w:val="Normal"/>
    <w:next w:val="Normal"/>
    <w:link w:val="Heading2Char"/>
    <w:qFormat/>
    <w:rsid w:val="007039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078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rsid w:val="008D0F81"/>
    <w:pPr>
      <w:tabs>
        <w:tab w:val="center" w:pos="4320"/>
        <w:tab w:val="right" w:pos="8640"/>
      </w:tabs>
    </w:pPr>
  </w:style>
  <w:style w:type="paragraph" w:customStyle="1" w:styleId="CPTitle">
    <w:name w:val="CP Title"/>
    <w:basedOn w:val="Normal"/>
    <w:rsid w:val="008D0F81"/>
    <w:pPr>
      <w:tabs>
        <w:tab w:val="left" w:pos="720"/>
        <w:tab w:val="left" w:pos="1440"/>
        <w:tab w:val="left" w:pos="2160"/>
        <w:tab w:val="left" w:pos="2880"/>
        <w:tab w:val="left" w:pos="7200"/>
        <w:tab w:val="left" w:pos="7920"/>
        <w:tab w:val="left" w:pos="8640"/>
      </w:tabs>
      <w:jc w:val="center"/>
    </w:pPr>
    <w:rPr>
      <w:lang w:val="pt-PT"/>
    </w:rPr>
  </w:style>
  <w:style w:type="paragraph" w:styleId="BodyTextIndent3">
    <w:name w:val="Body Text Indent 3"/>
    <w:basedOn w:val="Normal"/>
    <w:rsid w:val="008D0F81"/>
    <w:pPr>
      <w:snapToGrid w:val="0"/>
      <w:spacing w:line="480" w:lineRule="auto"/>
      <w:ind w:left="90" w:firstLine="630"/>
    </w:pPr>
    <w:rPr>
      <w:rFonts w:eastAsia="Batang"/>
      <w:szCs w:val="22"/>
      <w:lang w:val="en-US" w:eastAsia="ko-KR"/>
    </w:rPr>
  </w:style>
  <w:style w:type="character" w:styleId="PageNumber">
    <w:name w:val="page number"/>
    <w:basedOn w:val="DefaultParagraphFont"/>
    <w:rsid w:val="008D0F81"/>
  </w:style>
  <w:style w:type="character" w:customStyle="1" w:styleId="Heading1Char">
    <w:name w:val="Heading 1 Char"/>
    <w:link w:val="Heading1"/>
    <w:rsid w:val="00327802"/>
    <w:rPr>
      <w:rFonts w:eastAsia="MS Mincho"/>
      <w:sz w:val="28"/>
      <w:szCs w:val="24"/>
      <w:lang w:val="es-ES" w:eastAsia="es-ES" w:bidi="ar-SA"/>
    </w:rPr>
  </w:style>
  <w:style w:type="paragraph" w:styleId="BalloonText">
    <w:name w:val="Balloon Text"/>
    <w:basedOn w:val="Normal"/>
    <w:semiHidden/>
    <w:rsid w:val="00755004"/>
    <w:rPr>
      <w:rFonts w:ascii="Tahoma" w:hAnsi="Tahoma" w:cs="Tahoma"/>
      <w:sz w:val="16"/>
      <w:szCs w:val="16"/>
    </w:rPr>
  </w:style>
  <w:style w:type="paragraph" w:styleId="EndnoteText">
    <w:name w:val="endnote text"/>
    <w:basedOn w:val="Normal"/>
    <w:semiHidden/>
    <w:rsid w:val="002B3106"/>
    <w:pPr>
      <w:widowControl w:val="0"/>
      <w:tabs>
        <w:tab w:val="left" w:pos="720"/>
        <w:tab w:val="left" w:pos="1440"/>
        <w:tab w:val="left" w:pos="2160"/>
        <w:tab w:val="left" w:pos="2880"/>
        <w:tab w:val="left" w:pos="3600"/>
        <w:tab w:val="left" w:pos="4320"/>
        <w:tab w:val="left" w:pos="5760"/>
        <w:tab w:val="left" w:pos="6480"/>
        <w:tab w:val="left" w:pos="7200"/>
        <w:tab w:val="left" w:pos="7920"/>
      </w:tabs>
    </w:pPr>
    <w:rPr>
      <w:rFonts w:ascii="CG Times" w:hAnsi="CG Times"/>
      <w:lang w:val="es-ES"/>
    </w:rPr>
  </w:style>
  <w:style w:type="paragraph" w:customStyle="1" w:styleId="0">
    <w:name w:val="0"/>
    <w:basedOn w:val="Normal"/>
    <w:rsid w:val="002B3106"/>
    <w:pPr>
      <w:widowControl w:val="0"/>
      <w:autoSpaceDE w:val="0"/>
      <w:autoSpaceDN w:val="0"/>
      <w:adjustRightInd w:val="0"/>
      <w:spacing w:line="240" w:lineRule="atLeast"/>
      <w:jc w:val="left"/>
    </w:pPr>
    <w:rPr>
      <w:sz w:val="24"/>
      <w:szCs w:val="24"/>
      <w:lang w:val="es-ES"/>
    </w:rPr>
  </w:style>
  <w:style w:type="paragraph" w:styleId="Footer">
    <w:name w:val="footer"/>
    <w:basedOn w:val="Normal"/>
    <w:rsid w:val="002B3106"/>
    <w:pPr>
      <w:tabs>
        <w:tab w:val="center" w:pos="4320"/>
        <w:tab w:val="right" w:pos="8640"/>
      </w:tabs>
      <w:jc w:val="left"/>
    </w:pPr>
    <w:rPr>
      <w:sz w:val="24"/>
      <w:szCs w:val="24"/>
      <w:lang w:val="en-US"/>
    </w:rPr>
  </w:style>
  <w:style w:type="paragraph" w:styleId="NormalWeb">
    <w:name w:val="Normal (Web)"/>
    <w:basedOn w:val="Normal"/>
    <w:rsid w:val="002B3106"/>
    <w:pPr>
      <w:spacing w:before="100" w:beforeAutospacing="1" w:after="100" w:afterAutospacing="1"/>
      <w:jc w:val="left"/>
    </w:pPr>
    <w:rPr>
      <w:sz w:val="24"/>
      <w:szCs w:val="24"/>
      <w:lang w:val="en-US"/>
    </w:rPr>
  </w:style>
  <w:style w:type="paragraph" w:styleId="FootnoteText">
    <w:name w:val="footnote text"/>
    <w:aliases w:val="footnote text"/>
    <w:basedOn w:val="Normal"/>
    <w:link w:val="FootnoteTextChar"/>
    <w:semiHidden/>
    <w:rsid w:val="002B3106"/>
    <w:pPr>
      <w:tabs>
        <w:tab w:val="left" w:pos="360"/>
      </w:tabs>
      <w:ind w:left="360" w:hanging="360"/>
    </w:pPr>
    <w:rPr>
      <w:rFonts w:ascii="CG Times" w:hAnsi="CG Times"/>
      <w:sz w:val="18"/>
      <w:lang w:val="es-ES"/>
    </w:rPr>
  </w:style>
  <w:style w:type="character" w:styleId="FootnoteReference">
    <w:name w:val="footnote reference"/>
    <w:semiHidden/>
    <w:rsid w:val="002B3106"/>
    <w:rPr>
      <w:color w:val="auto"/>
      <w:vertAlign w:val="baseline"/>
    </w:rPr>
  </w:style>
  <w:style w:type="paragraph" w:customStyle="1" w:styleId="19">
    <w:name w:val="19"/>
    <w:basedOn w:val="0"/>
    <w:rsid w:val="000236C8"/>
    <w:rPr>
      <w:snapToGrid w:val="0"/>
    </w:rPr>
  </w:style>
  <w:style w:type="character" w:styleId="Hyperlink">
    <w:name w:val="Hyperlink"/>
    <w:semiHidden/>
    <w:rsid w:val="00A07058"/>
    <w:rPr>
      <w:color w:val="0000FF"/>
      <w:u w:val="single"/>
    </w:rPr>
  </w:style>
  <w:style w:type="paragraph" w:styleId="ListParagraph">
    <w:name w:val="List Paragraph"/>
    <w:basedOn w:val="Normal"/>
    <w:uiPriority w:val="34"/>
    <w:qFormat/>
    <w:rsid w:val="00A07058"/>
    <w:pPr>
      <w:ind w:left="720"/>
      <w:jc w:val="left"/>
    </w:pPr>
    <w:rPr>
      <w:sz w:val="24"/>
      <w:szCs w:val="24"/>
      <w:lang w:val="en-US"/>
    </w:rPr>
  </w:style>
  <w:style w:type="paragraph" w:customStyle="1" w:styleId="CPClassification">
    <w:name w:val="CP Classification"/>
    <w:basedOn w:val="Normal"/>
    <w:rsid w:val="005858E5"/>
    <w:pPr>
      <w:tabs>
        <w:tab w:val="center" w:pos="2160"/>
        <w:tab w:val="left" w:pos="7200"/>
      </w:tabs>
      <w:ind w:left="7200" w:right="-360"/>
    </w:pPr>
    <w:rPr>
      <w:lang w:val="pt-PT"/>
    </w:rPr>
  </w:style>
  <w:style w:type="character" w:styleId="CommentReference">
    <w:name w:val="annotation reference"/>
    <w:semiHidden/>
    <w:rsid w:val="00C964E8"/>
    <w:rPr>
      <w:sz w:val="16"/>
      <w:szCs w:val="16"/>
    </w:rPr>
  </w:style>
  <w:style w:type="paragraph" w:styleId="CommentText">
    <w:name w:val="annotation text"/>
    <w:basedOn w:val="Normal"/>
    <w:semiHidden/>
    <w:rsid w:val="00C964E8"/>
    <w:rPr>
      <w:sz w:val="20"/>
    </w:rPr>
  </w:style>
  <w:style w:type="paragraph" w:styleId="CommentSubject">
    <w:name w:val="annotation subject"/>
    <w:basedOn w:val="CommentText"/>
    <w:next w:val="CommentText"/>
    <w:semiHidden/>
    <w:rsid w:val="00C964E8"/>
    <w:rPr>
      <w:b/>
      <w:bCs/>
    </w:rPr>
  </w:style>
  <w:style w:type="paragraph" w:customStyle="1" w:styleId="Style2">
    <w:name w:val="Style2"/>
    <w:basedOn w:val="Heading2"/>
    <w:link w:val="Style2Char"/>
    <w:autoRedefine/>
    <w:rsid w:val="0070390C"/>
    <w:pPr>
      <w:keepNext w:val="0"/>
      <w:tabs>
        <w:tab w:val="left" w:pos="720"/>
        <w:tab w:val="left" w:pos="1440"/>
        <w:tab w:val="left" w:pos="2160"/>
        <w:tab w:val="left" w:pos="2880"/>
        <w:tab w:val="left" w:pos="3600"/>
      </w:tabs>
      <w:spacing w:before="0" w:after="0"/>
      <w:jc w:val="center"/>
    </w:pPr>
    <w:rPr>
      <w:rFonts w:ascii="Times New Roman" w:hAnsi="Times New Roman"/>
      <w:b w:val="0"/>
      <w:bCs w:val="0"/>
      <w:i w:val="0"/>
      <w:caps/>
      <w:noProof/>
      <w:kern w:val="32"/>
      <w:sz w:val="22"/>
      <w:szCs w:val="22"/>
      <w:lang w:val="pt-BR"/>
    </w:rPr>
  </w:style>
  <w:style w:type="character" w:customStyle="1" w:styleId="Style2Char">
    <w:name w:val="Style2 Char"/>
    <w:link w:val="Style2"/>
    <w:locked/>
    <w:rsid w:val="0070390C"/>
    <w:rPr>
      <w:rFonts w:cs="Arial"/>
      <w:iCs/>
      <w:caps/>
      <w:noProof/>
      <w:kern w:val="32"/>
      <w:sz w:val="22"/>
      <w:szCs w:val="22"/>
      <w:lang w:val="pt-BR" w:eastAsia="en-US" w:bidi="ar-SA"/>
    </w:rPr>
  </w:style>
  <w:style w:type="character" w:customStyle="1" w:styleId="HeaderChar">
    <w:name w:val="Header Char"/>
    <w:aliases w:val="encabezado Char"/>
    <w:link w:val="Header"/>
    <w:uiPriority w:val="99"/>
    <w:rsid w:val="00C75DF5"/>
    <w:rPr>
      <w:sz w:val="22"/>
      <w:lang w:val="es-AR"/>
    </w:rPr>
  </w:style>
  <w:style w:type="character" w:customStyle="1" w:styleId="CharChar1">
    <w:name w:val="Char Char1"/>
    <w:rsid w:val="00F376B8"/>
    <w:rPr>
      <w:sz w:val="22"/>
      <w:lang w:val="es-AR" w:eastAsia="en-US" w:bidi="ar-SA"/>
    </w:rPr>
  </w:style>
  <w:style w:type="character" w:styleId="FollowedHyperlink">
    <w:name w:val="FollowedHyperlink"/>
    <w:rsid w:val="00A557F9"/>
    <w:rPr>
      <w:color w:val="800080"/>
      <w:u w:val="single"/>
    </w:rPr>
  </w:style>
  <w:style w:type="character" w:customStyle="1" w:styleId="apple-style-span">
    <w:name w:val="apple-style-span"/>
    <w:basedOn w:val="DefaultParagraphFont"/>
    <w:rsid w:val="006158A9"/>
  </w:style>
  <w:style w:type="character" w:customStyle="1" w:styleId="Heading1CharCharChar">
    <w:name w:val="Heading 1 Char Char Char"/>
    <w:aliases w:val="Heading 1 Char1 Char,Heading 1 Char1 Car Char Char"/>
    <w:rsid w:val="00082959"/>
    <w:rPr>
      <w:rFonts w:eastAsia="Calibri"/>
      <w:bCs/>
      <w:color w:val="000000"/>
      <w:sz w:val="22"/>
      <w:szCs w:val="28"/>
      <w:lang w:val="es-ES" w:eastAsia="es-ES"/>
    </w:rPr>
  </w:style>
  <w:style w:type="character" w:customStyle="1" w:styleId="Heading2Char">
    <w:name w:val="Heading 2 Char"/>
    <w:link w:val="Heading2"/>
    <w:rsid w:val="00082959"/>
    <w:rPr>
      <w:rFonts w:ascii="Arial" w:hAnsi="Arial" w:cs="Arial"/>
      <w:b/>
      <w:bCs/>
      <w:i/>
      <w:iCs/>
      <w:sz w:val="28"/>
      <w:szCs w:val="28"/>
      <w:lang w:val="es-AR" w:eastAsia="en-US" w:bidi="ar-SA"/>
    </w:rPr>
  </w:style>
  <w:style w:type="paragraph" w:styleId="TOC1">
    <w:name w:val="toc 1"/>
    <w:basedOn w:val="Normal"/>
    <w:next w:val="Normal"/>
    <w:autoRedefine/>
    <w:semiHidden/>
    <w:rsid w:val="004F78DB"/>
    <w:pPr>
      <w:tabs>
        <w:tab w:val="left" w:pos="720"/>
      </w:tabs>
      <w:ind w:left="720" w:hanging="720"/>
    </w:pPr>
    <w:rPr>
      <w:bCs/>
      <w:noProof/>
      <w:color w:val="000000"/>
      <w:szCs w:val="22"/>
      <w:lang w:val="es-ES"/>
    </w:rPr>
  </w:style>
  <w:style w:type="paragraph" w:styleId="PlainText">
    <w:name w:val="Plain Text"/>
    <w:basedOn w:val="Normal"/>
    <w:link w:val="PlainTextChar"/>
    <w:rsid w:val="00F843CA"/>
    <w:pPr>
      <w:jc w:val="left"/>
    </w:pPr>
    <w:rPr>
      <w:rFonts w:ascii="Calibri" w:hAnsi="Calibri"/>
      <w:szCs w:val="21"/>
      <w:lang w:val="en-US"/>
    </w:rPr>
  </w:style>
  <w:style w:type="character" w:customStyle="1" w:styleId="PlainTextChar">
    <w:name w:val="Plain Text Char"/>
    <w:link w:val="PlainText"/>
    <w:locked/>
    <w:rsid w:val="00F843CA"/>
    <w:rPr>
      <w:rFonts w:ascii="Calibri" w:hAnsi="Calibri"/>
      <w:sz w:val="22"/>
      <w:szCs w:val="21"/>
      <w:lang w:val="en-US" w:eastAsia="en-US" w:bidi="ar-SA"/>
    </w:rPr>
  </w:style>
  <w:style w:type="paragraph" w:customStyle="1" w:styleId="msolistparagraph0">
    <w:name w:val="msolistparagraph"/>
    <w:basedOn w:val="Normal"/>
    <w:rsid w:val="00133F15"/>
    <w:pPr>
      <w:ind w:left="720"/>
      <w:jc w:val="left"/>
    </w:pPr>
    <w:rPr>
      <w:sz w:val="24"/>
      <w:szCs w:val="24"/>
      <w:lang w:val="en-US"/>
    </w:rPr>
  </w:style>
  <w:style w:type="paragraph" w:styleId="Title">
    <w:name w:val="Title"/>
    <w:basedOn w:val="Normal"/>
    <w:link w:val="TitleChar"/>
    <w:qFormat/>
    <w:rsid w:val="004E2594"/>
    <w:pPr>
      <w:spacing w:before="240" w:after="60"/>
      <w:jc w:val="center"/>
      <w:outlineLvl w:val="0"/>
    </w:pPr>
    <w:rPr>
      <w:b/>
      <w:bCs/>
      <w:caps/>
      <w:snapToGrid w:val="0"/>
      <w:kern w:val="28"/>
      <w:szCs w:val="22"/>
      <w:lang w:val="es-ES" w:eastAsia="es-ES"/>
    </w:rPr>
  </w:style>
  <w:style w:type="character" w:customStyle="1" w:styleId="TitleChar">
    <w:name w:val="Title Char"/>
    <w:link w:val="Title"/>
    <w:rsid w:val="004E2594"/>
    <w:rPr>
      <w:b/>
      <w:bCs/>
      <w:caps/>
      <w:snapToGrid w:val="0"/>
      <w:kern w:val="28"/>
      <w:sz w:val="22"/>
      <w:szCs w:val="22"/>
      <w:lang w:val="es-ES" w:eastAsia="es-ES" w:bidi="ar-SA"/>
    </w:rPr>
  </w:style>
  <w:style w:type="character" w:customStyle="1" w:styleId="FootnoteTextChar">
    <w:name w:val="Footnote Text Char"/>
    <w:aliases w:val="footnote text Char"/>
    <w:basedOn w:val="DefaultParagraphFont"/>
    <w:link w:val="FootnoteText"/>
    <w:semiHidden/>
    <w:locked/>
    <w:rsid w:val="008644F3"/>
    <w:rPr>
      <w:rFonts w:ascii="CG Times" w:hAnsi="CG Times"/>
      <w:sz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2374">
      <w:bodyDiv w:val="1"/>
      <w:marLeft w:val="0"/>
      <w:marRight w:val="0"/>
      <w:marTop w:val="0"/>
      <w:marBottom w:val="0"/>
      <w:divBdr>
        <w:top w:val="none" w:sz="0" w:space="0" w:color="auto"/>
        <w:left w:val="none" w:sz="0" w:space="0" w:color="auto"/>
        <w:bottom w:val="none" w:sz="0" w:space="0" w:color="auto"/>
        <w:right w:val="none" w:sz="0" w:space="0" w:color="auto"/>
      </w:divBdr>
    </w:div>
    <w:div w:id="262301325">
      <w:bodyDiv w:val="1"/>
      <w:marLeft w:val="0"/>
      <w:marRight w:val="0"/>
      <w:marTop w:val="0"/>
      <w:marBottom w:val="0"/>
      <w:divBdr>
        <w:top w:val="none" w:sz="0" w:space="0" w:color="auto"/>
        <w:left w:val="none" w:sz="0" w:space="0" w:color="auto"/>
        <w:bottom w:val="none" w:sz="0" w:space="0" w:color="auto"/>
        <w:right w:val="none" w:sz="0" w:space="0" w:color="auto"/>
      </w:divBdr>
    </w:div>
    <w:div w:id="296836406">
      <w:bodyDiv w:val="1"/>
      <w:marLeft w:val="0"/>
      <w:marRight w:val="0"/>
      <w:marTop w:val="0"/>
      <w:marBottom w:val="0"/>
      <w:divBdr>
        <w:top w:val="none" w:sz="0" w:space="0" w:color="auto"/>
        <w:left w:val="none" w:sz="0" w:space="0" w:color="auto"/>
        <w:bottom w:val="none" w:sz="0" w:space="0" w:color="auto"/>
        <w:right w:val="none" w:sz="0" w:space="0" w:color="auto"/>
      </w:divBdr>
    </w:div>
    <w:div w:id="303702366">
      <w:bodyDiv w:val="1"/>
      <w:marLeft w:val="0"/>
      <w:marRight w:val="0"/>
      <w:marTop w:val="0"/>
      <w:marBottom w:val="0"/>
      <w:divBdr>
        <w:top w:val="none" w:sz="0" w:space="0" w:color="auto"/>
        <w:left w:val="none" w:sz="0" w:space="0" w:color="auto"/>
        <w:bottom w:val="none" w:sz="0" w:space="0" w:color="auto"/>
        <w:right w:val="none" w:sz="0" w:space="0" w:color="auto"/>
      </w:divBdr>
    </w:div>
    <w:div w:id="356587110">
      <w:bodyDiv w:val="1"/>
      <w:marLeft w:val="0"/>
      <w:marRight w:val="0"/>
      <w:marTop w:val="0"/>
      <w:marBottom w:val="0"/>
      <w:divBdr>
        <w:top w:val="none" w:sz="0" w:space="0" w:color="auto"/>
        <w:left w:val="none" w:sz="0" w:space="0" w:color="auto"/>
        <w:bottom w:val="none" w:sz="0" w:space="0" w:color="auto"/>
        <w:right w:val="none" w:sz="0" w:space="0" w:color="auto"/>
      </w:divBdr>
    </w:div>
    <w:div w:id="360857757">
      <w:bodyDiv w:val="1"/>
      <w:marLeft w:val="0"/>
      <w:marRight w:val="0"/>
      <w:marTop w:val="0"/>
      <w:marBottom w:val="0"/>
      <w:divBdr>
        <w:top w:val="none" w:sz="0" w:space="0" w:color="auto"/>
        <w:left w:val="none" w:sz="0" w:space="0" w:color="auto"/>
        <w:bottom w:val="none" w:sz="0" w:space="0" w:color="auto"/>
        <w:right w:val="none" w:sz="0" w:space="0" w:color="auto"/>
      </w:divBdr>
    </w:div>
    <w:div w:id="708191145">
      <w:bodyDiv w:val="1"/>
      <w:marLeft w:val="0"/>
      <w:marRight w:val="0"/>
      <w:marTop w:val="0"/>
      <w:marBottom w:val="0"/>
      <w:divBdr>
        <w:top w:val="none" w:sz="0" w:space="0" w:color="auto"/>
        <w:left w:val="none" w:sz="0" w:space="0" w:color="auto"/>
        <w:bottom w:val="none" w:sz="0" w:space="0" w:color="auto"/>
        <w:right w:val="none" w:sz="0" w:space="0" w:color="auto"/>
      </w:divBdr>
    </w:div>
    <w:div w:id="1038093849">
      <w:bodyDiv w:val="1"/>
      <w:marLeft w:val="0"/>
      <w:marRight w:val="0"/>
      <w:marTop w:val="0"/>
      <w:marBottom w:val="0"/>
      <w:divBdr>
        <w:top w:val="none" w:sz="0" w:space="0" w:color="auto"/>
        <w:left w:val="none" w:sz="0" w:space="0" w:color="auto"/>
        <w:bottom w:val="none" w:sz="0" w:space="0" w:color="auto"/>
        <w:right w:val="none" w:sz="0" w:space="0" w:color="auto"/>
      </w:divBdr>
    </w:div>
    <w:div w:id="1142650950">
      <w:bodyDiv w:val="1"/>
      <w:marLeft w:val="0"/>
      <w:marRight w:val="0"/>
      <w:marTop w:val="0"/>
      <w:marBottom w:val="0"/>
      <w:divBdr>
        <w:top w:val="none" w:sz="0" w:space="0" w:color="auto"/>
        <w:left w:val="none" w:sz="0" w:space="0" w:color="auto"/>
        <w:bottom w:val="none" w:sz="0" w:space="0" w:color="auto"/>
        <w:right w:val="none" w:sz="0" w:space="0" w:color="auto"/>
      </w:divBdr>
    </w:div>
    <w:div w:id="1216358998">
      <w:bodyDiv w:val="1"/>
      <w:marLeft w:val="0"/>
      <w:marRight w:val="0"/>
      <w:marTop w:val="0"/>
      <w:marBottom w:val="0"/>
      <w:divBdr>
        <w:top w:val="none" w:sz="0" w:space="0" w:color="auto"/>
        <w:left w:val="none" w:sz="0" w:space="0" w:color="auto"/>
        <w:bottom w:val="none" w:sz="0" w:space="0" w:color="auto"/>
        <w:right w:val="none" w:sz="0" w:space="0" w:color="auto"/>
      </w:divBdr>
    </w:div>
    <w:div w:id="1593274303">
      <w:bodyDiv w:val="1"/>
      <w:marLeft w:val="0"/>
      <w:marRight w:val="0"/>
      <w:marTop w:val="0"/>
      <w:marBottom w:val="0"/>
      <w:divBdr>
        <w:top w:val="none" w:sz="0" w:space="0" w:color="auto"/>
        <w:left w:val="none" w:sz="0" w:space="0" w:color="auto"/>
        <w:bottom w:val="none" w:sz="0" w:space="0" w:color="auto"/>
        <w:right w:val="none" w:sz="0" w:space="0" w:color="auto"/>
      </w:divBdr>
    </w:div>
    <w:div w:id="200562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9473-3CF6-42B4-B92F-B5DFE5B34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6407</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COMISIÓN PREPARATORIA</vt:lpstr>
      <vt:lpstr>COMISIÓN PREPARATORIA</vt:lpstr>
    </vt:vector>
  </TitlesOfParts>
  <Company>OAS</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PREPARATORIA</dc:title>
  <dc:creator>Estela Diaz-Avalos</dc:creator>
  <cp:lastModifiedBy>Salas, Soledad</cp:lastModifiedBy>
  <cp:revision>3</cp:revision>
  <cp:lastPrinted>2019-05-16T20:00:00Z</cp:lastPrinted>
  <dcterms:created xsi:type="dcterms:W3CDTF">2020-11-11T20:39:00Z</dcterms:created>
  <dcterms:modified xsi:type="dcterms:W3CDTF">2020-11-11T20:46:00Z</dcterms:modified>
</cp:coreProperties>
</file>