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04" w:rsidRPr="004A1D47" w:rsidRDefault="002B5804" w:rsidP="002B5804">
      <w:pPr>
        <w:rPr>
          <w:lang w:val="es-CO"/>
        </w:rPr>
      </w:pPr>
    </w:p>
    <w:p w:rsidR="002B5804" w:rsidRPr="004A1D47" w:rsidRDefault="004D0816" w:rsidP="002B5804">
      <w:pPr>
        <w:ind w:right="-1109"/>
        <w:rPr>
          <w:szCs w:val="22"/>
        </w:rPr>
      </w:pPr>
      <w:r>
        <w:rPr>
          <w:lang w:val="es-CO" w:eastAsia="es-ES_trad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5.3pt;margin-top:-50.4pt;width:320.05pt;height:28.05pt;z-index:-251658752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1027" DrawAspect="Content" ObjectID="_1666614619" r:id="rId9"/>
        </w:object>
      </w:r>
      <w:r w:rsidR="002B5804" w:rsidRPr="004A1D47">
        <w:rPr>
          <w:lang w:val="es-ES"/>
        </w:rPr>
        <w:t>QUINCUAGÉSIMO</w:t>
      </w:r>
      <w:r w:rsidR="002B5804" w:rsidRPr="004A1D47">
        <w:rPr>
          <w:szCs w:val="22"/>
          <w:lang w:val="es-ES"/>
        </w:rPr>
        <w:t xml:space="preserve"> </w:t>
      </w:r>
      <w:r w:rsidR="002B5804" w:rsidRPr="004A1D47">
        <w:rPr>
          <w:szCs w:val="22"/>
        </w:rPr>
        <w:t>PERÍODO ORDINARIO DE SESIONES</w:t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  <w:t>OEA/</w:t>
      </w:r>
      <w:proofErr w:type="spellStart"/>
      <w:r w:rsidR="002B5804" w:rsidRPr="004A1D47">
        <w:rPr>
          <w:szCs w:val="22"/>
        </w:rPr>
        <w:t>Ser.P</w:t>
      </w:r>
      <w:proofErr w:type="spellEnd"/>
    </w:p>
    <w:p w:rsidR="002B5804" w:rsidRPr="004A1D47" w:rsidRDefault="00F16465" w:rsidP="002B5804">
      <w:pPr>
        <w:tabs>
          <w:tab w:val="center" w:pos="2160"/>
        </w:tabs>
        <w:ind w:right="-1469"/>
        <w:jc w:val="left"/>
        <w:rPr>
          <w:szCs w:val="22"/>
        </w:rPr>
      </w:pPr>
      <w:r>
        <w:rPr>
          <w:color w:val="000000"/>
          <w:szCs w:val="22"/>
        </w:rPr>
        <w:t xml:space="preserve">20 y </w:t>
      </w:r>
      <w:r w:rsidR="002B5804" w:rsidRPr="004A1D47">
        <w:rPr>
          <w:color w:val="000000"/>
          <w:szCs w:val="22"/>
        </w:rPr>
        <w:t>21</w:t>
      </w:r>
      <w:r w:rsidR="002B5804" w:rsidRPr="004A1D47">
        <w:rPr>
          <w:szCs w:val="22"/>
        </w:rPr>
        <w:t xml:space="preserve"> de octubre de 2020</w:t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</w:r>
      <w:r w:rsidR="002B5804" w:rsidRPr="004A1D47">
        <w:rPr>
          <w:szCs w:val="22"/>
        </w:rPr>
        <w:tab/>
        <w:t>AG/doc.</w:t>
      </w:r>
      <w:r w:rsidR="006A116E" w:rsidRPr="004A1D47">
        <w:rPr>
          <w:szCs w:val="22"/>
        </w:rPr>
        <w:t>5688</w:t>
      </w:r>
      <w:r w:rsidR="002B5804" w:rsidRPr="004A1D47">
        <w:rPr>
          <w:szCs w:val="22"/>
        </w:rPr>
        <w:t>/20</w:t>
      </w:r>
      <w:r w:rsidR="00775121" w:rsidRPr="004A1D47">
        <w:rPr>
          <w:szCs w:val="22"/>
        </w:rPr>
        <w:t xml:space="preserve"> </w:t>
      </w:r>
      <w:proofErr w:type="spellStart"/>
      <w:r w:rsidR="00775121" w:rsidRPr="004A1D47">
        <w:rPr>
          <w:szCs w:val="22"/>
        </w:rPr>
        <w:t>rev.</w:t>
      </w:r>
      <w:proofErr w:type="spellEnd"/>
      <w:r w:rsidR="004A1D47">
        <w:rPr>
          <w:szCs w:val="22"/>
        </w:rPr>
        <w:t xml:space="preserve"> </w:t>
      </w:r>
      <w:r w:rsidR="00B26FE3">
        <w:rPr>
          <w:szCs w:val="22"/>
        </w:rPr>
        <w:t>2</w:t>
      </w:r>
    </w:p>
    <w:p w:rsidR="00215EDB" w:rsidRDefault="00215EDB" w:rsidP="002B5804">
      <w:pPr>
        <w:ind w:right="-1109"/>
      </w:pPr>
      <w:r>
        <w:t>Washington, D.C., Estados Unidos de América</w:t>
      </w:r>
      <w:r w:rsidRPr="004A1D4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Cs w:val="22"/>
        </w:rPr>
        <w:t>27</w:t>
      </w:r>
      <w:r w:rsidRPr="004A1D47">
        <w:rPr>
          <w:szCs w:val="22"/>
        </w:rPr>
        <w:t xml:space="preserve"> octubre 2020</w:t>
      </w:r>
    </w:p>
    <w:p w:rsidR="002B5804" w:rsidRPr="004A1D47" w:rsidRDefault="002B5804" w:rsidP="00215EDB">
      <w:pPr>
        <w:ind w:right="-1109"/>
        <w:rPr>
          <w:szCs w:val="22"/>
        </w:rPr>
      </w:pPr>
      <w:r w:rsidRPr="004A1D47">
        <w:t xml:space="preserve">VIRTUAL </w:t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</w:r>
      <w:r w:rsidRPr="004A1D47">
        <w:rPr>
          <w:szCs w:val="22"/>
        </w:rPr>
        <w:tab/>
        <w:t>Original: español</w:t>
      </w:r>
    </w:p>
    <w:p w:rsidR="002B5804" w:rsidRPr="004A1D47" w:rsidRDefault="002B5804" w:rsidP="002B5804">
      <w:pPr>
        <w:rPr>
          <w:szCs w:val="22"/>
        </w:rPr>
      </w:pPr>
    </w:p>
    <w:p w:rsidR="008F6878" w:rsidRPr="004A1D47" w:rsidRDefault="008F6878" w:rsidP="008F6878">
      <w:pPr>
        <w:tabs>
          <w:tab w:val="left" w:pos="7560"/>
        </w:tabs>
        <w:jc w:val="right"/>
        <w:rPr>
          <w:szCs w:val="22"/>
          <w:u w:val="single"/>
        </w:rPr>
      </w:pPr>
      <w:r w:rsidRPr="004A1D47">
        <w:rPr>
          <w:szCs w:val="22"/>
          <w:u w:val="single"/>
        </w:rPr>
        <w:t>Punto 1 del temario</w:t>
      </w:r>
    </w:p>
    <w:p w:rsidR="002B5804" w:rsidRPr="004A1D47" w:rsidRDefault="002B5804" w:rsidP="002B5804">
      <w:pPr>
        <w:rPr>
          <w:szCs w:val="22"/>
        </w:rPr>
      </w:pPr>
    </w:p>
    <w:p w:rsidR="006847B2" w:rsidRPr="004A1D47" w:rsidRDefault="006847B2" w:rsidP="005858E5">
      <w:pPr>
        <w:tabs>
          <w:tab w:val="left" w:pos="7560"/>
        </w:tabs>
        <w:jc w:val="center"/>
        <w:rPr>
          <w:szCs w:val="22"/>
        </w:rPr>
      </w:pPr>
    </w:p>
    <w:p w:rsidR="00C7495F" w:rsidRPr="004A1D47" w:rsidRDefault="00487EAF" w:rsidP="00487EAF">
      <w:pPr>
        <w:pStyle w:val="Header"/>
        <w:tabs>
          <w:tab w:val="clear" w:pos="4320"/>
          <w:tab w:val="clear" w:pos="8640"/>
        </w:tabs>
        <w:jc w:val="center"/>
        <w:rPr>
          <w:szCs w:val="22"/>
        </w:rPr>
      </w:pPr>
      <w:r w:rsidRPr="004A1D47">
        <w:rPr>
          <w:szCs w:val="22"/>
        </w:rPr>
        <w:t>TEMARIO PARA EL</w:t>
      </w:r>
      <w:r w:rsidR="0052504F" w:rsidRPr="004A1D47">
        <w:rPr>
          <w:szCs w:val="22"/>
        </w:rPr>
        <w:t xml:space="preserve"> </w:t>
      </w:r>
      <w:r w:rsidR="004D5B01" w:rsidRPr="004A1D47">
        <w:rPr>
          <w:szCs w:val="22"/>
        </w:rPr>
        <w:t xml:space="preserve">QUINCUAGÉSIMO </w:t>
      </w:r>
      <w:r w:rsidRPr="004A1D47">
        <w:rPr>
          <w:szCs w:val="22"/>
        </w:rPr>
        <w:t xml:space="preserve">PERÍODO ORDINARIO DE SESIONES DE </w:t>
      </w:r>
      <w:r w:rsidR="005472B9">
        <w:rPr>
          <w:szCs w:val="22"/>
        </w:rPr>
        <w:br/>
      </w:r>
      <w:r w:rsidRPr="004A1D47">
        <w:rPr>
          <w:szCs w:val="22"/>
        </w:rPr>
        <w:t>LA</w:t>
      </w:r>
      <w:r w:rsidR="0052504F" w:rsidRPr="004A1D47">
        <w:rPr>
          <w:szCs w:val="22"/>
        </w:rPr>
        <w:t xml:space="preserve"> </w:t>
      </w:r>
      <w:r w:rsidRPr="004A1D47">
        <w:rPr>
          <w:szCs w:val="22"/>
        </w:rPr>
        <w:t>ASAMBLEA GENERAL</w:t>
      </w:r>
      <w:r w:rsidR="00B26FE3" w:rsidRPr="00B26FE3">
        <w:rPr>
          <w:rStyle w:val="FootnoteReference"/>
          <w:sz w:val="20"/>
          <w:u w:val="single"/>
          <w:vertAlign w:val="superscript"/>
        </w:rPr>
        <w:footnoteReference w:id="1"/>
      </w:r>
      <w:r w:rsidR="00B26FE3" w:rsidRPr="00B26FE3">
        <w:rPr>
          <w:sz w:val="20"/>
          <w:vertAlign w:val="superscript"/>
        </w:rPr>
        <w:t>/</w:t>
      </w:r>
    </w:p>
    <w:p w:rsidR="00ED7FAC" w:rsidRPr="004A1D47" w:rsidRDefault="00ED7FAC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</w:p>
    <w:p w:rsidR="00EF0B69" w:rsidRPr="004A1D47" w:rsidRDefault="00C35170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  <w:r w:rsidRPr="004A1D47">
        <w:rPr>
          <w:szCs w:val="22"/>
        </w:rPr>
        <w:t>(Aprobado en la primera sesión plenaria, celebrada el 20</w:t>
      </w:r>
      <w:r w:rsidR="006111F9" w:rsidRPr="004A1D47">
        <w:rPr>
          <w:szCs w:val="22"/>
        </w:rPr>
        <w:t xml:space="preserve"> de octubre de 2020</w:t>
      </w:r>
      <w:r w:rsidR="00323831" w:rsidRPr="004A1D47">
        <w:rPr>
          <w:szCs w:val="22"/>
        </w:rPr>
        <w:t>)</w:t>
      </w:r>
    </w:p>
    <w:p w:rsidR="00B1513A" w:rsidRPr="004A1D47" w:rsidRDefault="00B1513A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</w:p>
    <w:p w:rsidR="00BF65EF" w:rsidRPr="004A1D47" w:rsidRDefault="00BF65EF" w:rsidP="00487EAF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Cs w:val="22"/>
        </w:rPr>
      </w:pPr>
    </w:p>
    <w:p w:rsidR="00A07058" w:rsidRPr="004A1D47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szCs w:val="22"/>
          <w:lang w:val="es-ES"/>
        </w:rPr>
        <w:t xml:space="preserve">Aprobación del </w:t>
      </w:r>
      <w:r w:rsidR="004427FB" w:rsidRPr="004A1D47">
        <w:rPr>
          <w:szCs w:val="22"/>
          <w:lang w:val="es-ES"/>
        </w:rPr>
        <w:t xml:space="preserve">proyecto de </w:t>
      </w:r>
      <w:r w:rsidRPr="004A1D47">
        <w:rPr>
          <w:szCs w:val="22"/>
          <w:lang w:val="es-ES"/>
        </w:rPr>
        <w:t>temario de la Asamblea General</w:t>
      </w:r>
      <w:r w:rsidR="00933AA0" w:rsidRPr="004A1D47">
        <w:rPr>
          <w:szCs w:val="22"/>
          <w:lang w:val="es-ES"/>
        </w:rPr>
        <w:t xml:space="preserve"> </w:t>
      </w:r>
    </w:p>
    <w:p w:rsidR="00A07058" w:rsidRPr="004A1D47" w:rsidRDefault="00A07058" w:rsidP="0091369B">
      <w:pPr>
        <w:ind w:right="24" w:firstLine="748"/>
        <w:rPr>
          <w:szCs w:val="22"/>
          <w:lang w:val="es-ES"/>
        </w:rPr>
      </w:pPr>
    </w:p>
    <w:p w:rsidR="00A07058" w:rsidRPr="004A1D47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szCs w:val="22"/>
          <w:lang w:val="es-ES"/>
        </w:rPr>
        <w:t xml:space="preserve">Aprobación de las recomendaciones de la Comisión Preparatoria del </w:t>
      </w:r>
      <w:r w:rsidR="00D75FC6" w:rsidRPr="004A1D47">
        <w:rPr>
          <w:szCs w:val="22"/>
          <w:lang w:val="es-ES"/>
        </w:rPr>
        <w:t xml:space="preserve">quincuagésimo </w:t>
      </w:r>
      <w:r w:rsidRPr="004A1D47">
        <w:rPr>
          <w:szCs w:val="22"/>
          <w:lang w:val="es-ES"/>
        </w:rPr>
        <w:t>período ordinario de sesiones de la Asamblea General</w:t>
      </w:r>
    </w:p>
    <w:p w:rsidR="00A07058" w:rsidRPr="004A1D47" w:rsidRDefault="00A07058" w:rsidP="0091369B">
      <w:pPr>
        <w:ind w:right="24" w:firstLine="748"/>
        <w:rPr>
          <w:szCs w:val="22"/>
          <w:lang w:val="es-ES"/>
        </w:rPr>
      </w:pPr>
    </w:p>
    <w:p w:rsidR="00A07058" w:rsidRPr="004A1D47" w:rsidRDefault="00A07058" w:rsidP="0091369B">
      <w:pPr>
        <w:numPr>
          <w:ilvl w:val="0"/>
          <w:numId w:val="2"/>
        </w:numPr>
        <w:ind w:right="24"/>
        <w:rPr>
          <w:i/>
          <w:szCs w:val="22"/>
          <w:lang w:val="es-ES"/>
        </w:rPr>
      </w:pPr>
      <w:r w:rsidRPr="004A1D47">
        <w:rPr>
          <w:szCs w:val="22"/>
          <w:lang w:val="es-ES"/>
        </w:rPr>
        <w:t>Informe anual de la Secretaría General sobre las actividades y el estado financiero de la Organización</w:t>
      </w:r>
      <w:r w:rsidR="00933AA0" w:rsidRPr="004A1D47">
        <w:rPr>
          <w:szCs w:val="22"/>
          <w:lang w:val="es-ES"/>
        </w:rPr>
        <w:t xml:space="preserve"> </w:t>
      </w:r>
    </w:p>
    <w:p w:rsidR="00A07058" w:rsidRPr="004A1D47" w:rsidRDefault="00A07058" w:rsidP="0091369B">
      <w:pPr>
        <w:ind w:right="24" w:firstLine="748"/>
        <w:rPr>
          <w:szCs w:val="22"/>
          <w:lang w:val="es-ES"/>
        </w:rPr>
      </w:pPr>
    </w:p>
    <w:p w:rsidR="00A07058" w:rsidRPr="004A1D47" w:rsidRDefault="00A07058" w:rsidP="00933AA0">
      <w:pPr>
        <w:pStyle w:val="19"/>
        <w:widowControl/>
        <w:numPr>
          <w:ilvl w:val="0"/>
          <w:numId w:val="2"/>
        </w:numPr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Informe del Secretario General sobre Credenciales</w:t>
      </w:r>
    </w:p>
    <w:p w:rsidR="00A07058" w:rsidRPr="004A1D47" w:rsidRDefault="00A07058" w:rsidP="0091369B">
      <w:pPr>
        <w:pStyle w:val="19"/>
        <w:widowControl/>
        <w:spacing w:line="240" w:lineRule="auto"/>
        <w:ind w:right="24" w:firstLine="748"/>
        <w:jc w:val="both"/>
        <w:rPr>
          <w:sz w:val="22"/>
          <w:szCs w:val="22"/>
        </w:rPr>
      </w:pPr>
    </w:p>
    <w:p w:rsidR="00BB5474" w:rsidRPr="004A1D47" w:rsidRDefault="00A07058" w:rsidP="00BB5474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noProof/>
          <w:szCs w:val="22"/>
          <w:lang w:val="es-ES"/>
        </w:rPr>
        <w:t>Informe Anual del Consejo Permanente</w:t>
      </w:r>
      <w:r w:rsidR="00933AA0" w:rsidRPr="004A1D47">
        <w:rPr>
          <w:noProof/>
          <w:szCs w:val="22"/>
          <w:lang w:val="es-ES"/>
        </w:rPr>
        <w:t xml:space="preserve"> </w:t>
      </w:r>
    </w:p>
    <w:p w:rsidR="003E74F9" w:rsidRPr="004A1D47" w:rsidRDefault="003E74F9" w:rsidP="003E74F9">
      <w:pPr>
        <w:pStyle w:val="ListParagraph"/>
        <w:rPr>
          <w:sz w:val="22"/>
          <w:szCs w:val="22"/>
          <w:lang w:val="es-ES"/>
        </w:rPr>
      </w:pPr>
    </w:p>
    <w:p w:rsidR="003E74F9" w:rsidRPr="004A1D47" w:rsidRDefault="00FE3423" w:rsidP="00BB5474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szCs w:val="22"/>
          <w:lang w:val="es-ES"/>
        </w:rPr>
        <w:t xml:space="preserve">Informe Anual </w:t>
      </w:r>
      <w:r w:rsidR="003E74F9" w:rsidRPr="004A1D47">
        <w:rPr>
          <w:szCs w:val="22"/>
          <w:lang w:val="es-ES"/>
        </w:rPr>
        <w:t>del Consejo Interamericano para el Desarrollo Integral (CIDI)</w:t>
      </w:r>
      <w:r w:rsidR="007D5CBD" w:rsidRPr="004A1D47">
        <w:rPr>
          <w:szCs w:val="22"/>
          <w:lang w:val="es-ES"/>
        </w:rPr>
        <w:t xml:space="preserve"> </w:t>
      </w:r>
    </w:p>
    <w:p w:rsidR="00BB5474" w:rsidRPr="004A1D47" w:rsidRDefault="00BB5474" w:rsidP="00BB5474">
      <w:pPr>
        <w:ind w:left="720" w:right="24"/>
        <w:rPr>
          <w:szCs w:val="22"/>
          <w:lang w:val="es-ES"/>
        </w:rPr>
      </w:pPr>
    </w:p>
    <w:p w:rsidR="00A07058" w:rsidRPr="004A1D47" w:rsidRDefault="00A07058" w:rsidP="0091369B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szCs w:val="22"/>
          <w:lang w:val="es-ES"/>
        </w:rPr>
        <w:t>Observaciones y recomendaciones del Consejo Permanente sobre los informes anuales de los órganos, organismos y entidades de la</w:t>
      </w:r>
      <w:r w:rsidR="000021BF" w:rsidRPr="004A1D47">
        <w:rPr>
          <w:szCs w:val="22"/>
          <w:lang w:val="es-ES"/>
        </w:rPr>
        <w:t xml:space="preserve"> </w:t>
      </w:r>
      <w:r w:rsidR="006E3D4A" w:rsidRPr="004A1D47">
        <w:rPr>
          <w:szCs w:val="22"/>
          <w:lang w:val="es-ES"/>
        </w:rPr>
        <w:t>Organización</w:t>
      </w:r>
      <w:r w:rsidR="00933AA0" w:rsidRPr="004A1D47">
        <w:rPr>
          <w:szCs w:val="22"/>
          <w:lang w:val="es-ES"/>
        </w:rPr>
        <w:t xml:space="preserve"> </w:t>
      </w:r>
    </w:p>
    <w:p w:rsidR="00A07058" w:rsidRPr="004A1D47" w:rsidRDefault="00A07058" w:rsidP="0091369B">
      <w:pPr>
        <w:ind w:right="24" w:firstLine="748"/>
        <w:rPr>
          <w:szCs w:val="22"/>
          <w:lang w:val="es-ES"/>
        </w:rPr>
      </w:pP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Consejo Interamericano para el Desarrollo Integral (CIDI)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 xml:space="preserve">Comité Jurídico Interamericano (CJI) 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Comisión Interamericana de Derechos Humanos (CIDH)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Corte Interamericana de Derechos Humanos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Instituto Interamericano de Cooperación para la Agricultura (IICA)</w:t>
      </w:r>
    </w:p>
    <w:p w:rsidR="00A07058" w:rsidRPr="004A1D47" w:rsidRDefault="00A07058" w:rsidP="0091369B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Organización Panamericana de la Salud (OPS)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Tribunal Administrativo (TRIBAD)</w:t>
      </w:r>
    </w:p>
    <w:p w:rsidR="00FB0EA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Comisión Interamericana de Mujeres (CIM)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 xml:space="preserve">Comisión Interamericana de Telecomunicaciones (CITEL) 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t>Comisión Interamericana para el Control del Abuso de Drogas (CICAD)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jc w:val="both"/>
        <w:rPr>
          <w:sz w:val="22"/>
          <w:szCs w:val="22"/>
        </w:rPr>
      </w:pPr>
      <w:r w:rsidRPr="004A1D47">
        <w:rPr>
          <w:sz w:val="22"/>
          <w:szCs w:val="22"/>
        </w:rPr>
        <w:lastRenderedPageBreak/>
        <w:t>Instituto Interamericano del Niño, la Niña y Adolescentes (IIN)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4A1D47">
        <w:rPr>
          <w:sz w:val="22"/>
          <w:szCs w:val="22"/>
        </w:rPr>
        <w:t>Instituto Panamericano de Geografía e Historia (IPGH)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4A1D47">
        <w:rPr>
          <w:sz w:val="22"/>
          <w:szCs w:val="22"/>
        </w:rPr>
        <w:t>Centro de Estudio de Justicia de las Américas (CEJA)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4A1D47">
        <w:rPr>
          <w:sz w:val="22"/>
          <w:szCs w:val="22"/>
        </w:rPr>
        <w:t>Comité Interamericano contra el Terrorismo (CICTE)</w:t>
      </w:r>
    </w:p>
    <w:p w:rsidR="00A07058" w:rsidRPr="004A1D47" w:rsidRDefault="00A07058" w:rsidP="00B32C03">
      <w:pPr>
        <w:pStyle w:val="0"/>
        <w:widowControl/>
        <w:numPr>
          <w:ilvl w:val="1"/>
          <w:numId w:val="1"/>
        </w:numPr>
        <w:tabs>
          <w:tab w:val="left" w:pos="720"/>
          <w:tab w:val="left" w:pos="1080"/>
          <w:tab w:val="left" w:pos="1440"/>
          <w:tab w:val="left" w:pos="2880"/>
        </w:tabs>
        <w:spacing w:line="240" w:lineRule="auto"/>
        <w:ind w:right="24"/>
        <w:rPr>
          <w:sz w:val="22"/>
          <w:szCs w:val="22"/>
        </w:rPr>
      </w:pPr>
      <w:r w:rsidRPr="004A1D47">
        <w:rPr>
          <w:sz w:val="22"/>
          <w:szCs w:val="22"/>
        </w:rPr>
        <w:t>Junta Interamericana de Defensa (JID)</w:t>
      </w:r>
    </w:p>
    <w:p w:rsidR="00A07058" w:rsidRPr="004A1D47" w:rsidRDefault="00A07058" w:rsidP="0091369B">
      <w:pPr>
        <w:pStyle w:val="0"/>
        <w:widowControl/>
        <w:tabs>
          <w:tab w:val="left" w:pos="360"/>
          <w:tab w:val="left" w:pos="720"/>
          <w:tab w:val="left" w:pos="1440"/>
          <w:tab w:val="left" w:pos="2160"/>
          <w:tab w:val="left" w:pos="2880"/>
        </w:tabs>
        <w:spacing w:line="240" w:lineRule="auto"/>
        <w:ind w:right="24" w:firstLine="748"/>
        <w:rPr>
          <w:sz w:val="22"/>
          <w:szCs w:val="22"/>
        </w:rPr>
      </w:pPr>
    </w:p>
    <w:p w:rsidR="00A07058" w:rsidRPr="004A1D47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szCs w:val="22"/>
        </w:rPr>
        <w:t xml:space="preserve">Determinación de la sede y fecha del </w:t>
      </w:r>
      <w:r w:rsidR="00885DC8" w:rsidRPr="004A1D47">
        <w:rPr>
          <w:szCs w:val="22"/>
        </w:rPr>
        <w:t xml:space="preserve">quincuagésimo </w:t>
      </w:r>
      <w:r w:rsidR="00D75FC6" w:rsidRPr="004A1D47">
        <w:rPr>
          <w:szCs w:val="22"/>
        </w:rPr>
        <w:t xml:space="preserve">primer </w:t>
      </w:r>
      <w:r w:rsidRPr="004A1D47">
        <w:rPr>
          <w:szCs w:val="22"/>
        </w:rPr>
        <w:t>período ordinario de sesiones</w:t>
      </w:r>
    </w:p>
    <w:p w:rsidR="00A07058" w:rsidRPr="004A1D47" w:rsidRDefault="00A07058" w:rsidP="0091369B">
      <w:pPr>
        <w:ind w:left="720" w:right="24"/>
        <w:rPr>
          <w:szCs w:val="22"/>
          <w:lang w:val="es-ES"/>
        </w:rPr>
      </w:pPr>
    </w:p>
    <w:p w:rsidR="00A07058" w:rsidRPr="004A1D47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noProof/>
          <w:szCs w:val="22"/>
          <w:lang w:val="es-ES"/>
        </w:rPr>
        <w:t>Elección de las autoridades de los órganos, organismos y entidades de la Organización</w:t>
      </w:r>
      <w:r w:rsidR="002B5804" w:rsidRPr="004A1D47">
        <w:rPr>
          <w:noProof/>
          <w:szCs w:val="22"/>
          <w:lang w:val="es-ES"/>
        </w:rPr>
        <w:t>:</w:t>
      </w:r>
      <w:r w:rsidR="00C964E8" w:rsidRPr="004A1D47">
        <w:rPr>
          <w:noProof/>
          <w:szCs w:val="22"/>
          <w:lang w:val="es-ES"/>
        </w:rPr>
        <w:t xml:space="preserve"> </w:t>
      </w:r>
    </w:p>
    <w:p w:rsidR="00A07058" w:rsidRPr="004A1D47" w:rsidRDefault="00A07058" w:rsidP="0091369B">
      <w:pPr>
        <w:ind w:left="720" w:right="24"/>
        <w:rPr>
          <w:szCs w:val="22"/>
          <w:lang w:val="es-ES"/>
        </w:rPr>
      </w:pPr>
    </w:p>
    <w:p w:rsidR="00101F79" w:rsidRPr="004A1D47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4A1D47">
        <w:rPr>
          <w:szCs w:val="22"/>
        </w:rPr>
        <w:t>Tres</w:t>
      </w:r>
      <w:r w:rsidR="005E3489" w:rsidRPr="004A1D47">
        <w:rPr>
          <w:szCs w:val="22"/>
        </w:rPr>
        <w:t xml:space="preserve"> </w:t>
      </w:r>
      <w:r w:rsidR="00101F79" w:rsidRPr="004A1D47">
        <w:rPr>
          <w:szCs w:val="22"/>
        </w:rPr>
        <w:t>miembros del Comité Jurídico Interamericano</w:t>
      </w:r>
    </w:p>
    <w:p w:rsidR="00101F79" w:rsidRPr="004A1D47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4A1D47">
        <w:rPr>
          <w:szCs w:val="22"/>
        </w:rPr>
        <w:t xml:space="preserve">Tres </w:t>
      </w:r>
      <w:r w:rsidR="00101F79" w:rsidRPr="004A1D47">
        <w:rPr>
          <w:szCs w:val="22"/>
        </w:rPr>
        <w:t>miembros del Centro de Estudios de Justicia de las Américas</w:t>
      </w:r>
    </w:p>
    <w:p w:rsidR="00067679" w:rsidRPr="004A1D47" w:rsidRDefault="00067679" w:rsidP="00067679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4A1D47">
        <w:rPr>
          <w:szCs w:val="22"/>
        </w:rPr>
        <w:t>Un miembro del Tribunal Administrativo de la OEA</w:t>
      </w:r>
    </w:p>
    <w:p w:rsidR="00101F79" w:rsidRPr="004A1D47" w:rsidRDefault="00067679" w:rsidP="00B32C03">
      <w:pPr>
        <w:numPr>
          <w:ilvl w:val="2"/>
          <w:numId w:val="1"/>
        </w:numPr>
        <w:tabs>
          <w:tab w:val="left" w:pos="720"/>
          <w:tab w:val="left" w:pos="1080"/>
          <w:tab w:val="left" w:pos="1440"/>
          <w:tab w:val="num" w:pos="2160"/>
        </w:tabs>
        <w:autoSpaceDE w:val="0"/>
        <w:autoSpaceDN w:val="0"/>
        <w:adjustRightInd w:val="0"/>
        <w:ind w:left="2160"/>
        <w:rPr>
          <w:szCs w:val="22"/>
        </w:rPr>
      </w:pPr>
      <w:r w:rsidRPr="004A1D47">
        <w:rPr>
          <w:szCs w:val="22"/>
        </w:rPr>
        <w:t>Un</w:t>
      </w:r>
      <w:r w:rsidR="0026481E" w:rsidRPr="004A1D47">
        <w:rPr>
          <w:szCs w:val="22"/>
        </w:rPr>
        <w:t xml:space="preserve"> </w:t>
      </w:r>
      <w:r w:rsidR="00101F79" w:rsidRPr="004A1D47">
        <w:rPr>
          <w:szCs w:val="22"/>
        </w:rPr>
        <w:t xml:space="preserve">miembro de la Junta de Auditores Externos de la </w:t>
      </w:r>
      <w:r w:rsidR="004D5D9C" w:rsidRPr="004A1D47">
        <w:rPr>
          <w:szCs w:val="22"/>
        </w:rPr>
        <w:t>OEA</w:t>
      </w:r>
    </w:p>
    <w:p w:rsidR="00A07058" w:rsidRPr="004A1D47" w:rsidRDefault="00A07058" w:rsidP="00977426">
      <w:pPr>
        <w:ind w:right="24"/>
        <w:rPr>
          <w:szCs w:val="22"/>
        </w:rPr>
      </w:pPr>
    </w:p>
    <w:p w:rsidR="00A07058" w:rsidRPr="004A1D47" w:rsidRDefault="00A07058" w:rsidP="00234FB3">
      <w:pPr>
        <w:numPr>
          <w:ilvl w:val="0"/>
          <w:numId w:val="2"/>
        </w:numPr>
        <w:ind w:right="24"/>
        <w:rPr>
          <w:szCs w:val="22"/>
          <w:lang w:val="es-ES"/>
        </w:rPr>
      </w:pPr>
      <w:r w:rsidRPr="004A1D47">
        <w:rPr>
          <w:noProof/>
          <w:szCs w:val="22"/>
          <w:lang w:val="es-ES"/>
        </w:rPr>
        <w:t xml:space="preserve">La </w:t>
      </w:r>
      <w:r w:rsidR="006111F9" w:rsidRPr="004A1D47">
        <w:rPr>
          <w:noProof/>
          <w:szCs w:val="22"/>
          <w:lang w:val="es-ES"/>
        </w:rPr>
        <w:t xml:space="preserve">cuestión de las </w:t>
      </w:r>
      <w:r w:rsidRPr="004A1D47">
        <w:rPr>
          <w:noProof/>
          <w:szCs w:val="22"/>
          <w:lang w:val="es-ES"/>
        </w:rPr>
        <w:t xml:space="preserve">Islas Malvinas </w:t>
      </w:r>
      <w:r w:rsidR="00C964E8" w:rsidRPr="004A1D47">
        <w:rPr>
          <w:szCs w:val="22"/>
          <w:lang w:val="es-ES"/>
        </w:rPr>
        <w:t>[AG/DEC. 70 (XLII-O/12)]</w:t>
      </w:r>
    </w:p>
    <w:p w:rsidR="00C964E8" w:rsidRPr="004A1D47" w:rsidRDefault="00C964E8" w:rsidP="00C964E8">
      <w:pPr>
        <w:ind w:right="24"/>
        <w:rPr>
          <w:szCs w:val="22"/>
        </w:rPr>
      </w:pPr>
    </w:p>
    <w:p w:rsidR="002B336E" w:rsidRPr="004A1D47" w:rsidRDefault="002B336E" w:rsidP="00234FB3">
      <w:pPr>
        <w:numPr>
          <w:ilvl w:val="0"/>
          <w:numId w:val="2"/>
        </w:numPr>
        <w:ind w:right="24"/>
        <w:rPr>
          <w:noProof/>
          <w:szCs w:val="22"/>
          <w:lang w:val="es-ES"/>
        </w:rPr>
      </w:pPr>
      <w:r w:rsidRPr="004A1D47">
        <w:rPr>
          <w:noProof/>
          <w:szCs w:val="22"/>
          <w:lang w:val="es-ES"/>
        </w:rPr>
        <w:t xml:space="preserve">Proyecto de </w:t>
      </w:r>
      <w:r w:rsidR="004427FB" w:rsidRPr="004A1D47">
        <w:rPr>
          <w:noProof/>
          <w:szCs w:val="22"/>
          <w:lang w:val="es-ES"/>
        </w:rPr>
        <w:t>r</w:t>
      </w:r>
      <w:r w:rsidRPr="004A1D47">
        <w:rPr>
          <w:noProof/>
          <w:szCs w:val="22"/>
          <w:lang w:val="es-ES"/>
        </w:rPr>
        <w:t>esolución</w:t>
      </w:r>
      <w:r w:rsidR="00A91425" w:rsidRPr="004A1D47">
        <w:rPr>
          <w:noProof/>
          <w:szCs w:val="22"/>
          <w:lang w:val="es-ES"/>
        </w:rPr>
        <w:t>:</w:t>
      </w:r>
      <w:r w:rsidRPr="004A1D47">
        <w:rPr>
          <w:noProof/>
          <w:szCs w:val="22"/>
          <w:lang w:val="es-ES"/>
        </w:rPr>
        <w:t xml:space="preserve"> </w:t>
      </w:r>
      <w:r w:rsidR="006111F9" w:rsidRPr="004A1D47">
        <w:rPr>
          <w:noProof/>
          <w:szCs w:val="22"/>
          <w:lang w:val="es-ES"/>
        </w:rPr>
        <w:t>“</w:t>
      </w:r>
      <w:r w:rsidRPr="004A1D47">
        <w:rPr>
          <w:noProof/>
          <w:szCs w:val="22"/>
          <w:lang w:val="es-ES"/>
        </w:rPr>
        <w:t>Promoción y protección de derechos humanos</w:t>
      </w:r>
      <w:r w:rsidR="006111F9" w:rsidRPr="004A1D47">
        <w:rPr>
          <w:noProof/>
          <w:szCs w:val="22"/>
          <w:lang w:val="es-ES"/>
        </w:rPr>
        <w:t>”</w:t>
      </w:r>
      <w:r w:rsidRPr="004A1D47">
        <w:rPr>
          <w:noProof/>
          <w:szCs w:val="22"/>
          <w:lang w:val="es-ES"/>
        </w:rPr>
        <w:t xml:space="preserve"> </w:t>
      </w:r>
    </w:p>
    <w:p w:rsidR="002B5804" w:rsidRPr="004A1D47" w:rsidRDefault="002B5804" w:rsidP="002B5804">
      <w:pPr>
        <w:pStyle w:val="ListParagraph"/>
        <w:rPr>
          <w:noProof/>
          <w:szCs w:val="22"/>
          <w:lang w:val="es-ES"/>
        </w:rPr>
      </w:pPr>
    </w:p>
    <w:p w:rsidR="002B336E" w:rsidRPr="004A1D47" w:rsidRDefault="002B336E" w:rsidP="00234FB3">
      <w:pPr>
        <w:numPr>
          <w:ilvl w:val="0"/>
          <w:numId w:val="2"/>
        </w:numPr>
        <w:ind w:right="24"/>
        <w:rPr>
          <w:noProof/>
          <w:szCs w:val="22"/>
          <w:lang w:val="es-ES"/>
        </w:rPr>
      </w:pPr>
      <w:r w:rsidRPr="004A1D47">
        <w:rPr>
          <w:noProof/>
          <w:szCs w:val="22"/>
          <w:lang w:val="es-ES"/>
        </w:rPr>
        <w:t xml:space="preserve">Proyecto de </w:t>
      </w:r>
      <w:r w:rsidR="004427FB" w:rsidRPr="004A1D47">
        <w:rPr>
          <w:noProof/>
          <w:szCs w:val="22"/>
          <w:lang w:val="es-ES"/>
        </w:rPr>
        <w:t>r</w:t>
      </w:r>
      <w:r w:rsidRPr="004A1D47">
        <w:rPr>
          <w:noProof/>
          <w:szCs w:val="22"/>
          <w:lang w:val="es-ES"/>
        </w:rPr>
        <w:t>esolución</w:t>
      </w:r>
      <w:r w:rsidR="00A91425" w:rsidRPr="004A1D47">
        <w:rPr>
          <w:noProof/>
          <w:szCs w:val="22"/>
          <w:lang w:val="es-ES"/>
        </w:rPr>
        <w:t>:</w:t>
      </w:r>
      <w:r w:rsidRPr="004A1D47">
        <w:rPr>
          <w:noProof/>
          <w:szCs w:val="22"/>
          <w:lang w:val="es-ES"/>
        </w:rPr>
        <w:t xml:space="preserve"> </w:t>
      </w:r>
      <w:r w:rsidR="006111F9" w:rsidRPr="004A1D47">
        <w:rPr>
          <w:noProof/>
          <w:szCs w:val="22"/>
          <w:lang w:val="es-ES"/>
        </w:rPr>
        <w:t>“</w:t>
      </w:r>
      <w:r w:rsidRPr="004A1D47">
        <w:rPr>
          <w:noProof/>
          <w:szCs w:val="22"/>
          <w:lang w:val="es-ES"/>
        </w:rPr>
        <w:t xml:space="preserve">Fortalecimiento de la </w:t>
      </w:r>
      <w:r w:rsidR="005472B9" w:rsidRPr="004A1D47">
        <w:rPr>
          <w:noProof/>
          <w:szCs w:val="22"/>
          <w:lang w:val="es-ES"/>
        </w:rPr>
        <w:t>democracia</w:t>
      </w:r>
      <w:r w:rsidR="006111F9" w:rsidRPr="004A1D47">
        <w:rPr>
          <w:noProof/>
          <w:szCs w:val="22"/>
          <w:lang w:val="es-ES"/>
        </w:rPr>
        <w:t>”</w:t>
      </w:r>
      <w:r w:rsidRPr="004A1D47">
        <w:rPr>
          <w:noProof/>
          <w:szCs w:val="22"/>
          <w:lang w:val="es-ES"/>
        </w:rPr>
        <w:t xml:space="preserve"> </w:t>
      </w:r>
    </w:p>
    <w:p w:rsidR="002B5804" w:rsidRPr="004A1D47" w:rsidRDefault="002B5804" w:rsidP="002B5804">
      <w:pPr>
        <w:pStyle w:val="ListParagraph"/>
        <w:rPr>
          <w:noProof/>
          <w:szCs w:val="22"/>
          <w:lang w:val="es-ES"/>
        </w:rPr>
      </w:pPr>
    </w:p>
    <w:p w:rsidR="002B336E" w:rsidRPr="004A1D47" w:rsidRDefault="002B336E" w:rsidP="00234FB3">
      <w:pPr>
        <w:numPr>
          <w:ilvl w:val="0"/>
          <w:numId w:val="2"/>
        </w:numPr>
        <w:ind w:right="24"/>
        <w:rPr>
          <w:szCs w:val="22"/>
        </w:rPr>
      </w:pPr>
      <w:r w:rsidRPr="004A1D47">
        <w:rPr>
          <w:szCs w:val="22"/>
        </w:rPr>
        <w:t xml:space="preserve">Proyecto de </w:t>
      </w:r>
      <w:r w:rsidR="004427FB" w:rsidRPr="004A1D47">
        <w:rPr>
          <w:szCs w:val="22"/>
        </w:rPr>
        <w:t>r</w:t>
      </w:r>
      <w:r w:rsidRPr="004A1D47">
        <w:rPr>
          <w:szCs w:val="22"/>
        </w:rPr>
        <w:t xml:space="preserve">esolución: </w:t>
      </w:r>
      <w:r w:rsidR="006111F9" w:rsidRPr="004A1D47">
        <w:rPr>
          <w:szCs w:val="22"/>
        </w:rPr>
        <w:t>“</w:t>
      </w:r>
      <w:r w:rsidRPr="004A1D47">
        <w:rPr>
          <w:szCs w:val="22"/>
        </w:rPr>
        <w:t>Derecho internacional</w:t>
      </w:r>
      <w:r w:rsidR="006111F9" w:rsidRPr="004A1D47">
        <w:rPr>
          <w:szCs w:val="22"/>
        </w:rPr>
        <w:t>”</w:t>
      </w:r>
    </w:p>
    <w:p w:rsidR="002B5804" w:rsidRPr="004A1D47" w:rsidRDefault="002B5804" w:rsidP="002B5804">
      <w:pPr>
        <w:pStyle w:val="ListParagraph"/>
        <w:rPr>
          <w:szCs w:val="22"/>
          <w:lang w:val="es-US"/>
        </w:rPr>
      </w:pPr>
    </w:p>
    <w:p w:rsidR="00496B71" w:rsidRPr="004A1D47" w:rsidRDefault="00496B71" w:rsidP="00234FB3">
      <w:pPr>
        <w:numPr>
          <w:ilvl w:val="0"/>
          <w:numId w:val="2"/>
        </w:numPr>
        <w:ind w:right="24"/>
        <w:rPr>
          <w:szCs w:val="22"/>
        </w:rPr>
      </w:pPr>
      <w:r w:rsidRPr="004A1D47">
        <w:rPr>
          <w:szCs w:val="22"/>
        </w:rPr>
        <w:t xml:space="preserve">Proyecto de resolución: </w:t>
      </w:r>
      <w:r w:rsidR="006111F9" w:rsidRPr="004A1D47">
        <w:rPr>
          <w:szCs w:val="22"/>
        </w:rPr>
        <w:t>“</w:t>
      </w:r>
      <w:r w:rsidRPr="004A1D47">
        <w:rPr>
          <w:szCs w:val="22"/>
        </w:rPr>
        <w:t>Actualización de los procedimientos del Consejo Permanente y de sus órganos subsidiarios</w:t>
      </w:r>
      <w:r w:rsidR="006111F9" w:rsidRPr="004A1D47">
        <w:rPr>
          <w:szCs w:val="22"/>
        </w:rPr>
        <w:t>”</w:t>
      </w:r>
    </w:p>
    <w:p w:rsidR="002B5804" w:rsidRPr="004A1D47" w:rsidRDefault="002B5804" w:rsidP="002B5804">
      <w:pPr>
        <w:pStyle w:val="ListParagraph"/>
        <w:rPr>
          <w:szCs w:val="22"/>
          <w:lang w:val="es-US"/>
        </w:rPr>
      </w:pPr>
    </w:p>
    <w:p w:rsidR="00E15854" w:rsidRPr="004A1D47" w:rsidRDefault="002B336E" w:rsidP="00234FB3">
      <w:pPr>
        <w:numPr>
          <w:ilvl w:val="0"/>
          <w:numId w:val="2"/>
        </w:numPr>
        <w:ind w:right="24"/>
        <w:rPr>
          <w:szCs w:val="22"/>
        </w:rPr>
      </w:pPr>
      <w:r w:rsidRPr="004A1D47">
        <w:rPr>
          <w:szCs w:val="22"/>
          <w:lang w:val="es-ES"/>
        </w:rPr>
        <w:t xml:space="preserve">Proyecto de </w:t>
      </w:r>
      <w:r w:rsidR="004427FB" w:rsidRPr="004A1D47">
        <w:rPr>
          <w:szCs w:val="22"/>
          <w:lang w:val="es-ES"/>
        </w:rPr>
        <w:t>r</w:t>
      </w:r>
      <w:r w:rsidRPr="004A1D47">
        <w:rPr>
          <w:szCs w:val="22"/>
          <w:lang w:val="es-ES"/>
        </w:rPr>
        <w:t xml:space="preserve">esolución: </w:t>
      </w:r>
      <w:r w:rsidR="006111F9" w:rsidRPr="004A1D47">
        <w:rPr>
          <w:szCs w:val="22"/>
          <w:lang w:val="es-ES"/>
        </w:rPr>
        <w:t>“</w:t>
      </w:r>
      <w:r w:rsidR="000107AC" w:rsidRPr="004A1D47">
        <w:rPr>
          <w:szCs w:val="22"/>
          <w:lang w:val="es-ES"/>
        </w:rPr>
        <w:t xml:space="preserve">Promoción de la </w:t>
      </w:r>
      <w:r w:rsidR="005472B9" w:rsidRPr="004A1D47">
        <w:rPr>
          <w:szCs w:val="22"/>
          <w:lang w:val="es-ES"/>
        </w:rPr>
        <w:t>seguridad hemisférica</w:t>
      </w:r>
      <w:r w:rsidR="000107AC" w:rsidRPr="004A1D47">
        <w:rPr>
          <w:szCs w:val="22"/>
          <w:lang w:val="es-ES"/>
        </w:rPr>
        <w:t>: un enfoque multidimensional</w:t>
      </w:r>
      <w:r w:rsidR="006111F9" w:rsidRPr="004A1D47">
        <w:rPr>
          <w:szCs w:val="22"/>
          <w:lang w:val="es-ES"/>
        </w:rPr>
        <w:t>”</w:t>
      </w:r>
    </w:p>
    <w:p w:rsidR="002B5804" w:rsidRPr="004A1D47" w:rsidRDefault="002B5804" w:rsidP="002B5804">
      <w:pPr>
        <w:pStyle w:val="ListParagraph"/>
        <w:rPr>
          <w:szCs w:val="22"/>
          <w:lang w:val="es-US"/>
        </w:rPr>
      </w:pPr>
    </w:p>
    <w:p w:rsidR="00E15854" w:rsidRPr="004A1D47" w:rsidRDefault="00E15854" w:rsidP="00234FB3">
      <w:pPr>
        <w:numPr>
          <w:ilvl w:val="0"/>
          <w:numId w:val="2"/>
        </w:numPr>
        <w:ind w:right="24"/>
        <w:rPr>
          <w:szCs w:val="22"/>
        </w:rPr>
      </w:pPr>
      <w:r w:rsidRPr="004A1D47">
        <w:rPr>
          <w:szCs w:val="22"/>
        </w:rPr>
        <w:t xml:space="preserve">Proyecto de </w:t>
      </w:r>
      <w:r w:rsidR="004427FB" w:rsidRPr="004A1D47">
        <w:rPr>
          <w:szCs w:val="22"/>
        </w:rPr>
        <w:t>r</w:t>
      </w:r>
      <w:r w:rsidRPr="004A1D47">
        <w:rPr>
          <w:szCs w:val="22"/>
        </w:rPr>
        <w:t xml:space="preserve">esolución: </w:t>
      </w:r>
      <w:r w:rsidR="006111F9" w:rsidRPr="004A1D47">
        <w:rPr>
          <w:szCs w:val="22"/>
        </w:rPr>
        <w:t>“</w:t>
      </w:r>
      <w:r w:rsidRPr="004A1D47">
        <w:rPr>
          <w:szCs w:val="22"/>
        </w:rPr>
        <w:t>Programa-</w:t>
      </w:r>
      <w:r w:rsidR="005472B9" w:rsidRPr="004A1D47">
        <w:rPr>
          <w:szCs w:val="22"/>
        </w:rPr>
        <w:t xml:space="preserve">presupuesto </w:t>
      </w:r>
      <w:r w:rsidRPr="004A1D47">
        <w:rPr>
          <w:szCs w:val="22"/>
        </w:rPr>
        <w:t xml:space="preserve">de la Organización </w:t>
      </w:r>
      <w:r w:rsidR="00F14926" w:rsidRPr="004A1D47">
        <w:rPr>
          <w:szCs w:val="22"/>
        </w:rPr>
        <w:t>para 202</w:t>
      </w:r>
      <w:r w:rsidR="00B852F4" w:rsidRPr="004A1D47">
        <w:rPr>
          <w:szCs w:val="22"/>
        </w:rPr>
        <w:t>1</w:t>
      </w:r>
      <w:r w:rsidR="006111F9" w:rsidRPr="004A1D47">
        <w:rPr>
          <w:szCs w:val="22"/>
        </w:rPr>
        <w:t>”</w:t>
      </w:r>
      <w:r w:rsidRPr="004A1D47">
        <w:rPr>
          <w:szCs w:val="22"/>
        </w:rPr>
        <w:t xml:space="preserve"> </w:t>
      </w:r>
    </w:p>
    <w:p w:rsidR="00946B8B" w:rsidRPr="004A1D47" w:rsidRDefault="00946B8B" w:rsidP="00946B8B">
      <w:pPr>
        <w:pStyle w:val="ListParagraph"/>
        <w:rPr>
          <w:szCs w:val="22"/>
          <w:lang w:val="es-US"/>
        </w:rPr>
      </w:pPr>
    </w:p>
    <w:p w:rsidR="00680320" w:rsidRPr="004A1D47" w:rsidRDefault="00680320" w:rsidP="00234FB3">
      <w:pPr>
        <w:numPr>
          <w:ilvl w:val="0"/>
          <w:numId w:val="2"/>
        </w:numPr>
        <w:ind w:right="24"/>
        <w:rPr>
          <w:bCs/>
          <w:szCs w:val="22"/>
          <w:lang w:val="es-ES"/>
        </w:rPr>
      </w:pPr>
      <w:r w:rsidRPr="004A1D47">
        <w:rPr>
          <w:szCs w:val="22"/>
          <w:lang w:val="es-ES"/>
        </w:rPr>
        <w:t xml:space="preserve">Proyecto de </w:t>
      </w:r>
      <w:r w:rsidR="004427FB" w:rsidRPr="004A1D47">
        <w:rPr>
          <w:szCs w:val="22"/>
          <w:lang w:val="es-ES"/>
        </w:rPr>
        <w:t>r</w:t>
      </w:r>
      <w:r w:rsidRPr="004A1D47">
        <w:rPr>
          <w:szCs w:val="22"/>
          <w:lang w:val="es-ES"/>
        </w:rPr>
        <w:t>esolución</w:t>
      </w:r>
      <w:r w:rsidR="00A91425" w:rsidRPr="004A1D47">
        <w:rPr>
          <w:szCs w:val="22"/>
          <w:lang w:val="es-ES"/>
        </w:rPr>
        <w:t>:</w:t>
      </w:r>
      <w:r w:rsidRPr="004A1D47">
        <w:rPr>
          <w:szCs w:val="22"/>
          <w:lang w:val="es-ES"/>
        </w:rPr>
        <w:t xml:space="preserve"> </w:t>
      </w:r>
      <w:r w:rsidR="006111F9" w:rsidRPr="004A1D47">
        <w:rPr>
          <w:szCs w:val="22"/>
          <w:lang w:val="es-ES"/>
        </w:rPr>
        <w:t>“</w:t>
      </w:r>
      <w:r w:rsidRPr="004A1D47">
        <w:rPr>
          <w:szCs w:val="22"/>
          <w:lang w:val="es-ES"/>
        </w:rPr>
        <w:t>A</w:t>
      </w:r>
      <w:r w:rsidRPr="004A1D47">
        <w:rPr>
          <w:szCs w:val="22"/>
        </w:rPr>
        <w:t xml:space="preserve">poyo y seguimiento del </w:t>
      </w:r>
      <w:r w:rsidR="005472B9" w:rsidRPr="004A1D47">
        <w:rPr>
          <w:szCs w:val="22"/>
        </w:rPr>
        <w:t>pro</w:t>
      </w:r>
      <w:r w:rsidRPr="004A1D47">
        <w:rPr>
          <w:szCs w:val="22"/>
        </w:rPr>
        <w:t>ceso de Cumbres de las Américas</w:t>
      </w:r>
      <w:r w:rsidR="006111F9" w:rsidRPr="004A1D47">
        <w:rPr>
          <w:szCs w:val="22"/>
        </w:rPr>
        <w:t>”</w:t>
      </w:r>
    </w:p>
    <w:p w:rsidR="002B5804" w:rsidRPr="004A1D47" w:rsidRDefault="002B5804" w:rsidP="002B5804">
      <w:pPr>
        <w:ind w:left="1440" w:right="24"/>
        <w:rPr>
          <w:bCs/>
          <w:szCs w:val="22"/>
          <w:lang w:val="es-ES"/>
        </w:rPr>
      </w:pPr>
    </w:p>
    <w:p w:rsidR="0015256E" w:rsidRPr="004A1D47" w:rsidRDefault="00680320" w:rsidP="00CF48EC">
      <w:pPr>
        <w:numPr>
          <w:ilvl w:val="0"/>
          <w:numId w:val="2"/>
        </w:numPr>
        <w:ind w:right="24"/>
        <w:rPr>
          <w:szCs w:val="22"/>
          <w:lang w:val="es-PY"/>
        </w:rPr>
      </w:pPr>
      <w:r w:rsidRPr="004A1D47">
        <w:rPr>
          <w:szCs w:val="22"/>
          <w:lang w:val="es-CO"/>
        </w:rPr>
        <w:t xml:space="preserve">Proyecto de </w:t>
      </w:r>
      <w:r w:rsidR="004427FB" w:rsidRPr="004A1D47">
        <w:rPr>
          <w:szCs w:val="22"/>
          <w:lang w:val="es-CO"/>
        </w:rPr>
        <w:t>r</w:t>
      </w:r>
      <w:r w:rsidRPr="004A1D47">
        <w:rPr>
          <w:szCs w:val="22"/>
          <w:lang w:val="es-CO"/>
        </w:rPr>
        <w:t>esolución</w:t>
      </w:r>
      <w:r w:rsidR="00A91425" w:rsidRPr="004A1D47">
        <w:rPr>
          <w:szCs w:val="22"/>
          <w:lang w:val="es-CO"/>
        </w:rPr>
        <w:t>:</w:t>
      </w:r>
      <w:r w:rsidRPr="004A1D47">
        <w:rPr>
          <w:szCs w:val="22"/>
          <w:lang w:val="es-CO"/>
        </w:rPr>
        <w:t xml:space="preserve"> </w:t>
      </w:r>
      <w:r w:rsidR="006111F9" w:rsidRPr="004A1D47">
        <w:rPr>
          <w:szCs w:val="22"/>
          <w:lang w:val="es-CO"/>
        </w:rPr>
        <w:t>“</w:t>
      </w:r>
      <w:r w:rsidR="00F102DA" w:rsidRPr="004A1D47">
        <w:rPr>
          <w:szCs w:val="22"/>
        </w:rPr>
        <w:t xml:space="preserve">Aumento </w:t>
      </w:r>
      <w:r w:rsidRPr="004A1D47">
        <w:rPr>
          <w:szCs w:val="22"/>
        </w:rPr>
        <w:t xml:space="preserve">y fortalecimiento de la participación de la sociedad civil y los actores sociales en las actividades de la Organización de los Estados Americanos y en el </w:t>
      </w:r>
      <w:r w:rsidR="005472B9" w:rsidRPr="004A1D47">
        <w:rPr>
          <w:szCs w:val="22"/>
        </w:rPr>
        <w:t xml:space="preserve">proceso </w:t>
      </w:r>
      <w:r w:rsidRPr="004A1D47">
        <w:rPr>
          <w:szCs w:val="22"/>
        </w:rPr>
        <w:t>de Cumbres de las Américas</w:t>
      </w:r>
      <w:r w:rsidR="006111F9" w:rsidRPr="004A1D47">
        <w:rPr>
          <w:szCs w:val="22"/>
        </w:rPr>
        <w:t>”</w:t>
      </w:r>
      <w:r w:rsidR="00DC4A84" w:rsidRPr="004A1D47">
        <w:rPr>
          <w:szCs w:val="22"/>
        </w:rPr>
        <w:t xml:space="preserve">   </w:t>
      </w:r>
    </w:p>
    <w:p w:rsidR="002B5804" w:rsidRPr="004A1D47" w:rsidRDefault="002B5804" w:rsidP="002B5804">
      <w:pPr>
        <w:pStyle w:val="ListParagraph"/>
        <w:rPr>
          <w:szCs w:val="22"/>
          <w:lang w:val="es-PY"/>
        </w:rPr>
      </w:pPr>
    </w:p>
    <w:p w:rsidR="00F01B16" w:rsidRPr="004A1D47" w:rsidRDefault="00F01B16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CO"/>
        </w:rPr>
        <w:t xml:space="preserve">Proyecto de resolución: </w:t>
      </w:r>
      <w:r w:rsidR="006111F9" w:rsidRPr="004A1D47">
        <w:rPr>
          <w:szCs w:val="22"/>
          <w:lang w:val="es-CO"/>
        </w:rPr>
        <w:t>“</w:t>
      </w:r>
      <w:r w:rsidRPr="004A1D47">
        <w:rPr>
          <w:szCs w:val="22"/>
          <w:lang w:val="es-CO"/>
        </w:rPr>
        <w:t>Impulsando iniciativas hemisféricas en materia de desarrollo integral: promoción de la resiliencia</w:t>
      </w:r>
      <w:r w:rsidR="006111F9" w:rsidRPr="004A1D47">
        <w:rPr>
          <w:szCs w:val="22"/>
          <w:lang w:val="es-CO"/>
        </w:rPr>
        <w:t>”</w:t>
      </w:r>
    </w:p>
    <w:p w:rsidR="002B5804" w:rsidRPr="004A1D47" w:rsidRDefault="002B5804" w:rsidP="002B5804">
      <w:pPr>
        <w:pStyle w:val="ListParagraph"/>
        <w:rPr>
          <w:szCs w:val="22"/>
          <w:lang w:val="es-CO"/>
        </w:rPr>
      </w:pPr>
    </w:p>
    <w:p w:rsidR="002B5804" w:rsidRPr="004A1D47" w:rsidRDefault="002B5804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ES"/>
        </w:rPr>
        <w:t>Carta Interamericana de Desarrollo Empresarial</w:t>
      </w:r>
      <w:r w:rsidR="007661B4" w:rsidRPr="004A1D47">
        <w:rPr>
          <w:szCs w:val="22"/>
          <w:lang w:val="es-ES"/>
        </w:rPr>
        <w:t xml:space="preserve"> </w:t>
      </w:r>
    </w:p>
    <w:p w:rsidR="002B5804" w:rsidRPr="004A1D47" w:rsidRDefault="002B5804" w:rsidP="002B5804">
      <w:pPr>
        <w:pStyle w:val="ListParagraph"/>
        <w:rPr>
          <w:szCs w:val="22"/>
          <w:lang w:val="es-CO"/>
        </w:rPr>
      </w:pPr>
    </w:p>
    <w:p w:rsidR="002B5804" w:rsidRPr="004A1D47" w:rsidRDefault="002B5804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ES"/>
        </w:rPr>
        <w:lastRenderedPageBreak/>
        <w:t>La situación en la República Bolivariana de Venezuela</w:t>
      </w:r>
      <w:r w:rsidR="00F102DA" w:rsidRPr="00F102DA">
        <w:rPr>
          <w:rStyle w:val="FootnoteReference"/>
          <w:sz w:val="20"/>
          <w:u w:val="single"/>
          <w:vertAlign w:val="superscript"/>
          <w:lang w:val="es-ES"/>
        </w:rPr>
        <w:footnoteReference w:id="2"/>
      </w:r>
      <w:r w:rsidR="00F102DA" w:rsidRPr="004A1D47">
        <w:rPr>
          <w:sz w:val="20"/>
          <w:vertAlign w:val="superscript"/>
          <w:lang w:val="es-ES"/>
        </w:rPr>
        <w:t>/</w:t>
      </w:r>
      <w:r w:rsidR="00F102DA" w:rsidRPr="004A1D47">
        <w:rPr>
          <w:szCs w:val="22"/>
          <w:lang w:val="es-ES"/>
        </w:rPr>
        <w:t xml:space="preserve"> </w:t>
      </w:r>
      <w:r w:rsidRPr="004A1D47">
        <w:rPr>
          <w:szCs w:val="22"/>
          <w:lang w:val="es-ES"/>
        </w:rPr>
        <w:t xml:space="preserve"> </w:t>
      </w:r>
    </w:p>
    <w:p w:rsidR="00F102DA" w:rsidRPr="00F102DA" w:rsidRDefault="00F102DA" w:rsidP="00F102DA">
      <w:pPr>
        <w:ind w:left="1440" w:right="24"/>
        <w:rPr>
          <w:szCs w:val="22"/>
          <w:lang w:val="es-CO"/>
        </w:rPr>
      </w:pPr>
    </w:p>
    <w:p w:rsidR="002B5804" w:rsidRPr="004A1D47" w:rsidRDefault="002B5804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ES"/>
        </w:rPr>
        <w:t>La situación en Nicaragua</w:t>
      </w:r>
      <w:r w:rsidR="00F102DA" w:rsidRPr="00F102DA">
        <w:rPr>
          <w:rStyle w:val="FootnoteReference"/>
          <w:sz w:val="20"/>
          <w:u w:val="single"/>
          <w:vertAlign w:val="superscript"/>
          <w:lang w:val="es-ES"/>
        </w:rPr>
        <w:footnoteReference w:id="3"/>
      </w:r>
      <w:r w:rsidR="00F102DA" w:rsidRPr="004A1D47">
        <w:rPr>
          <w:sz w:val="20"/>
          <w:vertAlign w:val="superscript"/>
          <w:lang w:val="es-ES"/>
        </w:rPr>
        <w:t>/</w:t>
      </w:r>
      <w:r w:rsidR="00F102DA" w:rsidRPr="004A1D47">
        <w:rPr>
          <w:szCs w:val="22"/>
          <w:lang w:val="es-ES"/>
        </w:rPr>
        <w:t xml:space="preserve">  </w:t>
      </w:r>
    </w:p>
    <w:p w:rsidR="002423B2" w:rsidRPr="004A1D47" w:rsidRDefault="002423B2" w:rsidP="002423B2">
      <w:pPr>
        <w:pStyle w:val="ListParagraph"/>
        <w:rPr>
          <w:szCs w:val="22"/>
          <w:lang w:val="es-CO"/>
        </w:rPr>
      </w:pPr>
    </w:p>
    <w:p w:rsidR="002423B2" w:rsidRPr="004A1D47" w:rsidRDefault="002423B2" w:rsidP="00F01B16">
      <w:pPr>
        <w:numPr>
          <w:ilvl w:val="0"/>
          <w:numId w:val="2"/>
        </w:numPr>
        <w:ind w:right="24"/>
        <w:rPr>
          <w:rStyle w:val="Hyperlink"/>
          <w:color w:val="auto"/>
          <w:szCs w:val="22"/>
          <w:u w:val="none"/>
          <w:lang w:val="es-CO"/>
        </w:rPr>
      </w:pPr>
      <w:r w:rsidRPr="004A1D47">
        <w:t xml:space="preserve">Los desafíos para la seguridad alimentaria y nutricional en las Américas frente a la pandemia de COVID-19 en el marco del Plan de Acción de Guatemala 2019 </w:t>
      </w:r>
    </w:p>
    <w:p w:rsidR="002423B2" w:rsidRPr="004A1D47" w:rsidRDefault="002423B2" w:rsidP="002423B2">
      <w:pPr>
        <w:pStyle w:val="ListParagraph"/>
        <w:rPr>
          <w:szCs w:val="22"/>
          <w:lang w:val="es-CO"/>
        </w:rPr>
      </w:pPr>
    </w:p>
    <w:p w:rsidR="002423B2" w:rsidRPr="004A1D47" w:rsidRDefault="002423B2" w:rsidP="00F01B16">
      <w:pPr>
        <w:numPr>
          <w:ilvl w:val="0"/>
          <w:numId w:val="2"/>
        </w:numPr>
        <w:ind w:right="24"/>
        <w:rPr>
          <w:rStyle w:val="Hyperlink"/>
          <w:color w:val="auto"/>
          <w:szCs w:val="22"/>
          <w:u w:val="none"/>
          <w:lang w:val="es-CO"/>
        </w:rPr>
      </w:pPr>
      <w:r w:rsidRPr="004A1D47">
        <w:t xml:space="preserve">Impulso a la respuesta hemisférica al cambio climático en el contexto de la pandemia de COVID-19 </w:t>
      </w:r>
    </w:p>
    <w:p w:rsidR="002423B2" w:rsidRPr="004A1D47" w:rsidRDefault="002423B2" w:rsidP="002423B2">
      <w:pPr>
        <w:pStyle w:val="ListParagraph"/>
        <w:rPr>
          <w:szCs w:val="22"/>
          <w:lang w:val="es-CO"/>
        </w:rPr>
      </w:pPr>
    </w:p>
    <w:p w:rsidR="002423B2" w:rsidRPr="004A1D47" w:rsidRDefault="002423B2" w:rsidP="00F01B16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US"/>
        </w:rPr>
        <w:t>Proyecto de resolución: “Papel prioritario de la Organización de los Estados Americanos en el desarrollo de las telecomunicaciones/tecnologías de la información y la comunicación a través de la Comisión Interamericana de Telecomunicaciones (CITEL)”</w:t>
      </w:r>
      <w:r w:rsidR="007661B4" w:rsidRPr="004A1D47">
        <w:rPr>
          <w:szCs w:val="22"/>
          <w:lang w:val="es-ES"/>
        </w:rPr>
        <w:t xml:space="preserve"> </w:t>
      </w:r>
    </w:p>
    <w:p w:rsidR="00775121" w:rsidRPr="004A1D47" w:rsidRDefault="00775121" w:rsidP="004A1D47">
      <w:pPr>
        <w:pStyle w:val="ListParagraph"/>
        <w:rPr>
          <w:szCs w:val="22"/>
          <w:lang w:val="es-CO"/>
        </w:rPr>
      </w:pPr>
    </w:p>
    <w:p w:rsidR="00775121" w:rsidRPr="004A1D47" w:rsidRDefault="00775121" w:rsidP="00775121">
      <w:pPr>
        <w:numPr>
          <w:ilvl w:val="0"/>
          <w:numId w:val="2"/>
        </w:numPr>
        <w:ind w:right="24"/>
        <w:rPr>
          <w:szCs w:val="22"/>
          <w:lang w:val="es-CO"/>
        </w:rPr>
      </w:pPr>
      <w:r w:rsidRPr="004A1D47">
        <w:rPr>
          <w:szCs w:val="22"/>
          <w:lang w:val="es-CO"/>
        </w:rPr>
        <w:t xml:space="preserve">Fortalecimiento de la participación de los </w:t>
      </w:r>
      <w:r w:rsidR="005472B9" w:rsidRPr="004A1D47">
        <w:rPr>
          <w:szCs w:val="22"/>
          <w:lang w:val="es-CO"/>
        </w:rPr>
        <w:t xml:space="preserve">observadores permanentes </w:t>
      </w:r>
      <w:r w:rsidRPr="004A1D47">
        <w:rPr>
          <w:szCs w:val="22"/>
          <w:lang w:val="es-CO"/>
        </w:rPr>
        <w:t>en las actividades de la Organización de los Estados Americanos</w:t>
      </w:r>
    </w:p>
    <w:p w:rsidR="00F01B16" w:rsidRPr="004A1D47" w:rsidRDefault="00F01B16" w:rsidP="00DA5529">
      <w:pPr>
        <w:ind w:right="24"/>
        <w:rPr>
          <w:szCs w:val="22"/>
          <w:lang w:val="es-US"/>
        </w:rPr>
      </w:pPr>
    </w:p>
    <w:p w:rsidR="00F01B16" w:rsidRPr="004A1D47" w:rsidRDefault="00F01B16" w:rsidP="00DA5529">
      <w:pPr>
        <w:ind w:right="24"/>
        <w:rPr>
          <w:szCs w:val="22"/>
          <w:lang w:val="es-US"/>
        </w:rPr>
      </w:pPr>
    </w:p>
    <w:p w:rsidR="00981B71" w:rsidRPr="004A1D47" w:rsidRDefault="00981B71">
      <w:pPr>
        <w:jc w:val="left"/>
        <w:rPr>
          <w:sz w:val="20"/>
          <w:lang w:val="es-US"/>
        </w:rPr>
      </w:pPr>
      <w:r w:rsidRPr="004A1D47">
        <w:rPr>
          <w:sz w:val="20"/>
          <w:lang w:val="es-US"/>
        </w:rPr>
        <w:br w:type="page"/>
      </w:r>
    </w:p>
    <w:p w:rsidR="00BE3408" w:rsidRPr="004A1D47" w:rsidRDefault="00A84271" w:rsidP="00981B71">
      <w:pPr>
        <w:ind w:right="24"/>
        <w:jc w:val="center"/>
        <w:rPr>
          <w:sz w:val="20"/>
          <w:lang w:val="es-US"/>
        </w:rPr>
      </w:pPr>
      <w:r w:rsidRPr="004A1D47">
        <w:rPr>
          <w:sz w:val="20"/>
          <w:lang w:val="es-US"/>
        </w:rPr>
        <w:lastRenderedPageBreak/>
        <w:t>NOTA</w:t>
      </w:r>
      <w:r w:rsidR="00B26FE3">
        <w:rPr>
          <w:sz w:val="20"/>
          <w:lang w:val="es-US"/>
        </w:rPr>
        <w:t>S</w:t>
      </w:r>
      <w:r w:rsidRPr="004A1D47">
        <w:rPr>
          <w:sz w:val="20"/>
          <w:lang w:val="es-US"/>
        </w:rPr>
        <w:t xml:space="preserve"> </w:t>
      </w:r>
      <w:r w:rsidR="006111F9" w:rsidRPr="004A1D47">
        <w:rPr>
          <w:sz w:val="20"/>
          <w:lang w:val="es-US"/>
        </w:rPr>
        <w:t xml:space="preserve">A </w:t>
      </w:r>
      <w:r w:rsidRPr="004A1D47">
        <w:rPr>
          <w:sz w:val="20"/>
          <w:lang w:val="es-US"/>
        </w:rPr>
        <w:t>P</w:t>
      </w:r>
      <w:r w:rsidR="006111F9" w:rsidRPr="004A1D47">
        <w:rPr>
          <w:sz w:val="20"/>
          <w:lang w:val="es-US"/>
        </w:rPr>
        <w:t>I</w:t>
      </w:r>
      <w:r w:rsidRPr="004A1D47">
        <w:rPr>
          <w:sz w:val="20"/>
          <w:lang w:val="es-US"/>
        </w:rPr>
        <w:t>E DE PÁGINA</w:t>
      </w:r>
    </w:p>
    <w:p w:rsidR="00981B71" w:rsidRPr="004A1D47" w:rsidRDefault="00981B71" w:rsidP="00DA5529">
      <w:pPr>
        <w:ind w:right="24"/>
        <w:rPr>
          <w:sz w:val="20"/>
          <w:lang w:val="es-US"/>
        </w:rPr>
      </w:pPr>
    </w:p>
    <w:p w:rsidR="00981B71" w:rsidRDefault="00981B71" w:rsidP="00DA5529">
      <w:pPr>
        <w:ind w:right="24"/>
        <w:rPr>
          <w:sz w:val="20"/>
          <w:lang w:val="es-US"/>
        </w:rPr>
      </w:pPr>
    </w:p>
    <w:p w:rsidR="00B26FE3" w:rsidRDefault="00B26FE3" w:rsidP="00B26FE3">
      <w:pPr>
        <w:rPr>
          <w:sz w:val="20"/>
        </w:rPr>
      </w:pPr>
      <w:r>
        <w:rPr>
          <w:sz w:val="20"/>
          <w:lang w:val="es-US"/>
        </w:rPr>
        <w:tab/>
        <w:t>1.</w:t>
      </w:r>
      <w:r>
        <w:rPr>
          <w:sz w:val="20"/>
          <w:lang w:val="es-US"/>
        </w:rPr>
        <w:tab/>
        <w:t xml:space="preserve">… de temario </w:t>
      </w:r>
      <w:r w:rsidRPr="0018691C">
        <w:rPr>
          <w:sz w:val="20"/>
        </w:rPr>
        <w:t xml:space="preserve">del quincuagésimo período ordinario de sesiones de la Asamblea General. </w:t>
      </w:r>
    </w:p>
    <w:p w:rsidR="00B26FE3" w:rsidRPr="00203BCB" w:rsidRDefault="00B26FE3" w:rsidP="00B26FE3"/>
    <w:p w:rsidR="00B26FE3" w:rsidRPr="00B26FE3" w:rsidRDefault="00B26FE3" w:rsidP="00B26FE3">
      <w:pPr>
        <w:ind w:firstLine="720"/>
        <w:rPr>
          <w:sz w:val="20"/>
        </w:rPr>
      </w:pPr>
      <w:r w:rsidRPr="00B26FE3">
        <w:rPr>
          <w:sz w:val="20"/>
        </w:rPr>
        <w:t xml:space="preserve">Consideramos que estos temas constituyen una interferencia e inobservancia de los propósitos y principios de la Carta de las Naciones Unidas, interfieren en la naturaleza y propósitos de la Carta de la Organización de los Estados Americanos y en los principios del derecho internacional. </w:t>
      </w:r>
    </w:p>
    <w:p w:rsidR="00B26FE3" w:rsidRPr="0018691C" w:rsidRDefault="00B26FE3" w:rsidP="00B26FE3">
      <w:pPr>
        <w:rPr>
          <w:sz w:val="20"/>
        </w:rPr>
      </w:pPr>
    </w:p>
    <w:p w:rsidR="00981B71" w:rsidRPr="004A1D47" w:rsidRDefault="005472B9" w:rsidP="00F102DA">
      <w:pPr>
        <w:ind w:firstLine="720"/>
        <w:rPr>
          <w:rFonts w:eastAsia="Calibri"/>
          <w:sz w:val="20"/>
          <w:lang w:val="es-NI"/>
        </w:rPr>
      </w:pPr>
      <w:r>
        <w:rPr>
          <w:sz w:val="20"/>
          <w:lang w:val="es-US"/>
        </w:rPr>
        <w:t>2</w:t>
      </w:r>
      <w:r w:rsidR="00981B71" w:rsidRPr="004A1D47">
        <w:rPr>
          <w:sz w:val="20"/>
          <w:lang w:val="es-US"/>
        </w:rPr>
        <w:t>.</w:t>
      </w:r>
      <w:r w:rsidR="00981B71" w:rsidRPr="004A1D47">
        <w:rPr>
          <w:sz w:val="20"/>
          <w:lang w:val="es-US"/>
        </w:rPr>
        <w:tab/>
        <w:t>…</w:t>
      </w:r>
      <w:r w:rsidR="006111F9" w:rsidRPr="004A1D47">
        <w:rPr>
          <w:sz w:val="20"/>
          <w:lang w:val="es-NI"/>
        </w:rPr>
        <w:t xml:space="preserve">período ordinario de sesiones </w:t>
      </w:r>
      <w:r w:rsidR="00981B71" w:rsidRPr="004A1D47">
        <w:rPr>
          <w:sz w:val="20"/>
          <w:lang w:val="es-NI"/>
        </w:rPr>
        <w:t xml:space="preserve">de la Asamblea General </w:t>
      </w:r>
      <w:r w:rsidR="006111F9" w:rsidRPr="004A1D47">
        <w:rPr>
          <w:sz w:val="20"/>
          <w:lang w:val="es-NI"/>
        </w:rPr>
        <w:t>de los</w:t>
      </w:r>
      <w:r w:rsidR="00981B71" w:rsidRPr="004A1D47">
        <w:rPr>
          <w:sz w:val="20"/>
          <w:lang w:val="es-NI"/>
        </w:rPr>
        <w:t xml:space="preserve"> temas </w:t>
      </w:r>
      <w:r w:rsidR="006111F9" w:rsidRPr="004A1D47">
        <w:rPr>
          <w:rFonts w:eastAsia="Calibri"/>
          <w:sz w:val="20"/>
          <w:lang w:val="es-NI"/>
        </w:rPr>
        <w:t>“</w:t>
      </w:r>
      <w:r w:rsidR="00981B71" w:rsidRPr="004A1D47">
        <w:rPr>
          <w:rFonts w:eastAsia="Calibri"/>
          <w:sz w:val="20"/>
          <w:lang w:val="es-NI"/>
        </w:rPr>
        <w:t xml:space="preserve">La </w:t>
      </w:r>
      <w:r w:rsidR="006111F9" w:rsidRPr="004A1D47">
        <w:rPr>
          <w:rFonts w:eastAsia="Calibri"/>
          <w:sz w:val="20"/>
          <w:lang w:val="es-NI"/>
        </w:rPr>
        <w:t>s</w:t>
      </w:r>
      <w:r w:rsidR="00981B71" w:rsidRPr="004A1D47">
        <w:rPr>
          <w:rFonts w:eastAsia="Calibri"/>
          <w:sz w:val="20"/>
          <w:lang w:val="es-NI"/>
        </w:rPr>
        <w:t>ituación en Nicaragua</w:t>
      </w:r>
      <w:r w:rsidR="006111F9" w:rsidRPr="004A1D47">
        <w:rPr>
          <w:rFonts w:eastAsia="Calibri"/>
          <w:sz w:val="20"/>
          <w:lang w:val="es-NI"/>
        </w:rPr>
        <w:t>”</w:t>
      </w:r>
      <w:r w:rsidR="00981B71" w:rsidRPr="004A1D47">
        <w:rPr>
          <w:rFonts w:eastAsia="Calibri"/>
          <w:sz w:val="20"/>
          <w:lang w:val="es-NI"/>
        </w:rPr>
        <w:t xml:space="preserve"> y </w:t>
      </w:r>
      <w:r w:rsidR="006111F9" w:rsidRPr="004A1D47">
        <w:rPr>
          <w:rFonts w:eastAsia="Calibri"/>
          <w:sz w:val="20"/>
          <w:lang w:val="es-NI"/>
        </w:rPr>
        <w:t>“L</w:t>
      </w:r>
      <w:r w:rsidR="00981B71" w:rsidRPr="004A1D47">
        <w:rPr>
          <w:rFonts w:eastAsia="Calibri"/>
          <w:sz w:val="20"/>
          <w:lang w:val="es-NI"/>
        </w:rPr>
        <w:t xml:space="preserve">a </w:t>
      </w:r>
      <w:r w:rsidR="006111F9" w:rsidRPr="004A1D47">
        <w:rPr>
          <w:rFonts w:eastAsia="Calibri"/>
          <w:sz w:val="20"/>
          <w:lang w:val="es-NI"/>
        </w:rPr>
        <w:t>s</w:t>
      </w:r>
      <w:r w:rsidR="00981B71" w:rsidRPr="004A1D47">
        <w:rPr>
          <w:rFonts w:eastAsia="Calibri"/>
          <w:sz w:val="20"/>
          <w:lang w:val="es-NI"/>
        </w:rPr>
        <w:t>ituación en la República Bolivariana de Venezuela</w:t>
      </w:r>
      <w:r w:rsidR="006111F9" w:rsidRPr="004A1D47">
        <w:rPr>
          <w:rFonts w:eastAsia="Calibri"/>
          <w:sz w:val="20"/>
          <w:lang w:val="es-NI"/>
        </w:rPr>
        <w:t>”</w:t>
      </w:r>
      <w:r w:rsidR="00981B71" w:rsidRPr="004A1D47">
        <w:rPr>
          <w:rFonts w:eastAsia="Calibri"/>
          <w:sz w:val="20"/>
          <w:lang w:val="es-NI"/>
        </w:rPr>
        <w:t xml:space="preserve">, por ser de naturaleza injerencista y violatoria de los </w:t>
      </w:r>
      <w:r w:rsidR="006111F9" w:rsidRPr="004A1D47">
        <w:rPr>
          <w:rFonts w:eastAsia="Calibri"/>
          <w:sz w:val="20"/>
          <w:lang w:val="es-NI"/>
        </w:rPr>
        <w:t xml:space="preserve">propósitos y principios </w:t>
      </w:r>
      <w:r w:rsidR="00981B71" w:rsidRPr="004A1D47">
        <w:rPr>
          <w:rFonts w:eastAsia="Calibri"/>
          <w:sz w:val="20"/>
          <w:lang w:val="es-NI"/>
        </w:rPr>
        <w:t xml:space="preserve">de la Carta de las Naciones Unidas, de la </w:t>
      </w:r>
      <w:r w:rsidR="006111F9" w:rsidRPr="004A1D47">
        <w:rPr>
          <w:rFonts w:eastAsia="Calibri"/>
          <w:sz w:val="20"/>
          <w:lang w:val="es-NI"/>
        </w:rPr>
        <w:t xml:space="preserve">naturaleza y los propósitos de </w:t>
      </w:r>
      <w:r w:rsidR="00981B71" w:rsidRPr="004A1D47">
        <w:rPr>
          <w:rFonts w:eastAsia="Calibri"/>
          <w:sz w:val="20"/>
          <w:lang w:val="es-NI"/>
        </w:rPr>
        <w:t xml:space="preserve">la Carta de la OEA y los </w:t>
      </w:r>
      <w:r w:rsidR="006111F9" w:rsidRPr="004A1D47">
        <w:rPr>
          <w:rFonts w:eastAsia="Calibri"/>
          <w:sz w:val="20"/>
          <w:lang w:val="es-NI"/>
        </w:rPr>
        <w:t xml:space="preserve">principios del derecho internacional. 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</w:p>
    <w:p w:rsidR="00981B71" w:rsidRPr="004A1D47" w:rsidRDefault="00981B71" w:rsidP="00DF6C75">
      <w:pPr>
        <w:ind w:firstLine="720"/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>Ningún Estado o grupo de Estados tiene derecho de intervenir, directa o indirectamente, y sea cual fuere el motivo en los asuntos internos o externos de cualquier otro. El principio anterior excluye no solamente la fuerza armada</w:t>
      </w:r>
      <w:r w:rsidR="001A7DFD" w:rsidRPr="004A1D47">
        <w:rPr>
          <w:rFonts w:eastAsia="Calibri"/>
          <w:sz w:val="20"/>
          <w:lang w:val="es-NI"/>
        </w:rPr>
        <w:t>,</w:t>
      </w:r>
      <w:r w:rsidRPr="004A1D47">
        <w:rPr>
          <w:rFonts w:eastAsia="Calibri"/>
          <w:sz w:val="20"/>
          <w:lang w:val="es-NI"/>
        </w:rPr>
        <w:t xml:space="preserve"> sino también cualquier otra injerencia o tendencia atentatoria de la personalidad del Estado, de los elementos políticos, económicos y culturales que lo constituyen. 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</w:p>
    <w:p w:rsidR="00981B71" w:rsidRPr="004A1D47" w:rsidRDefault="00981B71" w:rsidP="00DF6C75">
      <w:pPr>
        <w:ind w:firstLine="720"/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 xml:space="preserve">Pretender utilizar a otros países para desviar el foco de la presión y del desastre sanitario, </w:t>
      </w:r>
      <w:r w:rsidR="001A7DFD" w:rsidRPr="004A1D47">
        <w:rPr>
          <w:rFonts w:eastAsia="Calibri"/>
          <w:sz w:val="20"/>
          <w:lang w:val="es-NI"/>
        </w:rPr>
        <w:t>económico, político y social, que p</w:t>
      </w:r>
      <w:r w:rsidRPr="004A1D47">
        <w:rPr>
          <w:rFonts w:eastAsia="Calibri"/>
          <w:sz w:val="20"/>
          <w:lang w:val="es-NI"/>
        </w:rPr>
        <w:t>adecen los países copatrocinadores de estas propuestas, es bochornoso y descarado y constituye una agresión y un acto inamistoso en contra de la República de Nicaragua</w:t>
      </w:r>
      <w:r w:rsidR="001A7DFD" w:rsidRPr="004A1D47">
        <w:rPr>
          <w:rFonts w:eastAsia="Calibri"/>
          <w:sz w:val="20"/>
          <w:lang w:val="es-NI"/>
        </w:rPr>
        <w:t>,</w:t>
      </w:r>
      <w:r w:rsidRPr="004A1D47">
        <w:rPr>
          <w:rFonts w:eastAsia="Calibri"/>
          <w:sz w:val="20"/>
          <w:lang w:val="es-NI"/>
        </w:rPr>
        <w:t xml:space="preserve"> quien no ha solicitado este tema y la República Bolivariana de Venezuela, país que hace mucho tiempo ya no pertenece más a la OEA. 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 xml:space="preserve"> </w:t>
      </w:r>
    </w:p>
    <w:p w:rsidR="00981B71" w:rsidRPr="004A1D47" w:rsidRDefault="00981B71" w:rsidP="00DF6C75">
      <w:pPr>
        <w:ind w:firstLine="720"/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 xml:space="preserve">Hay problemas más urgentes que atender como la </w:t>
      </w:r>
      <w:r w:rsidR="001A7DFD" w:rsidRPr="004A1D47">
        <w:rPr>
          <w:rFonts w:eastAsia="Calibri"/>
          <w:sz w:val="20"/>
          <w:lang w:val="es-NI"/>
        </w:rPr>
        <w:t xml:space="preserve">pandemia del coronavirus que afecta a muchos </w:t>
      </w:r>
      <w:r w:rsidRPr="004A1D47">
        <w:rPr>
          <w:rFonts w:eastAsia="Calibri"/>
          <w:sz w:val="20"/>
          <w:lang w:val="es-NI"/>
        </w:rPr>
        <w:t>países del mundo, a la fecha son más de 19 millones de personas contaminadas y la cifra de muertos por COVID-19 ya supera los 700,714 a nivel mundial</w:t>
      </w:r>
      <w:r w:rsidR="001A7DFD" w:rsidRPr="004A1D47">
        <w:rPr>
          <w:rFonts w:eastAsia="Calibri"/>
          <w:sz w:val="20"/>
          <w:lang w:val="es-NI"/>
        </w:rPr>
        <w:t>,</w:t>
      </w:r>
      <w:r w:rsidRPr="004A1D47">
        <w:rPr>
          <w:rFonts w:eastAsia="Calibri"/>
          <w:sz w:val="20"/>
          <w:lang w:val="es-NI"/>
        </w:rPr>
        <w:t xml:space="preserve"> según el recuento de la Universidad John Hopkins, con Estados Unidos a la cabeza con 156.807 muertos.  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</w:p>
    <w:p w:rsidR="00981B71" w:rsidRPr="004A1D47" w:rsidRDefault="00981B71" w:rsidP="00DF6C75">
      <w:pPr>
        <w:ind w:firstLine="720"/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>Afecta en particular a los países latinoamericanos y caribeños</w:t>
      </w:r>
      <w:r w:rsidR="0026481E" w:rsidRPr="004A1D47">
        <w:rPr>
          <w:rFonts w:eastAsia="Calibri"/>
          <w:sz w:val="20"/>
          <w:lang w:val="es-NI"/>
        </w:rPr>
        <w:t xml:space="preserve"> </w:t>
      </w:r>
      <w:r w:rsidRPr="004A1D47">
        <w:rPr>
          <w:rFonts w:eastAsia="Calibri"/>
          <w:sz w:val="20"/>
          <w:lang w:val="es-NI"/>
        </w:rPr>
        <w:t xml:space="preserve">que han sido afectados seriamente por esta </w:t>
      </w:r>
      <w:r w:rsidR="001A7DFD" w:rsidRPr="004A1D47">
        <w:rPr>
          <w:rFonts w:eastAsia="Calibri"/>
          <w:sz w:val="20"/>
          <w:lang w:val="es-NI"/>
        </w:rPr>
        <w:t>p</w:t>
      </w:r>
      <w:r w:rsidRPr="004A1D47">
        <w:rPr>
          <w:rFonts w:eastAsia="Calibri"/>
          <w:sz w:val="20"/>
          <w:lang w:val="es-NI"/>
        </w:rPr>
        <w:t>andemia y en particular a los Estados Unidos, con 4,8 millones de personas contagiadas</w:t>
      </w:r>
      <w:r w:rsidR="0026481E" w:rsidRPr="004A1D47">
        <w:rPr>
          <w:rFonts w:eastAsia="Calibri"/>
          <w:sz w:val="20"/>
          <w:lang w:val="es-NI"/>
        </w:rPr>
        <w:t xml:space="preserve"> </w:t>
      </w:r>
      <w:r w:rsidRPr="004A1D47">
        <w:rPr>
          <w:rFonts w:eastAsia="Calibri"/>
          <w:sz w:val="20"/>
          <w:lang w:val="es-NI"/>
        </w:rPr>
        <w:t xml:space="preserve">y con 35 Estados en alto riesgo de </w:t>
      </w:r>
      <w:r w:rsidR="001A7DFD" w:rsidRPr="004A1D47">
        <w:rPr>
          <w:rFonts w:eastAsia="Calibri"/>
          <w:sz w:val="20"/>
          <w:lang w:val="es-NI"/>
        </w:rPr>
        <w:t>c</w:t>
      </w:r>
      <w:r w:rsidRPr="004A1D47">
        <w:rPr>
          <w:rFonts w:eastAsia="Calibri"/>
          <w:sz w:val="20"/>
          <w:lang w:val="es-NI"/>
        </w:rPr>
        <w:t>ontagio, sin contar con la tragedia humanitaria de miles de familias latinoamericanas y afroamericanas en donde los índices de diferencias raciales son desproporcionales, son víctimas del racismo, no cuentan con seguro médico para la atención de salud, están sin trabajo,</w:t>
      </w:r>
      <w:r w:rsidR="0026481E" w:rsidRPr="004A1D47">
        <w:rPr>
          <w:rFonts w:eastAsia="Calibri"/>
          <w:sz w:val="20"/>
          <w:lang w:val="es-NI"/>
        </w:rPr>
        <w:t xml:space="preserve"> </w:t>
      </w:r>
      <w:r w:rsidRPr="004A1D47">
        <w:rPr>
          <w:rFonts w:eastAsia="Calibri"/>
          <w:sz w:val="20"/>
          <w:lang w:val="es-NI"/>
        </w:rPr>
        <w:t xml:space="preserve">sin alimentos y en peligro de ser desalojados de sus viviendas. 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</w:p>
    <w:p w:rsidR="00981B71" w:rsidRPr="004A1D47" w:rsidRDefault="00981B71" w:rsidP="00DF6C75">
      <w:pPr>
        <w:ind w:firstLine="720"/>
        <w:rPr>
          <w:rFonts w:eastAsia="Calibri"/>
          <w:sz w:val="20"/>
          <w:lang w:val="es-NI"/>
        </w:rPr>
      </w:pPr>
      <w:r w:rsidRPr="004A1D47">
        <w:rPr>
          <w:rFonts w:eastAsia="Calibri"/>
          <w:sz w:val="20"/>
          <w:lang w:val="es-NI"/>
        </w:rPr>
        <w:t xml:space="preserve">La preocupación central de los debates de esta Asamblea General debe ser la seguridad sanitaria para el beneficio de nuestros países, compartir las experiencias y fomentar la solidaridad entre los Estados, ante los desafíos que representa la actual pandemia del coronavirus, en vez de venir a discutir medidas de agresión y de desestabilización en contra de la soberanía y el derecho a la autodeterminación de los </w:t>
      </w:r>
      <w:r w:rsidR="001A7DFD" w:rsidRPr="004A1D47">
        <w:rPr>
          <w:rFonts w:eastAsia="Calibri"/>
          <w:sz w:val="20"/>
          <w:lang w:val="es-NI"/>
        </w:rPr>
        <w:t>G</w:t>
      </w:r>
      <w:r w:rsidRPr="004A1D47">
        <w:rPr>
          <w:rFonts w:eastAsia="Calibri"/>
          <w:sz w:val="20"/>
          <w:lang w:val="es-NI"/>
        </w:rPr>
        <w:t xml:space="preserve">obiernos de Nicaragua y Venezuela. </w:t>
      </w:r>
    </w:p>
    <w:p w:rsidR="00981B71" w:rsidRPr="004A1D47" w:rsidRDefault="00981B71" w:rsidP="00981B71">
      <w:pPr>
        <w:rPr>
          <w:rFonts w:eastAsia="Calibri"/>
          <w:sz w:val="20"/>
          <w:lang w:val="es-NI"/>
        </w:rPr>
      </w:pPr>
    </w:p>
    <w:p w:rsidR="00981B71" w:rsidRPr="004A1D47" w:rsidRDefault="004D0816" w:rsidP="00DF6C75">
      <w:pPr>
        <w:ind w:right="24" w:firstLine="720"/>
        <w:rPr>
          <w:sz w:val="20"/>
          <w:lang w:val="es-US"/>
        </w:rPr>
      </w:pPr>
      <w:r>
        <w:rPr>
          <w:rFonts w:eastAsia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rgbClr r="0" g="0" b="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4D0816" w:rsidRPr="004D0816" w:rsidRDefault="004D08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AG08260S01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" fillcolor="black" stroked="f">
                <v:stroke joinstyle="round"/>
                <v:path arrowok="t"/>
                <v:textbox>
                  <w:txbxContent>
                    <w:bookmarkStart w:id="1" w:name="_GoBack"/>
                    <w:p w:rsidR="004D0816" w:rsidRPr="004D0816" w:rsidRDefault="004D08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AG08260S01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1B71" w:rsidRPr="004A1D47">
        <w:rPr>
          <w:rFonts w:eastAsia="Calibri"/>
          <w:sz w:val="20"/>
          <w:lang w:val="es-NI"/>
        </w:rPr>
        <w:t xml:space="preserve">La </w:t>
      </w:r>
      <w:r w:rsidR="001A7DFD" w:rsidRPr="004A1D47">
        <w:rPr>
          <w:rFonts w:eastAsia="Calibri"/>
          <w:sz w:val="20"/>
          <w:lang w:val="es-NI"/>
        </w:rPr>
        <w:t>D</w:t>
      </w:r>
      <w:r w:rsidR="00981B71" w:rsidRPr="004A1D47">
        <w:rPr>
          <w:rFonts w:eastAsia="Calibri"/>
          <w:sz w:val="20"/>
          <w:lang w:val="es-NI"/>
        </w:rPr>
        <w:t xml:space="preserve">elegación de Nicaragua reitera su rechazo y desconocimiento a la introducción de estos temas y solicita que esta </w:t>
      </w:r>
      <w:r w:rsidR="001A7DFD" w:rsidRPr="004A1D47">
        <w:rPr>
          <w:rFonts w:eastAsia="Calibri"/>
          <w:sz w:val="20"/>
          <w:lang w:val="es-NI"/>
        </w:rPr>
        <w:t>d</w:t>
      </w:r>
      <w:r w:rsidR="00981B71" w:rsidRPr="004A1D47">
        <w:rPr>
          <w:rFonts w:eastAsia="Calibri"/>
          <w:sz w:val="20"/>
          <w:lang w:val="es-NI"/>
        </w:rPr>
        <w:t xml:space="preserve">eclaración sea incluida como pie de página en el presente </w:t>
      </w:r>
      <w:r w:rsidR="001A7DFD" w:rsidRPr="004A1D47">
        <w:rPr>
          <w:rFonts w:eastAsia="Calibri"/>
          <w:sz w:val="20"/>
          <w:lang w:val="es-NI"/>
        </w:rPr>
        <w:t>proyecto de temario. </w:t>
      </w:r>
    </w:p>
    <w:sectPr w:rsidR="00981B71" w:rsidRPr="004A1D47" w:rsidSect="006D4D6B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29" w:rsidRDefault="001F6A29">
      <w:r>
        <w:separator/>
      </w:r>
    </w:p>
  </w:endnote>
  <w:endnote w:type="continuationSeparator" w:id="0">
    <w:p w:rsidR="001F6A29" w:rsidRDefault="001F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Default="00897B8C" w:rsidP="008A5B9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29" w:rsidRDefault="001F6A29">
      <w:r>
        <w:separator/>
      </w:r>
    </w:p>
  </w:footnote>
  <w:footnote w:type="continuationSeparator" w:id="0">
    <w:p w:rsidR="001F6A29" w:rsidRDefault="001F6A29">
      <w:r>
        <w:continuationSeparator/>
      </w:r>
    </w:p>
  </w:footnote>
  <w:footnote w:id="1">
    <w:p w:rsidR="00B26FE3" w:rsidRPr="00B26FE3" w:rsidRDefault="00B26FE3" w:rsidP="00B26FE3">
      <w:pPr>
        <w:pStyle w:val="FootnoteTex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26FE3"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18691C">
        <w:rPr>
          <w:rFonts w:ascii="Times New Roman" w:hAnsi="Times New Roman"/>
          <w:sz w:val="20"/>
        </w:rPr>
        <w:t xml:space="preserve">La Delegación de San Vicente y las Granadinas rechaza firmemente la inclusión de los temas “La situación en la República Bolivariana de Venezuela” y “La situación en Nicaragua” en el proyecto </w:t>
      </w:r>
      <w:r>
        <w:rPr>
          <w:rFonts w:ascii="Times New Roman" w:hAnsi="Times New Roman"/>
          <w:sz w:val="20"/>
        </w:rPr>
        <w:t>…</w:t>
      </w:r>
    </w:p>
  </w:footnote>
  <w:footnote w:id="2">
    <w:p w:rsidR="00F102DA" w:rsidRPr="00981B71" w:rsidRDefault="00F102DA" w:rsidP="00F102DA">
      <w:pPr>
        <w:pStyle w:val="FootnoteText"/>
        <w:ind w:left="720" w:hanging="720"/>
        <w:rPr>
          <w:rFonts w:ascii="Times New Roman" w:hAnsi="Times New Roman"/>
          <w:sz w:val="20"/>
        </w:rPr>
      </w:pPr>
      <w:r w:rsidRPr="00981B71">
        <w:rPr>
          <w:rFonts w:ascii="Times New Roman" w:hAnsi="Times New Roman"/>
        </w:rPr>
        <w:tab/>
      </w:r>
      <w:r w:rsidRPr="00981B71">
        <w:rPr>
          <w:rStyle w:val="FootnoteReference"/>
          <w:rFonts w:ascii="Times New Roman" w:hAnsi="Times New Roman"/>
          <w:sz w:val="20"/>
        </w:rPr>
        <w:footnoteRef/>
      </w:r>
      <w:r w:rsidRPr="00981B71">
        <w:rPr>
          <w:rFonts w:ascii="Times New Roman" w:hAnsi="Times New Roman"/>
          <w:sz w:val="20"/>
        </w:rPr>
        <w:t>.</w:t>
      </w:r>
      <w:r w:rsidRPr="00981B71">
        <w:rPr>
          <w:rFonts w:ascii="Times New Roman" w:hAnsi="Times New Roman"/>
          <w:sz w:val="20"/>
        </w:rPr>
        <w:tab/>
      </w:r>
      <w:r w:rsidRPr="00981B71">
        <w:rPr>
          <w:rFonts w:ascii="Times New Roman" w:hAnsi="Times New Roman"/>
          <w:sz w:val="20"/>
          <w:lang w:val="es-NI"/>
        </w:rPr>
        <w:t xml:space="preserve">La Delegación del Gobierno de la República de Nicaragua, rechaza de manera firme y categórica la introducción en el Capítulo III del Proyecto Preliminar de Temario para el </w:t>
      </w:r>
      <w:r>
        <w:rPr>
          <w:rFonts w:ascii="Times New Roman" w:hAnsi="Times New Roman"/>
          <w:sz w:val="20"/>
          <w:lang w:val="es-NI"/>
        </w:rPr>
        <w:t>q</w:t>
      </w:r>
      <w:r w:rsidRPr="00981B71">
        <w:rPr>
          <w:rFonts w:ascii="Times New Roman" w:hAnsi="Times New Roman"/>
          <w:sz w:val="20"/>
          <w:lang w:val="es-NI"/>
        </w:rPr>
        <w:t xml:space="preserve">uincuagésimo </w:t>
      </w:r>
      <w:r>
        <w:rPr>
          <w:rFonts w:ascii="Times New Roman" w:hAnsi="Times New Roman"/>
          <w:sz w:val="20"/>
          <w:lang w:val="es-NI"/>
        </w:rPr>
        <w:t>…</w:t>
      </w:r>
    </w:p>
  </w:footnote>
  <w:footnote w:id="3">
    <w:p w:rsidR="00F102DA" w:rsidRPr="00981B71" w:rsidRDefault="00F102DA" w:rsidP="00F102DA">
      <w:pPr>
        <w:pStyle w:val="FootnoteText"/>
        <w:ind w:left="720" w:hanging="720"/>
        <w:rPr>
          <w:rFonts w:ascii="Times New Roman" w:hAnsi="Times New Roman"/>
          <w:sz w:val="20"/>
        </w:rPr>
      </w:pPr>
      <w:r w:rsidRPr="00981B71">
        <w:rPr>
          <w:rFonts w:ascii="Times New Roman" w:hAnsi="Times New Roman"/>
        </w:rPr>
        <w:tab/>
      </w:r>
      <w:r w:rsidRPr="00981B71">
        <w:rPr>
          <w:rStyle w:val="FootnoteReference"/>
          <w:rFonts w:ascii="Times New Roman" w:hAnsi="Times New Roman"/>
          <w:sz w:val="20"/>
        </w:rPr>
        <w:footnoteRef/>
      </w:r>
      <w:r w:rsidRPr="00981B71">
        <w:rPr>
          <w:rFonts w:ascii="Times New Roman" w:hAnsi="Times New Roman"/>
          <w:sz w:val="20"/>
        </w:rPr>
        <w:t>.</w:t>
      </w:r>
      <w:r w:rsidRPr="00981B71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Idem</w:t>
      </w:r>
      <w:proofErr w:type="spellEnd"/>
      <w:r>
        <w:rPr>
          <w:rFonts w:ascii="Times New Roman" w:hAnsi="Times New Roman"/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8C" w:rsidRPr="00C92999" w:rsidRDefault="00897B8C" w:rsidP="008A5B98">
    <w:pPr>
      <w:pStyle w:val="Header"/>
      <w:jc w:val="center"/>
      <w:rPr>
        <w:szCs w:val="22"/>
      </w:rPr>
    </w:pPr>
    <w:r w:rsidRPr="00C92999">
      <w:rPr>
        <w:szCs w:val="22"/>
      </w:rPr>
      <w:t xml:space="preserve">- </w:t>
    </w:r>
    <w:r w:rsidRPr="00C92999">
      <w:rPr>
        <w:rStyle w:val="PageNumber"/>
        <w:szCs w:val="22"/>
      </w:rPr>
      <w:fldChar w:fldCharType="begin"/>
    </w:r>
    <w:r w:rsidRPr="00C92999">
      <w:rPr>
        <w:rStyle w:val="PageNumber"/>
        <w:szCs w:val="22"/>
      </w:rPr>
      <w:instrText xml:space="preserve"> PAGE </w:instrText>
    </w:r>
    <w:r w:rsidRPr="00C92999">
      <w:rPr>
        <w:rStyle w:val="PageNumber"/>
        <w:szCs w:val="22"/>
      </w:rPr>
      <w:fldChar w:fldCharType="separate"/>
    </w:r>
    <w:r w:rsidR="004D0816">
      <w:rPr>
        <w:rStyle w:val="PageNumber"/>
        <w:noProof/>
        <w:szCs w:val="22"/>
      </w:rPr>
      <w:t>4</w:t>
    </w:r>
    <w:r w:rsidRPr="00C92999">
      <w:rPr>
        <w:rStyle w:val="PageNumber"/>
        <w:szCs w:val="22"/>
      </w:rPr>
      <w:fldChar w:fldCharType="end"/>
    </w:r>
    <w:r w:rsidRPr="00C92999">
      <w:rPr>
        <w:rStyle w:val="PageNumber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4E8" w:rsidRDefault="00F144E8">
    <w:pPr>
      <w:pStyle w:val="Header"/>
      <w:jc w:val="center"/>
    </w:pPr>
  </w:p>
  <w:p w:rsidR="00C75DF5" w:rsidRDefault="00C75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59F9"/>
    <w:multiLevelType w:val="hybridMultilevel"/>
    <w:tmpl w:val="CD523FC2"/>
    <w:lvl w:ilvl="0" w:tplc="C9A42CA2">
      <w:start w:val="11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602EF"/>
    <w:multiLevelType w:val="hybridMultilevel"/>
    <w:tmpl w:val="FFB67918"/>
    <w:lvl w:ilvl="0" w:tplc="DE92293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BCE2A3F2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i w:val="0"/>
        <w:color w:val="auto"/>
        <w:sz w:val="22"/>
        <w:szCs w:val="22"/>
      </w:rPr>
    </w:lvl>
    <w:lvl w:ilvl="2" w:tplc="79007154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  <w:color w:val="auto"/>
      </w:rPr>
    </w:lvl>
    <w:lvl w:ilvl="3" w:tplc="FAAE73DA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4541FB5"/>
    <w:multiLevelType w:val="hybridMultilevel"/>
    <w:tmpl w:val="86643B34"/>
    <w:lvl w:ilvl="0" w:tplc="E4202EC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47B74"/>
    <w:multiLevelType w:val="multilevel"/>
    <w:tmpl w:val="617093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9E825E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3D552F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3DC163FD"/>
    <w:multiLevelType w:val="hybridMultilevel"/>
    <w:tmpl w:val="68781CC0"/>
    <w:lvl w:ilvl="0" w:tplc="6BA86B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BC1CA3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8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1115B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0" w15:restartNumberingAfterBreak="0">
    <w:nsid w:val="5EBB00A9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0E3849"/>
    <w:multiLevelType w:val="multilevel"/>
    <w:tmpl w:val="BD48F432"/>
    <w:lvl w:ilvl="0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2" w15:restartNumberingAfterBreak="0">
    <w:nsid w:val="622159A4"/>
    <w:multiLevelType w:val="hybridMultilevel"/>
    <w:tmpl w:val="BD48F432"/>
    <w:lvl w:ilvl="0" w:tplc="A22A968E">
      <w:start w:val="9"/>
      <w:numFmt w:val="decimal"/>
      <w:lvlText w:val="%1."/>
      <w:lvlJc w:val="left"/>
      <w:pPr>
        <w:tabs>
          <w:tab w:val="num" w:pos="3420"/>
        </w:tabs>
        <w:ind w:left="342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3" w15:restartNumberingAfterBreak="0">
    <w:nsid w:val="67B84B3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689C71A0"/>
    <w:multiLevelType w:val="hybridMultilevel"/>
    <w:tmpl w:val="C8586BDC"/>
    <w:lvl w:ilvl="0" w:tplc="1038AF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F5840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795D2853"/>
    <w:multiLevelType w:val="hybridMultilevel"/>
    <w:tmpl w:val="A15CC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0C3A"/>
    <w:multiLevelType w:val="hybridMultilevel"/>
    <w:tmpl w:val="8AE602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F47BE9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7F912BA5"/>
    <w:multiLevelType w:val="singleLevel"/>
    <w:tmpl w:val="B63485B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3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9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9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1"/>
    <w:rsid w:val="00000D2B"/>
    <w:rsid w:val="000021BF"/>
    <w:rsid w:val="00005403"/>
    <w:rsid w:val="000054D3"/>
    <w:rsid w:val="00006F59"/>
    <w:rsid w:val="000107AC"/>
    <w:rsid w:val="000111FF"/>
    <w:rsid w:val="00012B40"/>
    <w:rsid w:val="00012CC8"/>
    <w:rsid w:val="00012EBE"/>
    <w:rsid w:val="000139C5"/>
    <w:rsid w:val="000152AD"/>
    <w:rsid w:val="000215F4"/>
    <w:rsid w:val="000236C8"/>
    <w:rsid w:val="00024375"/>
    <w:rsid w:val="0002437B"/>
    <w:rsid w:val="00030A03"/>
    <w:rsid w:val="00031345"/>
    <w:rsid w:val="00031935"/>
    <w:rsid w:val="00032DA7"/>
    <w:rsid w:val="000351E6"/>
    <w:rsid w:val="00036BD6"/>
    <w:rsid w:val="0003700F"/>
    <w:rsid w:val="000370D6"/>
    <w:rsid w:val="00040414"/>
    <w:rsid w:val="00043D83"/>
    <w:rsid w:val="000455A9"/>
    <w:rsid w:val="00056CC7"/>
    <w:rsid w:val="00057021"/>
    <w:rsid w:val="00060022"/>
    <w:rsid w:val="00061CB0"/>
    <w:rsid w:val="00061CD7"/>
    <w:rsid w:val="00062511"/>
    <w:rsid w:val="0006609F"/>
    <w:rsid w:val="00067679"/>
    <w:rsid w:val="000677BB"/>
    <w:rsid w:val="00071CC8"/>
    <w:rsid w:val="00073B54"/>
    <w:rsid w:val="00075259"/>
    <w:rsid w:val="00080330"/>
    <w:rsid w:val="00082959"/>
    <w:rsid w:val="00085C56"/>
    <w:rsid w:val="00086A02"/>
    <w:rsid w:val="00091D45"/>
    <w:rsid w:val="000930D9"/>
    <w:rsid w:val="000979A5"/>
    <w:rsid w:val="000A3DE8"/>
    <w:rsid w:val="000A7398"/>
    <w:rsid w:val="000B02B9"/>
    <w:rsid w:val="000B1AD7"/>
    <w:rsid w:val="000B71F5"/>
    <w:rsid w:val="000C4746"/>
    <w:rsid w:val="000C5937"/>
    <w:rsid w:val="000C5C8D"/>
    <w:rsid w:val="000C63A1"/>
    <w:rsid w:val="000C750F"/>
    <w:rsid w:val="000D7115"/>
    <w:rsid w:val="000E025E"/>
    <w:rsid w:val="000E2824"/>
    <w:rsid w:val="000E3305"/>
    <w:rsid w:val="000E648F"/>
    <w:rsid w:val="000F3B5D"/>
    <w:rsid w:val="000F3EC1"/>
    <w:rsid w:val="000F7282"/>
    <w:rsid w:val="000F757A"/>
    <w:rsid w:val="00101F79"/>
    <w:rsid w:val="00103491"/>
    <w:rsid w:val="00107D23"/>
    <w:rsid w:val="00112C28"/>
    <w:rsid w:val="00115935"/>
    <w:rsid w:val="0011655F"/>
    <w:rsid w:val="0012629F"/>
    <w:rsid w:val="00133F15"/>
    <w:rsid w:val="00140156"/>
    <w:rsid w:val="001412CF"/>
    <w:rsid w:val="0014425C"/>
    <w:rsid w:val="00145DAD"/>
    <w:rsid w:val="001465AF"/>
    <w:rsid w:val="00146E08"/>
    <w:rsid w:val="0015256E"/>
    <w:rsid w:val="0015268B"/>
    <w:rsid w:val="00156FCA"/>
    <w:rsid w:val="00161694"/>
    <w:rsid w:val="00164407"/>
    <w:rsid w:val="0016572A"/>
    <w:rsid w:val="00165A1B"/>
    <w:rsid w:val="00165EF4"/>
    <w:rsid w:val="00167022"/>
    <w:rsid w:val="001670A5"/>
    <w:rsid w:val="00171C4A"/>
    <w:rsid w:val="00172B77"/>
    <w:rsid w:val="00174099"/>
    <w:rsid w:val="00174280"/>
    <w:rsid w:val="00176183"/>
    <w:rsid w:val="00177A64"/>
    <w:rsid w:val="00183386"/>
    <w:rsid w:val="00183F4A"/>
    <w:rsid w:val="001A06B1"/>
    <w:rsid w:val="001A3273"/>
    <w:rsid w:val="001A4189"/>
    <w:rsid w:val="001A70DE"/>
    <w:rsid w:val="001A7DFD"/>
    <w:rsid w:val="001B628F"/>
    <w:rsid w:val="001B79BC"/>
    <w:rsid w:val="001B79C1"/>
    <w:rsid w:val="001B7AC6"/>
    <w:rsid w:val="001C7866"/>
    <w:rsid w:val="001D0D30"/>
    <w:rsid w:val="001D0FEB"/>
    <w:rsid w:val="001D149D"/>
    <w:rsid w:val="001D3AD8"/>
    <w:rsid w:val="001D4072"/>
    <w:rsid w:val="001D6FFC"/>
    <w:rsid w:val="001D72C0"/>
    <w:rsid w:val="001E133C"/>
    <w:rsid w:val="001E28F9"/>
    <w:rsid w:val="001E4400"/>
    <w:rsid w:val="001E4ACD"/>
    <w:rsid w:val="001E6255"/>
    <w:rsid w:val="001E6377"/>
    <w:rsid w:val="001F0A62"/>
    <w:rsid w:val="001F60BC"/>
    <w:rsid w:val="001F6A29"/>
    <w:rsid w:val="002020F2"/>
    <w:rsid w:val="00203086"/>
    <w:rsid w:val="00204110"/>
    <w:rsid w:val="00204D4F"/>
    <w:rsid w:val="00211B0D"/>
    <w:rsid w:val="00215705"/>
    <w:rsid w:val="00215EDB"/>
    <w:rsid w:val="00221584"/>
    <w:rsid w:val="00223481"/>
    <w:rsid w:val="00226434"/>
    <w:rsid w:val="002271F8"/>
    <w:rsid w:val="0022782D"/>
    <w:rsid w:val="00232A50"/>
    <w:rsid w:val="002332C2"/>
    <w:rsid w:val="00234238"/>
    <w:rsid w:val="00234FB3"/>
    <w:rsid w:val="00240041"/>
    <w:rsid w:val="002419C2"/>
    <w:rsid w:val="002423B2"/>
    <w:rsid w:val="00243AE2"/>
    <w:rsid w:val="00243BD5"/>
    <w:rsid w:val="00247D51"/>
    <w:rsid w:val="00250B20"/>
    <w:rsid w:val="0025195D"/>
    <w:rsid w:val="00252450"/>
    <w:rsid w:val="002570D1"/>
    <w:rsid w:val="00257BA4"/>
    <w:rsid w:val="00263254"/>
    <w:rsid w:val="0026481E"/>
    <w:rsid w:val="00267A22"/>
    <w:rsid w:val="00267D52"/>
    <w:rsid w:val="0027209F"/>
    <w:rsid w:val="00272AAF"/>
    <w:rsid w:val="00276FE9"/>
    <w:rsid w:val="00277DD2"/>
    <w:rsid w:val="00277EC6"/>
    <w:rsid w:val="00280247"/>
    <w:rsid w:val="002802AB"/>
    <w:rsid w:val="00282CCC"/>
    <w:rsid w:val="00284EB2"/>
    <w:rsid w:val="00285A9F"/>
    <w:rsid w:val="0029007E"/>
    <w:rsid w:val="002910CA"/>
    <w:rsid w:val="00292B6D"/>
    <w:rsid w:val="00294CBD"/>
    <w:rsid w:val="002A29B5"/>
    <w:rsid w:val="002A3082"/>
    <w:rsid w:val="002A7AB6"/>
    <w:rsid w:val="002A7FB8"/>
    <w:rsid w:val="002B1684"/>
    <w:rsid w:val="002B2AC8"/>
    <w:rsid w:val="002B2B01"/>
    <w:rsid w:val="002B3106"/>
    <w:rsid w:val="002B336E"/>
    <w:rsid w:val="002B5804"/>
    <w:rsid w:val="002B769A"/>
    <w:rsid w:val="002C18BD"/>
    <w:rsid w:val="002C1F06"/>
    <w:rsid w:val="002C1F8F"/>
    <w:rsid w:val="002C38A5"/>
    <w:rsid w:val="002C4ED0"/>
    <w:rsid w:val="002C51F4"/>
    <w:rsid w:val="002D08F8"/>
    <w:rsid w:val="002D1564"/>
    <w:rsid w:val="002D15FF"/>
    <w:rsid w:val="002D1D1A"/>
    <w:rsid w:val="002D208D"/>
    <w:rsid w:val="002D4574"/>
    <w:rsid w:val="002E3E4C"/>
    <w:rsid w:val="002E5B27"/>
    <w:rsid w:val="002F0D43"/>
    <w:rsid w:val="002F0E13"/>
    <w:rsid w:val="002F3434"/>
    <w:rsid w:val="002F76D2"/>
    <w:rsid w:val="002F7ECC"/>
    <w:rsid w:val="0030049F"/>
    <w:rsid w:val="00302896"/>
    <w:rsid w:val="00303FBF"/>
    <w:rsid w:val="003067A2"/>
    <w:rsid w:val="0030753E"/>
    <w:rsid w:val="00310E56"/>
    <w:rsid w:val="0031121F"/>
    <w:rsid w:val="003133F6"/>
    <w:rsid w:val="00313AE8"/>
    <w:rsid w:val="00313E36"/>
    <w:rsid w:val="003165D3"/>
    <w:rsid w:val="00316696"/>
    <w:rsid w:val="0031713F"/>
    <w:rsid w:val="0031774B"/>
    <w:rsid w:val="0032116B"/>
    <w:rsid w:val="00321F5A"/>
    <w:rsid w:val="00323831"/>
    <w:rsid w:val="00323B79"/>
    <w:rsid w:val="003242E9"/>
    <w:rsid w:val="003263EA"/>
    <w:rsid w:val="00327802"/>
    <w:rsid w:val="003407F1"/>
    <w:rsid w:val="00340D7B"/>
    <w:rsid w:val="00341A25"/>
    <w:rsid w:val="00345BCB"/>
    <w:rsid w:val="00351CC1"/>
    <w:rsid w:val="0035426A"/>
    <w:rsid w:val="00354480"/>
    <w:rsid w:val="0035482F"/>
    <w:rsid w:val="0035541E"/>
    <w:rsid w:val="003575DF"/>
    <w:rsid w:val="003621D1"/>
    <w:rsid w:val="00362560"/>
    <w:rsid w:val="00364271"/>
    <w:rsid w:val="003665F3"/>
    <w:rsid w:val="003709C0"/>
    <w:rsid w:val="00373F2E"/>
    <w:rsid w:val="00374ECA"/>
    <w:rsid w:val="003759B4"/>
    <w:rsid w:val="00382077"/>
    <w:rsid w:val="00382244"/>
    <w:rsid w:val="00382501"/>
    <w:rsid w:val="00382F6C"/>
    <w:rsid w:val="00383EE2"/>
    <w:rsid w:val="00385188"/>
    <w:rsid w:val="00385747"/>
    <w:rsid w:val="003862B0"/>
    <w:rsid w:val="00387372"/>
    <w:rsid w:val="00391A7F"/>
    <w:rsid w:val="00391A8F"/>
    <w:rsid w:val="0039519A"/>
    <w:rsid w:val="003A0970"/>
    <w:rsid w:val="003A0A63"/>
    <w:rsid w:val="003A32F5"/>
    <w:rsid w:val="003A49DA"/>
    <w:rsid w:val="003A4FC3"/>
    <w:rsid w:val="003A75D8"/>
    <w:rsid w:val="003B1287"/>
    <w:rsid w:val="003B1ECD"/>
    <w:rsid w:val="003B475D"/>
    <w:rsid w:val="003B509D"/>
    <w:rsid w:val="003C0B10"/>
    <w:rsid w:val="003C48E9"/>
    <w:rsid w:val="003C5781"/>
    <w:rsid w:val="003C79FF"/>
    <w:rsid w:val="003D05BF"/>
    <w:rsid w:val="003D5C06"/>
    <w:rsid w:val="003D696B"/>
    <w:rsid w:val="003D7518"/>
    <w:rsid w:val="003D7916"/>
    <w:rsid w:val="003E1876"/>
    <w:rsid w:val="003E3806"/>
    <w:rsid w:val="003E6665"/>
    <w:rsid w:val="003E6800"/>
    <w:rsid w:val="003E74F9"/>
    <w:rsid w:val="003F38A0"/>
    <w:rsid w:val="004016A3"/>
    <w:rsid w:val="00403F6B"/>
    <w:rsid w:val="00404573"/>
    <w:rsid w:val="00404E75"/>
    <w:rsid w:val="00405BF3"/>
    <w:rsid w:val="0040637B"/>
    <w:rsid w:val="0040746D"/>
    <w:rsid w:val="00407E17"/>
    <w:rsid w:val="00414877"/>
    <w:rsid w:val="004215D0"/>
    <w:rsid w:val="004217A8"/>
    <w:rsid w:val="00423ED6"/>
    <w:rsid w:val="00426385"/>
    <w:rsid w:val="00427D6A"/>
    <w:rsid w:val="00430EF2"/>
    <w:rsid w:val="00433B51"/>
    <w:rsid w:val="004369B6"/>
    <w:rsid w:val="00436E2A"/>
    <w:rsid w:val="00440036"/>
    <w:rsid w:val="00440691"/>
    <w:rsid w:val="004427FB"/>
    <w:rsid w:val="00444D1E"/>
    <w:rsid w:val="00444DF9"/>
    <w:rsid w:val="00451756"/>
    <w:rsid w:val="0045312B"/>
    <w:rsid w:val="00453ACC"/>
    <w:rsid w:val="00454A0F"/>
    <w:rsid w:val="00457CE9"/>
    <w:rsid w:val="004603C0"/>
    <w:rsid w:val="00461500"/>
    <w:rsid w:val="00461C52"/>
    <w:rsid w:val="00462162"/>
    <w:rsid w:val="004629BD"/>
    <w:rsid w:val="0046585F"/>
    <w:rsid w:val="004667CA"/>
    <w:rsid w:val="00476DB8"/>
    <w:rsid w:val="004770C5"/>
    <w:rsid w:val="00480715"/>
    <w:rsid w:val="004836BC"/>
    <w:rsid w:val="00487EAF"/>
    <w:rsid w:val="00490A9B"/>
    <w:rsid w:val="00491C50"/>
    <w:rsid w:val="00493930"/>
    <w:rsid w:val="00496B71"/>
    <w:rsid w:val="00496C63"/>
    <w:rsid w:val="004A022C"/>
    <w:rsid w:val="004A1D47"/>
    <w:rsid w:val="004A5147"/>
    <w:rsid w:val="004B0013"/>
    <w:rsid w:val="004B0764"/>
    <w:rsid w:val="004B20C6"/>
    <w:rsid w:val="004B2613"/>
    <w:rsid w:val="004C2FCC"/>
    <w:rsid w:val="004C3095"/>
    <w:rsid w:val="004C4DE0"/>
    <w:rsid w:val="004D0816"/>
    <w:rsid w:val="004D2E11"/>
    <w:rsid w:val="004D53EE"/>
    <w:rsid w:val="004D57E7"/>
    <w:rsid w:val="004D5B01"/>
    <w:rsid w:val="004D5D9C"/>
    <w:rsid w:val="004E2594"/>
    <w:rsid w:val="004E4D07"/>
    <w:rsid w:val="004E70DE"/>
    <w:rsid w:val="004F0BD9"/>
    <w:rsid w:val="004F78A0"/>
    <w:rsid w:val="004F78DB"/>
    <w:rsid w:val="00501F79"/>
    <w:rsid w:val="00506CF5"/>
    <w:rsid w:val="00510842"/>
    <w:rsid w:val="005116CE"/>
    <w:rsid w:val="00513210"/>
    <w:rsid w:val="0052504F"/>
    <w:rsid w:val="00533E50"/>
    <w:rsid w:val="005374C4"/>
    <w:rsid w:val="00537894"/>
    <w:rsid w:val="005433D7"/>
    <w:rsid w:val="005448BB"/>
    <w:rsid w:val="00545EF3"/>
    <w:rsid w:val="005472B9"/>
    <w:rsid w:val="00555821"/>
    <w:rsid w:val="005626F0"/>
    <w:rsid w:val="005637D6"/>
    <w:rsid w:val="00563D6B"/>
    <w:rsid w:val="0056525C"/>
    <w:rsid w:val="00566E02"/>
    <w:rsid w:val="00571715"/>
    <w:rsid w:val="00574DAE"/>
    <w:rsid w:val="00584590"/>
    <w:rsid w:val="00585049"/>
    <w:rsid w:val="005858E5"/>
    <w:rsid w:val="005903AE"/>
    <w:rsid w:val="00591DDA"/>
    <w:rsid w:val="005931AD"/>
    <w:rsid w:val="00593C5A"/>
    <w:rsid w:val="00596731"/>
    <w:rsid w:val="005A0D25"/>
    <w:rsid w:val="005A4D38"/>
    <w:rsid w:val="005A517C"/>
    <w:rsid w:val="005A6ACA"/>
    <w:rsid w:val="005B2523"/>
    <w:rsid w:val="005C1C38"/>
    <w:rsid w:val="005C3CE1"/>
    <w:rsid w:val="005C4138"/>
    <w:rsid w:val="005C4A3B"/>
    <w:rsid w:val="005C6544"/>
    <w:rsid w:val="005D5C59"/>
    <w:rsid w:val="005E0DD4"/>
    <w:rsid w:val="005E28F8"/>
    <w:rsid w:val="005E3489"/>
    <w:rsid w:val="005E6039"/>
    <w:rsid w:val="005E7C9F"/>
    <w:rsid w:val="005F0447"/>
    <w:rsid w:val="005F0878"/>
    <w:rsid w:val="005F6F7B"/>
    <w:rsid w:val="00600636"/>
    <w:rsid w:val="006054DC"/>
    <w:rsid w:val="00607521"/>
    <w:rsid w:val="00610369"/>
    <w:rsid w:val="006111F9"/>
    <w:rsid w:val="00611E44"/>
    <w:rsid w:val="006126BC"/>
    <w:rsid w:val="006158A9"/>
    <w:rsid w:val="00617FE1"/>
    <w:rsid w:val="00622ACE"/>
    <w:rsid w:val="006239A9"/>
    <w:rsid w:val="00624DC8"/>
    <w:rsid w:val="0063152F"/>
    <w:rsid w:val="006326D9"/>
    <w:rsid w:val="00633CDE"/>
    <w:rsid w:val="00635621"/>
    <w:rsid w:val="00635CD6"/>
    <w:rsid w:val="00641AE0"/>
    <w:rsid w:val="00642274"/>
    <w:rsid w:val="0064550C"/>
    <w:rsid w:val="0064782D"/>
    <w:rsid w:val="0065085D"/>
    <w:rsid w:val="006516F1"/>
    <w:rsid w:val="00652CD9"/>
    <w:rsid w:val="00654EBA"/>
    <w:rsid w:val="00655965"/>
    <w:rsid w:val="006579CE"/>
    <w:rsid w:val="00660676"/>
    <w:rsid w:val="00661E95"/>
    <w:rsid w:val="006740DE"/>
    <w:rsid w:val="0067703B"/>
    <w:rsid w:val="00680320"/>
    <w:rsid w:val="00683096"/>
    <w:rsid w:val="006847B2"/>
    <w:rsid w:val="0068783E"/>
    <w:rsid w:val="00693965"/>
    <w:rsid w:val="006943AA"/>
    <w:rsid w:val="00695672"/>
    <w:rsid w:val="0069574E"/>
    <w:rsid w:val="006A07FB"/>
    <w:rsid w:val="006A116E"/>
    <w:rsid w:val="006A5AAF"/>
    <w:rsid w:val="006B016D"/>
    <w:rsid w:val="006B0AFA"/>
    <w:rsid w:val="006B11FB"/>
    <w:rsid w:val="006B3468"/>
    <w:rsid w:val="006C2565"/>
    <w:rsid w:val="006C2785"/>
    <w:rsid w:val="006C4503"/>
    <w:rsid w:val="006D3C03"/>
    <w:rsid w:val="006D4D6B"/>
    <w:rsid w:val="006D5348"/>
    <w:rsid w:val="006D66C8"/>
    <w:rsid w:val="006D7F40"/>
    <w:rsid w:val="006E3D4A"/>
    <w:rsid w:val="006E73CC"/>
    <w:rsid w:val="006F1F03"/>
    <w:rsid w:val="006F62F3"/>
    <w:rsid w:val="0070390C"/>
    <w:rsid w:val="00705CB4"/>
    <w:rsid w:val="00707216"/>
    <w:rsid w:val="0070781A"/>
    <w:rsid w:val="00711226"/>
    <w:rsid w:val="0071271C"/>
    <w:rsid w:val="00714460"/>
    <w:rsid w:val="00714C3C"/>
    <w:rsid w:val="00715F9E"/>
    <w:rsid w:val="007174DA"/>
    <w:rsid w:val="00717710"/>
    <w:rsid w:val="00717B13"/>
    <w:rsid w:val="0072313E"/>
    <w:rsid w:val="00723406"/>
    <w:rsid w:val="0073070D"/>
    <w:rsid w:val="00732631"/>
    <w:rsid w:val="007401A8"/>
    <w:rsid w:val="00742138"/>
    <w:rsid w:val="0074346B"/>
    <w:rsid w:val="0075040F"/>
    <w:rsid w:val="00755004"/>
    <w:rsid w:val="00757B8D"/>
    <w:rsid w:val="00762305"/>
    <w:rsid w:val="0076295A"/>
    <w:rsid w:val="00764075"/>
    <w:rsid w:val="00764BC5"/>
    <w:rsid w:val="00764FA0"/>
    <w:rsid w:val="00765D61"/>
    <w:rsid w:val="007661B4"/>
    <w:rsid w:val="00767694"/>
    <w:rsid w:val="00767F2F"/>
    <w:rsid w:val="00772F6C"/>
    <w:rsid w:val="007734A6"/>
    <w:rsid w:val="00773CDE"/>
    <w:rsid w:val="00775121"/>
    <w:rsid w:val="007809DF"/>
    <w:rsid w:val="00787590"/>
    <w:rsid w:val="00792905"/>
    <w:rsid w:val="0079330E"/>
    <w:rsid w:val="0079569B"/>
    <w:rsid w:val="00797FBF"/>
    <w:rsid w:val="007A3793"/>
    <w:rsid w:val="007B7F4D"/>
    <w:rsid w:val="007C1359"/>
    <w:rsid w:val="007C4333"/>
    <w:rsid w:val="007C58AD"/>
    <w:rsid w:val="007D3991"/>
    <w:rsid w:val="007D5CBD"/>
    <w:rsid w:val="007D67F1"/>
    <w:rsid w:val="007D6A81"/>
    <w:rsid w:val="007E4636"/>
    <w:rsid w:val="007E4C1D"/>
    <w:rsid w:val="007E52A5"/>
    <w:rsid w:val="007E54F4"/>
    <w:rsid w:val="00801288"/>
    <w:rsid w:val="008012D8"/>
    <w:rsid w:val="00801BDA"/>
    <w:rsid w:val="00802C99"/>
    <w:rsid w:val="00804CAA"/>
    <w:rsid w:val="008060FE"/>
    <w:rsid w:val="008063ED"/>
    <w:rsid w:val="0081743B"/>
    <w:rsid w:val="008206C1"/>
    <w:rsid w:val="0082124C"/>
    <w:rsid w:val="00824845"/>
    <w:rsid w:val="00826D2A"/>
    <w:rsid w:val="00827E3F"/>
    <w:rsid w:val="00830C6C"/>
    <w:rsid w:val="008368F6"/>
    <w:rsid w:val="008378A7"/>
    <w:rsid w:val="00841237"/>
    <w:rsid w:val="00842F3C"/>
    <w:rsid w:val="008442AC"/>
    <w:rsid w:val="00844455"/>
    <w:rsid w:val="00845C9F"/>
    <w:rsid w:val="00846FBC"/>
    <w:rsid w:val="0085171B"/>
    <w:rsid w:val="008553B9"/>
    <w:rsid w:val="008565A4"/>
    <w:rsid w:val="00860C2D"/>
    <w:rsid w:val="00863C12"/>
    <w:rsid w:val="0086409F"/>
    <w:rsid w:val="00865C47"/>
    <w:rsid w:val="00865DE5"/>
    <w:rsid w:val="0086694A"/>
    <w:rsid w:val="00866BEC"/>
    <w:rsid w:val="00867DC0"/>
    <w:rsid w:val="00870C1A"/>
    <w:rsid w:val="00872D31"/>
    <w:rsid w:val="00872D32"/>
    <w:rsid w:val="00874991"/>
    <w:rsid w:val="0087736E"/>
    <w:rsid w:val="008800D7"/>
    <w:rsid w:val="00885DC8"/>
    <w:rsid w:val="00890DFD"/>
    <w:rsid w:val="008923A1"/>
    <w:rsid w:val="008932F6"/>
    <w:rsid w:val="0089557F"/>
    <w:rsid w:val="0089619F"/>
    <w:rsid w:val="008976D1"/>
    <w:rsid w:val="00897B8C"/>
    <w:rsid w:val="008A1ABC"/>
    <w:rsid w:val="008A399A"/>
    <w:rsid w:val="008A5B98"/>
    <w:rsid w:val="008B0806"/>
    <w:rsid w:val="008C1548"/>
    <w:rsid w:val="008C2D2E"/>
    <w:rsid w:val="008C448A"/>
    <w:rsid w:val="008D0F81"/>
    <w:rsid w:val="008D1406"/>
    <w:rsid w:val="008D2DD2"/>
    <w:rsid w:val="008D3AF6"/>
    <w:rsid w:val="008E1C85"/>
    <w:rsid w:val="008E6438"/>
    <w:rsid w:val="008F0FEA"/>
    <w:rsid w:val="008F1AB8"/>
    <w:rsid w:val="008F3F67"/>
    <w:rsid w:val="008F64CD"/>
    <w:rsid w:val="008F6878"/>
    <w:rsid w:val="0090141D"/>
    <w:rsid w:val="00902B0E"/>
    <w:rsid w:val="00905A8B"/>
    <w:rsid w:val="0091369B"/>
    <w:rsid w:val="00913B9D"/>
    <w:rsid w:val="009141AF"/>
    <w:rsid w:val="00916F5D"/>
    <w:rsid w:val="00921064"/>
    <w:rsid w:val="009268AB"/>
    <w:rsid w:val="00926C0F"/>
    <w:rsid w:val="00927F82"/>
    <w:rsid w:val="00930444"/>
    <w:rsid w:val="0093385E"/>
    <w:rsid w:val="00933AA0"/>
    <w:rsid w:val="00933B20"/>
    <w:rsid w:val="009343FA"/>
    <w:rsid w:val="009372E0"/>
    <w:rsid w:val="00937DED"/>
    <w:rsid w:val="00940335"/>
    <w:rsid w:val="00943686"/>
    <w:rsid w:val="009441E3"/>
    <w:rsid w:val="009446C5"/>
    <w:rsid w:val="00946B8B"/>
    <w:rsid w:val="00947A4D"/>
    <w:rsid w:val="00956C8E"/>
    <w:rsid w:val="00957F22"/>
    <w:rsid w:val="00961CB7"/>
    <w:rsid w:val="00961DCF"/>
    <w:rsid w:val="00964616"/>
    <w:rsid w:val="009646FC"/>
    <w:rsid w:val="00971012"/>
    <w:rsid w:val="00973A0B"/>
    <w:rsid w:val="00973D8A"/>
    <w:rsid w:val="00974710"/>
    <w:rsid w:val="00975771"/>
    <w:rsid w:val="00975792"/>
    <w:rsid w:val="009766F1"/>
    <w:rsid w:val="00976C49"/>
    <w:rsid w:val="00977426"/>
    <w:rsid w:val="009802C9"/>
    <w:rsid w:val="009818C8"/>
    <w:rsid w:val="00981B71"/>
    <w:rsid w:val="00985AB5"/>
    <w:rsid w:val="00986401"/>
    <w:rsid w:val="009868A9"/>
    <w:rsid w:val="00986B12"/>
    <w:rsid w:val="00991A54"/>
    <w:rsid w:val="009946B8"/>
    <w:rsid w:val="00996EE9"/>
    <w:rsid w:val="009A154F"/>
    <w:rsid w:val="009A2779"/>
    <w:rsid w:val="009A2A33"/>
    <w:rsid w:val="009A5197"/>
    <w:rsid w:val="009A6897"/>
    <w:rsid w:val="009B0DCB"/>
    <w:rsid w:val="009B5A1B"/>
    <w:rsid w:val="009C2A18"/>
    <w:rsid w:val="009C3649"/>
    <w:rsid w:val="009C41FC"/>
    <w:rsid w:val="009C5A16"/>
    <w:rsid w:val="009C66D2"/>
    <w:rsid w:val="009C7C3A"/>
    <w:rsid w:val="009D1C20"/>
    <w:rsid w:val="009D1F1C"/>
    <w:rsid w:val="009D34D6"/>
    <w:rsid w:val="009D5FE7"/>
    <w:rsid w:val="009D65EA"/>
    <w:rsid w:val="009E5102"/>
    <w:rsid w:val="009F28BC"/>
    <w:rsid w:val="009F339D"/>
    <w:rsid w:val="009F3CCA"/>
    <w:rsid w:val="009F526B"/>
    <w:rsid w:val="009F596C"/>
    <w:rsid w:val="009F7326"/>
    <w:rsid w:val="00A01E2E"/>
    <w:rsid w:val="00A02131"/>
    <w:rsid w:val="00A02664"/>
    <w:rsid w:val="00A041C4"/>
    <w:rsid w:val="00A0507B"/>
    <w:rsid w:val="00A0699D"/>
    <w:rsid w:val="00A07058"/>
    <w:rsid w:val="00A0786E"/>
    <w:rsid w:val="00A11C92"/>
    <w:rsid w:val="00A11CAD"/>
    <w:rsid w:val="00A143F5"/>
    <w:rsid w:val="00A16E41"/>
    <w:rsid w:val="00A17C3C"/>
    <w:rsid w:val="00A20539"/>
    <w:rsid w:val="00A21A4B"/>
    <w:rsid w:val="00A22044"/>
    <w:rsid w:val="00A34D95"/>
    <w:rsid w:val="00A368C3"/>
    <w:rsid w:val="00A37022"/>
    <w:rsid w:val="00A421AF"/>
    <w:rsid w:val="00A47589"/>
    <w:rsid w:val="00A51A51"/>
    <w:rsid w:val="00A52435"/>
    <w:rsid w:val="00A52961"/>
    <w:rsid w:val="00A557F9"/>
    <w:rsid w:val="00A55A2B"/>
    <w:rsid w:val="00A635BC"/>
    <w:rsid w:val="00A64925"/>
    <w:rsid w:val="00A67239"/>
    <w:rsid w:val="00A751E2"/>
    <w:rsid w:val="00A84271"/>
    <w:rsid w:val="00A85F66"/>
    <w:rsid w:val="00A91425"/>
    <w:rsid w:val="00A91474"/>
    <w:rsid w:val="00A917E8"/>
    <w:rsid w:val="00A92B57"/>
    <w:rsid w:val="00A964E9"/>
    <w:rsid w:val="00AA0297"/>
    <w:rsid w:val="00AA2CF1"/>
    <w:rsid w:val="00AA3026"/>
    <w:rsid w:val="00AA5736"/>
    <w:rsid w:val="00AB21FB"/>
    <w:rsid w:val="00AB49F0"/>
    <w:rsid w:val="00AB7F5E"/>
    <w:rsid w:val="00AC060E"/>
    <w:rsid w:val="00AC589D"/>
    <w:rsid w:val="00AC6FA2"/>
    <w:rsid w:val="00AD1CB9"/>
    <w:rsid w:val="00AD2853"/>
    <w:rsid w:val="00AD51F2"/>
    <w:rsid w:val="00AD62CB"/>
    <w:rsid w:val="00AD6E8C"/>
    <w:rsid w:val="00AE0765"/>
    <w:rsid w:val="00AE1FEF"/>
    <w:rsid w:val="00AE273B"/>
    <w:rsid w:val="00AE2CC1"/>
    <w:rsid w:val="00AE541D"/>
    <w:rsid w:val="00AE66CF"/>
    <w:rsid w:val="00AF2DCD"/>
    <w:rsid w:val="00AF3FDB"/>
    <w:rsid w:val="00AF43A4"/>
    <w:rsid w:val="00AF7381"/>
    <w:rsid w:val="00AF7EFF"/>
    <w:rsid w:val="00B017C4"/>
    <w:rsid w:val="00B01D7F"/>
    <w:rsid w:val="00B055BD"/>
    <w:rsid w:val="00B07CEF"/>
    <w:rsid w:val="00B10219"/>
    <w:rsid w:val="00B1447C"/>
    <w:rsid w:val="00B14B71"/>
    <w:rsid w:val="00B1513A"/>
    <w:rsid w:val="00B17122"/>
    <w:rsid w:val="00B2163C"/>
    <w:rsid w:val="00B223CB"/>
    <w:rsid w:val="00B22533"/>
    <w:rsid w:val="00B227BC"/>
    <w:rsid w:val="00B25113"/>
    <w:rsid w:val="00B261FD"/>
    <w:rsid w:val="00B26B73"/>
    <w:rsid w:val="00B26FE3"/>
    <w:rsid w:val="00B31414"/>
    <w:rsid w:val="00B32C03"/>
    <w:rsid w:val="00B35A58"/>
    <w:rsid w:val="00B36648"/>
    <w:rsid w:val="00B373FA"/>
    <w:rsid w:val="00B42DA1"/>
    <w:rsid w:val="00B43262"/>
    <w:rsid w:val="00B469DB"/>
    <w:rsid w:val="00B474C8"/>
    <w:rsid w:val="00B52F7E"/>
    <w:rsid w:val="00B62798"/>
    <w:rsid w:val="00B705D6"/>
    <w:rsid w:val="00B71369"/>
    <w:rsid w:val="00B75493"/>
    <w:rsid w:val="00B75F01"/>
    <w:rsid w:val="00B77077"/>
    <w:rsid w:val="00B81391"/>
    <w:rsid w:val="00B852F4"/>
    <w:rsid w:val="00B85C1E"/>
    <w:rsid w:val="00B87514"/>
    <w:rsid w:val="00B90E3B"/>
    <w:rsid w:val="00B9311C"/>
    <w:rsid w:val="00B9570F"/>
    <w:rsid w:val="00B9711B"/>
    <w:rsid w:val="00BA20B6"/>
    <w:rsid w:val="00BA7737"/>
    <w:rsid w:val="00BB0B72"/>
    <w:rsid w:val="00BB27D8"/>
    <w:rsid w:val="00BB3035"/>
    <w:rsid w:val="00BB34A9"/>
    <w:rsid w:val="00BB46C5"/>
    <w:rsid w:val="00BB5474"/>
    <w:rsid w:val="00BB6D87"/>
    <w:rsid w:val="00BC38BF"/>
    <w:rsid w:val="00BC5753"/>
    <w:rsid w:val="00BC5E2E"/>
    <w:rsid w:val="00BD0CEF"/>
    <w:rsid w:val="00BD27DC"/>
    <w:rsid w:val="00BD50B8"/>
    <w:rsid w:val="00BD6350"/>
    <w:rsid w:val="00BE194B"/>
    <w:rsid w:val="00BE3408"/>
    <w:rsid w:val="00BF10AF"/>
    <w:rsid w:val="00BF2258"/>
    <w:rsid w:val="00BF23A2"/>
    <w:rsid w:val="00BF5353"/>
    <w:rsid w:val="00BF65EF"/>
    <w:rsid w:val="00C054C1"/>
    <w:rsid w:val="00C05CF1"/>
    <w:rsid w:val="00C06118"/>
    <w:rsid w:val="00C072B4"/>
    <w:rsid w:val="00C12D50"/>
    <w:rsid w:val="00C1615C"/>
    <w:rsid w:val="00C2073E"/>
    <w:rsid w:val="00C213E9"/>
    <w:rsid w:val="00C21F4D"/>
    <w:rsid w:val="00C2345B"/>
    <w:rsid w:val="00C24E67"/>
    <w:rsid w:val="00C24FEF"/>
    <w:rsid w:val="00C34D97"/>
    <w:rsid w:val="00C35170"/>
    <w:rsid w:val="00C372C7"/>
    <w:rsid w:val="00C410B1"/>
    <w:rsid w:val="00C44B3D"/>
    <w:rsid w:val="00C465C0"/>
    <w:rsid w:val="00C6558E"/>
    <w:rsid w:val="00C700B9"/>
    <w:rsid w:val="00C7293D"/>
    <w:rsid w:val="00C7495F"/>
    <w:rsid w:val="00C74BE9"/>
    <w:rsid w:val="00C75DF5"/>
    <w:rsid w:val="00C82B73"/>
    <w:rsid w:val="00C84D4E"/>
    <w:rsid w:val="00C87D7A"/>
    <w:rsid w:val="00C92999"/>
    <w:rsid w:val="00C93C62"/>
    <w:rsid w:val="00C964E8"/>
    <w:rsid w:val="00C975C8"/>
    <w:rsid w:val="00CA1064"/>
    <w:rsid w:val="00CA1EB8"/>
    <w:rsid w:val="00CB318D"/>
    <w:rsid w:val="00CB33B0"/>
    <w:rsid w:val="00CC18F6"/>
    <w:rsid w:val="00CC1D99"/>
    <w:rsid w:val="00CC3E75"/>
    <w:rsid w:val="00CC6F7B"/>
    <w:rsid w:val="00CC7B8A"/>
    <w:rsid w:val="00CD2BAF"/>
    <w:rsid w:val="00CD78BE"/>
    <w:rsid w:val="00CD7CD3"/>
    <w:rsid w:val="00CE2D64"/>
    <w:rsid w:val="00CE523C"/>
    <w:rsid w:val="00CE62DE"/>
    <w:rsid w:val="00CE6AF1"/>
    <w:rsid w:val="00CF20AC"/>
    <w:rsid w:val="00CF256F"/>
    <w:rsid w:val="00CF2EC1"/>
    <w:rsid w:val="00CF48EC"/>
    <w:rsid w:val="00D012BD"/>
    <w:rsid w:val="00D05002"/>
    <w:rsid w:val="00D05287"/>
    <w:rsid w:val="00D1370F"/>
    <w:rsid w:val="00D15130"/>
    <w:rsid w:val="00D15C48"/>
    <w:rsid w:val="00D20155"/>
    <w:rsid w:val="00D20FFD"/>
    <w:rsid w:val="00D301D8"/>
    <w:rsid w:val="00D316A5"/>
    <w:rsid w:val="00D37A77"/>
    <w:rsid w:val="00D408FD"/>
    <w:rsid w:val="00D42E96"/>
    <w:rsid w:val="00D43F94"/>
    <w:rsid w:val="00D449C3"/>
    <w:rsid w:val="00D45C99"/>
    <w:rsid w:val="00D47B83"/>
    <w:rsid w:val="00D52FAA"/>
    <w:rsid w:val="00D56BFF"/>
    <w:rsid w:val="00D57810"/>
    <w:rsid w:val="00D60652"/>
    <w:rsid w:val="00D6410A"/>
    <w:rsid w:val="00D65675"/>
    <w:rsid w:val="00D703DC"/>
    <w:rsid w:val="00D726A4"/>
    <w:rsid w:val="00D75FC6"/>
    <w:rsid w:val="00D76122"/>
    <w:rsid w:val="00D769A4"/>
    <w:rsid w:val="00D83864"/>
    <w:rsid w:val="00D84709"/>
    <w:rsid w:val="00D8486A"/>
    <w:rsid w:val="00D8765C"/>
    <w:rsid w:val="00DA1F13"/>
    <w:rsid w:val="00DA5529"/>
    <w:rsid w:val="00DA76BE"/>
    <w:rsid w:val="00DB555C"/>
    <w:rsid w:val="00DB73ED"/>
    <w:rsid w:val="00DC1282"/>
    <w:rsid w:val="00DC3915"/>
    <w:rsid w:val="00DC3CC1"/>
    <w:rsid w:val="00DC47E4"/>
    <w:rsid w:val="00DC4A84"/>
    <w:rsid w:val="00DD0F22"/>
    <w:rsid w:val="00DD4A74"/>
    <w:rsid w:val="00DD7095"/>
    <w:rsid w:val="00DE4936"/>
    <w:rsid w:val="00DE60C1"/>
    <w:rsid w:val="00DE7834"/>
    <w:rsid w:val="00DF1583"/>
    <w:rsid w:val="00DF3EB6"/>
    <w:rsid w:val="00DF5609"/>
    <w:rsid w:val="00DF67B6"/>
    <w:rsid w:val="00DF6C75"/>
    <w:rsid w:val="00E02692"/>
    <w:rsid w:val="00E065B1"/>
    <w:rsid w:val="00E13E43"/>
    <w:rsid w:val="00E15854"/>
    <w:rsid w:val="00E159A4"/>
    <w:rsid w:val="00E16968"/>
    <w:rsid w:val="00E20213"/>
    <w:rsid w:val="00E20976"/>
    <w:rsid w:val="00E21857"/>
    <w:rsid w:val="00E22979"/>
    <w:rsid w:val="00E22D70"/>
    <w:rsid w:val="00E35DC1"/>
    <w:rsid w:val="00E368FD"/>
    <w:rsid w:val="00E36F1B"/>
    <w:rsid w:val="00E409A0"/>
    <w:rsid w:val="00E410AF"/>
    <w:rsid w:val="00E41187"/>
    <w:rsid w:val="00E44D8C"/>
    <w:rsid w:val="00E461EC"/>
    <w:rsid w:val="00E51FE9"/>
    <w:rsid w:val="00E5345A"/>
    <w:rsid w:val="00E57678"/>
    <w:rsid w:val="00E62ADD"/>
    <w:rsid w:val="00E6318E"/>
    <w:rsid w:val="00E64C33"/>
    <w:rsid w:val="00E65F55"/>
    <w:rsid w:val="00E730F0"/>
    <w:rsid w:val="00E73DFE"/>
    <w:rsid w:val="00E742BA"/>
    <w:rsid w:val="00E864DB"/>
    <w:rsid w:val="00E91CB0"/>
    <w:rsid w:val="00E94F50"/>
    <w:rsid w:val="00E962CF"/>
    <w:rsid w:val="00E963F9"/>
    <w:rsid w:val="00E96715"/>
    <w:rsid w:val="00EA1F3F"/>
    <w:rsid w:val="00EA2374"/>
    <w:rsid w:val="00EA3E22"/>
    <w:rsid w:val="00EA60DE"/>
    <w:rsid w:val="00EA7D13"/>
    <w:rsid w:val="00EB0BE4"/>
    <w:rsid w:val="00EB0BF8"/>
    <w:rsid w:val="00EB3B63"/>
    <w:rsid w:val="00EB3E9C"/>
    <w:rsid w:val="00EB5393"/>
    <w:rsid w:val="00EB7BBA"/>
    <w:rsid w:val="00ED09A5"/>
    <w:rsid w:val="00ED0C89"/>
    <w:rsid w:val="00ED126F"/>
    <w:rsid w:val="00ED6847"/>
    <w:rsid w:val="00ED79ED"/>
    <w:rsid w:val="00ED7FAC"/>
    <w:rsid w:val="00EE1429"/>
    <w:rsid w:val="00EE2314"/>
    <w:rsid w:val="00EE268A"/>
    <w:rsid w:val="00EE4222"/>
    <w:rsid w:val="00EE6961"/>
    <w:rsid w:val="00EF0B69"/>
    <w:rsid w:val="00F01B16"/>
    <w:rsid w:val="00F04F68"/>
    <w:rsid w:val="00F06818"/>
    <w:rsid w:val="00F0744C"/>
    <w:rsid w:val="00F078C4"/>
    <w:rsid w:val="00F102DA"/>
    <w:rsid w:val="00F144E8"/>
    <w:rsid w:val="00F14926"/>
    <w:rsid w:val="00F14DCA"/>
    <w:rsid w:val="00F153A5"/>
    <w:rsid w:val="00F163C1"/>
    <w:rsid w:val="00F16465"/>
    <w:rsid w:val="00F24D49"/>
    <w:rsid w:val="00F302CD"/>
    <w:rsid w:val="00F30820"/>
    <w:rsid w:val="00F34D53"/>
    <w:rsid w:val="00F35461"/>
    <w:rsid w:val="00F376B8"/>
    <w:rsid w:val="00F434B0"/>
    <w:rsid w:val="00F46A6F"/>
    <w:rsid w:val="00F50488"/>
    <w:rsid w:val="00F50760"/>
    <w:rsid w:val="00F54630"/>
    <w:rsid w:val="00F56505"/>
    <w:rsid w:val="00F6008E"/>
    <w:rsid w:val="00F71E79"/>
    <w:rsid w:val="00F74326"/>
    <w:rsid w:val="00F808B8"/>
    <w:rsid w:val="00F8348A"/>
    <w:rsid w:val="00F843CA"/>
    <w:rsid w:val="00F94BE3"/>
    <w:rsid w:val="00F9638B"/>
    <w:rsid w:val="00FA281E"/>
    <w:rsid w:val="00FB0EA8"/>
    <w:rsid w:val="00FB0FD4"/>
    <w:rsid w:val="00FB1A21"/>
    <w:rsid w:val="00FB3079"/>
    <w:rsid w:val="00FB77E2"/>
    <w:rsid w:val="00FC05BF"/>
    <w:rsid w:val="00FC296D"/>
    <w:rsid w:val="00FC58EA"/>
    <w:rsid w:val="00FC5E37"/>
    <w:rsid w:val="00FC6B04"/>
    <w:rsid w:val="00FD1911"/>
    <w:rsid w:val="00FD2E8A"/>
    <w:rsid w:val="00FD3E29"/>
    <w:rsid w:val="00FD63C4"/>
    <w:rsid w:val="00FE010D"/>
    <w:rsid w:val="00FE3423"/>
    <w:rsid w:val="00FE6725"/>
    <w:rsid w:val="00FE6A71"/>
    <w:rsid w:val="00FE6AA0"/>
    <w:rsid w:val="00FF0A99"/>
    <w:rsid w:val="00FF41A4"/>
    <w:rsid w:val="00FF540B"/>
    <w:rsid w:val="00FF576D"/>
    <w:rsid w:val="00FF740B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2EA01AE-D021-4090-9DB9-7E0B2C3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A8"/>
    <w:pPr>
      <w:jc w:val="both"/>
    </w:pPr>
    <w:rPr>
      <w:sz w:val="22"/>
      <w:lang w:val="es-AR"/>
    </w:rPr>
  </w:style>
  <w:style w:type="paragraph" w:styleId="Heading1">
    <w:name w:val="heading 1"/>
    <w:basedOn w:val="Normal"/>
    <w:next w:val="Normal"/>
    <w:link w:val="Heading1Char"/>
    <w:qFormat/>
    <w:rsid w:val="00327802"/>
    <w:pPr>
      <w:keepNext/>
      <w:jc w:val="left"/>
      <w:outlineLvl w:val="0"/>
    </w:pPr>
    <w:rPr>
      <w:rFonts w:eastAsia="MS Mincho"/>
      <w:sz w:val="28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70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078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rsid w:val="008D0F81"/>
    <w:pPr>
      <w:tabs>
        <w:tab w:val="center" w:pos="4320"/>
        <w:tab w:val="right" w:pos="8640"/>
      </w:tabs>
    </w:pPr>
  </w:style>
  <w:style w:type="paragraph" w:customStyle="1" w:styleId="CPTitle">
    <w:name w:val="CP Title"/>
    <w:basedOn w:val="Normal"/>
    <w:rsid w:val="008D0F8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BodyTextIndent3">
    <w:name w:val="Body Text Indent 3"/>
    <w:basedOn w:val="Normal"/>
    <w:rsid w:val="008D0F81"/>
    <w:pPr>
      <w:snapToGrid w:val="0"/>
      <w:spacing w:line="480" w:lineRule="auto"/>
      <w:ind w:left="90" w:firstLine="630"/>
    </w:pPr>
    <w:rPr>
      <w:rFonts w:eastAsia="Batang"/>
      <w:szCs w:val="22"/>
      <w:lang w:val="en-US" w:eastAsia="ko-KR"/>
    </w:rPr>
  </w:style>
  <w:style w:type="character" w:styleId="PageNumber">
    <w:name w:val="page number"/>
    <w:basedOn w:val="DefaultParagraphFont"/>
    <w:rsid w:val="008D0F81"/>
  </w:style>
  <w:style w:type="character" w:customStyle="1" w:styleId="Heading1Char">
    <w:name w:val="Heading 1 Char"/>
    <w:link w:val="Heading1"/>
    <w:rsid w:val="00327802"/>
    <w:rPr>
      <w:rFonts w:eastAsia="MS Mincho"/>
      <w:sz w:val="28"/>
      <w:szCs w:val="24"/>
      <w:lang w:val="es-ES" w:eastAsia="es-ES" w:bidi="ar-SA"/>
    </w:rPr>
  </w:style>
  <w:style w:type="paragraph" w:styleId="BalloonText">
    <w:name w:val="Balloon Text"/>
    <w:basedOn w:val="Normal"/>
    <w:semiHidden/>
    <w:rsid w:val="0075500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B31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lang w:val="es-ES"/>
    </w:rPr>
  </w:style>
  <w:style w:type="paragraph" w:customStyle="1" w:styleId="0">
    <w:name w:val="0"/>
    <w:basedOn w:val="Normal"/>
    <w:rsid w:val="002B3106"/>
    <w:pPr>
      <w:widowControl w:val="0"/>
      <w:autoSpaceDE w:val="0"/>
      <w:autoSpaceDN w:val="0"/>
      <w:adjustRightInd w:val="0"/>
      <w:spacing w:line="240" w:lineRule="atLeast"/>
      <w:jc w:val="left"/>
    </w:pPr>
    <w:rPr>
      <w:sz w:val="24"/>
      <w:szCs w:val="24"/>
      <w:lang w:val="es-ES"/>
    </w:rPr>
  </w:style>
  <w:style w:type="paragraph" w:styleId="Footer">
    <w:name w:val="footer"/>
    <w:basedOn w:val="Normal"/>
    <w:rsid w:val="002B3106"/>
    <w:pPr>
      <w:tabs>
        <w:tab w:val="center" w:pos="4320"/>
        <w:tab w:val="right" w:pos="8640"/>
      </w:tabs>
      <w:jc w:val="left"/>
    </w:pPr>
    <w:rPr>
      <w:sz w:val="24"/>
      <w:szCs w:val="24"/>
      <w:lang w:val="en-US"/>
    </w:rPr>
  </w:style>
  <w:style w:type="paragraph" w:styleId="NormalWeb">
    <w:name w:val="Normal (Web)"/>
    <w:basedOn w:val="Normal"/>
    <w:rsid w:val="002B3106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paragraph" w:styleId="FootnoteText">
    <w:name w:val="footnote text"/>
    <w:aliases w:val="footnote text"/>
    <w:basedOn w:val="Normal"/>
    <w:semiHidden/>
    <w:rsid w:val="002B3106"/>
    <w:pPr>
      <w:tabs>
        <w:tab w:val="left" w:pos="360"/>
      </w:tabs>
      <w:ind w:left="360" w:hanging="360"/>
    </w:pPr>
    <w:rPr>
      <w:rFonts w:ascii="CG Times" w:hAnsi="CG Times"/>
      <w:sz w:val="18"/>
      <w:lang w:val="es-ES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,Appel note de bas de page,Footnotes refss,f,Footnote number,BVI fnr,4_G,16 Point,Footnote"/>
    <w:uiPriority w:val="99"/>
    <w:rsid w:val="002B3106"/>
    <w:rPr>
      <w:color w:val="auto"/>
      <w:vertAlign w:val="baseline"/>
    </w:rPr>
  </w:style>
  <w:style w:type="paragraph" w:customStyle="1" w:styleId="19">
    <w:name w:val="19"/>
    <w:basedOn w:val="0"/>
    <w:rsid w:val="000236C8"/>
    <w:rPr>
      <w:snapToGrid w:val="0"/>
    </w:rPr>
  </w:style>
  <w:style w:type="character" w:styleId="Hyperlink">
    <w:name w:val="Hyperlink"/>
    <w:semiHidden/>
    <w:rsid w:val="00A070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058"/>
    <w:pPr>
      <w:ind w:left="720"/>
      <w:jc w:val="left"/>
    </w:pPr>
    <w:rPr>
      <w:sz w:val="24"/>
      <w:szCs w:val="24"/>
      <w:lang w:val="en-US"/>
    </w:rPr>
  </w:style>
  <w:style w:type="paragraph" w:customStyle="1" w:styleId="CPClassification">
    <w:name w:val="CP Classification"/>
    <w:basedOn w:val="Normal"/>
    <w:rsid w:val="005858E5"/>
    <w:pPr>
      <w:tabs>
        <w:tab w:val="center" w:pos="2160"/>
        <w:tab w:val="left" w:pos="7200"/>
      </w:tabs>
      <w:ind w:left="7200" w:right="-360"/>
    </w:pPr>
    <w:rPr>
      <w:lang w:val="pt-PT"/>
    </w:rPr>
  </w:style>
  <w:style w:type="character" w:styleId="CommentReference">
    <w:name w:val="annotation reference"/>
    <w:semiHidden/>
    <w:rsid w:val="00C964E8"/>
    <w:rPr>
      <w:sz w:val="16"/>
      <w:szCs w:val="16"/>
    </w:rPr>
  </w:style>
  <w:style w:type="paragraph" w:styleId="CommentText">
    <w:name w:val="annotation text"/>
    <w:basedOn w:val="Normal"/>
    <w:semiHidden/>
    <w:rsid w:val="00C964E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64E8"/>
    <w:rPr>
      <w:b/>
      <w:bCs/>
    </w:rPr>
  </w:style>
  <w:style w:type="paragraph" w:customStyle="1" w:styleId="Style2">
    <w:name w:val="Style2"/>
    <w:basedOn w:val="Heading2"/>
    <w:link w:val="Style2Char"/>
    <w:autoRedefine/>
    <w:rsid w:val="0070390C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</w:tabs>
      <w:spacing w:before="0" w:after="0"/>
      <w:jc w:val="center"/>
    </w:pPr>
    <w:rPr>
      <w:rFonts w:ascii="Times New Roman" w:hAnsi="Times New Roman"/>
      <w:b w:val="0"/>
      <w:bCs w:val="0"/>
      <w:i w:val="0"/>
      <w:caps/>
      <w:noProof/>
      <w:kern w:val="32"/>
      <w:sz w:val="22"/>
      <w:szCs w:val="22"/>
      <w:lang w:val="pt-BR"/>
    </w:rPr>
  </w:style>
  <w:style w:type="character" w:customStyle="1" w:styleId="Style2Char">
    <w:name w:val="Style2 Char"/>
    <w:link w:val="Style2"/>
    <w:locked/>
    <w:rsid w:val="0070390C"/>
    <w:rPr>
      <w:rFonts w:cs="Arial"/>
      <w:iCs/>
      <w:caps/>
      <w:noProof/>
      <w:kern w:val="32"/>
      <w:sz w:val="22"/>
      <w:szCs w:val="22"/>
      <w:lang w:val="pt-BR" w:eastAsia="en-US" w:bidi="ar-SA"/>
    </w:rPr>
  </w:style>
  <w:style w:type="character" w:customStyle="1" w:styleId="HeaderChar">
    <w:name w:val="Header Char"/>
    <w:aliases w:val="encabezado Char"/>
    <w:link w:val="Header"/>
    <w:uiPriority w:val="99"/>
    <w:rsid w:val="00C75DF5"/>
    <w:rPr>
      <w:sz w:val="22"/>
      <w:lang w:val="es-AR"/>
    </w:rPr>
  </w:style>
  <w:style w:type="character" w:customStyle="1" w:styleId="CharChar1">
    <w:name w:val="Char Char1"/>
    <w:rsid w:val="00F376B8"/>
    <w:rPr>
      <w:sz w:val="22"/>
      <w:lang w:val="es-AR" w:eastAsia="en-US" w:bidi="ar-SA"/>
    </w:rPr>
  </w:style>
  <w:style w:type="character" w:styleId="FollowedHyperlink">
    <w:name w:val="FollowedHyperlink"/>
    <w:rsid w:val="00A557F9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158A9"/>
  </w:style>
  <w:style w:type="character" w:customStyle="1" w:styleId="Heading1CharCharChar">
    <w:name w:val="Heading 1 Char Char Char"/>
    <w:aliases w:val="Heading 1 Char1 Char,Heading 1 Char1 Car Char Char"/>
    <w:rsid w:val="00082959"/>
    <w:rPr>
      <w:rFonts w:eastAsia="Calibri"/>
      <w:bCs/>
      <w:color w:val="000000"/>
      <w:sz w:val="22"/>
      <w:szCs w:val="28"/>
      <w:lang w:val="es-ES" w:eastAsia="es-ES"/>
    </w:rPr>
  </w:style>
  <w:style w:type="character" w:customStyle="1" w:styleId="Heading2Char">
    <w:name w:val="Heading 2 Char"/>
    <w:link w:val="Heading2"/>
    <w:rsid w:val="00082959"/>
    <w:rPr>
      <w:rFonts w:ascii="Arial" w:hAnsi="Arial" w:cs="Arial"/>
      <w:b/>
      <w:bCs/>
      <w:i/>
      <w:iCs/>
      <w:sz w:val="28"/>
      <w:szCs w:val="28"/>
      <w:lang w:val="es-AR" w:eastAsia="en-US" w:bidi="ar-SA"/>
    </w:rPr>
  </w:style>
  <w:style w:type="paragraph" w:styleId="TOC1">
    <w:name w:val="toc 1"/>
    <w:basedOn w:val="Normal"/>
    <w:next w:val="Normal"/>
    <w:autoRedefine/>
    <w:semiHidden/>
    <w:rsid w:val="004F78DB"/>
    <w:pPr>
      <w:tabs>
        <w:tab w:val="left" w:pos="720"/>
      </w:tabs>
      <w:ind w:left="720" w:hanging="720"/>
    </w:pPr>
    <w:rPr>
      <w:bCs/>
      <w:noProof/>
      <w:color w:val="000000"/>
      <w:szCs w:val="22"/>
      <w:lang w:val="es-ES"/>
    </w:rPr>
  </w:style>
  <w:style w:type="paragraph" w:styleId="PlainText">
    <w:name w:val="Plain Text"/>
    <w:basedOn w:val="Normal"/>
    <w:link w:val="PlainTextChar"/>
    <w:rsid w:val="00F843CA"/>
    <w:pPr>
      <w:jc w:val="left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link w:val="PlainText"/>
    <w:locked/>
    <w:rsid w:val="00F843CA"/>
    <w:rPr>
      <w:rFonts w:ascii="Calibri" w:hAnsi="Calibri"/>
      <w:sz w:val="22"/>
      <w:szCs w:val="21"/>
      <w:lang w:val="en-US" w:eastAsia="en-US" w:bidi="ar-SA"/>
    </w:rPr>
  </w:style>
  <w:style w:type="paragraph" w:customStyle="1" w:styleId="msolistparagraph0">
    <w:name w:val="msolistparagraph"/>
    <w:basedOn w:val="Normal"/>
    <w:rsid w:val="00133F15"/>
    <w:pPr>
      <w:ind w:left="720"/>
      <w:jc w:val="left"/>
    </w:pPr>
    <w:rPr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4E2594"/>
    <w:pPr>
      <w:spacing w:before="240" w:after="60"/>
      <w:jc w:val="center"/>
      <w:outlineLvl w:val="0"/>
    </w:pPr>
    <w:rPr>
      <w:b/>
      <w:bCs/>
      <w:caps/>
      <w:snapToGrid w:val="0"/>
      <w:kern w:val="28"/>
      <w:szCs w:val="22"/>
      <w:lang w:val="es-ES" w:eastAsia="es-ES"/>
    </w:rPr>
  </w:style>
  <w:style w:type="character" w:customStyle="1" w:styleId="TitleChar">
    <w:name w:val="Title Char"/>
    <w:link w:val="Title"/>
    <w:rsid w:val="004E2594"/>
    <w:rPr>
      <w:b/>
      <w:bCs/>
      <w:caps/>
      <w:snapToGrid w:val="0"/>
      <w:kern w:val="28"/>
      <w:sz w:val="22"/>
      <w:szCs w:val="22"/>
      <w:lang w:val="es-ES" w:eastAsia="es-ES" w:bidi="ar-SA"/>
    </w:rPr>
  </w:style>
  <w:style w:type="paragraph" w:styleId="TOC7">
    <w:name w:val="toc 7"/>
    <w:basedOn w:val="Normal"/>
    <w:next w:val="Normal"/>
    <w:autoRedefine/>
    <w:semiHidden/>
    <w:unhideWhenUsed/>
    <w:rsid w:val="00B26FE3"/>
    <w:pPr>
      <w:spacing w:after="100"/>
      <w:ind w:left="1320"/>
    </w:pPr>
  </w:style>
  <w:style w:type="paragraph" w:customStyle="1" w:styleId="yiv6969577381ydp55b6f93cyiv1108822727ydpc3e487cbmsonormal">
    <w:name w:val="yiv6969577381ydp55b6f93cyiv1108822727ydpc3e487cbmsonormal"/>
    <w:basedOn w:val="Normal"/>
    <w:rsid w:val="00F102DA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0ECD-CDBF-454E-8F5F-9121815C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COMISIÓN PREPARATORIA</vt:lpstr>
    </vt:vector>
  </TitlesOfParts>
  <Company>Organization of American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Salas, Soledad</dc:creator>
  <cp:lastModifiedBy>Salas, Soledad</cp:lastModifiedBy>
  <cp:revision>3</cp:revision>
  <cp:lastPrinted>2019-05-16T20:00:00Z</cp:lastPrinted>
  <dcterms:created xsi:type="dcterms:W3CDTF">2020-11-11T20:38:00Z</dcterms:created>
  <dcterms:modified xsi:type="dcterms:W3CDTF">2020-11-11T20:44:00Z</dcterms:modified>
</cp:coreProperties>
</file>