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3BB" w:rsidRPr="00B503BB" w:rsidRDefault="00A15FBB" w:rsidP="00B503BB">
      <w:pPr>
        <w:tabs>
          <w:tab w:val="left" w:pos="7200"/>
        </w:tabs>
        <w:suppressAutoHyphens/>
        <w:ind w:right="-900"/>
        <w:jc w:val="both"/>
        <w:rPr>
          <w:noProof/>
          <w:sz w:val="22"/>
          <w:szCs w:val="22"/>
        </w:rPr>
      </w:pPr>
      <w:r>
        <w:rPr>
          <w:b/>
          <w:sz w:val="22"/>
        </w:rPr>
        <w:t>AGENCIA INTERAMERICANA PARA LA</w:t>
      </w:r>
      <w:r>
        <w:rPr>
          <w:b/>
          <w:sz w:val="22"/>
        </w:rPr>
        <w:tab/>
      </w:r>
      <w:r>
        <w:rPr>
          <w:sz w:val="22"/>
          <w:szCs w:val="22"/>
        </w:rPr>
        <w:t>OEA/Ser. W</w:t>
      </w:r>
    </w:p>
    <w:p w:rsidR="00B503BB" w:rsidRPr="00B503BB" w:rsidRDefault="00A15FBB" w:rsidP="00B503BB">
      <w:pPr>
        <w:pStyle w:val="Header"/>
        <w:tabs>
          <w:tab w:val="left" w:pos="7200"/>
        </w:tabs>
        <w:suppressAutoHyphens/>
        <w:ind w:right="-900"/>
        <w:rPr>
          <w:noProof/>
          <w:sz w:val="22"/>
        </w:rPr>
      </w:pPr>
      <w:r>
        <w:rPr>
          <w:b/>
          <w:bCs/>
          <w:sz w:val="22"/>
        </w:rPr>
        <w:t>COOPERACIÓN Y EL DESARROLLO</w:t>
      </w:r>
      <w:r>
        <w:rPr>
          <w:sz w:val="22"/>
        </w:rPr>
        <w:tab/>
      </w:r>
      <w:r>
        <w:rPr>
          <w:sz w:val="22"/>
        </w:rPr>
        <w:tab/>
      </w:r>
      <w:r w:rsidRPr="00145709">
        <w:rPr>
          <w:sz w:val="22"/>
        </w:rPr>
        <w:t xml:space="preserve">AICD/JD/INF. </w:t>
      </w:r>
      <w:r w:rsidR="00DE071E">
        <w:rPr>
          <w:sz w:val="22"/>
        </w:rPr>
        <w:t>61</w:t>
      </w:r>
      <w:r w:rsidRPr="00145709">
        <w:rPr>
          <w:sz w:val="22"/>
        </w:rPr>
        <w:t>/</w:t>
      </w:r>
      <w:r w:rsidR="00FB77C4">
        <w:rPr>
          <w:sz w:val="22"/>
        </w:rPr>
        <w:t>20</w:t>
      </w:r>
    </w:p>
    <w:p w:rsidR="00B503BB" w:rsidRPr="00B503BB" w:rsidRDefault="00A15FBB" w:rsidP="00B503BB">
      <w:pPr>
        <w:pStyle w:val="Header"/>
        <w:tabs>
          <w:tab w:val="left" w:pos="7200"/>
        </w:tabs>
        <w:suppressAutoHyphens/>
        <w:ind w:right="-900"/>
        <w:rPr>
          <w:noProof/>
          <w:sz w:val="22"/>
        </w:rPr>
      </w:pPr>
      <w:r>
        <w:rPr>
          <w:sz w:val="22"/>
        </w:rPr>
        <w:tab/>
      </w:r>
      <w:r>
        <w:rPr>
          <w:sz w:val="22"/>
        </w:rPr>
        <w:tab/>
      </w:r>
      <w:r w:rsidR="00FB77C4">
        <w:rPr>
          <w:sz w:val="22"/>
        </w:rPr>
        <w:t>5</w:t>
      </w:r>
      <w:r w:rsidR="008519E8">
        <w:rPr>
          <w:sz w:val="22"/>
        </w:rPr>
        <w:t xml:space="preserve"> </w:t>
      </w:r>
      <w:r w:rsidR="00FB77C4">
        <w:rPr>
          <w:sz w:val="22"/>
        </w:rPr>
        <w:t>March</w:t>
      </w:r>
      <w:r w:rsidR="008519E8">
        <w:rPr>
          <w:sz w:val="22"/>
        </w:rPr>
        <w:t xml:space="preserve"> 20</w:t>
      </w:r>
      <w:r w:rsidR="00FB77C4">
        <w:rPr>
          <w:sz w:val="22"/>
        </w:rPr>
        <w:t>20</w:t>
      </w:r>
    </w:p>
    <w:p w:rsidR="00B503BB" w:rsidRPr="00B503BB" w:rsidRDefault="00A15FBB" w:rsidP="00B503BB">
      <w:pPr>
        <w:pStyle w:val="Header"/>
        <w:tabs>
          <w:tab w:val="left" w:pos="7200"/>
        </w:tabs>
        <w:suppressAutoHyphens/>
        <w:ind w:right="-900"/>
        <w:rPr>
          <w:noProof/>
          <w:sz w:val="22"/>
        </w:rPr>
      </w:pPr>
      <w:r>
        <w:rPr>
          <w:sz w:val="22"/>
        </w:rPr>
        <w:tab/>
      </w:r>
      <w:r>
        <w:rPr>
          <w:sz w:val="22"/>
        </w:rPr>
        <w:tab/>
        <w:t xml:space="preserve">Original: </w:t>
      </w:r>
      <w:r w:rsidR="00FB77C4">
        <w:rPr>
          <w:sz w:val="22"/>
        </w:rPr>
        <w:t>inglés</w:t>
      </w:r>
    </w:p>
    <w:p w:rsidR="00B503BB" w:rsidRPr="00B503BB" w:rsidRDefault="00B503BB" w:rsidP="00B503BB">
      <w:pPr>
        <w:pBdr>
          <w:bottom w:val="single" w:sz="12" w:space="1" w:color="auto"/>
        </w:pBdr>
        <w:rPr>
          <w:noProof/>
          <w:sz w:val="22"/>
          <w:szCs w:val="22"/>
        </w:rPr>
      </w:pPr>
    </w:p>
    <w:p w:rsidR="00B503BB" w:rsidRPr="00B503BB" w:rsidRDefault="00B503BB" w:rsidP="00B503BB">
      <w:pPr>
        <w:rPr>
          <w:b/>
          <w:noProof/>
          <w:sz w:val="22"/>
          <w:szCs w:val="22"/>
          <w:u w:val="single"/>
        </w:rPr>
      </w:pPr>
    </w:p>
    <w:p w:rsidR="00A44587" w:rsidRDefault="00A44587" w:rsidP="00D85477">
      <w:pPr>
        <w:tabs>
          <w:tab w:val="left" w:pos="5010"/>
        </w:tabs>
        <w:ind w:right="-29"/>
        <w:jc w:val="center"/>
        <w:rPr>
          <w:noProof/>
          <w:color w:val="000000"/>
          <w:sz w:val="22"/>
          <w:szCs w:val="22"/>
        </w:rPr>
      </w:pPr>
      <w:r>
        <w:rPr>
          <w:noProof/>
          <w:color w:val="000000"/>
          <w:sz w:val="22"/>
          <w:szCs w:val="22"/>
        </w:rPr>
        <w:t>DOCUMENTO BORRADOR</w:t>
      </w:r>
    </w:p>
    <w:p w:rsidR="00A44587" w:rsidRDefault="00A44587" w:rsidP="00D85477">
      <w:pPr>
        <w:tabs>
          <w:tab w:val="left" w:pos="5010"/>
        </w:tabs>
        <w:ind w:right="-29"/>
        <w:jc w:val="center"/>
        <w:rPr>
          <w:noProof/>
          <w:color w:val="000000"/>
          <w:sz w:val="22"/>
          <w:szCs w:val="22"/>
        </w:rPr>
      </w:pPr>
    </w:p>
    <w:p w:rsidR="00737F7E" w:rsidRDefault="00FB77C4" w:rsidP="00D85477">
      <w:pPr>
        <w:tabs>
          <w:tab w:val="left" w:pos="5010"/>
        </w:tabs>
        <w:ind w:right="-29"/>
        <w:jc w:val="center"/>
        <w:rPr>
          <w:noProof/>
          <w:color w:val="000000"/>
          <w:sz w:val="22"/>
          <w:szCs w:val="22"/>
        </w:rPr>
      </w:pPr>
      <w:r w:rsidRPr="00FB77C4">
        <w:rPr>
          <w:noProof/>
          <w:color w:val="000000"/>
          <w:sz w:val="22"/>
          <w:szCs w:val="22"/>
        </w:rPr>
        <w:t>PROGRAMA DE BECAS DE LA OEA</w:t>
      </w:r>
      <w:r w:rsidRPr="00FB77C4">
        <w:rPr>
          <w:noProof/>
          <w:color w:val="000000"/>
          <w:sz w:val="22"/>
          <w:szCs w:val="22"/>
        </w:rPr>
        <w:br/>
      </w:r>
      <w:r w:rsidRPr="00FB77C4">
        <w:rPr>
          <w:noProof/>
          <w:color w:val="000000"/>
          <w:sz w:val="22"/>
          <w:szCs w:val="22"/>
        </w:rPr>
        <w:br/>
        <w:t>PRESUPUESTO EJECUTADO EN 2019 Y PROYECCIONES PARA 2020</w:t>
      </w:r>
      <w:r w:rsidRPr="00FB77C4">
        <w:rPr>
          <w:noProof/>
          <w:color w:val="000000"/>
          <w:sz w:val="22"/>
          <w:szCs w:val="22"/>
        </w:rPr>
        <w:br/>
      </w:r>
      <w:r w:rsidRPr="00FB77C4">
        <w:rPr>
          <w:noProof/>
          <w:color w:val="000000"/>
          <w:sz w:val="22"/>
          <w:szCs w:val="22"/>
        </w:rPr>
        <w:br/>
        <w:t xml:space="preserve">(Preparado por el Departamento de Desarrollo Humano, Educación y Empleo, </w:t>
      </w:r>
      <w:r>
        <w:rPr>
          <w:noProof/>
          <w:color w:val="000000"/>
          <w:sz w:val="22"/>
          <w:szCs w:val="22"/>
        </w:rPr>
        <w:t>conforme a</w:t>
      </w:r>
      <w:r w:rsidRPr="00FB77C4">
        <w:rPr>
          <w:noProof/>
          <w:color w:val="000000"/>
          <w:sz w:val="22"/>
          <w:szCs w:val="22"/>
        </w:rPr>
        <w:t xml:space="preserve"> la decisión </w:t>
      </w:r>
    </w:p>
    <w:p w:rsidR="00737F7E" w:rsidRDefault="00FB77C4" w:rsidP="00D85477">
      <w:pPr>
        <w:tabs>
          <w:tab w:val="left" w:pos="5010"/>
        </w:tabs>
        <w:ind w:right="-29"/>
        <w:jc w:val="center"/>
        <w:rPr>
          <w:noProof/>
          <w:color w:val="000000"/>
          <w:sz w:val="22"/>
          <w:szCs w:val="22"/>
        </w:rPr>
      </w:pPr>
      <w:r w:rsidRPr="00FB77C4">
        <w:rPr>
          <w:noProof/>
          <w:color w:val="000000"/>
          <w:sz w:val="22"/>
          <w:szCs w:val="22"/>
        </w:rPr>
        <w:t xml:space="preserve">No. 4 </w:t>
      </w:r>
      <w:r w:rsidR="00737F7E">
        <w:rPr>
          <w:noProof/>
          <w:color w:val="000000"/>
          <w:sz w:val="22"/>
          <w:szCs w:val="22"/>
        </w:rPr>
        <w:t>adoptada en la reuni</w:t>
      </w:r>
      <w:r w:rsidR="00737F7E" w:rsidRPr="00FB77C4">
        <w:rPr>
          <w:noProof/>
          <w:color w:val="000000"/>
          <w:sz w:val="22"/>
          <w:szCs w:val="22"/>
        </w:rPr>
        <w:t>ó</w:t>
      </w:r>
      <w:r w:rsidR="00737F7E">
        <w:rPr>
          <w:noProof/>
          <w:color w:val="000000"/>
          <w:sz w:val="22"/>
          <w:szCs w:val="22"/>
        </w:rPr>
        <w:t xml:space="preserve">n </w:t>
      </w:r>
      <w:r w:rsidR="00A064AE" w:rsidRPr="00FB77C4">
        <w:rPr>
          <w:noProof/>
          <w:color w:val="000000"/>
          <w:sz w:val="22"/>
          <w:szCs w:val="22"/>
        </w:rPr>
        <w:t xml:space="preserve">de la Junta Directiva de la AICD, </w:t>
      </w:r>
      <w:bookmarkStart w:id="0" w:name="_GoBack"/>
      <w:bookmarkEnd w:id="0"/>
      <w:r w:rsidRPr="00FB77C4">
        <w:rPr>
          <w:noProof/>
          <w:color w:val="000000"/>
          <w:sz w:val="22"/>
          <w:szCs w:val="22"/>
        </w:rPr>
        <w:t xml:space="preserve">celebrada el </w:t>
      </w:r>
    </w:p>
    <w:p w:rsidR="00153A5F" w:rsidRDefault="00FB77C4" w:rsidP="00D85477">
      <w:pPr>
        <w:tabs>
          <w:tab w:val="left" w:pos="5010"/>
        </w:tabs>
        <w:ind w:right="-29"/>
        <w:jc w:val="center"/>
        <w:rPr>
          <w:noProof/>
          <w:sz w:val="22"/>
          <w:szCs w:val="22"/>
          <w:lang w:val="es-PA"/>
        </w:rPr>
      </w:pPr>
      <w:r w:rsidRPr="00FB77C4">
        <w:rPr>
          <w:noProof/>
          <w:color w:val="000000"/>
          <w:sz w:val="22"/>
          <w:szCs w:val="22"/>
        </w:rPr>
        <w:t xml:space="preserve">9 de diciembre de 2019 </w:t>
      </w:r>
      <w:r w:rsidRPr="00FB77C4">
        <w:rPr>
          <w:sz w:val="22"/>
          <w:szCs w:val="22"/>
        </w:rPr>
        <w:t>(</w:t>
      </w:r>
      <w:hyperlink r:id="rId6" w:history="1">
        <w:r w:rsidRPr="00FB77C4">
          <w:rPr>
            <w:rFonts w:eastAsia="Calibri"/>
            <w:color w:val="0563C1"/>
            <w:sz w:val="22"/>
            <w:szCs w:val="22"/>
            <w:u w:val="single"/>
          </w:rPr>
          <w:t>AICD/JD/DE-122/19</w:t>
        </w:r>
      </w:hyperlink>
      <w:r w:rsidRPr="00FB77C4">
        <w:rPr>
          <w:rFonts w:eastAsia="Calibri"/>
          <w:sz w:val="22"/>
          <w:szCs w:val="22"/>
          <w:u w:val="single"/>
        </w:rPr>
        <w:t>)</w:t>
      </w:r>
      <w:r w:rsidRPr="00FB77C4">
        <w:rPr>
          <w:sz w:val="22"/>
          <w:szCs w:val="22"/>
        </w:rPr>
        <w:t>)</w:t>
      </w:r>
      <w:r w:rsidRPr="00FB77C4">
        <w:rPr>
          <w:noProof/>
          <w:color w:val="000000"/>
          <w:sz w:val="22"/>
          <w:szCs w:val="22"/>
        </w:rPr>
        <w:t xml:space="preserve"> </w:t>
      </w:r>
      <w:r w:rsidRPr="00FB77C4">
        <w:rPr>
          <w:noProof/>
          <w:color w:val="000000"/>
          <w:sz w:val="22"/>
          <w:szCs w:val="22"/>
        </w:rPr>
        <w:br/>
      </w:r>
      <w:r w:rsidRPr="00FB77C4">
        <w:rPr>
          <w:noProof/>
          <w:color w:val="000000"/>
          <w:sz w:val="22"/>
          <w:szCs w:val="22"/>
        </w:rPr>
        <w:br/>
      </w:r>
    </w:p>
    <w:p w:rsidR="00153A5F" w:rsidRPr="002A23C7" w:rsidRDefault="00153A5F" w:rsidP="00153A5F">
      <w:pPr>
        <w:tabs>
          <w:tab w:val="left" w:pos="177"/>
        </w:tabs>
        <w:spacing w:after="160" w:line="259" w:lineRule="auto"/>
        <w:jc w:val="both"/>
        <w:rPr>
          <w:rFonts w:eastAsia="Calibri"/>
          <w:sz w:val="22"/>
          <w:szCs w:val="22"/>
          <w:lang w:val="es-MX"/>
        </w:rPr>
      </w:pPr>
      <w:r w:rsidRPr="002A23C7">
        <w:rPr>
          <w:rFonts w:eastAsia="Calibri"/>
          <w:b/>
          <w:sz w:val="22"/>
          <w:szCs w:val="22"/>
          <w:lang w:val="es-MX"/>
        </w:rPr>
        <w:t>Decisión No. 4</w:t>
      </w:r>
      <w:r w:rsidR="00DE071E">
        <w:rPr>
          <w:rFonts w:eastAsia="Calibri"/>
          <w:b/>
          <w:sz w:val="22"/>
          <w:szCs w:val="22"/>
          <w:lang w:val="es-MX"/>
        </w:rPr>
        <w:t xml:space="preserve"> </w:t>
      </w:r>
      <w:r w:rsidR="00DE071E" w:rsidRPr="00DE071E">
        <w:rPr>
          <w:b/>
          <w:noProof/>
          <w:color w:val="000000"/>
          <w:sz w:val="22"/>
          <w:szCs w:val="22"/>
        </w:rPr>
        <w:t>de la Junta Directiva de la AICD en la reunión celebrada el 9 de diciembre de 2019:</w:t>
      </w:r>
      <w:r w:rsidR="00DE071E">
        <w:rPr>
          <w:rFonts w:eastAsia="Calibri"/>
          <w:b/>
          <w:sz w:val="22"/>
          <w:szCs w:val="22"/>
          <w:lang w:val="es-MX"/>
        </w:rPr>
        <w:t xml:space="preserve">  </w:t>
      </w:r>
      <w:r w:rsidRPr="002A23C7">
        <w:rPr>
          <w:rFonts w:eastAsia="Calibri"/>
          <w:sz w:val="22"/>
          <w:szCs w:val="22"/>
          <w:lang w:val="es-MX"/>
        </w:rPr>
        <w:t>Aprobar el presupuesto asignado a la administración de becas para el año 2020 según las proyecciones aprobadas en la resolución CIDI/RES. 337 (LXXXVIII-O/19), con la inclusión de una tabla actualizada de acuerdo con el monto ejecutado en el año 2019 y las proyecciones para los siguientes años.</w:t>
      </w:r>
    </w:p>
    <w:p w:rsidR="00153A5F" w:rsidRPr="002A23C7" w:rsidRDefault="00153A5F" w:rsidP="00153A5F">
      <w:pPr>
        <w:spacing w:line="259" w:lineRule="auto"/>
        <w:rPr>
          <w:rFonts w:eastAsia="Calibri"/>
          <w:sz w:val="22"/>
          <w:szCs w:val="22"/>
          <w:lang w:val="es-MX"/>
        </w:rPr>
      </w:pPr>
    </w:p>
    <w:p w:rsidR="00153A5F" w:rsidRPr="002A23C7" w:rsidRDefault="00C56D07" w:rsidP="00153A5F">
      <w:pPr>
        <w:spacing w:line="259" w:lineRule="auto"/>
        <w:rPr>
          <w:rFonts w:eastAsia="Calibri"/>
          <w:sz w:val="22"/>
          <w:szCs w:val="22"/>
          <w:lang w:val="en-US"/>
        </w:rPr>
      </w:pPr>
      <w:r w:rsidRPr="002A23C7">
        <w:rPr>
          <w:rFonts w:eastAsia="Calibri"/>
          <w:noProof/>
          <w:sz w:val="22"/>
          <w:szCs w:val="22"/>
          <w:lang w:val="en-US"/>
        </w:rPr>
        <w:drawing>
          <wp:inline distT="0" distB="0" distL="0" distR="0">
            <wp:extent cx="5943600" cy="461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10100"/>
                    </a:xfrm>
                    <a:prstGeom prst="rect">
                      <a:avLst/>
                    </a:prstGeom>
                    <a:noFill/>
                    <a:ln>
                      <a:noFill/>
                    </a:ln>
                  </pic:spPr>
                </pic:pic>
              </a:graphicData>
            </a:graphic>
          </wp:inline>
        </w:drawing>
      </w:r>
    </w:p>
    <w:p w:rsidR="00153A5F" w:rsidRPr="002A23C7" w:rsidRDefault="00153A5F" w:rsidP="00153A5F">
      <w:pPr>
        <w:spacing w:line="259" w:lineRule="auto"/>
        <w:rPr>
          <w:rFonts w:eastAsia="Calibri"/>
          <w:sz w:val="22"/>
          <w:szCs w:val="22"/>
          <w:lang w:val="es-MX"/>
        </w:rPr>
      </w:pPr>
    </w:p>
    <w:p w:rsidR="007269B3" w:rsidRDefault="007269B3" w:rsidP="00153A5F">
      <w:pPr>
        <w:tabs>
          <w:tab w:val="left" w:pos="177"/>
        </w:tabs>
        <w:spacing w:after="160" w:line="259" w:lineRule="auto"/>
        <w:jc w:val="both"/>
        <w:rPr>
          <w:rFonts w:eastAsia="Calibri"/>
          <w:b/>
          <w:sz w:val="22"/>
          <w:szCs w:val="22"/>
          <w:lang w:val="es-MX"/>
        </w:rPr>
      </w:pPr>
    </w:p>
    <w:p w:rsidR="00153A5F" w:rsidRPr="002A23C7" w:rsidRDefault="00153A5F" w:rsidP="00153A5F">
      <w:pPr>
        <w:tabs>
          <w:tab w:val="left" w:pos="177"/>
        </w:tabs>
        <w:spacing w:after="160" w:line="259" w:lineRule="auto"/>
        <w:jc w:val="both"/>
        <w:rPr>
          <w:rFonts w:eastAsia="Calibri"/>
          <w:b/>
          <w:sz w:val="22"/>
          <w:szCs w:val="22"/>
          <w:lang w:val="es-MX"/>
        </w:rPr>
      </w:pPr>
      <w:r w:rsidRPr="002A23C7">
        <w:rPr>
          <w:rFonts w:eastAsia="Calibri"/>
          <w:b/>
          <w:sz w:val="22"/>
          <w:szCs w:val="22"/>
          <w:lang w:val="es-MX"/>
        </w:rPr>
        <w:t>Notas</w:t>
      </w:r>
    </w:p>
    <w:p w:rsidR="00153A5F" w:rsidRPr="002A23C7" w:rsidRDefault="00A064AE" w:rsidP="00153A5F">
      <w:pPr>
        <w:tabs>
          <w:tab w:val="left" w:pos="177"/>
        </w:tabs>
        <w:spacing w:after="160" w:line="259" w:lineRule="auto"/>
        <w:jc w:val="both"/>
        <w:rPr>
          <w:rFonts w:eastAsia="Calibri"/>
          <w:b/>
          <w:sz w:val="22"/>
          <w:szCs w:val="22"/>
          <w:lang w:val="es-MX"/>
        </w:rPr>
      </w:pPr>
      <w:hyperlink r:id="rId8" w:history="1">
        <w:r w:rsidR="00153A5F" w:rsidRPr="002A23C7">
          <w:rPr>
            <w:rFonts w:eastAsia="Calibri"/>
            <w:b/>
            <w:color w:val="0563C1"/>
            <w:sz w:val="22"/>
            <w:szCs w:val="22"/>
            <w:u w:val="single"/>
            <w:lang w:val="es-MX"/>
          </w:rPr>
          <w:t>AG/RES.  1 (LIII-E/18)</w:t>
        </w:r>
      </w:hyperlink>
    </w:p>
    <w:p w:rsidR="00153A5F" w:rsidRPr="002A23C7" w:rsidRDefault="00153A5F" w:rsidP="00153A5F">
      <w:pPr>
        <w:tabs>
          <w:tab w:val="left" w:pos="177"/>
        </w:tabs>
        <w:spacing w:after="160" w:line="259" w:lineRule="auto"/>
        <w:jc w:val="both"/>
        <w:rPr>
          <w:rFonts w:eastAsia="Calibri"/>
          <w:sz w:val="22"/>
          <w:szCs w:val="22"/>
          <w:lang w:val="es-MX"/>
        </w:rPr>
      </w:pPr>
      <w:r w:rsidRPr="002A23C7">
        <w:rPr>
          <w:rFonts w:eastAsia="Calibri"/>
          <w:sz w:val="22"/>
          <w:szCs w:val="22"/>
          <w:lang w:val="es-MX"/>
        </w:rPr>
        <w:t>5.</w:t>
      </w:r>
      <w:r w:rsidRPr="002A23C7">
        <w:rPr>
          <w:rFonts w:eastAsia="Calibri"/>
          <w:sz w:val="22"/>
          <w:szCs w:val="22"/>
          <w:lang w:val="es-MX"/>
        </w:rPr>
        <w:tab/>
        <w:t>Recursos del Programa de Becas y Capacitación de la OEA</w:t>
      </w:r>
    </w:p>
    <w:p w:rsidR="00153A5F" w:rsidRPr="002A23C7" w:rsidRDefault="00153A5F" w:rsidP="00153A5F">
      <w:pPr>
        <w:tabs>
          <w:tab w:val="left" w:pos="177"/>
        </w:tabs>
        <w:spacing w:after="160" w:line="259" w:lineRule="auto"/>
        <w:jc w:val="both"/>
        <w:rPr>
          <w:rFonts w:eastAsia="Calibri"/>
          <w:sz w:val="22"/>
          <w:szCs w:val="22"/>
          <w:lang w:val="es-MX"/>
        </w:rPr>
      </w:pPr>
      <w:r w:rsidRPr="002A23C7">
        <w:rPr>
          <w:rFonts w:eastAsia="Calibri"/>
          <w:sz w:val="22"/>
          <w:szCs w:val="22"/>
          <w:lang w:val="es-MX"/>
        </w:rPr>
        <w:t>b)</w:t>
      </w:r>
      <w:r w:rsidR="002A23C7" w:rsidRPr="002A23C7">
        <w:rPr>
          <w:rFonts w:eastAsia="Calibri"/>
          <w:sz w:val="22"/>
          <w:szCs w:val="22"/>
          <w:lang w:val="es-MX"/>
        </w:rPr>
        <w:t xml:space="preserve"> </w:t>
      </w:r>
      <w:r w:rsidRPr="002A23C7">
        <w:rPr>
          <w:rFonts w:eastAsia="Calibri"/>
          <w:sz w:val="22"/>
          <w:szCs w:val="22"/>
          <w:lang w:val="es-MX"/>
        </w:rPr>
        <w:t xml:space="preserve">Autorizar a la Secretaría General a que utilice en 2019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Agencia Interamericana para la Cooperación y el Desarrollo. </w:t>
      </w:r>
    </w:p>
    <w:p w:rsidR="00153A5F" w:rsidRPr="002A23C7" w:rsidRDefault="00153A5F" w:rsidP="00153A5F">
      <w:pPr>
        <w:tabs>
          <w:tab w:val="left" w:pos="177"/>
        </w:tabs>
        <w:spacing w:after="160" w:line="259" w:lineRule="auto"/>
        <w:jc w:val="both"/>
        <w:rPr>
          <w:rFonts w:eastAsia="Calibri"/>
          <w:sz w:val="22"/>
          <w:szCs w:val="22"/>
          <w:lang w:val="es-MX"/>
        </w:rPr>
      </w:pPr>
      <w:r w:rsidRPr="002A23C7">
        <w:rPr>
          <w:rFonts w:eastAsia="Calibri"/>
          <w:sz w:val="22"/>
          <w:szCs w:val="22"/>
          <w:lang w:val="es-MX"/>
        </w:rPr>
        <w:t>e)</w:t>
      </w:r>
      <w:r w:rsidRPr="002A23C7">
        <w:rPr>
          <w:rFonts w:eastAsia="Calibri"/>
          <w:sz w:val="22"/>
          <w:szCs w:val="22"/>
          <w:lang w:val="es-MX"/>
        </w:rPr>
        <w:tab/>
        <w:t>Autorizar a la Secretaría General para que, conforme al artículo 18 del Estatuto de la Agencia Interamericana para la Cooperación y el Desarrollo (AICD), deposite en el Fondo de Capital para los Programas de Becas y Capacitación de la OEA los fondos de becas en el rubro 3 no utilizados o desobligados, en la medida en que lo permita el artículo 100 de las Normas Generales. Para la ejecución de este mandato, la Secretaría General deberá consultar al CIDI a través de la Junta Directiva de la AICD y obtener la aprobación del Consejo Permanente a través de la CAAP.</w:t>
      </w:r>
    </w:p>
    <w:p w:rsidR="00153A5F" w:rsidRPr="002A23C7" w:rsidRDefault="00A064AE" w:rsidP="00153A5F">
      <w:pPr>
        <w:tabs>
          <w:tab w:val="left" w:pos="177"/>
        </w:tabs>
        <w:spacing w:after="160" w:line="259" w:lineRule="auto"/>
        <w:jc w:val="both"/>
        <w:rPr>
          <w:rFonts w:eastAsia="Calibri"/>
          <w:b/>
          <w:sz w:val="22"/>
          <w:szCs w:val="22"/>
          <w:lang w:val="es-MX"/>
        </w:rPr>
      </w:pPr>
      <w:hyperlink r:id="rId9" w:history="1">
        <w:r w:rsidR="00153A5F" w:rsidRPr="002A23C7">
          <w:rPr>
            <w:rFonts w:eastAsia="Calibri"/>
            <w:b/>
            <w:color w:val="0563C1"/>
            <w:sz w:val="22"/>
            <w:szCs w:val="22"/>
            <w:u w:val="single"/>
            <w:lang w:val="es-MX"/>
          </w:rPr>
          <w:t>AG/RES. 2940 (XLIX-O/19)</w:t>
        </w:r>
      </w:hyperlink>
    </w:p>
    <w:p w:rsidR="00153A5F" w:rsidRPr="002A23C7" w:rsidRDefault="00153A5F" w:rsidP="00153A5F">
      <w:pPr>
        <w:tabs>
          <w:tab w:val="left" w:pos="177"/>
        </w:tabs>
        <w:spacing w:after="160" w:line="259" w:lineRule="auto"/>
        <w:jc w:val="both"/>
        <w:rPr>
          <w:rFonts w:eastAsia="Calibri"/>
          <w:sz w:val="22"/>
          <w:szCs w:val="22"/>
          <w:lang w:val="es-MX"/>
        </w:rPr>
      </w:pPr>
      <w:r w:rsidRPr="002A23C7">
        <w:rPr>
          <w:rFonts w:eastAsia="Calibri"/>
          <w:sz w:val="22"/>
          <w:szCs w:val="22"/>
          <w:lang w:val="es-MX"/>
        </w:rPr>
        <w:t>5.</w:t>
      </w:r>
      <w:r w:rsidRPr="002A23C7">
        <w:rPr>
          <w:rFonts w:eastAsia="Calibri"/>
          <w:sz w:val="22"/>
          <w:szCs w:val="22"/>
          <w:lang w:val="es-MX"/>
        </w:rPr>
        <w:tab/>
        <w:t>Recursos del Programa de Becas y Capacitación de la OEA</w:t>
      </w:r>
    </w:p>
    <w:p w:rsidR="00153A5F" w:rsidRPr="002A23C7" w:rsidRDefault="00153A5F" w:rsidP="00153A5F">
      <w:pPr>
        <w:tabs>
          <w:tab w:val="left" w:pos="177"/>
        </w:tabs>
        <w:spacing w:after="160" w:line="259" w:lineRule="auto"/>
        <w:jc w:val="both"/>
        <w:rPr>
          <w:rFonts w:eastAsia="Calibri"/>
          <w:sz w:val="22"/>
          <w:szCs w:val="22"/>
          <w:lang w:val="es-MX"/>
        </w:rPr>
      </w:pPr>
      <w:r w:rsidRPr="002A23C7">
        <w:rPr>
          <w:rFonts w:eastAsia="Calibri"/>
          <w:sz w:val="22"/>
          <w:szCs w:val="22"/>
          <w:lang w:val="es-MX"/>
        </w:rPr>
        <w:t>b)</w:t>
      </w:r>
      <w:r w:rsidRPr="002A23C7">
        <w:rPr>
          <w:rFonts w:eastAsia="Calibri"/>
          <w:sz w:val="22"/>
          <w:szCs w:val="22"/>
          <w:lang w:val="es-MX"/>
        </w:rPr>
        <w:tab/>
        <w:t xml:space="preserve">Reconocer la resolución CIDI/RES. 337 (LXXXVIII-O/19), “Asignación de recursos en 2019 para los Programas de Becas y Capacitación de la OEA”, aprobada por el CIDI, el 9 de abril de 2019, la cual hizo suya la decisión de la Junta Directiva de la Agencia Interamericana para la Cooperación y el Desarrollo (AICD), adoptada para facilitar la transición hacia un programa de becas más sostenible y eficiente en costos. </w:t>
      </w:r>
    </w:p>
    <w:p w:rsidR="00153A5F" w:rsidRPr="002A23C7" w:rsidRDefault="00153A5F" w:rsidP="00153A5F">
      <w:pPr>
        <w:tabs>
          <w:tab w:val="left" w:pos="177"/>
        </w:tabs>
        <w:spacing w:after="160" w:line="259" w:lineRule="auto"/>
        <w:jc w:val="both"/>
        <w:rPr>
          <w:rFonts w:eastAsia="Calibri"/>
          <w:sz w:val="22"/>
          <w:szCs w:val="22"/>
          <w:lang w:val="es-MX"/>
        </w:rPr>
      </w:pPr>
      <w:r w:rsidRPr="002A23C7">
        <w:rPr>
          <w:rFonts w:eastAsia="Calibri"/>
          <w:sz w:val="22"/>
          <w:szCs w:val="22"/>
          <w:lang w:val="es-MX"/>
        </w:rPr>
        <w:t>c)</w:t>
      </w:r>
      <w:r w:rsidRPr="002A23C7">
        <w:rPr>
          <w:rFonts w:eastAsia="Calibri"/>
          <w:sz w:val="22"/>
          <w:szCs w:val="22"/>
          <w:lang w:val="es-MX"/>
        </w:rPr>
        <w:tab/>
        <w:t>Autorizar a la Secretaría General a que utilice en 2020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AICD.</w:t>
      </w:r>
    </w:p>
    <w:p w:rsidR="00153A5F" w:rsidRDefault="00153A5F" w:rsidP="00153A5F">
      <w:pPr>
        <w:tabs>
          <w:tab w:val="left" w:pos="177"/>
        </w:tabs>
        <w:spacing w:after="160" w:line="259" w:lineRule="auto"/>
        <w:jc w:val="both"/>
        <w:rPr>
          <w:rFonts w:eastAsia="Calibri"/>
          <w:sz w:val="22"/>
          <w:szCs w:val="22"/>
          <w:lang w:val="es-MX"/>
        </w:rPr>
      </w:pPr>
      <w:r w:rsidRPr="002A23C7">
        <w:rPr>
          <w:rFonts w:eastAsia="Calibri"/>
          <w:sz w:val="22"/>
          <w:szCs w:val="22"/>
          <w:lang w:val="es-MX"/>
        </w:rPr>
        <w:t>f)</w:t>
      </w:r>
      <w:r w:rsidRPr="002A23C7">
        <w:rPr>
          <w:rFonts w:eastAsia="Calibri"/>
          <w:sz w:val="22"/>
          <w:szCs w:val="22"/>
          <w:lang w:val="es-MX"/>
        </w:rPr>
        <w:tab/>
        <w:t>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100 de las Normas Generales. Para la ejecución de este mandato, la Secretaría General deberá consultar al CIDI a través de la Junta Directiva de la AICD y obtener la aprobación del Consejo Permanente a través de la CAAP.</w:t>
      </w:r>
    </w:p>
    <w:p w:rsidR="00153A5F" w:rsidRPr="002A23C7" w:rsidRDefault="00A064AE" w:rsidP="00153A5F">
      <w:pPr>
        <w:tabs>
          <w:tab w:val="left" w:pos="177"/>
        </w:tabs>
        <w:spacing w:after="160" w:line="259" w:lineRule="auto"/>
        <w:jc w:val="both"/>
        <w:rPr>
          <w:rFonts w:eastAsia="Calibri"/>
          <w:b/>
          <w:sz w:val="22"/>
          <w:szCs w:val="22"/>
          <w:lang w:val="es-MX"/>
        </w:rPr>
      </w:pPr>
      <w:hyperlink r:id="rId10" w:history="1">
        <w:r w:rsidR="00153A5F" w:rsidRPr="002A23C7">
          <w:rPr>
            <w:rFonts w:eastAsia="Calibri"/>
            <w:b/>
            <w:color w:val="0563C1"/>
            <w:sz w:val="22"/>
            <w:szCs w:val="22"/>
            <w:u w:val="single"/>
            <w:lang w:val="es-MX"/>
          </w:rPr>
          <w:t>CIDI/RES.337/19</w:t>
        </w:r>
      </w:hyperlink>
    </w:p>
    <w:p w:rsidR="00153A5F" w:rsidRDefault="00153A5F" w:rsidP="00153A5F">
      <w:pPr>
        <w:tabs>
          <w:tab w:val="left" w:pos="177"/>
        </w:tabs>
        <w:spacing w:after="160" w:line="259" w:lineRule="auto"/>
        <w:jc w:val="both"/>
        <w:rPr>
          <w:rFonts w:eastAsia="Calibri"/>
          <w:sz w:val="22"/>
          <w:szCs w:val="22"/>
          <w:lang w:val="es-MX"/>
        </w:rPr>
      </w:pPr>
      <w:r w:rsidRPr="002A23C7">
        <w:rPr>
          <w:rFonts w:eastAsia="Calibri"/>
          <w:sz w:val="22"/>
          <w:szCs w:val="22"/>
          <w:lang w:val="es-MX"/>
        </w:rPr>
        <w:t>4.</w:t>
      </w:r>
      <w:r w:rsidRPr="002A23C7">
        <w:rPr>
          <w:rFonts w:eastAsia="Calibri"/>
          <w:sz w:val="22"/>
          <w:szCs w:val="22"/>
          <w:lang w:val="es-MX"/>
        </w:rPr>
        <w:tab/>
        <w:t>Transferir al Fondo de Capital, para fines de 2019, en cumplimiento del párrafo 5.e de la resolución AG/RES. 1 (LIII-E/18), cualquier fondo no utilizado o desobligado que se acumule del presupuesto de los programas de becas y capacitación de la OEA en ese año. Estos fondos se utilizarán específicamente para permitir el pago parcial, en 2020, del segundo año académico del ciclo 2019 del Programa Académico. Esta práctica deberá mantenerse en los años siguientes como instrumento para ayudar a financiar de manera predecible y sostenible el Programa de Estudios Académicos.</w:t>
      </w:r>
    </w:p>
    <w:p w:rsidR="0089648A" w:rsidRDefault="0089648A" w:rsidP="00153A5F">
      <w:pPr>
        <w:tabs>
          <w:tab w:val="left" w:pos="177"/>
        </w:tabs>
        <w:spacing w:after="160" w:line="259" w:lineRule="auto"/>
        <w:jc w:val="both"/>
        <w:rPr>
          <w:rFonts w:eastAsia="Calibri"/>
          <w:sz w:val="22"/>
          <w:szCs w:val="22"/>
          <w:lang w:val="es-MX"/>
        </w:rPr>
      </w:pPr>
    </w:p>
    <w:p w:rsidR="0089648A" w:rsidRPr="002A23C7" w:rsidRDefault="0089648A" w:rsidP="00153A5F">
      <w:pPr>
        <w:tabs>
          <w:tab w:val="left" w:pos="177"/>
        </w:tabs>
        <w:spacing w:after="160" w:line="259" w:lineRule="auto"/>
        <w:jc w:val="both"/>
        <w:rPr>
          <w:rFonts w:eastAsia="Calibri"/>
          <w:sz w:val="22"/>
          <w:szCs w:val="22"/>
          <w:lang w:val="es-MX"/>
        </w:rPr>
      </w:pPr>
    </w:p>
    <w:p w:rsidR="00153A5F" w:rsidRPr="002A23C7" w:rsidRDefault="00A064AE" w:rsidP="00153A5F">
      <w:pPr>
        <w:tabs>
          <w:tab w:val="left" w:pos="177"/>
        </w:tabs>
        <w:spacing w:after="160" w:line="259" w:lineRule="auto"/>
        <w:jc w:val="both"/>
        <w:rPr>
          <w:rFonts w:eastAsia="Calibri"/>
          <w:b/>
          <w:sz w:val="22"/>
          <w:szCs w:val="22"/>
          <w:lang w:val="es-MX"/>
        </w:rPr>
      </w:pPr>
      <w:hyperlink r:id="rId11" w:history="1">
        <w:r w:rsidR="00153A5F" w:rsidRPr="002A23C7">
          <w:rPr>
            <w:rFonts w:eastAsia="Calibri"/>
            <w:b/>
            <w:color w:val="0563C1"/>
            <w:sz w:val="22"/>
            <w:szCs w:val="22"/>
            <w:u w:val="single"/>
            <w:lang w:val="es-MX"/>
          </w:rPr>
          <w:t>AICD/JD/DE-122/19</w:t>
        </w:r>
      </w:hyperlink>
    </w:p>
    <w:p w:rsidR="00B503BB" w:rsidRPr="00BC588D" w:rsidRDefault="00153A5F" w:rsidP="002A23C7">
      <w:pPr>
        <w:tabs>
          <w:tab w:val="left" w:pos="177"/>
        </w:tabs>
        <w:spacing w:after="160" w:line="259" w:lineRule="auto"/>
        <w:jc w:val="both"/>
        <w:rPr>
          <w:noProof/>
          <w:sz w:val="22"/>
          <w:szCs w:val="22"/>
          <w:lang w:val="es-PA"/>
        </w:rPr>
      </w:pPr>
      <w:r w:rsidRPr="002A23C7">
        <w:rPr>
          <w:rFonts w:eastAsia="Calibri"/>
          <w:sz w:val="22"/>
          <w:szCs w:val="22"/>
          <w:lang w:val="es-MX"/>
        </w:rPr>
        <w:t>Decisión No. 4:</w:t>
      </w:r>
      <w:r w:rsidRPr="002A23C7">
        <w:rPr>
          <w:rFonts w:eastAsia="Calibri"/>
          <w:sz w:val="22"/>
          <w:szCs w:val="22"/>
          <w:lang w:val="es-MX"/>
        </w:rPr>
        <w:tab/>
        <w:t>Aprobar el presupuesto asignado a la administración de becas para el año 2020 según las proyecciones aprobadas en la resolución CIDI/RES. 337 (LXXXVIII-O/19), con la inclusión de una tabla actualiz</w:t>
      </w:r>
      <w:r w:rsidR="007709CE">
        <w:rPr>
          <w:noProof/>
          <w:sz w:val="22"/>
          <w:szCs w:val="22"/>
          <w:lang w:val="en-US"/>
        </w:rPr>
        <mc:AlternateContent>
          <mc:Choice Requires="wps">
            <w:drawing>
              <wp:anchor distT="0" distB="0" distL="114300" distR="114300" simplePos="0" relativeHeight="251659264" behindDoc="0" locked="1" layoutInCell="1" allowOverlap="1" wp14:anchorId="289959EA" wp14:editId="1E1B31C3">
                <wp:simplePos x="0" y="0"/>
                <wp:positionH relativeFrom="column">
                  <wp:posOffset>0</wp:posOffset>
                </wp:positionH>
                <wp:positionV relativeFrom="page">
                  <wp:posOffset>9020175</wp:posOffset>
                </wp:positionV>
                <wp:extent cx="3383280" cy="419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9CE" w:rsidRPr="00124566" w:rsidRDefault="007709CE" w:rsidP="007709CE">
                            <w:pPr>
                              <w:rPr>
                                <w:sz w:val="18"/>
                              </w:rPr>
                            </w:pPr>
                            <w:r>
                              <w:rPr>
                                <w:sz w:val="18"/>
                              </w:rPr>
                              <w:fldChar w:fldCharType="begin"/>
                            </w:r>
                            <w:r>
                              <w:rPr>
                                <w:sz w:val="18"/>
                              </w:rPr>
                              <w:instrText xml:space="preserve"> FILENAME  \* MERGEFORMAT </w:instrText>
                            </w:r>
                            <w:r>
                              <w:rPr>
                                <w:sz w:val="18"/>
                              </w:rPr>
                              <w:fldChar w:fldCharType="separate"/>
                            </w:r>
                            <w:r>
                              <w:rPr>
                                <w:noProof/>
                                <w:sz w:val="18"/>
                              </w:rPr>
                              <w:t>CIDRP02819S01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959EA" id="_x0000_t202" coordsize="21600,21600" o:spt="202" path="m,l,21600r21600,l21600,xe">
                <v:stroke joinstyle="miter"/>
                <v:path gradientshapeok="t" o:connecttype="rect"/>
              </v:shapetype>
              <v:shape id="Text Box 4" o:spid="_x0000_s1026" type="#_x0000_t202" style="position:absolute;left:0;text-align:left;margin-left:0;margin-top:710.25pt;width:266.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k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" filled="f" stroked="f">
                <v:textbox>
                  <w:txbxContent>
                    <w:p w:rsidR="007709CE" w:rsidRPr="00124566" w:rsidRDefault="007709CE" w:rsidP="007709CE">
                      <w:pPr>
                        <w:rPr>
                          <w:sz w:val="18"/>
                        </w:rPr>
                      </w:pPr>
                      <w:r>
                        <w:rPr>
                          <w:sz w:val="18"/>
                        </w:rPr>
                        <w:fldChar w:fldCharType="begin"/>
                      </w:r>
                      <w:r>
                        <w:rPr>
                          <w:sz w:val="18"/>
                        </w:rPr>
                        <w:instrText xml:space="preserve"> FILENAME  \* MERGEFORMAT </w:instrText>
                      </w:r>
                      <w:r>
                        <w:rPr>
                          <w:sz w:val="18"/>
                        </w:rPr>
                        <w:fldChar w:fldCharType="separate"/>
                      </w:r>
                      <w:r>
                        <w:rPr>
                          <w:noProof/>
                          <w:sz w:val="18"/>
                        </w:rPr>
                        <w:t>CIDRP02819S01</w:t>
                      </w:r>
                      <w:r>
                        <w:rPr>
                          <w:sz w:val="18"/>
                        </w:rPr>
                        <w:fldChar w:fldCharType="end"/>
                      </w:r>
                    </w:p>
                  </w:txbxContent>
                </v:textbox>
                <w10:wrap anchory="page"/>
                <w10:anchorlock/>
              </v:shape>
            </w:pict>
          </mc:Fallback>
        </mc:AlternateContent>
      </w:r>
      <w:r w:rsidRPr="002A23C7">
        <w:rPr>
          <w:rFonts w:eastAsia="Calibri"/>
          <w:sz w:val="22"/>
          <w:szCs w:val="22"/>
          <w:lang w:val="es-MX"/>
        </w:rPr>
        <w:t>ada de acuerdo con el monto ejecutado en el año 2019 y las proyecciones para los siguientes años.</w:t>
      </w:r>
    </w:p>
    <w:sectPr w:rsidR="00B503BB" w:rsidRPr="00BC588D" w:rsidSect="007709CE">
      <w:headerReference w:type="even" r:id="rId12"/>
      <w:headerReference w:type="default" r:id="rId13"/>
      <w:type w:val="oddPage"/>
      <w:pgSz w:w="12240" w:h="15840" w:code="1"/>
      <w:pgMar w:top="1296" w:right="1440" w:bottom="1296"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E62" w:rsidRDefault="00127E62">
      <w:r>
        <w:separator/>
      </w:r>
    </w:p>
  </w:endnote>
  <w:endnote w:type="continuationSeparator" w:id="0">
    <w:p w:rsidR="00127E62" w:rsidRDefault="0012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E62" w:rsidRDefault="00127E62">
      <w:r>
        <w:separator/>
      </w:r>
    </w:p>
  </w:footnote>
  <w:footnote w:type="continuationSeparator" w:id="0">
    <w:p w:rsidR="00127E62" w:rsidRDefault="00127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0E" w:rsidRPr="00B503BB" w:rsidRDefault="00A15FBB" w:rsidP="007B63E3">
    <w:pPr>
      <w:pStyle w:val="Header"/>
      <w:framePr w:wrap="around" w:vAnchor="text" w:hAnchor="margin" w:xAlign="center" w:y="1"/>
      <w:rPr>
        <w:rStyle w:val="PageNumber"/>
        <w:noProof/>
      </w:rPr>
    </w:pPr>
    <w:r w:rsidRPr="00B503BB">
      <w:rPr>
        <w:rStyle w:val="PageNumber"/>
      </w:rPr>
      <w:fldChar w:fldCharType="begin"/>
    </w:r>
    <w:r w:rsidRPr="00B503BB">
      <w:rPr>
        <w:rStyle w:val="PageNumber"/>
      </w:rPr>
      <w:instrText xml:space="preserve">PAGE  </w:instrText>
    </w:r>
    <w:r w:rsidRPr="00B503BB">
      <w:rPr>
        <w:rStyle w:val="PageNumber"/>
      </w:rPr>
      <w:fldChar w:fldCharType="separate"/>
    </w:r>
    <w:r w:rsidR="00A064AE">
      <w:rPr>
        <w:rStyle w:val="PageNumber"/>
        <w:noProof/>
      </w:rPr>
      <w:t>- 2 -</w:t>
    </w:r>
    <w:r w:rsidRPr="00B503BB">
      <w:rPr>
        <w:rStyle w:val="PageNumber"/>
      </w:rPr>
      <w:fldChar w:fldCharType="end"/>
    </w:r>
  </w:p>
  <w:p w:rsidR="00485B0E" w:rsidRPr="00B503BB" w:rsidRDefault="00485B0E">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0E" w:rsidRPr="00B503BB" w:rsidRDefault="00A15FBB" w:rsidP="007B63E3">
    <w:pPr>
      <w:pStyle w:val="Header"/>
      <w:jc w:val="center"/>
      <w:rPr>
        <w:noProof/>
        <w:sz w:val="22"/>
        <w:szCs w:val="22"/>
      </w:rPr>
    </w:pPr>
    <w:r w:rsidRPr="00B503BB">
      <w:rPr>
        <w:rStyle w:val="PageNumber"/>
        <w:sz w:val="22"/>
        <w:szCs w:val="22"/>
      </w:rPr>
      <w:fldChar w:fldCharType="begin"/>
    </w:r>
    <w:r w:rsidRPr="00B503BB">
      <w:rPr>
        <w:rStyle w:val="PageNumber"/>
        <w:sz w:val="22"/>
        <w:szCs w:val="22"/>
      </w:rPr>
      <w:instrText xml:space="preserve"> PAGE </w:instrText>
    </w:r>
    <w:r w:rsidRPr="00B503BB">
      <w:rPr>
        <w:rStyle w:val="PageNumber"/>
        <w:sz w:val="22"/>
        <w:szCs w:val="22"/>
      </w:rPr>
      <w:fldChar w:fldCharType="separate"/>
    </w:r>
    <w:r w:rsidR="00A064AE">
      <w:rPr>
        <w:rStyle w:val="PageNumber"/>
        <w:noProof/>
        <w:sz w:val="22"/>
        <w:szCs w:val="22"/>
      </w:rPr>
      <w:t>- 3 -</w:t>
    </w:r>
    <w:r w:rsidRPr="00B503BB">
      <w:rPr>
        <w:rStyle w:val="PageNumber"/>
        <w:sz w:val="22"/>
        <w:szCs w:val="22"/>
      </w:rPr>
      <w:fldChar w:fldCharType="end"/>
    </w:r>
    <w:r>
      <w:rPr>
        <w:rStyle w:val="PageNumber"/>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2C"/>
    <w:rsid w:val="0003134F"/>
    <w:rsid w:val="00037703"/>
    <w:rsid w:val="0004592C"/>
    <w:rsid w:val="000556BF"/>
    <w:rsid w:val="00064555"/>
    <w:rsid w:val="00077F92"/>
    <w:rsid w:val="000B0113"/>
    <w:rsid w:val="000C1818"/>
    <w:rsid w:val="00127E62"/>
    <w:rsid w:val="001350E2"/>
    <w:rsid w:val="00144C85"/>
    <w:rsid w:val="00145709"/>
    <w:rsid w:val="00153A5F"/>
    <w:rsid w:val="00174B5F"/>
    <w:rsid w:val="00183B39"/>
    <w:rsid w:val="001857C7"/>
    <w:rsid w:val="001A2085"/>
    <w:rsid w:val="001A2A8C"/>
    <w:rsid w:val="001A70E1"/>
    <w:rsid w:val="001B34D6"/>
    <w:rsid w:val="001B53EF"/>
    <w:rsid w:val="001D5D47"/>
    <w:rsid w:val="001E092C"/>
    <w:rsid w:val="001E1420"/>
    <w:rsid w:val="00203AF5"/>
    <w:rsid w:val="00230820"/>
    <w:rsid w:val="00246860"/>
    <w:rsid w:val="00262426"/>
    <w:rsid w:val="00271AC6"/>
    <w:rsid w:val="0028164B"/>
    <w:rsid w:val="002A23C7"/>
    <w:rsid w:val="002A2990"/>
    <w:rsid w:val="002D4464"/>
    <w:rsid w:val="003428F1"/>
    <w:rsid w:val="00351127"/>
    <w:rsid w:val="00384BE5"/>
    <w:rsid w:val="00391A8F"/>
    <w:rsid w:val="004121CA"/>
    <w:rsid w:val="00442A64"/>
    <w:rsid w:val="00470F09"/>
    <w:rsid w:val="0047726C"/>
    <w:rsid w:val="0048113E"/>
    <w:rsid w:val="00485B0E"/>
    <w:rsid w:val="004C5366"/>
    <w:rsid w:val="004C5A21"/>
    <w:rsid w:val="00537F27"/>
    <w:rsid w:val="005530BB"/>
    <w:rsid w:val="005B430D"/>
    <w:rsid w:val="005D3E1A"/>
    <w:rsid w:val="005E7BB1"/>
    <w:rsid w:val="005F5C90"/>
    <w:rsid w:val="005F6044"/>
    <w:rsid w:val="00607607"/>
    <w:rsid w:val="00697D9A"/>
    <w:rsid w:val="006C1DE5"/>
    <w:rsid w:val="007068B2"/>
    <w:rsid w:val="00713305"/>
    <w:rsid w:val="00722306"/>
    <w:rsid w:val="007269B3"/>
    <w:rsid w:val="00737F7E"/>
    <w:rsid w:val="0077045A"/>
    <w:rsid w:val="007709CE"/>
    <w:rsid w:val="00790226"/>
    <w:rsid w:val="007B63E3"/>
    <w:rsid w:val="007E1717"/>
    <w:rsid w:val="0080725A"/>
    <w:rsid w:val="008519E8"/>
    <w:rsid w:val="008618A7"/>
    <w:rsid w:val="008650B7"/>
    <w:rsid w:val="00874158"/>
    <w:rsid w:val="0089648A"/>
    <w:rsid w:val="008B3B7B"/>
    <w:rsid w:val="008D1406"/>
    <w:rsid w:val="008E2EF8"/>
    <w:rsid w:val="00912EDF"/>
    <w:rsid w:val="00924FC0"/>
    <w:rsid w:val="009270B5"/>
    <w:rsid w:val="009959CC"/>
    <w:rsid w:val="009B3C25"/>
    <w:rsid w:val="009D71F1"/>
    <w:rsid w:val="00A064AE"/>
    <w:rsid w:val="00A15FBB"/>
    <w:rsid w:val="00A44587"/>
    <w:rsid w:val="00AC40E6"/>
    <w:rsid w:val="00AC4DA6"/>
    <w:rsid w:val="00B2717E"/>
    <w:rsid w:val="00B423E4"/>
    <w:rsid w:val="00B503BB"/>
    <w:rsid w:val="00B600E8"/>
    <w:rsid w:val="00B94B7C"/>
    <w:rsid w:val="00BA7009"/>
    <w:rsid w:val="00BC0C6E"/>
    <w:rsid w:val="00BC4F34"/>
    <w:rsid w:val="00BC588D"/>
    <w:rsid w:val="00BE2613"/>
    <w:rsid w:val="00BF569B"/>
    <w:rsid w:val="00C33E83"/>
    <w:rsid w:val="00C56D07"/>
    <w:rsid w:val="00C96C7C"/>
    <w:rsid w:val="00CA267E"/>
    <w:rsid w:val="00CC486D"/>
    <w:rsid w:val="00D135FD"/>
    <w:rsid w:val="00D34326"/>
    <w:rsid w:val="00D432D4"/>
    <w:rsid w:val="00D650E3"/>
    <w:rsid w:val="00D67E7E"/>
    <w:rsid w:val="00D77297"/>
    <w:rsid w:val="00D85477"/>
    <w:rsid w:val="00DA7AD4"/>
    <w:rsid w:val="00DB267A"/>
    <w:rsid w:val="00DC170D"/>
    <w:rsid w:val="00DC26F7"/>
    <w:rsid w:val="00DC2AA3"/>
    <w:rsid w:val="00DE071E"/>
    <w:rsid w:val="00E06C6B"/>
    <w:rsid w:val="00E12278"/>
    <w:rsid w:val="00E578CA"/>
    <w:rsid w:val="00E8774F"/>
    <w:rsid w:val="00EA469E"/>
    <w:rsid w:val="00EC61CA"/>
    <w:rsid w:val="00EE1B59"/>
    <w:rsid w:val="00EE6B15"/>
    <w:rsid w:val="00F31D77"/>
    <w:rsid w:val="00F41DF2"/>
    <w:rsid w:val="00F6385B"/>
    <w:rsid w:val="00F666D7"/>
    <w:rsid w:val="00F7522D"/>
    <w:rsid w:val="00FB2C50"/>
    <w:rsid w:val="00FB6B53"/>
    <w:rsid w:val="00FB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92C"/>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04592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link w:val="EndnoteText"/>
    <w:rsid w:val="0004592C"/>
    <w:rPr>
      <w:rFonts w:ascii="CG Times" w:hAnsi="CG Times"/>
      <w:sz w:val="22"/>
      <w:lang w:val="es-ES" w:eastAsia="en-US" w:bidi="ar-SA"/>
    </w:rPr>
  </w:style>
  <w:style w:type="paragraph" w:styleId="Title">
    <w:name w:val="Title"/>
    <w:basedOn w:val="Normal"/>
    <w:qFormat/>
    <w:rsid w:val="0004592C"/>
    <w:pPr>
      <w:widowControl w:val="0"/>
      <w:tabs>
        <w:tab w:val="left" w:pos="720"/>
        <w:tab w:val="left" w:pos="1440"/>
        <w:tab w:val="left" w:pos="2160"/>
        <w:tab w:val="left" w:pos="2880"/>
        <w:tab w:val="left" w:pos="3600"/>
        <w:tab w:val="left" w:pos="4320"/>
        <w:tab w:val="left" w:pos="5760"/>
        <w:tab w:val="left" w:pos="6480"/>
        <w:tab w:val="left" w:pos="7920"/>
      </w:tabs>
      <w:suppressAutoHyphens/>
      <w:jc w:val="center"/>
    </w:pPr>
    <w:rPr>
      <w:rFonts w:ascii="Arial" w:hAnsi="Arial" w:cs="Arial"/>
      <w:b/>
      <w:bCs/>
      <w:spacing w:val="-2"/>
      <w:sz w:val="22"/>
      <w:szCs w:val="22"/>
    </w:rPr>
  </w:style>
  <w:style w:type="paragraph" w:styleId="Header">
    <w:name w:val="header"/>
    <w:basedOn w:val="Normal"/>
    <w:link w:val="HeaderChar"/>
    <w:uiPriority w:val="99"/>
    <w:rsid w:val="0004592C"/>
    <w:pPr>
      <w:tabs>
        <w:tab w:val="center" w:pos="4320"/>
        <w:tab w:val="right" w:pos="8640"/>
      </w:tabs>
    </w:pPr>
    <w:rPr>
      <w:lang w:eastAsia="x-none"/>
    </w:rPr>
  </w:style>
  <w:style w:type="character" w:styleId="PageNumber">
    <w:name w:val="page number"/>
    <w:basedOn w:val="DefaultParagraphFont"/>
    <w:rsid w:val="0004592C"/>
  </w:style>
  <w:style w:type="paragraph" w:styleId="Footer">
    <w:name w:val="footer"/>
    <w:basedOn w:val="Normal"/>
    <w:rsid w:val="008650B7"/>
    <w:pPr>
      <w:tabs>
        <w:tab w:val="center" w:pos="4320"/>
        <w:tab w:val="right" w:pos="8640"/>
      </w:tabs>
    </w:pPr>
  </w:style>
  <w:style w:type="paragraph" w:customStyle="1" w:styleId="Normal1">
    <w:name w:val="Normal1"/>
    <w:rsid w:val="002D4464"/>
    <w:pPr>
      <w:spacing w:after="120" w:line="276" w:lineRule="auto"/>
      <w:jc w:val="both"/>
    </w:pPr>
    <w:rPr>
      <w:rFonts w:ascii="Calibri" w:eastAsia="Calibri" w:hAnsi="Calibri" w:cs="Calibri"/>
      <w:color w:val="000000"/>
      <w:sz w:val="22"/>
      <w:szCs w:val="22"/>
      <w:lang w:val="es-ES" w:eastAsia="es-ES"/>
    </w:rPr>
  </w:style>
  <w:style w:type="character" w:customStyle="1" w:styleId="HeaderChar">
    <w:name w:val="Header Char"/>
    <w:link w:val="Header"/>
    <w:uiPriority w:val="99"/>
    <w:rsid w:val="00D135FD"/>
    <w:rPr>
      <w:sz w:val="24"/>
      <w:szCs w:val="24"/>
    </w:rPr>
  </w:style>
  <w:style w:type="character" w:styleId="Hyperlink">
    <w:name w:val="Hyperlink"/>
    <w:rsid w:val="001E092C"/>
    <w:rPr>
      <w:color w:val="0000FF"/>
      <w:u w:val="single"/>
    </w:rPr>
  </w:style>
  <w:style w:type="character" w:styleId="FollowedHyperlink">
    <w:name w:val="FollowedHyperlink"/>
    <w:rsid w:val="00F41DF2"/>
    <w:rPr>
      <w:color w:val="800080"/>
      <w:u w:val="single"/>
    </w:rPr>
  </w:style>
  <w:style w:type="paragraph" w:customStyle="1" w:styleId="Default">
    <w:name w:val="Default"/>
    <w:rsid w:val="0080725A"/>
    <w:pPr>
      <w:autoSpaceDE w:val="0"/>
      <w:autoSpaceDN w:val="0"/>
      <w:adjustRightInd w:val="0"/>
    </w:pPr>
    <w:rPr>
      <w:rFonts w:ascii="Calibri" w:eastAsia="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02523">
      <w:bodyDiv w:val="1"/>
      <w:marLeft w:val="0"/>
      <w:marRight w:val="0"/>
      <w:marTop w:val="0"/>
      <w:marBottom w:val="0"/>
      <w:divBdr>
        <w:top w:val="none" w:sz="0" w:space="0" w:color="auto"/>
        <w:left w:val="none" w:sz="0" w:space="0" w:color="auto"/>
        <w:bottom w:val="none" w:sz="0" w:space="0" w:color="auto"/>
        <w:right w:val="none" w:sz="0" w:space="0" w:color="auto"/>
      </w:divBdr>
      <w:divsChild>
        <w:div w:id="778453420">
          <w:marLeft w:val="0"/>
          <w:marRight w:val="0"/>
          <w:marTop w:val="0"/>
          <w:marBottom w:val="0"/>
          <w:divBdr>
            <w:top w:val="none" w:sz="0" w:space="0" w:color="auto"/>
            <w:left w:val="none" w:sz="0" w:space="0" w:color="auto"/>
            <w:bottom w:val="none" w:sz="0" w:space="0" w:color="auto"/>
            <w:right w:val="none" w:sz="0" w:space="0" w:color="auto"/>
          </w:divBdr>
          <w:divsChild>
            <w:div w:id="610629355">
              <w:marLeft w:val="0"/>
              <w:marRight w:val="0"/>
              <w:marTop w:val="0"/>
              <w:marBottom w:val="0"/>
              <w:divBdr>
                <w:top w:val="none" w:sz="0" w:space="0" w:color="auto"/>
                <w:left w:val="none" w:sz="0" w:space="0" w:color="auto"/>
                <w:bottom w:val="none" w:sz="0" w:space="0" w:color="auto"/>
                <w:right w:val="none" w:sz="0" w:space="0" w:color="auto"/>
              </w:divBdr>
              <w:divsChild>
                <w:div w:id="344019194">
                  <w:marLeft w:val="0"/>
                  <w:marRight w:val="0"/>
                  <w:marTop w:val="0"/>
                  <w:marBottom w:val="0"/>
                  <w:divBdr>
                    <w:top w:val="none" w:sz="0" w:space="0" w:color="auto"/>
                    <w:left w:val="none" w:sz="0" w:space="0" w:color="auto"/>
                    <w:bottom w:val="none" w:sz="0" w:space="0" w:color="auto"/>
                    <w:right w:val="none" w:sz="0" w:space="0" w:color="auto"/>
                  </w:divBdr>
                  <w:divsChild>
                    <w:div w:id="830675523">
                      <w:marLeft w:val="0"/>
                      <w:marRight w:val="0"/>
                      <w:marTop w:val="0"/>
                      <w:marBottom w:val="0"/>
                      <w:divBdr>
                        <w:top w:val="none" w:sz="0" w:space="0" w:color="auto"/>
                        <w:left w:val="none" w:sz="0" w:space="0" w:color="auto"/>
                        <w:bottom w:val="none" w:sz="0" w:space="0" w:color="auto"/>
                        <w:right w:val="none" w:sz="0" w:space="0" w:color="auto"/>
                      </w:divBdr>
                      <w:divsChild>
                        <w:div w:id="858348745">
                          <w:marLeft w:val="0"/>
                          <w:marRight w:val="0"/>
                          <w:marTop w:val="0"/>
                          <w:marBottom w:val="0"/>
                          <w:divBdr>
                            <w:top w:val="none" w:sz="0" w:space="0" w:color="auto"/>
                            <w:left w:val="none" w:sz="0" w:space="0" w:color="auto"/>
                            <w:bottom w:val="none" w:sz="0" w:space="0" w:color="auto"/>
                            <w:right w:val="none" w:sz="0" w:space="0" w:color="auto"/>
                          </w:divBdr>
                          <w:divsChild>
                            <w:div w:id="394861671">
                              <w:marLeft w:val="0"/>
                              <w:marRight w:val="0"/>
                              <w:marTop w:val="0"/>
                              <w:marBottom w:val="0"/>
                              <w:divBdr>
                                <w:top w:val="none" w:sz="0" w:space="0" w:color="auto"/>
                                <w:left w:val="none" w:sz="0" w:space="0" w:color="auto"/>
                                <w:bottom w:val="none" w:sz="0" w:space="0" w:color="auto"/>
                                <w:right w:val="none" w:sz="0" w:space="0" w:color="auto"/>
                              </w:divBdr>
                              <w:divsChild>
                                <w:div w:id="1801531586">
                                  <w:marLeft w:val="0"/>
                                  <w:marRight w:val="0"/>
                                  <w:marTop w:val="0"/>
                                  <w:marBottom w:val="0"/>
                                  <w:divBdr>
                                    <w:top w:val="none" w:sz="0" w:space="0" w:color="auto"/>
                                    <w:left w:val="none" w:sz="0" w:space="0" w:color="auto"/>
                                    <w:bottom w:val="none" w:sz="0" w:space="0" w:color="auto"/>
                                    <w:right w:val="none" w:sz="0" w:space="0" w:color="auto"/>
                                  </w:divBdr>
                                  <w:divsChild>
                                    <w:div w:id="1529828250">
                                      <w:marLeft w:val="0"/>
                                      <w:marRight w:val="0"/>
                                      <w:marTop w:val="0"/>
                                      <w:marBottom w:val="0"/>
                                      <w:divBdr>
                                        <w:top w:val="none" w:sz="0" w:space="0" w:color="auto"/>
                                        <w:left w:val="none" w:sz="0" w:space="0" w:color="auto"/>
                                        <w:bottom w:val="none" w:sz="0" w:space="0" w:color="auto"/>
                                        <w:right w:val="none" w:sz="0" w:space="0" w:color="auto"/>
                                      </w:divBdr>
                                      <w:divsChild>
                                        <w:div w:id="771700906">
                                          <w:marLeft w:val="0"/>
                                          <w:marRight w:val="0"/>
                                          <w:marTop w:val="0"/>
                                          <w:marBottom w:val="0"/>
                                          <w:divBdr>
                                            <w:top w:val="none" w:sz="0" w:space="0" w:color="auto"/>
                                            <w:left w:val="none" w:sz="0" w:space="0" w:color="auto"/>
                                            <w:bottom w:val="none" w:sz="0" w:space="0" w:color="auto"/>
                                            <w:right w:val="none" w:sz="0" w:space="0" w:color="auto"/>
                                          </w:divBdr>
                                          <w:divsChild>
                                            <w:div w:id="1396392015">
                                              <w:marLeft w:val="0"/>
                                              <w:marRight w:val="0"/>
                                              <w:marTop w:val="0"/>
                                              <w:marBottom w:val="495"/>
                                              <w:divBdr>
                                                <w:top w:val="none" w:sz="0" w:space="0" w:color="auto"/>
                                                <w:left w:val="none" w:sz="0" w:space="0" w:color="auto"/>
                                                <w:bottom w:val="none" w:sz="0" w:space="0" w:color="auto"/>
                                                <w:right w:val="none" w:sz="0" w:space="0" w:color="auto"/>
                                              </w:divBdr>
                                              <w:divsChild>
                                                <w:div w:id="9559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G/RES.%20%20(LIII-E/18)&amp;classNum=1&amp;lang=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oas.org/IDMS/Redirectpage.aspx?class=AICD/JD/DE&amp;classNum=122&amp;lang=e" TargetMode="External"/><Relationship Id="rId11" Type="http://schemas.openxmlformats.org/officeDocument/2006/relationships/hyperlink" Target="http://scm.oas.org/IDMS/Redirectpage.aspx?class=AICD/JD/DE&amp;classNum=122&amp;lang=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m.oas.org/IDMS/Redirectpage.aspx?class=cidi/RES.&amp;classNum=337&amp;lang=s" TargetMode="External"/><Relationship Id="rId4" Type="http://schemas.openxmlformats.org/officeDocument/2006/relationships/footnotes" Target="footnotes.xml"/><Relationship Id="rId9" Type="http://schemas.openxmlformats.org/officeDocument/2006/relationships/hyperlink" Target="http://scm.oas.org/IDMS/Redirectpage.aspx?class=AG/doc.&amp;classNum=5682&amp;la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4844</CharactersWithSpaces>
  <SharedDoc>false</SharedDoc>
  <HLinks>
    <vt:vector size="6" baseType="variant">
      <vt:variant>
        <vt:i4>3670066</vt:i4>
      </vt:variant>
      <vt:variant>
        <vt:i4>0</vt:i4>
      </vt:variant>
      <vt:variant>
        <vt:i4>0</vt:i4>
      </vt:variant>
      <vt:variant>
        <vt:i4>5</vt:i4>
      </vt:variant>
      <vt:variant>
        <vt:lpwstr>http://scm.oas.org/pdfs/2019/CIDRP02688S01.PDF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1900-01-01T05:00:00Z</cp:lastPrinted>
  <dcterms:created xsi:type="dcterms:W3CDTF">2020-03-05T23:15:00Z</dcterms:created>
  <dcterms:modified xsi:type="dcterms:W3CDTF">2020-05-08T16:24:00Z</dcterms:modified>
</cp:coreProperties>
</file>