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D0374" w14:textId="77777777" w:rsidR="00F1528A" w:rsidRPr="00E72DC0" w:rsidRDefault="00F1528A" w:rsidP="00427919">
      <w:pPr>
        <w:tabs>
          <w:tab w:val="left" w:pos="7200"/>
        </w:tabs>
        <w:suppressAutoHyphens/>
        <w:ind w:right="-900"/>
        <w:jc w:val="both"/>
        <w:rPr>
          <w:rFonts w:eastAsia="Times New Roman"/>
          <w:sz w:val="22"/>
          <w:szCs w:val="22"/>
          <w:lang w:val="es-ES_tradnl" w:eastAsia="en-US"/>
        </w:rPr>
      </w:pPr>
      <w:r w:rsidRPr="00E72DC0">
        <w:rPr>
          <w:b/>
          <w:sz w:val="22"/>
          <w:szCs w:val="22"/>
          <w:lang w:val="es-ES_tradnl" w:eastAsia="en-US"/>
        </w:rPr>
        <w:t xml:space="preserve">AGENCIA INTERAMERICANA PARA </w:t>
      </w:r>
      <w:r w:rsidRPr="00E72DC0">
        <w:rPr>
          <w:b/>
          <w:sz w:val="22"/>
          <w:szCs w:val="22"/>
          <w:lang w:val="es-ES_tradnl" w:eastAsia="en-US"/>
        </w:rPr>
        <w:tab/>
      </w:r>
      <w:r w:rsidRPr="00E72DC0">
        <w:rPr>
          <w:rFonts w:eastAsia="Times New Roman"/>
          <w:sz w:val="22"/>
          <w:szCs w:val="22"/>
          <w:lang w:val="es-ES_tradnl" w:eastAsia="en-US"/>
        </w:rPr>
        <w:t>OEA/Ser. W</w:t>
      </w:r>
    </w:p>
    <w:p w14:paraId="64DA52AE" w14:textId="23BD01E9" w:rsidR="00F1528A" w:rsidRPr="00E72DC0" w:rsidRDefault="00F1528A" w:rsidP="00427919">
      <w:pPr>
        <w:tabs>
          <w:tab w:val="left" w:pos="7200"/>
        </w:tabs>
        <w:suppressAutoHyphens/>
        <w:ind w:right="-900"/>
        <w:jc w:val="both"/>
        <w:rPr>
          <w:b/>
          <w:sz w:val="22"/>
          <w:szCs w:val="22"/>
          <w:lang w:val="es-ES_tradnl"/>
        </w:rPr>
      </w:pPr>
      <w:r w:rsidRPr="00E72DC0">
        <w:rPr>
          <w:b/>
          <w:sz w:val="22"/>
          <w:szCs w:val="22"/>
          <w:lang w:val="es-ES_tradnl" w:eastAsia="en-US"/>
        </w:rPr>
        <w:t xml:space="preserve">LA COOPERACIÓN Y EL DESARROLLO </w:t>
      </w:r>
      <w:r w:rsidRPr="00E72DC0">
        <w:rPr>
          <w:sz w:val="22"/>
          <w:szCs w:val="22"/>
          <w:lang w:val="es-ES_tradnl" w:eastAsia="en-US"/>
        </w:rPr>
        <w:tab/>
        <w:t xml:space="preserve">AICD/JD/doc.180/20 </w:t>
      </w:r>
      <w:r w:rsidR="00294C49">
        <w:rPr>
          <w:sz w:val="22"/>
          <w:szCs w:val="22"/>
          <w:lang w:val="es-ES_tradnl" w:eastAsia="en-US"/>
        </w:rPr>
        <w:t>rev.</w:t>
      </w:r>
      <w:r w:rsidR="00726C56">
        <w:rPr>
          <w:sz w:val="22"/>
          <w:szCs w:val="22"/>
          <w:lang w:val="es-ES_tradnl" w:eastAsia="en-US"/>
        </w:rPr>
        <w:t>2</w:t>
      </w:r>
    </w:p>
    <w:p w14:paraId="26A2B960" w14:textId="3245042C" w:rsidR="00F1528A" w:rsidRPr="00E72DC0" w:rsidRDefault="00F1528A" w:rsidP="00427919">
      <w:pPr>
        <w:pStyle w:val="Header"/>
        <w:tabs>
          <w:tab w:val="left" w:pos="7200"/>
        </w:tabs>
        <w:suppressAutoHyphens/>
        <w:ind w:right="-900"/>
        <w:rPr>
          <w:sz w:val="22"/>
          <w:szCs w:val="22"/>
          <w:lang w:val="es-ES_tradnl"/>
        </w:rPr>
      </w:pPr>
      <w:r w:rsidRPr="00E72DC0">
        <w:rPr>
          <w:b/>
          <w:sz w:val="22"/>
          <w:szCs w:val="22"/>
          <w:lang w:val="es-ES_tradnl" w:eastAsia="en-US"/>
        </w:rPr>
        <w:t>REUNIÓN DE LA JUNTA DIRECTIVA</w:t>
      </w:r>
      <w:r w:rsidRPr="00E72DC0">
        <w:rPr>
          <w:b/>
          <w:sz w:val="22"/>
          <w:szCs w:val="22"/>
          <w:lang w:val="es-ES_tradnl" w:eastAsia="en-US"/>
        </w:rPr>
        <w:tab/>
      </w:r>
      <w:r w:rsidRPr="00E72DC0">
        <w:rPr>
          <w:b/>
          <w:sz w:val="22"/>
          <w:szCs w:val="22"/>
          <w:lang w:val="es-ES_tradnl" w:eastAsia="en-US"/>
        </w:rPr>
        <w:tab/>
      </w:r>
      <w:r w:rsidR="00437F87" w:rsidRPr="00D63958">
        <w:rPr>
          <w:sz w:val="22"/>
          <w:szCs w:val="22"/>
          <w:lang w:val="es-ES_tradnl"/>
        </w:rPr>
        <w:t>2</w:t>
      </w:r>
      <w:r w:rsidR="00D63958">
        <w:rPr>
          <w:sz w:val="22"/>
          <w:szCs w:val="22"/>
          <w:lang w:val="es-ES_tradnl"/>
        </w:rPr>
        <w:t>5</w:t>
      </w:r>
      <w:r w:rsidRPr="00D63958">
        <w:rPr>
          <w:sz w:val="22"/>
          <w:szCs w:val="22"/>
          <w:lang w:val="es-ES_tradnl"/>
        </w:rPr>
        <w:t xml:space="preserve"> </w:t>
      </w:r>
      <w:r w:rsidR="00863B8D" w:rsidRPr="00D63958">
        <w:rPr>
          <w:sz w:val="22"/>
          <w:szCs w:val="22"/>
          <w:lang w:val="es-ES_tradnl"/>
        </w:rPr>
        <w:t>septiembre</w:t>
      </w:r>
      <w:r w:rsidRPr="00D63958">
        <w:rPr>
          <w:sz w:val="22"/>
          <w:szCs w:val="22"/>
          <w:lang w:val="es-ES_tradnl"/>
        </w:rPr>
        <w:t xml:space="preserve"> 2020</w:t>
      </w:r>
    </w:p>
    <w:p w14:paraId="4BAE5B63" w14:textId="77777777" w:rsidR="00F1528A" w:rsidRPr="00E72DC0" w:rsidRDefault="00B31B87" w:rsidP="00427919">
      <w:pPr>
        <w:pStyle w:val="Header"/>
        <w:tabs>
          <w:tab w:val="clear" w:pos="4680"/>
          <w:tab w:val="clear" w:pos="9360"/>
          <w:tab w:val="left" w:pos="7200"/>
        </w:tabs>
        <w:suppressAutoHyphens/>
        <w:ind w:right="-900"/>
        <w:rPr>
          <w:sz w:val="22"/>
          <w:szCs w:val="22"/>
          <w:lang w:val="es-ES_tradnl" w:eastAsia="en-US"/>
        </w:rPr>
      </w:pPr>
      <w:r w:rsidRPr="00E72DC0">
        <w:rPr>
          <w:sz w:val="22"/>
          <w:szCs w:val="22"/>
          <w:lang w:val="es-ES_tradnl" w:eastAsia="en-US"/>
        </w:rPr>
        <w:tab/>
      </w:r>
      <w:r w:rsidR="00F1528A" w:rsidRPr="00E72DC0">
        <w:rPr>
          <w:sz w:val="22"/>
          <w:szCs w:val="22"/>
          <w:lang w:val="es-ES_tradnl" w:eastAsia="en-US"/>
        </w:rPr>
        <w:t>Original: inglés</w:t>
      </w:r>
    </w:p>
    <w:p w14:paraId="7AF4B1B0" w14:textId="77777777" w:rsidR="00F1528A" w:rsidRPr="00E72DC0" w:rsidRDefault="00F1528A" w:rsidP="00344226">
      <w:pPr>
        <w:pBdr>
          <w:bottom w:val="single" w:sz="12" w:space="1" w:color="auto"/>
        </w:pBdr>
        <w:rPr>
          <w:sz w:val="22"/>
          <w:szCs w:val="22"/>
          <w:lang w:val="es-ES_tradnl"/>
        </w:rPr>
      </w:pPr>
    </w:p>
    <w:p w14:paraId="1851AD24" w14:textId="77777777" w:rsidR="00F1528A" w:rsidRPr="00E72DC0" w:rsidRDefault="00F1528A" w:rsidP="00344226">
      <w:pPr>
        <w:jc w:val="both"/>
        <w:rPr>
          <w:color w:val="000000"/>
          <w:sz w:val="22"/>
          <w:szCs w:val="22"/>
          <w:lang w:val="es-ES_tradnl"/>
        </w:rPr>
      </w:pPr>
    </w:p>
    <w:p w14:paraId="106C0FD4" w14:textId="77777777" w:rsidR="00F1528A" w:rsidRPr="00E72DC0" w:rsidRDefault="00F1528A" w:rsidP="00344226">
      <w:pPr>
        <w:tabs>
          <w:tab w:val="left" w:pos="7200"/>
        </w:tabs>
        <w:ind w:right="-720"/>
        <w:rPr>
          <w:sz w:val="22"/>
          <w:szCs w:val="22"/>
          <w:lang w:val="es-ES_tradnl"/>
        </w:rPr>
      </w:pPr>
    </w:p>
    <w:p w14:paraId="1CA7F203" w14:textId="4B486257" w:rsidR="00F1528A" w:rsidRPr="00863B8D" w:rsidRDefault="00F1528A" w:rsidP="00344226">
      <w:pPr>
        <w:jc w:val="center"/>
        <w:outlineLvl w:val="0"/>
        <w:rPr>
          <w:sz w:val="22"/>
          <w:szCs w:val="22"/>
          <w:lang w:val="es-CO"/>
        </w:rPr>
      </w:pPr>
      <w:r w:rsidRPr="00863B8D">
        <w:rPr>
          <w:sz w:val="22"/>
          <w:szCs w:val="22"/>
          <w:lang w:val="es-CO"/>
        </w:rPr>
        <w:t xml:space="preserve">ÁREA DE ACCIÓN Y PROGRAMAS PARA EL CICLO DE PROGRAMACIÓN 2021-2024 DEL FONDO DE COOPERACIÓN PARA EL DESARROLLO (FCD) </w:t>
      </w:r>
    </w:p>
    <w:p w14:paraId="71FC2731" w14:textId="77777777" w:rsidR="00F1528A" w:rsidRPr="00863B8D" w:rsidRDefault="00F1528A" w:rsidP="00344226">
      <w:pPr>
        <w:jc w:val="both"/>
        <w:rPr>
          <w:sz w:val="22"/>
          <w:szCs w:val="22"/>
          <w:lang w:val="es-CO"/>
        </w:rPr>
      </w:pPr>
    </w:p>
    <w:p w14:paraId="353886B4" w14:textId="5B14A621" w:rsidR="00F1528A" w:rsidRPr="00863B8D" w:rsidRDefault="00F1528A" w:rsidP="00700A1A">
      <w:pPr>
        <w:jc w:val="center"/>
        <w:rPr>
          <w:sz w:val="22"/>
          <w:szCs w:val="22"/>
          <w:lang w:val="es-CO"/>
        </w:rPr>
      </w:pPr>
      <w:r w:rsidRPr="00863B8D">
        <w:rPr>
          <w:sz w:val="22"/>
          <w:szCs w:val="22"/>
          <w:lang w:val="es-CO"/>
        </w:rPr>
        <w:t>(</w:t>
      </w:r>
      <w:r w:rsidR="00726C56">
        <w:rPr>
          <w:sz w:val="22"/>
          <w:szCs w:val="22"/>
          <w:lang w:val="es-CO"/>
        </w:rPr>
        <w:t xml:space="preserve">Aprobados </w:t>
      </w:r>
      <w:r w:rsidRPr="00863B8D">
        <w:rPr>
          <w:sz w:val="22"/>
          <w:szCs w:val="22"/>
          <w:lang w:val="es-CO"/>
        </w:rPr>
        <w:t xml:space="preserve">en la reunión de la Junta Directiva celebrada el </w:t>
      </w:r>
      <w:r w:rsidR="00726C56">
        <w:rPr>
          <w:sz w:val="22"/>
          <w:szCs w:val="22"/>
          <w:lang w:val="es-CO"/>
        </w:rPr>
        <w:t xml:space="preserve">21 </w:t>
      </w:r>
      <w:r w:rsidRPr="00863B8D">
        <w:rPr>
          <w:sz w:val="22"/>
          <w:szCs w:val="22"/>
          <w:lang w:val="es-CO"/>
        </w:rPr>
        <w:t xml:space="preserve">de </w:t>
      </w:r>
      <w:r w:rsidR="00726C56">
        <w:rPr>
          <w:sz w:val="22"/>
          <w:szCs w:val="22"/>
          <w:lang w:val="es-CO"/>
        </w:rPr>
        <w:t>septiembre</w:t>
      </w:r>
      <w:r w:rsidRPr="00863B8D">
        <w:rPr>
          <w:sz w:val="22"/>
          <w:szCs w:val="22"/>
          <w:lang w:val="es-CO"/>
        </w:rPr>
        <w:t xml:space="preserve"> de 2020</w:t>
      </w:r>
      <w:r w:rsidR="00700A1A">
        <w:rPr>
          <w:sz w:val="22"/>
          <w:szCs w:val="22"/>
          <w:lang w:val="es-CO"/>
        </w:rPr>
        <w:t>,</w:t>
      </w:r>
      <w:r w:rsidR="00D63958">
        <w:rPr>
          <w:sz w:val="22"/>
          <w:szCs w:val="22"/>
          <w:lang w:val="es-CO"/>
        </w:rPr>
        <w:t xml:space="preserve"> </w:t>
      </w:r>
    </w:p>
    <w:p w14:paraId="549473BE" w14:textId="428A4BD8" w:rsidR="00F1528A" w:rsidRDefault="00700A1A" w:rsidP="00700A1A">
      <w:pPr>
        <w:jc w:val="center"/>
        <w:rPr>
          <w:rFonts w:eastAsia="Calibri"/>
          <w:noProof/>
          <w:sz w:val="22"/>
          <w:szCs w:val="22"/>
          <w:lang w:val="es-US" w:eastAsia="en-US"/>
        </w:rPr>
      </w:pPr>
      <w:r>
        <w:rPr>
          <w:sz w:val="22"/>
          <w:szCs w:val="22"/>
          <w:lang w:val="es-CO"/>
        </w:rPr>
        <w:t xml:space="preserve">por </w:t>
      </w:r>
      <w:r w:rsidRPr="00700A1A">
        <w:rPr>
          <w:rFonts w:eastAsia="Calibri"/>
          <w:sz w:val="22"/>
          <w:szCs w:val="22"/>
          <w:lang w:val="es-CO" w:eastAsia="en-US"/>
        </w:rPr>
        <w:t>decisión (</w:t>
      </w:r>
      <w:hyperlink r:id="rId7" w:history="1">
        <w:r w:rsidRPr="00700A1A">
          <w:rPr>
            <w:rFonts w:eastAsia="Calibri"/>
            <w:noProof/>
            <w:color w:val="0563C1"/>
            <w:sz w:val="22"/>
            <w:szCs w:val="22"/>
            <w:u w:val="single"/>
            <w:lang w:val="es-US" w:eastAsia="en-US"/>
          </w:rPr>
          <w:t>AICD/JD/DE-12</w:t>
        </w:r>
        <w:r>
          <w:rPr>
            <w:rFonts w:eastAsia="Calibri"/>
            <w:noProof/>
            <w:color w:val="0563C1"/>
            <w:sz w:val="22"/>
            <w:szCs w:val="22"/>
            <w:u w:val="single"/>
            <w:lang w:val="es-US" w:eastAsia="en-US"/>
          </w:rPr>
          <w:t>6</w:t>
        </w:r>
        <w:r w:rsidRPr="00700A1A">
          <w:rPr>
            <w:rFonts w:eastAsia="Calibri"/>
            <w:noProof/>
            <w:color w:val="0563C1"/>
            <w:sz w:val="22"/>
            <w:szCs w:val="22"/>
            <w:u w:val="single"/>
            <w:lang w:val="es-US" w:eastAsia="en-US"/>
          </w:rPr>
          <w:t>/20</w:t>
        </w:r>
      </w:hyperlink>
      <w:r w:rsidRPr="00700A1A">
        <w:rPr>
          <w:rFonts w:eastAsia="Calibri"/>
          <w:noProof/>
          <w:sz w:val="22"/>
          <w:szCs w:val="22"/>
          <w:lang w:val="es-US" w:eastAsia="en-US"/>
        </w:rPr>
        <w:t>)</w:t>
      </w:r>
    </w:p>
    <w:p w14:paraId="4E8C7A14" w14:textId="77777777" w:rsidR="00D63958" w:rsidRDefault="00D63958" w:rsidP="00700A1A">
      <w:pPr>
        <w:jc w:val="center"/>
        <w:rPr>
          <w:sz w:val="22"/>
          <w:szCs w:val="22"/>
          <w:lang w:val="es-CO"/>
        </w:rPr>
      </w:pPr>
    </w:p>
    <w:p w14:paraId="20E6E393" w14:textId="77777777" w:rsidR="00294C49" w:rsidRPr="00863B8D" w:rsidRDefault="00294C49" w:rsidP="00344226">
      <w:pPr>
        <w:jc w:val="both"/>
        <w:rPr>
          <w:sz w:val="22"/>
          <w:szCs w:val="22"/>
          <w:lang w:val="es-CO"/>
        </w:rPr>
      </w:pPr>
    </w:p>
    <w:p w14:paraId="6A591EE0" w14:textId="77777777" w:rsidR="00F1528A" w:rsidRPr="00863B8D" w:rsidRDefault="00F1528A" w:rsidP="00344226">
      <w:pPr>
        <w:ind w:firstLine="720"/>
        <w:jc w:val="both"/>
        <w:rPr>
          <w:color w:val="000000"/>
          <w:sz w:val="22"/>
          <w:szCs w:val="22"/>
          <w:lang w:val="es-CO"/>
        </w:rPr>
      </w:pPr>
      <w:r w:rsidRPr="00863B8D">
        <w:rPr>
          <w:color w:val="000000"/>
          <w:sz w:val="22"/>
          <w:szCs w:val="22"/>
          <w:lang w:val="es-CO"/>
        </w:rPr>
        <w:t xml:space="preserve">De conformidad con el </w:t>
      </w:r>
      <w:hyperlink r:id="rId8" w:history="1">
        <w:r w:rsidRPr="00863B8D">
          <w:rPr>
            <w:rStyle w:val="Hyperlink"/>
            <w:sz w:val="22"/>
            <w:szCs w:val="22"/>
            <w:lang w:val="es-CO"/>
          </w:rPr>
          <w:t>Estatuto del Fondo de Cooperación para el Desarrollo (FCD)</w:t>
        </w:r>
      </w:hyperlink>
      <w:r w:rsidRPr="00863B8D">
        <w:rPr>
          <w:color w:val="000000"/>
          <w:sz w:val="22"/>
          <w:szCs w:val="22"/>
          <w:lang w:val="es-CO"/>
        </w:rPr>
        <w:t xml:space="preserve"> aprobado mediante la Resolución </w:t>
      </w:r>
      <w:hyperlink r:id="rId9" w:history="1">
        <w:r w:rsidRPr="00863B8D">
          <w:rPr>
            <w:rStyle w:val="Hyperlink"/>
            <w:sz w:val="22"/>
            <w:szCs w:val="22"/>
            <w:lang w:val="es-CO"/>
          </w:rPr>
          <w:t>AG/RES. 2817 (XLIV-O/14)</w:t>
        </w:r>
      </w:hyperlink>
      <w:r w:rsidRPr="00863B8D">
        <w:rPr>
          <w:sz w:val="22"/>
          <w:szCs w:val="22"/>
          <w:lang w:val="es-CO"/>
        </w:rPr>
        <w:t xml:space="preserve"> del cuadragésimo cuarto período ordinario de sesiones de la Asamblea General, </w:t>
      </w:r>
      <w:r w:rsidRPr="00863B8D">
        <w:rPr>
          <w:color w:val="000000"/>
          <w:sz w:val="22"/>
          <w:szCs w:val="22"/>
          <w:lang w:val="es-CO"/>
        </w:rPr>
        <w:t>los Estados Miembros deben seleccionar un área de acción (tema principal) y hasta cuatro programas correspondientes (dentro de ese tema) del Plan Estratégico de Cooperación Solidaria para el Desarrollo para cada ciclo de programas del fondo.</w:t>
      </w:r>
    </w:p>
    <w:p w14:paraId="78027540" w14:textId="77777777" w:rsidR="00F1528A" w:rsidRPr="00863B8D" w:rsidRDefault="00F1528A" w:rsidP="00344226">
      <w:pPr>
        <w:jc w:val="both"/>
        <w:rPr>
          <w:color w:val="000000"/>
          <w:sz w:val="22"/>
          <w:szCs w:val="22"/>
          <w:lang w:val="es-CO"/>
        </w:rPr>
      </w:pPr>
    </w:p>
    <w:p w14:paraId="11591E73" w14:textId="77777777" w:rsidR="00F1528A" w:rsidRPr="00863B8D" w:rsidRDefault="00F1528A" w:rsidP="00344226">
      <w:pPr>
        <w:ind w:firstLine="720"/>
        <w:jc w:val="both"/>
        <w:rPr>
          <w:rFonts w:eastAsia="Times New Roman"/>
          <w:sz w:val="22"/>
          <w:szCs w:val="22"/>
          <w:lang w:val="es-CO"/>
        </w:rPr>
      </w:pPr>
      <w:r w:rsidRPr="00863B8D">
        <w:rPr>
          <w:sz w:val="22"/>
          <w:szCs w:val="22"/>
          <w:lang w:val="es-CO"/>
        </w:rPr>
        <w:t xml:space="preserve">En la reunión de la Junta Directiva de la Agencia Interamericana para la Cooperación y el Desarrollo (AICD), celebrada el 16 de junio de 2020, las delegaciones subrayaron la responsabilidad de la Junta de adaptar su trabajo a las necesidades urgentes de los Estados Miembros en sus respuestas a la pandemia de COVID-19 y al período posterior a la pandemia. Después de las intervenciones y deliberaciones, los miembros de la Junta Directiva aprobaron el área de acción </w:t>
      </w:r>
      <w:r w:rsidRPr="00863B8D">
        <w:rPr>
          <w:rFonts w:eastAsia="Times New Roman"/>
          <w:i/>
          <w:iCs/>
          <w:sz w:val="22"/>
          <w:szCs w:val="22"/>
          <w:lang w:val="es-CO"/>
        </w:rPr>
        <w:t xml:space="preserve">“Resiliencia incluyente para una recuperación eficaz enfocada en la ciencia y la tecnología” </w:t>
      </w:r>
      <w:r w:rsidRPr="00863B8D">
        <w:rPr>
          <w:rFonts w:eastAsia="Times New Roman"/>
          <w:sz w:val="22"/>
          <w:szCs w:val="22"/>
          <w:lang w:val="es-CO"/>
        </w:rPr>
        <w:t xml:space="preserve">para el ciclo de programación del Fondo de Cooperación para el Desarrollo de la OEA (FCD/OEA) </w:t>
      </w:r>
      <w:r w:rsidRPr="00863B8D">
        <w:rPr>
          <w:rFonts w:eastAsia="Times New Roman"/>
          <w:sz w:val="22"/>
          <w:szCs w:val="22"/>
          <w:lang w:val="es-CO"/>
        </w:rPr>
        <w:lastRenderedPageBreak/>
        <w:t xml:space="preserve">2021-2024. El siguiente paso en el proceso es la identificación de los temas dentro del área de acción para su presentación final y aprobación del CIDI. </w:t>
      </w:r>
    </w:p>
    <w:p w14:paraId="22F1E18B" w14:textId="77777777" w:rsidR="00472908" w:rsidRPr="00863B8D" w:rsidRDefault="00472908" w:rsidP="00344226">
      <w:pPr>
        <w:ind w:firstLine="720"/>
        <w:jc w:val="both"/>
        <w:rPr>
          <w:rFonts w:eastAsia="Times New Roman"/>
          <w:sz w:val="22"/>
          <w:szCs w:val="22"/>
          <w:lang w:val="es-CO"/>
        </w:rPr>
      </w:pPr>
    </w:p>
    <w:p w14:paraId="34665B14" w14:textId="77777777" w:rsidR="00472908" w:rsidRPr="00863B8D" w:rsidRDefault="00472908" w:rsidP="00472908">
      <w:pPr>
        <w:ind w:firstLine="720"/>
        <w:jc w:val="both"/>
        <w:rPr>
          <w:sz w:val="22"/>
          <w:szCs w:val="22"/>
          <w:lang w:val="es-CO"/>
        </w:rPr>
      </w:pPr>
      <w:r w:rsidRPr="00863B8D">
        <w:rPr>
          <w:sz w:val="22"/>
          <w:szCs w:val="22"/>
          <w:lang w:val="es-CO"/>
        </w:rPr>
        <w:t>La resiliencia, según la definición de la UNDRR</w:t>
      </w:r>
      <w:r w:rsidRPr="00863B8D">
        <w:rPr>
          <w:rStyle w:val="FootnoteReference"/>
          <w:sz w:val="22"/>
          <w:szCs w:val="22"/>
          <w:lang w:val="es-CO"/>
        </w:rPr>
        <w:footnoteReference w:id="2"/>
      </w:r>
      <w:r w:rsidRPr="00863B8D">
        <w:rPr>
          <w:sz w:val="22"/>
          <w:szCs w:val="22"/>
          <w:lang w:val="es-CO"/>
        </w:rPr>
        <w:t xml:space="preserve">, se refiere a la capacidad de un sistema, comunidad o sociedad expuesta a amenazas, para resistir, absorber, acomodar, adaptarse, transformarse y recuperarse de los efectos de una amenaza de manera oportuna y eficiente, incluso a través de la conservación y restauración de sus estructuras y funciones básicas esenciales mediante la gestión de riesgos. En el contexto del CIDI/OEA, las discusiones recientes sostenidas a la luz de la crisis generada por la pandemia COVID-19 han subrayado la necesidad y oportunidad de construir sistemas económicos, sociales y ambientales más </w:t>
      </w:r>
      <w:proofErr w:type="spellStart"/>
      <w:r w:rsidRPr="00863B8D">
        <w:rPr>
          <w:sz w:val="22"/>
          <w:szCs w:val="22"/>
          <w:lang w:val="es-CO"/>
        </w:rPr>
        <w:t>resilientes</w:t>
      </w:r>
      <w:proofErr w:type="spellEnd"/>
      <w:r w:rsidRPr="00863B8D">
        <w:rPr>
          <w:sz w:val="22"/>
          <w:szCs w:val="22"/>
          <w:lang w:val="es-CO"/>
        </w:rPr>
        <w:t>, repensando la forma en que se planifica el desarrollo de la región, en la búsqueda de un futuro más sostenible y equitativo.</w:t>
      </w:r>
    </w:p>
    <w:p w14:paraId="55C0CFFA" w14:textId="77777777" w:rsidR="00472908" w:rsidRPr="00863B8D" w:rsidRDefault="00472908" w:rsidP="00472908">
      <w:pPr>
        <w:ind w:firstLine="720"/>
        <w:jc w:val="both"/>
        <w:rPr>
          <w:sz w:val="22"/>
          <w:szCs w:val="22"/>
          <w:lang w:val="es-CO"/>
        </w:rPr>
      </w:pPr>
    </w:p>
    <w:p w14:paraId="60F78F1F" w14:textId="77777777" w:rsidR="00472908" w:rsidRPr="00863B8D" w:rsidRDefault="00472908" w:rsidP="00472908">
      <w:pPr>
        <w:ind w:firstLine="720"/>
        <w:jc w:val="both"/>
        <w:rPr>
          <w:sz w:val="22"/>
          <w:szCs w:val="22"/>
          <w:lang w:val="es-CO"/>
        </w:rPr>
      </w:pPr>
      <w:r w:rsidRPr="00863B8D">
        <w:rPr>
          <w:sz w:val="22"/>
          <w:szCs w:val="22"/>
          <w:lang w:val="es-CO"/>
        </w:rPr>
        <w:t>En términos generales, y de acuerdo al Plan Estratégico de la OEA, los programas financiados y apoyados por el FCD se alinearán con instrumentos marco como la Agenda 2030 y los Objetivos de Desarrollo Sostenible (ODS), el Marco de Sendai para la Reducción del Riesgo de Desastres, entre otros instrumentos suscritos por los Estados Miembros.</w:t>
      </w:r>
    </w:p>
    <w:p w14:paraId="143A8848" w14:textId="77777777" w:rsidR="00472908" w:rsidRPr="00863B8D" w:rsidRDefault="00472908" w:rsidP="00344226">
      <w:pPr>
        <w:ind w:firstLine="720"/>
        <w:jc w:val="both"/>
        <w:rPr>
          <w:rFonts w:eastAsia="Times New Roman"/>
          <w:sz w:val="22"/>
          <w:szCs w:val="22"/>
          <w:lang w:val="es-CO"/>
        </w:rPr>
      </w:pPr>
    </w:p>
    <w:p w14:paraId="02C5C4EE" w14:textId="327E6478" w:rsidR="00F1528A" w:rsidRPr="00863B8D" w:rsidRDefault="00F1528A" w:rsidP="00344226">
      <w:pPr>
        <w:ind w:firstLine="720"/>
        <w:jc w:val="both"/>
        <w:rPr>
          <w:sz w:val="22"/>
          <w:szCs w:val="22"/>
          <w:lang w:val="es-CO"/>
        </w:rPr>
      </w:pPr>
      <w:r w:rsidRPr="00863B8D">
        <w:rPr>
          <w:sz w:val="22"/>
          <w:szCs w:val="22"/>
          <w:lang w:val="es-CO"/>
        </w:rPr>
        <w:t>Con base en lo anterior, la Secretaría ha identificado los siguientes temas de programas para que se inicien las discusiones y acuerdos entre los Estados Miembros:</w:t>
      </w:r>
      <w:r w:rsidR="006960F9" w:rsidRPr="00294C49">
        <w:rPr>
          <w:lang w:val="es-US"/>
        </w:rPr>
        <w:t xml:space="preserve">  </w:t>
      </w:r>
    </w:p>
    <w:p w14:paraId="78208220" w14:textId="77777777" w:rsidR="00F1528A" w:rsidRPr="00863B8D" w:rsidRDefault="00F1528A" w:rsidP="00344226">
      <w:pPr>
        <w:ind w:left="720" w:hanging="720"/>
        <w:jc w:val="both"/>
        <w:rPr>
          <w:color w:val="000000"/>
          <w:sz w:val="22"/>
          <w:szCs w:val="22"/>
          <w:lang w:val="es-CO"/>
        </w:rPr>
      </w:pPr>
    </w:p>
    <w:p w14:paraId="7F1C75F5" w14:textId="6ABFAC05" w:rsidR="00437F87" w:rsidRDefault="00F1528A" w:rsidP="00437F87">
      <w:pPr>
        <w:pStyle w:val="ListParagraph"/>
        <w:numPr>
          <w:ilvl w:val="0"/>
          <w:numId w:val="41"/>
        </w:numPr>
        <w:jc w:val="both"/>
        <w:rPr>
          <w:color w:val="000000"/>
          <w:sz w:val="22"/>
          <w:szCs w:val="22"/>
          <w:lang w:val="es-CO"/>
        </w:rPr>
      </w:pPr>
      <w:r w:rsidRPr="00437F87">
        <w:rPr>
          <w:color w:val="000000"/>
          <w:sz w:val="22"/>
          <w:szCs w:val="22"/>
          <w:lang w:val="es-CO"/>
        </w:rPr>
        <w:t>Re</w:t>
      </w:r>
      <w:r w:rsidR="008D750E">
        <w:rPr>
          <w:color w:val="000000"/>
          <w:sz w:val="22"/>
          <w:szCs w:val="22"/>
          <w:lang w:val="es-CO"/>
        </w:rPr>
        <w:t>forzamient</w:t>
      </w:r>
      <w:r w:rsidRPr="00437F87">
        <w:rPr>
          <w:color w:val="000000"/>
          <w:sz w:val="22"/>
          <w:szCs w:val="22"/>
          <w:lang w:val="es-CO"/>
        </w:rPr>
        <w:t>o de las MPYME a través de la innovación y la tecnología.</w:t>
      </w:r>
      <w:r w:rsidR="00437F87" w:rsidRPr="00437F87">
        <w:rPr>
          <w:color w:val="000000"/>
          <w:sz w:val="22"/>
          <w:szCs w:val="22"/>
          <w:lang w:val="es-CO"/>
        </w:rPr>
        <w:t xml:space="preserve"> </w:t>
      </w:r>
    </w:p>
    <w:p w14:paraId="54CD0432" w14:textId="77777777" w:rsidR="00437F87" w:rsidRDefault="00437F87" w:rsidP="00437F87">
      <w:pPr>
        <w:pStyle w:val="ListParagraph"/>
        <w:numPr>
          <w:ilvl w:val="0"/>
          <w:numId w:val="41"/>
        </w:numPr>
        <w:jc w:val="both"/>
        <w:rPr>
          <w:color w:val="000000"/>
          <w:sz w:val="22"/>
          <w:szCs w:val="22"/>
          <w:lang w:val="es-CO"/>
        </w:rPr>
      </w:pPr>
      <w:r w:rsidRPr="00437F87">
        <w:rPr>
          <w:color w:val="000000"/>
          <w:sz w:val="22"/>
          <w:szCs w:val="22"/>
          <w:lang w:val="es-CO"/>
        </w:rPr>
        <w:t>Reconversión de la fuerza laboral con enfoque innovador para la recuperación del sector turístico</w:t>
      </w:r>
      <w:r>
        <w:rPr>
          <w:color w:val="000000"/>
          <w:sz w:val="22"/>
          <w:szCs w:val="22"/>
          <w:lang w:val="es-CO"/>
        </w:rPr>
        <w:t xml:space="preserve"> y las economías regionales.</w:t>
      </w:r>
      <w:r w:rsidRPr="00437F87">
        <w:rPr>
          <w:color w:val="000000"/>
          <w:sz w:val="22"/>
          <w:szCs w:val="22"/>
          <w:lang w:val="es-CO"/>
        </w:rPr>
        <w:t xml:space="preserve"> </w:t>
      </w:r>
    </w:p>
    <w:p w14:paraId="751CE77E" w14:textId="77777777" w:rsidR="00437F87" w:rsidRPr="00437F87" w:rsidRDefault="00F1528A" w:rsidP="00437F87">
      <w:pPr>
        <w:pStyle w:val="ListParagraph"/>
        <w:numPr>
          <w:ilvl w:val="0"/>
          <w:numId w:val="41"/>
        </w:numPr>
        <w:jc w:val="both"/>
        <w:rPr>
          <w:color w:val="000000"/>
          <w:sz w:val="22"/>
          <w:szCs w:val="22"/>
          <w:lang w:val="es-CO"/>
        </w:rPr>
      </w:pPr>
      <w:r w:rsidRPr="00437F87">
        <w:rPr>
          <w:bCs/>
          <w:sz w:val="22"/>
          <w:szCs w:val="22"/>
          <w:lang w:val="es-CO"/>
        </w:rPr>
        <w:t>Innovación científica y tecnológica para fortalecer la resiliencia.</w:t>
      </w:r>
    </w:p>
    <w:p w14:paraId="4B827D36" w14:textId="6DF1ECF8" w:rsidR="00F1528A" w:rsidRPr="00437F87" w:rsidRDefault="00F1528A" w:rsidP="00437F87">
      <w:pPr>
        <w:pStyle w:val="ListParagraph"/>
        <w:numPr>
          <w:ilvl w:val="0"/>
          <w:numId w:val="41"/>
        </w:numPr>
        <w:jc w:val="both"/>
        <w:rPr>
          <w:color w:val="000000"/>
          <w:sz w:val="22"/>
          <w:szCs w:val="22"/>
          <w:lang w:val="es-CO"/>
        </w:rPr>
      </w:pPr>
      <w:r w:rsidRPr="00437F87">
        <w:rPr>
          <w:bCs/>
          <w:sz w:val="22"/>
          <w:szCs w:val="22"/>
          <w:lang w:val="es-CO"/>
        </w:rPr>
        <w:t xml:space="preserve">La ciencia para la toma de decisiones en la planeación del riesgo de desastres. </w:t>
      </w:r>
    </w:p>
    <w:p w14:paraId="700F0E3E" w14:textId="77777777" w:rsidR="00F1528A" w:rsidRPr="00863B8D" w:rsidRDefault="00F1528A" w:rsidP="00344226">
      <w:pPr>
        <w:jc w:val="both"/>
        <w:rPr>
          <w:color w:val="000000"/>
          <w:sz w:val="22"/>
          <w:szCs w:val="22"/>
          <w:lang w:val="es-CO"/>
        </w:rPr>
      </w:pPr>
    </w:p>
    <w:p w14:paraId="0CA2557D" w14:textId="33344619" w:rsidR="00F1528A" w:rsidRPr="00863B8D" w:rsidRDefault="00F1528A" w:rsidP="00B31B87">
      <w:pPr>
        <w:numPr>
          <w:ilvl w:val="0"/>
          <w:numId w:val="24"/>
        </w:numPr>
        <w:ind w:hanging="720"/>
        <w:jc w:val="both"/>
        <w:rPr>
          <w:b/>
          <w:color w:val="000000"/>
          <w:sz w:val="22"/>
          <w:szCs w:val="22"/>
          <w:lang w:val="es-CO"/>
        </w:rPr>
      </w:pPr>
      <w:r w:rsidRPr="00863B8D">
        <w:rPr>
          <w:b/>
          <w:color w:val="000000"/>
          <w:sz w:val="22"/>
          <w:szCs w:val="22"/>
          <w:lang w:val="es-CO"/>
        </w:rPr>
        <w:t>Re</w:t>
      </w:r>
      <w:r w:rsidR="008D750E">
        <w:rPr>
          <w:b/>
          <w:color w:val="000000"/>
          <w:sz w:val="22"/>
          <w:szCs w:val="22"/>
          <w:lang w:val="es-CO"/>
        </w:rPr>
        <w:t>forzamien</w:t>
      </w:r>
      <w:r w:rsidRPr="00863B8D">
        <w:rPr>
          <w:b/>
          <w:color w:val="000000"/>
          <w:sz w:val="22"/>
          <w:szCs w:val="22"/>
          <w:lang w:val="es-CO"/>
        </w:rPr>
        <w:t>to de las MPYME a través de la innovación y la tecnología:</w:t>
      </w:r>
    </w:p>
    <w:p w14:paraId="4AB664B7" w14:textId="77777777" w:rsidR="00F1528A" w:rsidRPr="00863B8D" w:rsidRDefault="00F1528A" w:rsidP="00344226">
      <w:pPr>
        <w:jc w:val="both"/>
        <w:rPr>
          <w:color w:val="000000"/>
          <w:sz w:val="22"/>
          <w:szCs w:val="22"/>
          <w:lang w:val="es-CO"/>
        </w:rPr>
      </w:pPr>
    </w:p>
    <w:p w14:paraId="5242A52F" w14:textId="77777777" w:rsidR="00F1528A" w:rsidRPr="00863B8D" w:rsidRDefault="00F1528A" w:rsidP="00344226">
      <w:pPr>
        <w:ind w:firstLine="720"/>
        <w:jc w:val="both"/>
        <w:rPr>
          <w:sz w:val="22"/>
          <w:szCs w:val="22"/>
          <w:lang w:val="es-CO"/>
        </w:rPr>
      </w:pPr>
      <w:r w:rsidRPr="00863B8D">
        <w:rPr>
          <w:sz w:val="22"/>
          <w:szCs w:val="22"/>
          <w:lang w:val="es-CO"/>
        </w:rPr>
        <w:lastRenderedPageBreak/>
        <w:t>Se estima que como resultado de la crisis generada por la pandemia de COVID-19, América Latina y el Caribe sufrirán una de las peores recesiones de su historia, lo que pondrá en riesgo los avances en el desarrollo logrados en las últimas dos décadas e intensificará los desafíos sociales. En un estudio reciente de la CEPAL</w:t>
      </w:r>
      <w:r w:rsidRPr="00863B8D">
        <w:rPr>
          <w:sz w:val="22"/>
          <w:szCs w:val="22"/>
          <w:u w:val="single"/>
          <w:vertAlign w:val="superscript"/>
          <w:lang w:val="es-CO"/>
        </w:rPr>
        <w:footnoteReference w:id="3"/>
      </w:r>
      <w:r w:rsidRPr="00863B8D">
        <w:rPr>
          <w:sz w:val="22"/>
          <w:szCs w:val="22"/>
          <w:lang w:val="es-CO"/>
        </w:rPr>
        <w:t xml:space="preserve"> se calcula que en 2020 el PIB de la región se reducirá incluso hasta un 9,1%, que el número de personas que viven en situación de pobreza aumentará a 45,4 millones (un 37,3% de la población de la región) y la tasa de desempleo llegará a un 13,5% en 2020</w:t>
      </w:r>
      <w:r w:rsidRPr="00863B8D">
        <w:rPr>
          <w:b/>
          <w:bCs/>
          <w:sz w:val="22"/>
          <w:szCs w:val="22"/>
          <w:lang w:val="es-CO"/>
        </w:rPr>
        <w:t>.</w:t>
      </w:r>
    </w:p>
    <w:p w14:paraId="61C7DAB5" w14:textId="77777777" w:rsidR="00F1528A" w:rsidRPr="00863B8D" w:rsidRDefault="00F1528A" w:rsidP="00B31B87">
      <w:pPr>
        <w:jc w:val="both"/>
        <w:rPr>
          <w:sz w:val="22"/>
          <w:szCs w:val="22"/>
          <w:lang w:val="es-CO"/>
        </w:rPr>
      </w:pPr>
    </w:p>
    <w:p w14:paraId="4B1E3B67" w14:textId="4F775D37" w:rsidR="00F1528A" w:rsidRPr="00863B8D" w:rsidRDefault="00F1528A" w:rsidP="00344226">
      <w:pPr>
        <w:ind w:firstLine="720"/>
        <w:jc w:val="both"/>
        <w:rPr>
          <w:sz w:val="22"/>
          <w:szCs w:val="22"/>
          <w:lang w:val="es-CO"/>
        </w:rPr>
      </w:pPr>
      <w:r w:rsidRPr="00863B8D">
        <w:rPr>
          <w:sz w:val="22"/>
          <w:szCs w:val="22"/>
          <w:lang w:val="es-CO"/>
        </w:rPr>
        <w:t>Conforme los esfuerzos de los Estados Miembros después de la pandemia se centran en reactivar la economía a la vez que se abordan los desafíos sociales, el apoyo para las micro, pequeñas y medianas empresas (MPYME) —que representan el 99% del total de empresas y emplean al 75% del total de trabajadores en los Estados Miembros de la OEA— será esencial. A pesar de que representan la mayor parte del tejido empresarial y generan la mayoría de los empleos, la productividad y la participación de las MPYME en los mercados de exportación son extremadamente bajas en comparación con las de las grandes empresas. Para corregir esta situación, la región debe re</w:t>
      </w:r>
      <w:r w:rsidR="008D750E">
        <w:rPr>
          <w:sz w:val="22"/>
          <w:szCs w:val="22"/>
          <w:lang w:val="es-CO"/>
        </w:rPr>
        <w:t>forzar</w:t>
      </w:r>
      <w:r w:rsidRPr="00863B8D">
        <w:rPr>
          <w:sz w:val="22"/>
          <w:szCs w:val="22"/>
          <w:lang w:val="es-CO"/>
        </w:rPr>
        <w:t xml:space="preserve"> a las MPYME a través de programas que estimulen la adopción y el uso de la innovación y la tecnología, incluyendo las tecnologías de la información y las comunicaciones (TIC), y aumentar la participación en el comercio electrónico como canal de ventas durante la pandemia y en la era post</w:t>
      </w:r>
      <w:r w:rsidR="002A4A45" w:rsidRPr="00863B8D">
        <w:rPr>
          <w:sz w:val="22"/>
          <w:szCs w:val="22"/>
          <w:lang w:val="es-CO"/>
        </w:rPr>
        <w:t>-pandemia</w:t>
      </w:r>
      <w:r w:rsidRPr="00863B8D">
        <w:rPr>
          <w:sz w:val="22"/>
          <w:szCs w:val="22"/>
          <w:lang w:val="es-CO"/>
        </w:rPr>
        <w:t>.</w:t>
      </w:r>
    </w:p>
    <w:p w14:paraId="61D9BC9A" w14:textId="77777777" w:rsidR="00F1528A" w:rsidRPr="00863B8D" w:rsidRDefault="00F1528A" w:rsidP="00B31B87">
      <w:pPr>
        <w:jc w:val="both"/>
        <w:rPr>
          <w:sz w:val="22"/>
          <w:szCs w:val="22"/>
          <w:lang w:val="es-CO"/>
        </w:rPr>
      </w:pPr>
    </w:p>
    <w:p w14:paraId="79254625" w14:textId="77777777" w:rsidR="00F1528A" w:rsidRPr="00863B8D" w:rsidRDefault="00F1528A" w:rsidP="00344226">
      <w:pPr>
        <w:ind w:firstLine="720"/>
        <w:jc w:val="both"/>
        <w:rPr>
          <w:sz w:val="22"/>
          <w:szCs w:val="22"/>
          <w:lang w:val="es-CO"/>
        </w:rPr>
      </w:pPr>
      <w:r w:rsidRPr="00863B8D">
        <w:rPr>
          <w:sz w:val="22"/>
          <w:szCs w:val="22"/>
          <w:lang w:val="es-CO"/>
        </w:rPr>
        <w:t xml:space="preserve">Las MPYME productivas y competitivas también encierran la posibilidad de mejorar </w:t>
      </w:r>
      <w:r w:rsidR="00BE6DF6" w:rsidRPr="00863B8D">
        <w:rPr>
          <w:sz w:val="22"/>
          <w:szCs w:val="22"/>
          <w:lang w:val="es-CO"/>
        </w:rPr>
        <w:t>las condiciones</w:t>
      </w:r>
      <w:r w:rsidRPr="00863B8D">
        <w:rPr>
          <w:sz w:val="22"/>
          <w:szCs w:val="22"/>
          <w:lang w:val="es-CO"/>
        </w:rPr>
        <w:t xml:space="preserve"> laborales de la fuerza de trabajo, que son primordiales para la cohesión social. Según estimaciones del BID</w:t>
      </w:r>
      <w:r w:rsidRPr="00863B8D">
        <w:rPr>
          <w:sz w:val="22"/>
          <w:szCs w:val="22"/>
          <w:vertAlign w:val="superscript"/>
          <w:lang w:val="es-CO"/>
        </w:rPr>
        <w:footnoteReference w:id="4"/>
      </w:r>
      <w:r w:rsidRPr="00863B8D">
        <w:rPr>
          <w:sz w:val="22"/>
          <w:szCs w:val="22"/>
          <w:lang w:val="es-CO"/>
        </w:rPr>
        <w:t>, alrededor de la mitad de la población de América Latina trabaja en la economía informal, depende de salarios diarios y no está cubierta por los sistemas de protección social. Esto coloca a gran parte de la población en una posición particularmente expuesta y vulnerable a los trastornos económicos como los que ha desatado esta pandemia y los que generan los desastres naturales potenciales.</w:t>
      </w:r>
      <w:r w:rsidR="00472908" w:rsidRPr="00863B8D">
        <w:rPr>
          <w:sz w:val="22"/>
          <w:szCs w:val="22"/>
          <w:lang w:val="es-CO"/>
        </w:rPr>
        <w:t xml:space="preserve"> En este sentido, las iniciativas de formalización son imperativas para crear más y mejores puestos de trabajo, reducir la pobreza y abordar la marginación de quienes son especialmente vulnerables a los déficits de trabajo decente en la economía informal.</w:t>
      </w:r>
    </w:p>
    <w:p w14:paraId="2600F05B" w14:textId="77777777" w:rsidR="00F1528A" w:rsidRPr="00863B8D" w:rsidRDefault="00F1528A" w:rsidP="00B31B87">
      <w:pPr>
        <w:jc w:val="both"/>
        <w:rPr>
          <w:sz w:val="22"/>
          <w:szCs w:val="22"/>
          <w:lang w:val="es-CO"/>
        </w:rPr>
      </w:pPr>
    </w:p>
    <w:p w14:paraId="0D1190BA" w14:textId="77777777" w:rsidR="00F1528A" w:rsidRPr="00863B8D" w:rsidRDefault="00F1528A" w:rsidP="00344226">
      <w:pPr>
        <w:ind w:firstLine="720"/>
        <w:jc w:val="both"/>
        <w:rPr>
          <w:bCs/>
          <w:sz w:val="22"/>
          <w:szCs w:val="22"/>
          <w:lang w:val="es-CO"/>
        </w:rPr>
      </w:pPr>
      <w:r w:rsidRPr="00863B8D">
        <w:rPr>
          <w:sz w:val="22"/>
          <w:szCs w:val="22"/>
          <w:lang w:val="es-CO"/>
        </w:rPr>
        <w:t xml:space="preserve">No es de sorprender que este sector haya sido prioritario para los Estados Miembros y para el trabajo de la SEDI/OEA. Dada la heterogeneidad de los Estados Miembros, se dispone de una gran experiencia en materia de políticas y programas para apoyar a las MPYME, así como un enorme potencial para el intercambio de ideas y la cooperación regional en este ámbito que pueden dar impulso a los esfuerzos para la recuperación. </w:t>
      </w:r>
      <w:r w:rsidR="00BB74A7" w:rsidRPr="00863B8D">
        <w:rPr>
          <w:bCs/>
          <w:sz w:val="22"/>
          <w:szCs w:val="22"/>
          <w:lang w:val="es-CO"/>
        </w:rPr>
        <w:t>La OEA se esforzará por continuar apoyando a las MIPYMES a través de iniciativas hemisféricas como el Plan de Digitalización de MIPYMES, reconociendo que cada Estado Miembro tiene desafíos únicos en términos de niveles de informalidad del sector MIPYME, regulaciones legales e instrumentos financieros disponibles y otras infraestructuras que facilitan la innovación, así como la adopción de tecnología y comercio electrónico.</w:t>
      </w:r>
    </w:p>
    <w:p w14:paraId="1FA13A46" w14:textId="77777777" w:rsidR="009041E5" w:rsidRPr="00863B8D" w:rsidRDefault="009041E5" w:rsidP="00344226">
      <w:pPr>
        <w:ind w:firstLine="720"/>
        <w:jc w:val="both"/>
        <w:rPr>
          <w:bCs/>
          <w:sz w:val="22"/>
          <w:szCs w:val="22"/>
          <w:lang w:val="es-CO"/>
        </w:rPr>
      </w:pPr>
    </w:p>
    <w:p w14:paraId="0A240D6D" w14:textId="77777777" w:rsidR="009041E5" w:rsidRPr="00863B8D" w:rsidRDefault="009041E5" w:rsidP="009041E5">
      <w:pPr>
        <w:pStyle w:val="BodyText"/>
        <w:tabs>
          <w:tab w:val="left" w:pos="720"/>
          <w:tab w:val="left" w:pos="1440"/>
          <w:tab w:val="left" w:pos="2160"/>
          <w:tab w:val="left" w:pos="2880"/>
        </w:tabs>
        <w:kinsoku w:val="0"/>
        <w:overflowPunct w:val="0"/>
        <w:ind w:right="118"/>
        <w:rPr>
          <w:bCs/>
        </w:rPr>
      </w:pPr>
      <w:r w:rsidRPr="00863B8D">
        <w:rPr>
          <w:bCs/>
        </w:rPr>
        <w:t>Se proponen las siguientes áreas de enfoque:</w:t>
      </w:r>
    </w:p>
    <w:p w14:paraId="2423CDD7" w14:textId="77777777" w:rsidR="009041E5" w:rsidRPr="00863B8D" w:rsidRDefault="009041E5" w:rsidP="00613335">
      <w:pPr>
        <w:pStyle w:val="ListParagraph"/>
        <w:numPr>
          <w:ilvl w:val="0"/>
          <w:numId w:val="26"/>
        </w:numPr>
        <w:jc w:val="both"/>
        <w:rPr>
          <w:bCs/>
          <w:sz w:val="22"/>
          <w:szCs w:val="22"/>
          <w:lang w:val="es-CO"/>
        </w:rPr>
      </w:pPr>
      <w:r w:rsidRPr="00863B8D">
        <w:rPr>
          <w:sz w:val="22"/>
          <w:szCs w:val="22"/>
          <w:lang w:val="es-CO"/>
        </w:rPr>
        <w:t>Programas</w:t>
      </w:r>
      <w:r w:rsidRPr="00863B8D">
        <w:rPr>
          <w:bCs/>
          <w:sz w:val="22"/>
          <w:szCs w:val="22"/>
          <w:lang w:val="es-CO"/>
        </w:rPr>
        <w:t xml:space="preserve"> para fortalecer los procesos de digitalización de las MIPYMES, tales como:</w:t>
      </w:r>
    </w:p>
    <w:p w14:paraId="6F5C6A01" w14:textId="77777777" w:rsidR="00613335" w:rsidRPr="00863B8D" w:rsidRDefault="00613335" w:rsidP="00613335">
      <w:pPr>
        <w:pStyle w:val="ListParagraph"/>
        <w:ind w:left="1080" w:hanging="360"/>
        <w:jc w:val="both"/>
        <w:rPr>
          <w:bCs/>
          <w:sz w:val="22"/>
          <w:szCs w:val="22"/>
          <w:lang w:val="es-CO"/>
        </w:rPr>
      </w:pPr>
    </w:p>
    <w:p w14:paraId="0C9C7046" w14:textId="77777777" w:rsidR="009041E5" w:rsidRPr="00863B8D" w:rsidRDefault="009041E5" w:rsidP="00613335">
      <w:pPr>
        <w:pStyle w:val="ListParagraph"/>
        <w:numPr>
          <w:ilvl w:val="1"/>
          <w:numId w:val="27"/>
        </w:numPr>
        <w:tabs>
          <w:tab w:val="left" w:pos="1440"/>
        </w:tabs>
        <w:ind w:left="1440"/>
        <w:jc w:val="both"/>
        <w:rPr>
          <w:bCs/>
          <w:sz w:val="22"/>
          <w:szCs w:val="22"/>
          <w:lang w:val="es-CO"/>
        </w:rPr>
      </w:pPr>
      <w:r w:rsidRPr="00863B8D">
        <w:rPr>
          <w:bCs/>
          <w:sz w:val="22"/>
          <w:szCs w:val="22"/>
          <w:lang w:val="es-CO"/>
        </w:rPr>
        <w:t>Intercambio de experiencias y buenas prácticas entre los Estados Miembros.</w:t>
      </w:r>
    </w:p>
    <w:p w14:paraId="688BE5A0" w14:textId="77777777" w:rsidR="009041E5" w:rsidRPr="00863B8D" w:rsidRDefault="009041E5" w:rsidP="00613335">
      <w:pPr>
        <w:pStyle w:val="ListParagraph"/>
        <w:numPr>
          <w:ilvl w:val="1"/>
          <w:numId w:val="27"/>
        </w:numPr>
        <w:tabs>
          <w:tab w:val="left" w:pos="1440"/>
        </w:tabs>
        <w:ind w:left="1440"/>
        <w:jc w:val="both"/>
        <w:rPr>
          <w:sz w:val="22"/>
          <w:szCs w:val="22"/>
          <w:lang w:val="es-CO"/>
        </w:rPr>
      </w:pPr>
      <w:r w:rsidRPr="00863B8D">
        <w:rPr>
          <w:sz w:val="22"/>
          <w:szCs w:val="22"/>
          <w:lang w:val="es-CO"/>
        </w:rPr>
        <w:t>Vinculación con plataformas de comercio electrónico para promover y vender productos locales.</w:t>
      </w:r>
    </w:p>
    <w:p w14:paraId="59F50DCE" w14:textId="77777777" w:rsidR="009041E5" w:rsidRPr="00863B8D" w:rsidRDefault="009041E5" w:rsidP="00613335">
      <w:pPr>
        <w:pStyle w:val="ListParagraph"/>
        <w:numPr>
          <w:ilvl w:val="1"/>
          <w:numId w:val="27"/>
        </w:numPr>
        <w:tabs>
          <w:tab w:val="left" w:pos="1440"/>
        </w:tabs>
        <w:ind w:left="1440"/>
        <w:jc w:val="both"/>
        <w:rPr>
          <w:sz w:val="22"/>
          <w:szCs w:val="22"/>
          <w:lang w:val="es-CO"/>
        </w:rPr>
      </w:pPr>
      <w:r w:rsidRPr="00863B8D">
        <w:rPr>
          <w:sz w:val="22"/>
          <w:szCs w:val="22"/>
          <w:lang w:val="es-CO"/>
        </w:rPr>
        <w:t>Habilidades digitales para promover iniciativas de emprendimiento local.</w:t>
      </w:r>
    </w:p>
    <w:p w14:paraId="291F7A25" w14:textId="5D1A32D5" w:rsidR="009041E5" w:rsidRPr="00863B8D" w:rsidRDefault="009041E5" w:rsidP="00613335">
      <w:pPr>
        <w:pStyle w:val="ListParagraph"/>
        <w:numPr>
          <w:ilvl w:val="1"/>
          <w:numId w:val="27"/>
        </w:numPr>
        <w:tabs>
          <w:tab w:val="left" w:pos="1440"/>
        </w:tabs>
        <w:ind w:left="1440"/>
        <w:jc w:val="both"/>
        <w:rPr>
          <w:bCs/>
          <w:sz w:val="22"/>
          <w:szCs w:val="22"/>
          <w:lang w:val="es-CO"/>
        </w:rPr>
      </w:pPr>
      <w:r w:rsidRPr="00863B8D">
        <w:rPr>
          <w:sz w:val="22"/>
          <w:szCs w:val="22"/>
          <w:lang w:val="es-CO"/>
        </w:rPr>
        <w:t xml:space="preserve">Fortalecimiento de las tiendas de barrio, implementando procesos tecnológicos </w:t>
      </w:r>
      <w:r w:rsidR="00605BEB" w:rsidRPr="00863B8D">
        <w:rPr>
          <w:sz w:val="22"/>
          <w:szCs w:val="22"/>
          <w:lang w:val="es-CO"/>
        </w:rPr>
        <w:t xml:space="preserve">de venta, cobro </w:t>
      </w:r>
      <w:r w:rsidRPr="00863B8D">
        <w:rPr>
          <w:sz w:val="22"/>
          <w:szCs w:val="22"/>
          <w:lang w:val="es-CO"/>
        </w:rPr>
        <w:t xml:space="preserve">a través de medios digitales y entrega de </w:t>
      </w:r>
      <w:r w:rsidR="00605BEB" w:rsidRPr="00863B8D">
        <w:rPr>
          <w:sz w:val="22"/>
          <w:szCs w:val="22"/>
          <w:lang w:val="es-CO"/>
        </w:rPr>
        <w:t xml:space="preserve">la </w:t>
      </w:r>
      <w:r w:rsidRPr="00863B8D">
        <w:rPr>
          <w:sz w:val="22"/>
          <w:szCs w:val="22"/>
          <w:lang w:val="es-CO"/>
        </w:rPr>
        <w:t>mercadería a domicilio.</w:t>
      </w:r>
    </w:p>
    <w:p w14:paraId="24452876" w14:textId="77777777" w:rsidR="000C4E96" w:rsidRPr="00863B8D" w:rsidRDefault="000C4E96" w:rsidP="00613335">
      <w:pPr>
        <w:pStyle w:val="ListParagraph"/>
        <w:tabs>
          <w:tab w:val="left" w:pos="1440"/>
        </w:tabs>
        <w:ind w:left="1080" w:hanging="360"/>
        <w:jc w:val="both"/>
        <w:rPr>
          <w:bCs/>
          <w:sz w:val="22"/>
          <w:szCs w:val="22"/>
          <w:lang w:val="es-CO"/>
        </w:rPr>
      </w:pPr>
    </w:p>
    <w:p w14:paraId="3C6CD505" w14:textId="04BCE792" w:rsidR="009041E5" w:rsidRPr="00863B8D" w:rsidRDefault="009041E5" w:rsidP="00613335">
      <w:pPr>
        <w:pStyle w:val="ListParagraph"/>
        <w:numPr>
          <w:ilvl w:val="0"/>
          <w:numId w:val="26"/>
        </w:numPr>
        <w:jc w:val="both"/>
        <w:rPr>
          <w:bCs/>
          <w:sz w:val="22"/>
          <w:szCs w:val="22"/>
          <w:lang w:val="es-CO"/>
        </w:rPr>
      </w:pPr>
      <w:r w:rsidRPr="00863B8D">
        <w:rPr>
          <w:bCs/>
          <w:sz w:val="22"/>
          <w:szCs w:val="22"/>
          <w:lang w:val="es-CO"/>
        </w:rPr>
        <w:t xml:space="preserve">Estrategias para reactivar </w:t>
      </w:r>
      <w:r w:rsidR="001A13F4" w:rsidRPr="00863B8D">
        <w:rPr>
          <w:sz w:val="22"/>
          <w:szCs w:val="22"/>
          <w:lang w:val="es-CO"/>
        </w:rPr>
        <w:t>MPYME</w:t>
      </w:r>
      <w:r w:rsidR="001A13F4">
        <w:rPr>
          <w:sz w:val="22"/>
          <w:szCs w:val="22"/>
          <w:lang w:val="es-CO"/>
        </w:rPr>
        <w:t>S</w:t>
      </w:r>
      <w:r w:rsidRPr="00863B8D">
        <w:rPr>
          <w:bCs/>
          <w:sz w:val="22"/>
          <w:szCs w:val="22"/>
          <w:lang w:val="es-CO"/>
        </w:rPr>
        <w:t xml:space="preserve"> para reducir el desempleo:</w:t>
      </w:r>
    </w:p>
    <w:p w14:paraId="2DD314D5" w14:textId="77777777" w:rsidR="00613335" w:rsidRPr="00863B8D" w:rsidRDefault="00613335" w:rsidP="00613335">
      <w:pPr>
        <w:pStyle w:val="ListParagraph"/>
        <w:ind w:left="1080"/>
        <w:jc w:val="both"/>
        <w:rPr>
          <w:bCs/>
          <w:sz w:val="22"/>
          <w:szCs w:val="22"/>
          <w:lang w:val="es-CO"/>
        </w:rPr>
      </w:pPr>
    </w:p>
    <w:p w14:paraId="3634FE8D" w14:textId="59F8E7D6" w:rsidR="009041E5" w:rsidRPr="00863B8D" w:rsidRDefault="009041E5" w:rsidP="00613335">
      <w:pPr>
        <w:pStyle w:val="ListParagraph"/>
        <w:numPr>
          <w:ilvl w:val="1"/>
          <w:numId w:val="27"/>
        </w:numPr>
        <w:tabs>
          <w:tab w:val="left" w:pos="1440"/>
        </w:tabs>
        <w:ind w:left="1440"/>
        <w:jc w:val="both"/>
        <w:rPr>
          <w:sz w:val="22"/>
          <w:szCs w:val="22"/>
          <w:lang w:val="es-CO"/>
        </w:rPr>
      </w:pPr>
      <w:r w:rsidRPr="00863B8D">
        <w:rPr>
          <w:sz w:val="22"/>
          <w:szCs w:val="22"/>
          <w:lang w:val="es-CO"/>
        </w:rPr>
        <w:t xml:space="preserve">Iniciativas de formación y asistencia técnica para fortalecer </w:t>
      </w:r>
      <w:r w:rsidR="003F2A04" w:rsidRPr="00863B8D">
        <w:rPr>
          <w:sz w:val="22"/>
          <w:szCs w:val="22"/>
          <w:lang w:val="es-CO"/>
        </w:rPr>
        <w:t xml:space="preserve">emprendimientos y </w:t>
      </w:r>
      <w:r w:rsidRPr="00863B8D">
        <w:rPr>
          <w:sz w:val="22"/>
          <w:szCs w:val="22"/>
          <w:lang w:val="es-CO"/>
        </w:rPr>
        <w:t>empresas existentes.</w:t>
      </w:r>
    </w:p>
    <w:p w14:paraId="2A1649FB" w14:textId="4B93F61E" w:rsidR="009041E5" w:rsidRPr="00863B8D" w:rsidRDefault="009041E5" w:rsidP="00613335">
      <w:pPr>
        <w:pStyle w:val="ListParagraph"/>
        <w:numPr>
          <w:ilvl w:val="1"/>
          <w:numId w:val="27"/>
        </w:numPr>
        <w:tabs>
          <w:tab w:val="left" w:pos="1440"/>
        </w:tabs>
        <w:ind w:left="1440"/>
        <w:jc w:val="both"/>
        <w:rPr>
          <w:sz w:val="22"/>
          <w:szCs w:val="22"/>
          <w:lang w:val="es-CO"/>
        </w:rPr>
      </w:pPr>
      <w:r w:rsidRPr="00863B8D">
        <w:rPr>
          <w:sz w:val="22"/>
          <w:szCs w:val="22"/>
          <w:lang w:val="es-CO"/>
        </w:rPr>
        <w:t xml:space="preserve">Herramientas y mecanismos </w:t>
      </w:r>
      <w:r w:rsidR="00440C82" w:rsidRPr="00863B8D">
        <w:rPr>
          <w:sz w:val="22"/>
          <w:szCs w:val="22"/>
          <w:lang w:val="es-CO"/>
        </w:rPr>
        <w:t>de promoción de</w:t>
      </w:r>
      <w:r w:rsidRPr="00863B8D">
        <w:rPr>
          <w:sz w:val="22"/>
          <w:szCs w:val="22"/>
          <w:lang w:val="es-CO"/>
        </w:rPr>
        <w:t xml:space="preserve"> exportaciones.</w:t>
      </w:r>
    </w:p>
    <w:p w14:paraId="3420E518" w14:textId="77777777" w:rsidR="009041E5" w:rsidRPr="00863B8D" w:rsidRDefault="009041E5" w:rsidP="00613335">
      <w:pPr>
        <w:pStyle w:val="ListParagraph"/>
        <w:numPr>
          <w:ilvl w:val="1"/>
          <w:numId w:val="27"/>
        </w:numPr>
        <w:tabs>
          <w:tab w:val="left" w:pos="1440"/>
        </w:tabs>
        <w:ind w:left="1440"/>
        <w:jc w:val="both"/>
        <w:rPr>
          <w:sz w:val="22"/>
          <w:szCs w:val="22"/>
          <w:lang w:val="es-CO"/>
        </w:rPr>
      </w:pPr>
      <w:r w:rsidRPr="00863B8D">
        <w:rPr>
          <w:sz w:val="22"/>
          <w:szCs w:val="22"/>
          <w:lang w:val="es-CO"/>
        </w:rPr>
        <w:t>Promoción del consumo local a través de campañas de marketing orientadas a incrementar el reconocimiento de los negocios y productos locales.</w:t>
      </w:r>
    </w:p>
    <w:p w14:paraId="6D01AB6C" w14:textId="77777777" w:rsidR="009041E5" w:rsidRPr="00863B8D" w:rsidRDefault="009041E5" w:rsidP="00613335">
      <w:pPr>
        <w:pStyle w:val="ListParagraph"/>
        <w:tabs>
          <w:tab w:val="left" w:pos="1440"/>
        </w:tabs>
        <w:ind w:left="1080" w:hanging="360"/>
        <w:rPr>
          <w:sz w:val="22"/>
          <w:szCs w:val="22"/>
          <w:lang w:val="es-CO"/>
        </w:rPr>
      </w:pPr>
    </w:p>
    <w:p w14:paraId="741A490A" w14:textId="66F4A0EC" w:rsidR="009041E5" w:rsidRPr="00863B8D" w:rsidRDefault="009041E5" w:rsidP="00613335">
      <w:pPr>
        <w:pStyle w:val="ListParagraph"/>
        <w:numPr>
          <w:ilvl w:val="0"/>
          <w:numId w:val="26"/>
        </w:numPr>
        <w:jc w:val="both"/>
        <w:rPr>
          <w:sz w:val="22"/>
          <w:szCs w:val="22"/>
          <w:lang w:val="es-CO"/>
        </w:rPr>
      </w:pPr>
      <w:r w:rsidRPr="00863B8D">
        <w:rPr>
          <w:sz w:val="22"/>
          <w:szCs w:val="22"/>
          <w:lang w:val="es-CO"/>
        </w:rPr>
        <w:lastRenderedPageBreak/>
        <w:t>Promoción de iniciativ</w:t>
      </w:r>
      <w:r w:rsidR="00613335" w:rsidRPr="00863B8D">
        <w:rPr>
          <w:sz w:val="22"/>
          <w:szCs w:val="22"/>
          <w:lang w:val="es-CO"/>
        </w:rPr>
        <w:t>as de formalización empresarial:</w:t>
      </w:r>
      <w:r w:rsidRPr="00863B8D">
        <w:rPr>
          <w:sz w:val="22"/>
          <w:szCs w:val="22"/>
          <w:lang w:val="es-CO"/>
        </w:rPr>
        <w:t xml:space="preserve"> </w:t>
      </w:r>
    </w:p>
    <w:p w14:paraId="15D2FAAF" w14:textId="77777777" w:rsidR="00613335" w:rsidRPr="00863B8D" w:rsidRDefault="00613335" w:rsidP="00613335">
      <w:pPr>
        <w:pStyle w:val="ListParagraph"/>
        <w:ind w:left="1080"/>
        <w:jc w:val="both"/>
        <w:rPr>
          <w:sz w:val="22"/>
          <w:szCs w:val="22"/>
          <w:lang w:val="es-CO"/>
        </w:rPr>
      </w:pPr>
    </w:p>
    <w:p w14:paraId="2F70F9BF" w14:textId="77777777" w:rsidR="009041E5" w:rsidRPr="00863B8D" w:rsidRDefault="009041E5" w:rsidP="00613335">
      <w:pPr>
        <w:pStyle w:val="ListParagraph"/>
        <w:numPr>
          <w:ilvl w:val="1"/>
          <w:numId w:val="27"/>
        </w:numPr>
        <w:tabs>
          <w:tab w:val="left" w:pos="1440"/>
        </w:tabs>
        <w:ind w:left="1440"/>
        <w:jc w:val="both"/>
        <w:rPr>
          <w:sz w:val="22"/>
          <w:szCs w:val="22"/>
          <w:lang w:val="es-CO"/>
        </w:rPr>
      </w:pPr>
      <w:r w:rsidRPr="00863B8D">
        <w:rPr>
          <w:sz w:val="22"/>
          <w:szCs w:val="22"/>
          <w:lang w:val="es-CO"/>
        </w:rPr>
        <w:t>Revisar las regulaciones legales y los instrumentos financieros para combatir la informalidad.</w:t>
      </w:r>
    </w:p>
    <w:p w14:paraId="7456AE62" w14:textId="77777777" w:rsidR="009041E5" w:rsidRPr="00863B8D" w:rsidRDefault="009041E5" w:rsidP="00B02BD0">
      <w:pPr>
        <w:pStyle w:val="ListParagraph"/>
        <w:tabs>
          <w:tab w:val="left" w:pos="1440"/>
        </w:tabs>
        <w:ind w:left="1080"/>
        <w:jc w:val="both"/>
        <w:rPr>
          <w:bCs/>
          <w:sz w:val="22"/>
          <w:szCs w:val="22"/>
          <w:lang w:val="es-CO"/>
        </w:rPr>
      </w:pPr>
    </w:p>
    <w:p w14:paraId="58157FED" w14:textId="194DACF0" w:rsidR="00F1528A" w:rsidRPr="00863B8D" w:rsidRDefault="00437F87" w:rsidP="00437F87">
      <w:pPr>
        <w:pStyle w:val="BodyText"/>
        <w:numPr>
          <w:ilvl w:val="0"/>
          <w:numId w:val="24"/>
        </w:numPr>
        <w:tabs>
          <w:tab w:val="left" w:pos="720"/>
          <w:tab w:val="left" w:pos="1440"/>
          <w:tab w:val="left" w:pos="2160"/>
          <w:tab w:val="left" w:pos="2880"/>
        </w:tabs>
        <w:kinsoku w:val="0"/>
        <w:overflowPunct w:val="0"/>
        <w:spacing w:after="0"/>
        <w:ind w:right="118"/>
        <w:rPr>
          <w:b/>
          <w:color w:val="000000"/>
        </w:rPr>
      </w:pPr>
      <w:r w:rsidRPr="00437F87">
        <w:rPr>
          <w:b/>
          <w:color w:val="000000"/>
        </w:rPr>
        <w:t>Reconversión de la fuerza laboral con enfoque innovador para la recuperación del sector turístico y las economías regionales</w:t>
      </w:r>
    </w:p>
    <w:p w14:paraId="4BD98D99" w14:textId="77777777" w:rsidR="00F1528A" w:rsidRPr="00863B8D" w:rsidRDefault="00F1528A" w:rsidP="00B31B87">
      <w:pPr>
        <w:jc w:val="both"/>
        <w:rPr>
          <w:sz w:val="22"/>
          <w:szCs w:val="22"/>
          <w:lang w:val="es-CO"/>
        </w:rPr>
      </w:pPr>
    </w:p>
    <w:p w14:paraId="741A1300" w14:textId="77777777" w:rsidR="00F1528A" w:rsidRPr="00863B8D" w:rsidRDefault="00F1528A" w:rsidP="00344226">
      <w:pPr>
        <w:ind w:firstLine="720"/>
        <w:jc w:val="both"/>
        <w:rPr>
          <w:sz w:val="22"/>
          <w:szCs w:val="22"/>
          <w:lang w:val="es-CO"/>
        </w:rPr>
      </w:pPr>
      <w:r w:rsidRPr="00863B8D">
        <w:rPr>
          <w:sz w:val="22"/>
          <w:szCs w:val="22"/>
          <w:lang w:val="es-CO"/>
        </w:rPr>
        <w:t>La crisis generada por el COVID-19 ha producido una marcada desaceleración en el turismo, que ha afectado particularmente a las economías caribeñas, que dependen mucho de este sector. El más reciente informe del BID sobre la evolución en las consecuencias económicas y en el empleo del brote de COVID-19 pone de relieve los daños potenciales en la producción, el empleo y los ingresos por exportaciones en toda la región y estima que la pandemia podría conducir a un trastorno negativo de entre el 40% y el 70% de los flujos turísticos a la región en un solo año</w:t>
      </w:r>
      <w:r w:rsidRPr="00863B8D">
        <w:rPr>
          <w:rStyle w:val="FootnoteReference"/>
          <w:sz w:val="22"/>
          <w:szCs w:val="22"/>
          <w:lang w:val="es-CO"/>
        </w:rPr>
        <w:footnoteReference w:id="5"/>
      </w:r>
      <w:r w:rsidRPr="00863B8D">
        <w:rPr>
          <w:sz w:val="22"/>
          <w:szCs w:val="22"/>
          <w:lang w:val="es-CO"/>
        </w:rPr>
        <w:t>.</w:t>
      </w:r>
    </w:p>
    <w:p w14:paraId="2757E0D6" w14:textId="77777777" w:rsidR="00F1528A" w:rsidRPr="00863B8D" w:rsidRDefault="00F1528A" w:rsidP="00B31B87">
      <w:pPr>
        <w:jc w:val="both"/>
        <w:rPr>
          <w:sz w:val="22"/>
          <w:szCs w:val="22"/>
          <w:lang w:val="es-CO"/>
        </w:rPr>
      </w:pPr>
    </w:p>
    <w:p w14:paraId="715932B4" w14:textId="77777777" w:rsidR="00F1528A" w:rsidRPr="00863B8D" w:rsidRDefault="00F1528A" w:rsidP="00344226">
      <w:pPr>
        <w:ind w:firstLine="360"/>
        <w:jc w:val="both"/>
        <w:rPr>
          <w:sz w:val="22"/>
          <w:szCs w:val="22"/>
          <w:lang w:val="es-CO"/>
        </w:rPr>
      </w:pPr>
      <w:r w:rsidRPr="00863B8D">
        <w:rPr>
          <w:sz w:val="22"/>
          <w:szCs w:val="22"/>
          <w:lang w:val="es-CO"/>
        </w:rPr>
        <w:tab/>
        <w:t>Nuestro hemisferio incluye a muchas de las economías mundiales más dependientes del turismo. En el Índice de Dependencia del Turismo mundial del BID, que califica a 166 países, 10 Estados Miembros del Caribe se ubican entre los primeros 20. La economía caribeña que más depende del turismo es Antigua y Barbuda con un índice de dependencia del turismo</w:t>
      </w:r>
      <w:r w:rsidRPr="00863B8D">
        <w:rPr>
          <w:sz w:val="22"/>
          <w:szCs w:val="22"/>
          <w:vertAlign w:val="superscript"/>
          <w:lang w:val="es-CO"/>
        </w:rPr>
        <w:footnoteReference w:id="6"/>
      </w:r>
      <w:r w:rsidRPr="00863B8D">
        <w:rPr>
          <w:sz w:val="22"/>
          <w:szCs w:val="22"/>
          <w:lang w:val="es-CO"/>
        </w:rPr>
        <w:t xml:space="preserve"> de 61,4, seguida por las Bahamas (59,4), Santa Lucía (56,4) y Dominica (48,3). Incluso en las economías más grandes y diversificadas de la región, el turismo apoya las vidas y el sustento de millones de ciudadanos. Entre 2014 y 2018, el turismo representó en promedio alrededor del 16% tanto de la producción económica como del empleo en México, y más del 10% tanto del PIB como del empleo en Uruguay, Argentina y Chile, seguidos de cerca por Brasil</w:t>
      </w:r>
      <w:r w:rsidRPr="00863B8D">
        <w:rPr>
          <w:rStyle w:val="FootnoteReference"/>
          <w:sz w:val="22"/>
          <w:szCs w:val="22"/>
          <w:lang w:val="es-CO"/>
        </w:rPr>
        <w:footnoteReference w:id="7"/>
      </w:r>
      <w:r w:rsidRPr="00863B8D">
        <w:rPr>
          <w:sz w:val="22"/>
          <w:szCs w:val="22"/>
          <w:lang w:val="es-CO"/>
        </w:rPr>
        <w:t xml:space="preserve">. </w:t>
      </w:r>
    </w:p>
    <w:p w14:paraId="1B86541F" w14:textId="190C00F1" w:rsidR="00885978" w:rsidRPr="00863B8D" w:rsidRDefault="00885978" w:rsidP="00885978">
      <w:pPr>
        <w:ind w:firstLine="720"/>
        <w:jc w:val="both"/>
        <w:rPr>
          <w:sz w:val="22"/>
          <w:szCs w:val="22"/>
          <w:lang w:val="es-CO"/>
        </w:rPr>
      </w:pPr>
      <w:r w:rsidRPr="00863B8D">
        <w:rPr>
          <w:sz w:val="22"/>
          <w:szCs w:val="22"/>
          <w:lang w:val="es-CO"/>
        </w:rPr>
        <w:lastRenderedPageBreak/>
        <w:t>El sector turismo también representa una parte importante del empleo total en la región, apoyando la vida y los medios de subsistencia de millones de ciudadanos. Los datos disponibles del TDI (2014-2018) indican que el sector turismo fue responsable de más de la mitad del empleo total en algunas economías, representando un promedio del 56% del empleo en las Bahamas, por ejemplo. Adicionalmente, una investigación del WTTC</w:t>
      </w:r>
      <w:r w:rsidRPr="00863B8D">
        <w:rPr>
          <w:sz w:val="22"/>
          <w:szCs w:val="22"/>
          <w:vertAlign w:val="superscript"/>
          <w:lang w:val="es-CO"/>
        </w:rPr>
        <w:footnoteReference w:id="8"/>
      </w:r>
      <w:r w:rsidRPr="00863B8D">
        <w:rPr>
          <w:sz w:val="22"/>
          <w:szCs w:val="22"/>
          <w:lang w:val="es-CO"/>
        </w:rPr>
        <w:t xml:space="preserve"> estima que en 2019, la contribución de los viajes y el turismo al empleo para los países fuertemente dependientes del turismo osciló entre el 90,7% en Antigua y Barbuda y el 38,7% en Dominica. Estos números destacan el impacto económico y social de la industria, particularmente en la región del Caribe.</w:t>
      </w:r>
    </w:p>
    <w:p w14:paraId="05FB0FBE"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pPr>
    </w:p>
    <w:p w14:paraId="0B979251"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pPr>
      <w:r w:rsidRPr="00863B8D">
        <w:tab/>
        <w:t xml:space="preserve">Se prevé que las perturbaciones provocadas en el sector turístico por la pandemia continuarán en el futuro previsible. Debido a su papel crucial en las economías nacionales más amplias derivado de sus importantes vínculos bidireccionales con la agricultura, la manufactura y los servicios no turísticos, las pérdidas de empleos han sido masivas, lo que da lugar a graves presiones en las finanzas gubernamentales, que de por sí están bajo tensión, para suministrar redes de protección a la población desempleada y vulnerable. </w:t>
      </w:r>
    </w:p>
    <w:p w14:paraId="50D4D9EF"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pPr>
    </w:p>
    <w:p w14:paraId="10B97B9F" w14:textId="76268C8E" w:rsidR="00F1528A" w:rsidRPr="00863B8D" w:rsidRDefault="00F1528A" w:rsidP="00344226">
      <w:pPr>
        <w:pStyle w:val="BodyText"/>
        <w:tabs>
          <w:tab w:val="left" w:pos="720"/>
          <w:tab w:val="left" w:pos="1440"/>
          <w:tab w:val="left" w:pos="2160"/>
          <w:tab w:val="left" w:pos="2880"/>
        </w:tabs>
        <w:kinsoku w:val="0"/>
        <w:overflowPunct w:val="0"/>
        <w:spacing w:after="0"/>
        <w:ind w:right="118"/>
      </w:pPr>
      <w:r w:rsidRPr="00863B8D">
        <w:tab/>
        <w:t>Para hacer frente al impacto de la pandemia en las empresas y la fuerza de trabajo del sector turístico en la región, y para ayudar a la recuperación de los países, es crítico diversificar las habilidades y readaptar la fuerza de trabajo</w:t>
      </w:r>
      <w:r w:rsidR="00885978" w:rsidRPr="00863B8D">
        <w:t xml:space="preserve"> para operar en un entorno bajo un “nuevo normal”.</w:t>
      </w:r>
      <w:r w:rsidRPr="00863B8D">
        <w:t xml:space="preserve"> Todo ello debe ir de la mano </w:t>
      </w:r>
      <w:r w:rsidR="00C04754" w:rsidRPr="00863B8D">
        <w:t xml:space="preserve">y en alianza con organizaciones de turismo como la Organización Mundial del Turismo (OMT), el Consejo Mundial de Viajes y Turismo (WTTC), la Organización de Turismo del Caribe (CTO) y la Asociación de Hoteles y Turismo del Caribe (CHTA), entre otras instituciones que apoyan </w:t>
      </w:r>
      <w:r w:rsidRPr="00863B8D">
        <w:t xml:space="preserve">enfoques emergentes para los planes integrales de recuperación del turismo, centrados en la reconstrucción de los destinos, el fomento de la innovación y la inversión y el replanteamiento del sector turístico del futuro. </w:t>
      </w:r>
    </w:p>
    <w:p w14:paraId="533B3229" w14:textId="77777777" w:rsidR="00E96B04" w:rsidRPr="00863B8D" w:rsidRDefault="00E96B04" w:rsidP="00344226">
      <w:pPr>
        <w:pStyle w:val="BodyText"/>
        <w:tabs>
          <w:tab w:val="left" w:pos="720"/>
          <w:tab w:val="left" w:pos="1440"/>
          <w:tab w:val="left" w:pos="2160"/>
          <w:tab w:val="left" w:pos="2880"/>
        </w:tabs>
        <w:kinsoku w:val="0"/>
        <w:overflowPunct w:val="0"/>
        <w:spacing w:after="0"/>
        <w:ind w:right="118"/>
      </w:pPr>
    </w:p>
    <w:p w14:paraId="219FBE02" w14:textId="7911B5EC" w:rsidR="00E96B04" w:rsidRPr="00863B8D" w:rsidRDefault="00E96B04" w:rsidP="00E96B04">
      <w:pPr>
        <w:pStyle w:val="BodyText"/>
        <w:tabs>
          <w:tab w:val="left" w:pos="720"/>
          <w:tab w:val="left" w:pos="1440"/>
          <w:tab w:val="left" w:pos="2160"/>
          <w:tab w:val="left" w:pos="2880"/>
        </w:tabs>
        <w:kinsoku w:val="0"/>
        <w:overflowPunct w:val="0"/>
        <w:spacing w:after="0"/>
        <w:ind w:right="118"/>
      </w:pPr>
      <w:r w:rsidRPr="00863B8D">
        <w:lastRenderedPageBreak/>
        <w:tab/>
        <w:t>La reconversión innovadora para la recuperación del sector turístico debe basarse en un enfoque holístico que reconozca no solo la importancia de desarrollar una fuerza laboral altamente calificada, sino también la importancia de la innovación en el desarrollo de nuevos servicios, productos y procesos. De acuerdo a una serie de recomendaciones de la OMT</w:t>
      </w:r>
      <w:r w:rsidRPr="00863B8D">
        <w:rPr>
          <w:rStyle w:val="FootnoteReference"/>
        </w:rPr>
        <w:footnoteReference w:id="9"/>
      </w:r>
      <w:r w:rsidRPr="00863B8D">
        <w:t xml:space="preserve"> sobre los tipos de capacitación requeridos para los operadores de servicios turísticos, particularmente las MIPYMES y otros grupos vulnerables ante la Pandemia COVID-19, se proponen las siguientes áreas de enfoque:</w:t>
      </w:r>
    </w:p>
    <w:p w14:paraId="21003FE3" w14:textId="77777777" w:rsidR="00E96B04" w:rsidRPr="00863B8D" w:rsidRDefault="00E96B04" w:rsidP="00344226">
      <w:pPr>
        <w:pStyle w:val="BodyText"/>
        <w:tabs>
          <w:tab w:val="left" w:pos="720"/>
          <w:tab w:val="left" w:pos="1440"/>
          <w:tab w:val="left" w:pos="2160"/>
          <w:tab w:val="left" w:pos="2880"/>
        </w:tabs>
        <w:kinsoku w:val="0"/>
        <w:overflowPunct w:val="0"/>
        <w:spacing w:after="0"/>
        <w:ind w:right="118"/>
      </w:pPr>
    </w:p>
    <w:p w14:paraId="08225AAF" w14:textId="77777777" w:rsidR="009210EB" w:rsidRPr="00863B8D" w:rsidRDefault="009210EB" w:rsidP="00E72DC0">
      <w:pPr>
        <w:pStyle w:val="ListParagraph"/>
        <w:numPr>
          <w:ilvl w:val="0"/>
          <w:numId w:val="38"/>
        </w:numPr>
        <w:jc w:val="both"/>
        <w:rPr>
          <w:color w:val="000000"/>
          <w:sz w:val="22"/>
          <w:szCs w:val="22"/>
          <w:lang w:val="es-CO"/>
        </w:rPr>
      </w:pPr>
      <w:r w:rsidRPr="00863B8D">
        <w:rPr>
          <w:color w:val="000000"/>
          <w:sz w:val="22"/>
          <w:szCs w:val="22"/>
          <w:lang w:val="es-CO"/>
        </w:rPr>
        <w:t>Programas de formación para la mejora y actualización de las cualificaciones de acuerdo con los estándares de la industria.</w:t>
      </w:r>
    </w:p>
    <w:p w14:paraId="28FD94DD" w14:textId="77777777" w:rsidR="009210EB" w:rsidRPr="00863B8D" w:rsidRDefault="009210EB" w:rsidP="00E72DC0">
      <w:pPr>
        <w:pStyle w:val="ListParagraph"/>
        <w:numPr>
          <w:ilvl w:val="0"/>
          <w:numId w:val="38"/>
        </w:numPr>
        <w:jc w:val="both"/>
        <w:rPr>
          <w:color w:val="000000"/>
          <w:sz w:val="22"/>
          <w:szCs w:val="22"/>
          <w:lang w:val="es-CO"/>
        </w:rPr>
      </w:pPr>
      <w:r w:rsidRPr="00863B8D">
        <w:rPr>
          <w:color w:val="000000"/>
          <w:sz w:val="22"/>
          <w:szCs w:val="22"/>
          <w:lang w:val="es-CO"/>
        </w:rPr>
        <w:t>Desarrollo de productos y acceso a mercado para personas que trabajan en las áreas de cultura e industrias creativas (dedicadas a la artesanía, festivales, música, teatro, etc.), naturaleza, deportes, turismo médico y de bienestar para crear nuevos productos innovadores.</w:t>
      </w:r>
    </w:p>
    <w:p w14:paraId="234498FC" w14:textId="77777777" w:rsidR="009210EB" w:rsidRPr="00863B8D" w:rsidRDefault="009210EB" w:rsidP="00E72DC0">
      <w:pPr>
        <w:pStyle w:val="ListParagraph"/>
        <w:numPr>
          <w:ilvl w:val="0"/>
          <w:numId w:val="38"/>
        </w:numPr>
        <w:jc w:val="both"/>
        <w:rPr>
          <w:color w:val="000000"/>
          <w:sz w:val="22"/>
          <w:szCs w:val="22"/>
          <w:lang w:val="es-CO"/>
        </w:rPr>
      </w:pPr>
      <w:r w:rsidRPr="00863B8D">
        <w:rPr>
          <w:color w:val="000000"/>
          <w:sz w:val="22"/>
          <w:szCs w:val="22"/>
          <w:lang w:val="es-CO"/>
        </w:rPr>
        <w:t>Crear programas especiales para apoyar el espíritu empresarial en el turismo y para promover aún más la innovación y la transformación digital.</w:t>
      </w:r>
    </w:p>
    <w:p w14:paraId="19ADC5F4" w14:textId="77777777" w:rsidR="009210EB" w:rsidRPr="00863B8D" w:rsidRDefault="009210EB" w:rsidP="00E72DC0">
      <w:pPr>
        <w:pStyle w:val="ListParagraph"/>
        <w:numPr>
          <w:ilvl w:val="0"/>
          <w:numId w:val="38"/>
        </w:numPr>
        <w:jc w:val="both"/>
        <w:rPr>
          <w:color w:val="000000"/>
          <w:sz w:val="22"/>
          <w:szCs w:val="22"/>
          <w:lang w:val="es-CO"/>
        </w:rPr>
      </w:pPr>
      <w:r w:rsidRPr="00863B8D">
        <w:rPr>
          <w:color w:val="000000"/>
          <w:sz w:val="22"/>
          <w:szCs w:val="22"/>
          <w:lang w:val="es-CO"/>
        </w:rPr>
        <w:t>Incentivar el desarrollo de productos, segmentos de mercado y actividades de marketing que contribuyan a un sector de viajes y turismo más responsable y sostenible.</w:t>
      </w:r>
    </w:p>
    <w:p w14:paraId="7216B311" w14:textId="77777777" w:rsidR="009210EB" w:rsidRPr="00863B8D" w:rsidRDefault="009210EB" w:rsidP="00E72DC0">
      <w:pPr>
        <w:pStyle w:val="ListParagraph"/>
        <w:numPr>
          <w:ilvl w:val="0"/>
          <w:numId w:val="38"/>
        </w:numPr>
        <w:tabs>
          <w:tab w:val="left" w:pos="720"/>
          <w:tab w:val="left" w:pos="1440"/>
          <w:tab w:val="left" w:pos="2160"/>
          <w:tab w:val="left" w:pos="2880"/>
        </w:tabs>
        <w:kinsoku w:val="0"/>
        <w:overflowPunct w:val="0"/>
        <w:ind w:right="118"/>
        <w:jc w:val="both"/>
        <w:rPr>
          <w:sz w:val="22"/>
          <w:szCs w:val="22"/>
          <w:lang w:val="es-CO"/>
        </w:rPr>
      </w:pPr>
      <w:r w:rsidRPr="00863B8D">
        <w:rPr>
          <w:color w:val="000000"/>
          <w:sz w:val="22"/>
          <w:szCs w:val="22"/>
          <w:lang w:val="es-CO"/>
        </w:rPr>
        <w:t xml:space="preserve">Transformación del sector en la era digital (incluida la creación de capacidades digitales y de TI y formación en realidad virtual). </w:t>
      </w:r>
    </w:p>
    <w:p w14:paraId="6C049DB0" w14:textId="523839F7" w:rsidR="009210EB" w:rsidRPr="00863B8D" w:rsidRDefault="00C61535" w:rsidP="00E72DC0">
      <w:pPr>
        <w:pStyle w:val="ListParagraph"/>
        <w:numPr>
          <w:ilvl w:val="0"/>
          <w:numId w:val="38"/>
        </w:numPr>
        <w:tabs>
          <w:tab w:val="left" w:pos="720"/>
          <w:tab w:val="left" w:pos="1440"/>
          <w:tab w:val="left" w:pos="2160"/>
          <w:tab w:val="left" w:pos="2880"/>
        </w:tabs>
        <w:kinsoku w:val="0"/>
        <w:overflowPunct w:val="0"/>
        <w:ind w:right="118"/>
        <w:jc w:val="both"/>
        <w:rPr>
          <w:sz w:val="22"/>
          <w:szCs w:val="22"/>
          <w:lang w:val="es-CO"/>
        </w:rPr>
      </w:pPr>
      <w:r w:rsidRPr="00863B8D">
        <w:rPr>
          <w:color w:val="000000"/>
          <w:sz w:val="22"/>
          <w:szCs w:val="22"/>
          <w:lang w:val="es-CO"/>
        </w:rPr>
        <w:t xml:space="preserve">Actividades de </w:t>
      </w:r>
      <w:r w:rsidR="009210EB" w:rsidRPr="00863B8D">
        <w:rPr>
          <w:color w:val="000000"/>
          <w:sz w:val="22"/>
          <w:szCs w:val="22"/>
          <w:lang w:val="es-CO"/>
        </w:rPr>
        <w:t xml:space="preserve">turismo </w:t>
      </w:r>
      <w:r w:rsidRPr="00863B8D">
        <w:rPr>
          <w:color w:val="000000"/>
          <w:sz w:val="22"/>
          <w:szCs w:val="22"/>
          <w:lang w:val="es-CO"/>
        </w:rPr>
        <w:t xml:space="preserve">virtual </w:t>
      </w:r>
      <w:r w:rsidR="009210EB" w:rsidRPr="00863B8D">
        <w:rPr>
          <w:color w:val="000000"/>
          <w:sz w:val="22"/>
          <w:szCs w:val="22"/>
          <w:lang w:val="es-CO"/>
        </w:rPr>
        <w:t>durante</w:t>
      </w:r>
      <w:r w:rsidR="009210EB" w:rsidRPr="00863B8D">
        <w:rPr>
          <w:sz w:val="22"/>
          <w:szCs w:val="22"/>
          <w:lang w:val="es-CO"/>
        </w:rPr>
        <w:t xml:space="preserve"> períodos de restricción y cierre de fronteras internacionales.</w:t>
      </w:r>
    </w:p>
    <w:p w14:paraId="36C8356A"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pPr>
    </w:p>
    <w:p w14:paraId="148E9EF9" w14:textId="77777777" w:rsidR="00F1528A" w:rsidRPr="00863B8D" w:rsidRDefault="00F1528A" w:rsidP="00B31B87">
      <w:pPr>
        <w:pStyle w:val="BodyText"/>
        <w:numPr>
          <w:ilvl w:val="0"/>
          <w:numId w:val="24"/>
        </w:numPr>
        <w:tabs>
          <w:tab w:val="left" w:pos="720"/>
          <w:tab w:val="left" w:pos="1440"/>
          <w:tab w:val="left" w:pos="2160"/>
          <w:tab w:val="left" w:pos="2880"/>
        </w:tabs>
        <w:kinsoku w:val="0"/>
        <w:overflowPunct w:val="0"/>
        <w:spacing w:after="0"/>
        <w:ind w:right="118" w:hanging="720"/>
        <w:rPr>
          <w:b/>
        </w:rPr>
      </w:pPr>
      <w:r w:rsidRPr="00863B8D">
        <w:rPr>
          <w:b/>
          <w:color w:val="000000"/>
        </w:rPr>
        <w:t xml:space="preserve">Innovación científica </w:t>
      </w:r>
      <w:r w:rsidRPr="00863B8D">
        <w:rPr>
          <w:b/>
          <w:bCs/>
        </w:rPr>
        <w:t xml:space="preserve">y tecnológica para fortalecer la resiliencia </w:t>
      </w:r>
    </w:p>
    <w:p w14:paraId="3E758090" w14:textId="77777777" w:rsidR="00F1528A" w:rsidRPr="00863B8D" w:rsidRDefault="00F1528A" w:rsidP="00B31B87">
      <w:pPr>
        <w:pStyle w:val="BodyText"/>
        <w:tabs>
          <w:tab w:val="left" w:pos="720"/>
          <w:tab w:val="left" w:pos="1440"/>
          <w:tab w:val="left" w:pos="2160"/>
          <w:tab w:val="left" w:pos="2880"/>
        </w:tabs>
        <w:kinsoku w:val="0"/>
        <w:overflowPunct w:val="0"/>
        <w:spacing w:after="0"/>
        <w:ind w:right="118"/>
        <w:rPr>
          <w:b/>
        </w:rPr>
      </w:pPr>
    </w:p>
    <w:p w14:paraId="3CD1E071" w14:textId="77777777" w:rsidR="00F1528A" w:rsidRPr="00863B8D" w:rsidRDefault="00F1528A" w:rsidP="00B31B87">
      <w:pPr>
        <w:ind w:firstLine="720"/>
        <w:jc w:val="both"/>
        <w:rPr>
          <w:sz w:val="22"/>
          <w:szCs w:val="22"/>
          <w:lang w:val="es-CO"/>
        </w:rPr>
      </w:pPr>
      <w:r w:rsidRPr="00863B8D">
        <w:rPr>
          <w:sz w:val="22"/>
          <w:szCs w:val="22"/>
          <w:lang w:val="es-CO"/>
        </w:rPr>
        <w:lastRenderedPageBreak/>
        <w:t xml:space="preserve">Conforme los gobiernos de la región diseñan e implementan estrategias para salir de las crisis generadas por la pandemia de COVID-19, la imperiosa necesidad de crear sistemas económicos, sociales y ambientales más </w:t>
      </w:r>
      <w:proofErr w:type="spellStart"/>
      <w:r w:rsidRPr="00863B8D">
        <w:rPr>
          <w:sz w:val="22"/>
          <w:szCs w:val="22"/>
          <w:lang w:val="es-CO"/>
        </w:rPr>
        <w:t>resilientes</w:t>
      </w:r>
      <w:proofErr w:type="spellEnd"/>
      <w:r w:rsidRPr="00863B8D">
        <w:rPr>
          <w:sz w:val="22"/>
          <w:szCs w:val="22"/>
          <w:lang w:val="es-CO"/>
        </w:rPr>
        <w:t xml:space="preserve"> nunca ha sido más urgente. Al respecto, la pandemia también ha suministrado evidencias del poder de la ciencia y la innovación tecnológicas para generar soluciones a los problemas emergentes. </w:t>
      </w:r>
    </w:p>
    <w:p w14:paraId="5A9C1781" w14:textId="77777777" w:rsidR="00F1528A" w:rsidRPr="00863B8D" w:rsidRDefault="00F1528A" w:rsidP="00B31B87">
      <w:pPr>
        <w:jc w:val="both"/>
        <w:rPr>
          <w:sz w:val="22"/>
          <w:szCs w:val="22"/>
          <w:lang w:val="es-CO"/>
        </w:rPr>
      </w:pPr>
    </w:p>
    <w:p w14:paraId="313EA281"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rPr>
          <w:color w:val="000000"/>
        </w:rPr>
      </w:pPr>
      <w:r w:rsidRPr="00863B8D">
        <w:tab/>
      </w:r>
      <w:r w:rsidRPr="00863B8D">
        <w:rPr>
          <w:color w:val="000000"/>
        </w:rPr>
        <w:t>La ciencia, la tecnología y la innovación contribuyen a la resiliencia al empoderar y dar voz a las personas, incluyendo a las más vulnerables, ampliar el acceso a la educación y la salud, permitir el seguimiento de los riesgos ambientales, conectar a las personas, y permitir el desarrollo de sistemas de alerta temprana (UNCTAD, 2019)</w:t>
      </w:r>
      <w:r w:rsidRPr="00863B8D">
        <w:rPr>
          <w:rStyle w:val="FootnoteReference"/>
          <w:color w:val="000000"/>
        </w:rPr>
        <w:footnoteReference w:id="10"/>
      </w:r>
      <w:r w:rsidRPr="00863B8D">
        <w:rPr>
          <w:color w:val="000000"/>
        </w:rPr>
        <w:t>.</w:t>
      </w:r>
    </w:p>
    <w:p w14:paraId="4AED0541"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rPr>
          <w:color w:val="000000"/>
        </w:rPr>
      </w:pPr>
    </w:p>
    <w:p w14:paraId="01EF7904"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pPr>
      <w:r w:rsidRPr="00863B8D">
        <w:rPr>
          <w:color w:val="000000"/>
        </w:rPr>
        <w:tab/>
      </w:r>
      <w:r w:rsidRPr="00863B8D">
        <w:t xml:space="preserve">Las distintas áreas del conocimiento científico contribuyen directa e indirectamente a la construcción de comunidades </w:t>
      </w:r>
      <w:proofErr w:type="spellStart"/>
      <w:r w:rsidRPr="00863B8D">
        <w:t>resilientes</w:t>
      </w:r>
      <w:proofErr w:type="spellEnd"/>
      <w:r w:rsidRPr="00863B8D">
        <w:t>, desde los descubrimientos científicos en biología y medicina que revelan nuevos mecanismos de transmisión de enfermedades hasta avances en los modelos de predicción del clima que aumentan la confiabilidad de los sistemas de alerta temprana</w:t>
      </w:r>
      <w:r w:rsidRPr="00863B8D">
        <w:rPr>
          <w:rStyle w:val="FootnoteReference"/>
        </w:rPr>
        <w:footnoteReference w:id="11"/>
      </w:r>
      <w:r w:rsidRPr="00863B8D">
        <w:t xml:space="preserve">. La innovación tecnológica no solamente abre nuevas oportunidades para resolver los problemas fundamentales que están enfrentando </w:t>
      </w:r>
      <w:r w:rsidR="00BE6DF6" w:rsidRPr="00863B8D">
        <w:t>las sociedades</w:t>
      </w:r>
      <w:r w:rsidRPr="00863B8D">
        <w:t>, sino que también reduce las deficiencias crónicas en la productividad, el crecimiento y los niveles de pobreza.</w:t>
      </w:r>
    </w:p>
    <w:p w14:paraId="5B023F3B"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pPr>
    </w:p>
    <w:p w14:paraId="00409DCC"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rPr>
          <w:color w:val="000000"/>
        </w:rPr>
      </w:pPr>
      <w:r w:rsidRPr="00863B8D">
        <w:tab/>
      </w:r>
      <w:r w:rsidRPr="00863B8D">
        <w:rPr>
          <w:color w:val="000000"/>
        </w:rPr>
        <w:t>Los programas en este ámbito se enfocarían en fortalecer el desarrollo científico, el intercambio y la transferencia de tecnología, el fomento de la cooperación y la investigación científica internacional para apoyar el proceso de recuperación de manera acorde con las prioridades identificadas por los Estados Miembros de la OEA en el contexto de la Comisión Interamericana de Ciencia y Tecnología (COMCYT).</w:t>
      </w:r>
    </w:p>
    <w:p w14:paraId="49F239AE"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rPr>
          <w:color w:val="000000"/>
        </w:rPr>
      </w:pPr>
    </w:p>
    <w:p w14:paraId="1F15DDEC" w14:textId="77777777" w:rsidR="009210EB" w:rsidRPr="00863B8D" w:rsidRDefault="00F1528A" w:rsidP="00344226">
      <w:pPr>
        <w:pStyle w:val="BodyText"/>
        <w:tabs>
          <w:tab w:val="left" w:pos="720"/>
          <w:tab w:val="left" w:pos="1440"/>
          <w:tab w:val="left" w:pos="2160"/>
          <w:tab w:val="left" w:pos="2880"/>
        </w:tabs>
        <w:kinsoku w:val="0"/>
        <w:overflowPunct w:val="0"/>
        <w:spacing w:after="0"/>
        <w:ind w:right="118"/>
        <w:rPr>
          <w:color w:val="000000"/>
        </w:rPr>
      </w:pPr>
      <w:r w:rsidRPr="00863B8D">
        <w:rPr>
          <w:color w:val="000000"/>
        </w:rPr>
        <w:tab/>
        <w:t xml:space="preserve">La COMCYT identificó las siguientes prioridades regionales para aprovechar el poder de la ciencia y la tecnología transformativa: </w:t>
      </w:r>
    </w:p>
    <w:p w14:paraId="0F8C8276" w14:textId="77777777" w:rsidR="009210EB" w:rsidRPr="00863B8D" w:rsidRDefault="009210EB" w:rsidP="00613335">
      <w:pPr>
        <w:pStyle w:val="ListParagraph"/>
        <w:ind w:left="1440"/>
        <w:jc w:val="both"/>
        <w:rPr>
          <w:color w:val="000000"/>
          <w:sz w:val="22"/>
          <w:szCs w:val="22"/>
          <w:lang w:val="es-CO"/>
        </w:rPr>
      </w:pPr>
    </w:p>
    <w:p w14:paraId="273E9F91" w14:textId="77777777" w:rsidR="009210EB" w:rsidRPr="00863B8D" w:rsidRDefault="00F1528A" w:rsidP="00E72DC0">
      <w:pPr>
        <w:pStyle w:val="ListParagraph"/>
        <w:numPr>
          <w:ilvl w:val="1"/>
          <w:numId w:val="39"/>
        </w:numPr>
        <w:jc w:val="both"/>
        <w:rPr>
          <w:color w:val="000000"/>
          <w:sz w:val="22"/>
          <w:szCs w:val="22"/>
          <w:lang w:val="es-CO"/>
        </w:rPr>
      </w:pPr>
      <w:r w:rsidRPr="00863B8D">
        <w:rPr>
          <w:color w:val="000000"/>
          <w:sz w:val="22"/>
          <w:szCs w:val="22"/>
          <w:lang w:val="es-CO"/>
        </w:rPr>
        <w:t xml:space="preserve">Ciencia y tecnología para fortalecer la resiliencia en el contexto del desarrollo sostenible; </w:t>
      </w:r>
    </w:p>
    <w:p w14:paraId="49BB944A" w14:textId="77777777" w:rsidR="009210EB" w:rsidRPr="00863B8D" w:rsidRDefault="00685AA4" w:rsidP="00E72DC0">
      <w:pPr>
        <w:pStyle w:val="ListParagraph"/>
        <w:numPr>
          <w:ilvl w:val="1"/>
          <w:numId w:val="39"/>
        </w:numPr>
        <w:jc w:val="both"/>
        <w:rPr>
          <w:color w:val="000000"/>
          <w:sz w:val="22"/>
          <w:szCs w:val="22"/>
          <w:lang w:val="es-CO"/>
        </w:rPr>
      </w:pPr>
      <w:r w:rsidRPr="00863B8D">
        <w:rPr>
          <w:color w:val="000000"/>
          <w:sz w:val="22"/>
          <w:szCs w:val="22"/>
          <w:lang w:val="es-CO"/>
        </w:rPr>
        <w:t>Acceso a la tecnología para ampliar y fortalecer la educación superior resiliente y en línea;</w:t>
      </w:r>
    </w:p>
    <w:p w14:paraId="768B01A0" w14:textId="77777777" w:rsidR="009210EB" w:rsidRPr="00863B8D" w:rsidRDefault="00F1528A" w:rsidP="00E72DC0">
      <w:pPr>
        <w:pStyle w:val="ListParagraph"/>
        <w:numPr>
          <w:ilvl w:val="1"/>
          <w:numId w:val="39"/>
        </w:numPr>
        <w:jc w:val="both"/>
        <w:rPr>
          <w:color w:val="000000"/>
          <w:sz w:val="22"/>
          <w:szCs w:val="22"/>
          <w:lang w:val="es-CO"/>
        </w:rPr>
      </w:pPr>
      <w:r w:rsidRPr="00863B8D">
        <w:rPr>
          <w:color w:val="000000"/>
          <w:sz w:val="22"/>
          <w:szCs w:val="22"/>
          <w:lang w:val="es-CO"/>
        </w:rPr>
        <w:t>La juventud: Mejorar las habilidades y el grado de preparación para la industria 4.0;</w:t>
      </w:r>
    </w:p>
    <w:p w14:paraId="4A477B28" w14:textId="77777777" w:rsidR="009210EB" w:rsidRPr="00863B8D" w:rsidRDefault="00F1528A" w:rsidP="00E72DC0">
      <w:pPr>
        <w:pStyle w:val="ListParagraph"/>
        <w:numPr>
          <w:ilvl w:val="1"/>
          <w:numId w:val="39"/>
        </w:numPr>
        <w:jc w:val="both"/>
        <w:rPr>
          <w:color w:val="000000"/>
          <w:sz w:val="22"/>
          <w:szCs w:val="22"/>
          <w:lang w:val="es-CO"/>
        </w:rPr>
      </w:pPr>
      <w:r w:rsidRPr="00863B8D">
        <w:rPr>
          <w:color w:val="000000"/>
          <w:sz w:val="22"/>
          <w:szCs w:val="22"/>
          <w:lang w:val="es-CO"/>
        </w:rPr>
        <w:t xml:space="preserve">Ciencia, tecnología, innovación y emprendimiento para promover la inclusión de las mujeres y niñas y otras poblaciones en situaciones vulnerables; </w:t>
      </w:r>
    </w:p>
    <w:p w14:paraId="06656C97" w14:textId="77777777" w:rsidR="00863E05" w:rsidRPr="00863B8D" w:rsidRDefault="00F1528A" w:rsidP="00E72DC0">
      <w:pPr>
        <w:pStyle w:val="ListParagraph"/>
        <w:numPr>
          <w:ilvl w:val="1"/>
          <w:numId w:val="39"/>
        </w:numPr>
        <w:jc w:val="both"/>
        <w:rPr>
          <w:color w:val="000000"/>
          <w:sz w:val="22"/>
          <w:szCs w:val="22"/>
          <w:lang w:val="es-CO"/>
        </w:rPr>
      </w:pPr>
      <w:r w:rsidRPr="00863B8D">
        <w:rPr>
          <w:color w:val="000000"/>
          <w:sz w:val="22"/>
          <w:szCs w:val="22"/>
          <w:lang w:val="es-CO"/>
        </w:rPr>
        <w:t xml:space="preserve">Colaboración eficaz entre los sectores público, privado y académico para aumentar la competitividad y la calidad de vida; y </w:t>
      </w:r>
    </w:p>
    <w:p w14:paraId="6540D942" w14:textId="77777777" w:rsidR="00863E05" w:rsidRPr="00863B8D" w:rsidRDefault="00F1528A" w:rsidP="00E72DC0">
      <w:pPr>
        <w:pStyle w:val="ListParagraph"/>
        <w:numPr>
          <w:ilvl w:val="1"/>
          <w:numId w:val="39"/>
        </w:numPr>
        <w:jc w:val="both"/>
        <w:rPr>
          <w:color w:val="000000"/>
          <w:sz w:val="22"/>
          <w:szCs w:val="22"/>
          <w:lang w:val="es-CO"/>
        </w:rPr>
      </w:pPr>
      <w:r w:rsidRPr="00863B8D">
        <w:rPr>
          <w:color w:val="000000"/>
          <w:sz w:val="22"/>
          <w:szCs w:val="22"/>
          <w:lang w:val="es-CO"/>
        </w:rPr>
        <w:t>La previsión de la tecnología como insumo para las decisiones de política pública</w:t>
      </w:r>
      <w:r w:rsidRPr="00863B8D">
        <w:rPr>
          <w:color w:val="000000"/>
          <w:sz w:val="22"/>
          <w:szCs w:val="22"/>
          <w:lang w:val="es-CO"/>
        </w:rPr>
        <w:footnoteReference w:id="12"/>
      </w:r>
      <w:r w:rsidRPr="00863B8D">
        <w:rPr>
          <w:color w:val="000000"/>
          <w:sz w:val="22"/>
          <w:szCs w:val="22"/>
          <w:lang w:val="es-CO"/>
        </w:rPr>
        <w:t xml:space="preserve">. </w:t>
      </w:r>
    </w:p>
    <w:p w14:paraId="1C0911AA" w14:textId="77777777" w:rsidR="00863E05" w:rsidRPr="00863B8D" w:rsidRDefault="00863E05" w:rsidP="00863E05">
      <w:pPr>
        <w:pStyle w:val="BodyText"/>
        <w:tabs>
          <w:tab w:val="left" w:pos="720"/>
          <w:tab w:val="left" w:pos="1350"/>
          <w:tab w:val="left" w:pos="1440"/>
          <w:tab w:val="left" w:pos="2880"/>
        </w:tabs>
        <w:kinsoku w:val="0"/>
        <w:overflowPunct w:val="0"/>
        <w:spacing w:after="0"/>
        <w:ind w:right="118"/>
        <w:rPr>
          <w:color w:val="000000"/>
          <w:vertAlign w:val="superscript"/>
        </w:rPr>
      </w:pPr>
    </w:p>
    <w:p w14:paraId="6C9BA63F" w14:textId="03DBA301" w:rsidR="00F1528A" w:rsidRPr="00863B8D" w:rsidRDefault="00F1528A" w:rsidP="00863E05">
      <w:pPr>
        <w:pStyle w:val="BodyText"/>
        <w:tabs>
          <w:tab w:val="left" w:pos="0"/>
          <w:tab w:val="left" w:pos="1350"/>
          <w:tab w:val="left" w:pos="1440"/>
          <w:tab w:val="left" w:pos="2880"/>
        </w:tabs>
        <w:kinsoku w:val="0"/>
        <w:overflowPunct w:val="0"/>
        <w:spacing w:after="0"/>
        <w:ind w:right="118" w:firstLine="720"/>
        <w:rPr>
          <w:color w:val="000000"/>
          <w:vertAlign w:val="superscript"/>
        </w:rPr>
      </w:pPr>
      <w:r w:rsidRPr="00863B8D">
        <w:rPr>
          <w:color w:val="000000"/>
        </w:rPr>
        <w:t xml:space="preserve">Las autoridades de la COMCYT también acordaron extender el Plan de Trabajo de la COMCYT hasta 2021 y dar prioridad en el Plan de Trabajo a los programas y acciones que apoyen </w:t>
      </w:r>
      <w:r w:rsidRPr="00863B8D">
        <w:rPr>
          <w:rFonts w:eastAsia="Times New Roman"/>
        </w:rPr>
        <w:t>la aplicación de la ciencia, la tecnología y la innovación en la respuesta y la recuperación de la pandemia de COVID-19</w:t>
      </w:r>
      <w:r w:rsidRPr="00863B8D">
        <w:rPr>
          <w:color w:val="000000"/>
          <w:vertAlign w:val="superscript"/>
        </w:rPr>
        <w:footnoteReference w:id="13"/>
      </w:r>
      <w:r w:rsidRPr="00863B8D">
        <w:rPr>
          <w:noProof/>
        </w:rPr>
        <w:t>.</w:t>
      </w:r>
    </w:p>
    <w:p w14:paraId="4CEC7347" w14:textId="77777777" w:rsidR="00F1528A" w:rsidRPr="00863B8D" w:rsidRDefault="00F1528A" w:rsidP="00344226">
      <w:pPr>
        <w:pStyle w:val="BodyText"/>
        <w:tabs>
          <w:tab w:val="left" w:pos="720"/>
          <w:tab w:val="left" w:pos="1440"/>
          <w:tab w:val="left" w:pos="2160"/>
          <w:tab w:val="left" w:pos="2880"/>
        </w:tabs>
        <w:kinsoku w:val="0"/>
        <w:overflowPunct w:val="0"/>
        <w:spacing w:after="0"/>
        <w:ind w:right="118"/>
        <w:rPr>
          <w:color w:val="000000"/>
        </w:rPr>
      </w:pPr>
    </w:p>
    <w:p w14:paraId="260F43F6" w14:textId="77777777" w:rsidR="00F1528A" w:rsidRPr="00863B8D" w:rsidRDefault="00F1528A" w:rsidP="00B31B87">
      <w:pPr>
        <w:pStyle w:val="BodyText"/>
        <w:numPr>
          <w:ilvl w:val="0"/>
          <w:numId w:val="24"/>
        </w:numPr>
        <w:tabs>
          <w:tab w:val="left" w:pos="720"/>
          <w:tab w:val="left" w:pos="1440"/>
          <w:tab w:val="left" w:pos="2160"/>
          <w:tab w:val="left" w:pos="2880"/>
        </w:tabs>
        <w:kinsoku w:val="0"/>
        <w:overflowPunct w:val="0"/>
        <w:spacing w:after="0"/>
        <w:ind w:right="118" w:hanging="720"/>
        <w:rPr>
          <w:b/>
          <w:bCs/>
        </w:rPr>
      </w:pPr>
      <w:r w:rsidRPr="00863B8D">
        <w:rPr>
          <w:b/>
          <w:bCs/>
        </w:rPr>
        <w:t xml:space="preserve">La ciencia para la toma de decisiones en la planeación del riesgo de desastres </w:t>
      </w:r>
    </w:p>
    <w:p w14:paraId="32AEEDB0" w14:textId="77777777" w:rsidR="00F1528A" w:rsidRPr="00863B8D" w:rsidRDefault="00F1528A" w:rsidP="00344226">
      <w:pPr>
        <w:jc w:val="both"/>
        <w:rPr>
          <w:color w:val="000000"/>
          <w:sz w:val="22"/>
          <w:szCs w:val="22"/>
          <w:lang w:val="es-CO"/>
        </w:rPr>
      </w:pPr>
    </w:p>
    <w:p w14:paraId="7BE1510D" w14:textId="77777777" w:rsidR="00F1528A" w:rsidRPr="00863B8D" w:rsidRDefault="00F1528A" w:rsidP="00B31B87">
      <w:pPr>
        <w:ind w:firstLine="720"/>
        <w:jc w:val="both"/>
        <w:rPr>
          <w:color w:val="000000"/>
          <w:sz w:val="22"/>
          <w:szCs w:val="22"/>
          <w:lang w:val="es-CO"/>
        </w:rPr>
      </w:pPr>
      <w:r w:rsidRPr="00863B8D">
        <w:rPr>
          <w:color w:val="000000"/>
          <w:sz w:val="22"/>
          <w:szCs w:val="22"/>
          <w:lang w:val="es-CO"/>
        </w:rPr>
        <w:t>El C</w:t>
      </w:r>
      <w:r w:rsidR="00427919" w:rsidRPr="00863B8D">
        <w:rPr>
          <w:color w:val="000000"/>
          <w:sz w:val="22"/>
          <w:szCs w:val="22"/>
          <w:lang w:val="es-CO"/>
        </w:rPr>
        <w:t>OVID</w:t>
      </w:r>
      <w:r w:rsidRPr="00863B8D">
        <w:rPr>
          <w:color w:val="000000"/>
          <w:sz w:val="22"/>
          <w:szCs w:val="22"/>
          <w:lang w:val="es-CO"/>
        </w:rPr>
        <w:t xml:space="preserve">-19 ha puesto de relieve la importancia de la toma de decisiones basada en evidencias no solamente para el manejo de la pandemia, sino también en la gestión de la recuperación social y económica. Conforme los Estados Miembros se preparan para una posible combinación de la pandemia con otros desastres de aparición repentina, como los huracanes, y de inicio lento, como el cambio climático, la necesidad de formular políticas basadas en las ciencias naturales, ambientales, sociales, económicas, de la salud y de ingeniería y en las evidencias nunca ha sido más urgente. </w:t>
      </w:r>
    </w:p>
    <w:p w14:paraId="0DEF50F1" w14:textId="77777777" w:rsidR="00F1528A" w:rsidRPr="00863B8D" w:rsidRDefault="00F1528A" w:rsidP="00B31B87">
      <w:pPr>
        <w:jc w:val="both"/>
        <w:rPr>
          <w:color w:val="000000"/>
          <w:sz w:val="22"/>
          <w:szCs w:val="22"/>
          <w:lang w:val="es-CO"/>
        </w:rPr>
      </w:pPr>
    </w:p>
    <w:p w14:paraId="3100F2B6" w14:textId="77777777" w:rsidR="00F1528A" w:rsidRPr="00863B8D" w:rsidRDefault="00F1528A" w:rsidP="00B31B87">
      <w:pPr>
        <w:ind w:firstLine="720"/>
        <w:jc w:val="both"/>
        <w:rPr>
          <w:color w:val="000000"/>
          <w:sz w:val="22"/>
          <w:szCs w:val="22"/>
          <w:lang w:val="es-CO"/>
        </w:rPr>
      </w:pPr>
      <w:r w:rsidRPr="00863B8D">
        <w:rPr>
          <w:color w:val="000000"/>
          <w:sz w:val="22"/>
          <w:szCs w:val="22"/>
          <w:lang w:val="es-CO"/>
        </w:rPr>
        <w:lastRenderedPageBreak/>
        <w:t xml:space="preserve">El éxito de la toma de decisiones basada en evidencias depende de los procesos que la apoyen. Es necesario un enfoque interdisciplinario en la generación de la ciencia y también se requieren enfoques incluyentes y participativos hacia la toma de decisiones. En estos ámbitos han surgido innovaciones notables —como las tecnologías de información geoespacial, la tecnología de drones, los sistemas de alerta temprana y las plataformas para el intercambio de conocimientos— que deben apoyarse y desarrollarse. Se requiere mayor inversión en estas y otras áreas que ayudan a eliminar las barreras para que la ciencia y la tecnología se utilicen en el fortalecimiento de la resiliencia a los desastres. </w:t>
      </w:r>
    </w:p>
    <w:p w14:paraId="0C6BFCB3" w14:textId="77777777" w:rsidR="00F1528A" w:rsidRPr="00863B8D" w:rsidRDefault="00F1528A" w:rsidP="00B31B87">
      <w:pPr>
        <w:jc w:val="both"/>
        <w:rPr>
          <w:color w:val="000000"/>
          <w:sz w:val="22"/>
          <w:szCs w:val="22"/>
          <w:lang w:val="es-CO"/>
        </w:rPr>
      </w:pPr>
    </w:p>
    <w:p w14:paraId="25CA0491" w14:textId="77777777" w:rsidR="00F1528A" w:rsidRPr="00863B8D" w:rsidRDefault="00F1528A" w:rsidP="00B31B87">
      <w:pPr>
        <w:ind w:firstLine="720"/>
        <w:jc w:val="both"/>
        <w:rPr>
          <w:color w:val="000000"/>
          <w:sz w:val="22"/>
          <w:szCs w:val="22"/>
          <w:lang w:val="es-CO"/>
        </w:rPr>
      </w:pPr>
      <w:r w:rsidRPr="00863B8D">
        <w:rPr>
          <w:color w:val="000000"/>
          <w:sz w:val="22"/>
          <w:szCs w:val="22"/>
          <w:lang w:val="es-CO"/>
        </w:rPr>
        <w:t>En este contexto, se propone enfocarnos en las siguientes áreas:</w:t>
      </w:r>
    </w:p>
    <w:p w14:paraId="521E0897" w14:textId="77777777" w:rsidR="00F1528A" w:rsidRPr="00863B8D" w:rsidRDefault="00F1528A" w:rsidP="00B31B87">
      <w:pPr>
        <w:jc w:val="both"/>
        <w:rPr>
          <w:color w:val="000000"/>
          <w:sz w:val="22"/>
          <w:szCs w:val="22"/>
          <w:lang w:val="es-CO"/>
        </w:rPr>
      </w:pPr>
    </w:p>
    <w:p w14:paraId="653C617E"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 xml:space="preserve">La investigación de diseños, normas y aplicaciones de materiales e infraestructura </w:t>
      </w:r>
      <w:proofErr w:type="spellStart"/>
      <w:r w:rsidRPr="00863B8D">
        <w:rPr>
          <w:color w:val="000000"/>
          <w:sz w:val="22"/>
          <w:szCs w:val="22"/>
          <w:lang w:val="es-CO"/>
        </w:rPr>
        <w:t>resilientes</w:t>
      </w:r>
      <w:proofErr w:type="spellEnd"/>
      <w:r w:rsidRPr="00863B8D">
        <w:rPr>
          <w:color w:val="000000"/>
          <w:sz w:val="22"/>
          <w:szCs w:val="22"/>
          <w:lang w:val="es-CO"/>
        </w:rPr>
        <w:t xml:space="preserve"> a desastres (metrología de desastres). </w:t>
      </w:r>
    </w:p>
    <w:p w14:paraId="58751A67"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 xml:space="preserve">El fortalecimiento institucional y de las capacidades en el uso de los sistemas de información geográfica y la </w:t>
      </w:r>
      <w:proofErr w:type="spellStart"/>
      <w:r w:rsidRPr="00863B8D">
        <w:rPr>
          <w:color w:val="000000"/>
          <w:sz w:val="22"/>
          <w:szCs w:val="22"/>
          <w:lang w:val="es-CO"/>
        </w:rPr>
        <w:t>teleobservación</w:t>
      </w:r>
      <w:proofErr w:type="spellEnd"/>
      <w:r w:rsidRPr="00863B8D">
        <w:rPr>
          <w:color w:val="000000"/>
          <w:sz w:val="22"/>
          <w:szCs w:val="22"/>
          <w:lang w:val="es-CO"/>
        </w:rPr>
        <w:t>.</w:t>
      </w:r>
    </w:p>
    <w:p w14:paraId="1F82D662"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El fortalecimiento de la capacidad para la evaluación posterior a los desastres centrada en “reconstruir mejor”.</w:t>
      </w:r>
    </w:p>
    <w:p w14:paraId="796735D4"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El fortalecimiento de las capacidades en la reducción comunitaria del riesgo de desastres, incluyendo mapas de amenazas y evaluaciones de vulnerabilidad.</w:t>
      </w:r>
    </w:p>
    <w:p w14:paraId="07890A1E"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El diseño y uso de los sistemas de alerta temprana.</w:t>
      </w:r>
    </w:p>
    <w:p w14:paraId="2F55DD5E"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La gestión de la logística.</w:t>
      </w:r>
    </w:p>
    <w:p w14:paraId="0C1A2908"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La agricultura resiliente.</w:t>
      </w:r>
    </w:p>
    <w:p w14:paraId="62A4CF20"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 xml:space="preserve">El manejo integral del riesgo de amenazas. </w:t>
      </w:r>
    </w:p>
    <w:p w14:paraId="67AAF9CE" w14:textId="77777777" w:rsidR="00F1528A" w:rsidRPr="00863B8D" w:rsidRDefault="00F1528A" w:rsidP="00E72DC0">
      <w:pPr>
        <w:pStyle w:val="ListParagraph"/>
        <w:numPr>
          <w:ilvl w:val="1"/>
          <w:numId w:val="40"/>
        </w:numPr>
        <w:jc w:val="both"/>
        <w:rPr>
          <w:color w:val="000000"/>
          <w:sz w:val="22"/>
          <w:szCs w:val="22"/>
          <w:lang w:val="es-CO"/>
        </w:rPr>
      </w:pPr>
      <w:r w:rsidRPr="00863B8D">
        <w:rPr>
          <w:color w:val="000000"/>
          <w:sz w:val="22"/>
          <w:szCs w:val="22"/>
          <w:lang w:val="es-CO"/>
        </w:rPr>
        <w:t>La resiliencia ciudadana.</w:t>
      </w:r>
    </w:p>
    <w:p w14:paraId="253E455B" w14:textId="77777777" w:rsidR="00F1528A" w:rsidRPr="00863B8D" w:rsidRDefault="00444F10" w:rsidP="00344226">
      <w:pPr>
        <w:jc w:val="both"/>
        <w:rPr>
          <w:color w:val="000000"/>
          <w:sz w:val="22"/>
          <w:szCs w:val="22"/>
          <w:lang w:val="es-CO"/>
        </w:rPr>
      </w:pPr>
      <w:r w:rsidRPr="00863B8D">
        <w:rPr>
          <w:noProof/>
          <w:color w:val="000000"/>
          <w:sz w:val="22"/>
          <w:szCs w:val="22"/>
          <w:lang w:val="en-US" w:eastAsia="en-US"/>
        </w:rPr>
        <mc:AlternateContent>
          <mc:Choice Requires="wps">
            <w:drawing>
              <wp:anchor distT="0" distB="0" distL="114300" distR="114300" simplePos="0" relativeHeight="251658240" behindDoc="0" locked="1" layoutInCell="1" allowOverlap="1" wp14:anchorId="60F76EA7" wp14:editId="7ADB26E1">
                <wp:simplePos x="0" y="0"/>
                <wp:positionH relativeFrom="column">
                  <wp:posOffset>-88265</wp:posOffset>
                </wp:positionH>
                <wp:positionV relativeFrom="page">
                  <wp:posOffset>9343390</wp:posOffset>
                </wp:positionV>
                <wp:extent cx="3383280" cy="3524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52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6B10FD" w14:textId="1DC47F1F" w:rsidR="002E273B" w:rsidRPr="00427919" w:rsidRDefault="002E273B">
                            <w:pPr>
                              <w:rPr>
                                <w:sz w:val="18"/>
                              </w:rPr>
                            </w:pPr>
                            <w:r>
                              <w:rPr>
                                <w:sz w:val="18"/>
                              </w:rPr>
                              <w:fldChar w:fldCharType="begin"/>
                            </w:r>
                            <w:r>
                              <w:rPr>
                                <w:sz w:val="18"/>
                              </w:rPr>
                              <w:instrText xml:space="preserve"> FILENAME  \* MERGEFORMAT </w:instrText>
                            </w:r>
                            <w:r>
                              <w:rPr>
                                <w:sz w:val="18"/>
                              </w:rPr>
                              <w:fldChar w:fldCharType="separate"/>
                            </w:r>
                            <w:r w:rsidR="00362782">
                              <w:rPr>
                                <w:noProof/>
                                <w:sz w:val="18"/>
                              </w:rPr>
                              <w:t>CIDRP02993S01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6EA7" id="_x0000_t202" coordsize="21600,21600" o:spt="202" path="m,l,21600r21600,l21600,xe">
                <v:stroke joinstyle="miter"/>
                <v:path gradientshapeok="t" o:connecttype="rect"/>
              </v:shapetype>
              <v:shape id="Text Box 4" o:spid="_x0000_s1026" type="#_x0000_t202" style="position:absolute;left:0;text-align:left;margin-left:-6.95pt;margin-top:735.7pt;width:266.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" filled="f" stroked="f">
                <v:textbox>
                  <w:txbxContent>
                    <w:p w14:paraId="4F6B10FD" w14:textId="1DC47F1F" w:rsidR="002E273B" w:rsidRPr="00427919" w:rsidRDefault="002E273B">
                      <w:pPr>
                        <w:rPr>
                          <w:sz w:val="18"/>
                        </w:rPr>
                      </w:pPr>
                      <w:r>
                        <w:rPr>
                          <w:sz w:val="18"/>
                        </w:rPr>
                        <w:fldChar w:fldCharType="begin"/>
                      </w:r>
                      <w:r>
                        <w:rPr>
                          <w:sz w:val="18"/>
                        </w:rPr>
                        <w:instrText xml:space="preserve"> FILENAME  \* MERGEFORMAT </w:instrText>
                      </w:r>
                      <w:r>
                        <w:rPr>
                          <w:sz w:val="18"/>
                        </w:rPr>
                        <w:fldChar w:fldCharType="separate"/>
                      </w:r>
                      <w:r w:rsidR="00362782">
                        <w:rPr>
                          <w:noProof/>
                          <w:sz w:val="18"/>
                        </w:rPr>
                        <w:t>CIDRP02993S01</w:t>
                      </w:r>
                      <w:r>
                        <w:rPr>
                          <w:sz w:val="18"/>
                        </w:rPr>
                        <w:fldChar w:fldCharType="end"/>
                      </w:r>
                    </w:p>
                  </w:txbxContent>
                </v:textbox>
                <w10:wrap anchory="page"/>
                <w10:anchorlock/>
              </v:shape>
            </w:pict>
          </mc:Fallback>
        </mc:AlternateContent>
      </w:r>
    </w:p>
    <w:sectPr w:rsidR="00F1528A" w:rsidRPr="00863B8D" w:rsidSect="00D63958">
      <w:headerReference w:type="even" r:id="rId10"/>
      <w:headerReference w:type="default" r:id="rId11"/>
      <w:type w:val="oddPage"/>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5E7F3" w14:textId="77777777" w:rsidR="002E273B" w:rsidRPr="00344226" w:rsidRDefault="002E273B" w:rsidP="00C30F2F">
      <w:pPr>
        <w:rPr>
          <w:noProof/>
          <w:lang w:val="en-US"/>
        </w:rPr>
      </w:pPr>
      <w:r w:rsidRPr="00344226">
        <w:rPr>
          <w:noProof/>
          <w:lang w:val="en-US"/>
        </w:rPr>
        <w:separator/>
      </w:r>
    </w:p>
  </w:endnote>
  <w:endnote w:type="continuationSeparator" w:id="0">
    <w:p w14:paraId="3144D7AC" w14:textId="77777777" w:rsidR="002E273B" w:rsidRPr="00344226" w:rsidRDefault="002E273B" w:rsidP="00C30F2F">
      <w:pPr>
        <w:rPr>
          <w:noProof/>
          <w:lang w:val="en-US"/>
        </w:rPr>
      </w:pPr>
      <w:r w:rsidRPr="00344226">
        <w:rPr>
          <w:noProof/>
          <w:lang w:val="en-US"/>
        </w:rPr>
        <w:continuationSeparator/>
      </w:r>
    </w:p>
  </w:endnote>
  <w:endnote w:type="continuationNotice" w:id="1">
    <w:p w14:paraId="1F4469D8" w14:textId="77777777" w:rsidR="002E273B" w:rsidRDefault="002E2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480D" w14:textId="77777777" w:rsidR="002E273B" w:rsidRPr="00344226" w:rsidRDefault="002E273B" w:rsidP="00C30F2F">
      <w:pPr>
        <w:rPr>
          <w:noProof/>
          <w:lang w:val="en-US"/>
        </w:rPr>
      </w:pPr>
      <w:r w:rsidRPr="00344226">
        <w:rPr>
          <w:noProof/>
          <w:lang w:val="en-US"/>
        </w:rPr>
        <w:separator/>
      </w:r>
    </w:p>
  </w:footnote>
  <w:footnote w:type="continuationSeparator" w:id="0">
    <w:p w14:paraId="5847E0AD" w14:textId="77777777" w:rsidR="002E273B" w:rsidRPr="00344226" w:rsidRDefault="002E273B" w:rsidP="00C30F2F">
      <w:pPr>
        <w:rPr>
          <w:noProof/>
          <w:lang w:val="en-US"/>
        </w:rPr>
      </w:pPr>
      <w:r w:rsidRPr="00344226">
        <w:rPr>
          <w:noProof/>
          <w:lang w:val="en-US"/>
        </w:rPr>
        <w:continuationSeparator/>
      </w:r>
    </w:p>
  </w:footnote>
  <w:footnote w:type="continuationNotice" w:id="1">
    <w:p w14:paraId="39450D0F" w14:textId="77777777" w:rsidR="002E273B" w:rsidRDefault="002E273B"/>
  </w:footnote>
  <w:footnote w:id="2">
    <w:p w14:paraId="603EAF36" w14:textId="1FEE7023" w:rsidR="002E273B" w:rsidRPr="001C423E" w:rsidRDefault="002E273B" w:rsidP="006540F7">
      <w:pPr>
        <w:pStyle w:val="FootnoteText"/>
        <w:ind w:left="720" w:hanging="360"/>
        <w:rPr>
          <w:lang w:val="en-US"/>
        </w:rPr>
      </w:pPr>
      <w:r w:rsidRPr="00A562D7">
        <w:rPr>
          <w:rStyle w:val="FootnoteReference"/>
          <w:noProof/>
          <w:lang w:val="en-US"/>
        </w:rPr>
        <w:footnoteRef/>
      </w:r>
      <w:r w:rsidRPr="00A562D7">
        <w:rPr>
          <w:rStyle w:val="FootnoteReference"/>
          <w:noProof/>
        </w:rPr>
        <w:t xml:space="preserve"> </w:t>
      </w:r>
      <w:r>
        <w:rPr>
          <w:noProof/>
        </w:rPr>
        <w:tab/>
      </w:r>
      <w:r w:rsidRPr="00A562D7">
        <w:rPr>
          <w:rStyle w:val="FootnoteReference"/>
          <w:noProof/>
          <w:sz w:val="18"/>
          <w:szCs w:val="18"/>
          <w:vertAlign w:val="baseline"/>
          <w:lang w:val="en-US"/>
        </w:rPr>
        <w:t>Oficina de las Naciones Unidas para la Reducción del Riesgo de Desastres (UNDRR). Terminologí</w:t>
      </w:r>
      <w:r w:rsidR="006960F9">
        <w:rPr>
          <w:rStyle w:val="FootnoteReference"/>
          <w:noProof/>
          <w:sz w:val="18"/>
          <w:szCs w:val="18"/>
          <w:vertAlign w:val="baseline"/>
          <w:lang w:val="en-US"/>
        </w:rPr>
        <w:t xml:space="preserve">a. </w:t>
      </w:r>
      <w:hyperlink r:id="rId1" w:history="1">
        <w:r w:rsidR="006960F9" w:rsidRPr="00A562D7">
          <w:rPr>
            <w:rStyle w:val="Hyperlink"/>
            <w:sz w:val="18"/>
            <w:szCs w:val="18"/>
            <w:lang w:val="es-CO"/>
          </w:rPr>
          <w:t>https://www.undrr.org/terminology/resilience</w:t>
        </w:r>
      </w:hyperlink>
      <w:r w:rsidR="006960F9">
        <w:rPr>
          <w:sz w:val="18"/>
          <w:szCs w:val="18"/>
          <w:lang w:val="en-US"/>
        </w:rPr>
        <w:t xml:space="preserve">. </w:t>
      </w:r>
      <w:bookmarkStart w:id="0" w:name="_GoBack"/>
      <w:bookmarkEnd w:id="0"/>
    </w:p>
  </w:footnote>
  <w:footnote w:id="3">
    <w:p w14:paraId="5FD4867A" w14:textId="0E7C58AC" w:rsidR="002E273B" w:rsidRPr="00A562D7" w:rsidRDefault="002E273B" w:rsidP="001B1D03">
      <w:pPr>
        <w:pStyle w:val="FootnoteText"/>
        <w:tabs>
          <w:tab w:val="left" w:pos="720"/>
        </w:tabs>
        <w:ind w:left="720" w:hanging="360"/>
        <w:rPr>
          <w:sz w:val="18"/>
          <w:szCs w:val="18"/>
          <w:lang w:val="en-US"/>
        </w:rPr>
      </w:pPr>
      <w:r w:rsidRPr="00A562D7">
        <w:rPr>
          <w:rStyle w:val="FootnoteReference"/>
          <w:noProof/>
          <w:sz w:val="18"/>
          <w:szCs w:val="18"/>
          <w:lang w:val="en-US"/>
        </w:rPr>
        <w:footnoteRef/>
      </w:r>
      <w:r w:rsidRPr="00A562D7">
        <w:rPr>
          <w:noProof/>
          <w:sz w:val="18"/>
          <w:szCs w:val="18"/>
        </w:rPr>
        <w:tab/>
        <w:t>Comisión Económica para América Latina y el Caribe (julio 2020</w:t>
      </w:r>
      <w:hyperlink r:id="rId2" w:history="1">
        <w:r w:rsidRPr="00A562D7">
          <w:rPr>
            <w:rStyle w:val="Hyperlink"/>
            <w:noProof/>
            <w:sz w:val="18"/>
            <w:szCs w:val="18"/>
          </w:rPr>
          <w:t xml:space="preserve">). </w:t>
        </w:r>
        <w:r w:rsidRPr="00A562D7">
          <w:rPr>
            <w:rStyle w:val="Hyperlink"/>
            <w:noProof/>
            <w:sz w:val="18"/>
            <w:szCs w:val="18"/>
            <w:lang w:val="en-US"/>
          </w:rPr>
          <w:t>Addressing the growing impact of COVID-19 with a view to reactivation with equality:  new projections.</w:t>
        </w:r>
      </w:hyperlink>
    </w:p>
  </w:footnote>
  <w:footnote w:id="4">
    <w:p w14:paraId="7737EAAE" w14:textId="77777777" w:rsidR="002E273B" w:rsidRPr="00427919" w:rsidRDefault="002E273B" w:rsidP="00B31B87">
      <w:pPr>
        <w:pStyle w:val="FootnoteText"/>
        <w:tabs>
          <w:tab w:val="left" w:pos="360"/>
        </w:tabs>
        <w:ind w:left="720" w:hanging="360"/>
      </w:pPr>
      <w:r w:rsidRPr="00A562D7">
        <w:rPr>
          <w:rStyle w:val="FootnoteReference"/>
          <w:noProof/>
          <w:sz w:val="18"/>
          <w:szCs w:val="18"/>
          <w:lang w:val="en-US"/>
        </w:rPr>
        <w:footnoteRef/>
      </w:r>
      <w:r w:rsidRPr="00A562D7">
        <w:rPr>
          <w:noProof/>
          <w:sz w:val="18"/>
          <w:szCs w:val="18"/>
        </w:rPr>
        <w:t xml:space="preserve"> </w:t>
      </w:r>
      <w:r w:rsidRPr="00A562D7">
        <w:rPr>
          <w:noProof/>
          <w:sz w:val="18"/>
          <w:szCs w:val="18"/>
        </w:rPr>
        <w:tab/>
        <w:t xml:space="preserve">Banco Interamericano de Desarrollo (mayo 2020). </w:t>
      </w:r>
      <w:hyperlink r:id="rId3" w:history="1">
        <w:r w:rsidRPr="00A562D7">
          <w:rPr>
            <w:rStyle w:val="Hyperlink"/>
            <w:noProof/>
            <w:sz w:val="18"/>
            <w:szCs w:val="18"/>
          </w:rPr>
          <w:t>Covid-19: El desafío de garantizar ayuda a los trabajadores informarles y vulnerables.</w:t>
        </w:r>
        <w:r w:rsidRPr="00427919">
          <w:rPr>
            <w:rStyle w:val="Hyperlink"/>
            <w:noProof/>
          </w:rPr>
          <w:t xml:space="preserve"> </w:t>
        </w:r>
      </w:hyperlink>
      <w:r w:rsidRPr="00427919">
        <w:rPr>
          <w:noProof/>
        </w:rPr>
        <w:t xml:space="preserve"> </w:t>
      </w:r>
    </w:p>
  </w:footnote>
  <w:footnote w:id="5">
    <w:p w14:paraId="373318C9" w14:textId="77777777" w:rsidR="002E273B" w:rsidRPr="00A562D7" w:rsidRDefault="002E273B" w:rsidP="00B31B87">
      <w:pPr>
        <w:pStyle w:val="FootnoteText"/>
        <w:tabs>
          <w:tab w:val="left" w:pos="360"/>
        </w:tabs>
        <w:ind w:left="720" w:hanging="360"/>
        <w:rPr>
          <w:sz w:val="18"/>
          <w:szCs w:val="18"/>
          <w:lang w:val="en-US"/>
        </w:rPr>
      </w:pPr>
      <w:r w:rsidRPr="00A562D7">
        <w:rPr>
          <w:rStyle w:val="FootnoteReference"/>
          <w:noProof/>
          <w:sz w:val="18"/>
          <w:szCs w:val="18"/>
          <w:lang w:val="en-US"/>
        </w:rPr>
        <w:footnoteRef/>
      </w:r>
      <w:r w:rsidRPr="00A562D7">
        <w:rPr>
          <w:noProof/>
          <w:sz w:val="18"/>
          <w:szCs w:val="18"/>
          <w:vertAlign w:val="superscript"/>
        </w:rPr>
        <w:t xml:space="preserve"> </w:t>
      </w:r>
      <w:r w:rsidRPr="00A562D7">
        <w:rPr>
          <w:noProof/>
          <w:sz w:val="18"/>
          <w:szCs w:val="18"/>
        </w:rPr>
        <w:tab/>
        <w:t xml:space="preserve">Banco Interamericano de Desarrollo (junio 2020). </w:t>
      </w:r>
      <w:hyperlink r:id="rId4" w:history="1">
        <w:r w:rsidRPr="00A562D7">
          <w:rPr>
            <w:rStyle w:val="Hyperlink"/>
            <w:noProof/>
            <w:sz w:val="18"/>
            <w:szCs w:val="18"/>
            <w:lang w:val="en-US"/>
          </w:rPr>
          <w:t>Extreme Outlier: The Pandemic’s Unprecedented Shock to Tourism in Latin America and the Caribbean</w:t>
        </w:r>
      </w:hyperlink>
      <w:r w:rsidRPr="00A562D7">
        <w:rPr>
          <w:sz w:val="18"/>
          <w:szCs w:val="18"/>
          <w:lang w:val="en-US"/>
        </w:rPr>
        <w:t>.</w:t>
      </w:r>
    </w:p>
  </w:footnote>
  <w:footnote w:id="6">
    <w:p w14:paraId="3E4AAF5C" w14:textId="77777777" w:rsidR="002E273B" w:rsidRPr="00A562D7" w:rsidRDefault="002E273B" w:rsidP="00427919">
      <w:pPr>
        <w:pStyle w:val="FootnoteText"/>
        <w:tabs>
          <w:tab w:val="left" w:pos="360"/>
          <w:tab w:val="left" w:pos="720"/>
        </w:tabs>
        <w:ind w:left="720" w:hanging="360"/>
        <w:rPr>
          <w:sz w:val="18"/>
          <w:szCs w:val="18"/>
        </w:rPr>
      </w:pPr>
      <w:r w:rsidRPr="00A562D7">
        <w:rPr>
          <w:rStyle w:val="FootnoteReference"/>
          <w:noProof/>
          <w:sz w:val="18"/>
          <w:szCs w:val="18"/>
          <w:lang w:val="en-US"/>
        </w:rPr>
        <w:footnoteRef/>
      </w:r>
      <w:r w:rsidRPr="00427919">
        <w:rPr>
          <w:noProof/>
        </w:rPr>
        <w:t xml:space="preserve"> </w:t>
      </w:r>
      <w:r w:rsidRPr="00427919">
        <w:rPr>
          <w:noProof/>
        </w:rPr>
        <w:tab/>
      </w:r>
      <w:r w:rsidRPr="00A562D7">
        <w:rPr>
          <w:noProof/>
          <w:sz w:val="18"/>
          <w:szCs w:val="18"/>
        </w:rPr>
        <w:t xml:space="preserve">El Índice de Dependencia del Turismo se calcula utilizando promedios de cinco años (2014- 2018) de la contribución total del turismo a los ingresos por exportaciones, el PIB y el empleo para cada país. La escala va de cero a 100, donde el 100 representa la dependencia total del sector. </w:t>
      </w:r>
    </w:p>
  </w:footnote>
  <w:footnote w:id="7">
    <w:p w14:paraId="52363C2E" w14:textId="77777777" w:rsidR="002E273B" w:rsidRPr="00A562D7" w:rsidRDefault="002E273B" w:rsidP="00427919">
      <w:pPr>
        <w:pStyle w:val="FootnoteText"/>
        <w:tabs>
          <w:tab w:val="left" w:pos="360"/>
          <w:tab w:val="left" w:pos="720"/>
        </w:tabs>
        <w:ind w:left="720" w:hanging="360"/>
        <w:rPr>
          <w:sz w:val="18"/>
          <w:szCs w:val="18"/>
        </w:rPr>
      </w:pPr>
      <w:r w:rsidRPr="00A562D7">
        <w:rPr>
          <w:rStyle w:val="FootnoteReference"/>
          <w:noProof/>
          <w:sz w:val="18"/>
          <w:szCs w:val="18"/>
          <w:lang w:val="en-US"/>
        </w:rPr>
        <w:footnoteRef/>
      </w:r>
      <w:r w:rsidRPr="00A562D7">
        <w:rPr>
          <w:noProof/>
          <w:sz w:val="18"/>
          <w:szCs w:val="18"/>
        </w:rPr>
        <w:t xml:space="preserve"> </w:t>
      </w:r>
      <w:r w:rsidRPr="00A562D7">
        <w:rPr>
          <w:noProof/>
          <w:sz w:val="18"/>
          <w:szCs w:val="18"/>
        </w:rPr>
        <w:tab/>
        <w:t xml:space="preserve">Ibid. </w:t>
      </w:r>
    </w:p>
  </w:footnote>
  <w:footnote w:id="8">
    <w:p w14:paraId="18AC9EB1" w14:textId="0B827974" w:rsidR="002E273B" w:rsidRPr="00A562D7" w:rsidRDefault="002E273B" w:rsidP="00E96B04">
      <w:pPr>
        <w:pStyle w:val="FootnoteText"/>
        <w:tabs>
          <w:tab w:val="left" w:pos="360"/>
          <w:tab w:val="left" w:pos="720"/>
        </w:tabs>
        <w:ind w:left="720" w:hanging="360"/>
        <w:rPr>
          <w:noProof/>
          <w:sz w:val="18"/>
          <w:szCs w:val="18"/>
          <w:highlight w:val="green"/>
        </w:rPr>
      </w:pPr>
      <w:r w:rsidRPr="00A562D7">
        <w:rPr>
          <w:noProof/>
          <w:sz w:val="18"/>
          <w:szCs w:val="18"/>
          <w:vertAlign w:val="superscript"/>
        </w:rPr>
        <w:footnoteRef/>
      </w:r>
      <w:r w:rsidRPr="00A562D7">
        <w:rPr>
          <w:noProof/>
          <w:sz w:val="18"/>
          <w:szCs w:val="18"/>
        </w:rPr>
        <w:t xml:space="preserve"> </w:t>
      </w:r>
      <w:r w:rsidRPr="00A562D7">
        <w:rPr>
          <w:noProof/>
          <w:sz w:val="18"/>
          <w:szCs w:val="18"/>
        </w:rPr>
        <w:tab/>
        <w:t xml:space="preserve">El Concejo Mundial de Viajes y Turismo (WTTC por sus siglas en inglés) define contribución directa como el </w:t>
      </w:r>
      <w:r w:rsidRPr="00A562D7">
        <w:rPr>
          <w:noProof/>
          <w:sz w:val="18"/>
          <w:szCs w:val="18"/>
          <w:lang w:val="es-ES_tradnl"/>
        </w:rPr>
        <w:t xml:space="preserve">PIB generado por industrias que tratan directamente con turistas, incluyendo hoteles, agentes de viajes, aerolineas y otros servicios de transporte de pasajeros, así como también las actividades de las industrias gastronómicas y de ocio que trabajan directamente con turistas. </w:t>
      </w:r>
      <w:r w:rsidRPr="00A562D7">
        <w:rPr>
          <w:noProof/>
          <w:sz w:val="18"/>
          <w:szCs w:val="18"/>
        </w:rPr>
        <w:t xml:space="preserve">Informes de Impacto Económico WTTC/Oxford Economics (2019). </w:t>
      </w:r>
      <w:hyperlink r:id="rId5" w:history="1">
        <w:r w:rsidRPr="00294C49">
          <w:rPr>
            <w:noProof/>
            <w:color w:val="0000FF"/>
            <w:sz w:val="18"/>
            <w:szCs w:val="18"/>
            <w:u w:val="single"/>
            <w:lang w:val="es-US"/>
          </w:rPr>
          <w:t>https://wttc.org/Research/Economic-Impact</w:t>
        </w:r>
      </w:hyperlink>
      <w:r w:rsidRPr="00A562D7">
        <w:rPr>
          <w:noProof/>
          <w:sz w:val="18"/>
          <w:szCs w:val="18"/>
        </w:rPr>
        <w:t xml:space="preserve"> </w:t>
      </w:r>
    </w:p>
  </w:footnote>
  <w:footnote w:id="9">
    <w:p w14:paraId="68ED921A" w14:textId="2D3BD9B9" w:rsidR="002E273B" w:rsidRPr="00A562D7" w:rsidRDefault="002E273B" w:rsidP="005370EA">
      <w:pPr>
        <w:pStyle w:val="FootnoteText"/>
        <w:tabs>
          <w:tab w:val="left" w:pos="360"/>
          <w:tab w:val="left" w:pos="720"/>
        </w:tabs>
        <w:ind w:left="720" w:hanging="360"/>
        <w:rPr>
          <w:noProof/>
          <w:sz w:val="18"/>
          <w:szCs w:val="18"/>
          <w:lang w:val="en-US"/>
        </w:rPr>
      </w:pPr>
      <w:r w:rsidRPr="00A562D7">
        <w:rPr>
          <w:noProof/>
          <w:sz w:val="18"/>
          <w:szCs w:val="18"/>
          <w:vertAlign w:val="superscript"/>
        </w:rPr>
        <w:footnoteRef/>
      </w:r>
      <w:r w:rsidRPr="00A562D7">
        <w:rPr>
          <w:noProof/>
          <w:sz w:val="18"/>
          <w:szCs w:val="18"/>
        </w:rPr>
        <w:t xml:space="preserve"> </w:t>
      </w:r>
      <w:r w:rsidRPr="00A562D7">
        <w:rPr>
          <w:noProof/>
          <w:sz w:val="18"/>
          <w:szCs w:val="18"/>
        </w:rPr>
        <w:tab/>
        <w:t>Organizaci</w:t>
      </w:r>
      <w:r w:rsidRPr="00A562D7">
        <w:rPr>
          <w:noProof/>
          <w:sz w:val="18"/>
          <w:szCs w:val="18"/>
          <w:lang w:val="es-ES_tradnl"/>
        </w:rPr>
        <w:t>ón Mundial del Turismo</w:t>
      </w:r>
      <w:r w:rsidRPr="00A562D7">
        <w:rPr>
          <w:noProof/>
          <w:sz w:val="18"/>
          <w:szCs w:val="18"/>
        </w:rPr>
        <w:t xml:space="preserve"> (OMT). </w:t>
      </w:r>
      <w:r w:rsidRPr="00294C49">
        <w:rPr>
          <w:noProof/>
          <w:sz w:val="18"/>
          <w:szCs w:val="18"/>
          <w:lang w:val="en-US"/>
        </w:rPr>
        <w:t xml:space="preserve">(Abril, 2020). </w:t>
      </w:r>
      <w:hyperlink r:id="rId6" w:history="1">
        <w:r w:rsidRPr="00A562D7">
          <w:rPr>
            <w:rStyle w:val="Hyperlink"/>
            <w:sz w:val="18"/>
            <w:szCs w:val="18"/>
            <w:lang w:val="en-US"/>
          </w:rPr>
          <w:t>“</w:t>
        </w:r>
        <w:r w:rsidRPr="00A562D7">
          <w:rPr>
            <w:rStyle w:val="Hyperlink"/>
            <w:iCs/>
            <w:noProof/>
            <w:sz w:val="18"/>
            <w:szCs w:val="18"/>
            <w:lang w:val="en-US"/>
          </w:rPr>
          <w:t>Supporting Jobs and Economies through Travel &amp; Tourism – A Call for Action to Mitigate the Socio-Economic Impact of COVID-19 and Accelerate Recovery”</w:t>
        </w:r>
      </w:hyperlink>
      <w:r w:rsidRPr="00A562D7">
        <w:rPr>
          <w:iCs/>
          <w:noProof/>
          <w:sz w:val="18"/>
          <w:szCs w:val="18"/>
          <w:lang w:val="en-US"/>
        </w:rPr>
        <w:t>.</w:t>
      </w:r>
      <w:r w:rsidRPr="00A562D7">
        <w:rPr>
          <w:noProof/>
          <w:sz w:val="18"/>
          <w:szCs w:val="18"/>
          <w:lang w:val="en-US"/>
        </w:rPr>
        <w:t xml:space="preserve"> </w:t>
      </w:r>
    </w:p>
    <w:p w14:paraId="084924B4" w14:textId="589C3276" w:rsidR="002E273B" w:rsidRPr="00294C49" w:rsidRDefault="002E273B" w:rsidP="00E96B04">
      <w:pPr>
        <w:pStyle w:val="FootnoteText"/>
        <w:tabs>
          <w:tab w:val="left" w:pos="360"/>
          <w:tab w:val="left" w:pos="720"/>
        </w:tabs>
        <w:ind w:left="720" w:hanging="360"/>
        <w:rPr>
          <w:lang w:val="en-US"/>
        </w:rPr>
      </w:pPr>
    </w:p>
  </w:footnote>
  <w:footnote w:id="10">
    <w:p w14:paraId="05AF8FCC" w14:textId="77777777" w:rsidR="002E273B" w:rsidRPr="002E273B" w:rsidRDefault="002E273B" w:rsidP="00427919">
      <w:pPr>
        <w:pStyle w:val="FootnoteText"/>
        <w:tabs>
          <w:tab w:val="left" w:pos="360"/>
          <w:tab w:val="left" w:pos="720"/>
        </w:tabs>
        <w:ind w:left="720" w:hanging="360"/>
        <w:jc w:val="both"/>
        <w:rPr>
          <w:sz w:val="18"/>
          <w:szCs w:val="18"/>
          <w:lang w:val="en-US"/>
        </w:rPr>
      </w:pPr>
      <w:r w:rsidRPr="00A562D7">
        <w:rPr>
          <w:rStyle w:val="FootnoteReference"/>
          <w:noProof/>
          <w:lang w:val="en-US"/>
        </w:rPr>
        <w:footnoteRef/>
      </w:r>
      <w:r w:rsidRPr="00A562D7">
        <w:rPr>
          <w:rStyle w:val="FootnoteReference"/>
          <w:noProof/>
        </w:rPr>
        <w:t xml:space="preserve"> </w:t>
      </w:r>
      <w:r w:rsidRPr="00427919">
        <w:rPr>
          <w:rStyle w:val="FootnoteReference"/>
          <w:noProof/>
          <w:vertAlign w:val="baseline"/>
        </w:rPr>
        <w:tab/>
      </w:r>
      <w:r w:rsidRPr="002E273B">
        <w:rPr>
          <w:noProof/>
          <w:sz w:val="18"/>
          <w:szCs w:val="18"/>
        </w:rPr>
        <w:t xml:space="preserve">Consejo Económico y Social de la Organización de las Naciones Unidas (marzo 2019). </w:t>
      </w:r>
      <w:hyperlink r:id="rId7" w:history="1">
        <w:r w:rsidRPr="002E273B">
          <w:rPr>
            <w:rStyle w:val="Hyperlink"/>
            <w:noProof/>
            <w:sz w:val="18"/>
            <w:szCs w:val="18"/>
            <w:lang w:val="en-US"/>
          </w:rPr>
          <w:t>The Role of Science, Technology and Innovation in Building Resilient Communities, Including through the Contribution of Citizen Science.</w:t>
        </w:r>
      </w:hyperlink>
    </w:p>
  </w:footnote>
  <w:footnote w:id="11">
    <w:p w14:paraId="3B2C4BD8" w14:textId="77777777" w:rsidR="002E273B" w:rsidRPr="00427919" w:rsidRDefault="002E273B" w:rsidP="00427919">
      <w:pPr>
        <w:pStyle w:val="FootnoteText"/>
        <w:tabs>
          <w:tab w:val="left" w:pos="360"/>
          <w:tab w:val="left" w:pos="720"/>
        </w:tabs>
        <w:ind w:left="720" w:hanging="360"/>
        <w:jc w:val="both"/>
        <w:rPr>
          <w:lang w:val="en-US"/>
        </w:rPr>
      </w:pPr>
      <w:r w:rsidRPr="002E273B">
        <w:rPr>
          <w:rStyle w:val="FootnoteReference"/>
          <w:noProof/>
          <w:sz w:val="18"/>
          <w:szCs w:val="18"/>
          <w:lang w:val="en-US"/>
        </w:rPr>
        <w:footnoteRef/>
      </w:r>
      <w:r w:rsidRPr="002E273B">
        <w:rPr>
          <w:noProof/>
          <w:sz w:val="18"/>
          <w:szCs w:val="18"/>
          <w:vertAlign w:val="superscript"/>
          <w:lang w:val="en-US"/>
        </w:rPr>
        <w:t xml:space="preserve"> </w:t>
      </w:r>
      <w:r w:rsidRPr="002E273B">
        <w:rPr>
          <w:noProof/>
          <w:sz w:val="18"/>
          <w:szCs w:val="18"/>
          <w:lang w:val="en-US"/>
        </w:rPr>
        <w:tab/>
        <w:t xml:space="preserve">Conferencia de las Naciones Unidas sobre Comercio y Desarrollo (noviembre 2019) </w:t>
      </w:r>
      <w:hyperlink r:id="rId8" w:history="1">
        <w:r w:rsidRPr="002E273B">
          <w:rPr>
            <w:rStyle w:val="Hyperlink"/>
            <w:noProof/>
            <w:sz w:val="18"/>
            <w:szCs w:val="18"/>
            <w:lang w:val="en-US"/>
          </w:rPr>
          <w:t>The Role of Science, Technology and Innovation in Building Resilient Communities, Including Through the Contribution of Citizen Science.</w:t>
        </w:r>
      </w:hyperlink>
      <w:r w:rsidRPr="00427919">
        <w:rPr>
          <w:noProof/>
          <w:lang w:val="en-US"/>
        </w:rPr>
        <w:t xml:space="preserve"> </w:t>
      </w:r>
    </w:p>
  </w:footnote>
  <w:footnote w:id="12">
    <w:p w14:paraId="2D6662EE" w14:textId="77777777" w:rsidR="002E273B" w:rsidRPr="002E273B" w:rsidRDefault="002E273B" w:rsidP="00427919">
      <w:pPr>
        <w:pStyle w:val="FootnoteText"/>
        <w:tabs>
          <w:tab w:val="left" w:pos="360"/>
          <w:tab w:val="left" w:pos="720"/>
        </w:tabs>
        <w:ind w:left="720" w:hanging="360"/>
        <w:jc w:val="both"/>
        <w:rPr>
          <w:sz w:val="18"/>
          <w:szCs w:val="18"/>
        </w:rPr>
      </w:pPr>
      <w:r w:rsidRPr="002E273B">
        <w:rPr>
          <w:rStyle w:val="FootnoteReference"/>
          <w:noProof/>
          <w:sz w:val="18"/>
          <w:szCs w:val="18"/>
          <w:lang w:val="en-US"/>
        </w:rPr>
        <w:footnoteRef/>
      </w:r>
      <w:r w:rsidRPr="002E273B">
        <w:rPr>
          <w:rStyle w:val="FootnoteReference"/>
          <w:noProof/>
          <w:sz w:val="18"/>
          <w:szCs w:val="18"/>
        </w:rPr>
        <w:t xml:space="preserve"> </w:t>
      </w:r>
      <w:r w:rsidRPr="002E273B">
        <w:rPr>
          <w:rStyle w:val="FootnoteReference"/>
          <w:noProof/>
          <w:sz w:val="18"/>
          <w:szCs w:val="18"/>
          <w:vertAlign w:val="baseline"/>
        </w:rPr>
        <w:t xml:space="preserve"> </w:t>
      </w:r>
      <w:r w:rsidRPr="002E273B">
        <w:rPr>
          <w:rStyle w:val="FootnoteReference"/>
          <w:noProof/>
          <w:sz w:val="18"/>
          <w:szCs w:val="18"/>
          <w:vertAlign w:val="baseline"/>
        </w:rPr>
        <w:tab/>
      </w:r>
      <w:r w:rsidRPr="002E273B">
        <w:rPr>
          <w:noProof/>
          <w:sz w:val="18"/>
          <w:szCs w:val="18"/>
        </w:rPr>
        <w:t>CIDI/COMCYT/doc.3/19.rev.1</w:t>
      </w:r>
    </w:p>
  </w:footnote>
  <w:footnote w:id="13">
    <w:p w14:paraId="4BEE068C" w14:textId="77777777" w:rsidR="002E273B" w:rsidRPr="00427919" w:rsidRDefault="002E273B" w:rsidP="00427919">
      <w:pPr>
        <w:pStyle w:val="FootnoteText"/>
        <w:tabs>
          <w:tab w:val="left" w:pos="360"/>
          <w:tab w:val="left" w:pos="720"/>
        </w:tabs>
        <w:ind w:left="720" w:hanging="360"/>
        <w:jc w:val="both"/>
      </w:pPr>
      <w:r w:rsidRPr="002E273B">
        <w:rPr>
          <w:rStyle w:val="FootnoteReference"/>
          <w:noProof/>
          <w:sz w:val="18"/>
          <w:szCs w:val="18"/>
          <w:lang w:val="en-US"/>
        </w:rPr>
        <w:footnoteRef/>
      </w:r>
      <w:r w:rsidRPr="002E273B">
        <w:rPr>
          <w:rStyle w:val="FootnoteReference"/>
          <w:noProof/>
          <w:sz w:val="18"/>
          <w:szCs w:val="18"/>
        </w:rPr>
        <w:t xml:space="preserve">   </w:t>
      </w:r>
      <w:r w:rsidRPr="002E273B">
        <w:rPr>
          <w:noProof/>
          <w:sz w:val="18"/>
          <w:szCs w:val="18"/>
        </w:rPr>
        <w:tab/>
        <w:t>Reunión virtual de las autoridades de la COMCYT celebrada el 15 de julio de 2020. Recomendaciones basadas en el documento con aportaciones de la Secretaría CIDI/COMCYT/RPA/INF.1/20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A72C" w14:textId="0F13002F" w:rsidR="002E273B" w:rsidRPr="00344226" w:rsidRDefault="002E273B">
    <w:pPr>
      <w:pStyle w:val="Header"/>
      <w:jc w:val="center"/>
      <w:rPr>
        <w:noProof/>
        <w:lang w:val="en-US"/>
      </w:rPr>
    </w:pPr>
    <w:r w:rsidRPr="00344226">
      <w:rPr>
        <w:noProof/>
        <w:lang w:val="en-US"/>
      </w:rPr>
      <w:fldChar w:fldCharType="begin"/>
    </w:r>
    <w:r w:rsidRPr="00344226">
      <w:rPr>
        <w:noProof/>
        <w:lang w:val="en-US"/>
      </w:rPr>
      <w:instrText xml:space="preserve"> PAGE   \* MERGEFORMAT </w:instrText>
    </w:r>
    <w:r w:rsidRPr="00344226">
      <w:rPr>
        <w:noProof/>
        <w:lang w:val="en-US"/>
      </w:rPr>
      <w:fldChar w:fldCharType="separate"/>
    </w:r>
    <w:r w:rsidR="00FC34D2">
      <w:rPr>
        <w:noProof/>
        <w:lang w:val="en-US"/>
      </w:rPr>
      <w:t>- 6 -</w:t>
    </w:r>
    <w:r w:rsidRPr="00344226">
      <w:rPr>
        <w:noProof/>
        <w:lang w:val="en-US"/>
      </w:rPr>
      <w:fldChar w:fldCharType="end"/>
    </w:r>
  </w:p>
  <w:p w14:paraId="03CB1064" w14:textId="77777777" w:rsidR="002E273B" w:rsidRPr="00344226" w:rsidRDefault="002E273B">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4BB1" w14:textId="2A2DED97" w:rsidR="002E273B" w:rsidRPr="00344226" w:rsidRDefault="002E273B" w:rsidP="00F83B5A">
    <w:pPr>
      <w:pStyle w:val="Header"/>
      <w:jc w:val="center"/>
      <w:rPr>
        <w:noProof/>
        <w:lang w:val="en-US"/>
      </w:rPr>
    </w:pPr>
    <w:r w:rsidRPr="00344226">
      <w:rPr>
        <w:noProof/>
        <w:lang w:val="en-US"/>
      </w:rPr>
      <w:fldChar w:fldCharType="begin"/>
    </w:r>
    <w:r w:rsidRPr="00344226">
      <w:rPr>
        <w:noProof/>
        <w:lang w:val="en-US"/>
      </w:rPr>
      <w:instrText xml:space="preserve"> PAGE   \* MERGEFORMAT </w:instrText>
    </w:r>
    <w:r w:rsidRPr="00344226">
      <w:rPr>
        <w:noProof/>
        <w:lang w:val="en-US"/>
      </w:rPr>
      <w:fldChar w:fldCharType="separate"/>
    </w:r>
    <w:r w:rsidR="00FC34D2">
      <w:rPr>
        <w:noProof/>
        <w:lang w:val="en-US"/>
      </w:rPr>
      <w:t>- 5 -</w:t>
    </w:r>
    <w:r w:rsidRPr="00344226">
      <w:rPr>
        <w:noProof/>
        <w:lang w:val="en-US"/>
      </w:rPr>
      <w:fldChar w:fldCharType="end"/>
    </w:r>
  </w:p>
  <w:p w14:paraId="1A16A211" w14:textId="77777777" w:rsidR="002E273B" w:rsidRPr="00344226" w:rsidRDefault="002E273B">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40D4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C44A1"/>
    <w:multiLevelType w:val="hybridMultilevel"/>
    <w:tmpl w:val="35347470"/>
    <w:lvl w:ilvl="0" w:tplc="37FE7CE8">
      <w:start w:val="1"/>
      <w:numFmt w:val="bullet"/>
      <w:lvlText w:val=""/>
      <w:lvlJc w:val="left"/>
      <w:pPr>
        <w:tabs>
          <w:tab w:val="num" w:pos="720"/>
        </w:tabs>
        <w:ind w:left="720" w:hanging="360"/>
      </w:pPr>
      <w:rPr>
        <w:rFonts w:ascii="Symbol" w:hAnsi="Symbol" w:hint="default"/>
      </w:rPr>
    </w:lvl>
    <w:lvl w:ilvl="1" w:tplc="6A26D602" w:tentative="1">
      <w:start w:val="1"/>
      <w:numFmt w:val="bullet"/>
      <w:lvlText w:val="o"/>
      <w:lvlJc w:val="left"/>
      <w:pPr>
        <w:ind w:left="1440" w:hanging="360"/>
      </w:pPr>
      <w:rPr>
        <w:rFonts w:ascii="Courier New" w:hAnsi="Courier New" w:hint="default"/>
      </w:rPr>
    </w:lvl>
    <w:lvl w:ilvl="2" w:tplc="B1A817E4" w:tentative="1">
      <w:start w:val="1"/>
      <w:numFmt w:val="bullet"/>
      <w:lvlText w:val=""/>
      <w:lvlJc w:val="left"/>
      <w:pPr>
        <w:ind w:left="2160" w:hanging="360"/>
      </w:pPr>
      <w:rPr>
        <w:rFonts w:ascii="Wingdings" w:hAnsi="Wingdings" w:hint="default"/>
      </w:rPr>
    </w:lvl>
    <w:lvl w:ilvl="3" w:tplc="DECE2526" w:tentative="1">
      <w:start w:val="1"/>
      <w:numFmt w:val="bullet"/>
      <w:lvlText w:val=""/>
      <w:lvlJc w:val="left"/>
      <w:pPr>
        <w:ind w:left="2880" w:hanging="360"/>
      </w:pPr>
      <w:rPr>
        <w:rFonts w:ascii="Symbol" w:hAnsi="Symbol" w:hint="default"/>
      </w:rPr>
    </w:lvl>
    <w:lvl w:ilvl="4" w:tplc="7FAEBF82" w:tentative="1">
      <w:start w:val="1"/>
      <w:numFmt w:val="bullet"/>
      <w:lvlText w:val="o"/>
      <w:lvlJc w:val="left"/>
      <w:pPr>
        <w:ind w:left="3600" w:hanging="360"/>
      </w:pPr>
      <w:rPr>
        <w:rFonts w:ascii="Courier New" w:hAnsi="Courier New" w:hint="default"/>
      </w:rPr>
    </w:lvl>
    <w:lvl w:ilvl="5" w:tplc="7DEC6F02" w:tentative="1">
      <w:start w:val="1"/>
      <w:numFmt w:val="bullet"/>
      <w:lvlText w:val=""/>
      <w:lvlJc w:val="left"/>
      <w:pPr>
        <w:ind w:left="4320" w:hanging="360"/>
      </w:pPr>
      <w:rPr>
        <w:rFonts w:ascii="Wingdings" w:hAnsi="Wingdings" w:hint="default"/>
      </w:rPr>
    </w:lvl>
    <w:lvl w:ilvl="6" w:tplc="21EA5D7A" w:tentative="1">
      <w:start w:val="1"/>
      <w:numFmt w:val="bullet"/>
      <w:lvlText w:val=""/>
      <w:lvlJc w:val="left"/>
      <w:pPr>
        <w:ind w:left="5040" w:hanging="360"/>
      </w:pPr>
      <w:rPr>
        <w:rFonts w:ascii="Symbol" w:hAnsi="Symbol" w:hint="default"/>
      </w:rPr>
    </w:lvl>
    <w:lvl w:ilvl="7" w:tplc="869ECBC0" w:tentative="1">
      <w:start w:val="1"/>
      <w:numFmt w:val="bullet"/>
      <w:lvlText w:val="o"/>
      <w:lvlJc w:val="left"/>
      <w:pPr>
        <w:ind w:left="5760" w:hanging="360"/>
      </w:pPr>
      <w:rPr>
        <w:rFonts w:ascii="Courier New" w:hAnsi="Courier New" w:hint="default"/>
      </w:rPr>
    </w:lvl>
    <w:lvl w:ilvl="8" w:tplc="3F484234" w:tentative="1">
      <w:start w:val="1"/>
      <w:numFmt w:val="bullet"/>
      <w:lvlText w:val=""/>
      <w:lvlJc w:val="left"/>
      <w:pPr>
        <w:ind w:left="6480" w:hanging="360"/>
      </w:pPr>
      <w:rPr>
        <w:rFonts w:ascii="Wingdings" w:hAnsi="Wingdings" w:hint="default"/>
      </w:rPr>
    </w:lvl>
  </w:abstractNum>
  <w:abstractNum w:abstractNumId="4" w15:restartNumberingAfterBreak="0">
    <w:nsid w:val="028D094D"/>
    <w:multiLevelType w:val="hybridMultilevel"/>
    <w:tmpl w:val="B25C2A6C"/>
    <w:lvl w:ilvl="0" w:tplc="DF8CBE60">
      <w:numFmt w:val="bullet"/>
      <w:lvlText w:val="-"/>
      <w:lvlJc w:val="left"/>
      <w:pPr>
        <w:ind w:left="1080" w:hanging="360"/>
      </w:pPr>
      <w:rPr>
        <w:rFonts w:ascii="Times New Roman" w:eastAsia="Times New Roman" w:hAnsi="Times New Roman" w:hint="default"/>
      </w:rPr>
    </w:lvl>
    <w:lvl w:ilvl="1" w:tplc="CD62A672">
      <w:numFmt w:val="bullet"/>
      <w:lvlText w:val="-"/>
      <w:lvlJc w:val="left"/>
      <w:pPr>
        <w:ind w:left="1800" w:hanging="360"/>
      </w:pPr>
      <w:rPr>
        <w:rFonts w:ascii="Times New Roman" w:eastAsia="Times New Roman" w:hAnsi="Times New Roman" w:hint="default"/>
        <w:vanish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795733"/>
    <w:multiLevelType w:val="hybridMultilevel"/>
    <w:tmpl w:val="09FED9DC"/>
    <w:lvl w:ilvl="0" w:tplc="DF8CBE6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68053A"/>
    <w:multiLevelType w:val="hybridMultilevel"/>
    <w:tmpl w:val="360CCDEA"/>
    <w:lvl w:ilvl="0" w:tplc="100CF6CE">
      <w:start w:val="1"/>
      <w:numFmt w:val="decimal"/>
      <w:lvlText w:val="%1."/>
      <w:lvlJc w:val="left"/>
      <w:pPr>
        <w:tabs>
          <w:tab w:val="num" w:pos="720"/>
        </w:tabs>
        <w:ind w:left="720" w:hanging="360"/>
      </w:pPr>
      <w:rPr>
        <w:rFonts w:cs="Times New Roman" w:hint="default"/>
      </w:rPr>
    </w:lvl>
    <w:lvl w:ilvl="1" w:tplc="F5CE6974">
      <w:start w:val="1"/>
      <w:numFmt w:val="bullet"/>
      <w:lvlText w:val=""/>
      <w:lvlJc w:val="left"/>
      <w:pPr>
        <w:tabs>
          <w:tab w:val="num" w:pos="1440"/>
        </w:tabs>
        <w:ind w:left="1440" w:hanging="360"/>
      </w:pPr>
      <w:rPr>
        <w:rFonts w:ascii="Symbol" w:hAnsi="Symbol" w:hint="default"/>
      </w:rPr>
    </w:lvl>
    <w:lvl w:ilvl="2" w:tplc="07023914" w:tentative="1">
      <w:start w:val="1"/>
      <w:numFmt w:val="lowerRoman"/>
      <w:lvlText w:val="%3."/>
      <w:lvlJc w:val="right"/>
      <w:pPr>
        <w:tabs>
          <w:tab w:val="num" w:pos="2160"/>
        </w:tabs>
        <w:ind w:left="2160" w:hanging="180"/>
      </w:pPr>
      <w:rPr>
        <w:rFonts w:cs="Times New Roman"/>
      </w:rPr>
    </w:lvl>
    <w:lvl w:ilvl="3" w:tplc="2722B3D0" w:tentative="1">
      <w:start w:val="1"/>
      <w:numFmt w:val="decimal"/>
      <w:lvlText w:val="%4."/>
      <w:lvlJc w:val="left"/>
      <w:pPr>
        <w:tabs>
          <w:tab w:val="num" w:pos="2880"/>
        </w:tabs>
        <w:ind w:left="2880" w:hanging="360"/>
      </w:pPr>
      <w:rPr>
        <w:rFonts w:cs="Times New Roman"/>
      </w:rPr>
    </w:lvl>
    <w:lvl w:ilvl="4" w:tplc="C9323668" w:tentative="1">
      <w:start w:val="1"/>
      <w:numFmt w:val="lowerLetter"/>
      <w:lvlText w:val="%5."/>
      <w:lvlJc w:val="left"/>
      <w:pPr>
        <w:tabs>
          <w:tab w:val="num" w:pos="3600"/>
        </w:tabs>
        <w:ind w:left="3600" w:hanging="360"/>
      </w:pPr>
      <w:rPr>
        <w:rFonts w:cs="Times New Roman"/>
      </w:rPr>
    </w:lvl>
    <w:lvl w:ilvl="5" w:tplc="AEE4F268" w:tentative="1">
      <w:start w:val="1"/>
      <w:numFmt w:val="lowerRoman"/>
      <w:lvlText w:val="%6."/>
      <w:lvlJc w:val="right"/>
      <w:pPr>
        <w:tabs>
          <w:tab w:val="num" w:pos="4320"/>
        </w:tabs>
        <w:ind w:left="4320" w:hanging="180"/>
      </w:pPr>
      <w:rPr>
        <w:rFonts w:cs="Times New Roman"/>
      </w:rPr>
    </w:lvl>
    <w:lvl w:ilvl="6" w:tplc="0960255C" w:tentative="1">
      <w:start w:val="1"/>
      <w:numFmt w:val="decimal"/>
      <w:lvlText w:val="%7."/>
      <w:lvlJc w:val="left"/>
      <w:pPr>
        <w:tabs>
          <w:tab w:val="num" w:pos="5040"/>
        </w:tabs>
        <w:ind w:left="5040" w:hanging="360"/>
      </w:pPr>
      <w:rPr>
        <w:rFonts w:cs="Times New Roman"/>
      </w:rPr>
    </w:lvl>
    <w:lvl w:ilvl="7" w:tplc="872E80A2" w:tentative="1">
      <w:start w:val="1"/>
      <w:numFmt w:val="lowerLetter"/>
      <w:lvlText w:val="%8."/>
      <w:lvlJc w:val="left"/>
      <w:pPr>
        <w:tabs>
          <w:tab w:val="num" w:pos="5760"/>
        </w:tabs>
        <w:ind w:left="5760" w:hanging="360"/>
      </w:pPr>
      <w:rPr>
        <w:rFonts w:cs="Times New Roman"/>
      </w:rPr>
    </w:lvl>
    <w:lvl w:ilvl="8" w:tplc="615202AA" w:tentative="1">
      <w:start w:val="1"/>
      <w:numFmt w:val="lowerRoman"/>
      <w:lvlText w:val="%9."/>
      <w:lvlJc w:val="right"/>
      <w:pPr>
        <w:tabs>
          <w:tab w:val="num" w:pos="6480"/>
        </w:tabs>
        <w:ind w:left="6480" w:hanging="180"/>
      </w:pPr>
      <w:rPr>
        <w:rFonts w:cs="Times New Roman"/>
      </w:rPr>
    </w:lvl>
  </w:abstractNum>
  <w:abstractNum w:abstractNumId="7" w15:restartNumberingAfterBreak="0">
    <w:nsid w:val="081B169F"/>
    <w:multiLevelType w:val="hybridMultilevel"/>
    <w:tmpl w:val="9DAC5FA2"/>
    <w:lvl w:ilvl="0" w:tplc="04090001">
      <w:start w:val="1"/>
      <w:numFmt w:val="bullet"/>
      <w:lvlText w:val=""/>
      <w:lvlJc w:val="left"/>
      <w:pPr>
        <w:ind w:left="1080" w:hanging="360"/>
      </w:pPr>
      <w:rPr>
        <w:rFonts w:ascii="Symbol" w:hAnsi="Symbol" w:cs="Symbol" w:hint="default"/>
      </w:rPr>
    </w:lvl>
    <w:lvl w:ilvl="1" w:tplc="DF8CBE60">
      <w:numFmt w:val="bullet"/>
      <w:lvlText w:val="-"/>
      <w:lvlJc w:val="left"/>
      <w:pPr>
        <w:ind w:left="1800" w:hanging="360"/>
      </w:pPr>
      <w:rPr>
        <w:rFonts w:ascii="Times New Roman" w:eastAsia="Times New Roman" w:hAnsi="Times New Roman" w:cs="Times New Roman" w:hint="default"/>
      </w:rPr>
    </w:lvl>
    <w:lvl w:ilvl="2" w:tplc="3E7ECE8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4D3AC4"/>
    <w:multiLevelType w:val="hybridMultilevel"/>
    <w:tmpl w:val="41443904"/>
    <w:lvl w:ilvl="0" w:tplc="BCAA448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4978E5"/>
    <w:multiLevelType w:val="hybridMultilevel"/>
    <w:tmpl w:val="DEB0A4E2"/>
    <w:lvl w:ilvl="0" w:tplc="1E7AAED6">
      <w:start w:val="1"/>
      <w:numFmt w:val="decimal"/>
      <w:lvlText w:val="%1."/>
      <w:lvlJc w:val="left"/>
      <w:pPr>
        <w:ind w:left="720" w:hanging="360"/>
      </w:pPr>
      <w:rPr>
        <w:rFonts w:ascii="Times New Roman" w:eastAsia="Times New Roman" w:hAnsi="Times New Roman" w:cs="Times New Roman"/>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3F4BA8"/>
    <w:multiLevelType w:val="hybridMultilevel"/>
    <w:tmpl w:val="8E32ADC6"/>
    <w:lvl w:ilvl="0" w:tplc="F954AF4C">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E66E7F"/>
    <w:multiLevelType w:val="hybridMultilevel"/>
    <w:tmpl w:val="0ADE39D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DF2F70"/>
    <w:multiLevelType w:val="hybridMultilevel"/>
    <w:tmpl w:val="3982BA28"/>
    <w:lvl w:ilvl="0" w:tplc="04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E794197"/>
    <w:multiLevelType w:val="hybridMultilevel"/>
    <w:tmpl w:val="F5AEAB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D50D6"/>
    <w:multiLevelType w:val="hybridMultilevel"/>
    <w:tmpl w:val="170C811A"/>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2DE04A7A">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62898"/>
    <w:multiLevelType w:val="hybridMultilevel"/>
    <w:tmpl w:val="F0601990"/>
    <w:lvl w:ilvl="0" w:tplc="895E6F0A">
      <w:start w:val="1"/>
      <w:numFmt w:val="bullet"/>
      <w:lvlText w:val=""/>
      <w:lvlJc w:val="left"/>
      <w:pPr>
        <w:ind w:left="720" w:hanging="360"/>
      </w:pPr>
      <w:rPr>
        <w:rFonts w:ascii="Symbol" w:hAnsi="Symbol" w:hint="default"/>
      </w:rPr>
    </w:lvl>
    <w:lvl w:ilvl="1" w:tplc="48A69C7A" w:tentative="1">
      <w:start w:val="1"/>
      <w:numFmt w:val="bullet"/>
      <w:lvlText w:val="o"/>
      <w:lvlJc w:val="left"/>
      <w:pPr>
        <w:ind w:left="1440" w:hanging="360"/>
      </w:pPr>
      <w:rPr>
        <w:rFonts w:ascii="Courier New" w:hAnsi="Courier New" w:hint="default"/>
      </w:rPr>
    </w:lvl>
    <w:lvl w:ilvl="2" w:tplc="6DDAB4B4" w:tentative="1">
      <w:start w:val="1"/>
      <w:numFmt w:val="bullet"/>
      <w:lvlText w:val=""/>
      <w:lvlJc w:val="left"/>
      <w:pPr>
        <w:ind w:left="2160" w:hanging="360"/>
      </w:pPr>
      <w:rPr>
        <w:rFonts w:ascii="Wingdings" w:hAnsi="Wingdings" w:hint="default"/>
      </w:rPr>
    </w:lvl>
    <w:lvl w:ilvl="3" w:tplc="CBC0024C" w:tentative="1">
      <w:start w:val="1"/>
      <w:numFmt w:val="bullet"/>
      <w:lvlText w:val=""/>
      <w:lvlJc w:val="left"/>
      <w:pPr>
        <w:ind w:left="2880" w:hanging="360"/>
      </w:pPr>
      <w:rPr>
        <w:rFonts w:ascii="Symbol" w:hAnsi="Symbol" w:hint="default"/>
      </w:rPr>
    </w:lvl>
    <w:lvl w:ilvl="4" w:tplc="6F963432" w:tentative="1">
      <w:start w:val="1"/>
      <w:numFmt w:val="bullet"/>
      <w:lvlText w:val="o"/>
      <w:lvlJc w:val="left"/>
      <w:pPr>
        <w:ind w:left="3600" w:hanging="360"/>
      </w:pPr>
      <w:rPr>
        <w:rFonts w:ascii="Courier New" w:hAnsi="Courier New" w:hint="default"/>
      </w:rPr>
    </w:lvl>
    <w:lvl w:ilvl="5" w:tplc="F1E0E262" w:tentative="1">
      <w:start w:val="1"/>
      <w:numFmt w:val="bullet"/>
      <w:lvlText w:val=""/>
      <w:lvlJc w:val="left"/>
      <w:pPr>
        <w:ind w:left="4320" w:hanging="360"/>
      </w:pPr>
      <w:rPr>
        <w:rFonts w:ascii="Wingdings" w:hAnsi="Wingdings" w:hint="default"/>
      </w:rPr>
    </w:lvl>
    <w:lvl w:ilvl="6" w:tplc="8FDEC54A" w:tentative="1">
      <w:start w:val="1"/>
      <w:numFmt w:val="bullet"/>
      <w:lvlText w:val=""/>
      <w:lvlJc w:val="left"/>
      <w:pPr>
        <w:ind w:left="5040" w:hanging="360"/>
      </w:pPr>
      <w:rPr>
        <w:rFonts w:ascii="Symbol" w:hAnsi="Symbol" w:hint="default"/>
      </w:rPr>
    </w:lvl>
    <w:lvl w:ilvl="7" w:tplc="328C8F5C" w:tentative="1">
      <w:start w:val="1"/>
      <w:numFmt w:val="bullet"/>
      <w:lvlText w:val="o"/>
      <w:lvlJc w:val="left"/>
      <w:pPr>
        <w:ind w:left="5760" w:hanging="360"/>
      </w:pPr>
      <w:rPr>
        <w:rFonts w:ascii="Courier New" w:hAnsi="Courier New" w:hint="default"/>
      </w:rPr>
    </w:lvl>
    <w:lvl w:ilvl="8" w:tplc="234C8B66" w:tentative="1">
      <w:start w:val="1"/>
      <w:numFmt w:val="bullet"/>
      <w:lvlText w:val=""/>
      <w:lvlJc w:val="left"/>
      <w:pPr>
        <w:ind w:left="6480" w:hanging="360"/>
      </w:pPr>
      <w:rPr>
        <w:rFonts w:ascii="Wingdings" w:hAnsi="Wingdings" w:hint="default"/>
      </w:rPr>
    </w:lvl>
  </w:abstractNum>
  <w:abstractNum w:abstractNumId="16" w15:restartNumberingAfterBreak="0">
    <w:nsid w:val="343D3EEB"/>
    <w:multiLevelType w:val="hybridMultilevel"/>
    <w:tmpl w:val="D1E6F9E6"/>
    <w:lvl w:ilvl="0" w:tplc="81868746">
      <w:start w:val="1"/>
      <w:numFmt w:val="decimal"/>
      <w:lvlText w:val="%1."/>
      <w:lvlJc w:val="left"/>
      <w:pPr>
        <w:ind w:left="720" w:hanging="360"/>
      </w:pPr>
      <w:rPr>
        <w:rFonts w:ascii="Times New Roman" w:eastAsia="Times New Roman" w:hAnsi="Times New Roman" w:cs="Times New Roman"/>
        <w:vanish w:val="0"/>
      </w:rPr>
    </w:lvl>
    <w:lvl w:ilvl="1" w:tplc="472AAAD6">
      <w:start w:val="2"/>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472026"/>
    <w:multiLevelType w:val="hybridMultilevel"/>
    <w:tmpl w:val="1EFCEEDA"/>
    <w:lvl w:ilvl="0" w:tplc="DF8CBE6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B607E6"/>
    <w:multiLevelType w:val="hybridMultilevel"/>
    <w:tmpl w:val="865C0FB2"/>
    <w:lvl w:ilvl="0" w:tplc="52BE9882">
      <w:start w:val="1"/>
      <w:numFmt w:val="bullet"/>
      <w:lvlText w:val=""/>
      <w:lvlJc w:val="left"/>
      <w:pPr>
        <w:tabs>
          <w:tab w:val="num" w:pos="720"/>
        </w:tabs>
        <w:ind w:left="720" w:hanging="360"/>
      </w:pPr>
      <w:rPr>
        <w:rFonts w:ascii="Symbol" w:hAnsi="Symbol" w:hint="default"/>
      </w:rPr>
    </w:lvl>
    <w:lvl w:ilvl="1" w:tplc="1F8459A8" w:tentative="1">
      <w:start w:val="1"/>
      <w:numFmt w:val="bullet"/>
      <w:lvlText w:val="o"/>
      <w:lvlJc w:val="left"/>
      <w:pPr>
        <w:tabs>
          <w:tab w:val="num" w:pos="1440"/>
        </w:tabs>
        <w:ind w:left="1440" w:hanging="360"/>
      </w:pPr>
      <w:rPr>
        <w:rFonts w:ascii="Courier New" w:hAnsi="Courier New" w:hint="default"/>
      </w:rPr>
    </w:lvl>
    <w:lvl w:ilvl="2" w:tplc="D92E7300" w:tentative="1">
      <w:start w:val="1"/>
      <w:numFmt w:val="bullet"/>
      <w:lvlText w:val=""/>
      <w:lvlJc w:val="left"/>
      <w:pPr>
        <w:tabs>
          <w:tab w:val="num" w:pos="2160"/>
        </w:tabs>
        <w:ind w:left="2160" w:hanging="360"/>
      </w:pPr>
      <w:rPr>
        <w:rFonts w:ascii="Wingdings" w:hAnsi="Wingdings" w:hint="default"/>
      </w:rPr>
    </w:lvl>
    <w:lvl w:ilvl="3" w:tplc="62DC2110" w:tentative="1">
      <w:start w:val="1"/>
      <w:numFmt w:val="bullet"/>
      <w:lvlText w:val=""/>
      <w:lvlJc w:val="left"/>
      <w:pPr>
        <w:tabs>
          <w:tab w:val="num" w:pos="2880"/>
        </w:tabs>
        <w:ind w:left="2880" w:hanging="360"/>
      </w:pPr>
      <w:rPr>
        <w:rFonts w:ascii="Symbol" w:hAnsi="Symbol" w:hint="default"/>
      </w:rPr>
    </w:lvl>
    <w:lvl w:ilvl="4" w:tplc="D40C5254" w:tentative="1">
      <w:start w:val="1"/>
      <w:numFmt w:val="bullet"/>
      <w:lvlText w:val="o"/>
      <w:lvlJc w:val="left"/>
      <w:pPr>
        <w:tabs>
          <w:tab w:val="num" w:pos="3600"/>
        </w:tabs>
        <w:ind w:left="3600" w:hanging="360"/>
      </w:pPr>
      <w:rPr>
        <w:rFonts w:ascii="Courier New" w:hAnsi="Courier New" w:hint="default"/>
      </w:rPr>
    </w:lvl>
    <w:lvl w:ilvl="5" w:tplc="D7A2155C" w:tentative="1">
      <w:start w:val="1"/>
      <w:numFmt w:val="bullet"/>
      <w:lvlText w:val=""/>
      <w:lvlJc w:val="left"/>
      <w:pPr>
        <w:tabs>
          <w:tab w:val="num" w:pos="4320"/>
        </w:tabs>
        <w:ind w:left="4320" w:hanging="360"/>
      </w:pPr>
      <w:rPr>
        <w:rFonts w:ascii="Wingdings" w:hAnsi="Wingdings" w:hint="default"/>
      </w:rPr>
    </w:lvl>
    <w:lvl w:ilvl="6" w:tplc="DE90B6A2" w:tentative="1">
      <w:start w:val="1"/>
      <w:numFmt w:val="bullet"/>
      <w:lvlText w:val=""/>
      <w:lvlJc w:val="left"/>
      <w:pPr>
        <w:tabs>
          <w:tab w:val="num" w:pos="5040"/>
        </w:tabs>
        <w:ind w:left="5040" w:hanging="360"/>
      </w:pPr>
      <w:rPr>
        <w:rFonts w:ascii="Symbol" w:hAnsi="Symbol" w:hint="default"/>
      </w:rPr>
    </w:lvl>
    <w:lvl w:ilvl="7" w:tplc="06B2160C" w:tentative="1">
      <w:start w:val="1"/>
      <w:numFmt w:val="bullet"/>
      <w:lvlText w:val="o"/>
      <w:lvlJc w:val="left"/>
      <w:pPr>
        <w:tabs>
          <w:tab w:val="num" w:pos="5760"/>
        </w:tabs>
        <w:ind w:left="5760" w:hanging="360"/>
      </w:pPr>
      <w:rPr>
        <w:rFonts w:ascii="Courier New" w:hAnsi="Courier New" w:hint="default"/>
      </w:rPr>
    </w:lvl>
    <w:lvl w:ilvl="8" w:tplc="16E842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44A37"/>
    <w:multiLevelType w:val="hybridMultilevel"/>
    <w:tmpl w:val="9E0EE8BA"/>
    <w:lvl w:ilvl="0" w:tplc="54768868">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E0265E"/>
    <w:multiLevelType w:val="hybridMultilevel"/>
    <w:tmpl w:val="61BA7F2C"/>
    <w:lvl w:ilvl="0" w:tplc="E62816EE">
      <w:start w:val="1"/>
      <w:numFmt w:val="bullet"/>
      <w:lvlText w:val=""/>
      <w:lvlJc w:val="left"/>
      <w:pPr>
        <w:tabs>
          <w:tab w:val="num" w:pos="720"/>
        </w:tabs>
        <w:ind w:left="720" w:hanging="360"/>
      </w:pPr>
      <w:rPr>
        <w:rFonts w:ascii="Symbol" w:hAnsi="Symbol" w:hint="default"/>
      </w:rPr>
    </w:lvl>
    <w:lvl w:ilvl="1" w:tplc="2AF44492" w:tentative="1">
      <w:start w:val="1"/>
      <w:numFmt w:val="bullet"/>
      <w:lvlText w:val="o"/>
      <w:lvlJc w:val="left"/>
      <w:pPr>
        <w:tabs>
          <w:tab w:val="num" w:pos="1440"/>
        </w:tabs>
        <w:ind w:left="1440" w:hanging="360"/>
      </w:pPr>
      <w:rPr>
        <w:rFonts w:ascii="Courier New" w:hAnsi="Courier New" w:hint="default"/>
      </w:rPr>
    </w:lvl>
    <w:lvl w:ilvl="2" w:tplc="16B0B022" w:tentative="1">
      <w:start w:val="1"/>
      <w:numFmt w:val="bullet"/>
      <w:lvlText w:val=""/>
      <w:lvlJc w:val="left"/>
      <w:pPr>
        <w:tabs>
          <w:tab w:val="num" w:pos="2160"/>
        </w:tabs>
        <w:ind w:left="2160" w:hanging="360"/>
      </w:pPr>
      <w:rPr>
        <w:rFonts w:ascii="Wingdings" w:hAnsi="Wingdings" w:hint="default"/>
      </w:rPr>
    </w:lvl>
    <w:lvl w:ilvl="3" w:tplc="8020E7DA" w:tentative="1">
      <w:start w:val="1"/>
      <w:numFmt w:val="bullet"/>
      <w:lvlText w:val=""/>
      <w:lvlJc w:val="left"/>
      <w:pPr>
        <w:tabs>
          <w:tab w:val="num" w:pos="2880"/>
        </w:tabs>
        <w:ind w:left="2880" w:hanging="360"/>
      </w:pPr>
      <w:rPr>
        <w:rFonts w:ascii="Symbol" w:hAnsi="Symbol" w:hint="default"/>
      </w:rPr>
    </w:lvl>
    <w:lvl w:ilvl="4" w:tplc="46F2494A" w:tentative="1">
      <w:start w:val="1"/>
      <w:numFmt w:val="bullet"/>
      <w:lvlText w:val="o"/>
      <w:lvlJc w:val="left"/>
      <w:pPr>
        <w:tabs>
          <w:tab w:val="num" w:pos="3600"/>
        </w:tabs>
        <w:ind w:left="3600" w:hanging="360"/>
      </w:pPr>
      <w:rPr>
        <w:rFonts w:ascii="Courier New" w:hAnsi="Courier New" w:hint="default"/>
      </w:rPr>
    </w:lvl>
    <w:lvl w:ilvl="5" w:tplc="0D664452" w:tentative="1">
      <w:start w:val="1"/>
      <w:numFmt w:val="bullet"/>
      <w:lvlText w:val=""/>
      <w:lvlJc w:val="left"/>
      <w:pPr>
        <w:tabs>
          <w:tab w:val="num" w:pos="4320"/>
        </w:tabs>
        <w:ind w:left="4320" w:hanging="360"/>
      </w:pPr>
      <w:rPr>
        <w:rFonts w:ascii="Wingdings" w:hAnsi="Wingdings" w:hint="default"/>
      </w:rPr>
    </w:lvl>
    <w:lvl w:ilvl="6" w:tplc="821E6068" w:tentative="1">
      <w:start w:val="1"/>
      <w:numFmt w:val="bullet"/>
      <w:lvlText w:val=""/>
      <w:lvlJc w:val="left"/>
      <w:pPr>
        <w:tabs>
          <w:tab w:val="num" w:pos="5040"/>
        </w:tabs>
        <w:ind w:left="5040" w:hanging="360"/>
      </w:pPr>
      <w:rPr>
        <w:rFonts w:ascii="Symbol" w:hAnsi="Symbol" w:hint="default"/>
      </w:rPr>
    </w:lvl>
    <w:lvl w:ilvl="7" w:tplc="0F4652F2" w:tentative="1">
      <w:start w:val="1"/>
      <w:numFmt w:val="bullet"/>
      <w:lvlText w:val="o"/>
      <w:lvlJc w:val="left"/>
      <w:pPr>
        <w:tabs>
          <w:tab w:val="num" w:pos="5760"/>
        </w:tabs>
        <w:ind w:left="5760" w:hanging="360"/>
      </w:pPr>
      <w:rPr>
        <w:rFonts w:ascii="Courier New" w:hAnsi="Courier New" w:hint="default"/>
      </w:rPr>
    </w:lvl>
    <w:lvl w:ilvl="8" w:tplc="873CA3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A33B0"/>
    <w:multiLevelType w:val="hybridMultilevel"/>
    <w:tmpl w:val="2BCED062"/>
    <w:lvl w:ilvl="0" w:tplc="BBD8CF6A">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89064D"/>
    <w:multiLevelType w:val="hybridMultilevel"/>
    <w:tmpl w:val="2A485E08"/>
    <w:lvl w:ilvl="0" w:tplc="3C5AD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8C51ED"/>
    <w:multiLevelType w:val="hybridMultilevel"/>
    <w:tmpl w:val="F238FB74"/>
    <w:lvl w:ilvl="0" w:tplc="BBD8CF6A">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3011E1"/>
    <w:multiLevelType w:val="hybridMultilevel"/>
    <w:tmpl w:val="360CCDEA"/>
    <w:lvl w:ilvl="0" w:tplc="334C38F4">
      <w:start w:val="1"/>
      <w:numFmt w:val="decimal"/>
      <w:lvlText w:val="%1."/>
      <w:lvlJc w:val="left"/>
      <w:pPr>
        <w:tabs>
          <w:tab w:val="num" w:pos="720"/>
        </w:tabs>
        <w:ind w:left="720" w:hanging="360"/>
      </w:pPr>
      <w:rPr>
        <w:rFonts w:cs="Times New Roman" w:hint="default"/>
      </w:rPr>
    </w:lvl>
    <w:lvl w:ilvl="1" w:tplc="6ED094E4">
      <w:start w:val="1"/>
      <w:numFmt w:val="bullet"/>
      <w:lvlText w:val=""/>
      <w:lvlJc w:val="left"/>
      <w:pPr>
        <w:tabs>
          <w:tab w:val="num" w:pos="1440"/>
        </w:tabs>
        <w:ind w:left="1440" w:hanging="360"/>
      </w:pPr>
      <w:rPr>
        <w:rFonts w:ascii="Symbol" w:hAnsi="Symbol" w:hint="default"/>
      </w:rPr>
    </w:lvl>
    <w:lvl w:ilvl="2" w:tplc="68C8407E" w:tentative="1">
      <w:start w:val="1"/>
      <w:numFmt w:val="lowerRoman"/>
      <w:lvlText w:val="%3."/>
      <w:lvlJc w:val="right"/>
      <w:pPr>
        <w:tabs>
          <w:tab w:val="num" w:pos="2160"/>
        </w:tabs>
        <w:ind w:left="2160" w:hanging="180"/>
      </w:pPr>
      <w:rPr>
        <w:rFonts w:cs="Times New Roman"/>
      </w:rPr>
    </w:lvl>
    <w:lvl w:ilvl="3" w:tplc="95FEDC1A" w:tentative="1">
      <w:start w:val="1"/>
      <w:numFmt w:val="decimal"/>
      <w:lvlText w:val="%4."/>
      <w:lvlJc w:val="left"/>
      <w:pPr>
        <w:tabs>
          <w:tab w:val="num" w:pos="2880"/>
        </w:tabs>
        <w:ind w:left="2880" w:hanging="360"/>
      </w:pPr>
      <w:rPr>
        <w:rFonts w:cs="Times New Roman"/>
      </w:rPr>
    </w:lvl>
    <w:lvl w:ilvl="4" w:tplc="7890AD2A" w:tentative="1">
      <w:start w:val="1"/>
      <w:numFmt w:val="lowerLetter"/>
      <w:lvlText w:val="%5."/>
      <w:lvlJc w:val="left"/>
      <w:pPr>
        <w:tabs>
          <w:tab w:val="num" w:pos="3600"/>
        </w:tabs>
        <w:ind w:left="3600" w:hanging="360"/>
      </w:pPr>
      <w:rPr>
        <w:rFonts w:cs="Times New Roman"/>
      </w:rPr>
    </w:lvl>
    <w:lvl w:ilvl="5" w:tplc="BEBE2A9C" w:tentative="1">
      <w:start w:val="1"/>
      <w:numFmt w:val="lowerRoman"/>
      <w:lvlText w:val="%6."/>
      <w:lvlJc w:val="right"/>
      <w:pPr>
        <w:tabs>
          <w:tab w:val="num" w:pos="4320"/>
        </w:tabs>
        <w:ind w:left="4320" w:hanging="180"/>
      </w:pPr>
      <w:rPr>
        <w:rFonts w:cs="Times New Roman"/>
      </w:rPr>
    </w:lvl>
    <w:lvl w:ilvl="6" w:tplc="14B27344" w:tentative="1">
      <w:start w:val="1"/>
      <w:numFmt w:val="decimal"/>
      <w:lvlText w:val="%7."/>
      <w:lvlJc w:val="left"/>
      <w:pPr>
        <w:tabs>
          <w:tab w:val="num" w:pos="5040"/>
        </w:tabs>
        <w:ind w:left="5040" w:hanging="360"/>
      </w:pPr>
      <w:rPr>
        <w:rFonts w:cs="Times New Roman"/>
      </w:rPr>
    </w:lvl>
    <w:lvl w:ilvl="7" w:tplc="97E2516E" w:tentative="1">
      <w:start w:val="1"/>
      <w:numFmt w:val="lowerLetter"/>
      <w:lvlText w:val="%8."/>
      <w:lvlJc w:val="left"/>
      <w:pPr>
        <w:tabs>
          <w:tab w:val="num" w:pos="5760"/>
        </w:tabs>
        <w:ind w:left="5760" w:hanging="360"/>
      </w:pPr>
      <w:rPr>
        <w:rFonts w:cs="Times New Roman"/>
      </w:rPr>
    </w:lvl>
    <w:lvl w:ilvl="8" w:tplc="42A4F37E"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D76502"/>
    <w:multiLevelType w:val="hybridMultilevel"/>
    <w:tmpl w:val="B2BC6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D1115"/>
    <w:multiLevelType w:val="hybridMultilevel"/>
    <w:tmpl w:val="F210FE2E"/>
    <w:lvl w:ilvl="0" w:tplc="575A71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D25770"/>
    <w:multiLevelType w:val="hybridMultilevel"/>
    <w:tmpl w:val="5622D29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587C7D"/>
    <w:multiLevelType w:val="hybridMultilevel"/>
    <w:tmpl w:val="4894D9A0"/>
    <w:lvl w:ilvl="0" w:tplc="77D83D92">
      <w:start w:val="1"/>
      <w:numFmt w:val="decimal"/>
      <w:lvlText w:val="%1."/>
      <w:lvlJc w:val="left"/>
      <w:pPr>
        <w:tabs>
          <w:tab w:val="num" w:pos="1604"/>
        </w:tabs>
        <w:ind w:left="1604" w:hanging="720"/>
      </w:pPr>
      <w:rPr>
        <w:rFonts w:cs="Times New Roman" w:hint="default"/>
        <w:b w:val="0"/>
        <w:i w:val="0"/>
        <w:color w:val="auto"/>
      </w:rPr>
    </w:lvl>
    <w:lvl w:ilvl="1" w:tplc="99EEE518">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5EECF662">
      <w:start w:val="18"/>
      <w:numFmt w:val="decimal"/>
      <w:lvlText w:val="%3"/>
      <w:lvlJc w:val="left"/>
      <w:pPr>
        <w:tabs>
          <w:tab w:val="num" w:pos="2684"/>
        </w:tabs>
        <w:ind w:left="2684" w:hanging="360"/>
      </w:pPr>
      <w:rPr>
        <w:rFonts w:cs="Times New Roman" w:hint="default"/>
      </w:rPr>
    </w:lvl>
    <w:lvl w:ilvl="3" w:tplc="B3B6C6AE" w:tentative="1">
      <w:start w:val="1"/>
      <w:numFmt w:val="decimal"/>
      <w:lvlText w:val="%4."/>
      <w:lvlJc w:val="left"/>
      <w:pPr>
        <w:tabs>
          <w:tab w:val="num" w:pos="3224"/>
        </w:tabs>
        <w:ind w:left="3224" w:hanging="360"/>
      </w:pPr>
      <w:rPr>
        <w:rFonts w:cs="Times New Roman"/>
      </w:rPr>
    </w:lvl>
    <w:lvl w:ilvl="4" w:tplc="A0D22FCE" w:tentative="1">
      <w:start w:val="1"/>
      <w:numFmt w:val="lowerLetter"/>
      <w:lvlText w:val="%5."/>
      <w:lvlJc w:val="left"/>
      <w:pPr>
        <w:tabs>
          <w:tab w:val="num" w:pos="3944"/>
        </w:tabs>
        <w:ind w:left="3944" w:hanging="360"/>
      </w:pPr>
      <w:rPr>
        <w:rFonts w:cs="Times New Roman"/>
      </w:rPr>
    </w:lvl>
    <w:lvl w:ilvl="5" w:tplc="4CBC52BE" w:tentative="1">
      <w:start w:val="1"/>
      <w:numFmt w:val="lowerRoman"/>
      <w:lvlText w:val="%6."/>
      <w:lvlJc w:val="right"/>
      <w:pPr>
        <w:tabs>
          <w:tab w:val="num" w:pos="4664"/>
        </w:tabs>
        <w:ind w:left="4664" w:hanging="180"/>
      </w:pPr>
      <w:rPr>
        <w:rFonts w:cs="Times New Roman"/>
      </w:rPr>
    </w:lvl>
    <w:lvl w:ilvl="6" w:tplc="AB2E915E" w:tentative="1">
      <w:start w:val="1"/>
      <w:numFmt w:val="decimal"/>
      <w:lvlText w:val="%7."/>
      <w:lvlJc w:val="left"/>
      <w:pPr>
        <w:tabs>
          <w:tab w:val="num" w:pos="5384"/>
        </w:tabs>
        <w:ind w:left="5384" w:hanging="360"/>
      </w:pPr>
      <w:rPr>
        <w:rFonts w:cs="Times New Roman"/>
      </w:rPr>
    </w:lvl>
    <w:lvl w:ilvl="7" w:tplc="5E3828EE" w:tentative="1">
      <w:start w:val="1"/>
      <w:numFmt w:val="lowerLetter"/>
      <w:lvlText w:val="%8."/>
      <w:lvlJc w:val="left"/>
      <w:pPr>
        <w:tabs>
          <w:tab w:val="num" w:pos="6104"/>
        </w:tabs>
        <w:ind w:left="6104" w:hanging="360"/>
      </w:pPr>
      <w:rPr>
        <w:rFonts w:cs="Times New Roman"/>
      </w:rPr>
    </w:lvl>
    <w:lvl w:ilvl="8" w:tplc="853E452E" w:tentative="1">
      <w:start w:val="1"/>
      <w:numFmt w:val="lowerRoman"/>
      <w:lvlText w:val="%9."/>
      <w:lvlJc w:val="right"/>
      <w:pPr>
        <w:tabs>
          <w:tab w:val="num" w:pos="6824"/>
        </w:tabs>
        <w:ind w:left="6824" w:hanging="180"/>
      </w:pPr>
      <w:rPr>
        <w:rFonts w:cs="Times New Roman"/>
      </w:rPr>
    </w:lvl>
  </w:abstractNum>
  <w:abstractNum w:abstractNumId="29" w15:restartNumberingAfterBreak="0">
    <w:nsid w:val="67642CC1"/>
    <w:multiLevelType w:val="hybridMultilevel"/>
    <w:tmpl w:val="25FECEA4"/>
    <w:lvl w:ilvl="0" w:tplc="DF8CBE60">
      <w:numFmt w:val="bullet"/>
      <w:lvlText w:val="-"/>
      <w:lvlJc w:val="left"/>
      <w:pPr>
        <w:ind w:left="1080" w:hanging="360"/>
      </w:pPr>
      <w:rPr>
        <w:rFonts w:ascii="Times New Roman" w:eastAsia="Times New Roman" w:hAnsi="Times New Roman" w:hint="default"/>
      </w:rPr>
    </w:lvl>
    <w:lvl w:ilvl="1" w:tplc="04090001">
      <w:start w:val="1"/>
      <w:numFmt w:val="bullet"/>
      <w:lvlText w:val=""/>
      <w:lvlJc w:val="left"/>
      <w:pPr>
        <w:ind w:left="1080" w:hanging="360"/>
      </w:pPr>
      <w:rPr>
        <w:rFonts w:ascii="Symbol" w:hAnsi="Symbol" w:cs="Symbol" w:hint="default"/>
        <w:vanish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6B48BD"/>
    <w:multiLevelType w:val="hybridMultilevel"/>
    <w:tmpl w:val="F72CF75E"/>
    <w:lvl w:ilvl="0" w:tplc="3C1AFB5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CDA4555"/>
    <w:multiLevelType w:val="hybridMultilevel"/>
    <w:tmpl w:val="2B54A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A051B0"/>
    <w:multiLevelType w:val="hybridMultilevel"/>
    <w:tmpl w:val="3AD2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9B0174"/>
    <w:multiLevelType w:val="hybridMultilevel"/>
    <w:tmpl w:val="E8966096"/>
    <w:lvl w:ilvl="0" w:tplc="54F0DBD6">
      <w:start w:val="1"/>
      <w:numFmt w:val="bullet"/>
      <w:lvlText w:val=""/>
      <w:lvlJc w:val="left"/>
      <w:pPr>
        <w:tabs>
          <w:tab w:val="num" w:pos="720"/>
        </w:tabs>
        <w:ind w:left="720" w:hanging="360"/>
      </w:pPr>
      <w:rPr>
        <w:rFonts w:ascii="Symbol" w:hAnsi="Symbol" w:hint="default"/>
      </w:rPr>
    </w:lvl>
    <w:lvl w:ilvl="1" w:tplc="347827D0" w:tentative="1">
      <w:start w:val="1"/>
      <w:numFmt w:val="bullet"/>
      <w:lvlText w:val="o"/>
      <w:lvlJc w:val="left"/>
      <w:pPr>
        <w:tabs>
          <w:tab w:val="num" w:pos="1440"/>
        </w:tabs>
        <w:ind w:left="1440" w:hanging="360"/>
      </w:pPr>
      <w:rPr>
        <w:rFonts w:ascii="Courier New" w:hAnsi="Courier New" w:hint="default"/>
      </w:rPr>
    </w:lvl>
    <w:lvl w:ilvl="2" w:tplc="D99A82B0" w:tentative="1">
      <w:start w:val="1"/>
      <w:numFmt w:val="bullet"/>
      <w:lvlText w:val=""/>
      <w:lvlJc w:val="left"/>
      <w:pPr>
        <w:tabs>
          <w:tab w:val="num" w:pos="2160"/>
        </w:tabs>
        <w:ind w:left="2160" w:hanging="360"/>
      </w:pPr>
      <w:rPr>
        <w:rFonts w:ascii="Wingdings" w:hAnsi="Wingdings" w:hint="default"/>
      </w:rPr>
    </w:lvl>
    <w:lvl w:ilvl="3" w:tplc="3B046D88" w:tentative="1">
      <w:start w:val="1"/>
      <w:numFmt w:val="bullet"/>
      <w:lvlText w:val=""/>
      <w:lvlJc w:val="left"/>
      <w:pPr>
        <w:tabs>
          <w:tab w:val="num" w:pos="2880"/>
        </w:tabs>
        <w:ind w:left="2880" w:hanging="360"/>
      </w:pPr>
      <w:rPr>
        <w:rFonts w:ascii="Symbol" w:hAnsi="Symbol" w:hint="default"/>
      </w:rPr>
    </w:lvl>
    <w:lvl w:ilvl="4" w:tplc="6A360B8E" w:tentative="1">
      <w:start w:val="1"/>
      <w:numFmt w:val="bullet"/>
      <w:lvlText w:val="o"/>
      <w:lvlJc w:val="left"/>
      <w:pPr>
        <w:tabs>
          <w:tab w:val="num" w:pos="3600"/>
        </w:tabs>
        <w:ind w:left="3600" w:hanging="360"/>
      </w:pPr>
      <w:rPr>
        <w:rFonts w:ascii="Courier New" w:hAnsi="Courier New" w:hint="default"/>
      </w:rPr>
    </w:lvl>
    <w:lvl w:ilvl="5" w:tplc="81B44440" w:tentative="1">
      <w:start w:val="1"/>
      <w:numFmt w:val="bullet"/>
      <w:lvlText w:val=""/>
      <w:lvlJc w:val="left"/>
      <w:pPr>
        <w:tabs>
          <w:tab w:val="num" w:pos="4320"/>
        </w:tabs>
        <w:ind w:left="4320" w:hanging="360"/>
      </w:pPr>
      <w:rPr>
        <w:rFonts w:ascii="Wingdings" w:hAnsi="Wingdings" w:hint="default"/>
      </w:rPr>
    </w:lvl>
    <w:lvl w:ilvl="6" w:tplc="CF8E3AC6" w:tentative="1">
      <w:start w:val="1"/>
      <w:numFmt w:val="bullet"/>
      <w:lvlText w:val=""/>
      <w:lvlJc w:val="left"/>
      <w:pPr>
        <w:tabs>
          <w:tab w:val="num" w:pos="5040"/>
        </w:tabs>
        <w:ind w:left="5040" w:hanging="360"/>
      </w:pPr>
      <w:rPr>
        <w:rFonts w:ascii="Symbol" w:hAnsi="Symbol" w:hint="default"/>
      </w:rPr>
    </w:lvl>
    <w:lvl w:ilvl="7" w:tplc="30E63C72" w:tentative="1">
      <w:start w:val="1"/>
      <w:numFmt w:val="bullet"/>
      <w:lvlText w:val="o"/>
      <w:lvlJc w:val="left"/>
      <w:pPr>
        <w:tabs>
          <w:tab w:val="num" w:pos="5760"/>
        </w:tabs>
        <w:ind w:left="5760" w:hanging="360"/>
      </w:pPr>
      <w:rPr>
        <w:rFonts w:ascii="Courier New" w:hAnsi="Courier New" w:hint="default"/>
      </w:rPr>
    </w:lvl>
    <w:lvl w:ilvl="8" w:tplc="5FAE035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81A4A"/>
    <w:multiLevelType w:val="hybridMultilevel"/>
    <w:tmpl w:val="5F942D08"/>
    <w:lvl w:ilvl="0" w:tplc="BBD8CF6A">
      <w:start w:val="1"/>
      <w:numFmt w:val="decimal"/>
      <w:lvlText w:val="%1."/>
      <w:lvlJc w:val="left"/>
      <w:pPr>
        <w:ind w:left="1440" w:hanging="360"/>
      </w:pPr>
      <w:rPr>
        <w:rFonts w:cs="Times New Roman"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2C538FA"/>
    <w:multiLevelType w:val="hybridMultilevel"/>
    <w:tmpl w:val="374262B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363D9C"/>
    <w:multiLevelType w:val="hybridMultilevel"/>
    <w:tmpl w:val="7CF2DC94"/>
    <w:lvl w:ilvl="0" w:tplc="DF8CBE60">
      <w:numFmt w:val="bullet"/>
      <w:lvlText w:val="-"/>
      <w:lvlJc w:val="left"/>
      <w:pPr>
        <w:ind w:left="1080" w:hanging="360"/>
      </w:pPr>
      <w:rPr>
        <w:rFonts w:ascii="Times New Roman" w:eastAsia="Times New Roman" w:hAnsi="Times New Roman" w:hint="default"/>
      </w:rPr>
    </w:lvl>
    <w:lvl w:ilvl="1" w:tplc="04090001">
      <w:start w:val="1"/>
      <w:numFmt w:val="bullet"/>
      <w:lvlText w:val=""/>
      <w:lvlJc w:val="left"/>
      <w:pPr>
        <w:ind w:left="1080" w:hanging="360"/>
      </w:pPr>
      <w:rPr>
        <w:rFonts w:ascii="Symbol" w:hAnsi="Symbol" w:cs="Symbol" w:hint="default"/>
        <w:vanish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6C0D68"/>
    <w:multiLevelType w:val="hybridMultilevel"/>
    <w:tmpl w:val="4DD2F52C"/>
    <w:lvl w:ilvl="0" w:tplc="555893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CC866B4"/>
    <w:multiLevelType w:val="hybridMultilevel"/>
    <w:tmpl w:val="C254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74788"/>
    <w:multiLevelType w:val="hybridMultilevel"/>
    <w:tmpl w:val="CE68EEAA"/>
    <w:lvl w:ilvl="0" w:tplc="00921FB0">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F692897"/>
    <w:multiLevelType w:val="hybridMultilevel"/>
    <w:tmpl w:val="EC36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0"/>
  </w:num>
  <w:num w:numId="4">
    <w:abstractNumId w:val="15"/>
  </w:num>
  <w:num w:numId="5">
    <w:abstractNumId w:val="3"/>
  </w:num>
  <w:num w:numId="6">
    <w:abstractNumId w:val="6"/>
  </w:num>
  <w:num w:numId="7">
    <w:abstractNumId w:val="28"/>
  </w:num>
  <w:num w:numId="8">
    <w:abstractNumId w:val="24"/>
  </w:num>
  <w:num w:numId="9">
    <w:abstractNumId w:val="25"/>
  </w:num>
  <w:num w:numId="10">
    <w:abstractNumId w:val="11"/>
  </w:num>
  <w:num w:numId="11">
    <w:abstractNumId w:val="23"/>
  </w:num>
  <w:num w:numId="12">
    <w:abstractNumId w:val="37"/>
  </w:num>
  <w:num w:numId="13">
    <w:abstractNumId w:val="26"/>
  </w:num>
  <w:num w:numId="14">
    <w:abstractNumId w:val="8"/>
  </w:num>
  <w:num w:numId="15">
    <w:abstractNumId w:val="30"/>
  </w:num>
  <w:num w:numId="16">
    <w:abstractNumId w:val="10"/>
  </w:num>
  <w:num w:numId="17">
    <w:abstractNumId w:val="39"/>
  </w:num>
  <w:num w:numId="18">
    <w:abstractNumId w:val="19"/>
  </w:num>
  <w:num w:numId="19">
    <w:abstractNumId w:val="34"/>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9"/>
  </w:num>
  <w:num w:numId="25">
    <w:abstractNumId w:val="4"/>
  </w:num>
  <w:num w:numId="26">
    <w:abstractNumId w:val="14"/>
  </w:num>
  <w:num w:numId="27">
    <w:abstractNumId w:val="7"/>
  </w:num>
  <w:num w:numId="28">
    <w:abstractNumId w:val="1"/>
  </w:num>
  <w:num w:numId="29">
    <w:abstractNumId w:val="2"/>
  </w:num>
  <w:num w:numId="30">
    <w:abstractNumId w:val="38"/>
  </w:num>
  <w:num w:numId="31">
    <w:abstractNumId w:val="40"/>
  </w:num>
  <w:num w:numId="32">
    <w:abstractNumId w:val="31"/>
  </w:num>
  <w:num w:numId="33">
    <w:abstractNumId w:val="32"/>
  </w:num>
  <w:num w:numId="34">
    <w:abstractNumId w:val="35"/>
  </w:num>
  <w:num w:numId="35">
    <w:abstractNumId w:val="13"/>
  </w:num>
  <w:num w:numId="36">
    <w:abstractNumId w:val="5"/>
  </w:num>
  <w:num w:numId="37">
    <w:abstractNumId w:val="17"/>
  </w:num>
  <w:num w:numId="38">
    <w:abstractNumId w:val="27"/>
  </w:num>
  <w:num w:numId="39">
    <w:abstractNumId w:val="36"/>
  </w:num>
  <w:num w:numId="40">
    <w:abstractNumId w:val="2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A5"/>
    <w:rsid w:val="00012BCB"/>
    <w:rsid w:val="00013D39"/>
    <w:rsid w:val="00021042"/>
    <w:rsid w:val="000224F5"/>
    <w:rsid w:val="00024896"/>
    <w:rsid w:val="00026C05"/>
    <w:rsid w:val="00027E1A"/>
    <w:rsid w:val="00044F9F"/>
    <w:rsid w:val="00050FF7"/>
    <w:rsid w:val="00051B05"/>
    <w:rsid w:val="00052FDE"/>
    <w:rsid w:val="00057DF4"/>
    <w:rsid w:val="00060569"/>
    <w:rsid w:val="00067E5F"/>
    <w:rsid w:val="00074237"/>
    <w:rsid w:val="00077F28"/>
    <w:rsid w:val="000A5EEB"/>
    <w:rsid w:val="000A6F4A"/>
    <w:rsid w:val="000B34AC"/>
    <w:rsid w:val="000B7505"/>
    <w:rsid w:val="000C4E96"/>
    <w:rsid w:val="000D25B0"/>
    <w:rsid w:val="000D3575"/>
    <w:rsid w:val="000D75E8"/>
    <w:rsid w:val="000E102E"/>
    <w:rsid w:val="000E4FDB"/>
    <w:rsid w:val="000F2F98"/>
    <w:rsid w:val="00101322"/>
    <w:rsid w:val="00115FD7"/>
    <w:rsid w:val="001229E3"/>
    <w:rsid w:val="00127811"/>
    <w:rsid w:val="00130F8B"/>
    <w:rsid w:val="0013284D"/>
    <w:rsid w:val="00134551"/>
    <w:rsid w:val="00140898"/>
    <w:rsid w:val="00142D38"/>
    <w:rsid w:val="001452DD"/>
    <w:rsid w:val="00154940"/>
    <w:rsid w:val="00155B5D"/>
    <w:rsid w:val="00163A94"/>
    <w:rsid w:val="001722D2"/>
    <w:rsid w:val="001727E7"/>
    <w:rsid w:val="001738F4"/>
    <w:rsid w:val="001740B0"/>
    <w:rsid w:val="0017638B"/>
    <w:rsid w:val="001937A0"/>
    <w:rsid w:val="00194984"/>
    <w:rsid w:val="001A13F4"/>
    <w:rsid w:val="001A4113"/>
    <w:rsid w:val="001B0A97"/>
    <w:rsid w:val="001B1D03"/>
    <w:rsid w:val="001B7360"/>
    <w:rsid w:val="001C3CA6"/>
    <w:rsid w:val="001D1064"/>
    <w:rsid w:val="001D11E5"/>
    <w:rsid w:val="001D2F4E"/>
    <w:rsid w:val="001D4CE5"/>
    <w:rsid w:val="001D79E4"/>
    <w:rsid w:val="002018D2"/>
    <w:rsid w:val="002020A0"/>
    <w:rsid w:val="00221755"/>
    <w:rsid w:val="002273D8"/>
    <w:rsid w:val="00234011"/>
    <w:rsid w:val="00237351"/>
    <w:rsid w:val="00257716"/>
    <w:rsid w:val="00266611"/>
    <w:rsid w:val="00266775"/>
    <w:rsid w:val="002710FF"/>
    <w:rsid w:val="00272CBA"/>
    <w:rsid w:val="00273BA1"/>
    <w:rsid w:val="00281173"/>
    <w:rsid w:val="0028500E"/>
    <w:rsid w:val="002852CB"/>
    <w:rsid w:val="00290C25"/>
    <w:rsid w:val="00290F1A"/>
    <w:rsid w:val="00294C49"/>
    <w:rsid w:val="002954DF"/>
    <w:rsid w:val="0029698E"/>
    <w:rsid w:val="002976BD"/>
    <w:rsid w:val="002A0691"/>
    <w:rsid w:val="002A1F55"/>
    <w:rsid w:val="002A4A45"/>
    <w:rsid w:val="002C2EFB"/>
    <w:rsid w:val="002D1334"/>
    <w:rsid w:val="002D682F"/>
    <w:rsid w:val="002D762F"/>
    <w:rsid w:val="002E273B"/>
    <w:rsid w:val="002E6FD7"/>
    <w:rsid w:val="00300ABA"/>
    <w:rsid w:val="00302976"/>
    <w:rsid w:val="00305D5F"/>
    <w:rsid w:val="00311A27"/>
    <w:rsid w:val="0031213B"/>
    <w:rsid w:val="003204EB"/>
    <w:rsid w:val="00323CC8"/>
    <w:rsid w:val="003350E9"/>
    <w:rsid w:val="00337BEB"/>
    <w:rsid w:val="00344226"/>
    <w:rsid w:val="00345672"/>
    <w:rsid w:val="00351CA8"/>
    <w:rsid w:val="00354854"/>
    <w:rsid w:val="00361806"/>
    <w:rsid w:val="00362782"/>
    <w:rsid w:val="0036329A"/>
    <w:rsid w:val="00382E3B"/>
    <w:rsid w:val="003A0775"/>
    <w:rsid w:val="003A2193"/>
    <w:rsid w:val="003A29E3"/>
    <w:rsid w:val="003A7E09"/>
    <w:rsid w:val="003B56C7"/>
    <w:rsid w:val="003D0BE5"/>
    <w:rsid w:val="003D3FE3"/>
    <w:rsid w:val="003E3D1F"/>
    <w:rsid w:val="003F2A04"/>
    <w:rsid w:val="003F3B82"/>
    <w:rsid w:val="003F6315"/>
    <w:rsid w:val="003F64FE"/>
    <w:rsid w:val="0041273C"/>
    <w:rsid w:val="004160C4"/>
    <w:rsid w:val="00425462"/>
    <w:rsid w:val="00427919"/>
    <w:rsid w:val="00436C34"/>
    <w:rsid w:val="00437F87"/>
    <w:rsid w:val="00440C82"/>
    <w:rsid w:val="0044135B"/>
    <w:rsid w:val="00444F10"/>
    <w:rsid w:val="00447DE2"/>
    <w:rsid w:val="00451D33"/>
    <w:rsid w:val="0045468E"/>
    <w:rsid w:val="004561EA"/>
    <w:rsid w:val="00462417"/>
    <w:rsid w:val="00466C71"/>
    <w:rsid w:val="004725D4"/>
    <w:rsid w:val="00472908"/>
    <w:rsid w:val="0047545B"/>
    <w:rsid w:val="004863CE"/>
    <w:rsid w:val="00493C71"/>
    <w:rsid w:val="004B0560"/>
    <w:rsid w:val="004B28AD"/>
    <w:rsid w:val="004B2D6E"/>
    <w:rsid w:val="004B3E6B"/>
    <w:rsid w:val="004B6681"/>
    <w:rsid w:val="004C5878"/>
    <w:rsid w:val="004C59D4"/>
    <w:rsid w:val="004D3E15"/>
    <w:rsid w:val="004D78D1"/>
    <w:rsid w:val="004F67A3"/>
    <w:rsid w:val="005062B4"/>
    <w:rsid w:val="0051315A"/>
    <w:rsid w:val="00521C58"/>
    <w:rsid w:val="0053167A"/>
    <w:rsid w:val="005321D9"/>
    <w:rsid w:val="00532577"/>
    <w:rsid w:val="0053701D"/>
    <w:rsid w:val="005370EA"/>
    <w:rsid w:val="005451F4"/>
    <w:rsid w:val="00545601"/>
    <w:rsid w:val="005456DF"/>
    <w:rsid w:val="00546D08"/>
    <w:rsid w:val="0056367B"/>
    <w:rsid w:val="00570540"/>
    <w:rsid w:val="00574B54"/>
    <w:rsid w:val="00596218"/>
    <w:rsid w:val="005A3802"/>
    <w:rsid w:val="005A5147"/>
    <w:rsid w:val="005B5D45"/>
    <w:rsid w:val="005C293F"/>
    <w:rsid w:val="005D62CE"/>
    <w:rsid w:val="005E4809"/>
    <w:rsid w:val="005E5278"/>
    <w:rsid w:val="005F6C9C"/>
    <w:rsid w:val="005F7A29"/>
    <w:rsid w:val="00600AA4"/>
    <w:rsid w:val="00605BEB"/>
    <w:rsid w:val="00613335"/>
    <w:rsid w:val="00615E08"/>
    <w:rsid w:val="00617D13"/>
    <w:rsid w:val="006206F2"/>
    <w:rsid w:val="00620A54"/>
    <w:rsid w:val="00620C89"/>
    <w:rsid w:val="00627DEA"/>
    <w:rsid w:val="00627FF8"/>
    <w:rsid w:val="00647F41"/>
    <w:rsid w:val="00651278"/>
    <w:rsid w:val="00653C76"/>
    <w:rsid w:val="006540F7"/>
    <w:rsid w:val="006726E2"/>
    <w:rsid w:val="00676ADF"/>
    <w:rsid w:val="00685AA4"/>
    <w:rsid w:val="006867A4"/>
    <w:rsid w:val="006950F9"/>
    <w:rsid w:val="00695D54"/>
    <w:rsid w:val="006960F9"/>
    <w:rsid w:val="006C17AD"/>
    <w:rsid w:val="006C658C"/>
    <w:rsid w:val="006D398D"/>
    <w:rsid w:val="00700A1A"/>
    <w:rsid w:val="00715DBE"/>
    <w:rsid w:val="00726C56"/>
    <w:rsid w:val="00727C38"/>
    <w:rsid w:val="00727F92"/>
    <w:rsid w:val="00742666"/>
    <w:rsid w:val="007434A3"/>
    <w:rsid w:val="00744B10"/>
    <w:rsid w:val="00750C11"/>
    <w:rsid w:val="00754E74"/>
    <w:rsid w:val="00756A4F"/>
    <w:rsid w:val="00765F9E"/>
    <w:rsid w:val="00772475"/>
    <w:rsid w:val="00772926"/>
    <w:rsid w:val="00775C21"/>
    <w:rsid w:val="00776825"/>
    <w:rsid w:val="00784C8C"/>
    <w:rsid w:val="007A4648"/>
    <w:rsid w:val="007A6279"/>
    <w:rsid w:val="007B486B"/>
    <w:rsid w:val="007D01F2"/>
    <w:rsid w:val="007D0CE9"/>
    <w:rsid w:val="007D31D4"/>
    <w:rsid w:val="007E0DF2"/>
    <w:rsid w:val="007E2F01"/>
    <w:rsid w:val="007E3E6A"/>
    <w:rsid w:val="0080749D"/>
    <w:rsid w:val="008075BE"/>
    <w:rsid w:val="00811199"/>
    <w:rsid w:val="00811D22"/>
    <w:rsid w:val="00811D9D"/>
    <w:rsid w:val="00831402"/>
    <w:rsid w:val="00831707"/>
    <w:rsid w:val="00855668"/>
    <w:rsid w:val="008573B2"/>
    <w:rsid w:val="008615FD"/>
    <w:rsid w:val="00863B8D"/>
    <w:rsid w:val="00863E05"/>
    <w:rsid w:val="00870F32"/>
    <w:rsid w:val="00872F3C"/>
    <w:rsid w:val="00883ADC"/>
    <w:rsid w:val="00885978"/>
    <w:rsid w:val="00886C77"/>
    <w:rsid w:val="008B2C0E"/>
    <w:rsid w:val="008D1050"/>
    <w:rsid w:val="008D750E"/>
    <w:rsid w:val="008D776C"/>
    <w:rsid w:val="008E1645"/>
    <w:rsid w:val="008E2873"/>
    <w:rsid w:val="008E5577"/>
    <w:rsid w:val="008F2823"/>
    <w:rsid w:val="008F2E78"/>
    <w:rsid w:val="009041E5"/>
    <w:rsid w:val="00906FDE"/>
    <w:rsid w:val="00913DE1"/>
    <w:rsid w:val="009210EB"/>
    <w:rsid w:val="00932377"/>
    <w:rsid w:val="009413C0"/>
    <w:rsid w:val="00952462"/>
    <w:rsid w:val="00957772"/>
    <w:rsid w:val="00965171"/>
    <w:rsid w:val="0096751A"/>
    <w:rsid w:val="00977671"/>
    <w:rsid w:val="00981ED5"/>
    <w:rsid w:val="00982E33"/>
    <w:rsid w:val="009966BE"/>
    <w:rsid w:val="009B46BA"/>
    <w:rsid w:val="009B5138"/>
    <w:rsid w:val="009B7C21"/>
    <w:rsid w:val="009C51CB"/>
    <w:rsid w:val="009D077C"/>
    <w:rsid w:val="009D093C"/>
    <w:rsid w:val="009D6074"/>
    <w:rsid w:val="009E7D7D"/>
    <w:rsid w:val="00A041F5"/>
    <w:rsid w:val="00A05F1A"/>
    <w:rsid w:val="00A11E57"/>
    <w:rsid w:val="00A11F88"/>
    <w:rsid w:val="00A14529"/>
    <w:rsid w:val="00A2181D"/>
    <w:rsid w:val="00A2795E"/>
    <w:rsid w:val="00A33079"/>
    <w:rsid w:val="00A34F36"/>
    <w:rsid w:val="00A41DE5"/>
    <w:rsid w:val="00A44CD6"/>
    <w:rsid w:val="00A51B99"/>
    <w:rsid w:val="00A562D7"/>
    <w:rsid w:val="00A56527"/>
    <w:rsid w:val="00A64C64"/>
    <w:rsid w:val="00A73670"/>
    <w:rsid w:val="00A73780"/>
    <w:rsid w:val="00A75E04"/>
    <w:rsid w:val="00A80178"/>
    <w:rsid w:val="00A80630"/>
    <w:rsid w:val="00A86C00"/>
    <w:rsid w:val="00A92BA5"/>
    <w:rsid w:val="00A92C64"/>
    <w:rsid w:val="00AC756A"/>
    <w:rsid w:val="00B022FF"/>
    <w:rsid w:val="00B02BD0"/>
    <w:rsid w:val="00B07312"/>
    <w:rsid w:val="00B24363"/>
    <w:rsid w:val="00B3023D"/>
    <w:rsid w:val="00B31B87"/>
    <w:rsid w:val="00B42C37"/>
    <w:rsid w:val="00B47F69"/>
    <w:rsid w:val="00B56491"/>
    <w:rsid w:val="00B8113E"/>
    <w:rsid w:val="00B87843"/>
    <w:rsid w:val="00BA186C"/>
    <w:rsid w:val="00BA330C"/>
    <w:rsid w:val="00BA3E18"/>
    <w:rsid w:val="00BA7B0B"/>
    <w:rsid w:val="00BB4764"/>
    <w:rsid w:val="00BB6020"/>
    <w:rsid w:val="00BB74A7"/>
    <w:rsid w:val="00BC0309"/>
    <w:rsid w:val="00BC1364"/>
    <w:rsid w:val="00BC3A98"/>
    <w:rsid w:val="00BD47EA"/>
    <w:rsid w:val="00BE008B"/>
    <w:rsid w:val="00BE6DF6"/>
    <w:rsid w:val="00BE7A41"/>
    <w:rsid w:val="00C04754"/>
    <w:rsid w:val="00C0621F"/>
    <w:rsid w:val="00C11D3C"/>
    <w:rsid w:val="00C13615"/>
    <w:rsid w:val="00C22516"/>
    <w:rsid w:val="00C30F2F"/>
    <w:rsid w:val="00C31495"/>
    <w:rsid w:val="00C42020"/>
    <w:rsid w:val="00C53AA9"/>
    <w:rsid w:val="00C61535"/>
    <w:rsid w:val="00C61AF9"/>
    <w:rsid w:val="00C61CCB"/>
    <w:rsid w:val="00C61FE3"/>
    <w:rsid w:val="00C80524"/>
    <w:rsid w:val="00C81964"/>
    <w:rsid w:val="00C83D14"/>
    <w:rsid w:val="00C91639"/>
    <w:rsid w:val="00C96A5A"/>
    <w:rsid w:val="00CA7B35"/>
    <w:rsid w:val="00CB325F"/>
    <w:rsid w:val="00CB4329"/>
    <w:rsid w:val="00CB58B2"/>
    <w:rsid w:val="00CC11A5"/>
    <w:rsid w:val="00CC4C56"/>
    <w:rsid w:val="00CC77AA"/>
    <w:rsid w:val="00CE1676"/>
    <w:rsid w:val="00CF4A6C"/>
    <w:rsid w:val="00CF686A"/>
    <w:rsid w:val="00D05B0E"/>
    <w:rsid w:val="00D131A5"/>
    <w:rsid w:val="00D26471"/>
    <w:rsid w:val="00D31831"/>
    <w:rsid w:val="00D3444C"/>
    <w:rsid w:val="00D4659F"/>
    <w:rsid w:val="00D53D76"/>
    <w:rsid w:val="00D57384"/>
    <w:rsid w:val="00D635FC"/>
    <w:rsid w:val="00D63958"/>
    <w:rsid w:val="00D65744"/>
    <w:rsid w:val="00D73B5E"/>
    <w:rsid w:val="00D94573"/>
    <w:rsid w:val="00DA2E12"/>
    <w:rsid w:val="00DB2B7A"/>
    <w:rsid w:val="00DB6995"/>
    <w:rsid w:val="00DC128D"/>
    <w:rsid w:val="00DD320A"/>
    <w:rsid w:val="00DD35F7"/>
    <w:rsid w:val="00DD6E46"/>
    <w:rsid w:val="00DD771F"/>
    <w:rsid w:val="00DE027F"/>
    <w:rsid w:val="00DE682F"/>
    <w:rsid w:val="00DF02D0"/>
    <w:rsid w:val="00DF5B14"/>
    <w:rsid w:val="00DF6597"/>
    <w:rsid w:val="00DF68E6"/>
    <w:rsid w:val="00DF7A9C"/>
    <w:rsid w:val="00E067C9"/>
    <w:rsid w:val="00E10A89"/>
    <w:rsid w:val="00E12808"/>
    <w:rsid w:val="00E16157"/>
    <w:rsid w:val="00E163B1"/>
    <w:rsid w:val="00E2293D"/>
    <w:rsid w:val="00E26802"/>
    <w:rsid w:val="00E30E5D"/>
    <w:rsid w:val="00E331D9"/>
    <w:rsid w:val="00E470F1"/>
    <w:rsid w:val="00E4777E"/>
    <w:rsid w:val="00E516C8"/>
    <w:rsid w:val="00E63D67"/>
    <w:rsid w:val="00E64F4A"/>
    <w:rsid w:val="00E72DC0"/>
    <w:rsid w:val="00E81C43"/>
    <w:rsid w:val="00E826D0"/>
    <w:rsid w:val="00E82C0E"/>
    <w:rsid w:val="00E82CCD"/>
    <w:rsid w:val="00E84FF3"/>
    <w:rsid w:val="00E90B54"/>
    <w:rsid w:val="00E91C76"/>
    <w:rsid w:val="00E96B04"/>
    <w:rsid w:val="00E979C2"/>
    <w:rsid w:val="00EB0A0F"/>
    <w:rsid w:val="00EB63A8"/>
    <w:rsid w:val="00EC2669"/>
    <w:rsid w:val="00EC5865"/>
    <w:rsid w:val="00ED3820"/>
    <w:rsid w:val="00ED4CE4"/>
    <w:rsid w:val="00ED6A04"/>
    <w:rsid w:val="00EE1A0B"/>
    <w:rsid w:val="00EF110E"/>
    <w:rsid w:val="00EF487D"/>
    <w:rsid w:val="00F02D5B"/>
    <w:rsid w:val="00F045F0"/>
    <w:rsid w:val="00F072E2"/>
    <w:rsid w:val="00F076B8"/>
    <w:rsid w:val="00F1528A"/>
    <w:rsid w:val="00F20729"/>
    <w:rsid w:val="00F2502E"/>
    <w:rsid w:val="00F25116"/>
    <w:rsid w:val="00F254C7"/>
    <w:rsid w:val="00F328B3"/>
    <w:rsid w:val="00F33F13"/>
    <w:rsid w:val="00F46190"/>
    <w:rsid w:val="00F52670"/>
    <w:rsid w:val="00F53201"/>
    <w:rsid w:val="00F532BD"/>
    <w:rsid w:val="00F538A5"/>
    <w:rsid w:val="00F62038"/>
    <w:rsid w:val="00F7427C"/>
    <w:rsid w:val="00F80DFC"/>
    <w:rsid w:val="00F82B83"/>
    <w:rsid w:val="00F83B5A"/>
    <w:rsid w:val="00F96E85"/>
    <w:rsid w:val="00FA6DB2"/>
    <w:rsid w:val="00FA7C3A"/>
    <w:rsid w:val="00FB5663"/>
    <w:rsid w:val="00FC17A1"/>
    <w:rsid w:val="00FC22E7"/>
    <w:rsid w:val="00FC34D2"/>
    <w:rsid w:val="00FC4019"/>
    <w:rsid w:val="00FD0784"/>
    <w:rsid w:val="00FD5DEF"/>
    <w:rsid w:val="00FD7430"/>
    <w:rsid w:val="00FE1C4E"/>
    <w:rsid w:val="00FE2F89"/>
    <w:rsid w:val="00FE3A20"/>
    <w:rsid w:val="00FE66C6"/>
    <w:rsid w:val="00FF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19CCD"/>
  <w15:docId w15:val="{F16F5CBD-959C-45AE-8D7D-120B76A4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26"/>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254C7"/>
    <w:rPr>
      <w:rFonts w:ascii="Tahoma" w:hAnsi="Tahoma"/>
      <w:sz w:val="16"/>
      <w:szCs w:val="16"/>
    </w:rPr>
  </w:style>
  <w:style w:type="character" w:customStyle="1" w:styleId="BalloonTextChar">
    <w:name w:val="Balloon Text Char"/>
    <w:basedOn w:val="DefaultParagraphFont"/>
    <w:link w:val="BalloonText"/>
    <w:uiPriority w:val="99"/>
    <w:locked/>
    <w:rsid w:val="00F254C7"/>
    <w:rPr>
      <w:rFonts w:ascii="Tahoma" w:hAnsi="Tahoma" w:cs="Times New Roman"/>
      <w:sz w:val="16"/>
      <w:lang w:val="es-ES" w:eastAsia="es-ES"/>
    </w:rPr>
  </w:style>
  <w:style w:type="paragraph" w:customStyle="1" w:styleId="ColorfulList-Accent11">
    <w:name w:val="Colorful List - Accent 11"/>
    <w:basedOn w:val="Normal"/>
    <w:uiPriority w:val="99"/>
    <w:rsid w:val="00F254C7"/>
    <w:pPr>
      <w:ind w:left="720"/>
    </w:pPr>
  </w:style>
  <w:style w:type="character" w:styleId="CommentReference">
    <w:name w:val="annotation reference"/>
    <w:basedOn w:val="DefaultParagraphFont"/>
    <w:uiPriority w:val="99"/>
    <w:semiHidden/>
    <w:rsid w:val="00F254C7"/>
    <w:rPr>
      <w:rFonts w:cs="Times New Roman"/>
      <w:sz w:val="16"/>
      <w:lang w:val="es-ES" w:eastAsia="es-ES"/>
    </w:rPr>
  </w:style>
  <w:style w:type="paragraph" w:styleId="CommentText">
    <w:name w:val="annotation text"/>
    <w:basedOn w:val="Normal"/>
    <w:link w:val="CommentTextChar"/>
    <w:uiPriority w:val="99"/>
    <w:semiHidden/>
    <w:rsid w:val="00F254C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s-ES" w:eastAsia="es-ES"/>
    </w:rPr>
  </w:style>
  <w:style w:type="paragraph" w:styleId="CommentSubject">
    <w:name w:val="annotation subject"/>
    <w:basedOn w:val="CommentText"/>
    <w:next w:val="CommentText"/>
    <w:link w:val="CommentSubjectChar"/>
    <w:uiPriority w:val="99"/>
    <w:semiHidden/>
    <w:rsid w:val="00F254C7"/>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s-ES" w:eastAsia="es-ES"/>
    </w:rPr>
  </w:style>
  <w:style w:type="table" w:styleId="TableGrid">
    <w:name w:val="Table Grid"/>
    <w:basedOn w:val="TableNormal"/>
    <w:uiPriority w:val="99"/>
    <w:rsid w:val="00F254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F254C7"/>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uiPriority w:val="99"/>
    <w:locked/>
    <w:rsid w:val="00F254C7"/>
    <w:rPr>
      <w:rFonts w:ascii="CG Times" w:hAnsi="CG Times" w:cs="Times New Roman"/>
      <w:sz w:val="22"/>
      <w:lang w:val="es-ES" w:eastAsia="es-ES"/>
    </w:rPr>
  </w:style>
  <w:style w:type="paragraph" w:styleId="Title">
    <w:name w:val="Title"/>
    <w:basedOn w:val="Normal"/>
    <w:link w:val="TitleChar"/>
    <w:uiPriority w:val="99"/>
    <w:qFormat/>
    <w:rsid w:val="00F254C7"/>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b/>
      <w:bCs/>
      <w:spacing w:val="-2"/>
      <w:sz w:val="22"/>
      <w:szCs w:val="22"/>
    </w:rPr>
  </w:style>
  <w:style w:type="character" w:customStyle="1" w:styleId="TitleChar">
    <w:name w:val="Title Char"/>
    <w:basedOn w:val="DefaultParagraphFont"/>
    <w:link w:val="Title"/>
    <w:uiPriority w:val="99"/>
    <w:locked/>
    <w:rsid w:val="00F254C7"/>
    <w:rPr>
      <w:rFonts w:ascii="Arial" w:hAnsi="Arial" w:cs="Times New Roman"/>
      <w:b/>
      <w:spacing w:val="-2"/>
      <w:sz w:val="22"/>
      <w:lang w:val="es-ES" w:eastAsia="es-ES"/>
    </w:rPr>
  </w:style>
  <w:style w:type="paragraph" w:styleId="Header">
    <w:name w:val="header"/>
    <w:basedOn w:val="Normal"/>
    <w:link w:val="HeaderChar"/>
    <w:uiPriority w:val="99"/>
    <w:rsid w:val="00F254C7"/>
    <w:pPr>
      <w:tabs>
        <w:tab w:val="center" w:pos="4680"/>
        <w:tab w:val="right" w:pos="9360"/>
      </w:tabs>
    </w:pPr>
  </w:style>
  <w:style w:type="character" w:customStyle="1" w:styleId="HeaderChar">
    <w:name w:val="Header Char"/>
    <w:basedOn w:val="DefaultParagraphFont"/>
    <w:link w:val="Header"/>
    <w:uiPriority w:val="99"/>
    <w:locked/>
    <w:rsid w:val="00F254C7"/>
    <w:rPr>
      <w:rFonts w:cs="Times New Roman"/>
      <w:sz w:val="24"/>
      <w:lang w:val="es-ES" w:eastAsia="es-ES"/>
    </w:rPr>
  </w:style>
  <w:style w:type="paragraph" w:styleId="Footer">
    <w:name w:val="footer"/>
    <w:basedOn w:val="Normal"/>
    <w:link w:val="FooterChar"/>
    <w:uiPriority w:val="99"/>
    <w:rsid w:val="00F254C7"/>
    <w:pPr>
      <w:tabs>
        <w:tab w:val="center" w:pos="4680"/>
        <w:tab w:val="right" w:pos="9360"/>
      </w:tabs>
    </w:pPr>
  </w:style>
  <w:style w:type="character" w:customStyle="1" w:styleId="FooterChar">
    <w:name w:val="Footer Char"/>
    <w:basedOn w:val="DefaultParagraphFont"/>
    <w:link w:val="Footer"/>
    <w:uiPriority w:val="99"/>
    <w:locked/>
    <w:rsid w:val="00F254C7"/>
    <w:rPr>
      <w:rFonts w:cs="Times New Roman"/>
      <w:sz w:val="24"/>
      <w:lang w:val="es-ES" w:eastAsia="es-ES"/>
    </w:rPr>
  </w:style>
  <w:style w:type="paragraph" w:customStyle="1" w:styleId="Prrafodelista">
    <w:name w:val="Párrafo de lista"/>
    <w:basedOn w:val="Normal"/>
    <w:uiPriority w:val="99"/>
    <w:rsid w:val="00F254C7"/>
    <w:pPr>
      <w:ind w:left="708"/>
    </w:pPr>
  </w:style>
  <w:style w:type="character" w:styleId="PageNumber">
    <w:name w:val="page number"/>
    <w:basedOn w:val="DefaultParagraphFont"/>
    <w:uiPriority w:val="99"/>
    <w:rsid w:val="00142D38"/>
    <w:rPr>
      <w:rFonts w:cs="Times New Roman"/>
    </w:rPr>
  </w:style>
  <w:style w:type="character" w:styleId="Hyperlink">
    <w:name w:val="Hyperlink"/>
    <w:basedOn w:val="DefaultParagraphFont"/>
    <w:uiPriority w:val="99"/>
    <w:rsid w:val="00F045F0"/>
    <w:rPr>
      <w:rFonts w:cs="Times New Roman"/>
      <w:color w:val="0000FF"/>
      <w:u w:val="single"/>
    </w:rPr>
  </w:style>
  <w:style w:type="character" w:styleId="FollowedHyperlink">
    <w:name w:val="FollowedHyperlink"/>
    <w:basedOn w:val="DefaultParagraphFont"/>
    <w:uiPriority w:val="99"/>
    <w:rsid w:val="00FC17A1"/>
    <w:rPr>
      <w:rFonts w:cs="Times New Roman"/>
      <w:color w:val="800080"/>
      <w:u w:val="single"/>
    </w:rPr>
  </w:style>
  <w:style w:type="paragraph" w:customStyle="1" w:styleId="Default">
    <w:name w:val="Default"/>
    <w:uiPriority w:val="99"/>
    <w:rsid w:val="005062B4"/>
    <w:pPr>
      <w:autoSpaceDE w:val="0"/>
      <w:autoSpaceDN w:val="0"/>
      <w:adjustRightInd w:val="0"/>
    </w:pPr>
    <w:rPr>
      <w:color w:val="000000"/>
      <w:sz w:val="24"/>
      <w:szCs w:val="24"/>
    </w:rPr>
  </w:style>
  <w:style w:type="paragraph" w:styleId="FootnoteText">
    <w:name w:val="footnote text"/>
    <w:basedOn w:val="Normal"/>
    <w:link w:val="FootnoteTextChar"/>
    <w:uiPriority w:val="99"/>
    <w:rsid w:val="00DD320A"/>
    <w:rPr>
      <w:sz w:val="20"/>
      <w:szCs w:val="20"/>
    </w:rPr>
  </w:style>
  <w:style w:type="character" w:customStyle="1" w:styleId="FootnoteTextChar">
    <w:name w:val="Footnote Text Char"/>
    <w:basedOn w:val="DefaultParagraphFont"/>
    <w:link w:val="FootnoteText"/>
    <w:uiPriority w:val="99"/>
    <w:locked/>
    <w:rsid w:val="00DD320A"/>
    <w:rPr>
      <w:rFonts w:cs="Times New Roman"/>
      <w:lang w:val="es-ES" w:eastAsia="es-ES"/>
    </w:rPr>
  </w:style>
  <w:style w:type="character" w:styleId="FootnoteReference">
    <w:name w:val="footnote reference"/>
    <w:basedOn w:val="DefaultParagraphFont"/>
    <w:uiPriority w:val="99"/>
    <w:rsid w:val="00DD320A"/>
    <w:rPr>
      <w:rFonts w:cs="Times New Roman"/>
      <w:vertAlign w:val="superscript"/>
    </w:rPr>
  </w:style>
  <w:style w:type="paragraph" w:customStyle="1" w:styleId="ColorfulShading-Accent11">
    <w:name w:val="Colorful Shading - Accent 11"/>
    <w:hidden/>
    <w:uiPriority w:val="99"/>
    <w:semiHidden/>
    <w:rsid w:val="00DD320A"/>
    <w:rPr>
      <w:sz w:val="24"/>
      <w:szCs w:val="24"/>
      <w:lang w:val="es-ES" w:eastAsia="es-ES"/>
    </w:rPr>
  </w:style>
  <w:style w:type="paragraph" w:styleId="BodyText">
    <w:name w:val="Body Text"/>
    <w:basedOn w:val="Normal"/>
    <w:link w:val="BodyTextChar"/>
    <w:uiPriority w:val="99"/>
    <w:rsid w:val="001D2F4E"/>
    <w:pPr>
      <w:spacing w:after="120"/>
      <w:jc w:val="both"/>
    </w:pPr>
    <w:rPr>
      <w:sz w:val="22"/>
      <w:szCs w:val="22"/>
      <w:lang w:val="es-CO" w:eastAsia="en-US"/>
    </w:rPr>
  </w:style>
  <w:style w:type="character" w:customStyle="1" w:styleId="BodyTextChar">
    <w:name w:val="Body Text Char"/>
    <w:basedOn w:val="DefaultParagraphFont"/>
    <w:link w:val="BodyText"/>
    <w:uiPriority w:val="99"/>
    <w:locked/>
    <w:rsid w:val="001D2F4E"/>
    <w:rPr>
      <w:rFonts w:eastAsia="Times New Roman" w:cs="Times New Roman"/>
      <w:snapToGrid w:val="0"/>
      <w:sz w:val="22"/>
      <w:lang w:val="es-CO"/>
    </w:rPr>
  </w:style>
  <w:style w:type="paragraph" w:styleId="ListParagraph">
    <w:name w:val="List Paragraph"/>
    <w:basedOn w:val="Normal"/>
    <w:uiPriority w:val="34"/>
    <w:qFormat/>
    <w:rsid w:val="001D2F4E"/>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8987">
      <w:bodyDiv w:val="1"/>
      <w:marLeft w:val="0"/>
      <w:marRight w:val="0"/>
      <w:marTop w:val="0"/>
      <w:marBottom w:val="0"/>
      <w:divBdr>
        <w:top w:val="none" w:sz="0" w:space="0" w:color="auto"/>
        <w:left w:val="none" w:sz="0" w:space="0" w:color="auto"/>
        <w:bottom w:val="none" w:sz="0" w:space="0" w:color="auto"/>
        <w:right w:val="none" w:sz="0" w:space="0" w:color="auto"/>
      </w:divBdr>
    </w:div>
    <w:div w:id="802187390">
      <w:bodyDiv w:val="1"/>
      <w:marLeft w:val="0"/>
      <w:marRight w:val="0"/>
      <w:marTop w:val="0"/>
      <w:marBottom w:val="0"/>
      <w:divBdr>
        <w:top w:val="none" w:sz="0" w:space="0" w:color="auto"/>
        <w:left w:val="none" w:sz="0" w:space="0" w:color="auto"/>
        <w:bottom w:val="none" w:sz="0" w:space="0" w:color="auto"/>
        <w:right w:val="none" w:sz="0" w:space="0" w:color="auto"/>
      </w:divBdr>
    </w:div>
    <w:div w:id="1607805838">
      <w:marLeft w:val="0"/>
      <w:marRight w:val="0"/>
      <w:marTop w:val="0"/>
      <w:marBottom w:val="0"/>
      <w:divBdr>
        <w:top w:val="none" w:sz="0" w:space="0" w:color="auto"/>
        <w:left w:val="none" w:sz="0" w:space="0" w:color="auto"/>
        <w:bottom w:val="none" w:sz="0" w:space="0" w:color="auto"/>
        <w:right w:val="none" w:sz="0" w:space="0" w:color="auto"/>
      </w:divBdr>
    </w:div>
    <w:div w:id="1607805839">
      <w:marLeft w:val="0"/>
      <w:marRight w:val="0"/>
      <w:marTop w:val="0"/>
      <w:marBottom w:val="0"/>
      <w:divBdr>
        <w:top w:val="none" w:sz="0" w:space="0" w:color="auto"/>
        <w:left w:val="none" w:sz="0" w:space="0" w:color="auto"/>
        <w:bottom w:val="none" w:sz="0" w:space="0" w:color="auto"/>
        <w:right w:val="none" w:sz="0" w:space="0" w:color="auto"/>
      </w:divBdr>
    </w:div>
    <w:div w:id="1607805840">
      <w:marLeft w:val="0"/>
      <w:marRight w:val="0"/>
      <w:marTop w:val="0"/>
      <w:marBottom w:val="0"/>
      <w:divBdr>
        <w:top w:val="none" w:sz="0" w:space="0" w:color="auto"/>
        <w:left w:val="none" w:sz="0" w:space="0" w:color="auto"/>
        <w:bottom w:val="none" w:sz="0" w:space="0" w:color="auto"/>
        <w:right w:val="none" w:sz="0" w:space="0" w:color="auto"/>
      </w:divBdr>
    </w:div>
    <w:div w:id="1607805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s.org/ext/Portals/23/DCF/CIDRP00933E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oas.org/IDMS/Redirectpage.aspx?class=AICD/JD/DE&amp;classNum=126&amp;la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oas.org/pdfs/2014/AG06712s04.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ctad.org/en/pages/PublicationWebflyer.aspx?publicationid=2711" TargetMode="External"/><Relationship Id="rId3" Type="http://schemas.openxmlformats.org/officeDocument/2006/relationships/hyperlink" Target="https://blogs.iadb.org/ideas-que-cuentan/es/covid-19-el-desafio-de-garantizar-ayuda-a-los-trabajadores-informarles-y-vulnerables/" TargetMode="External"/><Relationship Id="rId7" Type="http://schemas.openxmlformats.org/officeDocument/2006/relationships/hyperlink" Target="https://unctad.org/meetings/en/SessionalDocuments/ecn162019d3_en.pdf" TargetMode="External"/><Relationship Id="rId2" Type="http://schemas.openxmlformats.org/officeDocument/2006/relationships/hyperlink" Target="https://www.cepal.org/en/publications/45784-addressing-growing-impact-covid-19-view-reactivation-equality-new-projections" TargetMode="External"/><Relationship Id="rId1" Type="http://schemas.openxmlformats.org/officeDocument/2006/relationships/hyperlink" Target="https://www.undrr.org/terminology/resilience" TargetMode="External"/><Relationship Id="rId6" Type="http://schemas.openxmlformats.org/officeDocument/2006/relationships/hyperlink" Target="https://doi.org/10.18111/9789284421633" TargetMode="External"/><Relationship Id="rId5" Type="http://schemas.openxmlformats.org/officeDocument/2006/relationships/hyperlink" Target="https://wttc.org/Research/Economic-Impact" TargetMode="External"/><Relationship Id="rId4" Type="http://schemas.openxmlformats.org/officeDocument/2006/relationships/hyperlink" Target="https://publications.iadb.org/publications/english/document/Extreme-Outlier-The-Pandemics-Unprecedented-Shock-to-Tourism-in-Latin-America-and-the-Caribb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2789</Words>
  <Characters>15279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Cooperation:</vt:lpstr>
    </vt:vector>
  </TitlesOfParts>
  <Company>OAS</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dc:title>
  <dc:subject/>
  <dc:creator>USER1</dc:creator>
  <cp:keywords/>
  <dc:description/>
  <cp:lastModifiedBy>Burns, Sandra</cp:lastModifiedBy>
  <cp:revision>4</cp:revision>
  <cp:lastPrinted>2015-02-09T19:30:00Z</cp:lastPrinted>
  <dcterms:created xsi:type="dcterms:W3CDTF">2020-09-25T15:12:00Z</dcterms:created>
  <dcterms:modified xsi:type="dcterms:W3CDTF">2020-09-25T16:33:00Z</dcterms:modified>
</cp:coreProperties>
</file>