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BB" w:rsidRPr="008B37DE" w:rsidRDefault="00BA1104" w:rsidP="00BA1104">
      <w:pPr>
        <w:tabs>
          <w:tab w:val="left" w:pos="7200"/>
        </w:tabs>
        <w:suppressAutoHyphens/>
        <w:ind w:right="-900"/>
        <w:jc w:val="both"/>
        <w:rPr>
          <w:b/>
          <w:spacing w:val="-2"/>
          <w:lang w:eastAsia="en-US"/>
        </w:rPr>
      </w:pPr>
      <w:r w:rsidRPr="008B37DE">
        <w:rPr>
          <w:b/>
          <w:bCs/>
          <w:spacing w:val="-2"/>
          <w:lang w:eastAsia="en-US"/>
        </w:rPr>
        <w:t>AGENCIA INTER-AMERICANA</w:t>
      </w:r>
      <w:r w:rsidRPr="008B37DE">
        <w:rPr>
          <w:b/>
          <w:spacing w:val="-2"/>
          <w:lang w:eastAsia="en-US"/>
        </w:rPr>
        <w:t xml:space="preserve"> </w:t>
      </w:r>
      <w:r w:rsidRPr="008B37DE">
        <w:rPr>
          <w:b/>
          <w:spacing w:val="-2"/>
          <w:lang w:eastAsia="en-US"/>
        </w:rPr>
        <w:tab/>
      </w:r>
      <w:r w:rsidR="001576BB" w:rsidRPr="008B37DE">
        <w:rPr>
          <w:rFonts w:eastAsia="Times New Roman"/>
          <w:lang w:eastAsia="en-US"/>
        </w:rPr>
        <w:t>OEA/Ser. W</w:t>
      </w:r>
    </w:p>
    <w:p w:rsidR="00BA1104" w:rsidRPr="008B37DE" w:rsidRDefault="001576BB" w:rsidP="00BA1104">
      <w:pPr>
        <w:tabs>
          <w:tab w:val="left" w:pos="7200"/>
        </w:tabs>
        <w:suppressAutoHyphens/>
        <w:ind w:right="-900"/>
        <w:jc w:val="both"/>
        <w:rPr>
          <w:b/>
          <w:spacing w:val="-2"/>
        </w:rPr>
      </w:pPr>
      <w:r w:rsidRPr="008B37DE">
        <w:rPr>
          <w:b/>
          <w:bCs/>
          <w:spacing w:val="-2"/>
          <w:lang w:eastAsia="en-US"/>
        </w:rPr>
        <w:t>PARA LA COOPERACI</w:t>
      </w:r>
      <w:r w:rsidRPr="008B37DE">
        <w:rPr>
          <w:b/>
          <w:bCs/>
          <w:spacing w:val="-2"/>
          <w:lang w:val="es-ES_tradnl" w:eastAsia="en-US"/>
        </w:rPr>
        <w:t>O</w:t>
      </w:r>
      <w:r w:rsidRPr="008B37DE">
        <w:rPr>
          <w:b/>
          <w:bCs/>
          <w:spacing w:val="-2"/>
          <w:lang w:eastAsia="en-US"/>
        </w:rPr>
        <w:t>N Y EL DESARROLLO</w:t>
      </w:r>
      <w:r w:rsidRPr="008B37DE">
        <w:rPr>
          <w:spacing w:val="-2"/>
          <w:lang w:eastAsia="en-US"/>
        </w:rPr>
        <w:tab/>
      </w:r>
      <w:r w:rsidR="001F7679" w:rsidRPr="001F7679">
        <w:rPr>
          <w:spacing w:val="-2"/>
          <w:lang w:eastAsia="en-US"/>
        </w:rPr>
        <w:t>AICD/JD/doc.183/20 rev.</w:t>
      </w:r>
      <w:r w:rsidR="000D206D">
        <w:rPr>
          <w:spacing w:val="-2"/>
          <w:lang w:eastAsia="en-US"/>
        </w:rPr>
        <w:t>2</w:t>
      </w:r>
    </w:p>
    <w:p w:rsidR="00BA1104" w:rsidRPr="008B37DE" w:rsidRDefault="001576BB" w:rsidP="00BA1104">
      <w:pPr>
        <w:pStyle w:val="Header"/>
        <w:tabs>
          <w:tab w:val="left" w:pos="7200"/>
        </w:tabs>
        <w:suppressAutoHyphens/>
        <w:ind w:right="-900"/>
        <w:rPr>
          <w:spacing w:val="-2"/>
        </w:rPr>
      </w:pPr>
      <w:r w:rsidRPr="008B37DE">
        <w:rPr>
          <w:b/>
          <w:spacing w:val="-2"/>
          <w:lang w:eastAsia="en-US"/>
        </w:rPr>
        <w:t>REUNI</w:t>
      </w:r>
      <w:r w:rsidRPr="008B37DE">
        <w:rPr>
          <w:b/>
          <w:spacing w:val="-2"/>
          <w:lang w:val="es-ES_tradnl" w:eastAsia="en-US"/>
        </w:rPr>
        <w:t xml:space="preserve">ON DE LA JUNTA </w:t>
      </w:r>
      <w:r w:rsidRPr="008B37DE">
        <w:rPr>
          <w:b/>
          <w:spacing w:val="-2"/>
          <w:lang w:eastAsia="en-US"/>
        </w:rPr>
        <w:t>DIRECTIVA</w:t>
      </w:r>
      <w:r w:rsidR="00BA1104" w:rsidRPr="008B37DE">
        <w:rPr>
          <w:b/>
          <w:spacing w:val="-2"/>
          <w:lang w:eastAsia="en-US"/>
        </w:rPr>
        <w:tab/>
      </w:r>
      <w:r w:rsidRPr="008B37DE">
        <w:rPr>
          <w:b/>
          <w:spacing w:val="-2"/>
          <w:lang w:eastAsia="en-US"/>
        </w:rPr>
        <w:tab/>
      </w:r>
      <w:r w:rsidR="000D206D">
        <w:rPr>
          <w:spacing w:val="-2"/>
          <w:lang w:eastAsia="en-US"/>
        </w:rPr>
        <w:t>3</w:t>
      </w:r>
      <w:r w:rsidR="00AA6B76" w:rsidRPr="001F7679">
        <w:rPr>
          <w:spacing w:val="-2"/>
          <w:lang w:eastAsia="en-US"/>
        </w:rPr>
        <w:t xml:space="preserve"> </w:t>
      </w:r>
      <w:r w:rsidR="006342E4">
        <w:rPr>
          <w:spacing w:val="-2"/>
          <w:lang w:eastAsia="en-US"/>
        </w:rPr>
        <w:t>d</w:t>
      </w:r>
      <w:r w:rsidR="000D206D">
        <w:rPr>
          <w:spacing w:val="-2"/>
          <w:lang w:eastAsia="en-US"/>
        </w:rPr>
        <w:t>ic</w:t>
      </w:r>
      <w:r w:rsidR="00ED502E" w:rsidRPr="001F7679">
        <w:rPr>
          <w:spacing w:val="-2"/>
          <w:lang w:eastAsia="en-US"/>
        </w:rPr>
        <w:t>iembre</w:t>
      </w:r>
      <w:r w:rsidR="00AA6B76" w:rsidRPr="001F7679">
        <w:rPr>
          <w:spacing w:val="-2"/>
          <w:lang w:eastAsia="en-US"/>
        </w:rPr>
        <w:t xml:space="preserve"> 20</w:t>
      </w:r>
      <w:r w:rsidR="002821D7" w:rsidRPr="001F7679">
        <w:rPr>
          <w:spacing w:val="-2"/>
          <w:lang w:eastAsia="en-US"/>
        </w:rPr>
        <w:t>20</w:t>
      </w:r>
    </w:p>
    <w:p w:rsidR="00BA1104" w:rsidRPr="008B37DE" w:rsidRDefault="00BA1104" w:rsidP="00BA1104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</w:rPr>
      </w:pPr>
      <w:r w:rsidRPr="008B37DE">
        <w:rPr>
          <w:spacing w:val="-2"/>
          <w:lang w:eastAsia="en-US"/>
        </w:rPr>
        <w:tab/>
        <w:t xml:space="preserve">Original: </w:t>
      </w:r>
      <w:r w:rsidR="00AD2740" w:rsidRPr="008B37DE">
        <w:rPr>
          <w:spacing w:val="-2"/>
          <w:lang w:eastAsia="en-US"/>
        </w:rPr>
        <w:t>Inglés</w:t>
      </w:r>
    </w:p>
    <w:p w:rsidR="00BA1104" w:rsidRPr="008B37DE" w:rsidRDefault="00BA1104" w:rsidP="00BA1104">
      <w:pPr>
        <w:pBdr>
          <w:bottom w:val="single" w:sz="12" w:space="1" w:color="auto"/>
        </w:pBdr>
        <w:rPr>
          <w:lang w:val="es-ES_tradnl"/>
        </w:rPr>
      </w:pPr>
    </w:p>
    <w:p w:rsidR="00BA1104" w:rsidRPr="008B37DE" w:rsidRDefault="00BA1104" w:rsidP="00BA1104"/>
    <w:p w:rsidR="004665CB" w:rsidRPr="008B37DE" w:rsidRDefault="004665CB" w:rsidP="00426D52">
      <w:pPr>
        <w:jc w:val="center"/>
        <w:rPr>
          <w:lang w:val="es-CO" w:eastAsia="en-US"/>
        </w:rPr>
      </w:pPr>
    </w:p>
    <w:p w:rsidR="008D1050" w:rsidRPr="008B37DE" w:rsidRDefault="00355071" w:rsidP="00426D52">
      <w:pPr>
        <w:jc w:val="center"/>
        <w:rPr>
          <w:lang w:val="es-CO" w:eastAsia="en-US"/>
        </w:rPr>
      </w:pPr>
      <w:r w:rsidRPr="008B37DE">
        <w:rPr>
          <w:lang w:val="es-CO" w:eastAsia="en-US"/>
        </w:rPr>
        <w:t xml:space="preserve">ELEGIBILIDAD Y PRESUPUESTO PARA EL CICLO DE PROGRAMACIÓN </w:t>
      </w:r>
      <w:r w:rsidR="00426D52" w:rsidRPr="008B37DE">
        <w:rPr>
          <w:lang w:val="es-CO" w:eastAsia="en-US"/>
        </w:rPr>
        <w:t>2021</w:t>
      </w:r>
      <w:r w:rsidR="002821D7" w:rsidRPr="008B37DE">
        <w:rPr>
          <w:lang w:val="es-CO" w:eastAsia="en-US"/>
        </w:rPr>
        <w:t>-2024</w:t>
      </w:r>
      <w:r w:rsidRPr="008B37DE">
        <w:rPr>
          <w:lang w:val="es-CO" w:eastAsia="en-US"/>
        </w:rPr>
        <w:t xml:space="preserve"> DEL FONDO DE COOPERACIÓN PARA EL DESARROLLO DE LA OEA</w:t>
      </w:r>
      <w:r w:rsidR="004B3FF0">
        <w:rPr>
          <w:lang w:val="es-CO" w:eastAsia="en-US"/>
        </w:rPr>
        <w:t xml:space="preserve"> (FCD/OEA)</w:t>
      </w:r>
    </w:p>
    <w:p w:rsidR="00CC11A5" w:rsidRPr="008B37DE" w:rsidRDefault="00CC11A5" w:rsidP="00CC11A5">
      <w:pPr>
        <w:rPr>
          <w:lang w:val="es-CO"/>
        </w:rPr>
      </w:pPr>
    </w:p>
    <w:p w:rsidR="00CC11A5" w:rsidRPr="008B37DE" w:rsidRDefault="00CC11A5" w:rsidP="00CC11A5">
      <w:pPr>
        <w:jc w:val="center"/>
        <w:rPr>
          <w:lang w:val="es-CO" w:eastAsia="en-US"/>
        </w:rPr>
      </w:pPr>
      <w:r w:rsidRPr="008B37DE">
        <w:rPr>
          <w:lang w:val="es-CO" w:eastAsia="en-US"/>
        </w:rPr>
        <w:t>(</w:t>
      </w:r>
      <w:r w:rsidR="00922ED2">
        <w:rPr>
          <w:lang w:val="es-CO" w:eastAsia="en-US"/>
        </w:rPr>
        <w:t>Aprobado</w:t>
      </w:r>
      <w:r w:rsidR="000D206D" w:rsidRPr="00661A27">
        <w:rPr>
          <w:lang w:val="es-CO" w:eastAsia="en-US"/>
        </w:rPr>
        <w:t xml:space="preserve"> por la Junta Directiva de la Agencia de la Agencia Interamericana para la Cooperación y el Desarrollo por decisión AICD/JD/DE-127/20</w:t>
      </w:r>
      <w:r w:rsidR="003F74E6" w:rsidRPr="00661A27">
        <w:rPr>
          <w:lang w:val="es-CO" w:eastAsia="en-US"/>
        </w:rPr>
        <w:t xml:space="preserve"> del 3 de diciembre de 2020</w:t>
      </w:r>
      <w:r w:rsidRPr="00661A27">
        <w:rPr>
          <w:lang w:val="es-CO" w:eastAsia="en-US"/>
        </w:rPr>
        <w:t>)</w:t>
      </w:r>
    </w:p>
    <w:p w:rsidR="00826BC9" w:rsidRPr="008B37DE" w:rsidRDefault="00826BC9" w:rsidP="007F3EAE">
      <w:pPr>
        <w:ind w:firstLine="720"/>
        <w:jc w:val="both"/>
        <w:rPr>
          <w:lang w:val="es-CO" w:eastAsia="en-US"/>
        </w:rPr>
      </w:pPr>
    </w:p>
    <w:p w:rsidR="00826BC9" w:rsidRPr="008B37DE" w:rsidRDefault="00826BC9" w:rsidP="007F3EAE">
      <w:pPr>
        <w:ind w:firstLine="720"/>
        <w:jc w:val="both"/>
        <w:rPr>
          <w:lang w:val="es-CO" w:eastAsia="en-US"/>
        </w:rPr>
      </w:pPr>
    </w:p>
    <w:p w:rsidR="00355071" w:rsidRPr="008B37DE" w:rsidRDefault="00355071" w:rsidP="00874493">
      <w:pPr>
        <w:ind w:firstLine="720"/>
        <w:jc w:val="both"/>
        <w:rPr>
          <w:lang w:val="es-CO" w:eastAsia="en-US"/>
        </w:rPr>
      </w:pPr>
      <w:r w:rsidRPr="008B37DE">
        <w:rPr>
          <w:lang w:val="es-CO" w:eastAsia="en-US"/>
        </w:rPr>
        <w:t xml:space="preserve">Los procedimientos para la programación del Fondo de Cooperación para el Desarrollo requieren la aprobación del </w:t>
      </w:r>
      <w:r w:rsidR="00126FAF">
        <w:rPr>
          <w:lang w:val="es-CO" w:eastAsia="en-US"/>
        </w:rPr>
        <w:t xml:space="preserve">CIDI del </w:t>
      </w:r>
      <w:r w:rsidR="000E21DF" w:rsidRPr="008B37DE">
        <w:rPr>
          <w:lang w:val="es-CO" w:eastAsia="en-US"/>
        </w:rPr>
        <w:t>Área</w:t>
      </w:r>
      <w:r w:rsidRPr="008B37DE">
        <w:rPr>
          <w:lang w:val="es-CO" w:eastAsia="en-US"/>
        </w:rPr>
        <w:t xml:space="preserve"> de Acción para cada ciclo de programación. El </w:t>
      </w:r>
      <w:r w:rsidR="00874493" w:rsidRPr="00874493">
        <w:rPr>
          <w:lang w:val="es-CO" w:eastAsia="en-US"/>
        </w:rPr>
        <w:t>21 de septiembre de 2020</w:t>
      </w:r>
      <w:r w:rsidR="00874493">
        <w:rPr>
          <w:lang w:val="es-CO" w:eastAsia="en-US"/>
        </w:rPr>
        <w:t xml:space="preserve"> </w:t>
      </w:r>
      <w:r w:rsidR="00826BC9" w:rsidRPr="008B37DE">
        <w:rPr>
          <w:lang w:val="es-CO" w:eastAsia="en-US"/>
        </w:rPr>
        <w:t>la JD</w:t>
      </w:r>
      <w:r w:rsidR="00826BC9" w:rsidRPr="00E33313">
        <w:rPr>
          <w:lang w:val="es-US" w:eastAsia="en-US"/>
        </w:rPr>
        <w:t xml:space="preserve">/AICD </w:t>
      </w:r>
      <w:r w:rsidR="00874493" w:rsidRPr="00E33313">
        <w:rPr>
          <w:lang w:val="es-US" w:eastAsia="en-US"/>
        </w:rPr>
        <w:t>aprobó</w:t>
      </w:r>
      <w:r w:rsidR="00826BC9" w:rsidRPr="008B37DE">
        <w:rPr>
          <w:lang w:val="es-ES_tradnl" w:eastAsia="en-US"/>
        </w:rPr>
        <w:t xml:space="preserve"> </w:t>
      </w:r>
      <w:r w:rsidRPr="008B37DE">
        <w:rPr>
          <w:lang w:val="es-CO" w:eastAsia="en-US"/>
        </w:rPr>
        <w:t>el área de</w:t>
      </w:r>
      <w:r w:rsidR="006D35FF" w:rsidRPr="008B37DE">
        <w:rPr>
          <w:lang w:val="es-CO" w:eastAsia="en-US"/>
        </w:rPr>
        <w:t xml:space="preserve"> acción</w:t>
      </w:r>
      <w:r w:rsidRPr="008B37DE">
        <w:rPr>
          <w:lang w:val="es-CO" w:eastAsia="en-US"/>
        </w:rPr>
        <w:t xml:space="preserve"> </w:t>
      </w:r>
      <w:r w:rsidR="002821D7" w:rsidRPr="008B37DE">
        <w:rPr>
          <w:i/>
          <w:iCs/>
          <w:lang w:val="es-ES_tradnl" w:eastAsia="en-US"/>
        </w:rPr>
        <w:t xml:space="preserve">“Resiliencia incluyente para una recuperación eficaz enfocada en la ciencia y la tecnología” </w:t>
      </w:r>
      <w:r w:rsidR="002206BF" w:rsidRPr="008B37DE">
        <w:rPr>
          <w:lang w:val="es-CO" w:eastAsia="en-US"/>
        </w:rPr>
        <w:t>para el ciclo de programa</w:t>
      </w:r>
      <w:r w:rsidR="006D35FF" w:rsidRPr="008B37DE">
        <w:rPr>
          <w:lang w:val="es-CO" w:eastAsia="en-US"/>
        </w:rPr>
        <w:t xml:space="preserve">ción </w:t>
      </w:r>
      <w:r w:rsidR="000E21DF" w:rsidRPr="008B37DE">
        <w:rPr>
          <w:lang w:val="es-CO" w:eastAsia="en-US"/>
        </w:rPr>
        <w:t>2021</w:t>
      </w:r>
      <w:r w:rsidR="006D35FF" w:rsidRPr="008B37DE">
        <w:rPr>
          <w:lang w:val="es-CO" w:eastAsia="en-US"/>
        </w:rPr>
        <w:t>-2024</w:t>
      </w:r>
      <w:r w:rsidR="00901EF9">
        <w:rPr>
          <w:lang w:val="es-CO" w:eastAsia="en-US"/>
        </w:rPr>
        <w:t xml:space="preserve"> del Fondo de Cooperaci</w:t>
      </w:r>
      <w:r w:rsidR="00901EF9">
        <w:rPr>
          <w:lang w:val="es-ES_tradnl" w:eastAsia="en-US"/>
        </w:rPr>
        <w:t>ón para el Desarrollo (FCD</w:t>
      </w:r>
      <w:r w:rsidR="00901EF9" w:rsidRPr="00E33313">
        <w:rPr>
          <w:lang w:val="es-US" w:eastAsia="en-US"/>
        </w:rPr>
        <w:t>/OEA)</w:t>
      </w:r>
      <w:r w:rsidR="00AF2287" w:rsidRPr="008B37DE">
        <w:rPr>
          <w:lang w:val="es-CO" w:eastAsia="en-US"/>
        </w:rPr>
        <w:t xml:space="preserve"> </w:t>
      </w:r>
      <w:r w:rsidR="006D35FF" w:rsidRPr="00874493">
        <w:t>(</w:t>
      </w:r>
      <w:hyperlink r:id="rId8" w:history="1">
        <w:r w:rsidR="00874493" w:rsidRPr="00874493">
          <w:rPr>
            <w:rStyle w:val="Hyperlink"/>
            <w:rFonts w:eastAsia="Calibri"/>
            <w:noProof/>
            <w:lang w:val="es-US" w:eastAsia="en-US"/>
          </w:rPr>
          <w:t>AICD/JD/DE-126/20</w:t>
        </w:r>
      </w:hyperlink>
      <w:r w:rsidR="006D35FF" w:rsidRPr="00874493">
        <w:t>)</w:t>
      </w:r>
      <w:r w:rsidR="002206BF" w:rsidRPr="00874493">
        <w:rPr>
          <w:lang w:val="es-CO" w:eastAsia="en-US"/>
        </w:rPr>
        <w:t>.</w:t>
      </w:r>
      <w:r w:rsidR="002206BF" w:rsidRPr="008B37DE">
        <w:rPr>
          <w:lang w:val="es-CO" w:eastAsia="en-US"/>
        </w:rPr>
        <w:t xml:space="preserve"> Adicionalmente, los procedimientos indican que “</w:t>
      </w:r>
      <w:r w:rsidR="002206BF" w:rsidRPr="008B37DE">
        <w:rPr>
          <w:lang w:val="es-ES_tradnl"/>
        </w:rPr>
        <w:t>La JD/AICD confirmará el monto disponible de los fondos semilla para el ciclo de programación, a más tardar el 30 de abril”. Con este fin, la Secretaría ha</w:t>
      </w:r>
      <w:r w:rsidR="002206BF" w:rsidRPr="008B37DE">
        <w:rPr>
          <w:lang w:val="es-CO"/>
        </w:rPr>
        <w:t xml:space="preserve"> preparado lo siguiente para consideración </w:t>
      </w:r>
      <w:r w:rsidR="00645C2C" w:rsidRPr="008B37DE">
        <w:rPr>
          <w:lang w:val="es-CO"/>
        </w:rPr>
        <w:t>y posterior aprobación de la JD/AICD.</w:t>
      </w:r>
    </w:p>
    <w:p w:rsidR="00355071" w:rsidRPr="008B37DE" w:rsidRDefault="00355071" w:rsidP="00CC11A5">
      <w:pPr>
        <w:jc w:val="both"/>
        <w:rPr>
          <w:lang w:val="es-CO" w:eastAsia="en-US"/>
        </w:rPr>
      </w:pPr>
    </w:p>
    <w:p w:rsidR="002821D7" w:rsidRPr="008B37DE" w:rsidRDefault="008620C2" w:rsidP="00DB4670">
      <w:pPr>
        <w:ind w:firstLine="720"/>
        <w:jc w:val="both"/>
        <w:rPr>
          <w:lang w:val="es-CO"/>
        </w:rPr>
      </w:pPr>
      <w:r w:rsidRPr="008B37DE">
        <w:rPr>
          <w:color w:val="000000"/>
          <w:lang w:val="es-CO"/>
        </w:rPr>
        <w:t xml:space="preserve">Las Temáticas </w:t>
      </w:r>
      <w:r w:rsidR="00E61359">
        <w:rPr>
          <w:color w:val="000000"/>
          <w:lang w:val="es-CO"/>
        </w:rPr>
        <w:t xml:space="preserve">aprobadas </w:t>
      </w:r>
      <w:r w:rsidRPr="008B37DE">
        <w:rPr>
          <w:color w:val="000000"/>
          <w:lang w:val="es-CO"/>
        </w:rPr>
        <w:t xml:space="preserve"> bajo el área de acción </w:t>
      </w:r>
      <w:r w:rsidR="00785015" w:rsidRPr="008B37DE">
        <w:rPr>
          <w:color w:val="000000"/>
          <w:lang w:val="es-CO"/>
        </w:rPr>
        <w:t xml:space="preserve">de </w:t>
      </w:r>
      <w:r w:rsidR="006D35FF" w:rsidRPr="008B37DE">
        <w:rPr>
          <w:i/>
          <w:iCs/>
          <w:lang w:val="es-ES_tradnl" w:eastAsia="en-US"/>
        </w:rPr>
        <w:t>“Resiliencia incluyente para una recuperación eficaz enfocada en la ciencia y la tecnología</w:t>
      </w:r>
      <w:r w:rsidRPr="008B37DE">
        <w:rPr>
          <w:lang w:val="es-CO" w:eastAsia="en-US"/>
        </w:rPr>
        <w:t>” son</w:t>
      </w:r>
      <w:r w:rsidR="00874493">
        <w:rPr>
          <w:lang w:val="es-CO" w:eastAsia="en-US"/>
        </w:rPr>
        <w:t>:</w:t>
      </w:r>
      <w:r w:rsidR="00785015" w:rsidRPr="008B37DE">
        <w:rPr>
          <w:lang w:val="es-CO"/>
        </w:rPr>
        <w:t xml:space="preserve"> </w:t>
      </w:r>
    </w:p>
    <w:p w:rsidR="002821D7" w:rsidRPr="008B37DE" w:rsidRDefault="002821D7" w:rsidP="002821D7">
      <w:pPr>
        <w:ind w:firstLine="720"/>
        <w:jc w:val="both"/>
        <w:rPr>
          <w:lang w:val="es-ES_tradnl"/>
        </w:rPr>
      </w:pPr>
    </w:p>
    <w:p w:rsidR="00E61359" w:rsidRPr="00E61359" w:rsidRDefault="00E61359" w:rsidP="00E61359">
      <w:pPr>
        <w:numPr>
          <w:ilvl w:val="0"/>
          <w:numId w:val="24"/>
        </w:numPr>
        <w:jc w:val="both"/>
        <w:rPr>
          <w:lang w:val="es-ES_tradnl"/>
        </w:rPr>
      </w:pPr>
      <w:r w:rsidRPr="00E61359">
        <w:rPr>
          <w:bCs/>
          <w:lang w:val="es-ES_tradnl"/>
        </w:rPr>
        <w:t xml:space="preserve">Reforzamiento de las MPYME a través de la innovación y la tecnología. </w:t>
      </w:r>
    </w:p>
    <w:p w:rsidR="00E61359" w:rsidRPr="00E61359" w:rsidRDefault="00E61359" w:rsidP="00E61359">
      <w:pPr>
        <w:numPr>
          <w:ilvl w:val="0"/>
          <w:numId w:val="24"/>
        </w:numPr>
        <w:jc w:val="both"/>
        <w:rPr>
          <w:bCs/>
          <w:lang w:val="es-ES_tradnl"/>
        </w:rPr>
      </w:pPr>
      <w:r w:rsidRPr="00E61359">
        <w:rPr>
          <w:bCs/>
          <w:lang w:val="es-ES_tradnl"/>
        </w:rPr>
        <w:t xml:space="preserve">Reconversión de la fuerza laboral con enfoque innovador para la recuperación del sector turístico y las economías regionales. </w:t>
      </w:r>
    </w:p>
    <w:p w:rsidR="00E61359" w:rsidRPr="00E61359" w:rsidRDefault="00E61359" w:rsidP="00E61359">
      <w:pPr>
        <w:numPr>
          <w:ilvl w:val="0"/>
          <w:numId w:val="24"/>
        </w:numPr>
        <w:jc w:val="both"/>
        <w:rPr>
          <w:bCs/>
          <w:lang w:val="es-ES_tradnl"/>
        </w:rPr>
      </w:pPr>
      <w:r w:rsidRPr="00E61359">
        <w:rPr>
          <w:bCs/>
          <w:lang w:val="es-ES_tradnl"/>
        </w:rPr>
        <w:t>Innovación científica y tecnológica para fortalecer la resiliencia.</w:t>
      </w:r>
    </w:p>
    <w:p w:rsidR="00E61359" w:rsidRPr="00E61359" w:rsidRDefault="00E61359" w:rsidP="00E61359">
      <w:pPr>
        <w:numPr>
          <w:ilvl w:val="0"/>
          <w:numId w:val="24"/>
        </w:numPr>
        <w:jc w:val="both"/>
        <w:rPr>
          <w:bCs/>
          <w:lang w:val="es-ES_tradnl"/>
        </w:rPr>
      </w:pPr>
      <w:r w:rsidRPr="00E61359">
        <w:rPr>
          <w:bCs/>
          <w:lang w:val="es-ES_tradnl"/>
        </w:rPr>
        <w:t xml:space="preserve">La ciencia para la toma de decisiones en la planeación del riesgo de desastres. </w:t>
      </w:r>
    </w:p>
    <w:p w:rsidR="00E61359" w:rsidRPr="00E61359" w:rsidRDefault="00E61359" w:rsidP="00E61359">
      <w:pPr>
        <w:ind w:left="720"/>
        <w:jc w:val="both"/>
        <w:rPr>
          <w:bCs/>
          <w:lang w:val="es-ES_tradnl"/>
        </w:rPr>
      </w:pPr>
    </w:p>
    <w:p w:rsidR="000743D8" w:rsidRPr="001F680A" w:rsidRDefault="000743D8" w:rsidP="00134E8F">
      <w:pPr>
        <w:ind w:firstLine="720"/>
        <w:jc w:val="both"/>
        <w:rPr>
          <w:color w:val="000000"/>
          <w:lang w:val="es-CO"/>
        </w:rPr>
      </w:pPr>
      <w:r w:rsidRPr="008B37DE">
        <w:rPr>
          <w:color w:val="000000"/>
          <w:lang w:val="es-CO"/>
        </w:rPr>
        <w:t xml:space="preserve">El monto </w:t>
      </w:r>
      <w:r w:rsidR="007A4A37" w:rsidRPr="008B37DE">
        <w:rPr>
          <w:color w:val="000000"/>
          <w:lang w:val="es-CO"/>
        </w:rPr>
        <w:t xml:space="preserve">semilla </w:t>
      </w:r>
      <w:r w:rsidRPr="008B37DE">
        <w:rPr>
          <w:color w:val="000000"/>
          <w:lang w:val="es-CO"/>
        </w:rPr>
        <w:t xml:space="preserve">disponible </w:t>
      </w:r>
      <w:r w:rsidR="007A4A37" w:rsidRPr="008B37DE">
        <w:rPr>
          <w:color w:val="000000"/>
          <w:lang w:val="es-CO"/>
        </w:rPr>
        <w:t>para la programaci</w:t>
      </w:r>
      <w:r w:rsidR="008C7397" w:rsidRPr="008B37DE">
        <w:rPr>
          <w:color w:val="000000"/>
          <w:lang w:val="es-CO"/>
        </w:rPr>
        <w:t xml:space="preserve">ón </w:t>
      </w:r>
      <w:r w:rsidR="000B0EFF" w:rsidRPr="008B37DE">
        <w:rPr>
          <w:color w:val="000000"/>
          <w:lang w:val="es-CO"/>
        </w:rPr>
        <w:t>2021</w:t>
      </w:r>
      <w:r w:rsidR="008C7397" w:rsidRPr="008B37DE">
        <w:rPr>
          <w:color w:val="000000"/>
          <w:lang w:val="es-CO"/>
        </w:rPr>
        <w:t>-2024</w:t>
      </w:r>
      <w:r w:rsidR="00E51A1F" w:rsidRPr="008B37DE">
        <w:rPr>
          <w:color w:val="000000"/>
          <w:lang w:val="es-CO"/>
        </w:rPr>
        <w:t xml:space="preserve"> </w:t>
      </w:r>
      <w:r w:rsidR="00E51A1F" w:rsidRPr="001F680A">
        <w:rPr>
          <w:color w:val="000000"/>
          <w:lang w:val="es-CO"/>
        </w:rPr>
        <w:t xml:space="preserve">es </w:t>
      </w:r>
      <w:r w:rsidR="008C7397" w:rsidRPr="001F680A">
        <w:rPr>
          <w:color w:val="000000"/>
          <w:lang w:val="es-US"/>
        </w:rPr>
        <w:t>$</w:t>
      </w:r>
      <w:r w:rsidR="00046F7F" w:rsidRPr="001F680A">
        <w:rPr>
          <w:color w:val="000000"/>
          <w:lang w:val="es-US"/>
        </w:rPr>
        <w:t>3,048,780.96</w:t>
      </w:r>
      <w:r w:rsidR="003D7260" w:rsidRPr="001F680A">
        <w:rPr>
          <w:color w:val="000000"/>
          <w:lang w:val="es-CO"/>
        </w:rPr>
        <w:t xml:space="preserve">. </w:t>
      </w:r>
      <w:r w:rsidR="009D4EEC" w:rsidRPr="001F680A">
        <w:rPr>
          <w:color w:val="000000"/>
          <w:lang w:val="es-CO"/>
        </w:rPr>
        <w:t xml:space="preserve">Un total de </w:t>
      </w:r>
      <w:r w:rsidR="00ED502E" w:rsidRPr="001F680A">
        <w:rPr>
          <w:color w:val="000000"/>
          <w:lang w:val="es-CO"/>
        </w:rPr>
        <w:t>17</w:t>
      </w:r>
      <w:r w:rsidR="003D7260" w:rsidRPr="001F680A">
        <w:rPr>
          <w:color w:val="000000"/>
          <w:lang w:val="es-CO"/>
        </w:rPr>
        <w:t xml:space="preserve"> </w:t>
      </w:r>
      <w:r w:rsidR="009D4EEC" w:rsidRPr="001F680A">
        <w:rPr>
          <w:color w:val="000000"/>
          <w:lang w:val="es-CO"/>
        </w:rPr>
        <w:t>países son</w:t>
      </w:r>
      <w:r w:rsidR="009D4EEC" w:rsidRPr="001F680A">
        <w:rPr>
          <w:b/>
          <w:color w:val="000000"/>
          <w:lang w:val="es-CO"/>
        </w:rPr>
        <w:t xml:space="preserve"> </w:t>
      </w:r>
      <w:r w:rsidR="003D7260" w:rsidRPr="001F680A">
        <w:rPr>
          <w:color w:val="000000"/>
          <w:lang w:val="es-CO"/>
        </w:rPr>
        <w:t xml:space="preserve">elegibles </w:t>
      </w:r>
      <w:r w:rsidR="008C7397" w:rsidRPr="001F680A">
        <w:rPr>
          <w:color w:val="000000"/>
          <w:lang w:val="es-CO"/>
        </w:rPr>
        <w:t>para participar en el ciclo 2021-2024</w:t>
      </w:r>
      <w:r w:rsidR="003D7260" w:rsidRPr="001F680A">
        <w:rPr>
          <w:color w:val="000000"/>
          <w:lang w:val="es-CO"/>
        </w:rPr>
        <w:t xml:space="preserve"> </w:t>
      </w:r>
      <w:r w:rsidR="00067EEC" w:rsidRPr="001F680A">
        <w:rPr>
          <w:color w:val="000000"/>
          <w:lang w:val="es-CO"/>
        </w:rPr>
        <w:t xml:space="preserve">bajo </w:t>
      </w:r>
      <w:r w:rsidR="00FE1A20" w:rsidRPr="001F680A">
        <w:rPr>
          <w:color w:val="000000"/>
          <w:lang w:val="es-CO"/>
        </w:rPr>
        <w:t>los cuatro temas</w:t>
      </w:r>
      <w:r w:rsidR="003D7260" w:rsidRPr="001F680A">
        <w:rPr>
          <w:color w:val="000000"/>
          <w:lang w:val="es-CO"/>
        </w:rPr>
        <w:t xml:space="preserve"> de programas</w:t>
      </w:r>
      <w:r w:rsidR="009D4EEC" w:rsidRPr="001F680A">
        <w:rPr>
          <w:color w:val="000000"/>
          <w:lang w:val="es-CO"/>
        </w:rPr>
        <w:t xml:space="preserve"> </w:t>
      </w:r>
      <w:r w:rsidR="002924C9" w:rsidRPr="001F680A">
        <w:rPr>
          <w:color w:val="000000"/>
          <w:lang w:val="es-CO"/>
        </w:rPr>
        <w:t>recomendado</w:t>
      </w:r>
      <w:r w:rsidR="009D4EEC" w:rsidRPr="001F680A">
        <w:rPr>
          <w:color w:val="000000"/>
          <w:lang w:val="es-CO"/>
        </w:rPr>
        <w:t>s</w:t>
      </w:r>
      <w:r w:rsidR="003D7260" w:rsidRPr="001F680A">
        <w:rPr>
          <w:color w:val="000000"/>
          <w:lang w:val="es-CO"/>
        </w:rPr>
        <w:t>.</w:t>
      </w:r>
    </w:p>
    <w:p w:rsidR="002538E6" w:rsidRPr="001F680A" w:rsidRDefault="002538E6" w:rsidP="00DF6597">
      <w:pPr>
        <w:jc w:val="both"/>
        <w:rPr>
          <w:color w:val="000000"/>
          <w:lang w:val="es-CO"/>
        </w:rPr>
      </w:pPr>
    </w:p>
    <w:p w:rsidR="000B0EFF" w:rsidRPr="008B37DE" w:rsidRDefault="003D7260" w:rsidP="007F3EAE">
      <w:pPr>
        <w:ind w:firstLine="720"/>
        <w:jc w:val="both"/>
        <w:rPr>
          <w:color w:val="000000"/>
          <w:lang w:val="es-ES_tradnl"/>
        </w:rPr>
      </w:pPr>
      <w:r w:rsidRPr="001F680A">
        <w:rPr>
          <w:color w:val="000000"/>
          <w:lang w:val="es-CO"/>
        </w:rPr>
        <w:t>Con base en lo anterior</w:t>
      </w:r>
      <w:r w:rsidRPr="00717516">
        <w:rPr>
          <w:color w:val="000000"/>
          <w:lang w:val="es-CO"/>
        </w:rPr>
        <w:t xml:space="preserve">, </w:t>
      </w:r>
      <w:r w:rsidR="009A4AD2" w:rsidRPr="00717516">
        <w:rPr>
          <w:color w:val="000000"/>
          <w:lang w:val="es-CO"/>
        </w:rPr>
        <w:t>la Junta</w:t>
      </w:r>
      <w:r w:rsidR="009A4AD2">
        <w:rPr>
          <w:color w:val="000000"/>
          <w:lang w:val="es-CO"/>
        </w:rPr>
        <w:t xml:space="preserve"> Directiva</w:t>
      </w:r>
      <w:r w:rsidR="00717516">
        <w:rPr>
          <w:color w:val="000000"/>
          <w:lang w:val="es-CO"/>
        </w:rPr>
        <w:t xml:space="preserve"> de la AICD</w:t>
      </w:r>
      <w:r w:rsidR="009A4AD2">
        <w:rPr>
          <w:color w:val="000000"/>
          <w:lang w:val="es-CO"/>
        </w:rPr>
        <w:t xml:space="preserve"> </w:t>
      </w:r>
      <w:r w:rsidR="00717516">
        <w:rPr>
          <w:color w:val="000000"/>
          <w:lang w:val="es-CO"/>
        </w:rPr>
        <w:t>confirma</w:t>
      </w:r>
      <w:r w:rsidR="009A4AD2">
        <w:rPr>
          <w:color w:val="000000"/>
          <w:lang w:val="es-CO"/>
        </w:rPr>
        <w:t xml:space="preserve"> </w:t>
      </w:r>
      <w:r w:rsidR="009D4EEC" w:rsidRPr="001F680A">
        <w:rPr>
          <w:color w:val="000000"/>
          <w:lang w:val="es-CO"/>
        </w:rPr>
        <w:t xml:space="preserve"> </w:t>
      </w:r>
      <w:r w:rsidR="00332196">
        <w:rPr>
          <w:color w:val="000000"/>
          <w:lang w:val="es-CO"/>
        </w:rPr>
        <w:t>que</w:t>
      </w:r>
      <w:r w:rsidR="00A47796" w:rsidRPr="001F680A">
        <w:rPr>
          <w:color w:val="000000"/>
          <w:lang w:val="es-CO"/>
        </w:rPr>
        <w:t xml:space="preserve"> </w:t>
      </w:r>
      <w:r w:rsidR="00332196">
        <w:rPr>
          <w:color w:val="000000"/>
          <w:lang w:val="es-CO"/>
        </w:rPr>
        <w:t xml:space="preserve">para </w:t>
      </w:r>
      <w:r w:rsidR="00A47796" w:rsidRPr="001F680A">
        <w:rPr>
          <w:color w:val="000000"/>
          <w:lang w:val="es-CO"/>
        </w:rPr>
        <w:t xml:space="preserve">el ciclo de programación 2021-2024 </w:t>
      </w:r>
      <w:bookmarkStart w:id="0" w:name="_GoBack"/>
      <w:bookmarkEnd w:id="0"/>
      <w:r w:rsidRPr="001F680A">
        <w:rPr>
          <w:color w:val="000000"/>
          <w:lang w:val="es-CO"/>
        </w:rPr>
        <w:t>un total de $</w:t>
      </w:r>
      <w:r w:rsidR="00A47796" w:rsidRPr="001F680A">
        <w:rPr>
          <w:color w:val="000000"/>
          <w:lang w:val="es-CO"/>
        </w:rPr>
        <w:t>1.</w:t>
      </w:r>
      <w:r w:rsidR="009A4AD2">
        <w:rPr>
          <w:color w:val="000000"/>
          <w:lang w:val="es-CO"/>
        </w:rPr>
        <w:t>7</w:t>
      </w:r>
      <w:r w:rsidR="00A47796" w:rsidRPr="001F680A">
        <w:rPr>
          <w:color w:val="000000"/>
          <w:lang w:val="es-CO"/>
        </w:rPr>
        <w:t xml:space="preserve"> millones</w:t>
      </w:r>
      <w:r w:rsidR="00067EEC" w:rsidRPr="001F680A">
        <w:rPr>
          <w:color w:val="000000"/>
          <w:lang w:val="es-CO"/>
        </w:rPr>
        <w:t xml:space="preserve"> se</w:t>
      </w:r>
      <w:r w:rsidR="00A47796" w:rsidRPr="001F680A">
        <w:rPr>
          <w:color w:val="000000"/>
          <w:lang w:val="es-CO"/>
        </w:rPr>
        <w:t>an asignados</w:t>
      </w:r>
      <w:r w:rsidR="00067EEC" w:rsidRPr="001F680A">
        <w:rPr>
          <w:color w:val="000000"/>
          <w:lang w:val="es-CO"/>
        </w:rPr>
        <w:t xml:space="preserve"> como fondos semilla</w:t>
      </w:r>
      <w:r w:rsidRPr="008B37DE">
        <w:rPr>
          <w:color w:val="000000"/>
          <w:lang w:val="es-CO"/>
        </w:rPr>
        <w:t xml:space="preserve">. Los fondos serán distribuidos de acuerdo al artículo (g) de los Criterios para </w:t>
      </w:r>
      <w:r w:rsidR="001B0952" w:rsidRPr="008B37DE">
        <w:rPr>
          <w:color w:val="000000"/>
          <w:lang w:val="es-CO"/>
        </w:rPr>
        <w:t xml:space="preserve">la Selección </w:t>
      </w:r>
      <w:r w:rsidRPr="008B37DE">
        <w:rPr>
          <w:color w:val="000000"/>
          <w:lang w:val="es-CO"/>
        </w:rPr>
        <w:t xml:space="preserve">y Evaluación </w:t>
      </w:r>
      <w:r w:rsidR="001B0952" w:rsidRPr="008B37DE">
        <w:rPr>
          <w:color w:val="000000"/>
          <w:lang w:val="es-CO"/>
        </w:rPr>
        <w:t xml:space="preserve">para el </w:t>
      </w:r>
      <w:r w:rsidRPr="008B37DE">
        <w:rPr>
          <w:color w:val="000000"/>
          <w:lang w:val="es-CO"/>
        </w:rPr>
        <w:t>DCF</w:t>
      </w:r>
      <w:r w:rsidR="001B0952" w:rsidRPr="008B37DE">
        <w:rPr>
          <w:color w:val="000000"/>
          <w:lang w:val="es-CO"/>
        </w:rPr>
        <w:t xml:space="preserve"> </w:t>
      </w:r>
      <w:r w:rsidR="00F92FBE" w:rsidRPr="00E33313">
        <w:rPr>
          <w:lang w:val="es-US"/>
        </w:rPr>
        <w:t>(CIDI/doc.100/14 -</w:t>
      </w:r>
      <w:r w:rsidR="00F92FBE" w:rsidRPr="00713118">
        <w:rPr>
          <w:color w:val="333333"/>
        </w:rPr>
        <w:t> </w:t>
      </w:r>
      <w:hyperlink r:id="rId9" w:history="1">
        <w:r w:rsidR="00F92FBE" w:rsidRPr="00713118">
          <w:rPr>
            <w:rStyle w:val="Hyperlink"/>
          </w:rPr>
          <w:t>English</w:t>
        </w:r>
      </w:hyperlink>
      <w:r w:rsidR="00F92FBE" w:rsidRPr="00713118">
        <w:rPr>
          <w:color w:val="333333"/>
        </w:rPr>
        <w:t xml:space="preserve"> - </w:t>
      </w:r>
      <w:hyperlink r:id="rId10" w:history="1">
        <w:r w:rsidR="00F92FBE" w:rsidRPr="00713118">
          <w:rPr>
            <w:rStyle w:val="Hyperlink"/>
          </w:rPr>
          <w:t>Español</w:t>
        </w:r>
      </w:hyperlink>
      <w:r w:rsidR="00F92FBE" w:rsidRPr="00713118">
        <w:rPr>
          <w:color w:val="333333"/>
        </w:rPr>
        <w:t>)</w:t>
      </w:r>
      <w:r w:rsidR="00F92FBE">
        <w:rPr>
          <w:color w:val="333333"/>
        </w:rPr>
        <w:t xml:space="preserve"> </w:t>
      </w:r>
      <w:r w:rsidR="001B0952" w:rsidRPr="008B37DE">
        <w:rPr>
          <w:color w:val="000000"/>
          <w:lang w:val="es-CO"/>
        </w:rPr>
        <w:t xml:space="preserve">que establece que “La financiación de los programas se distribuirá en proporción al tamaño del programa, tomando en cuenta las actividades y el número de países participantes”. </w:t>
      </w:r>
    </w:p>
    <w:p w:rsidR="000B0EFF" w:rsidRPr="008B37DE" w:rsidRDefault="000B0EFF" w:rsidP="00447DE2">
      <w:pPr>
        <w:jc w:val="both"/>
        <w:rPr>
          <w:color w:val="000000"/>
          <w:lang w:val="es-CO"/>
        </w:rPr>
      </w:pPr>
    </w:p>
    <w:p w:rsidR="00F912CE" w:rsidRPr="008B37DE" w:rsidRDefault="009722B6" w:rsidP="007F3EAE">
      <w:pPr>
        <w:ind w:firstLine="720"/>
        <w:jc w:val="both"/>
        <w:rPr>
          <w:color w:val="000000"/>
          <w:lang w:val="es-CO"/>
        </w:rPr>
      </w:pPr>
      <w:r w:rsidRPr="008B37DE">
        <w:rPr>
          <w:color w:val="000000"/>
          <w:lang w:val="es-CO"/>
        </w:rPr>
        <w:t xml:space="preserve">Es importante notar que de acuerdo a los criterios que gobiernan la programación para el desarrollo (artículos (e) y (j), </w:t>
      </w:r>
      <w:r w:rsidRPr="008B37DE">
        <w:rPr>
          <w:b/>
          <w:color w:val="000000"/>
          <w:lang w:val="es-CO"/>
        </w:rPr>
        <w:t>ver abajo los criterios detallados para los programas</w:t>
      </w:r>
      <w:r w:rsidRPr="008B37DE">
        <w:rPr>
          <w:color w:val="000000"/>
          <w:lang w:val="es-CO"/>
        </w:rPr>
        <w:t>) de l</w:t>
      </w:r>
      <w:r w:rsidR="00F918D1">
        <w:rPr>
          <w:color w:val="000000"/>
          <w:lang w:val="es-CO"/>
        </w:rPr>
        <w:t xml:space="preserve">a </w:t>
      </w:r>
      <w:r w:rsidR="00F918D1">
        <w:rPr>
          <w:color w:val="000000"/>
          <w:lang w:val="es-CO"/>
        </w:rPr>
        <w:lastRenderedPageBreak/>
        <w:t xml:space="preserve">estructura aprobada para el </w:t>
      </w:r>
      <w:r w:rsidRPr="008B37DE">
        <w:rPr>
          <w:color w:val="000000"/>
          <w:lang w:val="es-CO"/>
        </w:rPr>
        <w:t>F</w:t>
      </w:r>
      <w:r w:rsidR="00F918D1">
        <w:rPr>
          <w:color w:val="000000"/>
          <w:lang w:val="es-CO"/>
        </w:rPr>
        <w:t>CD</w:t>
      </w:r>
      <w:r w:rsidRPr="008B37DE">
        <w:rPr>
          <w:color w:val="000000"/>
          <w:lang w:val="es-CO"/>
        </w:rPr>
        <w:t xml:space="preserve"> se </w:t>
      </w:r>
      <w:r w:rsidR="008620C2" w:rsidRPr="008B37DE">
        <w:rPr>
          <w:color w:val="000000"/>
          <w:lang w:val="es-CO"/>
        </w:rPr>
        <w:t>deben</w:t>
      </w:r>
      <w:r w:rsidRPr="008B37DE">
        <w:rPr>
          <w:color w:val="000000"/>
          <w:lang w:val="es-CO"/>
        </w:rPr>
        <w:t xml:space="preserve"> bus</w:t>
      </w:r>
      <w:r w:rsidR="008620C2" w:rsidRPr="008B37DE">
        <w:rPr>
          <w:color w:val="000000"/>
          <w:lang w:val="es-CO"/>
        </w:rPr>
        <w:t>car</w:t>
      </w:r>
      <w:r w:rsidRPr="008B37DE">
        <w:rPr>
          <w:color w:val="000000"/>
          <w:lang w:val="es-CO"/>
        </w:rPr>
        <w:t xml:space="preserve"> fuentes </w:t>
      </w:r>
      <w:r w:rsidR="008620C2" w:rsidRPr="008B37DE">
        <w:rPr>
          <w:color w:val="000000"/>
          <w:lang w:val="es-CO"/>
        </w:rPr>
        <w:t xml:space="preserve">adicionales </w:t>
      </w:r>
      <w:r w:rsidRPr="008B37DE">
        <w:rPr>
          <w:color w:val="000000"/>
          <w:lang w:val="es-CO"/>
        </w:rPr>
        <w:t xml:space="preserve">de financiación que complementen los fondos semilla disponibles. En vista de lo anterior y </w:t>
      </w:r>
      <w:r w:rsidR="00F912CE" w:rsidRPr="008B37DE">
        <w:rPr>
          <w:color w:val="000000"/>
          <w:lang w:val="es-CO"/>
        </w:rPr>
        <w:t>de acuerdo al</w:t>
      </w:r>
      <w:r w:rsidRPr="008B37DE">
        <w:rPr>
          <w:color w:val="000000"/>
          <w:lang w:val="es-CO"/>
        </w:rPr>
        <w:t xml:space="preserve"> requisito de trabajar</w:t>
      </w:r>
      <w:r w:rsidR="00F912CE" w:rsidRPr="008B37DE">
        <w:rPr>
          <w:color w:val="000000"/>
          <w:lang w:val="es-CO"/>
        </w:rPr>
        <w:t xml:space="preserve"> en colaboración con los Estados Miembros, la Sección de Cooperación Técnica trabajará con los Estados Miembros para asegurarque que se busquen nuevos recursos. </w:t>
      </w:r>
    </w:p>
    <w:p w:rsidR="00134E8F" w:rsidRPr="008B37DE" w:rsidRDefault="00134E8F" w:rsidP="007F3EAE">
      <w:pPr>
        <w:ind w:firstLine="720"/>
        <w:jc w:val="both"/>
        <w:rPr>
          <w:color w:val="000000"/>
          <w:lang w:val="es-CO"/>
        </w:rPr>
      </w:pPr>
    </w:p>
    <w:p w:rsidR="00F912CE" w:rsidRPr="008B37DE" w:rsidRDefault="00F912CE" w:rsidP="007F3EAE">
      <w:pPr>
        <w:ind w:firstLine="720"/>
        <w:jc w:val="both"/>
        <w:rPr>
          <w:color w:val="000000"/>
          <w:lang w:val="es-CO"/>
        </w:rPr>
      </w:pPr>
      <w:r w:rsidRPr="008B37DE">
        <w:rPr>
          <w:color w:val="000000"/>
          <w:lang w:val="es-CO"/>
        </w:rPr>
        <w:t xml:space="preserve">La Secretaría presentará un informe detallado incluyendo la contrapartida y otras contribuciones en efectivo y </w:t>
      </w:r>
      <w:r w:rsidR="00FC4E82" w:rsidRPr="008B37DE">
        <w:rPr>
          <w:color w:val="000000"/>
          <w:lang w:val="es-CO"/>
        </w:rPr>
        <w:t>en especie cuando se presente el marco</w:t>
      </w:r>
      <w:r w:rsidR="00B33EB1" w:rsidRPr="008B37DE">
        <w:rPr>
          <w:color w:val="000000"/>
          <w:lang w:val="es-CO"/>
        </w:rPr>
        <w:t xml:space="preserve"> </w:t>
      </w:r>
      <w:r w:rsidR="00134E8F" w:rsidRPr="008B37DE">
        <w:rPr>
          <w:color w:val="000000"/>
          <w:lang w:val="es-CO"/>
        </w:rPr>
        <w:t xml:space="preserve">programático para el ciclo </w:t>
      </w:r>
      <w:r w:rsidR="00B33EB1" w:rsidRPr="008B37DE">
        <w:rPr>
          <w:color w:val="000000"/>
          <w:lang w:val="es-CO"/>
        </w:rPr>
        <w:t>2021</w:t>
      </w:r>
      <w:r w:rsidR="00134E8F" w:rsidRPr="008B37DE">
        <w:rPr>
          <w:color w:val="000000"/>
          <w:lang w:val="es-CO"/>
        </w:rPr>
        <w:t>-2024</w:t>
      </w:r>
      <w:r w:rsidR="00FC4E82" w:rsidRPr="008B37DE">
        <w:rPr>
          <w:color w:val="000000"/>
          <w:lang w:val="es-CO"/>
        </w:rPr>
        <w:t xml:space="preserve"> a la Junta Directiva para su aprobación final.</w:t>
      </w:r>
    </w:p>
    <w:p w:rsidR="00AA6B76" w:rsidRPr="008B37DE" w:rsidRDefault="00AA6B76" w:rsidP="00C22516">
      <w:pPr>
        <w:jc w:val="both"/>
        <w:rPr>
          <w:color w:val="000000"/>
          <w:lang w:val="es-CO"/>
        </w:rPr>
      </w:pPr>
    </w:p>
    <w:p w:rsidR="00AA6B76" w:rsidRPr="008B37DE" w:rsidRDefault="00AA6B76" w:rsidP="00C22516">
      <w:pPr>
        <w:jc w:val="both"/>
        <w:rPr>
          <w:color w:val="000000"/>
          <w:lang w:val="es-CO"/>
        </w:rPr>
      </w:pPr>
    </w:p>
    <w:p w:rsidR="00C22516" w:rsidRPr="008B37DE" w:rsidRDefault="00074A8F" w:rsidP="00CC11A5">
      <w:pPr>
        <w:jc w:val="both"/>
        <w:rPr>
          <w:b/>
          <w:color w:val="000000"/>
          <w:u w:val="single"/>
          <w:lang w:val="es-CO"/>
        </w:rPr>
      </w:pPr>
      <w:r w:rsidRPr="008B37DE">
        <w:rPr>
          <w:b/>
          <w:color w:val="000000"/>
          <w:u w:val="single"/>
          <w:lang w:val="es-CO"/>
        </w:rPr>
        <w:t>E</w:t>
      </w:r>
      <w:r w:rsidR="00E51A1F" w:rsidRPr="008B37DE">
        <w:rPr>
          <w:b/>
          <w:color w:val="000000"/>
          <w:u w:val="single"/>
          <w:lang w:val="es-CO"/>
        </w:rPr>
        <w:t xml:space="preserve">legibilidad de los Estados Miembros para su participación en el Ciclo de Programación </w:t>
      </w:r>
      <w:r w:rsidR="00CB58B2" w:rsidRPr="008B37DE">
        <w:rPr>
          <w:b/>
          <w:color w:val="000000"/>
          <w:u w:val="single"/>
          <w:lang w:val="es-CO"/>
        </w:rPr>
        <w:t>20</w:t>
      </w:r>
      <w:r w:rsidR="00B33EB1" w:rsidRPr="008B37DE">
        <w:rPr>
          <w:b/>
          <w:color w:val="000000"/>
          <w:u w:val="single"/>
          <w:lang w:val="es-CO"/>
        </w:rPr>
        <w:t>21</w:t>
      </w:r>
      <w:r w:rsidR="00134E8F" w:rsidRPr="008B37DE">
        <w:rPr>
          <w:b/>
          <w:color w:val="000000"/>
          <w:u w:val="single"/>
          <w:lang w:val="es-CO"/>
        </w:rPr>
        <w:t>-2024</w:t>
      </w:r>
      <w:r w:rsidR="00CB58B2" w:rsidRPr="008B37DE">
        <w:rPr>
          <w:b/>
          <w:color w:val="000000"/>
          <w:u w:val="single"/>
          <w:lang w:val="es-CO"/>
        </w:rPr>
        <w:t xml:space="preserve"> </w:t>
      </w:r>
    </w:p>
    <w:p w:rsidR="00CB58B2" w:rsidRPr="008B37DE" w:rsidRDefault="00450B83" w:rsidP="00CC11A5">
      <w:pPr>
        <w:jc w:val="both"/>
        <w:rPr>
          <w:color w:val="000000"/>
          <w:lang w:val="es-CO"/>
        </w:rPr>
      </w:pPr>
      <w:r w:rsidRPr="008B37DE">
        <w:rPr>
          <w:color w:val="000000"/>
          <w:lang w:val="es-CO"/>
        </w:rPr>
        <w:tab/>
      </w:r>
    </w:p>
    <w:p w:rsidR="00B33EB1" w:rsidRPr="008B37DE" w:rsidRDefault="00B33EB1" w:rsidP="007F3EAE">
      <w:pPr>
        <w:ind w:firstLine="720"/>
        <w:jc w:val="both"/>
        <w:rPr>
          <w:color w:val="000000"/>
          <w:lang w:val="es-CO"/>
        </w:rPr>
      </w:pPr>
      <w:r w:rsidRPr="008B37DE">
        <w:rPr>
          <w:color w:val="000000"/>
          <w:lang w:val="es-CO"/>
        </w:rPr>
        <w:t xml:space="preserve">El Artículo 13 de los </w:t>
      </w:r>
      <w:hyperlink r:id="rId11" w:history="1">
        <w:r w:rsidRPr="00046F7F">
          <w:rPr>
            <w:rStyle w:val="Hyperlink"/>
            <w:lang w:val="es-CO"/>
          </w:rPr>
          <w:t>Estatutos del Fondo de Cooperación para el Desarrollo</w:t>
        </w:r>
        <w:r w:rsidR="00570422" w:rsidRPr="00046F7F">
          <w:rPr>
            <w:rStyle w:val="Hyperlink"/>
            <w:lang w:val="es-CO"/>
          </w:rPr>
          <w:t xml:space="preserve"> de la OEA</w:t>
        </w:r>
      </w:hyperlink>
      <w:r w:rsidR="00570422" w:rsidRPr="008B37DE">
        <w:rPr>
          <w:color w:val="000000"/>
          <w:lang w:val="es-CO"/>
        </w:rPr>
        <w:t xml:space="preserve"> (OEA/FCD)</w:t>
      </w:r>
      <w:r w:rsidR="00570422" w:rsidRPr="008B37DE">
        <w:rPr>
          <w:color w:val="000000"/>
          <w:lang w:val="pt-BR"/>
        </w:rPr>
        <w:t xml:space="preserve"> </w:t>
      </w:r>
      <w:r w:rsidRPr="008B37DE">
        <w:rPr>
          <w:color w:val="000000"/>
          <w:lang w:val="es-CO"/>
        </w:rPr>
        <w:t xml:space="preserve">establece los requisitos para </w:t>
      </w:r>
      <w:r w:rsidR="00E103AA" w:rsidRPr="008B37DE">
        <w:rPr>
          <w:color w:val="000000"/>
          <w:lang w:val="es-CO"/>
        </w:rPr>
        <w:t xml:space="preserve">la </w:t>
      </w:r>
      <w:r w:rsidR="00570422" w:rsidRPr="008B37DE">
        <w:rPr>
          <w:color w:val="000000"/>
          <w:lang w:val="es-CO"/>
        </w:rPr>
        <w:t xml:space="preserve">participación de los </w:t>
      </w:r>
      <w:r w:rsidR="00E103AA" w:rsidRPr="008B37DE">
        <w:rPr>
          <w:color w:val="000000"/>
          <w:lang w:val="es-CO"/>
        </w:rPr>
        <w:t>Estados Miembros</w:t>
      </w:r>
      <w:r w:rsidR="00224330" w:rsidRPr="008B37DE">
        <w:rPr>
          <w:color w:val="000000"/>
          <w:lang w:val="es-CO"/>
        </w:rPr>
        <w:t xml:space="preserve"> </w:t>
      </w:r>
      <w:r w:rsidR="00F918D1">
        <w:rPr>
          <w:color w:val="000000"/>
          <w:lang w:val="es-CO"/>
        </w:rPr>
        <w:t xml:space="preserve">en el ciclo programático del </w:t>
      </w:r>
      <w:r w:rsidR="00570422" w:rsidRPr="008B37DE">
        <w:rPr>
          <w:color w:val="000000"/>
          <w:lang w:val="es-CO"/>
        </w:rPr>
        <w:t>F</w:t>
      </w:r>
      <w:r w:rsidR="00F918D1">
        <w:rPr>
          <w:color w:val="000000"/>
          <w:lang w:val="es-CO"/>
        </w:rPr>
        <w:t>CD</w:t>
      </w:r>
      <w:r w:rsidR="00224330" w:rsidRPr="008B37DE">
        <w:rPr>
          <w:color w:val="000000"/>
          <w:lang w:val="es-CO"/>
        </w:rPr>
        <w:t>: “a) Haber hecho un ofrecimiento de contribución voluntaria, dentro del plazo establecido en el inciso (a) del artículo 17 de este Estatuto; y b) Haber pagado la totalidad del ofrecimiento de contribución, dentro del plazo estipulado en el inciso b) del artículo 17 de este Estatuto</w:t>
      </w:r>
      <w:r w:rsidRPr="008B37DE">
        <w:rPr>
          <w:color w:val="000000"/>
          <w:lang w:val="es-CO"/>
        </w:rPr>
        <w:t>".</w:t>
      </w:r>
    </w:p>
    <w:p w:rsidR="0080749D" w:rsidRPr="008B37DE" w:rsidRDefault="0080749D" w:rsidP="00CC11A5">
      <w:pPr>
        <w:jc w:val="both"/>
        <w:rPr>
          <w:lang w:val="es-CO"/>
        </w:rPr>
      </w:pPr>
    </w:p>
    <w:p w:rsidR="008B37DE" w:rsidRDefault="008B37DE" w:rsidP="007F3EAE">
      <w:pPr>
        <w:ind w:firstLine="720"/>
        <w:jc w:val="both"/>
        <w:rPr>
          <w:lang w:val="es-CO" w:eastAsia="en-US"/>
        </w:rPr>
      </w:pPr>
      <w:r w:rsidRPr="008B37DE">
        <w:rPr>
          <w:lang w:val="es-CO" w:eastAsia="en-US"/>
        </w:rPr>
        <w:t>Basado en el artículo anterior, la lista de los Esta</w:t>
      </w:r>
      <w:r>
        <w:rPr>
          <w:lang w:val="es-CO" w:eastAsia="en-US"/>
        </w:rPr>
        <w:t>dos Miembros elegibles para</w:t>
      </w:r>
      <w:r w:rsidRPr="008B37DE">
        <w:rPr>
          <w:lang w:val="es-CO" w:eastAsia="en-US"/>
        </w:rPr>
        <w:t xml:space="preserve"> participar en el ciclo de programación 2021</w:t>
      </w:r>
      <w:r>
        <w:rPr>
          <w:lang w:val="es-CO" w:eastAsia="en-US"/>
        </w:rPr>
        <w:t xml:space="preserve">-2024 </w:t>
      </w:r>
      <w:r w:rsidR="00F918D1">
        <w:rPr>
          <w:lang w:val="es-CO" w:eastAsia="en-US"/>
        </w:rPr>
        <w:t xml:space="preserve">del FCD </w:t>
      </w:r>
      <w:r>
        <w:rPr>
          <w:lang w:val="es-CO" w:eastAsia="en-US"/>
        </w:rPr>
        <w:t>es:</w:t>
      </w:r>
    </w:p>
    <w:p w:rsidR="002E2F56" w:rsidRDefault="002E2F56" w:rsidP="007F3EAE">
      <w:pPr>
        <w:ind w:firstLine="720"/>
        <w:jc w:val="both"/>
        <w:rPr>
          <w:lang w:val="es-CO" w:eastAsia="en-US"/>
        </w:rPr>
      </w:pP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790"/>
      </w:tblGrid>
      <w:tr w:rsidR="00046F7F" w:rsidRPr="00713118" w:rsidTr="007C1F09">
        <w:trPr>
          <w:trHeight w:val="392"/>
          <w:jc w:val="center"/>
        </w:trPr>
        <w:tc>
          <w:tcPr>
            <w:tcW w:w="3277" w:type="dxa"/>
            <w:shd w:val="clear" w:color="000000" w:fill="D9D9D9"/>
            <w:vAlign w:val="center"/>
          </w:tcPr>
          <w:p w:rsidR="00046F7F" w:rsidRDefault="00EC1910" w:rsidP="00EC191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PAÍS</w:t>
            </w:r>
          </w:p>
        </w:tc>
        <w:tc>
          <w:tcPr>
            <w:tcW w:w="2790" w:type="dxa"/>
            <w:shd w:val="clear" w:color="000000" w:fill="D9D9D9"/>
            <w:vAlign w:val="center"/>
          </w:tcPr>
          <w:p w:rsidR="00046F7F" w:rsidRDefault="00EC1910" w:rsidP="00EC19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ELEGIBLE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Antigua y Barbuda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Argentina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Bahamas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Barbados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Belize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Bolivia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Brazil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Canadá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Chile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Colombia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Costa Rica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Dominica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Ecuador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D502E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El Salvador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Estados Unidos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Granada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Guatemala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Guyana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Haití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Honduras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Jamaica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México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Nicaragua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Panamá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Paraguay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Perú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República Dominicana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St. Kitts y Nevis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St Lucia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St. Vincent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Suriname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Trinidad y Tobago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Uruguay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EC1910" w:rsidP="00EC1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46F7F" w:rsidRPr="00713118" w:rsidTr="007C1F09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046F7F" w:rsidRDefault="00046F7F" w:rsidP="00EC1910">
            <w:pPr>
              <w:rPr>
                <w:color w:val="000000"/>
              </w:rPr>
            </w:pPr>
            <w:r>
              <w:rPr>
                <w:color w:val="000000"/>
              </w:rPr>
              <w:t>Venezuela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046F7F" w:rsidRDefault="00046F7F" w:rsidP="00EC1910">
            <w:pPr>
              <w:jc w:val="center"/>
              <w:rPr>
                <w:color w:val="000000"/>
              </w:rPr>
            </w:pPr>
          </w:p>
        </w:tc>
      </w:tr>
      <w:tr w:rsidR="00046F7F" w:rsidRPr="00713118" w:rsidTr="007C1F09">
        <w:trPr>
          <w:trHeight w:val="347"/>
          <w:jc w:val="center"/>
        </w:trPr>
        <w:tc>
          <w:tcPr>
            <w:tcW w:w="3277" w:type="dxa"/>
            <w:shd w:val="clear" w:color="auto" w:fill="D0CECE"/>
            <w:noWrap/>
            <w:vAlign w:val="center"/>
            <w:hideMark/>
          </w:tcPr>
          <w:p w:rsidR="00046F7F" w:rsidRPr="00713118" w:rsidRDefault="00046F7F" w:rsidP="00EC1910">
            <w:pPr>
              <w:jc w:val="center"/>
              <w:rPr>
                <w:rFonts w:eastAsia="Times New Roman"/>
                <w:b/>
                <w:bCs/>
              </w:rPr>
            </w:pPr>
            <w:r w:rsidRPr="00713118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2790" w:type="dxa"/>
            <w:shd w:val="clear" w:color="auto" w:fill="D0CECE"/>
            <w:vAlign w:val="center"/>
          </w:tcPr>
          <w:p w:rsidR="00046F7F" w:rsidRPr="00713118" w:rsidRDefault="00EC1910" w:rsidP="00EC191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ED502E">
              <w:rPr>
                <w:rFonts w:eastAsia="Times New Roman"/>
                <w:b/>
                <w:bCs/>
              </w:rPr>
              <w:t>7</w:t>
            </w:r>
          </w:p>
        </w:tc>
      </w:tr>
    </w:tbl>
    <w:p w:rsidR="0080749D" w:rsidRPr="008B37DE" w:rsidRDefault="0080749D" w:rsidP="00CC11A5">
      <w:pPr>
        <w:jc w:val="both"/>
        <w:rPr>
          <w:color w:val="000000"/>
          <w:lang w:val="es-CO"/>
        </w:rPr>
      </w:pPr>
    </w:p>
    <w:p w:rsidR="00676ADF" w:rsidRPr="008B37DE" w:rsidRDefault="00676ADF" w:rsidP="00CC11A5">
      <w:pPr>
        <w:jc w:val="both"/>
        <w:rPr>
          <w:color w:val="000000"/>
          <w:lang w:val="en-US"/>
        </w:rPr>
      </w:pPr>
    </w:p>
    <w:p w:rsidR="006F65F2" w:rsidRPr="008B37DE" w:rsidRDefault="008620C2" w:rsidP="006F65F2">
      <w:pPr>
        <w:jc w:val="both"/>
        <w:rPr>
          <w:color w:val="000000"/>
          <w:lang w:val="es-ES_tradnl"/>
        </w:rPr>
      </w:pPr>
      <w:r w:rsidRPr="008B37DE">
        <w:rPr>
          <w:color w:val="000000"/>
          <w:lang w:val="es-CO"/>
        </w:rPr>
        <w:t>Los siguientes requerimientos de</w:t>
      </w:r>
      <w:r w:rsidR="00476C71">
        <w:rPr>
          <w:color w:val="000000"/>
          <w:lang w:val="es-CO"/>
        </w:rPr>
        <w:t>l documento</w:t>
      </w:r>
      <w:r w:rsidR="006F65F2" w:rsidRPr="008B37DE">
        <w:rPr>
          <w:color w:val="000000"/>
          <w:lang w:val="es-CO"/>
        </w:rPr>
        <w:t xml:space="preserve"> </w:t>
      </w:r>
      <w:r w:rsidR="00476C71" w:rsidRPr="00E33313">
        <w:rPr>
          <w:color w:val="000000"/>
          <w:lang w:val="es-US"/>
        </w:rPr>
        <w:t>“</w:t>
      </w:r>
      <w:r w:rsidR="006F65F2" w:rsidRPr="008B37DE">
        <w:rPr>
          <w:color w:val="000000"/>
          <w:lang w:val="es-CO"/>
        </w:rPr>
        <w:t>Criterios para la Selección y Evaluación de Actividades de Cooperación Solidaria para el Desarrollo del Fondo de Cooperación para el Desarrollo de la OEA (FCD/OEA)</w:t>
      </w:r>
      <w:r w:rsidR="00476C71">
        <w:rPr>
          <w:color w:val="000000"/>
          <w:lang w:val="es-CO"/>
        </w:rPr>
        <w:t>”</w:t>
      </w:r>
      <w:r w:rsidR="00CE1D68" w:rsidRPr="008B37DE">
        <w:rPr>
          <w:color w:val="000000"/>
          <w:lang w:val="es-CO"/>
        </w:rPr>
        <w:t xml:space="preserve"> guiarán el desarrollo del programa</w:t>
      </w:r>
      <w:r w:rsidR="006F65F2" w:rsidRPr="008B37DE">
        <w:rPr>
          <w:color w:val="000000"/>
          <w:lang w:val="es-CO"/>
        </w:rPr>
        <w:t xml:space="preserve">: </w:t>
      </w:r>
    </w:p>
    <w:p w:rsidR="00C0621F" w:rsidRPr="008B37DE" w:rsidRDefault="00C0621F" w:rsidP="00CC11A5">
      <w:pPr>
        <w:jc w:val="both"/>
        <w:rPr>
          <w:lang w:val="es-CO"/>
        </w:rPr>
      </w:pPr>
    </w:p>
    <w:p w:rsidR="006F65F2" w:rsidRPr="008B37DE" w:rsidRDefault="006F65F2" w:rsidP="006F65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720"/>
        <w:jc w:val="both"/>
        <w:rPr>
          <w:rFonts w:eastAsia="Times New Roman"/>
          <w:snapToGrid w:val="0"/>
          <w:spacing w:val="-2"/>
        </w:rPr>
      </w:pPr>
      <w:r w:rsidRPr="008B37DE">
        <w:rPr>
          <w:rFonts w:eastAsia="Times New Roman"/>
          <w:snapToGrid w:val="0"/>
          <w:spacing w:val="-2"/>
        </w:rPr>
        <w:t xml:space="preserve">Cada programa debe contener </w:t>
      </w:r>
      <w:r w:rsidR="00ED4E83" w:rsidRPr="008B37DE">
        <w:rPr>
          <w:rFonts w:eastAsia="Times New Roman"/>
          <w:snapToGrid w:val="0"/>
          <w:spacing w:val="-2"/>
        </w:rPr>
        <w:t>los</w:t>
      </w:r>
      <w:r w:rsidRPr="008B37DE">
        <w:rPr>
          <w:rFonts w:eastAsia="Times New Roman"/>
          <w:snapToGrid w:val="0"/>
          <w:spacing w:val="-2"/>
        </w:rPr>
        <w:t xml:space="preserve"> siguientes criterios:</w:t>
      </w:r>
    </w:p>
    <w:p w:rsidR="006F65F2" w:rsidRPr="008B37DE" w:rsidRDefault="006F65F2" w:rsidP="006F65F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720"/>
        <w:jc w:val="both"/>
        <w:rPr>
          <w:rFonts w:eastAsia="Times New Roman"/>
          <w:snapToGrid w:val="0"/>
          <w:spacing w:val="-2"/>
        </w:rPr>
      </w:pP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1440" w:hanging="720"/>
        <w:jc w:val="both"/>
        <w:rPr>
          <w:rFonts w:eastAsia="Times New Roman"/>
          <w:snapToGrid w:val="0"/>
          <w:spacing w:val="-2"/>
          <w:lang w:val="es-GT"/>
        </w:rPr>
      </w:pPr>
      <w:r w:rsidRPr="008B37DE">
        <w:rPr>
          <w:rFonts w:eastAsia="Times New Roman"/>
          <w:snapToGrid w:val="0"/>
          <w:spacing w:val="-2"/>
          <w:lang w:val="es-GT"/>
        </w:rPr>
        <w:t xml:space="preserve">Un objetivo claramente definido basado en el área temática. </w:t>
      </w: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 w:rsidRPr="008B37DE">
        <w:rPr>
          <w:rFonts w:eastAsia="Times New Roman"/>
        </w:rPr>
        <w:t xml:space="preserve">Prestar apoyo a la solución de un problema nacional o regional que enfrenten gobiernos y/o comunidades. </w:t>
      </w: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 w:rsidRPr="008B37DE">
        <w:rPr>
          <w:rFonts w:eastAsia="Times New Roman"/>
          <w:bCs/>
        </w:rPr>
        <w:t xml:space="preserve">Facilitar o promover la transferencia o el intercambio de experiencias, conocimientos, buenas prácticas, técnicas y tecnologías en lo posible de carácter internacional o que potencien las que ya existen a nivel nacional y/o regional. </w:t>
      </w:r>
      <w:r w:rsidRPr="008B37DE">
        <w:rPr>
          <w:rFonts w:eastAsia="Times New Roman"/>
        </w:rPr>
        <w:t xml:space="preserve">Promover las modalidades de cooperación triangular, sur – sur y horizontal, entre otras, en la medida de lo posible. </w:t>
      </w: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 w:rsidRPr="008B37DE">
        <w:rPr>
          <w:rFonts w:eastAsia="Times New Roman"/>
        </w:rPr>
        <w:t xml:space="preserve">Aumentar las oportunidades para coordinar y movilizar la cofinanciación nacional y de una multiplicidad de fuentes, incluidos los donantes y el sector privado. </w:t>
      </w:r>
    </w:p>
    <w:p w:rsidR="006F65F2" w:rsidRPr="008B37DE" w:rsidRDefault="006F65F2" w:rsidP="006F65F2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 w:rsidRPr="008B37DE">
        <w:rPr>
          <w:rFonts w:eastAsia="Times New Roman"/>
          <w:bCs/>
        </w:rPr>
        <w:t>Contribuir al aprovechamiento y el desarrollo de las capacidades locales y así incrementar el capital humano</w:t>
      </w:r>
    </w:p>
    <w:p w:rsidR="006F65F2" w:rsidRPr="008B37DE" w:rsidRDefault="006F65F2" w:rsidP="006F65F2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 w:rsidRPr="008B37DE">
        <w:rPr>
          <w:rFonts w:eastAsia="Times New Roman"/>
          <w:bCs/>
        </w:rPr>
        <w:t>Enfocar los programas hacia el fortalecimiento de las instituciones y la capacitación de los recursos humanos y que los gastos de funcionamiento sean más bien de contrapartida.</w:t>
      </w:r>
    </w:p>
    <w:p w:rsidR="006F65F2" w:rsidRPr="008B37DE" w:rsidRDefault="006F65F2" w:rsidP="006F65F2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 w:rsidRPr="008B37DE">
        <w:rPr>
          <w:rFonts w:eastAsia="Times New Roman"/>
          <w:bCs/>
        </w:rPr>
        <w:t>Evitar la duplicación de esfuerzos en la asignación de recursos, con acciones similares ya realizadas o que se estén llevando a cabo en los respectivos países.</w:t>
      </w:r>
    </w:p>
    <w:p w:rsidR="006F65F2" w:rsidRPr="008B37DE" w:rsidRDefault="006F65F2" w:rsidP="006F65F2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 w:rsidRPr="008B37DE">
        <w:rPr>
          <w:rFonts w:eastAsia="Times New Roman"/>
          <w:bCs/>
        </w:rPr>
        <w:t>Asegurar la sostenibilidad de los resultados de los programas, de manera que la entidad ejecutora tenga la capacidad de replicar y continuar por si misma los logros obtenidos, una vez terminada la financiación del programa</w:t>
      </w: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 w:rsidRPr="008B37DE">
        <w:rPr>
          <w:rFonts w:eastAsia="Times New Roman"/>
        </w:rPr>
        <w:t xml:space="preserve">Combinar los recursos y las experiencias de los correspondientes socios dentro </w:t>
      </w:r>
      <w:r w:rsidRPr="008B37DE">
        <w:rPr>
          <w:rFonts w:eastAsia="Times New Roman"/>
        </w:rPr>
        <w:lastRenderedPageBreak/>
        <w:t>de los sectores público y privado – corporaciones, fundaciones, organizaciones no gubernamentales (ONG), universidades, comercios locales y grupos de la Diáspora, miembros observadores – aprovechando al máximo su capital e inversiones.</w:t>
      </w: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lang w:val="es-ES_tradnl"/>
        </w:rPr>
      </w:pPr>
      <w:r w:rsidRPr="008B37DE">
        <w:rPr>
          <w:rFonts w:eastAsia="Times New Roman"/>
          <w:bCs/>
        </w:rPr>
        <w:t xml:space="preserve">Considerar las áreas de Educación y Ciencia y Tecnología  en la estructuración de los programas como elementos transversales dentro de cada ciclo de programación del </w:t>
      </w:r>
      <w:r w:rsidRPr="008B37DE">
        <w:rPr>
          <w:rFonts w:eastAsia="Times New Roman"/>
          <w:snapToGrid w:val="0"/>
          <w:spacing w:val="-2"/>
          <w:lang w:val="es-ES_tradnl"/>
        </w:rPr>
        <w:t>FCD/OEA</w:t>
      </w:r>
      <w:r w:rsidRPr="008B37DE">
        <w:rPr>
          <w:rFonts w:eastAsia="Times New Roman"/>
          <w:bCs/>
        </w:rPr>
        <w:t xml:space="preserve">. </w:t>
      </w:r>
    </w:p>
    <w:p w:rsidR="006F65F2" w:rsidRPr="008B37DE" w:rsidRDefault="006F65F2" w:rsidP="006F65F2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lang w:val="es-ES_tradnl"/>
        </w:rPr>
      </w:pPr>
      <w:r w:rsidRPr="008B37DE">
        <w:rPr>
          <w:rFonts w:eastAsia="Times New Roman"/>
          <w:bCs/>
          <w:lang w:val="es-ES_tradnl"/>
        </w:rPr>
        <w:t xml:space="preserve">Incluir un borrador inicial de un plan de monitoreo y evaluación. La versión final deberá presentarse dentro de 90 días posteriores a la firma del acuerdo. </w:t>
      </w:r>
    </w:p>
    <w:p w:rsidR="00AD115B" w:rsidRPr="008B37DE" w:rsidRDefault="006F65F2" w:rsidP="00AD115B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 w:rsidRPr="008B37DE">
        <w:rPr>
          <w:rFonts w:eastAsia="Times New Roman"/>
        </w:rPr>
        <w:t>Demostrar innovación en su enfoque y sostenibilidad de resultados/efectos.</w:t>
      </w:r>
    </w:p>
    <w:p w:rsidR="00AD115B" w:rsidRPr="008B37DE" w:rsidRDefault="00D34EA5" w:rsidP="00AD115B">
      <w:pPr>
        <w:jc w:val="both"/>
        <w:rPr>
          <w:color w:val="000000"/>
          <w:lang w:val="es-CO"/>
        </w:rPr>
      </w:pPr>
      <w:r w:rsidRPr="008B37DE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6D" w:rsidRPr="00D47E80" w:rsidRDefault="000D206D">
                            <w:pPr>
                              <w:rPr>
                                <w:sz w:val="18"/>
                              </w:rPr>
                            </w:pPr>
                            <w:r w:rsidRPr="0007549C">
                              <w:rPr>
                                <w:sz w:val="18"/>
                              </w:rPr>
                              <w:fldChar w:fldCharType="begin"/>
                            </w:r>
                            <w:r w:rsidRPr="0007549C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07549C">
                              <w:rPr>
                                <w:sz w:val="18"/>
                              </w:rPr>
                              <w:fldChar w:fldCharType="separate"/>
                            </w:r>
                            <w:r w:rsidR="00695349">
                              <w:rPr>
                                <w:noProof/>
                                <w:sz w:val="18"/>
                              </w:rPr>
                              <w:t>CIDRP03046S01</w:t>
                            </w:r>
                            <w:r w:rsidRPr="0007549C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0D206D" w:rsidRPr="00D47E80" w:rsidRDefault="000D206D">
                      <w:pPr>
                        <w:rPr>
                          <w:sz w:val="18"/>
                        </w:rPr>
                      </w:pPr>
                      <w:r w:rsidRPr="0007549C">
                        <w:rPr>
                          <w:sz w:val="18"/>
                        </w:rPr>
                        <w:fldChar w:fldCharType="begin"/>
                      </w:r>
                      <w:r w:rsidRPr="0007549C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07549C">
                        <w:rPr>
                          <w:sz w:val="18"/>
                        </w:rPr>
                        <w:fldChar w:fldCharType="separate"/>
                      </w:r>
                      <w:r w:rsidR="00695349">
                        <w:rPr>
                          <w:noProof/>
                          <w:sz w:val="18"/>
                        </w:rPr>
                        <w:t>CIDRP03046S01</w:t>
                      </w:r>
                      <w:r w:rsidRPr="0007549C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115B" w:rsidRPr="008B37DE" w:rsidSect="00BA1104">
      <w:headerReference w:type="even" r:id="rId12"/>
      <w:headerReference w:type="first" r:id="rId13"/>
      <w:type w:val="oddPage"/>
      <w:pgSz w:w="12240" w:h="15840" w:code="1"/>
      <w:pgMar w:top="1260" w:right="1570" w:bottom="1152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6D" w:rsidRDefault="000D206D" w:rsidP="00C30F2F">
      <w:r>
        <w:separator/>
      </w:r>
    </w:p>
  </w:endnote>
  <w:endnote w:type="continuationSeparator" w:id="0">
    <w:p w:rsidR="000D206D" w:rsidRDefault="000D206D" w:rsidP="00C30F2F">
      <w:r>
        <w:continuationSeparator/>
      </w:r>
    </w:p>
  </w:endnote>
  <w:endnote w:type="continuationNotice" w:id="1">
    <w:p w:rsidR="000D206D" w:rsidRDefault="000D2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6D" w:rsidRDefault="000D206D" w:rsidP="00C30F2F">
      <w:r>
        <w:separator/>
      </w:r>
    </w:p>
  </w:footnote>
  <w:footnote w:type="continuationSeparator" w:id="0">
    <w:p w:rsidR="000D206D" w:rsidRDefault="000D206D" w:rsidP="00C30F2F">
      <w:r>
        <w:continuationSeparator/>
      </w:r>
    </w:p>
  </w:footnote>
  <w:footnote w:type="continuationNotice" w:id="1">
    <w:p w:rsidR="000D206D" w:rsidRDefault="000D2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D" w:rsidRPr="006568F0" w:rsidRDefault="000D206D">
    <w:pPr>
      <w:pStyle w:val="Header"/>
      <w:jc w:val="center"/>
      <w:rPr>
        <w:sz w:val="22"/>
        <w:szCs w:val="22"/>
      </w:rPr>
    </w:pPr>
    <w:r w:rsidRPr="006568F0">
      <w:rPr>
        <w:sz w:val="22"/>
        <w:szCs w:val="22"/>
      </w:rPr>
      <w:fldChar w:fldCharType="begin"/>
    </w:r>
    <w:r w:rsidRPr="006568F0">
      <w:rPr>
        <w:sz w:val="22"/>
        <w:szCs w:val="22"/>
      </w:rPr>
      <w:instrText xml:space="preserve"> PAGE   \* MERGEFORMAT </w:instrText>
    </w:r>
    <w:r w:rsidRPr="006568F0">
      <w:rPr>
        <w:sz w:val="22"/>
        <w:szCs w:val="22"/>
      </w:rPr>
      <w:fldChar w:fldCharType="separate"/>
    </w:r>
    <w:r w:rsidR="00332196">
      <w:rPr>
        <w:noProof/>
        <w:sz w:val="22"/>
        <w:szCs w:val="22"/>
      </w:rPr>
      <w:t>- 4 -</w:t>
    </w:r>
    <w:r w:rsidRPr="006568F0">
      <w:rPr>
        <w:noProof/>
        <w:sz w:val="22"/>
        <w:szCs w:val="22"/>
      </w:rPr>
      <w:fldChar w:fldCharType="end"/>
    </w:r>
  </w:p>
  <w:p w:rsidR="000D206D" w:rsidRDefault="000D2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D" w:rsidRDefault="000D206D" w:rsidP="006568F0">
    <w:pPr>
      <w:pStyle w:val="Header"/>
    </w:pPr>
  </w:p>
  <w:p w:rsidR="000D206D" w:rsidRDefault="000D2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6E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44A1"/>
    <w:multiLevelType w:val="hybridMultilevel"/>
    <w:tmpl w:val="35347470"/>
    <w:lvl w:ilvl="0" w:tplc="D21C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AF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67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6C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2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F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07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53A"/>
    <w:multiLevelType w:val="hybridMultilevel"/>
    <w:tmpl w:val="360CCDEA"/>
    <w:lvl w:ilvl="0" w:tplc="464E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01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A3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EA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B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2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6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0C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06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F2F70"/>
    <w:multiLevelType w:val="hybridMultilevel"/>
    <w:tmpl w:val="E52EAE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62898"/>
    <w:multiLevelType w:val="hybridMultilevel"/>
    <w:tmpl w:val="F0601990"/>
    <w:lvl w:ilvl="0" w:tplc="E08C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1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6D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4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C1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2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E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8F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3EEB"/>
    <w:multiLevelType w:val="hybridMultilevel"/>
    <w:tmpl w:val="D1E6F9E6"/>
    <w:lvl w:ilvl="0" w:tplc="8186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anish w:val="0"/>
      </w:rPr>
    </w:lvl>
    <w:lvl w:ilvl="1" w:tplc="472AAAD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B607E6"/>
    <w:multiLevelType w:val="hybridMultilevel"/>
    <w:tmpl w:val="865C0FB2"/>
    <w:lvl w:ilvl="0" w:tplc="03680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40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41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4E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C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6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68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CE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265E"/>
    <w:multiLevelType w:val="hybridMultilevel"/>
    <w:tmpl w:val="61BA7F2C"/>
    <w:lvl w:ilvl="0" w:tplc="7FAA3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87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E5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EA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4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4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C5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22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4A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11E1"/>
    <w:multiLevelType w:val="hybridMultilevel"/>
    <w:tmpl w:val="360CCDEA"/>
    <w:lvl w:ilvl="0" w:tplc="E034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6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85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45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AD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24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E7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42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26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C7D"/>
    <w:multiLevelType w:val="hybridMultilevel"/>
    <w:tmpl w:val="4894D9A0"/>
    <w:lvl w:ilvl="0" w:tplc="651A00C0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02860D60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8EEC8622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0769120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98A4862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393E7612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2123E14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E2B83696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7FE886AE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8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174"/>
    <w:multiLevelType w:val="hybridMultilevel"/>
    <w:tmpl w:val="E8966096"/>
    <w:lvl w:ilvl="0" w:tplc="91AA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C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C9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A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00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06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69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08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21"/>
  </w:num>
  <w:num w:numId="13">
    <w:abstractNumId w:val="16"/>
  </w:num>
  <w:num w:numId="14">
    <w:abstractNumId w:val="3"/>
  </w:num>
  <w:num w:numId="15">
    <w:abstractNumId w:val="18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5"/>
    <w:rsid w:val="00007B20"/>
    <w:rsid w:val="00012BCB"/>
    <w:rsid w:val="000224F5"/>
    <w:rsid w:val="00024896"/>
    <w:rsid w:val="00026C05"/>
    <w:rsid w:val="00027E1A"/>
    <w:rsid w:val="00044F9F"/>
    <w:rsid w:val="00046F7F"/>
    <w:rsid w:val="00050FF7"/>
    <w:rsid w:val="00067E5F"/>
    <w:rsid w:val="00067EEC"/>
    <w:rsid w:val="000743D8"/>
    <w:rsid w:val="00074A8F"/>
    <w:rsid w:val="0007549C"/>
    <w:rsid w:val="000A1AE2"/>
    <w:rsid w:val="000A5EEB"/>
    <w:rsid w:val="000A6F4A"/>
    <w:rsid w:val="000A7918"/>
    <w:rsid w:val="000B0EFF"/>
    <w:rsid w:val="000D1624"/>
    <w:rsid w:val="000D206D"/>
    <w:rsid w:val="000D3D0C"/>
    <w:rsid w:val="000E078D"/>
    <w:rsid w:val="000E102E"/>
    <w:rsid w:val="000E21DF"/>
    <w:rsid w:val="00113B91"/>
    <w:rsid w:val="00115FD7"/>
    <w:rsid w:val="001229E3"/>
    <w:rsid w:val="00126FAF"/>
    <w:rsid w:val="0013401A"/>
    <w:rsid w:val="00134E8F"/>
    <w:rsid w:val="00142D38"/>
    <w:rsid w:val="001452DD"/>
    <w:rsid w:val="00154940"/>
    <w:rsid w:val="00155618"/>
    <w:rsid w:val="00155B5D"/>
    <w:rsid w:val="001569F1"/>
    <w:rsid w:val="001576BB"/>
    <w:rsid w:val="001722D2"/>
    <w:rsid w:val="001740B0"/>
    <w:rsid w:val="0017638B"/>
    <w:rsid w:val="001765AB"/>
    <w:rsid w:val="001937A0"/>
    <w:rsid w:val="00194984"/>
    <w:rsid w:val="001A4113"/>
    <w:rsid w:val="001B0952"/>
    <w:rsid w:val="001B7360"/>
    <w:rsid w:val="001D1064"/>
    <w:rsid w:val="001D4CE5"/>
    <w:rsid w:val="001F680A"/>
    <w:rsid w:val="001F7679"/>
    <w:rsid w:val="002018D2"/>
    <w:rsid w:val="002206BF"/>
    <w:rsid w:val="00221755"/>
    <w:rsid w:val="00224330"/>
    <w:rsid w:val="00234011"/>
    <w:rsid w:val="00237351"/>
    <w:rsid w:val="002538E6"/>
    <w:rsid w:val="00266611"/>
    <w:rsid w:val="00281173"/>
    <w:rsid w:val="002821D7"/>
    <w:rsid w:val="00290C25"/>
    <w:rsid w:val="002924C9"/>
    <w:rsid w:val="002A3646"/>
    <w:rsid w:val="002D4969"/>
    <w:rsid w:val="002D682F"/>
    <w:rsid w:val="002D762F"/>
    <w:rsid w:val="002E2F56"/>
    <w:rsid w:val="002E6FD7"/>
    <w:rsid w:val="00302976"/>
    <w:rsid w:val="00311A27"/>
    <w:rsid w:val="003204EB"/>
    <w:rsid w:val="00332196"/>
    <w:rsid w:val="00354854"/>
    <w:rsid w:val="00355071"/>
    <w:rsid w:val="00361806"/>
    <w:rsid w:val="00362EA3"/>
    <w:rsid w:val="00376CC8"/>
    <w:rsid w:val="003A29E3"/>
    <w:rsid w:val="003A7E09"/>
    <w:rsid w:val="003B56C7"/>
    <w:rsid w:val="003D0BE5"/>
    <w:rsid w:val="003D7260"/>
    <w:rsid w:val="003F74E6"/>
    <w:rsid w:val="0041273C"/>
    <w:rsid w:val="004160C4"/>
    <w:rsid w:val="004227AD"/>
    <w:rsid w:val="00426D52"/>
    <w:rsid w:val="004432BF"/>
    <w:rsid w:val="00447DE2"/>
    <w:rsid w:val="00450B83"/>
    <w:rsid w:val="00451D33"/>
    <w:rsid w:val="0045468E"/>
    <w:rsid w:val="004665CB"/>
    <w:rsid w:val="00466C71"/>
    <w:rsid w:val="004725D4"/>
    <w:rsid w:val="00476C71"/>
    <w:rsid w:val="004863CE"/>
    <w:rsid w:val="00490DDC"/>
    <w:rsid w:val="00493C71"/>
    <w:rsid w:val="004B2D6E"/>
    <w:rsid w:val="004B3E6B"/>
    <w:rsid w:val="004B3FF0"/>
    <w:rsid w:val="004B6681"/>
    <w:rsid w:val="004D3E15"/>
    <w:rsid w:val="005062B4"/>
    <w:rsid w:val="0051315A"/>
    <w:rsid w:val="0053701D"/>
    <w:rsid w:val="005451F4"/>
    <w:rsid w:val="0056367B"/>
    <w:rsid w:val="00570422"/>
    <w:rsid w:val="00596218"/>
    <w:rsid w:val="00597BDE"/>
    <w:rsid w:val="005B5D45"/>
    <w:rsid w:val="005C293F"/>
    <w:rsid w:val="005D62CE"/>
    <w:rsid w:val="005F3654"/>
    <w:rsid w:val="005F6C9C"/>
    <w:rsid w:val="00605D8E"/>
    <w:rsid w:val="00615E08"/>
    <w:rsid w:val="00620A54"/>
    <w:rsid w:val="00627DEA"/>
    <w:rsid w:val="006325E0"/>
    <w:rsid w:val="006342E4"/>
    <w:rsid w:val="006344AB"/>
    <w:rsid w:val="00645C2C"/>
    <w:rsid w:val="00651278"/>
    <w:rsid w:val="006568F0"/>
    <w:rsid w:val="00661A27"/>
    <w:rsid w:val="0066234E"/>
    <w:rsid w:val="00676ADF"/>
    <w:rsid w:val="00695349"/>
    <w:rsid w:val="006A61EF"/>
    <w:rsid w:val="006B1831"/>
    <w:rsid w:val="006C658C"/>
    <w:rsid w:val="006D35FF"/>
    <w:rsid w:val="006D398D"/>
    <w:rsid w:val="006F65F2"/>
    <w:rsid w:val="00717516"/>
    <w:rsid w:val="00727C38"/>
    <w:rsid w:val="00727F92"/>
    <w:rsid w:val="00742666"/>
    <w:rsid w:val="007434A3"/>
    <w:rsid w:val="00776825"/>
    <w:rsid w:val="00784C8C"/>
    <w:rsid w:val="00785015"/>
    <w:rsid w:val="007A4A37"/>
    <w:rsid w:val="007C1F09"/>
    <w:rsid w:val="007C4915"/>
    <w:rsid w:val="007D0CE9"/>
    <w:rsid w:val="007D31D4"/>
    <w:rsid w:val="007D3BF6"/>
    <w:rsid w:val="007D7888"/>
    <w:rsid w:val="007E2F01"/>
    <w:rsid w:val="007E3E6A"/>
    <w:rsid w:val="007F3EAE"/>
    <w:rsid w:val="0080749D"/>
    <w:rsid w:val="008075BE"/>
    <w:rsid w:val="00811D22"/>
    <w:rsid w:val="00811D9D"/>
    <w:rsid w:val="0082538C"/>
    <w:rsid w:val="00826BC9"/>
    <w:rsid w:val="00831402"/>
    <w:rsid w:val="00855668"/>
    <w:rsid w:val="008573B2"/>
    <w:rsid w:val="008620C2"/>
    <w:rsid w:val="008676C7"/>
    <w:rsid w:val="00870F32"/>
    <w:rsid w:val="00872F3C"/>
    <w:rsid w:val="00874493"/>
    <w:rsid w:val="0089071B"/>
    <w:rsid w:val="008B2C0E"/>
    <w:rsid w:val="008B37DE"/>
    <w:rsid w:val="008B7EFE"/>
    <w:rsid w:val="008C7397"/>
    <w:rsid w:val="008D1050"/>
    <w:rsid w:val="008D776C"/>
    <w:rsid w:val="008E1645"/>
    <w:rsid w:val="008E2873"/>
    <w:rsid w:val="008E5577"/>
    <w:rsid w:val="008F3847"/>
    <w:rsid w:val="00901EF9"/>
    <w:rsid w:val="00906FDE"/>
    <w:rsid w:val="00922ED2"/>
    <w:rsid w:val="00930010"/>
    <w:rsid w:val="009371D3"/>
    <w:rsid w:val="0095405E"/>
    <w:rsid w:val="009652FA"/>
    <w:rsid w:val="0096751A"/>
    <w:rsid w:val="009722B6"/>
    <w:rsid w:val="00973442"/>
    <w:rsid w:val="009740E3"/>
    <w:rsid w:val="00977671"/>
    <w:rsid w:val="00982E33"/>
    <w:rsid w:val="009A4AD2"/>
    <w:rsid w:val="009B46BA"/>
    <w:rsid w:val="009D077C"/>
    <w:rsid w:val="009D4EEC"/>
    <w:rsid w:val="009D6074"/>
    <w:rsid w:val="009F77B2"/>
    <w:rsid w:val="00A05F1A"/>
    <w:rsid w:val="00A11E57"/>
    <w:rsid w:val="00A11F88"/>
    <w:rsid w:val="00A14529"/>
    <w:rsid w:val="00A2181D"/>
    <w:rsid w:val="00A33079"/>
    <w:rsid w:val="00A35D44"/>
    <w:rsid w:val="00A41DE5"/>
    <w:rsid w:val="00A47796"/>
    <w:rsid w:val="00A60BFE"/>
    <w:rsid w:val="00A64C64"/>
    <w:rsid w:val="00A73670"/>
    <w:rsid w:val="00A86C00"/>
    <w:rsid w:val="00AA6B76"/>
    <w:rsid w:val="00AC4F1D"/>
    <w:rsid w:val="00AD115B"/>
    <w:rsid w:val="00AD2740"/>
    <w:rsid w:val="00AE444B"/>
    <w:rsid w:val="00AF2287"/>
    <w:rsid w:val="00B022FF"/>
    <w:rsid w:val="00B24363"/>
    <w:rsid w:val="00B33EB1"/>
    <w:rsid w:val="00B44CC6"/>
    <w:rsid w:val="00B56491"/>
    <w:rsid w:val="00B8113E"/>
    <w:rsid w:val="00B87843"/>
    <w:rsid w:val="00BA1104"/>
    <w:rsid w:val="00BA186C"/>
    <w:rsid w:val="00BA330C"/>
    <w:rsid w:val="00BA3E18"/>
    <w:rsid w:val="00BB6020"/>
    <w:rsid w:val="00BC0309"/>
    <w:rsid w:val="00BC1364"/>
    <w:rsid w:val="00BC3A98"/>
    <w:rsid w:val="00BE008B"/>
    <w:rsid w:val="00BE7A41"/>
    <w:rsid w:val="00C0621F"/>
    <w:rsid w:val="00C13615"/>
    <w:rsid w:val="00C16B64"/>
    <w:rsid w:val="00C22516"/>
    <w:rsid w:val="00C30F2F"/>
    <w:rsid w:val="00C42020"/>
    <w:rsid w:val="00C61AF9"/>
    <w:rsid w:val="00C61FE3"/>
    <w:rsid w:val="00C80524"/>
    <w:rsid w:val="00C81964"/>
    <w:rsid w:val="00C83D14"/>
    <w:rsid w:val="00CB58B2"/>
    <w:rsid w:val="00CC11A5"/>
    <w:rsid w:val="00CE1676"/>
    <w:rsid w:val="00CE1D68"/>
    <w:rsid w:val="00CF4A6C"/>
    <w:rsid w:val="00CF686A"/>
    <w:rsid w:val="00D05B0E"/>
    <w:rsid w:val="00D15AC9"/>
    <w:rsid w:val="00D34EA5"/>
    <w:rsid w:val="00D47E80"/>
    <w:rsid w:val="00D51C78"/>
    <w:rsid w:val="00D57384"/>
    <w:rsid w:val="00D73B5E"/>
    <w:rsid w:val="00D75C67"/>
    <w:rsid w:val="00DA5CB7"/>
    <w:rsid w:val="00DB2B7A"/>
    <w:rsid w:val="00DB4670"/>
    <w:rsid w:val="00DC128D"/>
    <w:rsid w:val="00DD320A"/>
    <w:rsid w:val="00DD35F7"/>
    <w:rsid w:val="00DD6E46"/>
    <w:rsid w:val="00DF6597"/>
    <w:rsid w:val="00DF68E6"/>
    <w:rsid w:val="00E103AA"/>
    <w:rsid w:val="00E12808"/>
    <w:rsid w:val="00E163B1"/>
    <w:rsid w:val="00E2293D"/>
    <w:rsid w:val="00E30E5D"/>
    <w:rsid w:val="00E331D9"/>
    <w:rsid w:val="00E33313"/>
    <w:rsid w:val="00E51A1F"/>
    <w:rsid w:val="00E61359"/>
    <w:rsid w:val="00E63C80"/>
    <w:rsid w:val="00E64F4A"/>
    <w:rsid w:val="00E66192"/>
    <w:rsid w:val="00E82C0E"/>
    <w:rsid w:val="00E82CCD"/>
    <w:rsid w:val="00E84FF3"/>
    <w:rsid w:val="00E91C76"/>
    <w:rsid w:val="00EC1910"/>
    <w:rsid w:val="00EC2669"/>
    <w:rsid w:val="00EC5865"/>
    <w:rsid w:val="00ED3820"/>
    <w:rsid w:val="00ED4CE4"/>
    <w:rsid w:val="00ED4E83"/>
    <w:rsid w:val="00ED502E"/>
    <w:rsid w:val="00EE58AD"/>
    <w:rsid w:val="00F045F0"/>
    <w:rsid w:val="00F076B8"/>
    <w:rsid w:val="00F20729"/>
    <w:rsid w:val="00F2502E"/>
    <w:rsid w:val="00F328B3"/>
    <w:rsid w:val="00F33F13"/>
    <w:rsid w:val="00F46190"/>
    <w:rsid w:val="00F538A5"/>
    <w:rsid w:val="00F66ABB"/>
    <w:rsid w:val="00F714CF"/>
    <w:rsid w:val="00F7427C"/>
    <w:rsid w:val="00F82B83"/>
    <w:rsid w:val="00F912CE"/>
    <w:rsid w:val="00F918D1"/>
    <w:rsid w:val="00F92FBE"/>
    <w:rsid w:val="00F951D5"/>
    <w:rsid w:val="00F96E85"/>
    <w:rsid w:val="00FA102A"/>
    <w:rsid w:val="00FA6B67"/>
    <w:rsid w:val="00FA6DB2"/>
    <w:rsid w:val="00FC17A1"/>
    <w:rsid w:val="00FC22E7"/>
    <w:rsid w:val="00FC4019"/>
    <w:rsid w:val="00FC4E82"/>
    <w:rsid w:val="00FD5DEF"/>
    <w:rsid w:val="00FD7430"/>
    <w:rsid w:val="00FE0EC3"/>
    <w:rsid w:val="00FE1A20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F94BC43"/>
  <w15:chartTrackingRefBased/>
  <w15:docId w15:val="{2D8B4817-F4EC-4DD0-99AC-8EB5710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es-ES" w:eastAsia="es-ES"/>
    </w:rPr>
  </w:style>
  <w:style w:type="paragraph" w:customStyle="1" w:styleId="MediumGrid1-Accent21">
    <w:name w:val="Medium Grid 1 - Accent 21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es-ES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52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es-ES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DD320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DE&amp;classNum=126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99&amp;lang=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doc.&amp;classNum=100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100&amp;lang=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2F95-688F-4955-AB45-69C9472D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7091</CharactersWithSpaces>
  <SharedDoc>false</SharedDoc>
  <HLinks>
    <vt:vector size="24" baseType="variant"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http://scm.oas.org/IDMS/Redirectpage.aspx?class=AICD/JD/DE&amp;classNum=126&amp;lang=s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cp:lastModifiedBy>Burns, Sandra</cp:lastModifiedBy>
  <cp:revision>19</cp:revision>
  <cp:lastPrinted>2015-02-09T19:29:00Z</cp:lastPrinted>
  <dcterms:created xsi:type="dcterms:W3CDTF">2020-12-03T20:37:00Z</dcterms:created>
  <dcterms:modified xsi:type="dcterms:W3CDTF">2020-12-04T03:39:00Z</dcterms:modified>
</cp:coreProperties>
</file>