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DF7E8" w14:textId="77777777" w:rsidR="00843E24" w:rsidRPr="00202439" w:rsidRDefault="00843E24" w:rsidP="0040160F">
      <w:pPr>
        <w:ind w:left="270"/>
        <w:jc w:val="center"/>
        <w:rPr>
          <w:rFonts w:ascii="Times New Roman" w:hAnsi="Times New Roman"/>
          <w:b/>
          <w:bCs/>
          <w:lang w:val="es-CO"/>
        </w:rPr>
      </w:pPr>
    </w:p>
    <w:p w14:paraId="4EDC6D0D" w14:textId="001E9DE1" w:rsidR="00417138" w:rsidRPr="00202439" w:rsidRDefault="00417138" w:rsidP="0040160F">
      <w:pPr>
        <w:ind w:left="270"/>
        <w:jc w:val="center"/>
        <w:rPr>
          <w:rFonts w:ascii="Times New Roman" w:hAnsi="Times New Roman"/>
          <w:b/>
          <w:bCs/>
          <w:lang w:val="es-CO"/>
        </w:rPr>
      </w:pPr>
      <w:r w:rsidRPr="00202439">
        <w:rPr>
          <w:rFonts w:ascii="Times New Roman" w:hAnsi="Times New Roman"/>
          <w:b/>
          <w:bCs/>
          <w:lang w:val="es-CO"/>
        </w:rPr>
        <w:t>PLAN DE TRABAJO 2020-2021</w:t>
      </w:r>
      <w:r w:rsidR="003A056F" w:rsidRPr="00202439">
        <w:rPr>
          <w:rFonts w:ascii="Times New Roman" w:hAnsi="Times New Roman"/>
          <w:b/>
          <w:bCs/>
          <w:lang w:val="es-CO"/>
        </w:rPr>
        <w:t xml:space="preserve"> DE LA </w:t>
      </w:r>
      <w:r w:rsidR="003347DC" w:rsidRPr="00202439">
        <w:rPr>
          <w:rFonts w:ascii="Times New Roman" w:hAnsi="Times New Roman"/>
          <w:b/>
          <w:bCs/>
          <w:lang w:val="es-CO"/>
        </w:rPr>
        <w:t>AICD</w:t>
      </w:r>
    </w:p>
    <w:p w14:paraId="0E90E7C9" w14:textId="2E6F7ACB" w:rsidR="000969C7" w:rsidRDefault="000969C7" w:rsidP="0040160F">
      <w:pPr>
        <w:ind w:left="270"/>
        <w:jc w:val="center"/>
        <w:rPr>
          <w:rFonts w:ascii="Times New Roman" w:hAnsi="Times New Roman"/>
          <w:lang w:val="es-CO"/>
        </w:rPr>
      </w:pPr>
      <w:r w:rsidRPr="000969C7">
        <w:rPr>
          <w:rFonts w:ascii="Times New Roman" w:hAnsi="Times New Roman"/>
          <w:lang w:val="es-CO"/>
        </w:rPr>
        <w:t>Actualización sobre el nivel de implementación</w:t>
      </w:r>
    </w:p>
    <w:p w14:paraId="503A8DA9" w14:textId="77777777" w:rsidR="003A056F" w:rsidRPr="00C87E07" w:rsidRDefault="00417138" w:rsidP="003A056F">
      <w:pPr>
        <w:tabs>
          <w:tab w:val="left" w:pos="720"/>
        </w:tabs>
        <w:jc w:val="both"/>
        <w:rPr>
          <w:rFonts w:ascii="Times New Roman" w:hAnsi="Times New Roman"/>
          <w:lang w:val="es-CO"/>
        </w:rPr>
      </w:pPr>
      <w:r w:rsidRPr="00C87E07">
        <w:rPr>
          <w:rFonts w:ascii="Times New Roman" w:hAnsi="Times New Roman"/>
          <w:b/>
          <w:lang w:val="es-CO"/>
        </w:rPr>
        <w:t>INTRODUCCIÓN:</w:t>
      </w:r>
      <w:r w:rsidRPr="00C87E07">
        <w:rPr>
          <w:rFonts w:ascii="Times New Roman" w:hAnsi="Times New Roman"/>
          <w:lang w:val="es-CO"/>
        </w:rPr>
        <w:t xml:space="preserve"> </w:t>
      </w:r>
    </w:p>
    <w:p w14:paraId="2BB9E62E" w14:textId="362B1784" w:rsidR="000B142F" w:rsidRPr="000B142F" w:rsidRDefault="000B142F" w:rsidP="000B142F">
      <w:pPr>
        <w:tabs>
          <w:tab w:val="left" w:pos="720"/>
        </w:tabs>
        <w:jc w:val="both"/>
        <w:rPr>
          <w:rFonts w:ascii="Times New Roman" w:hAnsi="Times New Roman"/>
          <w:lang w:val="es-CO"/>
        </w:rPr>
      </w:pPr>
      <w:r w:rsidRPr="000B142F">
        <w:rPr>
          <w:rFonts w:ascii="Times New Roman" w:hAnsi="Times New Roman"/>
          <w:lang w:val="es-CO"/>
        </w:rPr>
        <w:t xml:space="preserve">Este documento fue elaborado por la Secretaría con base en el Plan de Trabajo 2020-2021 aprobado en la reunión de la </w:t>
      </w:r>
      <w:r w:rsidRPr="00C87E07">
        <w:rPr>
          <w:rFonts w:ascii="Times New Roman" w:hAnsi="Times New Roman"/>
          <w:lang w:val="es-CO"/>
        </w:rPr>
        <w:t xml:space="preserve">Junta Directiva de la Agencia Interamericana para la Cooperación y el Desarrollo (JD/AICD) </w:t>
      </w:r>
      <w:r w:rsidRPr="000B142F">
        <w:rPr>
          <w:rFonts w:ascii="Times New Roman" w:hAnsi="Times New Roman"/>
          <w:lang w:val="es-CO"/>
        </w:rPr>
        <w:t>celebrada el 16 de junio de 2020 (decisión AICD / JD / DE-125/20).</w:t>
      </w:r>
    </w:p>
    <w:p w14:paraId="0819DA74" w14:textId="1785E5E0" w:rsidR="000B142F" w:rsidRPr="000B142F" w:rsidRDefault="000B142F" w:rsidP="000B142F">
      <w:pPr>
        <w:tabs>
          <w:tab w:val="left" w:pos="720"/>
        </w:tabs>
        <w:jc w:val="both"/>
        <w:rPr>
          <w:rFonts w:ascii="Times New Roman" w:hAnsi="Times New Roman"/>
          <w:lang w:val="es-CO"/>
        </w:rPr>
      </w:pPr>
      <w:r w:rsidRPr="000B142F">
        <w:rPr>
          <w:rFonts w:ascii="Times New Roman" w:hAnsi="Times New Roman"/>
          <w:lang w:val="es-CO"/>
        </w:rPr>
        <w:t xml:space="preserve">La tabla de acciones priorizadas del Plan de Trabajo incluye una nueva columna con las actualizaciones </w:t>
      </w:r>
      <w:r w:rsidR="00DC312D">
        <w:rPr>
          <w:rFonts w:ascii="Times New Roman" w:hAnsi="Times New Roman"/>
          <w:lang w:val="es-CO"/>
        </w:rPr>
        <w:t>presentadas</w:t>
      </w:r>
      <w:r w:rsidRPr="000B142F">
        <w:rPr>
          <w:rFonts w:ascii="Times New Roman" w:hAnsi="Times New Roman"/>
          <w:lang w:val="es-CO"/>
        </w:rPr>
        <w:t xml:space="preserve"> en la Reunión </w:t>
      </w:r>
      <w:r w:rsidR="00DC312D">
        <w:rPr>
          <w:rFonts w:ascii="Times New Roman" w:hAnsi="Times New Roman"/>
          <w:lang w:val="es-CO"/>
        </w:rPr>
        <w:t xml:space="preserve">de la </w:t>
      </w:r>
      <w:r w:rsidR="00DC312D" w:rsidRPr="00C87E07">
        <w:rPr>
          <w:rFonts w:ascii="Times New Roman" w:hAnsi="Times New Roman"/>
          <w:lang w:val="es-CO"/>
        </w:rPr>
        <w:t>JD/AICD</w:t>
      </w:r>
      <w:r w:rsidR="00DC312D">
        <w:rPr>
          <w:rFonts w:ascii="Times New Roman" w:hAnsi="Times New Roman"/>
          <w:lang w:val="es-CO"/>
        </w:rPr>
        <w:t xml:space="preserve"> </w:t>
      </w:r>
      <w:r w:rsidRPr="000B142F">
        <w:rPr>
          <w:rFonts w:ascii="Times New Roman" w:hAnsi="Times New Roman"/>
          <w:lang w:val="es-CO"/>
        </w:rPr>
        <w:t>el 15 de marzo de 2021. Además,</w:t>
      </w:r>
      <w:r w:rsidR="00DC312D">
        <w:rPr>
          <w:rFonts w:ascii="Times New Roman" w:hAnsi="Times New Roman"/>
          <w:lang w:val="es-CO"/>
        </w:rPr>
        <w:t xml:space="preserve"> de acuerdo a </w:t>
      </w:r>
      <w:r w:rsidRPr="000B142F">
        <w:rPr>
          <w:rFonts w:ascii="Times New Roman" w:hAnsi="Times New Roman"/>
          <w:lang w:val="es-CO"/>
        </w:rPr>
        <w:t xml:space="preserve">lo solicitado por los Estados </w:t>
      </w:r>
      <w:r w:rsidR="0071322F">
        <w:rPr>
          <w:rFonts w:ascii="Times New Roman" w:hAnsi="Times New Roman"/>
          <w:lang w:val="es-CO"/>
        </w:rPr>
        <w:t>M</w:t>
      </w:r>
      <w:bookmarkStart w:id="0" w:name="_GoBack"/>
      <w:bookmarkEnd w:id="0"/>
      <w:r w:rsidRPr="000B142F">
        <w:rPr>
          <w:rFonts w:ascii="Times New Roman" w:hAnsi="Times New Roman"/>
          <w:lang w:val="es-CO"/>
        </w:rPr>
        <w:t xml:space="preserve">iembros en la reunión, se </w:t>
      </w:r>
      <w:r w:rsidR="00B9394F">
        <w:rPr>
          <w:rFonts w:ascii="Times New Roman" w:hAnsi="Times New Roman"/>
          <w:lang w:val="es-CO"/>
        </w:rPr>
        <w:t>presenta</w:t>
      </w:r>
      <w:r w:rsidRPr="000B142F">
        <w:rPr>
          <w:rFonts w:ascii="Times New Roman" w:hAnsi="Times New Roman"/>
          <w:lang w:val="es-CO"/>
        </w:rPr>
        <w:t xml:space="preserve"> un calendario actualizado de actividades. </w:t>
      </w:r>
      <w:r w:rsidR="003D1AD0" w:rsidRPr="003D1AD0">
        <w:rPr>
          <w:rFonts w:ascii="Times New Roman" w:hAnsi="Times New Roman"/>
          <w:lang w:val="es-CO"/>
        </w:rPr>
        <w:t xml:space="preserve">El calendario incluye dos etiquetas nuevas para facilitar el seguimiento por parte de los </w:t>
      </w:r>
      <w:r w:rsidR="003D1AD0">
        <w:rPr>
          <w:rFonts w:ascii="Times New Roman" w:hAnsi="Times New Roman"/>
          <w:lang w:val="es-CO"/>
        </w:rPr>
        <w:t>E</w:t>
      </w:r>
      <w:r w:rsidR="003D1AD0" w:rsidRPr="003D1AD0">
        <w:rPr>
          <w:rFonts w:ascii="Times New Roman" w:hAnsi="Times New Roman"/>
          <w:lang w:val="es-CO"/>
        </w:rPr>
        <w:t xml:space="preserve">stados miembros, incluida una etiqueta de "Prioridad asignada" para cada tarea </w:t>
      </w:r>
      <w:r w:rsidR="003D1AD0">
        <w:rPr>
          <w:rFonts w:ascii="Times New Roman" w:hAnsi="Times New Roman"/>
          <w:lang w:val="es-CO"/>
        </w:rPr>
        <w:t>según lo establecido en</w:t>
      </w:r>
      <w:r w:rsidR="003D1AD0" w:rsidRPr="003D1AD0">
        <w:rPr>
          <w:rFonts w:ascii="Times New Roman" w:hAnsi="Times New Roman"/>
          <w:lang w:val="es-CO"/>
        </w:rPr>
        <w:t xml:space="preserve"> el momento en que se aprobó el plan, y una etiqueta de "Estado", que indica si la tarea está "</w:t>
      </w:r>
      <w:r w:rsidR="003D1AD0">
        <w:rPr>
          <w:rFonts w:ascii="Times New Roman" w:hAnsi="Times New Roman"/>
          <w:lang w:val="es-CO"/>
        </w:rPr>
        <w:t>Avanzando</w:t>
      </w:r>
      <w:r w:rsidR="003D1AD0" w:rsidRPr="003D1AD0">
        <w:rPr>
          <w:rFonts w:ascii="Times New Roman" w:hAnsi="Times New Roman"/>
          <w:lang w:val="es-CO"/>
        </w:rPr>
        <w:t xml:space="preserve">, </w:t>
      </w:r>
      <w:r w:rsidR="00EA4249">
        <w:rPr>
          <w:rFonts w:ascii="Times New Roman" w:hAnsi="Times New Roman"/>
          <w:lang w:val="es-CO"/>
        </w:rPr>
        <w:t>Concluida</w:t>
      </w:r>
      <w:r w:rsidR="003D1AD0" w:rsidRPr="003D1AD0">
        <w:rPr>
          <w:rFonts w:ascii="Times New Roman" w:hAnsi="Times New Roman"/>
          <w:lang w:val="es-CO"/>
        </w:rPr>
        <w:t>, Pendiente o si Requiere Financiamiento”.</w:t>
      </w:r>
      <w:r w:rsidR="003D1AD0">
        <w:rPr>
          <w:rFonts w:ascii="Times New Roman" w:hAnsi="Times New Roman"/>
          <w:lang w:val="es-CO"/>
        </w:rPr>
        <w:t xml:space="preserve"> </w:t>
      </w:r>
      <w:r w:rsidR="00B05784" w:rsidRPr="00C87E07">
        <w:rPr>
          <w:rFonts w:ascii="Times New Roman" w:hAnsi="Times New Roman"/>
          <w:lang w:val="es-CO"/>
        </w:rPr>
        <w:t>Los resultados del Plan de Trabajo 2020-2021 se informarán en la próxima reunión de Altas Autoridades de Cooperación programada para el 2021</w:t>
      </w:r>
      <w:r w:rsidR="00B05784">
        <w:rPr>
          <w:rFonts w:ascii="Times New Roman" w:hAnsi="Times New Roman"/>
          <w:lang w:val="es-CO"/>
        </w:rPr>
        <w:t xml:space="preserve">. </w:t>
      </w:r>
      <w:r w:rsidRPr="000B142F">
        <w:rPr>
          <w:rFonts w:ascii="Times New Roman" w:hAnsi="Times New Roman"/>
          <w:lang w:val="es-CO"/>
        </w:rPr>
        <w:t xml:space="preserve">(Se </w:t>
      </w:r>
      <w:r w:rsidR="003071CF">
        <w:rPr>
          <w:rFonts w:ascii="Times New Roman" w:hAnsi="Times New Roman"/>
          <w:lang w:val="es-CO"/>
        </w:rPr>
        <w:t>prevé</w:t>
      </w:r>
      <w:r w:rsidRPr="000B142F">
        <w:rPr>
          <w:rFonts w:ascii="Times New Roman" w:hAnsi="Times New Roman"/>
          <w:lang w:val="es-CO"/>
        </w:rPr>
        <w:t xml:space="preserve"> que sea virtual. Fecha por definir).</w:t>
      </w:r>
    </w:p>
    <w:p w14:paraId="20535A25" w14:textId="2246F031" w:rsidR="000B142F" w:rsidRDefault="000B142F" w:rsidP="000B142F">
      <w:pPr>
        <w:tabs>
          <w:tab w:val="left" w:pos="720"/>
        </w:tabs>
        <w:jc w:val="both"/>
        <w:rPr>
          <w:rFonts w:ascii="Times New Roman" w:hAnsi="Times New Roman"/>
          <w:lang w:val="es-CO"/>
        </w:rPr>
      </w:pPr>
      <w:r w:rsidRPr="000B142F">
        <w:rPr>
          <w:rFonts w:ascii="Times New Roman" w:hAnsi="Times New Roman"/>
          <w:lang w:val="es-CO"/>
        </w:rPr>
        <w:t>En general, las actividades se vieron afectadas por los desafíos planteados por la pandemia de</w:t>
      </w:r>
      <w:r w:rsidR="00B05784">
        <w:rPr>
          <w:rFonts w:ascii="Times New Roman" w:hAnsi="Times New Roman"/>
          <w:lang w:val="es-CO"/>
        </w:rPr>
        <w:t>l</w:t>
      </w:r>
      <w:r w:rsidRPr="000B142F">
        <w:rPr>
          <w:rFonts w:ascii="Times New Roman" w:hAnsi="Times New Roman"/>
          <w:lang w:val="es-CO"/>
        </w:rPr>
        <w:t xml:space="preserve"> COVID-19 tanto en los Estados miembros como a nivel institucional </w:t>
      </w:r>
      <w:r w:rsidR="00380749">
        <w:rPr>
          <w:rFonts w:ascii="Times New Roman" w:hAnsi="Times New Roman"/>
          <w:lang w:val="es-CO"/>
        </w:rPr>
        <w:t>en</w:t>
      </w:r>
      <w:r w:rsidRPr="000B142F">
        <w:rPr>
          <w:rFonts w:ascii="Times New Roman" w:hAnsi="Times New Roman"/>
          <w:lang w:val="es-CO"/>
        </w:rPr>
        <w:t xml:space="preserve"> la OEA. Por un lado, un año después de la pandemia, la Secretaría General de la OEA continúa trabajando de forma remota</w:t>
      </w:r>
      <w:r w:rsidR="00247967">
        <w:rPr>
          <w:rFonts w:ascii="Times New Roman" w:hAnsi="Times New Roman"/>
          <w:lang w:val="es-CO"/>
        </w:rPr>
        <w:t xml:space="preserve"> </w:t>
      </w:r>
      <w:r w:rsidR="00D63A8E">
        <w:rPr>
          <w:rFonts w:ascii="Times New Roman" w:hAnsi="Times New Roman"/>
          <w:lang w:val="es-CO"/>
        </w:rPr>
        <w:t xml:space="preserve">y </w:t>
      </w:r>
      <w:r w:rsidRPr="000B142F">
        <w:rPr>
          <w:rFonts w:ascii="Times New Roman" w:hAnsi="Times New Roman"/>
          <w:lang w:val="es-CO"/>
        </w:rPr>
        <w:t>las actuales restricciones presupuestarias institucionales han tenido un impacto directo en la SEDI.</w:t>
      </w:r>
      <w:r w:rsidR="00247967">
        <w:rPr>
          <w:rFonts w:ascii="Times New Roman" w:hAnsi="Times New Roman"/>
          <w:lang w:val="es-CO"/>
        </w:rPr>
        <w:t xml:space="preserve"> </w:t>
      </w:r>
      <w:r w:rsidR="00247967" w:rsidRPr="000B142F">
        <w:rPr>
          <w:rFonts w:ascii="Times New Roman" w:hAnsi="Times New Roman"/>
          <w:lang w:val="es-CO"/>
        </w:rPr>
        <w:t>Por otro lado,</w:t>
      </w:r>
      <w:r w:rsidR="00D63A8E">
        <w:rPr>
          <w:rFonts w:ascii="Times New Roman" w:hAnsi="Times New Roman"/>
          <w:lang w:val="es-CO"/>
        </w:rPr>
        <w:t xml:space="preserve"> los </w:t>
      </w:r>
      <w:r w:rsidR="006E43B0">
        <w:rPr>
          <w:rFonts w:ascii="Times New Roman" w:hAnsi="Times New Roman"/>
          <w:lang w:val="es-CO"/>
        </w:rPr>
        <w:t>E</w:t>
      </w:r>
      <w:r w:rsidR="00D63A8E">
        <w:rPr>
          <w:rFonts w:ascii="Times New Roman" w:hAnsi="Times New Roman"/>
          <w:lang w:val="es-CO"/>
        </w:rPr>
        <w:t xml:space="preserve">stados miembros </w:t>
      </w:r>
      <w:r w:rsidR="001029A7">
        <w:rPr>
          <w:rFonts w:ascii="Times New Roman" w:hAnsi="Times New Roman"/>
          <w:lang w:val="es-CO"/>
        </w:rPr>
        <w:t xml:space="preserve">enfrentan retos similares </w:t>
      </w:r>
      <w:r w:rsidR="006E43B0">
        <w:rPr>
          <w:rFonts w:ascii="Times New Roman" w:hAnsi="Times New Roman"/>
          <w:lang w:val="es-CO"/>
        </w:rPr>
        <w:t xml:space="preserve">relacionados con la pandemia </w:t>
      </w:r>
      <w:r w:rsidR="001029A7">
        <w:rPr>
          <w:rFonts w:ascii="Times New Roman" w:hAnsi="Times New Roman"/>
          <w:lang w:val="es-CO"/>
        </w:rPr>
        <w:t xml:space="preserve">al tiempo que </w:t>
      </w:r>
      <w:r w:rsidR="006E43B0">
        <w:rPr>
          <w:rFonts w:ascii="Times New Roman" w:hAnsi="Times New Roman"/>
          <w:lang w:val="es-CO"/>
        </w:rPr>
        <w:t>adelantan</w:t>
      </w:r>
      <w:r w:rsidR="00A35CA1">
        <w:rPr>
          <w:rFonts w:ascii="Times New Roman" w:hAnsi="Times New Roman"/>
          <w:lang w:val="es-CO"/>
        </w:rPr>
        <w:t xml:space="preserve"> esfuerzos </w:t>
      </w:r>
      <w:r w:rsidR="006E43B0">
        <w:rPr>
          <w:rFonts w:ascii="Times New Roman" w:hAnsi="Times New Roman"/>
          <w:lang w:val="es-CO"/>
        </w:rPr>
        <w:t>de</w:t>
      </w:r>
      <w:r w:rsidR="00A35CA1">
        <w:rPr>
          <w:rFonts w:ascii="Times New Roman" w:hAnsi="Times New Roman"/>
          <w:lang w:val="es-CO"/>
        </w:rPr>
        <w:t xml:space="preserve"> respuesta y </w:t>
      </w:r>
      <w:r w:rsidR="006E43B0">
        <w:rPr>
          <w:rFonts w:ascii="Times New Roman" w:hAnsi="Times New Roman"/>
          <w:lang w:val="es-CO"/>
        </w:rPr>
        <w:t xml:space="preserve">recuperación. </w:t>
      </w:r>
    </w:p>
    <w:p w14:paraId="19BCF152" w14:textId="65A2489F" w:rsidR="00417138" w:rsidRDefault="00417138" w:rsidP="003D3F19">
      <w:pPr>
        <w:spacing w:after="0" w:line="240" w:lineRule="auto"/>
        <w:jc w:val="both"/>
        <w:rPr>
          <w:rFonts w:ascii="Times New Roman" w:hAnsi="Times New Roman"/>
          <w:b/>
          <w:lang w:val="es-CO"/>
        </w:rPr>
      </w:pPr>
      <w:r w:rsidRPr="00C87E07">
        <w:rPr>
          <w:rFonts w:ascii="Times New Roman" w:hAnsi="Times New Roman"/>
          <w:b/>
          <w:lang w:val="es-CO"/>
        </w:rPr>
        <w:t>ACCIONES PRIORIZADAS:</w:t>
      </w:r>
    </w:p>
    <w:p w14:paraId="1DC8F60C" w14:textId="77777777" w:rsidR="00BB6E89" w:rsidRPr="00C87E07" w:rsidRDefault="00BB6E89" w:rsidP="003D3F19">
      <w:pPr>
        <w:spacing w:after="0" w:line="240" w:lineRule="auto"/>
        <w:jc w:val="both"/>
        <w:rPr>
          <w:rFonts w:ascii="Times New Roman" w:hAnsi="Times New Roman"/>
          <w:b/>
          <w:lang w:val="es-CO"/>
        </w:rPr>
      </w:pPr>
    </w:p>
    <w:p w14:paraId="715B2910" w14:textId="77777777" w:rsidR="00A33617" w:rsidRPr="00C87E07" w:rsidRDefault="00A33617" w:rsidP="003D3F19">
      <w:pPr>
        <w:numPr>
          <w:ilvl w:val="0"/>
          <w:numId w:val="5"/>
        </w:numPr>
        <w:spacing w:after="0" w:line="240" w:lineRule="auto"/>
        <w:jc w:val="both"/>
        <w:rPr>
          <w:rFonts w:ascii="Times New Roman" w:hAnsi="Times New Roman"/>
          <w:b/>
          <w:lang w:val="es-CO"/>
        </w:rPr>
      </w:pPr>
      <w:r w:rsidRPr="00C87E07">
        <w:rPr>
          <w:rFonts w:ascii="Times New Roman" w:hAnsi="Times New Roman"/>
          <w:lang w:val="es-CO"/>
        </w:rPr>
        <w:t>Fortalecer los m</w:t>
      </w:r>
      <w:r w:rsidR="00B71DA6" w:rsidRPr="00C87E07">
        <w:rPr>
          <w:rFonts w:ascii="Times New Roman" w:hAnsi="Times New Roman"/>
          <w:lang w:val="es-CO"/>
        </w:rPr>
        <w:t>étodos de trabajo de la JD/AICD</w:t>
      </w:r>
      <w:r w:rsidR="002562D5" w:rsidRPr="00C87E07">
        <w:rPr>
          <w:rFonts w:ascii="Times New Roman" w:hAnsi="Times New Roman"/>
          <w:lang w:val="es-CO"/>
        </w:rPr>
        <w:t>.</w:t>
      </w:r>
    </w:p>
    <w:p w14:paraId="5143473B" w14:textId="77777777" w:rsidR="0050745D" w:rsidRPr="00C87E07" w:rsidRDefault="002562D5" w:rsidP="003D3F19">
      <w:pPr>
        <w:numPr>
          <w:ilvl w:val="0"/>
          <w:numId w:val="5"/>
        </w:numPr>
        <w:spacing w:after="0" w:line="240" w:lineRule="auto"/>
        <w:jc w:val="both"/>
        <w:rPr>
          <w:rFonts w:ascii="Times New Roman" w:hAnsi="Times New Roman"/>
          <w:b/>
          <w:lang w:val="es-CO"/>
        </w:rPr>
      </w:pPr>
      <w:r w:rsidRPr="00C87E07">
        <w:rPr>
          <w:rFonts w:ascii="Times New Roman" w:hAnsi="Times New Roman"/>
          <w:lang w:val="es-CO"/>
        </w:rPr>
        <w:t>Supervisar los programas de becas y capacitaci</w:t>
      </w:r>
      <w:r w:rsidR="0050745D" w:rsidRPr="00C87E07">
        <w:rPr>
          <w:rFonts w:ascii="Times New Roman" w:hAnsi="Times New Roman"/>
          <w:lang w:val="es-CO"/>
        </w:rPr>
        <w:t>ón de la OEA.</w:t>
      </w:r>
    </w:p>
    <w:p w14:paraId="1D1080C5" w14:textId="77777777" w:rsidR="002E5D7F" w:rsidRPr="00C87E07" w:rsidRDefault="00826BDE" w:rsidP="003D3F19">
      <w:pPr>
        <w:numPr>
          <w:ilvl w:val="0"/>
          <w:numId w:val="5"/>
        </w:numPr>
        <w:spacing w:after="0" w:line="240" w:lineRule="auto"/>
        <w:jc w:val="both"/>
        <w:rPr>
          <w:rFonts w:ascii="Times New Roman" w:hAnsi="Times New Roman"/>
          <w:b/>
          <w:lang w:val="es-CO"/>
        </w:rPr>
      </w:pPr>
      <w:r w:rsidRPr="00C87E07">
        <w:rPr>
          <w:rFonts w:ascii="Times New Roman" w:hAnsi="Times New Roman"/>
          <w:bCs/>
          <w:lang w:val="es-CO"/>
        </w:rPr>
        <w:t xml:space="preserve">Fortalecer </w:t>
      </w:r>
      <w:r w:rsidR="00B86A14" w:rsidRPr="00C87E07">
        <w:rPr>
          <w:rFonts w:ascii="Times New Roman" w:hAnsi="Times New Roman"/>
          <w:bCs/>
          <w:lang w:val="es-CO"/>
        </w:rPr>
        <w:t xml:space="preserve">el </w:t>
      </w:r>
      <w:r w:rsidR="00B86A14" w:rsidRPr="00C87E07">
        <w:rPr>
          <w:rFonts w:ascii="Times New Roman" w:hAnsi="Times New Roman"/>
          <w:lang w:val="es-CO"/>
        </w:rPr>
        <w:t>Fondo</w:t>
      </w:r>
      <w:r w:rsidR="002E5D7F" w:rsidRPr="00C87E07">
        <w:rPr>
          <w:rFonts w:ascii="Times New Roman" w:hAnsi="Times New Roman"/>
          <w:lang w:val="es-CO"/>
        </w:rPr>
        <w:t xml:space="preserve"> de Cooperación para el Desarrollo (FCD)</w:t>
      </w:r>
      <w:r w:rsidR="00EB1577" w:rsidRPr="00C87E07">
        <w:rPr>
          <w:rFonts w:ascii="Times New Roman" w:hAnsi="Times New Roman"/>
          <w:lang w:val="es-CO"/>
        </w:rPr>
        <w:t>.</w:t>
      </w:r>
      <w:r w:rsidR="002E5D7F" w:rsidRPr="00C87E07">
        <w:rPr>
          <w:rFonts w:ascii="Times New Roman" w:hAnsi="Times New Roman"/>
          <w:b/>
          <w:lang w:val="es-CO"/>
        </w:rPr>
        <w:t xml:space="preserve"> </w:t>
      </w:r>
    </w:p>
    <w:p w14:paraId="1D28D358" w14:textId="77777777" w:rsidR="002E5D7F" w:rsidRPr="00C87E07" w:rsidRDefault="002E5D7F" w:rsidP="003D3F19">
      <w:pPr>
        <w:numPr>
          <w:ilvl w:val="0"/>
          <w:numId w:val="5"/>
        </w:numPr>
        <w:spacing w:after="0" w:line="240" w:lineRule="auto"/>
        <w:jc w:val="both"/>
        <w:rPr>
          <w:rFonts w:ascii="Times New Roman" w:hAnsi="Times New Roman"/>
          <w:lang w:val="es-CO"/>
        </w:rPr>
      </w:pPr>
      <w:r w:rsidRPr="00C87E07">
        <w:rPr>
          <w:rFonts w:ascii="Times New Roman" w:hAnsi="Times New Roman"/>
          <w:lang w:val="es-CO"/>
        </w:rPr>
        <w:t xml:space="preserve">Lanzar, </w:t>
      </w:r>
      <w:r w:rsidR="004E7D11" w:rsidRPr="00C87E07">
        <w:rPr>
          <w:rFonts w:ascii="Times New Roman" w:hAnsi="Times New Roman"/>
          <w:lang w:val="es-CO"/>
        </w:rPr>
        <w:t xml:space="preserve">nutrir </w:t>
      </w:r>
      <w:r w:rsidRPr="00C87E07">
        <w:rPr>
          <w:rFonts w:ascii="Times New Roman" w:hAnsi="Times New Roman"/>
          <w:lang w:val="es-CO"/>
        </w:rPr>
        <w:t>y promover la plataforma CooperaNet</w:t>
      </w:r>
    </w:p>
    <w:p w14:paraId="442B2522" w14:textId="77777777" w:rsidR="0050745D" w:rsidRPr="00C87E07" w:rsidRDefault="0050745D" w:rsidP="003D3F19">
      <w:pPr>
        <w:numPr>
          <w:ilvl w:val="0"/>
          <w:numId w:val="5"/>
        </w:numPr>
        <w:spacing w:after="0" w:line="240" w:lineRule="auto"/>
        <w:rPr>
          <w:rFonts w:ascii="Times New Roman" w:hAnsi="Times New Roman"/>
          <w:lang w:val="es-CO"/>
        </w:rPr>
      </w:pPr>
      <w:r w:rsidRPr="00C87E07">
        <w:rPr>
          <w:rFonts w:ascii="Times New Roman" w:hAnsi="Times New Roman"/>
          <w:lang w:val="es-CO"/>
        </w:rPr>
        <w:t>Diseñar e implementar una Estrategia de Comunicación general</w:t>
      </w:r>
    </w:p>
    <w:p w14:paraId="463C67FC" w14:textId="77777777" w:rsidR="00AA0443" w:rsidRPr="00C87E07" w:rsidRDefault="00AA0443" w:rsidP="003D3F19">
      <w:pPr>
        <w:numPr>
          <w:ilvl w:val="0"/>
          <w:numId w:val="5"/>
        </w:numPr>
        <w:spacing w:after="0" w:line="240" w:lineRule="auto"/>
        <w:rPr>
          <w:rFonts w:ascii="Times New Roman" w:hAnsi="Times New Roman"/>
          <w:lang w:val="es-CO"/>
        </w:rPr>
      </w:pPr>
      <w:r w:rsidRPr="00C87E07">
        <w:rPr>
          <w:rFonts w:ascii="Times New Roman" w:hAnsi="Times New Roman"/>
          <w:lang w:val="es-CO"/>
        </w:rPr>
        <w:t xml:space="preserve">Establecer </w:t>
      </w:r>
      <w:r w:rsidR="00B1398B" w:rsidRPr="00C87E07">
        <w:rPr>
          <w:rFonts w:ascii="Times New Roman" w:hAnsi="Times New Roman"/>
          <w:lang w:val="es-CO"/>
        </w:rPr>
        <w:t>lineamientos</w:t>
      </w:r>
      <w:r w:rsidRPr="00C87E07">
        <w:rPr>
          <w:rFonts w:ascii="Times New Roman" w:hAnsi="Times New Roman"/>
          <w:lang w:val="es-CO"/>
        </w:rPr>
        <w:t xml:space="preserve"> para enmarcar las alianzas Multi-Actores</w:t>
      </w:r>
    </w:p>
    <w:p w14:paraId="226D9B7E" w14:textId="418F55DE" w:rsidR="00754616" w:rsidRPr="00754616" w:rsidRDefault="00194358" w:rsidP="003D3F19">
      <w:pPr>
        <w:numPr>
          <w:ilvl w:val="0"/>
          <w:numId w:val="5"/>
        </w:numPr>
        <w:spacing w:after="0" w:line="240" w:lineRule="auto"/>
        <w:jc w:val="both"/>
        <w:rPr>
          <w:rFonts w:ascii="Times New Roman" w:hAnsi="Times New Roman"/>
          <w:lang w:val="es-CO"/>
        </w:rPr>
      </w:pPr>
      <w:r w:rsidRPr="00C87E07">
        <w:rPr>
          <w:rFonts w:ascii="Times New Roman" w:hAnsi="Times New Roman"/>
          <w:lang w:val="es-CO"/>
        </w:rPr>
        <w:t>Búsqueda de complementariedades</w:t>
      </w:r>
      <w:r w:rsidR="00754616">
        <w:rPr>
          <w:rFonts w:ascii="Times New Roman" w:hAnsi="Times New Roman"/>
          <w:lang w:val="es-CO"/>
        </w:rPr>
        <w:t xml:space="preserve"> </w:t>
      </w:r>
      <w:r w:rsidR="00FC0B66" w:rsidRPr="00754616">
        <w:rPr>
          <w:rFonts w:ascii="Times New Roman" w:hAnsi="Times New Roman"/>
          <w:lang w:val="es-CO"/>
        </w:rPr>
        <w:t>con otros esquemas e instituciones de cooperación regional e internacional.</w:t>
      </w:r>
    </w:p>
    <w:p w14:paraId="025FD852" w14:textId="6CD7809B" w:rsidR="0040160F" w:rsidRPr="00C87E07" w:rsidRDefault="005D392E" w:rsidP="003D3F19">
      <w:pPr>
        <w:numPr>
          <w:ilvl w:val="0"/>
          <w:numId w:val="5"/>
        </w:numPr>
        <w:spacing w:after="0" w:line="240" w:lineRule="auto"/>
        <w:jc w:val="both"/>
        <w:rPr>
          <w:rFonts w:ascii="Times New Roman" w:hAnsi="Times New Roman"/>
          <w:lang w:val="es-CO"/>
        </w:rPr>
      </w:pPr>
      <w:r w:rsidRPr="00C87E07">
        <w:rPr>
          <w:rFonts w:ascii="Times New Roman" w:hAnsi="Times New Roman"/>
          <w:lang w:val="es-CO"/>
        </w:rPr>
        <w:t>Alinear los procesos Ministeriales con la Cooperación</w:t>
      </w:r>
    </w:p>
    <w:p w14:paraId="179F9AAA" w14:textId="77777777" w:rsidR="005D392E" w:rsidRPr="00C87E07" w:rsidRDefault="005D392E" w:rsidP="003D3F19">
      <w:pPr>
        <w:spacing w:after="0" w:line="240" w:lineRule="auto"/>
        <w:ind w:left="990"/>
        <w:rPr>
          <w:rFonts w:ascii="Times New Roman" w:hAnsi="Times New Roman"/>
          <w:b/>
          <w:lang w:val="es-CO"/>
        </w:rPr>
      </w:pPr>
    </w:p>
    <w:tbl>
      <w:tblPr>
        <w:tblStyle w:val="TableGrid"/>
        <w:tblW w:w="0" w:type="auto"/>
        <w:tblLook w:val="04A0" w:firstRow="1" w:lastRow="0" w:firstColumn="1" w:lastColumn="0" w:noHBand="0" w:noVBand="1"/>
      </w:tblPr>
      <w:tblGrid>
        <w:gridCol w:w="8020"/>
        <w:gridCol w:w="1680"/>
      </w:tblGrid>
      <w:tr w:rsidR="0008789F" w:rsidRPr="00C87E07" w14:paraId="74EBC181" w14:textId="77777777" w:rsidTr="00F348D0">
        <w:trPr>
          <w:trHeight w:val="315"/>
        </w:trPr>
        <w:tc>
          <w:tcPr>
            <w:tcW w:w="8020" w:type="dxa"/>
            <w:noWrap/>
            <w:hideMark/>
          </w:tcPr>
          <w:p w14:paraId="31FA7F62" w14:textId="77777777" w:rsidR="0008789F" w:rsidRPr="00C87E07" w:rsidRDefault="0008789F" w:rsidP="003D3F19">
            <w:pPr>
              <w:spacing w:after="0" w:line="240" w:lineRule="auto"/>
              <w:ind w:left="270"/>
              <w:rPr>
                <w:rFonts w:ascii="Times New Roman" w:hAnsi="Times New Roman"/>
                <w:b/>
                <w:bCs/>
                <w:lang w:val="es-CO"/>
              </w:rPr>
            </w:pPr>
            <w:r w:rsidRPr="00C87E07">
              <w:rPr>
                <w:rFonts w:ascii="Times New Roman" w:hAnsi="Times New Roman"/>
                <w:b/>
                <w:bCs/>
                <w:lang w:val="es-CO"/>
              </w:rPr>
              <w:t>Nombre</w:t>
            </w:r>
          </w:p>
        </w:tc>
        <w:tc>
          <w:tcPr>
            <w:tcW w:w="1680" w:type="dxa"/>
            <w:noWrap/>
            <w:hideMark/>
          </w:tcPr>
          <w:p w14:paraId="71F591EA" w14:textId="77777777" w:rsidR="0008789F" w:rsidRPr="00C87E07" w:rsidRDefault="0008789F" w:rsidP="003D3F19">
            <w:pPr>
              <w:spacing w:after="0" w:line="240" w:lineRule="auto"/>
              <w:ind w:left="270"/>
              <w:rPr>
                <w:rFonts w:ascii="Times New Roman" w:hAnsi="Times New Roman"/>
                <w:b/>
                <w:bCs/>
                <w:lang w:val="es-CO"/>
              </w:rPr>
            </w:pPr>
            <w:r w:rsidRPr="00C87E07">
              <w:rPr>
                <w:rFonts w:ascii="Times New Roman" w:hAnsi="Times New Roman"/>
                <w:b/>
                <w:bCs/>
                <w:lang w:val="es-CO"/>
              </w:rPr>
              <w:t>Acrónimo</w:t>
            </w:r>
          </w:p>
        </w:tc>
      </w:tr>
      <w:tr w:rsidR="0008789F" w:rsidRPr="00C87E07" w14:paraId="194B3557" w14:textId="77777777" w:rsidTr="00F348D0">
        <w:trPr>
          <w:trHeight w:val="300"/>
        </w:trPr>
        <w:tc>
          <w:tcPr>
            <w:tcW w:w="8020" w:type="dxa"/>
            <w:hideMark/>
          </w:tcPr>
          <w:p w14:paraId="136B69AD" w14:textId="51805B22" w:rsidR="0008789F" w:rsidRPr="00C87E07" w:rsidRDefault="0008789F" w:rsidP="003D3F19">
            <w:pPr>
              <w:spacing w:after="0" w:line="240" w:lineRule="auto"/>
              <w:ind w:left="270"/>
              <w:rPr>
                <w:rFonts w:ascii="Times New Roman" w:hAnsi="Times New Roman"/>
                <w:lang w:val="es-CO"/>
              </w:rPr>
            </w:pPr>
            <w:r w:rsidRPr="00C87E07">
              <w:rPr>
                <w:rFonts w:ascii="Times New Roman" w:hAnsi="Times New Roman"/>
                <w:lang w:val="es-CO"/>
              </w:rPr>
              <w:t xml:space="preserve">Organización de los </w:t>
            </w:r>
            <w:r w:rsidR="005C1E2A" w:rsidRPr="00C87E07">
              <w:rPr>
                <w:rFonts w:ascii="Times New Roman" w:hAnsi="Times New Roman"/>
                <w:lang w:val="es-CO"/>
              </w:rPr>
              <w:t>E</w:t>
            </w:r>
            <w:r w:rsidRPr="00C87E07">
              <w:rPr>
                <w:rFonts w:ascii="Times New Roman" w:hAnsi="Times New Roman"/>
                <w:lang w:val="es-CO"/>
              </w:rPr>
              <w:t>stados Americanos</w:t>
            </w:r>
          </w:p>
        </w:tc>
        <w:tc>
          <w:tcPr>
            <w:tcW w:w="1680" w:type="dxa"/>
            <w:noWrap/>
            <w:hideMark/>
          </w:tcPr>
          <w:p w14:paraId="1AC1D669" w14:textId="77777777" w:rsidR="0008789F" w:rsidRPr="00C87E07" w:rsidRDefault="0008789F" w:rsidP="003D3F19">
            <w:pPr>
              <w:spacing w:after="0" w:line="240" w:lineRule="auto"/>
              <w:ind w:left="270"/>
              <w:rPr>
                <w:rFonts w:ascii="Times New Roman" w:hAnsi="Times New Roman"/>
                <w:lang w:val="es-CO"/>
              </w:rPr>
            </w:pPr>
            <w:r w:rsidRPr="00C87E07">
              <w:rPr>
                <w:rFonts w:ascii="Times New Roman" w:hAnsi="Times New Roman"/>
                <w:lang w:val="es-CO"/>
              </w:rPr>
              <w:t>OEA</w:t>
            </w:r>
          </w:p>
        </w:tc>
      </w:tr>
      <w:tr w:rsidR="0008789F" w:rsidRPr="00C87E07" w14:paraId="720A9C96" w14:textId="77777777" w:rsidTr="00F348D0">
        <w:trPr>
          <w:trHeight w:val="300"/>
        </w:trPr>
        <w:tc>
          <w:tcPr>
            <w:tcW w:w="8020" w:type="dxa"/>
            <w:noWrap/>
            <w:hideMark/>
          </w:tcPr>
          <w:p w14:paraId="754A111C" w14:textId="77777777" w:rsidR="0008789F" w:rsidRPr="00C87E07" w:rsidRDefault="0008789F" w:rsidP="003D3F19">
            <w:pPr>
              <w:spacing w:after="0" w:line="240" w:lineRule="auto"/>
              <w:ind w:left="270"/>
              <w:rPr>
                <w:rFonts w:ascii="Times New Roman" w:hAnsi="Times New Roman"/>
                <w:lang w:val="es-CO"/>
              </w:rPr>
            </w:pPr>
            <w:r w:rsidRPr="00C87E07">
              <w:rPr>
                <w:rFonts w:ascii="Times New Roman" w:hAnsi="Times New Roman"/>
                <w:lang w:val="es-CO"/>
              </w:rPr>
              <w:t xml:space="preserve">Consejo Interamericano para el Desarrollo Integral </w:t>
            </w:r>
          </w:p>
        </w:tc>
        <w:tc>
          <w:tcPr>
            <w:tcW w:w="1680" w:type="dxa"/>
            <w:noWrap/>
            <w:hideMark/>
          </w:tcPr>
          <w:p w14:paraId="357F5C74" w14:textId="77777777" w:rsidR="0008789F" w:rsidRPr="00C87E07" w:rsidRDefault="0008789F" w:rsidP="003D3F19">
            <w:pPr>
              <w:spacing w:after="0" w:line="240" w:lineRule="auto"/>
              <w:ind w:left="270"/>
              <w:rPr>
                <w:rFonts w:ascii="Times New Roman" w:hAnsi="Times New Roman"/>
                <w:lang w:val="es-CO"/>
              </w:rPr>
            </w:pPr>
            <w:r w:rsidRPr="00C87E07">
              <w:rPr>
                <w:rFonts w:ascii="Times New Roman" w:hAnsi="Times New Roman"/>
                <w:lang w:val="es-CO"/>
              </w:rPr>
              <w:t>CIDI</w:t>
            </w:r>
          </w:p>
        </w:tc>
      </w:tr>
      <w:tr w:rsidR="0008789F" w:rsidRPr="00C87E07" w14:paraId="2635BC6D" w14:textId="77777777" w:rsidTr="00F348D0">
        <w:trPr>
          <w:trHeight w:val="300"/>
        </w:trPr>
        <w:tc>
          <w:tcPr>
            <w:tcW w:w="8020" w:type="dxa"/>
            <w:noWrap/>
            <w:hideMark/>
          </w:tcPr>
          <w:p w14:paraId="1C262D84" w14:textId="77777777" w:rsidR="0008789F" w:rsidRPr="00C87E07" w:rsidRDefault="0008789F" w:rsidP="003D3F19">
            <w:pPr>
              <w:spacing w:after="0" w:line="240" w:lineRule="auto"/>
              <w:ind w:left="270"/>
              <w:rPr>
                <w:rFonts w:ascii="Times New Roman" w:hAnsi="Times New Roman"/>
                <w:lang w:val="es-CO"/>
              </w:rPr>
            </w:pPr>
            <w:r w:rsidRPr="00C87E07">
              <w:rPr>
                <w:rFonts w:ascii="Times New Roman" w:hAnsi="Times New Roman"/>
                <w:lang w:val="es-CO"/>
              </w:rPr>
              <w:t xml:space="preserve">Secretaría Interamericana para el Desarrollo Integral </w:t>
            </w:r>
          </w:p>
        </w:tc>
        <w:tc>
          <w:tcPr>
            <w:tcW w:w="1680" w:type="dxa"/>
            <w:noWrap/>
            <w:hideMark/>
          </w:tcPr>
          <w:p w14:paraId="7FACE0B7" w14:textId="77777777" w:rsidR="0008789F" w:rsidRPr="00C87E07" w:rsidRDefault="0008789F" w:rsidP="003D3F19">
            <w:pPr>
              <w:spacing w:after="0" w:line="240" w:lineRule="auto"/>
              <w:ind w:left="270"/>
              <w:rPr>
                <w:rFonts w:ascii="Times New Roman" w:hAnsi="Times New Roman"/>
                <w:lang w:val="es-CO"/>
              </w:rPr>
            </w:pPr>
            <w:r w:rsidRPr="00C87E07">
              <w:rPr>
                <w:rFonts w:ascii="Times New Roman" w:hAnsi="Times New Roman"/>
                <w:lang w:val="es-CO"/>
              </w:rPr>
              <w:t>SEDI</w:t>
            </w:r>
          </w:p>
        </w:tc>
      </w:tr>
      <w:tr w:rsidR="0008789F" w:rsidRPr="00C87E07" w14:paraId="163CCAF4" w14:textId="77777777" w:rsidTr="00F348D0">
        <w:trPr>
          <w:trHeight w:val="300"/>
        </w:trPr>
        <w:tc>
          <w:tcPr>
            <w:tcW w:w="8020" w:type="dxa"/>
            <w:hideMark/>
          </w:tcPr>
          <w:p w14:paraId="768A6375" w14:textId="77777777" w:rsidR="0008789F" w:rsidRPr="00C87E07" w:rsidRDefault="0008789F" w:rsidP="003D3F19">
            <w:pPr>
              <w:spacing w:after="0" w:line="240" w:lineRule="auto"/>
              <w:ind w:left="270"/>
              <w:rPr>
                <w:rFonts w:ascii="Times New Roman" w:hAnsi="Times New Roman"/>
                <w:lang w:val="es-CO"/>
              </w:rPr>
            </w:pPr>
            <w:r w:rsidRPr="00C87E07">
              <w:rPr>
                <w:rFonts w:ascii="Times New Roman" w:hAnsi="Times New Roman"/>
                <w:lang w:val="es-CO"/>
              </w:rPr>
              <w:t xml:space="preserve">Agencia Interamericana para la Cooperación y el Desarrollo </w:t>
            </w:r>
          </w:p>
        </w:tc>
        <w:tc>
          <w:tcPr>
            <w:tcW w:w="1680" w:type="dxa"/>
            <w:noWrap/>
            <w:hideMark/>
          </w:tcPr>
          <w:p w14:paraId="361672BF" w14:textId="77777777" w:rsidR="0008789F" w:rsidRPr="00C87E07" w:rsidRDefault="0008789F" w:rsidP="003D3F19">
            <w:pPr>
              <w:spacing w:after="0" w:line="240" w:lineRule="auto"/>
              <w:ind w:left="270"/>
              <w:rPr>
                <w:rFonts w:ascii="Times New Roman" w:hAnsi="Times New Roman"/>
                <w:lang w:val="es-CO"/>
              </w:rPr>
            </w:pPr>
            <w:r w:rsidRPr="00C87E07">
              <w:rPr>
                <w:rFonts w:ascii="Times New Roman" w:hAnsi="Times New Roman"/>
                <w:lang w:val="es-CO"/>
              </w:rPr>
              <w:t>AICD</w:t>
            </w:r>
          </w:p>
        </w:tc>
      </w:tr>
      <w:tr w:rsidR="0008789F" w:rsidRPr="00C87E07" w14:paraId="2B1B7A0A" w14:textId="77777777" w:rsidTr="00F348D0">
        <w:trPr>
          <w:trHeight w:val="278"/>
        </w:trPr>
        <w:tc>
          <w:tcPr>
            <w:tcW w:w="8020" w:type="dxa"/>
            <w:hideMark/>
          </w:tcPr>
          <w:p w14:paraId="3542A3A5" w14:textId="77777777" w:rsidR="0008789F" w:rsidRPr="00C87E07" w:rsidRDefault="0008789F" w:rsidP="003D3F19">
            <w:pPr>
              <w:spacing w:after="0" w:line="240" w:lineRule="auto"/>
              <w:ind w:left="270"/>
              <w:rPr>
                <w:rFonts w:ascii="Times New Roman" w:hAnsi="Times New Roman"/>
                <w:lang w:val="es-CO"/>
              </w:rPr>
            </w:pPr>
            <w:r w:rsidRPr="00C87E07">
              <w:rPr>
                <w:rFonts w:ascii="Times New Roman" w:hAnsi="Times New Roman"/>
                <w:lang w:val="es-CO"/>
              </w:rPr>
              <w:t xml:space="preserve">Junta Directiva de la Agencia Interamericana para la Cooperación y el Desarrollo </w:t>
            </w:r>
          </w:p>
        </w:tc>
        <w:tc>
          <w:tcPr>
            <w:tcW w:w="1680" w:type="dxa"/>
            <w:noWrap/>
            <w:hideMark/>
          </w:tcPr>
          <w:p w14:paraId="588CC2D6" w14:textId="77777777" w:rsidR="0008789F" w:rsidRPr="00C87E07" w:rsidRDefault="0008789F" w:rsidP="003D3F19">
            <w:pPr>
              <w:spacing w:after="0" w:line="240" w:lineRule="auto"/>
              <w:ind w:left="270"/>
              <w:rPr>
                <w:rFonts w:ascii="Times New Roman" w:hAnsi="Times New Roman"/>
                <w:lang w:val="es-CO"/>
              </w:rPr>
            </w:pPr>
            <w:r w:rsidRPr="00C87E07">
              <w:rPr>
                <w:rFonts w:ascii="Times New Roman" w:hAnsi="Times New Roman"/>
                <w:lang w:val="es-CO"/>
              </w:rPr>
              <w:t>JD/AICD</w:t>
            </w:r>
          </w:p>
        </w:tc>
      </w:tr>
      <w:tr w:rsidR="0008789F" w:rsidRPr="00C87E07" w14:paraId="4F4326DD" w14:textId="77777777" w:rsidTr="00F348D0">
        <w:trPr>
          <w:trHeight w:val="300"/>
        </w:trPr>
        <w:tc>
          <w:tcPr>
            <w:tcW w:w="8020" w:type="dxa"/>
            <w:hideMark/>
          </w:tcPr>
          <w:p w14:paraId="5825937E" w14:textId="77777777" w:rsidR="0008789F" w:rsidRPr="00C87E07" w:rsidRDefault="0008789F" w:rsidP="003D3F19">
            <w:pPr>
              <w:spacing w:after="0" w:line="240" w:lineRule="auto"/>
              <w:ind w:left="270"/>
              <w:rPr>
                <w:rFonts w:ascii="Times New Roman" w:hAnsi="Times New Roman"/>
                <w:lang w:val="es-CO"/>
              </w:rPr>
            </w:pPr>
            <w:r w:rsidRPr="00C87E07">
              <w:rPr>
                <w:rFonts w:ascii="Times New Roman" w:hAnsi="Times New Roman"/>
                <w:lang w:val="es-CO"/>
              </w:rPr>
              <w:t xml:space="preserve">Recuperación de Costos Indirectos </w:t>
            </w:r>
          </w:p>
        </w:tc>
        <w:tc>
          <w:tcPr>
            <w:tcW w:w="1680" w:type="dxa"/>
            <w:noWrap/>
            <w:hideMark/>
          </w:tcPr>
          <w:p w14:paraId="34983C04" w14:textId="77777777" w:rsidR="0008789F" w:rsidRPr="00C87E07" w:rsidRDefault="0008789F" w:rsidP="003D3F19">
            <w:pPr>
              <w:spacing w:after="0" w:line="240" w:lineRule="auto"/>
              <w:ind w:left="270"/>
              <w:rPr>
                <w:rFonts w:ascii="Times New Roman" w:hAnsi="Times New Roman"/>
                <w:lang w:val="es-CO"/>
              </w:rPr>
            </w:pPr>
            <w:r w:rsidRPr="00C87E07">
              <w:rPr>
                <w:rFonts w:ascii="Times New Roman" w:hAnsi="Times New Roman"/>
                <w:lang w:val="es-CO"/>
              </w:rPr>
              <w:t>RCI</w:t>
            </w:r>
          </w:p>
        </w:tc>
      </w:tr>
      <w:tr w:rsidR="0008789F" w:rsidRPr="00C87E07" w14:paraId="6792EDF6" w14:textId="77777777" w:rsidTr="00F348D0">
        <w:trPr>
          <w:trHeight w:val="300"/>
        </w:trPr>
        <w:tc>
          <w:tcPr>
            <w:tcW w:w="8020" w:type="dxa"/>
            <w:hideMark/>
          </w:tcPr>
          <w:p w14:paraId="5E36DC14" w14:textId="77777777" w:rsidR="0008789F" w:rsidRPr="00C87E07" w:rsidRDefault="0008789F" w:rsidP="003D3F19">
            <w:pPr>
              <w:spacing w:after="0" w:line="240" w:lineRule="auto"/>
              <w:ind w:left="270"/>
              <w:rPr>
                <w:rFonts w:ascii="Times New Roman" w:hAnsi="Times New Roman"/>
                <w:lang w:val="es-CO"/>
              </w:rPr>
            </w:pPr>
            <w:r w:rsidRPr="00C87E07">
              <w:rPr>
                <w:rFonts w:ascii="Times New Roman" w:hAnsi="Times New Roman"/>
                <w:lang w:val="es-CO"/>
              </w:rPr>
              <w:t xml:space="preserve">Comisión de Asuntos Administrativos y Presupuestarios </w:t>
            </w:r>
          </w:p>
        </w:tc>
        <w:tc>
          <w:tcPr>
            <w:tcW w:w="1680" w:type="dxa"/>
            <w:noWrap/>
            <w:hideMark/>
          </w:tcPr>
          <w:p w14:paraId="79A5C567" w14:textId="77777777" w:rsidR="0008789F" w:rsidRPr="00C87E07" w:rsidRDefault="0008789F" w:rsidP="003D3F19">
            <w:pPr>
              <w:spacing w:after="0" w:line="240" w:lineRule="auto"/>
              <w:ind w:left="270"/>
              <w:rPr>
                <w:rFonts w:ascii="Times New Roman" w:hAnsi="Times New Roman"/>
                <w:lang w:val="es-CO"/>
              </w:rPr>
            </w:pPr>
            <w:r w:rsidRPr="00C87E07">
              <w:rPr>
                <w:rFonts w:ascii="Times New Roman" w:hAnsi="Times New Roman"/>
                <w:lang w:val="es-CO"/>
              </w:rPr>
              <w:t>CAAP</w:t>
            </w:r>
          </w:p>
        </w:tc>
      </w:tr>
      <w:tr w:rsidR="0008789F" w:rsidRPr="00C87E07" w14:paraId="52E847FF" w14:textId="77777777" w:rsidTr="00F348D0">
        <w:trPr>
          <w:trHeight w:val="300"/>
        </w:trPr>
        <w:tc>
          <w:tcPr>
            <w:tcW w:w="8020" w:type="dxa"/>
            <w:noWrap/>
            <w:hideMark/>
          </w:tcPr>
          <w:p w14:paraId="0ABFE5CA" w14:textId="77777777" w:rsidR="0008789F" w:rsidRPr="00C87E07" w:rsidRDefault="0008789F" w:rsidP="003D3F19">
            <w:pPr>
              <w:spacing w:after="0" w:line="240" w:lineRule="auto"/>
              <w:ind w:left="270"/>
              <w:rPr>
                <w:rFonts w:ascii="Times New Roman" w:hAnsi="Times New Roman"/>
                <w:lang w:val="es-CO"/>
              </w:rPr>
            </w:pPr>
            <w:r w:rsidRPr="00C87E07">
              <w:rPr>
                <w:rFonts w:ascii="Times New Roman" w:hAnsi="Times New Roman"/>
                <w:lang w:val="es-CO"/>
              </w:rPr>
              <w:t xml:space="preserve">Fondo de Cooperación para el Desarrollo </w:t>
            </w:r>
          </w:p>
        </w:tc>
        <w:tc>
          <w:tcPr>
            <w:tcW w:w="1680" w:type="dxa"/>
            <w:noWrap/>
            <w:hideMark/>
          </w:tcPr>
          <w:p w14:paraId="7EDF2DAD" w14:textId="77777777" w:rsidR="0008789F" w:rsidRPr="00C87E07" w:rsidRDefault="0008789F" w:rsidP="003D3F19">
            <w:pPr>
              <w:spacing w:after="0" w:line="240" w:lineRule="auto"/>
              <w:ind w:left="270"/>
              <w:rPr>
                <w:rFonts w:ascii="Times New Roman" w:hAnsi="Times New Roman"/>
                <w:lang w:val="es-CO"/>
              </w:rPr>
            </w:pPr>
            <w:r w:rsidRPr="00C87E07">
              <w:rPr>
                <w:rFonts w:ascii="Times New Roman" w:hAnsi="Times New Roman"/>
                <w:lang w:val="es-CO"/>
              </w:rPr>
              <w:t>FCD</w:t>
            </w:r>
          </w:p>
        </w:tc>
      </w:tr>
      <w:tr w:rsidR="0008789F" w:rsidRPr="00C87E07" w14:paraId="082E5105" w14:textId="77777777" w:rsidTr="00F348D0">
        <w:trPr>
          <w:trHeight w:val="323"/>
        </w:trPr>
        <w:tc>
          <w:tcPr>
            <w:tcW w:w="8020" w:type="dxa"/>
            <w:hideMark/>
          </w:tcPr>
          <w:p w14:paraId="341EEF1C" w14:textId="77777777" w:rsidR="0008789F" w:rsidRPr="00C87E07" w:rsidRDefault="0008789F" w:rsidP="003D3F19">
            <w:pPr>
              <w:spacing w:after="0" w:line="240" w:lineRule="auto"/>
              <w:ind w:left="270"/>
              <w:rPr>
                <w:rFonts w:ascii="Times New Roman" w:hAnsi="Times New Roman"/>
                <w:lang w:val="es-CO"/>
              </w:rPr>
            </w:pPr>
            <w:r w:rsidRPr="00C87E07">
              <w:rPr>
                <w:rFonts w:ascii="Times New Roman" w:hAnsi="Times New Roman"/>
                <w:lang w:val="es-CO"/>
              </w:rPr>
              <w:t>Departamento de Desarrollo Humano, Educación y Empleo</w:t>
            </w:r>
          </w:p>
        </w:tc>
        <w:tc>
          <w:tcPr>
            <w:tcW w:w="1680" w:type="dxa"/>
            <w:noWrap/>
            <w:hideMark/>
          </w:tcPr>
          <w:p w14:paraId="21C7C71C" w14:textId="77777777" w:rsidR="0008789F" w:rsidRPr="00C87E07" w:rsidRDefault="0008789F" w:rsidP="003D3F19">
            <w:pPr>
              <w:spacing w:after="0" w:line="240" w:lineRule="auto"/>
              <w:ind w:left="270"/>
              <w:rPr>
                <w:rFonts w:ascii="Times New Roman" w:hAnsi="Times New Roman"/>
                <w:lang w:val="es-CO"/>
              </w:rPr>
            </w:pPr>
            <w:r w:rsidRPr="00C87E07">
              <w:rPr>
                <w:rFonts w:ascii="Times New Roman" w:hAnsi="Times New Roman"/>
                <w:lang w:val="es-CO"/>
              </w:rPr>
              <w:t>DHDEE</w:t>
            </w:r>
          </w:p>
        </w:tc>
      </w:tr>
    </w:tbl>
    <w:p w14:paraId="73E6EA1B" w14:textId="7C0F8571" w:rsidR="00380749" w:rsidRDefault="00380749" w:rsidP="003D3F19">
      <w:pPr>
        <w:spacing w:after="0" w:line="240" w:lineRule="auto"/>
        <w:ind w:left="990"/>
        <w:rPr>
          <w:rFonts w:ascii="Times New Roman" w:hAnsi="Times New Roman"/>
          <w:lang w:val="es-CO"/>
        </w:rPr>
      </w:pPr>
    </w:p>
    <w:p w14:paraId="447E9BAC" w14:textId="398F2EB0" w:rsidR="00B217D3" w:rsidRDefault="00B217D3" w:rsidP="003D3F19">
      <w:pPr>
        <w:spacing w:after="0" w:line="240" w:lineRule="auto"/>
        <w:rPr>
          <w:rFonts w:ascii="Times New Roman" w:hAnsi="Times New Roman"/>
          <w:lang w:val="es-CO"/>
        </w:rPr>
        <w:sectPr w:rsidR="00B217D3" w:rsidSect="00315606">
          <w:headerReference w:type="default" r:id="rId8"/>
          <w:headerReference w:type="first" r:id="rId9"/>
          <w:type w:val="continuous"/>
          <w:pgSz w:w="12240" w:h="15840"/>
          <w:pgMar w:top="1080" w:right="1080" w:bottom="990" w:left="1080" w:header="450" w:footer="720" w:gutter="0"/>
          <w:pgNumType w:fmt="numberInDash"/>
          <w:cols w:space="720"/>
          <w:titlePg/>
          <w:docGrid w:linePitch="360"/>
        </w:sectPr>
      </w:pPr>
    </w:p>
    <w:tbl>
      <w:tblPr>
        <w:tblStyle w:val="TableGrid"/>
        <w:tblW w:w="5067" w:type="pct"/>
        <w:tblLook w:val="04A0" w:firstRow="1" w:lastRow="0" w:firstColumn="1" w:lastColumn="0" w:noHBand="0" w:noVBand="1"/>
      </w:tblPr>
      <w:tblGrid>
        <w:gridCol w:w="2605"/>
        <w:gridCol w:w="3511"/>
        <w:gridCol w:w="2518"/>
        <w:gridCol w:w="2700"/>
        <w:gridCol w:w="2610"/>
      </w:tblGrid>
      <w:tr w:rsidR="0007444B" w:rsidRPr="0071322F" w14:paraId="2D871808" w14:textId="6CCB5814" w:rsidTr="000867CA">
        <w:trPr>
          <w:trHeight w:val="323"/>
        </w:trPr>
        <w:tc>
          <w:tcPr>
            <w:tcW w:w="5000" w:type="pct"/>
            <w:gridSpan w:val="5"/>
            <w:shd w:val="clear" w:color="auto" w:fill="auto"/>
            <w:hideMark/>
          </w:tcPr>
          <w:p w14:paraId="4FFEF00D" w14:textId="081618E1" w:rsidR="0007444B" w:rsidRPr="00C87E07" w:rsidRDefault="0007444B">
            <w:pPr>
              <w:rPr>
                <w:rFonts w:ascii="Times New Roman" w:hAnsi="Times New Roman"/>
                <w:b/>
                <w:bCs/>
                <w:lang w:val="es-CO"/>
              </w:rPr>
            </w:pPr>
            <w:r w:rsidRPr="00C87E07">
              <w:rPr>
                <w:rFonts w:ascii="Times New Roman" w:hAnsi="Times New Roman"/>
                <w:b/>
                <w:bCs/>
                <w:lang w:val="es-CO"/>
              </w:rPr>
              <w:lastRenderedPageBreak/>
              <w:t>Acción priorizada 1: Fortalecer los métodos de trabajo de la JD/AICD.</w:t>
            </w:r>
          </w:p>
        </w:tc>
      </w:tr>
      <w:tr w:rsidR="0007444B" w:rsidRPr="00C87E07" w14:paraId="091D70A8" w14:textId="68E2CCDF" w:rsidTr="000867CA">
        <w:trPr>
          <w:trHeight w:val="350"/>
        </w:trPr>
        <w:tc>
          <w:tcPr>
            <w:tcW w:w="934" w:type="pct"/>
            <w:shd w:val="clear" w:color="auto" w:fill="auto"/>
            <w:hideMark/>
          </w:tcPr>
          <w:p w14:paraId="32B1A547" w14:textId="77777777" w:rsidR="0007444B" w:rsidRPr="00C87E07" w:rsidRDefault="0007444B">
            <w:pPr>
              <w:rPr>
                <w:rFonts w:ascii="Times New Roman" w:hAnsi="Times New Roman"/>
                <w:b/>
                <w:bCs/>
                <w:lang w:val="es-CO"/>
              </w:rPr>
            </w:pPr>
            <w:r w:rsidRPr="00C87E07">
              <w:rPr>
                <w:rFonts w:ascii="Times New Roman" w:hAnsi="Times New Roman"/>
                <w:b/>
                <w:bCs/>
                <w:lang w:val="es-CO"/>
              </w:rPr>
              <w:t>Tareas:</w:t>
            </w:r>
          </w:p>
        </w:tc>
        <w:tc>
          <w:tcPr>
            <w:tcW w:w="1259" w:type="pct"/>
            <w:shd w:val="clear" w:color="auto" w:fill="auto"/>
            <w:hideMark/>
          </w:tcPr>
          <w:p w14:paraId="641E5B60" w14:textId="72F7F258" w:rsidR="0007444B" w:rsidRPr="00C87E07" w:rsidRDefault="0007444B">
            <w:pPr>
              <w:rPr>
                <w:rFonts w:ascii="Times New Roman" w:hAnsi="Times New Roman"/>
                <w:b/>
                <w:bCs/>
                <w:lang w:val="es-CO"/>
              </w:rPr>
            </w:pPr>
            <w:r w:rsidRPr="00C87E07">
              <w:rPr>
                <w:rFonts w:ascii="Times New Roman" w:hAnsi="Times New Roman"/>
                <w:b/>
                <w:bCs/>
                <w:lang w:val="es-CO"/>
              </w:rPr>
              <w:t>Objetivos:</w:t>
            </w:r>
          </w:p>
        </w:tc>
        <w:tc>
          <w:tcPr>
            <w:tcW w:w="903" w:type="pct"/>
            <w:shd w:val="clear" w:color="auto" w:fill="auto"/>
            <w:hideMark/>
          </w:tcPr>
          <w:p w14:paraId="7BA44FC2" w14:textId="77777777" w:rsidR="0007444B" w:rsidRPr="00C87E07" w:rsidRDefault="0007444B">
            <w:pPr>
              <w:rPr>
                <w:rFonts w:ascii="Times New Roman" w:hAnsi="Times New Roman"/>
                <w:b/>
                <w:bCs/>
                <w:lang w:val="es-CO"/>
              </w:rPr>
            </w:pPr>
            <w:r w:rsidRPr="00C87E07">
              <w:rPr>
                <w:rFonts w:ascii="Times New Roman" w:hAnsi="Times New Roman"/>
                <w:b/>
                <w:bCs/>
                <w:lang w:val="es-CO"/>
              </w:rPr>
              <w:t>Entregable / Indicador:</w:t>
            </w:r>
          </w:p>
        </w:tc>
        <w:tc>
          <w:tcPr>
            <w:tcW w:w="968" w:type="pct"/>
            <w:shd w:val="clear" w:color="auto" w:fill="auto"/>
            <w:hideMark/>
          </w:tcPr>
          <w:p w14:paraId="6994B62B" w14:textId="77777777" w:rsidR="0007444B" w:rsidRPr="00C87E07" w:rsidRDefault="0007444B">
            <w:pPr>
              <w:rPr>
                <w:rFonts w:ascii="Times New Roman" w:hAnsi="Times New Roman"/>
                <w:b/>
                <w:bCs/>
                <w:lang w:val="es-CO"/>
              </w:rPr>
            </w:pPr>
            <w:r w:rsidRPr="00C87E07">
              <w:rPr>
                <w:rFonts w:ascii="Times New Roman" w:hAnsi="Times New Roman"/>
                <w:b/>
                <w:bCs/>
                <w:lang w:val="es-CO"/>
              </w:rPr>
              <w:t>Resultado Esperado:</w:t>
            </w:r>
          </w:p>
        </w:tc>
        <w:tc>
          <w:tcPr>
            <w:tcW w:w="936" w:type="pct"/>
          </w:tcPr>
          <w:p w14:paraId="5FDA6D23" w14:textId="1FA9F907" w:rsidR="0007444B" w:rsidRPr="00C87E07" w:rsidRDefault="00151929">
            <w:pPr>
              <w:rPr>
                <w:rFonts w:ascii="Times New Roman" w:hAnsi="Times New Roman"/>
                <w:b/>
                <w:bCs/>
                <w:lang w:val="es-CO"/>
              </w:rPr>
            </w:pPr>
            <w:r>
              <w:rPr>
                <w:rFonts w:ascii="Times New Roman" w:hAnsi="Times New Roman"/>
                <w:b/>
                <w:bCs/>
                <w:lang w:val="es-CO"/>
              </w:rPr>
              <w:t>Actualización</w:t>
            </w:r>
            <w:r w:rsidR="00BA70BC">
              <w:rPr>
                <w:rFonts w:ascii="Times New Roman" w:hAnsi="Times New Roman"/>
                <w:b/>
                <w:bCs/>
                <w:lang w:val="es-CO"/>
              </w:rPr>
              <w:t xml:space="preserve"> 15/03/21:</w:t>
            </w:r>
          </w:p>
        </w:tc>
      </w:tr>
      <w:tr w:rsidR="00EE7B6C" w:rsidRPr="0071322F" w14:paraId="31965644" w14:textId="79ACD11C" w:rsidTr="000867CA">
        <w:trPr>
          <w:trHeight w:val="2168"/>
        </w:trPr>
        <w:tc>
          <w:tcPr>
            <w:tcW w:w="934" w:type="pct"/>
            <w:shd w:val="clear" w:color="auto" w:fill="auto"/>
          </w:tcPr>
          <w:p w14:paraId="49779920" w14:textId="38B65D27" w:rsidR="00EE7B6C" w:rsidRPr="00C87E07" w:rsidRDefault="00EE7B6C" w:rsidP="001253B4">
            <w:pPr>
              <w:rPr>
                <w:rFonts w:ascii="Times New Roman" w:hAnsi="Times New Roman"/>
                <w:b/>
                <w:bCs/>
                <w:lang w:val="es-CO"/>
              </w:rPr>
            </w:pPr>
            <w:r w:rsidRPr="00C87E07">
              <w:rPr>
                <w:rFonts w:ascii="Times New Roman" w:hAnsi="Times New Roman"/>
                <w:b/>
                <w:bCs/>
                <w:lang w:val="es-CO"/>
              </w:rPr>
              <w:t>1.0.</w:t>
            </w:r>
            <w:r w:rsidRPr="00C87E07">
              <w:rPr>
                <w:rFonts w:ascii="Times New Roman" w:hAnsi="Times New Roman"/>
                <w:bCs/>
                <w:lang w:val="es-CO"/>
              </w:rPr>
              <w:t xml:space="preserve"> Definir mecanismo para garantizar la continuidad del trabajo, </w:t>
            </w:r>
            <w:r w:rsidRPr="00C87E07">
              <w:rPr>
                <w:rFonts w:ascii="Times New Roman" w:hAnsi="Times New Roman"/>
                <w:lang w:val="es-CO"/>
              </w:rPr>
              <w:t>fortaleciendo el uso de las nuevas tecnologías al interior de la JD/AICD</w:t>
            </w:r>
            <w:r w:rsidRPr="00C87E07">
              <w:rPr>
                <w:rFonts w:ascii="Times New Roman" w:hAnsi="Times New Roman"/>
                <w:bCs/>
                <w:lang w:val="es-CO"/>
              </w:rPr>
              <w:t>.</w:t>
            </w:r>
          </w:p>
        </w:tc>
        <w:tc>
          <w:tcPr>
            <w:tcW w:w="1259" w:type="pct"/>
            <w:shd w:val="clear" w:color="auto" w:fill="auto"/>
          </w:tcPr>
          <w:p w14:paraId="0C3A2E08" w14:textId="783DF52E" w:rsidR="00EE7B6C" w:rsidRPr="00C87E07" w:rsidRDefault="00EE7B6C" w:rsidP="001253B4">
            <w:pPr>
              <w:rPr>
                <w:rFonts w:ascii="Times New Roman" w:hAnsi="Times New Roman"/>
                <w:lang w:val="es-CO"/>
              </w:rPr>
            </w:pPr>
            <w:r w:rsidRPr="00C87E07">
              <w:rPr>
                <w:rFonts w:ascii="Times New Roman" w:hAnsi="Times New Roman"/>
                <w:bCs/>
                <w:lang w:val="es-CO"/>
              </w:rPr>
              <w:t xml:space="preserve">1.0.1. Definir plataformas y procesos para continuar realizando reuniones, consultas y tomando decisiones vinculantes de forma remota. </w:t>
            </w:r>
          </w:p>
        </w:tc>
        <w:tc>
          <w:tcPr>
            <w:tcW w:w="903" w:type="pct"/>
            <w:shd w:val="clear" w:color="auto" w:fill="auto"/>
          </w:tcPr>
          <w:p w14:paraId="2F048E5F" w14:textId="77777777" w:rsidR="00EE7B6C" w:rsidRPr="00C87E07" w:rsidRDefault="00EE7B6C">
            <w:pPr>
              <w:rPr>
                <w:rFonts w:ascii="Times New Roman" w:hAnsi="Times New Roman"/>
                <w:lang w:val="es-CO"/>
              </w:rPr>
            </w:pPr>
            <w:r w:rsidRPr="00C87E07">
              <w:rPr>
                <w:rFonts w:ascii="Times New Roman" w:hAnsi="Times New Roman"/>
                <w:bCs/>
                <w:lang w:val="es-CO"/>
              </w:rPr>
              <w:t>La Secretaría hará recomendaciones sobre plataformas y procesos a la Presidencia. La Presidencia realizará consultas con los Estados miembros y tomará una decisión.</w:t>
            </w:r>
          </w:p>
        </w:tc>
        <w:tc>
          <w:tcPr>
            <w:tcW w:w="968" w:type="pct"/>
            <w:shd w:val="clear" w:color="auto" w:fill="auto"/>
          </w:tcPr>
          <w:p w14:paraId="5CD6A575" w14:textId="77777777" w:rsidR="00EE7B6C" w:rsidRPr="00C87E07" w:rsidRDefault="00EE7B6C" w:rsidP="00533A20">
            <w:pPr>
              <w:rPr>
                <w:rFonts w:ascii="Times New Roman" w:hAnsi="Times New Roman"/>
                <w:lang w:val="es-CO"/>
              </w:rPr>
            </w:pPr>
            <w:r w:rsidRPr="00C87E07">
              <w:rPr>
                <w:rFonts w:ascii="Times New Roman" w:hAnsi="Times New Roman"/>
                <w:bCs/>
                <w:lang w:val="es-CO"/>
              </w:rPr>
              <w:t>El Presidente toma una decisión sobre el nuevo mecanismo de trabajo remoto. *La JD/AICD tiene la capacidad dentro de sus Estatutos para comenzar a trabajar y a tomar decisiones vinculantes de inmediato.</w:t>
            </w:r>
          </w:p>
        </w:tc>
        <w:tc>
          <w:tcPr>
            <w:tcW w:w="936" w:type="pct"/>
            <w:vMerge w:val="restart"/>
          </w:tcPr>
          <w:p w14:paraId="0A99E6B3" w14:textId="77777777" w:rsidR="00847F22" w:rsidRPr="00FB5E7A" w:rsidRDefault="00847F22" w:rsidP="00847F22">
            <w:pPr>
              <w:numPr>
                <w:ilvl w:val="0"/>
                <w:numId w:val="23"/>
              </w:numPr>
              <w:tabs>
                <w:tab w:val="left" w:pos="334"/>
                <w:tab w:val="left" w:pos="472"/>
              </w:tabs>
              <w:autoSpaceDE w:val="0"/>
              <w:autoSpaceDN w:val="0"/>
              <w:adjustRightInd w:val="0"/>
              <w:spacing w:after="0" w:line="240" w:lineRule="auto"/>
              <w:ind w:left="34" w:firstLine="33"/>
              <w:rPr>
                <w:rFonts w:ascii="Times New Roman" w:hAnsi="Times New Roman"/>
                <w:kern w:val="24"/>
                <w:sz w:val="24"/>
                <w:szCs w:val="24"/>
                <w:lang w:val="es-ES"/>
              </w:rPr>
            </w:pPr>
            <w:r w:rsidRPr="00FB5E7A">
              <w:rPr>
                <w:rFonts w:ascii="Times New Roman" w:hAnsi="Times New Roman"/>
                <w:kern w:val="24"/>
                <w:sz w:val="24"/>
                <w:szCs w:val="24"/>
                <w:lang w:val="es-ES"/>
              </w:rPr>
              <w:t xml:space="preserve">La Secretaría elaboró y presentó el documento </w:t>
            </w:r>
            <w:r w:rsidRPr="00FB5E7A">
              <w:rPr>
                <w:rFonts w:ascii="Times New Roman" w:hAnsi="Times New Roman"/>
                <w:i/>
                <w:iCs/>
                <w:kern w:val="24"/>
                <w:sz w:val="24"/>
                <w:szCs w:val="24"/>
                <w:lang w:val="es-ES"/>
              </w:rPr>
              <w:t xml:space="preserve">“Proyecto de calendario y plan de trabajo 2021 de la JD/AICD” </w:t>
            </w:r>
            <w:r w:rsidRPr="00FB5E7A">
              <w:rPr>
                <w:rFonts w:ascii="Times New Roman" w:hAnsi="Times New Roman"/>
                <w:kern w:val="24"/>
                <w:sz w:val="24"/>
                <w:szCs w:val="24"/>
                <w:lang w:val="es-ES"/>
              </w:rPr>
              <w:t>(AICD/JD/doc.186 /21) en el que se describen las reuniones formales e informales de la Junta a lo largo del año.</w:t>
            </w:r>
          </w:p>
          <w:p w14:paraId="4D340EF5" w14:textId="77777777" w:rsidR="00847F22" w:rsidRPr="00FB5E7A" w:rsidRDefault="00847F22" w:rsidP="00847F22">
            <w:pPr>
              <w:tabs>
                <w:tab w:val="left" w:pos="334"/>
                <w:tab w:val="left" w:pos="472"/>
              </w:tabs>
              <w:autoSpaceDE w:val="0"/>
              <w:autoSpaceDN w:val="0"/>
              <w:adjustRightInd w:val="0"/>
              <w:spacing w:after="0" w:line="240" w:lineRule="auto"/>
              <w:ind w:left="34" w:firstLine="33"/>
              <w:rPr>
                <w:rFonts w:ascii="Times New Roman" w:hAnsi="Times New Roman"/>
                <w:kern w:val="24"/>
                <w:sz w:val="24"/>
                <w:szCs w:val="24"/>
                <w:lang w:val="es-ES"/>
              </w:rPr>
            </w:pPr>
          </w:p>
          <w:p w14:paraId="612EB41B" w14:textId="77777777" w:rsidR="00847F22" w:rsidRPr="00FB5E7A" w:rsidRDefault="00847F22" w:rsidP="00847F22">
            <w:pPr>
              <w:numPr>
                <w:ilvl w:val="0"/>
                <w:numId w:val="23"/>
              </w:numPr>
              <w:tabs>
                <w:tab w:val="left" w:pos="334"/>
                <w:tab w:val="left" w:pos="472"/>
              </w:tabs>
              <w:autoSpaceDE w:val="0"/>
              <w:autoSpaceDN w:val="0"/>
              <w:adjustRightInd w:val="0"/>
              <w:spacing w:after="0" w:line="240" w:lineRule="auto"/>
              <w:ind w:left="34" w:firstLine="33"/>
              <w:rPr>
                <w:rFonts w:ascii="Times New Roman" w:hAnsi="Times New Roman"/>
                <w:kern w:val="24"/>
                <w:sz w:val="24"/>
                <w:szCs w:val="24"/>
                <w:lang w:val="es-CO"/>
              </w:rPr>
            </w:pPr>
            <w:r w:rsidRPr="00FB5E7A">
              <w:rPr>
                <w:rFonts w:ascii="Times New Roman" w:hAnsi="Times New Roman"/>
                <w:kern w:val="24"/>
                <w:sz w:val="24"/>
                <w:szCs w:val="24"/>
                <w:lang w:val="es-ES"/>
              </w:rPr>
              <w:t>Otros documentos formateados, clasificados y distribuidos de acuerdo con las normas institucionales y procedimientos estándar de los documentos oficiales de la OEA.</w:t>
            </w:r>
          </w:p>
          <w:p w14:paraId="57C04740" w14:textId="77777777" w:rsidR="00847F22" w:rsidRPr="00FB5E7A" w:rsidRDefault="00847F22" w:rsidP="00847F22">
            <w:pPr>
              <w:tabs>
                <w:tab w:val="left" w:pos="334"/>
                <w:tab w:val="left" w:pos="472"/>
              </w:tabs>
              <w:autoSpaceDE w:val="0"/>
              <w:autoSpaceDN w:val="0"/>
              <w:adjustRightInd w:val="0"/>
              <w:spacing w:after="0" w:line="240" w:lineRule="auto"/>
              <w:ind w:left="34" w:firstLine="33"/>
              <w:rPr>
                <w:rFonts w:ascii="Times New Roman" w:hAnsi="Times New Roman"/>
                <w:kern w:val="24"/>
                <w:sz w:val="24"/>
                <w:szCs w:val="24"/>
                <w:lang w:val="es-CO"/>
              </w:rPr>
            </w:pPr>
          </w:p>
          <w:p w14:paraId="75DF0F30" w14:textId="77777777" w:rsidR="00EE7B6C" w:rsidRPr="00C87E07" w:rsidRDefault="00EE7B6C" w:rsidP="00533A20">
            <w:pPr>
              <w:rPr>
                <w:rFonts w:ascii="Times New Roman" w:hAnsi="Times New Roman"/>
                <w:bCs/>
                <w:lang w:val="es-CO"/>
              </w:rPr>
            </w:pPr>
          </w:p>
        </w:tc>
      </w:tr>
      <w:tr w:rsidR="00EE7B6C" w:rsidRPr="0071322F" w14:paraId="3022CEB2" w14:textId="76117670" w:rsidTr="000867CA">
        <w:trPr>
          <w:trHeight w:val="719"/>
        </w:trPr>
        <w:tc>
          <w:tcPr>
            <w:tcW w:w="934" w:type="pct"/>
            <w:vMerge w:val="restart"/>
            <w:shd w:val="clear" w:color="auto" w:fill="auto"/>
            <w:hideMark/>
          </w:tcPr>
          <w:p w14:paraId="6F784398" w14:textId="784E731C" w:rsidR="00EE7B6C" w:rsidRPr="00C87E07" w:rsidRDefault="00EE7B6C">
            <w:pPr>
              <w:rPr>
                <w:rFonts w:ascii="Times New Roman" w:hAnsi="Times New Roman"/>
                <w:b/>
                <w:bCs/>
                <w:lang w:val="es-CO"/>
              </w:rPr>
            </w:pPr>
            <w:r w:rsidRPr="00C87E07">
              <w:rPr>
                <w:rFonts w:ascii="Times New Roman" w:hAnsi="Times New Roman"/>
                <w:b/>
                <w:bCs/>
                <w:lang w:val="es-CO"/>
              </w:rPr>
              <w:t xml:space="preserve">1.1. </w:t>
            </w:r>
            <w:r w:rsidRPr="00C87E07">
              <w:rPr>
                <w:rFonts w:ascii="Times New Roman" w:hAnsi="Times New Roman"/>
                <w:lang w:val="es-CO"/>
              </w:rPr>
              <w:t xml:space="preserve">Crear metodología de trabajo modelo para la JD/AICD. </w:t>
            </w:r>
          </w:p>
        </w:tc>
        <w:tc>
          <w:tcPr>
            <w:tcW w:w="1259" w:type="pct"/>
            <w:shd w:val="clear" w:color="auto" w:fill="auto"/>
            <w:hideMark/>
          </w:tcPr>
          <w:p w14:paraId="73C616B3" w14:textId="2CC2A335" w:rsidR="00EE7B6C" w:rsidRPr="00C87E07" w:rsidRDefault="00EE7B6C">
            <w:pPr>
              <w:rPr>
                <w:rFonts w:ascii="Times New Roman" w:hAnsi="Times New Roman"/>
                <w:lang w:val="es-CO"/>
              </w:rPr>
            </w:pPr>
            <w:r w:rsidRPr="00C87E07">
              <w:rPr>
                <w:rFonts w:ascii="Times New Roman" w:hAnsi="Times New Roman"/>
                <w:lang w:val="es-CO"/>
              </w:rPr>
              <w:t>1.1.1. Crear modelo de calendario anual de trabajo para la JD/AICD.</w:t>
            </w:r>
          </w:p>
        </w:tc>
        <w:tc>
          <w:tcPr>
            <w:tcW w:w="903" w:type="pct"/>
            <w:shd w:val="clear" w:color="auto" w:fill="auto"/>
            <w:hideMark/>
          </w:tcPr>
          <w:p w14:paraId="1161D43B" w14:textId="77777777" w:rsidR="00EE7B6C" w:rsidRPr="00C87E07" w:rsidRDefault="00EE7B6C">
            <w:pPr>
              <w:rPr>
                <w:rFonts w:ascii="Times New Roman" w:hAnsi="Times New Roman"/>
                <w:lang w:val="es-CO"/>
              </w:rPr>
            </w:pPr>
            <w:r w:rsidRPr="00C87E07">
              <w:rPr>
                <w:rFonts w:ascii="Times New Roman" w:hAnsi="Times New Roman"/>
                <w:lang w:val="es-CO"/>
              </w:rPr>
              <w:t>1 Modelo de calendario anual de la JD/AICD.</w:t>
            </w:r>
          </w:p>
        </w:tc>
        <w:tc>
          <w:tcPr>
            <w:tcW w:w="968" w:type="pct"/>
            <w:shd w:val="clear" w:color="auto" w:fill="auto"/>
            <w:hideMark/>
          </w:tcPr>
          <w:p w14:paraId="71179101" w14:textId="77777777" w:rsidR="00EE7B6C" w:rsidRPr="00C87E07" w:rsidRDefault="00EE7B6C">
            <w:pPr>
              <w:rPr>
                <w:rFonts w:ascii="Times New Roman" w:hAnsi="Times New Roman"/>
                <w:lang w:val="es-CO"/>
              </w:rPr>
            </w:pPr>
            <w:r w:rsidRPr="00C87E07">
              <w:rPr>
                <w:rFonts w:ascii="Times New Roman" w:hAnsi="Times New Roman"/>
                <w:lang w:val="es-CO"/>
              </w:rPr>
              <w:t>Metodología de trabajo modelo aprobada por la JD/AICD.</w:t>
            </w:r>
          </w:p>
        </w:tc>
        <w:tc>
          <w:tcPr>
            <w:tcW w:w="936" w:type="pct"/>
            <w:vMerge/>
          </w:tcPr>
          <w:p w14:paraId="16F98E77" w14:textId="77777777" w:rsidR="00EE7B6C" w:rsidRPr="00C87E07" w:rsidRDefault="00EE7B6C">
            <w:pPr>
              <w:rPr>
                <w:rFonts w:ascii="Times New Roman" w:hAnsi="Times New Roman"/>
                <w:lang w:val="es-CO"/>
              </w:rPr>
            </w:pPr>
          </w:p>
        </w:tc>
      </w:tr>
      <w:tr w:rsidR="00EE7B6C" w:rsidRPr="0071322F" w14:paraId="49D10010" w14:textId="4C73E5D7" w:rsidTr="000867CA">
        <w:trPr>
          <w:trHeight w:val="1466"/>
        </w:trPr>
        <w:tc>
          <w:tcPr>
            <w:tcW w:w="934" w:type="pct"/>
            <w:vMerge/>
            <w:shd w:val="clear" w:color="auto" w:fill="auto"/>
            <w:hideMark/>
          </w:tcPr>
          <w:p w14:paraId="42605BE7" w14:textId="77777777" w:rsidR="00EE7B6C" w:rsidRPr="00C87E07" w:rsidRDefault="00EE7B6C">
            <w:pPr>
              <w:rPr>
                <w:rFonts w:ascii="Times New Roman" w:hAnsi="Times New Roman"/>
                <w:b/>
                <w:bCs/>
                <w:lang w:val="es-CO"/>
              </w:rPr>
            </w:pPr>
          </w:p>
        </w:tc>
        <w:tc>
          <w:tcPr>
            <w:tcW w:w="1259" w:type="pct"/>
            <w:shd w:val="clear" w:color="auto" w:fill="auto"/>
            <w:hideMark/>
          </w:tcPr>
          <w:p w14:paraId="05B29393" w14:textId="5C5684FF" w:rsidR="00EE7B6C" w:rsidRPr="00C87E07" w:rsidRDefault="00EE7B6C">
            <w:pPr>
              <w:rPr>
                <w:rFonts w:ascii="Times New Roman" w:hAnsi="Times New Roman"/>
                <w:lang w:val="es-CO"/>
              </w:rPr>
            </w:pPr>
            <w:r w:rsidRPr="00C87E07">
              <w:rPr>
                <w:rFonts w:ascii="Times New Roman" w:hAnsi="Times New Roman"/>
                <w:lang w:val="es-CO"/>
              </w:rPr>
              <w:t>1.1.2. Crear plantillas para documentos recurrentes de la JD/AICD (presentación del estado de cuenta, estado de implementación, nuevos proyectos, etc.)</w:t>
            </w:r>
          </w:p>
        </w:tc>
        <w:tc>
          <w:tcPr>
            <w:tcW w:w="903" w:type="pct"/>
            <w:shd w:val="clear" w:color="auto" w:fill="auto"/>
            <w:hideMark/>
          </w:tcPr>
          <w:p w14:paraId="2ED41C09" w14:textId="66A90EB3" w:rsidR="00EE7B6C" w:rsidRPr="00C87E07" w:rsidRDefault="00EE7B6C">
            <w:pPr>
              <w:rPr>
                <w:rFonts w:ascii="Times New Roman" w:hAnsi="Times New Roman"/>
                <w:lang w:val="es-CO"/>
              </w:rPr>
            </w:pPr>
            <w:r w:rsidRPr="00C87E07">
              <w:rPr>
                <w:rFonts w:ascii="Times New Roman" w:hAnsi="Times New Roman"/>
                <w:lang w:val="es-CO"/>
              </w:rPr>
              <w:t>Plantillas (número de plantillas a ser definidos).</w:t>
            </w:r>
          </w:p>
        </w:tc>
        <w:tc>
          <w:tcPr>
            <w:tcW w:w="968" w:type="pct"/>
            <w:shd w:val="clear" w:color="auto" w:fill="auto"/>
            <w:hideMark/>
          </w:tcPr>
          <w:p w14:paraId="1A445080" w14:textId="77777777" w:rsidR="00EE7B6C" w:rsidRPr="00C87E07" w:rsidRDefault="00EE7B6C">
            <w:pPr>
              <w:rPr>
                <w:rFonts w:ascii="Times New Roman" w:hAnsi="Times New Roman"/>
                <w:lang w:val="es-CO"/>
              </w:rPr>
            </w:pPr>
            <w:r w:rsidRPr="00C87E07">
              <w:rPr>
                <w:rFonts w:ascii="Times New Roman" w:hAnsi="Times New Roman"/>
                <w:lang w:val="es-CO"/>
              </w:rPr>
              <w:t>Adopción de los estándares de referencia de la OEA en los documentos de la JD/AICD.</w:t>
            </w:r>
          </w:p>
        </w:tc>
        <w:tc>
          <w:tcPr>
            <w:tcW w:w="936" w:type="pct"/>
            <w:vMerge/>
          </w:tcPr>
          <w:p w14:paraId="154558C0" w14:textId="77777777" w:rsidR="00EE7B6C" w:rsidRPr="00C87E07" w:rsidRDefault="00EE7B6C">
            <w:pPr>
              <w:rPr>
                <w:rFonts w:ascii="Times New Roman" w:hAnsi="Times New Roman"/>
                <w:lang w:val="es-CO"/>
              </w:rPr>
            </w:pPr>
          </w:p>
        </w:tc>
      </w:tr>
      <w:tr w:rsidR="00EE7B6C" w:rsidRPr="0071322F" w14:paraId="30CDFDA0" w14:textId="2209C555" w:rsidTr="000867CA">
        <w:trPr>
          <w:trHeight w:val="1050"/>
        </w:trPr>
        <w:tc>
          <w:tcPr>
            <w:tcW w:w="934" w:type="pct"/>
            <w:shd w:val="clear" w:color="auto" w:fill="auto"/>
            <w:hideMark/>
          </w:tcPr>
          <w:p w14:paraId="71FC3D2D" w14:textId="716D2A63" w:rsidR="00EE7B6C" w:rsidRPr="00C87E07" w:rsidRDefault="00EE7B6C">
            <w:pPr>
              <w:rPr>
                <w:rFonts w:ascii="Times New Roman" w:hAnsi="Times New Roman"/>
                <w:b/>
                <w:bCs/>
                <w:lang w:val="es-CO"/>
              </w:rPr>
            </w:pPr>
            <w:r w:rsidRPr="00C87E07">
              <w:rPr>
                <w:rFonts w:ascii="Times New Roman" w:hAnsi="Times New Roman"/>
                <w:b/>
                <w:bCs/>
                <w:lang w:val="es-CO"/>
              </w:rPr>
              <w:t xml:space="preserve">1.2. </w:t>
            </w:r>
            <w:r w:rsidRPr="00C87E07">
              <w:rPr>
                <w:rFonts w:ascii="Times New Roman" w:hAnsi="Times New Roman"/>
                <w:lang w:val="es-CO"/>
              </w:rPr>
              <w:t xml:space="preserve">Implementar la metodología de trabajo de la JD/AICD. </w:t>
            </w:r>
          </w:p>
        </w:tc>
        <w:tc>
          <w:tcPr>
            <w:tcW w:w="1259" w:type="pct"/>
            <w:shd w:val="clear" w:color="auto" w:fill="auto"/>
            <w:hideMark/>
          </w:tcPr>
          <w:p w14:paraId="74C3DF9B" w14:textId="5088B706" w:rsidR="00EE7B6C" w:rsidRPr="00C87E07" w:rsidRDefault="00EE7B6C">
            <w:pPr>
              <w:rPr>
                <w:rFonts w:ascii="Times New Roman" w:hAnsi="Times New Roman"/>
                <w:lang w:val="es-CO"/>
              </w:rPr>
            </w:pPr>
            <w:r w:rsidRPr="00C87E07">
              <w:rPr>
                <w:rFonts w:ascii="Times New Roman" w:hAnsi="Times New Roman"/>
                <w:lang w:val="es-CO"/>
              </w:rPr>
              <w:t>1.2.1. Capacitación de funcionarios de la secretaría técnica de la JD/AICD en la metodología de trabajo modelo.</w:t>
            </w:r>
          </w:p>
        </w:tc>
        <w:tc>
          <w:tcPr>
            <w:tcW w:w="903" w:type="pct"/>
            <w:shd w:val="clear" w:color="auto" w:fill="auto"/>
            <w:hideMark/>
          </w:tcPr>
          <w:p w14:paraId="19662BAE" w14:textId="77777777" w:rsidR="00EE7B6C" w:rsidRPr="00C87E07" w:rsidRDefault="00EE7B6C">
            <w:pPr>
              <w:rPr>
                <w:rFonts w:ascii="Times New Roman" w:hAnsi="Times New Roman"/>
                <w:lang w:val="es-CO"/>
              </w:rPr>
            </w:pPr>
            <w:r w:rsidRPr="00C87E07">
              <w:rPr>
                <w:rFonts w:ascii="Times New Roman" w:hAnsi="Times New Roman"/>
                <w:lang w:val="es-CO"/>
              </w:rPr>
              <w:t>Al menos 3 sesiones de capacitación ofrecidas a funcionarios de la Secretaría Técnica en el trimestre siguiente a la aprobación de la metodología.</w:t>
            </w:r>
          </w:p>
        </w:tc>
        <w:tc>
          <w:tcPr>
            <w:tcW w:w="968" w:type="pct"/>
            <w:shd w:val="clear" w:color="auto" w:fill="auto"/>
            <w:hideMark/>
          </w:tcPr>
          <w:p w14:paraId="7FA67B1D" w14:textId="77777777" w:rsidR="00EE7B6C" w:rsidRPr="00C87E07" w:rsidRDefault="00EE7B6C">
            <w:pPr>
              <w:rPr>
                <w:rFonts w:ascii="Times New Roman" w:hAnsi="Times New Roman"/>
                <w:lang w:val="es-CO"/>
              </w:rPr>
            </w:pPr>
            <w:r w:rsidRPr="00C87E07">
              <w:rPr>
                <w:rFonts w:ascii="Times New Roman" w:hAnsi="Times New Roman"/>
                <w:lang w:val="es-CO"/>
              </w:rPr>
              <w:t>Funcionarios capacitados.</w:t>
            </w:r>
            <w:r w:rsidRPr="00C87E07">
              <w:rPr>
                <w:rFonts w:ascii="Times New Roman" w:hAnsi="Times New Roman"/>
                <w:lang w:val="es-CO"/>
              </w:rPr>
              <w:br/>
              <w:t>Metodología implementada en la rutina de trabajo de la JD/AICD.</w:t>
            </w:r>
          </w:p>
        </w:tc>
        <w:tc>
          <w:tcPr>
            <w:tcW w:w="936" w:type="pct"/>
            <w:vMerge/>
          </w:tcPr>
          <w:p w14:paraId="6BE424A5" w14:textId="77777777" w:rsidR="00EE7B6C" w:rsidRPr="00C87E07" w:rsidRDefault="00EE7B6C">
            <w:pPr>
              <w:rPr>
                <w:rFonts w:ascii="Times New Roman" w:hAnsi="Times New Roman"/>
                <w:lang w:val="es-CO"/>
              </w:rPr>
            </w:pPr>
          </w:p>
        </w:tc>
      </w:tr>
    </w:tbl>
    <w:p w14:paraId="37E8AD69" w14:textId="77777777" w:rsidR="000867CA" w:rsidRPr="001E1585" w:rsidRDefault="000867CA">
      <w:pPr>
        <w:rPr>
          <w:lang w:val="es-US"/>
        </w:rPr>
      </w:pPr>
      <w:r w:rsidRPr="001E1585">
        <w:rPr>
          <w:lang w:val="es-US"/>
        </w:rPr>
        <w:br w:type="page"/>
      </w:r>
    </w:p>
    <w:tbl>
      <w:tblPr>
        <w:tblStyle w:val="TableGrid"/>
        <w:tblW w:w="5067" w:type="pct"/>
        <w:tblLook w:val="04A0" w:firstRow="1" w:lastRow="0" w:firstColumn="1" w:lastColumn="0" w:noHBand="0" w:noVBand="1"/>
      </w:tblPr>
      <w:tblGrid>
        <w:gridCol w:w="2605"/>
        <w:gridCol w:w="3511"/>
        <w:gridCol w:w="2518"/>
        <w:gridCol w:w="2700"/>
        <w:gridCol w:w="2610"/>
      </w:tblGrid>
      <w:tr w:rsidR="00EE7B6C" w:rsidRPr="0071322F" w14:paraId="03EBA155" w14:textId="061BC9C1" w:rsidTr="000867CA">
        <w:trPr>
          <w:trHeight w:val="1050"/>
        </w:trPr>
        <w:tc>
          <w:tcPr>
            <w:tcW w:w="934" w:type="pct"/>
            <w:shd w:val="clear" w:color="auto" w:fill="auto"/>
          </w:tcPr>
          <w:p w14:paraId="082D5A69" w14:textId="7AA21ABD" w:rsidR="00EE7B6C" w:rsidRPr="00C87E07" w:rsidRDefault="00EE7B6C" w:rsidP="00280E8B">
            <w:pPr>
              <w:rPr>
                <w:rFonts w:ascii="Times New Roman" w:hAnsi="Times New Roman"/>
                <w:b/>
                <w:bCs/>
                <w:lang w:val="es-CO"/>
              </w:rPr>
            </w:pPr>
            <w:r w:rsidRPr="00C87E07">
              <w:rPr>
                <w:rFonts w:ascii="Times New Roman" w:hAnsi="Times New Roman"/>
                <w:b/>
                <w:bCs/>
                <w:lang w:val="es-CO"/>
              </w:rPr>
              <w:lastRenderedPageBreak/>
              <w:t xml:space="preserve">1.3. </w:t>
            </w:r>
            <w:r w:rsidRPr="00C87E07">
              <w:rPr>
                <w:rFonts w:ascii="Times New Roman" w:hAnsi="Times New Roman"/>
                <w:lang w:val="es-CO"/>
              </w:rPr>
              <w:t>Realizar un análisis para identificar el valor agregado, las fortalezas y debilidades del aparato institucional de cooperación de la OEA.</w:t>
            </w:r>
          </w:p>
        </w:tc>
        <w:tc>
          <w:tcPr>
            <w:tcW w:w="1259" w:type="pct"/>
            <w:shd w:val="clear" w:color="auto" w:fill="auto"/>
          </w:tcPr>
          <w:p w14:paraId="4EF211F6" w14:textId="2BFAFFDA" w:rsidR="00EE7B6C" w:rsidRPr="00C87E07" w:rsidRDefault="00EE7B6C" w:rsidP="00280E8B">
            <w:pPr>
              <w:rPr>
                <w:rFonts w:ascii="Times New Roman" w:hAnsi="Times New Roman"/>
                <w:lang w:val="es-CO"/>
              </w:rPr>
            </w:pPr>
            <w:r w:rsidRPr="00C87E07">
              <w:rPr>
                <w:rFonts w:ascii="Times New Roman" w:hAnsi="Times New Roman"/>
                <w:lang w:val="es-CO"/>
              </w:rPr>
              <w:t>1.3.1. Solicitar insumos de los Estados Miembros sobre lo que está funciona y lo que no está funciona en el OEA en materia de cooperación. Asimismo, solicitar retroalimentación sobre cómo visualizan los Estados Miembros la contribución de la OEA a los mecanismos ya existentes de cooperación en la región.</w:t>
            </w:r>
          </w:p>
        </w:tc>
        <w:tc>
          <w:tcPr>
            <w:tcW w:w="903" w:type="pct"/>
            <w:shd w:val="clear" w:color="auto" w:fill="auto"/>
          </w:tcPr>
          <w:p w14:paraId="37A7DD77" w14:textId="3C4D7389" w:rsidR="00EE7B6C" w:rsidRPr="00C87E07" w:rsidRDefault="00EE7B6C" w:rsidP="00280E8B">
            <w:pPr>
              <w:rPr>
                <w:rFonts w:ascii="Times New Roman" w:hAnsi="Times New Roman"/>
                <w:lang w:val="es-CO"/>
              </w:rPr>
            </w:pPr>
            <w:r w:rsidRPr="00C87E07">
              <w:rPr>
                <w:rFonts w:ascii="Times New Roman" w:hAnsi="Times New Roman"/>
                <w:lang w:val="es-CO"/>
              </w:rPr>
              <w:t>1 informe preparado por la Secretaría y basado en los comentarios proporcionados por los Estados miembros participantes, incluyendo un análisis FODA sobre su aparato de cooperación.</w:t>
            </w:r>
          </w:p>
        </w:tc>
        <w:tc>
          <w:tcPr>
            <w:tcW w:w="968" w:type="pct"/>
            <w:shd w:val="clear" w:color="auto" w:fill="auto"/>
          </w:tcPr>
          <w:p w14:paraId="3DE7E291" w14:textId="02561DAC" w:rsidR="00EE7B6C" w:rsidRPr="00C87E07" w:rsidRDefault="00EE7B6C" w:rsidP="00280E8B">
            <w:pPr>
              <w:rPr>
                <w:rFonts w:ascii="Times New Roman" w:hAnsi="Times New Roman"/>
                <w:lang w:val="es-CO"/>
              </w:rPr>
            </w:pPr>
            <w:r w:rsidRPr="00C87E07">
              <w:rPr>
                <w:rFonts w:ascii="Times New Roman" w:hAnsi="Times New Roman"/>
                <w:lang w:val="es-CO"/>
              </w:rPr>
              <w:t>Mayor comprensión de las fortalezas, debilidades, amenazas y oportunidades del aparato de cooperación de la OEA.</w:t>
            </w:r>
          </w:p>
        </w:tc>
        <w:tc>
          <w:tcPr>
            <w:tcW w:w="936" w:type="pct"/>
          </w:tcPr>
          <w:p w14:paraId="7317AFAD" w14:textId="77777777" w:rsidR="00EE7B6C" w:rsidRPr="00C87E07" w:rsidRDefault="00EE7B6C" w:rsidP="00280E8B">
            <w:pPr>
              <w:rPr>
                <w:rFonts w:ascii="Times New Roman" w:hAnsi="Times New Roman"/>
                <w:lang w:val="es-CO"/>
              </w:rPr>
            </w:pPr>
          </w:p>
        </w:tc>
      </w:tr>
    </w:tbl>
    <w:p w14:paraId="032BE849" w14:textId="311042FE" w:rsidR="000867CA" w:rsidRDefault="000867CA">
      <w:pPr>
        <w:rPr>
          <w:rFonts w:ascii="Times New Roman" w:hAnsi="Times New Roman"/>
          <w:lang w:val="es-CO"/>
        </w:rPr>
      </w:pPr>
    </w:p>
    <w:p w14:paraId="57E6D3C7" w14:textId="77777777" w:rsidR="000867CA" w:rsidRDefault="000867CA">
      <w:pPr>
        <w:spacing w:after="0" w:line="240" w:lineRule="auto"/>
        <w:rPr>
          <w:rFonts w:ascii="Times New Roman" w:hAnsi="Times New Roman"/>
          <w:lang w:val="es-CO"/>
        </w:rPr>
      </w:pPr>
      <w:r>
        <w:rPr>
          <w:rFonts w:ascii="Times New Roman" w:hAnsi="Times New Roman"/>
          <w:lang w:val="es-CO"/>
        </w:rPr>
        <w:br w:type="page"/>
      </w:r>
    </w:p>
    <w:tbl>
      <w:tblPr>
        <w:tblStyle w:val="TableGrid"/>
        <w:tblW w:w="14125" w:type="dxa"/>
        <w:tblLook w:val="04A0" w:firstRow="1" w:lastRow="0" w:firstColumn="1" w:lastColumn="0" w:noHBand="0" w:noVBand="1"/>
      </w:tblPr>
      <w:tblGrid>
        <w:gridCol w:w="2245"/>
        <w:gridCol w:w="3240"/>
        <w:gridCol w:w="2970"/>
        <w:gridCol w:w="2070"/>
        <w:gridCol w:w="3600"/>
      </w:tblGrid>
      <w:tr w:rsidR="0007444B" w:rsidRPr="0071322F" w14:paraId="3FC7BEEB" w14:textId="5FD1D7E1" w:rsidTr="009A1B2A">
        <w:trPr>
          <w:trHeight w:val="332"/>
        </w:trPr>
        <w:tc>
          <w:tcPr>
            <w:tcW w:w="14125" w:type="dxa"/>
            <w:gridSpan w:val="5"/>
            <w:shd w:val="clear" w:color="auto" w:fill="auto"/>
            <w:hideMark/>
          </w:tcPr>
          <w:p w14:paraId="1053BD37" w14:textId="0C6EA673" w:rsidR="0007444B" w:rsidRPr="00C87E07" w:rsidRDefault="006774E6" w:rsidP="0040160F">
            <w:pPr>
              <w:rPr>
                <w:rFonts w:ascii="Times New Roman" w:hAnsi="Times New Roman"/>
                <w:b/>
                <w:bCs/>
                <w:lang w:val="es-CO"/>
              </w:rPr>
            </w:pPr>
            <w:r>
              <w:rPr>
                <w:rFonts w:ascii="Times New Roman" w:hAnsi="Times New Roman"/>
                <w:lang w:val="es-CO"/>
              </w:rPr>
              <w:lastRenderedPageBreak/>
              <w:br w:type="page"/>
            </w:r>
            <w:r w:rsidR="0007444B" w:rsidRPr="00C87E07">
              <w:rPr>
                <w:rFonts w:ascii="Times New Roman" w:hAnsi="Times New Roman"/>
                <w:b/>
                <w:bCs/>
                <w:lang w:val="es-CO"/>
              </w:rPr>
              <w:t>Acción priorizada 2: Supervisar los programas de becas y capacitación de la OEA.</w:t>
            </w:r>
          </w:p>
        </w:tc>
      </w:tr>
      <w:tr w:rsidR="00C54CAC" w:rsidRPr="00C87E07" w14:paraId="1F263558" w14:textId="10CCC795" w:rsidTr="000867CA">
        <w:trPr>
          <w:trHeight w:val="350"/>
        </w:trPr>
        <w:tc>
          <w:tcPr>
            <w:tcW w:w="2245" w:type="dxa"/>
            <w:shd w:val="clear" w:color="auto" w:fill="auto"/>
            <w:hideMark/>
          </w:tcPr>
          <w:p w14:paraId="6CF4182F" w14:textId="77777777" w:rsidR="0007444B" w:rsidRPr="00C87E07" w:rsidRDefault="0007444B">
            <w:pPr>
              <w:rPr>
                <w:rFonts w:ascii="Times New Roman" w:hAnsi="Times New Roman"/>
                <w:b/>
                <w:bCs/>
                <w:lang w:val="es-CO"/>
              </w:rPr>
            </w:pPr>
            <w:r w:rsidRPr="00C87E07">
              <w:rPr>
                <w:rFonts w:ascii="Times New Roman" w:hAnsi="Times New Roman"/>
                <w:b/>
                <w:bCs/>
                <w:lang w:val="es-CO"/>
              </w:rPr>
              <w:t>Tareas:</w:t>
            </w:r>
          </w:p>
        </w:tc>
        <w:tc>
          <w:tcPr>
            <w:tcW w:w="3240" w:type="dxa"/>
            <w:shd w:val="clear" w:color="auto" w:fill="auto"/>
            <w:hideMark/>
          </w:tcPr>
          <w:p w14:paraId="6B50A29B" w14:textId="77777777" w:rsidR="0007444B" w:rsidRPr="00C87E07" w:rsidRDefault="0007444B">
            <w:pPr>
              <w:rPr>
                <w:rFonts w:ascii="Times New Roman" w:hAnsi="Times New Roman"/>
                <w:b/>
                <w:bCs/>
                <w:lang w:val="es-CO"/>
              </w:rPr>
            </w:pPr>
            <w:r w:rsidRPr="00C87E07">
              <w:rPr>
                <w:rFonts w:ascii="Times New Roman" w:hAnsi="Times New Roman"/>
                <w:b/>
                <w:bCs/>
                <w:lang w:val="es-CO"/>
              </w:rPr>
              <w:t>Objetivos:</w:t>
            </w:r>
          </w:p>
        </w:tc>
        <w:tc>
          <w:tcPr>
            <w:tcW w:w="2970" w:type="dxa"/>
            <w:shd w:val="clear" w:color="auto" w:fill="auto"/>
            <w:hideMark/>
          </w:tcPr>
          <w:p w14:paraId="0F7B04EE" w14:textId="77777777" w:rsidR="0007444B" w:rsidRPr="00C87E07" w:rsidRDefault="0007444B">
            <w:pPr>
              <w:rPr>
                <w:rFonts w:ascii="Times New Roman" w:hAnsi="Times New Roman"/>
                <w:b/>
                <w:bCs/>
                <w:lang w:val="es-CO"/>
              </w:rPr>
            </w:pPr>
            <w:r w:rsidRPr="00C87E07">
              <w:rPr>
                <w:rFonts w:ascii="Times New Roman" w:hAnsi="Times New Roman"/>
                <w:b/>
                <w:bCs/>
                <w:lang w:val="es-CO"/>
              </w:rPr>
              <w:t>Entregable / Indicador:</w:t>
            </w:r>
          </w:p>
        </w:tc>
        <w:tc>
          <w:tcPr>
            <w:tcW w:w="2070" w:type="dxa"/>
            <w:shd w:val="clear" w:color="auto" w:fill="auto"/>
            <w:hideMark/>
          </w:tcPr>
          <w:p w14:paraId="7D78D23C" w14:textId="77777777" w:rsidR="0007444B" w:rsidRPr="00C87E07" w:rsidRDefault="0007444B">
            <w:pPr>
              <w:rPr>
                <w:rFonts w:ascii="Times New Roman" w:hAnsi="Times New Roman"/>
                <w:b/>
                <w:bCs/>
                <w:lang w:val="es-CO"/>
              </w:rPr>
            </w:pPr>
            <w:r w:rsidRPr="00C87E07">
              <w:rPr>
                <w:rFonts w:ascii="Times New Roman" w:hAnsi="Times New Roman"/>
                <w:b/>
                <w:bCs/>
                <w:lang w:val="es-CO"/>
              </w:rPr>
              <w:t>Resultado Esperado:</w:t>
            </w:r>
          </w:p>
        </w:tc>
        <w:tc>
          <w:tcPr>
            <w:tcW w:w="3600" w:type="dxa"/>
          </w:tcPr>
          <w:p w14:paraId="1B116351" w14:textId="19969556" w:rsidR="0007444B" w:rsidRPr="00C87E07" w:rsidRDefault="00151929">
            <w:pPr>
              <w:rPr>
                <w:rFonts w:ascii="Times New Roman" w:hAnsi="Times New Roman"/>
                <w:b/>
                <w:bCs/>
                <w:lang w:val="es-CO"/>
              </w:rPr>
            </w:pPr>
            <w:r>
              <w:rPr>
                <w:rFonts w:ascii="Times New Roman" w:hAnsi="Times New Roman"/>
                <w:b/>
                <w:bCs/>
                <w:lang w:val="es-CO"/>
              </w:rPr>
              <w:t>Actualización</w:t>
            </w:r>
            <w:r w:rsidR="00BA70BC">
              <w:rPr>
                <w:rFonts w:ascii="Times New Roman" w:hAnsi="Times New Roman"/>
                <w:b/>
                <w:bCs/>
                <w:lang w:val="es-CO"/>
              </w:rPr>
              <w:t xml:space="preserve"> 15/03/21:</w:t>
            </w:r>
          </w:p>
        </w:tc>
      </w:tr>
      <w:tr w:rsidR="00BA70BC" w:rsidRPr="0071322F" w14:paraId="12ADAF9A" w14:textId="1F47CDD9" w:rsidTr="000867CA">
        <w:trPr>
          <w:trHeight w:val="870"/>
        </w:trPr>
        <w:tc>
          <w:tcPr>
            <w:tcW w:w="2245" w:type="dxa"/>
            <w:vMerge w:val="restart"/>
            <w:shd w:val="clear" w:color="auto" w:fill="auto"/>
          </w:tcPr>
          <w:p w14:paraId="17D93A07" w14:textId="46A03598" w:rsidR="00BA70BC" w:rsidRPr="00C87E07" w:rsidRDefault="00BA70BC" w:rsidP="002A7DAF">
            <w:pPr>
              <w:rPr>
                <w:rFonts w:ascii="Times New Roman" w:hAnsi="Times New Roman"/>
                <w:bCs/>
                <w:lang w:val="es-CO"/>
              </w:rPr>
            </w:pPr>
            <w:r w:rsidRPr="00C87E07">
              <w:rPr>
                <w:rFonts w:ascii="Times New Roman" w:hAnsi="Times New Roman"/>
                <w:b/>
                <w:bCs/>
                <w:lang w:val="es-CO"/>
              </w:rPr>
              <w:t xml:space="preserve">2.0. </w:t>
            </w:r>
            <w:r w:rsidRPr="00C87E07">
              <w:rPr>
                <w:rFonts w:ascii="Times New Roman" w:hAnsi="Times New Roman"/>
                <w:bCs/>
                <w:lang w:val="es-CO"/>
              </w:rPr>
              <w:t xml:space="preserve">Buscar alianzas para ofrecer becas que aborden las necesidades de desarrollo de capacidades de los Estados Miembros en respuesta a la crisis generada por la pandemia. </w:t>
            </w:r>
          </w:p>
          <w:p w14:paraId="0393D5D8" w14:textId="77777777" w:rsidR="00BA70BC" w:rsidRPr="00C87E07" w:rsidRDefault="00BA70BC" w:rsidP="002A7DAF">
            <w:pPr>
              <w:rPr>
                <w:rFonts w:ascii="Times New Roman" w:hAnsi="Times New Roman"/>
                <w:b/>
                <w:bCs/>
                <w:lang w:val="es-CO"/>
              </w:rPr>
            </w:pPr>
          </w:p>
        </w:tc>
        <w:tc>
          <w:tcPr>
            <w:tcW w:w="3240" w:type="dxa"/>
            <w:shd w:val="clear" w:color="auto" w:fill="auto"/>
          </w:tcPr>
          <w:p w14:paraId="597F74E4" w14:textId="39763A55" w:rsidR="00BA70BC" w:rsidRPr="00C87E07" w:rsidRDefault="00BA70BC">
            <w:pPr>
              <w:rPr>
                <w:rFonts w:ascii="Times New Roman" w:hAnsi="Times New Roman"/>
                <w:lang w:val="es-CO"/>
              </w:rPr>
            </w:pPr>
            <w:r w:rsidRPr="00C87E07">
              <w:rPr>
                <w:rFonts w:ascii="Times New Roman" w:hAnsi="Times New Roman"/>
                <w:bCs/>
                <w:lang w:val="es-CO"/>
              </w:rPr>
              <w:t>2.0.1. Hacer un inventario / lista de las necesidades de desarrollo de capacidades más apremiantes para los Estados Miembros en respuesta / como resultado de COVID-19.</w:t>
            </w:r>
          </w:p>
        </w:tc>
        <w:tc>
          <w:tcPr>
            <w:tcW w:w="2970" w:type="dxa"/>
            <w:shd w:val="clear" w:color="auto" w:fill="auto"/>
          </w:tcPr>
          <w:p w14:paraId="09B43C3A" w14:textId="6FBA392C" w:rsidR="00BA70BC" w:rsidRPr="00C87E07" w:rsidRDefault="00BA70BC" w:rsidP="00533A20">
            <w:pPr>
              <w:rPr>
                <w:rFonts w:ascii="Times New Roman" w:hAnsi="Times New Roman"/>
                <w:lang w:val="es-CO"/>
              </w:rPr>
            </w:pPr>
            <w:r w:rsidRPr="00C87E07">
              <w:rPr>
                <w:rFonts w:ascii="Times New Roman" w:hAnsi="Times New Roman"/>
                <w:bCs/>
                <w:lang w:val="es-CO"/>
              </w:rPr>
              <w:t>1 lista de cursos potenciales en línea será elaborada por la Secretaría, validada por los Estados miembros y utilizada como base para un inventario de necesidades prioritarias de desarrollo de capacidades.</w:t>
            </w:r>
          </w:p>
        </w:tc>
        <w:tc>
          <w:tcPr>
            <w:tcW w:w="2070" w:type="dxa"/>
            <w:vMerge w:val="restart"/>
            <w:shd w:val="clear" w:color="auto" w:fill="auto"/>
          </w:tcPr>
          <w:p w14:paraId="62773809" w14:textId="77777777" w:rsidR="00BA70BC" w:rsidRPr="00C87E07" w:rsidRDefault="00BA70BC" w:rsidP="006C0D2E">
            <w:pPr>
              <w:rPr>
                <w:rFonts w:ascii="Times New Roman" w:hAnsi="Times New Roman"/>
                <w:lang w:val="es-CO"/>
              </w:rPr>
            </w:pPr>
            <w:r w:rsidRPr="00C87E07">
              <w:rPr>
                <w:rFonts w:ascii="Times New Roman" w:hAnsi="Times New Roman"/>
                <w:lang w:val="es-CO"/>
              </w:rPr>
              <w:t xml:space="preserve">El Programa de Becas de la OEA/SEDI ofrece a los Estados Miembros oportunidades para abordar sus necesidades más apremiantes de desarrollo de capacidades en respuesta a la crisis generada por la pandemia </w:t>
            </w:r>
            <w:r w:rsidRPr="00C87E07">
              <w:rPr>
                <w:rFonts w:ascii="Times New Roman" w:hAnsi="Times New Roman"/>
                <w:bCs/>
                <w:lang w:val="es-CO"/>
              </w:rPr>
              <w:t>COVID-19.</w:t>
            </w:r>
          </w:p>
        </w:tc>
        <w:tc>
          <w:tcPr>
            <w:tcW w:w="3600" w:type="dxa"/>
            <w:vMerge w:val="restart"/>
          </w:tcPr>
          <w:p w14:paraId="58069C2B" w14:textId="77777777" w:rsidR="00C54CAC" w:rsidRDefault="00C54CAC" w:rsidP="00C54CAC">
            <w:pPr>
              <w:numPr>
                <w:ilvl w:val="0"/>
                <w:numId w:val="23"/>
              </w:numPr>
              <w:tabs>
                <w:tab w:val="left" w:pos="334"/>
                <w:tab w:val="left" w:pos="472"/>
              </w:tabs>
              <w:autoSpaceDE w:val="0"/>
              <w:autoSpaceDN w:val="0"/>
              <w:adjustRightInd w:val="0"/>
              <w:spacing w:after="0" w:line="240" w:lineRule="auto"/>
              <w:ind w:left="34" w:firstLine="33"/>
              <w:rPr>
                <w:rFonts w:ascii="Times New Roman" w:eastAsia="MS PGothic" w:hAnsi="Times New Roman"/>
                <w:kern w:val="24"/>
                <w:sz w:val="24"/>
                <w:szCs w:val="24"/>
                <w:lang w:val="es-CO"/>
              </w:rPr>
            </w:pPr>
            <w:r>
              <w:rPr>
                <w:rFonts w:ascii="Times New Roman" w:eastAsia="MS PGothic" w:hAnsi="Times New Roman"/>
                <w:kern w:val="24"/>
                <w:sz w:val="24"/>
                <w:szCs w:val="24"/>
                <w:lang w:val="es-CO"/>
              </w:rPr>
              <w:t xml:space="preserve">La </w:t>
            </w:r>
            <w:r w:rsidRPr="00C54CAC">
              <w:rPr>
                <w:rFonts w:ascii="Times New Roman" w:hAnsi="Times New Roman"/>
                <w:kern w:val="24"/>
                <w:sz w:val="24"/>
                <w:szCs w:val="24"/>
                <w:lang w:val="es-ES"/>
              </w:rPr>
              <w:t>Secretaría</w:t>
            </w:r>
            <w:r>
              <w:rPr>
                <w:rFonts w:ascii="Times New Roman" w:eastAsia="MS PGothic" w:hAnsi="Times New Roman"/>
                <w:kern w:val="24"/>
                <w:sz w:val="24"/>
                <w:szCs w:val="24"/>
                <w:lang w:val="es-CO"/>
              </w:rPr>
              <w:t xml:space="preserve"> compiló una lista de cursos y programas educativos en línea a ser validados por los Estados miembros. También se creó un inventario de los cursos y programas en línea disponibles actualmente para su revisión.</w:t>
            </w:r>
          </w:p>
          <w:p w14:paraId="10A20CBE" w14:textId="77777777" w:rsidR="00C54CAC" w:rsidRDefault="00C54CAC" w:rsidP="00C54CAC">
            <w:pPr>
              <w:numPr>
                <w:ilvl w:val="0"/>
                <w:numId w:val="23"/>
              </w:numPr>
              <w:tabs>
                <w:tab w:val="left" w:pos="334"/>
                <w:tab w:val="left" w:pos="472"/>
              </w:tabs>
              <w:autoSpaceDE w:val="0"/>
              <w:autoSpaceDN w:val="0"/>
              <w:adjustRightInd w:val="0"/>
              <w:spacing w:after="0" w:line="240" w:lineRule="auto"/>
              <w:ind w:left="34" w:firstLine="33"/>
              <w:rPr>
                <w:rFonts w:ascii="Times New Roman" w:eastAsia="MS PGothic" w:hAnsi="Times New Roman"/>
                <w:kern w:val="24"/>
                <w:sz w:val="24"/>
                <w:szCs w:val="24"/>
                <w:lang w:val="es-CO"/>
              </w:rPr>
            </w:pPr>
            <w:r>
              <w:rPr>
                <w:rFonts w:ascii="Times New Roman" w:eastAsia="MS PGothic" w:hAnsi="Times New Roman"/>
                <w:kern w:val="24"/>
                <w:sz w:val="24"/>
                <w:szCs w:val="24"/>
                <w:lang w:val="es-CO"/>
              </w:rPr>
              <w:t>Se realizaron consultas virtuales con los Estados miembros para compartir las oportunidades de becas disponibles y recopilar información sobre necesidades específicas de formación.</w:t>
            </w:r>
          </w:p>
          <w:p w14:paraId="33CF96D0" w14:textId="77777777" w:rsidR="00C54CAC" w:rsidRDefault="00C54CAC" w:rsidP="00C54CAC">
            <w:pPr>
              <w:numPr>
                <w:ilvl w:val="0"/>
                <w:numId w:val="23"/>
              </w:numPr>
              <w:tabs>
                <w:tab w:val="left" w:pos="334"/>
                <w:tab w:val="left" w:pos="472"/>
              </w:tabs>
              <w:autoSpaceDE w:val="0"/>
              <w:autoSpaceDN w:val="0"/>
              <w:adjustRightInd w:val="0"/>
              <w:spacing w:after="0" w:line="240" w:lineRule="auto"/>
              <w:ind w:left="34" w:firstLine="33"/>
              <w:rPr>
                <w:rFonts w:ascii="Times New Roman" w:eastAsia="MS PGothic" w:hAnsi="Times New Roman"/>
                <w:kern w:val="24"/>
                <w:sz w:val="24"/>
                <w:szCs w:val="24"/>
                <w:lang w:val="es-CO"/>
              </w:rPr>
            </w:pPr>
            <w:r>
              <w:rPr>
                <w:rFonts w:ascii="Times New Roman" w:eastAsia="MS PGothic" w:hAnsi="Times New Roman"/>
                <w:kern w:val="24"/>
                <w:sz w:val="24"/>
                <w:szCs w:val="24"/>
                <w:lang w:val="es-CO"/>
              </w:rPr>
              <w:t>Se están buscando nuevas alianzas potenciales para expandir la oferta de cursos en línea de acuerdo a comentarios de los Estados miembros.</w:t>
            </w:r>
          </w:p>
          <w:p w14:paraId="3DD96F79" w14:textId="77777777" w:rsidR="00C54CAC" w:rsidRDefault="00C54CAC" w:rsidP="00C54CAC">
            <w:pPr>
              <w:numPr>
                <w:ilvl w:val="0"/>
                <w:numId w:val="23"/>
              </w:numPr>
              <w:tabs>
                <w:tab w:val="left" w:pos="334"/>
                <w:tab w:val="left" w:pos="472"/>
              </w:tabs>
              <w:autoSpaceDE w:val="0"/>
              <w:autoSpaceDN w:val="0"/>
              <w:adjustRightInd w:val="0"/>
              <w:spacing w:after="0" w:line="240" w:lineRule="auto"/>
              <w:ind w:left="34" w:firstLine="33"/>
              <w:rPr>
                <w:rFonts w:ascii="Times New Roman" w:eastAsia="MS PGothic" w:hAnsi="Times New Roman"/>
                <w:kern w:val="24"/>
                <w:sz w:val="24"/>
                <w:szCs w:val="24"/>
                <w:lang w:val="es-CO"/>
              </w:rPr>
            </w:pPr>
            <w:r>
              <w:rPr>
                <w:rFonts w:ascii="Times New Roman" w:eastAsia="MS PGothic" w:hAnsi="Times New Roman"/>
                <w:kern w:val="24"/>
                <w:sz w:val="24"/>
                <w:szCs w:val="24"/>
                <w:lang w:val="es-CO"/>
              </w:rPr>
              <w:t xml:space="preserve">Debido al impacto del COVID-19, ha habido un aumento en la demanda de programas educativos en línea, cursos especializados de desarrollo profesional de corto plazo y programas de becas diseñados a medida como el PAEC. La capacidad de la Secretaría para responder a solicitudes específicas de </w:t>
            </w:r>
            <w:r>
              <w:rPr>
                <w:rFonts w:ascii="Times New Roman" w:eastAsia="MS PGothic" w:hAnsi="Times New Roman"/>
                <w:kern w:val="24"/>
                <w:sz w:val="24"/>
                <w:szCs w:val="24"/>
                <w:lang w:val="es-CO"/>
              </w:rPr>
              <w:lastRenderedPageBreak/>
              <w:t>miembros ha sido limitada debido a la reducción del presupuesto y de los recursos humanos.</w:t>
            </w:r>
          </w:p>
          <w:p w14:paraId="59963A7D" w14:textId="77777777" w:rsidR="00C54CAC" w:rsidRDefault="00C54CAC" w:rsidP="00C54CAC">
            <w:pPr>
              <w:numPr>
                <w:ilvl w:val="0"/>
                <w:numId w:val="23"/>
              </w:numPr>
              <w:tabs>
                <w:tab w:val="left" w:pos="334"/>
                <w:tab w:val="left" w:pos="472"/>
              </w:tabs>
              <w:autoSpaceDE w:val="0"/>
              <w:autoSpaceDN w:val="0"/>
              <w:adjustRightInd w:val="0"/>
              <w:spacing w:after="0" w:line="240" w:lineRule="auto"/>
              <w:ind w:left="34" w:firstLine="33"/>
              <w:rPr>
                <w:rFonts w:ascii="Times New Roman" w:eastAsia="MS PGothic" w:hAnsi="Times New Roman"/>
                <w:kern w:val="24"/>
                <w:sz w:val="24"/>
                <w:szCs w:val="24"/>
                <w:lang w:val="es-CO"/>
              </w:rPr>
            </w:pPr>
            <w:r>
              <w:rPr>
                <w:rFonts w:ascii="Times New Roman" w:eastAsia="MS PGothic" w:hAnsi="Times New Roman"/>
                <w:kern w:val="24"/>
                <w:sz w:val="24"/>
                <w:szCs w:val="24"/>
                <w:lang w:val="es-CO"/>
              </w:rPr>
              <w:t xml:space="preserve">Se creó un </w:t>
            </w:r>
            <w:r>
              <w:rPr>
                <w:rFonts w:ascii="Times New Roman" w:eastAsia="MS PGothic" w:hAnsi="Times New Roman"/>
                <w:i/>
                <w:iCs/>
                <w:kern w:val="24"/>
                <w:sz w:val="24"/>
                <w:szCs w:val="24"/>
                <w:lang w:val="es-CO"/>
              </w:rPr>
              <w:t xml:space="preserve">Modelo de Calendario Anual </w:t>
            </w:r>
            <w:r>
              <w:rPr>
                <w:rFonts w:ascii="Times New Roman" w:eastAsia="MS PGothic" w:hAnsi="Times New Roman"/>
                <w:kern w:val="24"/>
                <w:sz w:val="24"/>
                <w:szCs w:val="24"/>
                <w:lang w:val="es-CO"/>
              </w:rPr>
              <w:t>para administrar los 30 programas activos en la cartera de becas. Se están considerando otras herramientas de planificación para mejorar la supervisión y gestión de los programas de becas y capacitación.</w:t>
            </w:r>
          </w:p>
          <w:p w14:paraId="734EBCD3" w14:textId="77777777" w:rsidR="00C54CAC" w:rsidRDefault="00C54CAC" w:rsidP="00C54CAC">
            <w:pPr>
              <w:numPr>
                <w:ilvl w:val="0"/>
                <w:numId w:val="23"/>
              </w:numPr>
              <w:tabs>
                <w:tab w:val="left" w:pos="334"/>
                <w:tab w:val="left" w:pos="472"/>
              </w:tabs>
              <w:autoSpaceDE w:val="0"/>
              <w:autoSpaceDN w:val="0"/>
              <w:adjustRightInd w:val="0"/>
              <w:spacing w:after="0" w:line="240" w:lineRule="auto"/>
              <w:ind w:left="34" w:firstLine="33"/>
              <w:rPr>
                <w:rFonts w:ascii="Times New Roman" w:eastAsia="MS PGothic" w:hAnsi="Times New Roman"/>
                <w:kern w:val="24"/>
                <w:sz w:val="24"/>
                <w:szCs w:val="24"/>
                <w:lang w:val="es-CO"/>
              </w:rPr>
            </w:pPr>
            <w:r>
              <w:rPr>
                <w:rFonts w:ascii="Times New Roman" w:eastAsia="MS PGothic" w:hAnsi="Times New Roman"/>
                <w:kern w:val="24"/>
                <w:sz w:val="24"/>
                <w:szCs w:val="24"/>
                <w:lang w:val="es-CO"/>
              </w:rPr>
              <w:t>Se presentaron recomendaciones a los Estados miembros para mejorar la implementación y administrar de manera más eficiente el Ciclo 2021 del Programa de Becas y Capacitación.</w:t>
            </w:r>
          </w:p>
          <w:p w14:paraId="2EAEEEAD" w14:textId="77777777" w:rsidR="00C54CAC" w:rsidRDefault="00C54CAC" w:rsidP="00C54CAC">
            <w:pPr>
              <w:numPr>
                <w:ilvl w:val="0"/>
                <w:numId w:val="23"/>
              </w:numPr>
              <w:tabs>
                <w:tab w:val="left" w:pos="334"/>
                <w:tab w:val="left" w:pos="472"/>
              </w:tabs>
              <w:autoSpaceDE w:val="0"/>
              <w:autoSpaceDN w:val="0"/>
              <w:adjustRightInd w:val="0"/>
              <w:spacing w:after="0" w:line="240" w:lineRule="auto"/>
              <w:ind w:left="34" w:firstLine="33"/>
              <w:rPr>
                <w:rFonts w:ascii="Times New Roman" w:eastAsia="MS PGothic" w:hAnsi="Times New Roman"/>
                <w:kern w:val="24"/>
                <w:sz w:val="24"/>
                <w:szCs w:val="24"/>
                <w:lang w:val="es-CO"/>
              </w:rPr>
            </w:pPr>
            <w:r>
              <w:rPr>
                <w:rFonts w:ascii="Times New Roman" w:eastAsia="MS PGothic" w:hAnsi="Times New Roman"/>
                <w:kern w:val="24"/>
                <w:sz w:val="24"/>
                <w:szCs w:val="24"/>
                <w:lang w:val="es-CO"/>
              </w:rPr>
              <w:t xml:space="preserve">Se desarrolló y aprobó un </w:t>
            </w:r>
            <w:r>
              <w:rPr>
                <w:rFonts w:ascii="Times New Roman" w:eastAsia="MS PGothic" w:hAnsi="Times New Roman"/>
                <w:i/>
                <w:iCs/>
                <w:kern w:val="24"/>
                <w:sz w:val="24"/>
                <w:szCs w:val="24"/>
                <w:lang w:val="es-CO"/>
              </w:rPr>
              <w:t xml:space="preserve">Modelo de MdE estandarizado </w:t>
            </w:r>
            <w:r>
              <w:rPr>
                <w:rFonts w:ascii="Times New Roman" w:eastAsia="MS PGothic" w:hAnsi="Times New Roman"/>
                <w:kern w:val="24"/>
                <w:sz w:val="24"/>
                <w:szCs w:val="24"/>
                <w:lang w:val="es-CO"/>
              </w:rPr>
              <w:t>para los programas Académico y PAEC. La estandarización facilitará la negociación, supervisión y gestión continuas de los MdE. Se está explorando con el Departamento de Asuntos Legales de la OEA adoptar el nuevo modelo también para el Programa PDSP.</w:t>
            </w:r>
          </w:p>
          <w:p w14:paraId="20B0B787" w14:textId="77777777" w:rsidR="00BA70BC" w:rsidRPr="00C87E07" w:rsidRDefault="00BA70BC" w:rsidP="006C0D2E">
            <w:pPr>
              <w:rPr>
                <w:rFonts w:ascii="Times New Roman" w:hAnsi="Times New Roman"/>
                <w:lang w:val="es-CO"/>
              </w:rPr>
            </w:pPr>
          </w:p>
        </w:tc>
      </w:tr>
      <w:tr w:rsidR="00BA70BC" w:rsidRPr="0071322F" w14:paraId="7DBF955C" w14:textId="6E016AF8" w:rsidTr="000867CA">
        <w:trPr>
          <w:trHeight w:val="870"/>
        </w:trPr>
        <w:tc>
          <w:tcPr>
            <w:tcW w:w="2245" w:type="dxa"/>
            <w:vMerge/>
            <w:shd w:val="clear" w:color="auto" w:fill="auto"/>
          </w:tcPr>
          <w:p w14:paraId="2C3663DD" w14:textId="77777777" w:rsidR="00BA70BC" w:rsidRPr="00C87E07" w:rsidRDefault="00BA70BC" w:rsidP="002A7DAF">
            <w:pPr>
              <w:rPr>
                <w:rFonts w:ascii="Times New Roman" w:hAnsi="Times New Roman"/>
                <w:b/>
                <w:bCs/>
                <w:lang w:val="es-CO"/>
              </w:rPr>
            </w:pPr>
          </w:p>
        </w:tc>
        <w:tc>
          <w:tcPr>
            <w:tcW w:w="3240" w:type="dxa"/>
            <w:shd w:val="clear" w:color="auto" w:fill="auto"/>
          </w:tcPr>
          <w:p w14:paraId="3DA1E29D" w14:textId="319443F3" w:rsidR="00BA70BC" w:rsidRPr="00C87E07" w:rsidRDefault="00BA70BC" w:rsidP="006C0D2E">
            <w:pPr>
              <w:rPr>
                <w:rFonts w:ascii="Times New Roman" w:hAnsi="Times New Roman"/>
                <w:lang w:val="es-CO"/>
              </w:rPr>
            </w:pPr>
            <w:r w:rsidRPr="00C87E07">
              <w:rPr>
                <w:rFonts w:ascii="Times New Roman" w:hAnsi="Times New Roman"/>
                <w:bCs/>
                <w:lang w:val="es-CO"/>
              </w:rPr>
              <w:t xml:space="preserve">2.0.2. Analizar cómo se puede ajustar la oferta de becas para responder a la demanda, tanto en términos de disciplinas relevantes como en términos de acceso a programas adicionales en línea. </w:t>
            </w:r>
          </w:p>
        </w:tc>
        <w:tc>
          <w:tcPr>
            <w:tcW w:w="2970" w:type="dxa"/>
            <w:shd w:val="clear" w:color="auto" w:fill="auto"/>
          </w:tcPr>
          <w:p w14:paraId="067F65E6" w14:textId="05783AA5" w:rsidR="00BA70BC" w:rsidRPr="00C87E07" w:rsidRDefault="00BA70BC" w:rsidP="006C0D2E">
            <w:pPr>
              <w:rPr>
                <w:rFonts w:ascii="Times New Roman" w:hAnsi="Times New Roman"/>
                <w:lang w:val="es-CO"/>
              </w:rPr>
            </w:pPr>
            <w:r w:rsidRPr="00C87E07">
              <w:rPr>
                <w:rFonts w:ascii="Times New Roman" w:hAnsi="Times New Roman"/>
                <w:bCs/>
                <w:lang w:val="es-CO"/>
              </w:rPr>
              <w:t>En función de las prioridades de los Estados miembros identificadas a través de consulta virtual], analizar las oportunidades que ofrecen los socios actuales y buscar nuevas alianzas para adaptar el Programa de Becas</w:t>
            </w:r>
            <w:r w:rsidRPr="00C87E07">
              <w:rPr>
                <w:rFonts w:ascii="Times New Roman" w:hAnsi="Times New Roman"/>
                <w:b/>
                <w:bCs/>
                <w:lang w:val="es-CO"/>
              </w:rPr>
              <w:t>.</w:t>
            </w:r>
          </w:p>
        </w:tc>
        <w:tc>
          <w:tcPr>
            <w:tcW w:w="2070" w:type="dxa"/>
            <w:vMerge/>
            <w:shd w:val="clear" w:color="auto" w:fill="auto"/>
          </w:tcPr>
          <w:p w14:paraId="6074D942" w14:textId="77777777" w:rsidR="00BA70BC" w:rsidRPr="00C87E07" w:rsidRDefault="00BA70BC">
            <w:pPr>
              <w:rPr>
                <w:rFonts w:ascii="Times New Roman" w:hAnsi="Times New Roman"/>
                <w:lang w:val="es-CO"/>
              </w:rPr>
            </w:pPr>
          </w:p>
        </w:tc>
        <w:tc>
          <w:tcPr>
            <w:tcW w:w="3600" w:type="dxa"/>
            <w:vMerge/>
          </w:tcPr>
          <w:p w14:paraId="4771ACD2" w14:textId="77777777" w:rsidR="00BA70BC" w:rsidRPr="00C87E07" w:rsidRDefault="00BA70BC">
            <w:pPr>
              <w:rPr>
                <w:rFonts w:ascii="Times New Roman" w:hAnsi="Times New Roman"/>
                <w:lang w:val="es-CO"/>
              </w:rPr>
            </w:pPr>
          </w:p>
        </w:tc>
      </w:tr>
      <w:tr w:rsidR="00BA70BC" w:rsidRPr="0071322F" w14:paraId="702B3F4F" w14:textId="1047FE70" w:rsidTr="000867CA">
        <w:trPr>
          <w:trHeight w:val="870"/>
        </w:trPr>
        <w:tc>
          <w:tcPr>
            <w:tcW w:w="2245" w:type="dxa"/>
            <w:vMerge w:val="restart"/>
            <w:shd w:val="clear" w:color="auto" w:fill="auto"/>
            <w:hideMark/>
          </w:tcPr>
          <w:p w14:paraId="39D1E934" w14:textId="77777777" w:rsidR="00BA70BC" w:rsidRPr="00C87E07" w:rsidRDefault="00BA70BC">
            <w:pPr>
              <w:rPr>
                <w:rFonts w:ascii="Times New Roman" w:hAnsi="Times New Roman"/>
                <w:b/>
                <w:bCs/>
                <w:lang w:val="es-CO"/>
              </w:rPr>
            </w:pPr>
            <w:r w:rsidRPr="00C87E07">
              <w:rPr>
                <w:rFonts w:ascii="Times New Roman" w:hAnsi="Times New Roman"/>
                <w:b/>
                <w:bCs/>
                <w:lang w:val="es-CO"/>
              </w:rPr>
              <w:t xml:space="preserve">2.1.  </w:t>
            </w:r>
            <w:r w:rsidRPr="00C87E07">
              <w:rPr>
                <w:rFonts w:ascii="Times New Roman" w:hAnsi="Times New Roman"/>
                <w:lang w:val="es-CO"/>
              </w:rPr>
              <w:t xml:space="preserve">Crear una metodología de trabajo modelo para la supervisión y administración de los Programas de Becas. </w:t>
            </w:r>
          </w:p>
        </w:tc>
        <w:tc>
          <w:tcPr>
            <w:tcW w:w="3240" w:type="dxa"/>
            <w:shd w:val="clear" w:color="auto" w:fill="auto"/>
            <w:hideMark/>
          </w:tcPr>
          <w:p w14:paraId="44EC3041" w14:textId="322FD1D3" w:rsidR="00BA70BC" w:rsidRPr="00C87E07" w:rsidRDefault="00BA70BC">
            <w:pPr>
              <w:rPr>
                <w:rFonts w:ascii="Times New Roman" w:hAnsi="Times New Roman"/>
                <w:lang w:val="es-CO"/>
              </w:rPr>
            </w:pPr>
            <w:r w:rsidRPr="00C87E07">
              <w:rPr>
                <w:rFonts w:ascii="Times New Roman" w:hAnsi="Times New Roman"/>
                <w:lang w:val="es-CO"/>
              </w:rPr>
              <w:t>2.1.1. Crear modelo de calendario anual de las actividades necesarias para la supervisión y administración de los Programas de Becas en el marco de la JD/AICD.</w:t>
            </w:r>
          </w:p>
        </w:tc>
        <w:tc>
          <w:tcPr>
            <w:tcW w:w="2970" w:type="dxa"/>
            <w:shd w:val="clear" w:color="auto" w:fill="auto"/>
            <w:hideMark/>
          </w:tcPr>
          <w:p w14:paraId="34040894" w14:textId="77777777" w:rsidR="00BA70BC" w:rsidRPr="00C87E07" w:rsidRDefault="00BA70BC">
            <w:pPr>
              <w:rPr>
                <w:rFonts w:ascii="Times New Roman" w:hAnsi="Times New Roman"/>
                <w:lang w:val="es-CO"/>
              </w:rPr>
            </w:pPr>
            <w:r w:rsidRPr="00C87E07">
              <w:rPr>
                <w:rFonts w:ascii="Times New Roman" w:hAnsi="Times New Roman"/>
                <w:lang w:val="es-CO"/>
              </w:rPr>
              <w:t>1 Modelo de calendario anual para administrar los Programas de Becas.</w:t>
            </w:r>
          </w:p>
        </w:tc>
        <w:tc>
          <w:tcPr>
            <w:tcW w:w="2070" w:type="dxa"/>
            <w:shd w:val="clear" w:color="auto" w:fill="auto"/>
            <w:hideMark/>
          </w:tcPr>
          <w:p w14:paraId="19C9DCE0" w14:textId="77777777" w:rsidR="00BA70BC" w:rsidRPr="00C87E07" w:rsidRDefault="00BA70BC">
            <w:pPr>
              <w:rPr>
                <w:rFonts w:ascii="Times New Roman" w:hAnsi="Times New Roman"/>
                <w:lang w:val="es-CO"/>
              </w:rPr>
            </w:pPr>
            <w:r w:rsidRPr="00C87E07">
              <w:rPr>
                <w:rFonts w:ascii="Times New Roman" w:hAnsi="Times New Roman"/>
                <w:lang w:val="es-CO"/>
              </w:rPr>
              <w:t>Metodología de trabajo para supervisar y administrar los programas de becas aprobados por la JD/AICD.</w:t>
            </w:r>
          </w:p>
        </w:tc>
        <w:tc>
          <w:tcPr>
            <w:tcW w:w="3600" w:type="dxa"/>
            <w:vMerge/>
          </w:tcPr>
          <w:p w14:paraId="34F8D07A" w14:textId="77777777" w:rsidR="00BA70BC" w:rsidRPr="00C87E07" w:rsidRDefault="00BA70BC">
            <w:pPr>
              <w:rPr>
                <w:rFonts w:ascii="Times New Roman" w:hAnsi="Times New Roman"/>
                <w:lang w:val="es-CO"/>
              </w:rPr>
            </w:pPr>
          </w:p>
        </w:tc>
      </w:tr>
      <w:tr w:rsidR="00BA70BC" w:rsidRPr="0071322F" w14:paraId="13C907F9" w14:textId="2D47AD26" w:rsidTr="000867CA">
        <w:trPr>
          <w:trHeight w:val="1110"/>
        </w:trPr>
        <w:tc>
          <w:tcPr>
            <w:tcW w:w="2245" w:type="dxa"/>
            <w:vMerge/>
            <w:shd w:val="clear" w:color="auto" w:fill="auto"/>
            <w:hideMark/>
          </w:tcPr>
          <w:p w14:paraId="4628B3E8" w14:textId="77777777" w:rsidR="00BA70BC" w:rsidRPr="00C87E07" w:rsidRDefault="00BA70BC">
            <w:pPr>
              <w:rPr>
                <w:rFonts w:ascii="Times New Roman" w:hAnsi="Times New Roman"/>
                <w:b/>
                <w:bCs/>
                <w:lang w:val="es-CO"/>
              </w:rPr>
            </w:pPr>
          </w:p>
        </w:tc>
        <w:tc>
          <w:tcPr>
            <w:tcW w:w="3240" w:type="dxa"/>
            <w:shd w:val="clear" w:color="auto" w:fill="auto"/>
            <w:hideMark/>
          </w:tcPr>
          <w:p w14:paraId="228AAF03" w14:textId="5706C4F3" w:rsidR="00BA70BC" w:rsidRPr="00C87E07" w:rsidRDefault="00BA70BC">
            <w:pPr>
              <w:rPr>
                <w:rFonts w:ascii="Times New Roman" w:hAnsi="Times New Roman"/>
                <w:lang w:val="es-CO"/>
              </w:rPr>
            </w:pPr>
            <w:r w:rsidRPr="00C87E07">
              <w:rPr>
                <w:rFonts w:ascii="Times New Roman" w:hAnsi="Times New Roman"/>
                <w:lang w:val="es-CO"/>
              </w:rPr>
              <w:t xml:space="preserve">2.1.2. Crear plantillas para documentos recurrentes relacionados con la supervisión y administración de los Programas de Becas (presentación del estado de cuenta, estado de </w:t>
            </w:r>
            <w:r w:rsidRPr="00C87E07">
              <w:rPr>
                <w:rFonts w:ascii="Times New Roman" w:hAnsi="Times New Roman"/>
                <w:lang w:val="es-CO"/>
              </w:rPr>
              <w:lastRenderedPageBreak/>
              <w:t>implementación, nuevos proyectos, etc.)</w:t>
            </w:r>
          </w:p>
        </w:tc>
        <w:tc>
          <w:tcPr>
            <w:tcW w:w="2970" w:type="dxa"/>
            <w:shd w:val="clear" w:color="auto" w:fill="auto"/>
            <w:hideMark/>
          </w:tcPr>
          <w:p w14:paraId="3D68D6DD" w14:textId="03009059" w:rsidR="00BA70BC" w:rsidRPr="00C87E07" w:rsidRDefault="00BA70BC">
            <w:pPr>
              <w:rPr>
                <w:rFonts w:ascii="Times New Roman" w:hAnsi="Times New Roman"/>
                <w:lang w:val="es-CO"/>
              </w:rPr>
            </w:pPr>
            <w:r w:rsidRPr="00C87E07">
              <w:rPr>
                <w:rFonts w:ascii="Times New Roman" w:hAnsi="Times New Roman"/>
                <w:lang w:val="es-CO"/>
              </w:rPr>
              <w:lastRenderedPageBreak/>
              <w:t>Plantillas (número de plantillas a ser definidos).</w:t>
            </w:r>
          </w:p>
        </w:tc>
        <w:tc>
          <w:tcPr>
            <w:tcW w:w="2070" w:type="dxa"/>
            <w:shd w:val="clear" w:color="auto" w:fill="auto"/>
            <w:hideMark/>
          </w:tcPr>
          <w:p w14:paraId="7A07AEC7" w14:textId="77777777" w:rsidR="00BA70BC" w:rsidRPr="00C87E07" w:rsidRDefault="00BA70BC">
            <w:pPr>
              <w:rPr>
                <w:rFonts w:ascii="Times New Roman" w:hAnsi="Times New Roman"/>
                <w:lang w:val="es-CO"/>
              </w:rPr>
            </w:pPr>
            <w:r w:rsidRPr="00C87E07">
              <w:rPr>
                <w:rFonts w:ascii="Times New Roman" w:hAnsi="Times New Roman"/>
                <w:lang w:val="es-CO"/>
              </w:rPr>
              <w:t>Adopción de los estándares de referencia de la OEA en los documentos de la JD/AICD.</w:t>
            </w:r>
          </w:p>
        </w:tc>
        <w:tc>
          <w:tcPr>
            <w:tcW w:w="3600" w:type="dxa"/>
            <w:vMerge/>
          </w:tcPr>
          <w:p w14:paraId="31CA6877" w14:textId="77777777" w:rsidR="00BA70BC" w:rsidRPr="00C87E07" w:rsidRDefault="00BA70BC">
            <w:pPr>
              <w:rPr>
                <w:rFonts w:ascii="Times New Roman" w:hAnsi="Times New Roman"/>
                <w:lang w:val="es-CO"/>
              </w:rPr>
            </w:pPr>
          </w:p>
        </w:tc>
      </w:tr>
      <w:tr w:rsidR="00BA70BC" w:rsidRPr="0071322F" w14:paraId="5B3C423C" w14:textId="45F5152A" w:rsidTr="000867CA">
        <w:trPr>
          <w:trHeight w:val="440"/>
        </w:trPr>
        <w:tc>
          <w:tcPr>
            <w:tcW w:w="2245" w:type="dxa"/>
            <w:shd w:val="clear" w:color="auto" w:fill="auto"/>
            <w:hideMark/>
          </w:tcPr>
          <w:p w14:paraId="2243A2B7" w14:textId="77777777" w:rsidR="00BA70BC" w:rsidRPr="00C87E07" w:rsidRDefault="00BA70BC">
            <w:pPr>
              <w:rPr>
                <w:rFonts w:ascii="Times New Roman" w:hAnsi="Times New Roman"/>
                <w:b/>
                <w:bCs/>
                <w:lang w:val="es-CO"/>
              </w:rPr>
            </w:pPr>
            <w:r w:rsidRPr="00C87E07">
              <w:rPr>
                <w:rFonts w:ascii="Times New Roman" w:hAnsi="Times New Roman"/>
                <w:b/>
                <w:bCs/>
                <w:lang w:val="es-CO"/>
              </w:rPr>
              <w:t xml:space="preserve">2.2.  </w:t>
            </w:r>
            <w:r w:rsidRPr="00C87E07">
              <w:rPr>
                <w:rFonts w:ascii="Times New Roman" w:hAnsi="Times New Roman"/>
                <w:lang w:val="es-CO"/>
              </w:rPr>
              <w:t xml:space="preserve">Implementar la metodología de trabajo. </w:t>
            </w:r>
          </w:p>
        </w:tc>
        <w:tc>
          <w:tcPr>
            <w:tcW w:w="3240" w:type="dxa"/>
            <w:shd w:val="clear" w:color="auto" w:fill="auto"/>
            <w:hideMark/>
          </w:tcPr>
          <w:p w14:paraId="17C6165B" w14:textId="3B3996A3" w:rsidR="00BA70BC" w:rsidRPr="00C87E07" w:rsidRDefault="00BA70BC">
            <w:pPr>
              <w:rPr>
                <w:rFonts w:ascii="Times New Roman" w:hAnsi="Times New Roman"/>
                <w:lang w:val="es-CO"/>
              </w:rPr>
            </w:pPr>
            <w:r w:rsidRPr="00C87E07">
              <w:rPr>
                <w:rFonts w:ascii="Times New Roman" w:hAnsi="Times New Roman"/>
                <w:lang w:val="es-CO"/>
              </w:rPr>
              <w:t>2.2.1. Capacitación de funcionarios del DDHEE/SEDI en la metodología de trabajo modelo, y articulación con funcionarios de la secretaría técnica de la JD/AICD.</w:t>
            </w:r>
          </w:p>
        </w:tc>
        <w:tc>
          <w:tcPr>
            <w:tcW w:w="2970" w:type="dxa"/>
            <w:shd w:val="clear" w:color="auto" w:fill="auto"/>
            <w:hideMark/>
          </w:tcPr>
          <w:p w14:paraId="25546CAA" w14:textId="77777777" w:rsidR="00BA70BC" w:rsidRPr="00C87E07" w:rsidRDefault="00BA70BC">
            <w:pPr>
              <w:rPr>
                <w:rFonts w:ascii="Times New Roman" w:hAnsi="Times New Roman"/>
                <w:lang w:val="es-CO"/>
              </w:rPr>
            </w:pPr>
            <w:r w:rsidRPr="00C87E07">
              <w:rPr>
                <w:rFonts w:ascii="Times New Roman" w:hAnsi="Times New Roman"/>
                <w:lang w:val="es-CO"/>
              </w:rPr>
              <w:t>Al menos 3 sesiones de capacitación ofrecidas a funcionarios del DHDEE en el trimestre siguiente a la aprobación de la metodología.</w:t>
            </w:r>
          </w:p>
        </w:tc>
        <w:tc>
          <w:tcPr>
            <w:tcW w:w="2070" w:type="dxa"/>
            <w:shd w:val="clear" w:color="auto" w:fill="auto"/>
            <w:hideMark/>
          </w:tcPr>
          <w:p w14:paraId="32D973CD" w14:textId="77777777" w:rsidR="00BA70BC" w:rsidRPr="00C87E07" w:rsidRDefault="00BA70BC">
            <w:pPr>
              <w:rPr>
                <w:rFonts w:ascii="Times New Roman" w:hAnsi="Times New Roman"/>
                <w:lang w:val="es-CO"/>
              </w:rPr>
            </w:pPr>
            <w:r w:rsidRPr="00C87E07">
              <w:rPr>
                <w:rFonts w:ascii="Times New Roman" w:hAnsi="Times New Roman"/>
                <w:lang w:val="es-CO"/>
              </w:rPr>
              <w:t>Funcionarios capacitados.</w:t>
            </w:r>
            <w:r w:rsidRPr="00C87E07">
              <w:rPr>
                <w:rFonts w:ascii="Times New Roman" w:hAnsi="Times New Roman"/>
                <w:lang w:val="es-CO"/>
              </w:rPr>
              <w:br/>
              <w:t>Metodología implementada en la rutina de trabajo de la JD/AICD.</w:t>
            </w:r>
          </w:p>
        </w:tc>
        <w:tc>
          <w:tcPr>
            <w:tcW w:w="3600" w:type="dxa"/>
            <w:vMerge/>
          </w:tcPr>
          <w:p w14:paraId="6639C439" w14:textId="77777777" w:rsidR="00BA70BC" w:rsidRPr="00C87E07" w:rsidRDefault="00BA70BC">
            <w:pPr>
              <w:rPr>
                <w:rFonts w:ascii="Times New Roman" w:hAnsi="Times New Roman"/>
                <w:lang w:val="es-CO"/>
              </w:rPr>
            </w:pPr>
          </w:p>
        </w:tc>
      </w:tr>
    </w:tbl>
    <w:p w14:paraId="31C5CB91" w14:textId="554048B3" w:rsidR="00143C05" w:rsidRPr="00C87E07" w:rsidRDefault="00143C05">
      <w:pPr>
        <w:rPr>
          <w:lang w:val="es-CO"/>
        </w:rPr>
      </w:pPr>
    </w:p>
    <w:p w14:paraId="1E31E08F" w14:textId="77777777" w:rsidR="007D5E7F" w:rsidRPr="00C87E07" w:rsidRDefault="007D5E7F">
      <w:pPr>
        <w:rPr>
          <w:lang w:val="es-CO"/>
        </w:rPr>
      </w:pPr>
    </w:p>
    <w:tbl>
      <w:tblPr>
        <w:tblStyle w:val="TableGrid"/>
        <w:tblW w:w="14125" w:type="dxa"/>
        <w:tblLook w:val="04A0" w:firstRow="1" w:lastRow="0" w:firstColumn="1" w:lastColumn="0" w:noHBand="0" w:noVBand="1"/>
      </w:tblPr>
      <w:tblGrid>
        <w:gridCol w:w="2245"/>
        <w:gridCol w:w="3600"/>
        <w:gridCol w:w="3240"/>
        <w:gridCol w:w="2520"/>
        <w:gridCol w:w="2520"/>
      </w:tblGrid>
      <w:tr w:rsidR="0007444B" w:rsidRPr="0071322F" w14:paraId="2940FBB6" w14:textId="2FEEF383" w:rsidTr="009A1B2A">
        <w:trPr>
          <w:trHeight w:val="390"/>
        </w:trPr>
        <w:tc>
          <w:tcPr>
            <w:tcW w:w="14125" w:type="dxa"/>
            <w:gridSpan w:val="5"/>
            <w:shd w:val="clear" w:color="auto" w:fill="auto"/>
            <w:hideMark/>
          </w:tcPr>
          <w:p w14:paraId="7D00B8D6" w14:textId="6507810D" w:rsidR="0007444B" w:rsidRPr="00C87E07" w:rsidRDefault="0007444B">
            <w:pPr>
              <w:rPr>
                <w:rFonts w:ascii="Times New Roman" w:hAnsi="Times New Roman"/>
                <w:b/>
                <w:bCs/>
                <w:lang w:val="es-CO"/>
              </w:rPr>
            </w:pPr>
            <w:r w:rsidRPr="00C87E07">
              <w:rPr>
                <w:rFonts w:ascii="Times New Roman" w:hAnsi="Times New Roman"/>
                <w:b/>
                <w:bCs/>
                <w:lang w:val="es-CO"/>
              </w:rPr>
              <w:lastRenderedPageBreak/>
              <w:t xml:space="preserve">Acción priorizada 3: Fortalecer el Fondo de Cooperación para el Desarrollo (FCD). </w:t>
            </w:r>
          </w:p>
        </w:tc>
      </w:tr>
      <w:tr w:rsidR="0007444B" w:rsidRPr="00C87E07" w14:paraId="2765F602" w14:textId="219E9D8A" w:rsidTr="000867CA">
        <w:trPr>
          <w:trHeight w:val="450"/>
        </w:trPr>
        <w:tc>
          <w:tcPr>
            <w:tcW w:w="2245" w:type="dxa"/>
            <w:shd w:val="clear" w:color="auto" w:fill="auto"/>
            <w:hideMark/>
          </w:tcPr>
          <w:p w14:paraId="3D054B5C" w14:textId="77777777" w:rsidR="0007444B" w:rsidRPr="00C87E07" w:rsidRDefault="0007444B">
            <w:pPr>
              <w:rPr>
                <w:rFonts w:ascii="Times New Roman" w:hAnsi="Times New Roman"/>
                <w:b/>
                <w:bCs/>
                <w:lang w:val="es-CO"/>
              </w:rPr>
            </w:pPr>
            <w:r w:rsidRPr="00C87E07">
              <w:rPr>
                <w:rFonts w:ascii="Times New Roman" w:hAnsi="Times New Roman"/>
                <w:b/>
                <w:bCs/>
                <w:lang w:val="es-CO"/>
              </w:rPr>
              <w:t>Tareas:</w:t>
            </w:r>
          </w:p>
        </w:tc>
        <w:tc>
          <w:tcPr>
            <w:tcW w:w="3600" w:type="dxa"/>
            <w:shd w:val="clear" w:color="auto" w:fill="auto"/>
            <w:hideMark/>
          </w:tcPr>
          <w:p w14:paraId="0F28E4E3" w14:textId="77777777" w:rsidR="0007444B" w:rsidRPr="00C87E07" w:rsidRDefault="0007444B">
            <w:pPr>
              <w:rPr>
                <w:rFonts w:ascii="Times New Roman" w:hAnsi="Times New Roman"/>
                <w:b/>
                <w:bCs/>
                <w:lang w:val="es-CO"/>
              </w:rPr>
            </w:pPr>
            <w:r w:rsidRPr="00C87E07">
              <w:rPr>
                <w:rFonts w:ascii="Times New Roman" w:hAnsi="Times New Roman"/>
                <w:b/>
                <w:bCs/>
                <w:lang w:val="es-CO"/>
              </w:rPr>
              <w:t>Objetivos:</w:t>
            </w:r>
          </w:p>
        </w:tc>
        <w:tc>
          <w:tcPr>
            <w:tcW w:w="3240" w:type="dxa"/>
            <w:shd w:val="clear" w:color="auto" w:fill="auto"/>
            <w:hideMark/>
          </w:tcPr>
          <w:p w14:paraId="2EE1917D" w14:textId="77777777" w:rsidR="0007444B" w:rsidRPr="00C87E07" w:rsidRDefault="0007444B">
            <w:pPr>
              <w:rPr>
                <w:rFonts w:ascii="Times New Roman" w:hAnsi="Times New Roman"/>
                <w:b/>
                <w:bCs/>
                <w:lang w:val="es-CO"/>
              </w:rPr>
            </w:pPr>
            <w:r w:rsidRPr="00C87E07">
              <w:rPr>
                <w:rFonts w:ascii="Times New Roman" w:hAnsi="Times New Roman"/>
                <w:b/>
                <w:bCs/>
                <w:lang w:val="es-CO"/>
              </w:rPr>
              <w:t>Entregable / Indicador:</w:t>
            </w:r>
          </w:p>
        </w:tc>
        <w:tc>
          <w:tcPr>
            <w:tcW w:w="2520" w:type="dxa"/>
            <w:shd w:val="clear" w:color="auto" w:fill="auto"/>
            <w:hideMark/>
          </w:tcPr>
          <w:p w14:paraId="1E9724A8" w14:textId="77777777" w:rsidR="0007444B" w:rsidRPr="00C87E07" w:rsidRDefault="0007444B">
            <w:pPr>
              <w:rPr>
                <w:rFonts w:ascii="Times New Roman" w:hAnsi="Times New Roman"/>
                <w:b/>
                <w:bCs/>
                <w:lang w:val="es-CO"/>
              </w:rPr>
            </w:pPr>
            <w:r w:rsidRPr="00C87E07">
              <w:rPr>
                <w:rFonts w:ascii="Times New Roman" w:hAnsi="Times New Roman"/>
                <w:b/>
                <w:bCs/>
                <w:lang w:val="es-CO"/>
              </w:rPr>
              <w:t>Resultado Esperado:</w:t>
            </w:r>
          </w:p>
        </w:tc>
        <w:tc>
          <w:tcPr>
            <w:tcW w:w="2520" w:type="dxa"/>
          </w:tcPr>
          <w:p w14:paraId="5D0E710D" w14:textId="2FF9483D" w:rsidR="0007444B" w:rsidRPr="00C87E07" w:rsidRDefault="00151929">
            <w:pPr>
              <w:rPr>
                <w:rFonts w:ascii="Times New Roman" w:hAnsi="Times New Roman"/>
                <w:b/>
                <w:bCs/>
                <w:lang w:val="es-CO"/>
              </w:rPr>
            </w:pPr>
            <w:r>
              <w:rPr>
                <w:rFonts w:ascii="Times New Roman" w:hAnsi="Times New Roman"/>
                <w:b/>
                <w:bCs/>
                <w:lang w:val="es-CO"/>
              </w:rPr>
              <w:t>Actualización</w:t>
            </w:r>
            <w:r w:rsidR="00BA70BC">
              <w:rPr>
                <w:rFonts w:ascii="Times New Roman" w:hAnsi="Times New Roman"/>
                <w:b/>
                <w:bCs/>
                <w:lang w:val="es-CO"/>
              </w:rPr>
              <w:t xml:space="preserve"> 15/03/21:</w:t>
            </w:r>
          </w:p>
        </w:tc>
      </w:tr>
      <w:tr w:rsidR="003D3F19" w:rsidRPr="0071322F" w14:paraId="10A8037D" w14:textId="34F62216" w:rsidTr="000867CA">
        <w:trPr>
          <w:trHeight w:val="1628"/>
        </w:trPr>
        <w:tc>
          <w:tcPr>
            <w:tcW w:w="2245" w:type="dxa"/>
            <w:shd w:val="clear" w:color="auto" w:fill="auto"/>
          </w:tcPr>
          <w:p w14:paraId="0D9B6E51" w14:textId="15DB634E" w:rsidR="003D3F19" w:rsidRPr="00C87E07" w:rsidRDefault="003D3F19" w:rsidP="00533A20">
            <w:pPr>
              <w:rPr>
                <w:rFonts w:ascii="Times New Roman" w:hAnsi="Times New Roman"/>
                <w:b/>
                <w:bCs/>
                <w:lang w:val="es-CO"/>
              </w:rPr>
            </w:pPr>
            <w:r w:rsidRPr="00C87E07">
              <w:rPr>
                <w:rFonts w:ascii="Times New Roman" w:hAnsi="Times New Roman"/>
                <w:b/>
                <w:bCs/>
                <w:lang w:val="es-CO"/>
              </w:rPr>
              <w:t xml:space="preserve">3.0. </w:t>
            </w:r>
            <w:r w:rsidRPr="00C87E07">
              <w:rPr>
                <w:rFonts w:ascii="Times New Roman" w:hAnsi="Times New Roman"/>
                <w:bCs/>
                <w:lang w:val="es-CO"/>
              </w:rPr>
              <w:t xml:space="preserve">Potencial para abordar la crisis a través del área de acción del próximo </w:t>
            </w:r>
            <w:r w:rsidRPr="00C87E07">
              <w:rPr>
                <w:rFonts w:ascii="Times New Roman" w:hAnsi="Times New Roman"/>
                <w:lang w:val="es-CO"/>
              </w:rPr>
              <w:t>ciclo programático del FCD</w:t>
            </w:r>
            <w:r w:rsidRPr="00C87E07">
              <w:rPr>
                <w:rFonts w:ascii="Times New Roman" w:hAnsi="Times New Roman"/>
                <w:bCs/>
                <w:lang w:val="es-CO"/>
              </w:rPr>
              <w:t xml:space="preserve">.  </w:t>
            </w:r>
          </w:p>
        </w:tc>
        <w:tc>
          <w:tcPr>
            <w:tcW w:w="3600" w:type="dxa"/>
            <w:shd w:val="clear" w:color="auto" w:fill="auto"/>
          </w:tcPr>
          <w:p w14:paraId="1EE3C6C2" w14:textId="349F5FA6" w:rsidR="003D3F19" w:rsidRPr="00C87E07" w:rsidRDefault="003D3F19" w:rsidP="00B00FA1">
            <w:pPr>
              <w:pStyle w:val="ListParagraph"/>
              <w:ind w:left="0"/>
              <w:rPr>
                <w:rFonts w:ascii="Times New Roman" w:hAnsi="Times New Roman"/>
                <w:lang w:val="es-CO"/>
              </w:rPr>
            </w:pPr>
            <w:r w:rsidRPr="00C87E07">
              <w:rPr>
                <w:rFonts w:ascii="Times New Roman" w:hAnsi="Times New Roman"/>
                <w:bCs/>
                <w:lang w:val="es-CO"/>
              </w:rPr>
              <w:t xml:space="preserve">3.0.1. Establecer una fecha para una discusión sobre el área de acción para el próximo </w:t>
            </w:r>
            <w:r w:rsidRPr="00C87E07">
              <w:rPr>
                <w:rFonts w:ascii="Times New Roman" w:hAnsi="Times New Roman"/>
                <w:lang w:val="es-CO"/>
              </w:rPr>
              <w:t>ciclo programático</w:t>
            </w:r>
            <w:r w:rsidRPr="00C87E07">
              <w:rPr>
                <w:rFonts w:ascii="Times New Roman" w:hAnsi="Times New Roman"/>
                <w:bCs/>
                <w:lang w:val="es-CO"/>
              </w:rPr>
              <w:t xml:space="preserve"> del FCD y tomar una decisión final. </w:t>
            </w:r>
          </w:p>
        </w:tc>
        <w:tc>
          <w:tcPr>
            <w:tcW w:w="3240" w:type="dxa"/>
            <w:shd w:val="clear" w:color="auto" w:fill="auto"/>
          </w:tcPr>
          <w:p w14:paraId="234CD632" w14:textId="77777777" w:rsidR="003D3F19" w:rsidRPr="00C87E07" w:rsidRDefault="003D3F19" w:rsidP="00B00FA1">
            <w:pPr>
              <w:rPr>
                <w:rFonts w:ascii="Times New Roman" w:hAnsi="Times New Roman"/>
                <w:lang w:val="es-CO"/>
              </w:rPr>
            </w:pPr>
            <w:r w:rsidRPr="00C87E07">
              <w:rPr>
                <w:rFonts w:ascii="Times New Roman" w:hAnsi="Times New Roman"/>
                <w:bCs/>
                <w:lang w:val="es-CO"/>
              </w:rPr>
              <w:t xml:space="preserve">Se celebra una reunión y una consulta virtual en la que los Estados miembros toman una decisión sobre el área de acción para el próximo </w:t>
            </w:r>
            <w:r w:rsidRPr="00C87E07">
              <w:rPr>
                <w:rFonts w:ascii="Times New Roman" w:hAnsi="Times New Roman"/>
                <w:lang w:val="es-CO"/>
              </w:rPr>
              <w:t xml:space="preserve">ciclo programático </w:t>
            </w:r>
            <w:r w:rsidRPr="00C87E07">
              <w:rPr>
                <w:rFonts w:ascii="Times New Roman" w:hAnsi="Times New Roman"/>
                <w:bCs/>
                <w:lang w:val="es-CO"/>
              </w:rPr>
              <w:t xml:space="preserve">del FCD. </w:t>
            </w:r>
          </w:p>
        </w:tc>
        <w:tc>
          <w:tcPr>
            <w:tcW w:w="2520" w:type="dxa"/>
            <w:shd w:val="clear" w:color="auto" w:fill="auto"/>
          </w:tcPr>
          <w:p w14:paraId="55C20E36" w14:textId="77777777" w:rsidR="003D3F19" w:rsidRPr="00C87E07" w:rsidRDefault="003D3F19" w:rsidP="00B00FA1">
            <w:pPr>
              <w:rPr>
                <w:rFonts w:ascii="Times New Roman" w:hAnsi="Times New Roman"/>
                <w:lang w:val="es-CO"/>
              </w:rPr>
            </w:pPr>
            <w:r w:rsidRPr="00C87E07">
              <w:rPr>
                <w:rFonts w:ascii="Times New Roman" w:hAnsi="Times New Roman"/>
                <w:bCs/>
                <w:lang w:val="es-CO"/>
              </w:rPr>
              <w:t xml:space="preserve">La JD/AICD define un área de enfoque para el próximo </w:t>
            </w:r>
            <w:r w:rsidRPr="00C87E07">
              <w:rPr>
                <w:rFonts w:ascii="Times New Roman" w:hAnsi="Times New Roman"/>
                <w:lang w:val="es-CO"/>
              </w:rPr>
              <w:t xml:space="preserve">ciclo programático </w:t>
            </w:r>
            <w:r w:rsidRPr="00C87E07">
              <w:rPr>
                <w:rFonts w:ascii="Times New Roman" w:hAnsi="Times New Roman"/>
                <w:bCs/>
                <w:lang w:val="es-CO"/>
              </w:rPr>
              <w:t>del FCD para presentación al CIDI, potencialmente alineado con las prioridades de los Estados miembros con respecto a COVID-19.</w:t>
            </w:r>
          </w:p>
        </w:tc>
        <w:tc>
          <w:tcPr>
            <w:tcW w:w="2520" w:type="dxa"/>
            <w:vMerge w:val="restart"/>
          </w:tcPr>
          <w:p w14:paraId="31EEA0FE" w14:textId="77777777" w:rsidR="00611A65" w:rsidRPr="00611A65" w:rsidRDefault="00611A65" w:rsidP="003D3F19">
            <w:pPr>
              <w:numPr>
                <w:ilvl w:val="0"/>
                <w:numId w:val="23"/>
              </w:numPr>
              <w:tabs>
                <w:tab w:val="left" w:pos="334"/>
                <w:tab w:val="left" w:pos="472"/>
                <w:tab w:val="num" w:pos="720"/>
              </w:tabs>
              <w:autoSpaceDE w:val="0"/>
              <w:autoSpaceDN w:val="0"/>
              <w:adjustRightInd w:val="0"/>
              <w:spacing w:after="0" w:line="240" w:lineRule="auto"/>
              <w:ind w:left="34" w:firstLine="33"/>
              <w:rPr>
                <w:rFonts w:ascii="Times New Roman" w:hAnsi="Times New Roman"/>
                <w:bCs/>
                <w:lang w:val="es-CO"/>
              </w:rPr>
            </w:pPr>
            <w:r w:rsidRPr="00611A65">
              <w:rPr>
                <w:rFonts w:ascii="Times New Roman" w:eastAsia="MS PGothic" w:hAnsi="Times New Roman"/>
                <w:kern w:val="24"/>
                <w:sz w:val="24"/>
                <w:szCs w:val="24"/>
                <w:lang w:val="es-CO"/>
              </w:rPr>
              <w:t>El</w:t>
            </w:r>
            <w:r w:rsidRPr="00611A65">
              <w:rPr>
                <w:rFonts w:ascii="Times New Roman" w:hAnsi="Times New Roman"/>
                <w:bCs/>
                <w:lang w:val="es-ES"/>
              </w:rPr>
              <w:t xml:space="preserve"> enfoque del </w:t>
            </w:r>
            <w:r w:rsidRPr="00611A65">
              <w:rPr>
                <w:rFonts w:ascii="Times New Roman" w:hAnsi="Times New Roman"/>
                <w:bCs/>
                <w:i/>
                <w:iCs/>
                <w:lang w:val="es-ES"/>
              </w:rPr>
              <w:t xml:space="preserve">Ciclo de Programación 2021-2024 de la OEA/FDC </w:t>
            </w:r>
            <w:r w:rsidRPr="00611A65">
              <w:rPr>
                <w:rFonts w:ascii="Times New Roman" w:hAnsi="Times New Roman"/>
                <w:bCs/>
                <w:lang w:val="es-ES"/>
              </w:rPr>
              <w:t>fue definido por la JD/AICD considerando la Emergencia Global del COVID-19 y la necesidad de apoyar a los Estados miembros en sus esfuerzos de recuperación.</w:t>
            </w:r>
          </w:p>
          <w:p w14:paraId="2AA2F296" w14:textId="77777777" w:rsidR="00611A65" w:rsidRPr="00611A65" w:rsidRDefault="00611A65" w:rsidP="003D3F19">
            <w:pPr>
              <w:numPr>
                <w:ilvl w:val="0"/>
                <w:numId w:val="23"/>
              </w:numPr>
              <w:tabs>
                <w:tab w:val="left" w:pos="334"/>
                <w:tab w:val="left" w:pos="472"/>
                <w:tab w:val="num" w:pos="720"/>
              </w:tabs>
              <w:autoSpaceDE w:val="0"/>
              <w:autoSpaceDN w:val="0"/>
              <w:adjustRightInd w:val="0"/>
              <w:spacing w:after="0" w:line="240" w:lineRule="auto"/>
              <w:ind w:left="34" w:firstLine="33"/>
              <w:rPr>
                <w:rFonts w:ascii="Times New Roman" w:hAnsi="Times New Roman"/>
                <w:bCs/>
                <w:lang w:val="es-CO"/>
              </w:rPr>
            </w:pPr>
            <w:r w:rsidRPr="00611A65">
              <w:rPr>
                <w:rFonts w:ascii="Times New Roman" w:hAnsi="Times New Roman"/>
                <w:bCs/>
                <w:i/>
                <w:iCs/>
                <w:lang w:val="es-ES"/>
              </w:rPr>
              <w:t xml:space="preserve">“Resiliencia incluyente para una recuperación eficaz enfocada en la ciencia y la tecnología” </w:t>
            </w:r>
            <w:r w:rsidRPr="00611A65">
              <w:rPr>
                <w:rFonts w:ascii="Times New Roman" w:hAnsi="Times New Roman"/>
                <w:bCs/>
                <w:lang w:val="es-ES"/>
              </w:rPr>
              <w:t>fue el Área de Acción aprobada por la JD el 3 de diciembre y confirmada por el CIDI el 8 de diciembre, con los siguientes temas:</w:t>
            </w:r>
          </w:p>
          <w:p w14:paraId="484134D1" w14:textId="77777777" w:rsidR="003D3F19" w:rsidRPr="00611A65" w:rsidRDefault="003D3F19" w:rsidP="003D3F19">
            <w:pPr>
              <w:spacing w:after="0" w:line="240" w:lineRule="auto"/>
              <w:rPr>
                <w:rFonts w:ascii="Times New Roman" w:hAnsi="Times New Roman"/>
                <w:bCs/>
                <w:lang w:val="es-CO"/>
              </w:rPr>
            </w:pPr>
            <w:r w:rsidRPr="00611A65">
              <w:rPr>
                <w:rFonts w:ascii="Times New Roman" w:hAnsi="Times New Roman"/>
                <w:bCs/>
                <w:lang w:val="es-ES"/>
              </w:rPr>
              <w:t> </w:t>
            </w:r>
          </w:p>
          <w:p w14:paraId="089404FB" w14:textId="77777777" w:rsidR="00611A65" w:rsidRPr="00611A65" w:rsidRDefault="00611A65" w:rsidP="003D3F19">
            <w:pPr>
              <w:numPr>
                <w:ilvl w:val="0"/>
                <w:numId w:val="26"/>
              </w:numPr>
              <w:tabs>
                <w:tab w:val="clear" w:pos="720"/>
                <w:tab w:val="num" w:pos="360"/>
              </w:tabs>
              <w:spacing w:after="0" w:line="240" w:lineRule="auto"/>
              <w:ind w:left="0" w:hanging="20"/>
              <w:rPr>
                <w:rFonts w:ascii="Times New Roman" w:hAnsi="Times New Roman"/>
                <w:bCs/>
                <w:lang w:val="es-CO"/>
              </w:rPr>
            </w:pPr>
            <w:r w:rsidRPr="00611A65">
              <w:rPr>
                <w:rFonts w:ascii="Times New Roman" w:hAnsi="Times New Roman"/>
                <w:bCs/>
                <w:lang w:val="es-ES"/>
              </w:rPr>
              <w:t>Reforzamiento de las MPYME a través de la innovación y la tecnología.</w:t>
            </w:r>
          </w:p>
          <w:p w14:paraId="318FB680" w14:textId="77777777" w:rsidR="00611A65" w:rsidRPr="00611A65" w:rsidRDefault="00611A65" w:rsidP="003D3F19">
            <w:pPr>
              <w:numPr>
                <w:ilvl w:val="0"/>
                <w:numId w:val="26"/>
              </w:numPr>
              <w:tabs>
                <w:tab w:val="clear" w:pos="720"/>
                <w:tab w:val="num" w:pos="360"/>
              </w:tabs>
              <w:spacing w:after="0" w:line="240" w:lineRule="auto"/>
              <w:ind w:left="0" w:hanging="20"/>
              <w:rPr>
                <w:rFonts w:ascii="Times New Roman" w:hAnsi="Times New Roman"/>
                <w:bCs/>
                <w:lang w:val="es-CO"/>
              </w:rPr>
            </w:pPr>
            <w:r w:rsidRPr="00611A65">
              <w:rPr>
                <w:rFonts w:ascii="Times New Roman" w:hAnsi="Times New Roman"/>
                <w:bCs/>
                <w:lang w:val="es-ES"/>
              </w:rPr>
              <w:t xml:space="preserve">Reconversión de la fuerza laboral con </w:t>
            </w:r>
            <w:r w:rsidRPr="00611A65">
              <w:rPr>
                <w:rFonts w:ascii="Times New Roman" w:hAnsi="Times New Roman"/>
                <w:bCs/>
                <w:lang w:val="es-ES"/>
              </w:rPr>
              <w:lastRenderedPageBreak/>
              <w:t>enfoque innovador para la recuperación del sector turístico y las economías regionales.</w:t>
            </w:r>
          </w:p>
          <w:p w14:paraId="71591182" w14:textId="77777777" w:rsidR="00611A65" w:rsidRPr="00611A65" w:rsidRDefault="00611A65" w:rsidP="003D3F19">
            <w:pPr>
              <w:numPr>
                <w:ilvl w:val="0"/>
                <w:numId w:val="26"/>
              </w:numPr>
              <w:tabs>
                <w:tab w:val="clear" w:pos="720"/>
                <w:tab w:val="num" w:pos="360"/>
              </w:tabs>
              <w:spacing w:after="0" w:line="240" w:lineRule="auto"/>
              <w:ind w:left="0" w:hanging="20"/>
              <w:rPr>
                <w:rFonts w:ascii="Times New Roman" w:hAnsi="Times New Roman"/>
                <w:bCs/>
                <w:lang w:val="es-CO"/>
              </w:rPr>
            </w:pPr>
            <w:r w:rsidRPr="00611A65">
              <w:rPr>
                <w:rFonts w:ascii="Times New Roman" w:hAnsi="Times New Roman"/>
                <w:bCs/>
                <w:lang w:val="es-ES"/>
              </w:rPr>
              <w:t>Innovación científica y tecnológica para fortalecer la resiliencia.</w:t>
            </w:r>
          </w:p>
          <w:p w14:paraId="01018D3C" w14:textId="77777777" w:rsidR="00611A65" w:rsidRPr="00611A65" w:rsidRDefault="00611A65" w:rsidP="003D3F19">
            <w:pPr>
              <w:numPr>
                <w:ilvl w:val="0"/>
                <w:numId w:val="26"/>
              </w:numPr>
              <w:tabs>
                <w:tab w:val="clear" w:pos="720"/>
                <w:tab w:val="num" w:pos="360"/>
              </w:tabs>
              <w:spacing w:after="0" w:line="240" w:lineRule="auto"/>
              <w:ind w:left="0" w:hanging="20"/>
              <w:rPr>
                <w:rFonts w:ascii="Times New Roman" w:hAnsi="Times New Roman"/>
                <w:bCs/>
                <w:lang w:val="es-CO"/>
              </w:rPr>
            </w:pPr>
            <w:r w:rsidRPr="00611A65">
              <w:rPr>
                <w:rFonts w:ascii="Times New Roman" w:hAnsi="Times New Roman"/>
                <w:bCs/>
                <w:lang w:val="es-ES"/>
              </w:rPr>
              <w:t>La ciencia para la toma de decisiones en la planeación del riesgo de desastres.</w:t>
            </w:r>
          </w:p>
          <w:p w14:paraId="618675CA" w14:textId="77777777" w:rsidR="003D3F19" w:rsidRPr="00C87E07" w:rsidRDefault="003D3F19" w:rsidP="00B00FA1">
            <w:pPr>
              <w:rPr>
                <w:rFonts w:ascii="Times New Roman" w:hAnsi="Times New Roman"/>
                <w:bCs/>
                <w:lang w:val="es-CO"/>
              </w:rPr>
            </w:pPr>
          </w:p>
        </w:tc>
      </w:tr>
      <w:tr w:rsidR="003D3F19" w:rsidRPr="0071322F" w14:paraId="0293685C" w14:textId="704927A9" w:rsidTr="000867CA">
        <w:trPr>
          <w:trHeight w:val="539"/>
        </w:trPr>
        <w:tc>
          <w:tcPr>
            <w:tcW w:w="2245" w:type="dxa"/>
            <w:vMerge w:val="restart"/>
            <w:shd w:val="clear" w:color="auto" w:fill="auto"/>
            <w:hideMark/>
          </w:tcPr>
          <w:p w14:paraId="189A8C08" w14:textId="77777777" w:rsidR="003D3F19" w:rsidRPr="00C87E07" w:rsidRDefault="003D3F19">
            <w:pPr>
              <w:rPr>
                <w:rFonts w:ascii="Times New Roman" w:hAnsi="Times New Roman"/>
                <w:lang w:val="es-CO"/>
              </w:rPr>
            </w:pPr>
            <w:r w:rsidRPr="00C87E07">
              <w:rPr>
                <w:rFonts w:ascii="Times New Roman" w:hAnsi="Times New Roman"/>
                <w:b/>
                <w:bCs/>
                <w:lang w:val="es-CO"/>
              </w:rPr>
              <w:t xml:space="preserve">3.1.  </w:t>
            </w:r>
            <w:r w:rsidRPr="00C87E07">
              <w:rPr>
                <w:rFonts w:ascii="Times New Roman" w:hAnsi="Times New Roman"/>
                <w:lang w:val="es-CO"/>
              </w:rPr>
              <w:t xml:space="preserve">Reevaluar el ciclo programático del FCD. </w:t>
            </w:r>
          </w:p>
          <w:p w14:paraId="7BFADC87" w14:textId="77777777" w:rsidR="003D3F19" w:rsidRPr="00C87E07" w:rsidRDefault="003D3F19">
            <w:pPr>
              <w:rPr>
                <w:rFonts w:ascii="Times New Roman" w:hAnsi="Times New Roman"/>
                <w:lang w:val="es-CO"/>
              </w:rPr>
            </w:pPr>
          </w:p>
          <w:p w14:paraId="61EB2E23" w14:textId="77777777" w:rsidR="003D3F19" w:rsidRPr="00C87E07" w:rsidRDefault="003D3F19" w:rsidP="00CA48CA">
            <w:pPr>
              <w:pStyle w:val="ListParagraph"/>
              <w:ind w:left="0"/>
              <w:rPr>
                <w:rFonts w:ascii="Times New Roman" w:hAnsi="Times New Roman"/>
                <w:lang w:val="es-CO"/>
              </w:rPr>
            </w:pPr>
            <w:r w:rsidRPr="00C87E07">
              <w:rPr>
                <w:rFonts w:ascii="Times New Roman" w:hAnsi="Times New Roman"/>
                <w:bCs/>
                <w:lang w:val="es-CO"/>
              </w:rPr>
              <w:t xml:space="preserve">* </w:t>
            </w:r>
            <w:r w:rsidRPr="00C87E07">
              <w:rPr>
                <w:rFonts w:ascii="Times New Roman" w:hAnsi="Times New Roman"/>
                <w:lang w:val="es-CO"/>
              </w:rPr>
              <w:t>Velar para que las acciones que se ejecuten en el marco del ciclo programático incorporen un enfoque para el fortalecimiento de capacidades nacionales y locales.</w:t>
            </w:r>
          </w:p>
        </w:tc>
        <w:tc>
          <w:tcPr>
            <w:tcW w:w="3600" w:type="dxa"/>
            <w:shd w:val="clear" w:color="auto" w:fill="auto"/>
            <w:hideMark/>
          </w:tcPr>
          <w:p w14:paraId="1655E1BD" w14:textId="3E5EC319" w:rsidR="003D3F19" w:rsidRPr="00C87E07" w:rsidRDefault="003D3F19" w:rsidP="00143C05">
            <w:pPr>
              <w:pStyle w:val="ListParagraph"/>
              <w:ind w:left="0"/>
              <w:rPr>
                <w:rFonts w:ascii="Times New Roman" w:hAnsi="Times New Roman"/>
                <w:bCs/>
                <w:lang w:val="es-CO"/>
              </w:rPr>
            </w:pPr>
            <w:r w:rsidRPr="00C87E07">
              <w:rPr>
                <w:rFonts w:ascii="Times New Roman" w:hAnsi="Times New Roman"/>
                <w:lang w:val="es-CO"/>
              </w:rPr>
              <w:t>3.1.1. Realizar una investigación sobre las modalidades utilizadas por los Estados Miembros y observadores para contribuir a fondos voluntarios/específicos en la SEDI/OEA.</w:t>
            </w:r>
            <w:r w:rsidRPr="00C87E07">
              <w:rPr>
                <w:rFonts w:ascii="Times New Roman" w:hAnsi="Times New Roman"/>
                <w:bCs/>
                <w:lang w:val="es-CO"/>
              </w:rPr>
              <w:t xml:space="preserve"> Identificar formas alternativas y más flexibles de capitalización del FCD que puedan alentar las contribuciones de los Estados Miembros, Observadores Permanentes y otros actores.</w:t>
            </w:r>
          </w:p>
        </w:tc>
        <w:tc>
          <w:tcPr>
            <w:tcW w:w="3240" w:type="dxa"/>
            <w:shd w:val="clear" w:color="auto" w:fill="auto"/>
            <w:hideMark/>
          </w:tcPr>
          <w:p w14:paraId="77C1CE26" w14:textId="77777777" w:rsidR="003D3F19" w:rsidRPr="00C87E07" w:rsidRDefault="003D3F19">
            <w:pPr>
              <w:rPr>
                <w:rFonts w:ascii="Times New Roman" w:hAnsi="Times New Roman"/>
                <w:lang w:val="es-CO"/>
              </w:rPr>
            </w:pPr>
            <w:r w:rsidRPr="00C87E07">
              <w:rPr>
                <w:rFonts w:ascii="Times New Roman" w:hAnsi="Times New Roman"/>
                <w:lang w:val="es-CO"/>
              </w:rPr>
              <w:t xml:space="preserve">1 reporte de las modalidades utilizadas por los Estados Miembros y observadores para contribuir a fondos voluntarios/específicos en SEDI y como se distribuyen esos fondos para financiar proyectos/programas de la Secretaría.  </w:t>
            </w:r>
          </w:p>
        </w:tc>
        <w:tc>
          <w:tcPr>
            <w:tcW w:w="2520" w:type="dxa"/>
            <w:vMerge w:val="restart"/>
            <w:shd w:val="clear" w:color="auto" w:fill="auto"/>
            <w:hideMark/>
          </w:tcPr>
          <w:p w14:paraId="610E7460" w14:textId="77777777" w:rsidR="003D3F19" w:rsidRPr="00C87E07" w:rsidRDefault="003D3F19">
            <w:pPr>
              <w:rPr>
                <w:rFonts w:ascii="Times New Roman" w:hAnsi="Times New Roman"/>
                <w:lang w:val="es-CO"/>
              </w:rPr>
            </w:pPr>
            <w:r w:rsidRPr="00C87E07">
              <w:rPr>
                <w:rFonts w:ascii="Times New Roman" w:hAnsi="Times New Roman"/>
                <w:lang w:val="es-CO"/>
              </w:rPr>
              <w:t>Comprensión mejorada de los incentivos que atraen u obstaculizan las contribuciones voluntarias al Fondo.</w:t>
            </w:r>
          </w:p>
        </w:tc>
        <w:tc>
          <w:tcPr>
            <w:tcW w:w="2520" w:type="dxa"/>
            <w:vMerge/>
          </w:tcPr>
          <w:p w14:paraId="41838305" w14:textId="77777777" w:rsidR="003D3F19" w:rsidRPr="00C87E07" w:rsidRDefault="003D3F19">
            <w:pPr>
              <w:rPr>
                <w:rFonts w:ascii="Times New Roman" w:hAnsi="Times New Roman"/>
                <w:lang w:val="es-CO"/>
              </w:rPr>
            </w:pPr>
          </w:p>
        </w:tc>
      </w:tr>
      <w:tr w:rsidR="003D3F19" w:rsidRPr="0071322F" w14:paraId="45648750" w14:textId="7BE48C7B" w:rsidTr="000867CA">
        <w:trPr>
          <w:trHeight w:val="945"/>
        </w:trPr>
        <w:tc>
          <w:tcPr>
            <w:tcW w:w="2245" w:type="dxa"/>
            <w:vMerge/>
            <w:shd w:val="clear" w:color="auto" w:fill="auto"/>
            <w:hideMark/>
          </w:tcPr>
          <w:p w14:paraId="6C1750F5" w14:textId="77777777" w:rsidR="003D3F19" w:rsidRPr="00C87E07" w:rsidRDefault="003D3F19">
            <w:pPr>
              <w:rPr>
                <w:rFonts w:ascii="Times New Roman" w:hAnsi="Times New Roman"/>
                <w:b/>
                <w:bCs/>
                <w:lang w:val="es-CO"/>
              </w:rPr>
            </w:pPr>
          </w:p>
        </w:tc>
        <w:tc>
          <w:tcPr>
            <w:tcW w:w="3600" w:type="dxa"/>
            <w:shd w:val="clear" w:color="auto" w:fill="auto"/>
            <w:hideMark/>
          </w:tcPr>
          <w:p w14:paraId="5589C868" w14:textId="516D8AAF" w:rsidR="003D3F19" w:rsidRPr="00C87E07" w:rsidRDefault="003D3F19">
            <w:pPr>
              <w:rPr>
                <w:rFonts w:ascii="Times New Roman" w:hAnsi="Times New Roman"/>
                <w:lang w:val="es-CO"/>
              </w:rPr>
            </w:pPr>
            <w:r w:rsidRPr="00C87E07">
              <w:rPr>
                <w:rFonts w:ascii="Times New Roman" w:hAnsi="Times New Roman"/>
                <w:lang w:val="es-CO"/>
              </w:rPr>
              <w:t>3.1.2. Analizar la eficiencia y la efectividad de los dos primeros ciclos de programación del FCD (2014-2017 y 2017-2021) basado en iniciativas nacionales bajo un área de enfoque.</w:t>
            </w:r>
          </w:p>
        </w:tc>
        <w:tc>
          <w:tcPr>
            <w:tcW w:w="3240" w:type="dxa"/>
            <w:vMerge w:val="restart"/>
            <w:shd w:val="clear" w:color="auto" w:fill="auto"/>
            <w:hideMark/>
          </w:tcPr>
          <w:p w14:paraId="57C0E957" w14:textId="77777777" w:rsidR="003D3F19" w:rsidRDefault="003D3F19">
            <w:pPr>
              <w:rPr>
                <w:rFonts w:ascii="Times New Roman" w:hAnsi="Times New Roman"/>
                <w:lang w:val="es-CO"/>
              </w:rPr>
            </w:pPr>
            <w:r w:rsidRPr="00C87E07">
              <w:rPr>
                <w:rFonts w:ascii="Times New Roman" w:hAnsi="Times New Roman"/>
                <w:lang w:val="es-CO"/>
              </w:rPr>
              <w:t xml:space="preserve">1 informe sobre la eficiencia y la efectividad de los dos primeros ciclos de programación del FCD (2014-2017 y 2017-2021) basado en iniciativas nacionales bajo un </w:t>
            </w:r>
            <w:r w:rsidRPr="00C87E07">
              <w:rPr>
                <w:rFonts w:ascii="Times New Roman" w:hAnsi="Times New Roman"/>
                <w:lang w:val="es-CO"/>
              </w:rPr>
              <w:lastRenderedPageBreak/>
              <w:t>área de enfoque vs. ciclos de programación regional con múltiples áreas de enfoque. El informe debe presentar propuestas claras y acciones a emprender a los Estados Miembros de la JD/AICD para su consideración y aprobación.</w:t>
            </w:r>
          </w:p>
          <w:p w14:paraId="7500EB97" w14:textId="77777777" w:rsidR="003D3F19" w:rsidRDefault="003D3F19">
            <w:pPr>
              <w:rPr>
                <w:rFonts w:ascii="Times New Roman" w:hAnsi="Times New Roman"/>
                <w:lang w:val="es-CO"/>
              </w:rPr>
            </w:pPr>
          </w:p>
          <w:p w14:paraId="21DA22DD" w14:textId="1EC48A78" w:rsidR="003D3F19" w:rsidRPr="00C87E07" w:rsidRDefault="003D3F19">
            <w:pPr>
              <w:rPr>
                <w:rFonts w:ascii="Times New Roman" w:hAnsi="Times New Roman"/>
                <w:lang w:val="es-CO"/>
              </w:rPr>
            </w:pPr>
          </w:p>
        </w:tc>
        <w:tc>
          <w:tcPr>
            <w:tcW w:w="2520" w:type="dxa"/>
            <w:vMerge/>
            <w:shd w:val="clear" w:color="auto" w:fill="auto"/>
            <w:hideMark/>
          </w:tcPr>
          <w:p w14:paraId="48782D09" w14:textId="77777777" w:rsidR="003D3F19" w:rsidRPr="00C87E07" w:rsidRDefault="003D3F19">
            <w:pPr>
              <w:rPr>
                <w:rFonts w:ascii="Times New Roman" w:hAnsi="Times New Roman"/>
                <w:lang w:val="es-CO"/>
              </w:rPr>
            </w:pPr>
          </w:p>
        </w:tc>
        <w:tc>
          <w:tcPr>
            <w:tcW w:w="2520" w:type="dxa"/>
            <w:vMerge/>
          </w:tcPr>
          <w:p w14:paraId="09EE3B87" w14:textId="77777777" w:rsidR="003D3F19" w:rsidRPr="00C87E07" w:rsidRDefault="003D3F19">
            <w:pPr>
              <w:rPr>
                <w:rFonts w:ascii="Times New Roman" w:hAnsi="Times New Roman"/>
                <w:lang w:val="es-CO"/>
              </w:rPr>
            </w:pPr>
          </w:p>
        </w:tc>
      </w:tr>
      <w:tr w:rsidR="003D3F19" w:rsidRPr="0071322F" w14:paraId="2FCD80EA" w14:textId="47DFA43F" w:rsidTr="000867CA">
        <w:trPr>
          <w:trHeight w:val="2222"/>
        </w:trPr>
        <w:tc>
          <w:tcPr>
            <w:tcW w:w="2245" w:type="dxa"/>
            <w:vMerge/>
            <w:shd w:val="clear" w:color="auto" w:fill="auto"/>
            <w:hideMark/>
          </w:tcPr>
          <w:p w14:paraId="3CA7E81F" w14:textId="77777777" w:rsidR="003D3F19" w:rsidRPr="00C87E07" w:rsidRDefault="003D3F19">
            <w:pPr>
              <w:rPr>
                <w:rFonts w:ascii="Times New Roman" w:hAnsi="Times New Roman"/>
                <w:b/>
                <w:bCs/>
                <w:lang w:val="es-CO"/>
              </w:rPr>
            </w:pPr>
          </w:p>
        </w:tc>
        <w:tc>
          <w:tcPr>
            <w:tcW w:w="3600" w:type="dxa"/>
            <w:shd w:val="clear" w:color="auto" w:fill="auto"/>
            <w:hideMark/>
          </w:tcPr>
          <w:p w14:paraId="1080C1DC" w14:textId="4282E704" w:rsidR="003D3F19" w:rsidRPr="00C87E07" w:rsidRDefault="003D3F19" w:rsidP="00CA48CA">
            <w:pPr>
              <w:rPr>
                <w:rFonts w:ascii="Times New Roman" w:hAnsi="Times New Roman"/>
                <w:lang w:val="es-CO"/>
              </w:rPr>
            </w:pPr>
            <w:r w:rsidRPr="00C87E07">
              <w:rPr>
                <w:rFonts w:ascii="Times New Roman" w:hAnsi="Times New Roman"/>
                <w:lang w:val="es-CO"/>
              </w:rPr>
              <w:t>3.1.3. Revisar la viabilidad de diferentes opciones, con respecto a los plazos. C</w:t>
            </w:r>
            <w:r w:rsidRPr="00C87E07">
              <w:rPr>
                <w:rFonts w:ascii="Times New Roman" w:hAnsi="Times New Roman"/>
                <w:bCs/>
                <w:lang w:val="es-CO"/>
              </w:rPr>
              <w:t>onsiderar la conveniencia de disminuir la rigidez del periodo en el que pueden participar los Estados Miembros en el ciclo programático.</w:t>
            </w:r>
          </w:p>
        </w:tc>
        <w:tc>
          <w:tcPr>
            <w:tcW w:w="3240" w:type="dxa"/>
            <w:vMerge/>
            <w:shd w:val="clear" w:color="auto" w:fill="auto"/>
            <w:hideMark/>
          </w:tcPr>
          <w:p w14:paraId="3699CB2C" w14:textId="77777777" w:rsidR="003D3F19" w:rsidRPr="00C87E07" w:rsidRDefault="003D3F19">
            <w:pPr>
              <w:rPr>
                <w:rFonts w:ascii="Times New Roman" w:hAnsi="Times New Roman"/>
                <w:lang w:val="es-CO"/>
              </w:rPr>
            </w:pPr>
          </w:p>
        </w:tc>
        <w:tc>
          <w:tcPr>
            <w:tcW w:w="2520" w:type="dxa"/>
            <w:shd w:val="clear" w:color="auto" w:fill="auto"/>
            <w:hideMark/>
          </w:tcPr>
          <w:p w14:paraId="45141DF1" w14:textId="77777777" w:rsidR="003D3F19" w:rsidRPr="00C87E07" w:rsidRDefault="003D3F19">
            <w:pPr>
              <w:rPr>
                <w:rFonts w:ascii="Times New Roman" w:hAnsi="Times New Roman"/>
                <w:lang w:val="es-CO"/>
              </w:rPr>
            </w:pPr>
            <w:r w:rsidRPr="00C87E07">
              <w:rPr>
                <w:rFonts w:ascii="Times New Roman" w:hAnsi="Times New Roman"/>
                <w:lang w:val="es-CO"/>
              </w:rPr>
              <w:t>La JD/AICD toma medidas que incentiven una mayor participación de los Estados Miembros en la implementación del 3er. ciclo programático del FCD.</w:t>
            </w:r>
          </w:p>
        </w:tc>
        <w:tc>
          <w:tcPr>
            <w:tcW w:w="2520" w:type="dxa"/>
            <w:vMerge/>
          </w:tcPr>
          <w:p w14:paraId="69ACF0C8" w14:textId="77777777" w:rsidR="003D3F19" w:rsidRPr="00C87E07" w:rsidRDefault="003D3F19">
            <w:pPr>
              <w:rPr>
                <w:rFonts w:ascii="Times New Roman" w:hAnsi="Times New Roman"/>
                <w:lang w:val="es-CO"/>
              </w:rPr>
            </w:pPr>
          </w:p>
        </w:tc>
      </w:tr>
      <w:tr w:rsidR="003D3F19" w:rsidRPr="0071322F" w14:paraId="2BA91614" w14:textId="5AB46619" w:rsidTr="000867CA">
        <w:trPr>
          <w:trHeight w:val="260"/>
        </w:trPr>
        <w:tc>
          <w:tcPr>
            <w:tcW w:w="2245" w:type="dxa"/>
            <w:shd w:val="clear" w:color="auto" w:fill="auto"/>
            <w:hideMark/>
          </w:tcPr>
          <w:p w14:paraId="79D76D17" w14:textId="77777777" w:rsidR="003D3F19" w:rsidRPr="00C87E07" w:rsidRDefault="003D3F19">
            <w:pPr>
              <w:rPr>
                <w:rFonts w:ascii="Times New Roman" w:hAnsi="Times New Roman"/>
                <w:b/>
                <w:bCs/>
                <w:lang w:val="es-CO"/>
              </w:rPr>
            </w:pPr>
            <w:r w:rsidRPr="00C87E07">
              <w:rPr>
                <w:rFonts w:ascii="Times New Roman" w:hAnsi="Times New Roman"/>
                <w:b/>
                <w:bCs/>
                <w:lang w:val="es-CO"/>
              </w:rPr>
              <w:t xml:space="preserve">3.2.  </w:t>
            </w:r>
            <w:r w:rsidRPr="00C87E07">
              <w:rPr>
                <w:rFonts w:ascii="Times New Roman" w:hAnsi="Times New Roman"/>
                <w:lang w:val="es-CO"/>
              </w:rPr>
              <w:t xml:space="preserve">Analizar impacto del RCI en el DCF, ofrecer recomendaciones y opciones a la JD/AICD, CIDI y CAAP. </w:t>
            </w:r>
          </w:p>
        </w:tc>
        <w:tc>
          <w:tcPr>
            <w:tcW w:w="3600" w:type="dxa"/>
            <w:shd w:val="clear" w:color="auto" w:fill="auto"/>
            <w:hideMark/>
          </w:tcPr>
          <w:p w14:paraId="5881149F" w14:textId="3CCC2973" w:rsidR="003D3F19" w:rsidRPr="00C87E07" w:rsidRDefault="003D3F19">
            <w:pPr>
              <w:rPr>
                <w:rFonts w:ascii="Times New Roman" w:hAnsi="Times New Roman"/>
                <w:lang w:val="es-CO"/>
              </w:rPr>
            </w:pPr>
            <w:r w:rsidRPr="00C87E07">
              <w:rPr>
                <w:rFonts w:ascii="Times New Roman" w:hAnsi="Times New Roman"/>
                <w:lang w:val="es-CO"/>
              </w:rPr>
              <w:t>3.2.1. Ofrecer recomendaciones y presentar opciones para mejorar la ventaja comparativa de la OEA como administrador de fondos, en particular analizando el efecto del RCI en los esfuerzos de recaudación de fondos y la sostenibilidad del FCD.</w:t>
            </w:r>
          </w:p>
        </w:tc>
        <w:tc>
          <w:tcPr>
            <w:tcW w:w="3240" w:type="dxa"/>
            <w:shd w:val="clear" w:color="auto" w:fill="auto"/>
            <w:hideMark/>
          </w:tcPr>
          <w:p w14:paraId="6B010EF8" w14:textId="77777777" w:rsidR="003D3F19" w:rsidRPr="00C87E07" w:rsidRDefault="003D3F19">
            <w:pPr>
              <w:rPr>
                <w:rFonts w:ascii="Times New Roman" w:hAnsi="Times New Roman"/>
                <w:lang w:val="es-CO"/>
              </w:rPr>
            </w:pPr>
            <w:r w:rsidRPr="00C87E07">
              <w:rPr>
                <w:rFonts w:ascii="Times New Roman" w:hAnsi="Times New Roman"/>
                <w:lang w:val="es-CO"/>
              </w:rPr>
              <w:t>1 informe para consideración y aprobación de la JD/AICD. Una vez hecho el análisis, la junta brindara una recomendación favorable al CIDI para que este considere solicitar a la CAAP la reducción o la eliminación del RCI.</w:t>
            </w:r>
          </w:p>
        </w:tc>
        <w:tc>
          <w:tcPr>
            <w:tcW w:w="2520" w:type="dxa"/>
            <w:shd w:val="clear" w:color="auto" w:fill="auto"/>
            <w:hideMark/>
          </w:tcPr>
          <w:p w14:paraId="22A83FEC" w14:textId="77777777" w:rsidR="003D3F19" w:rsidRPr="00C87E07" w:rsidRDefault="003D3F19">
            <w:pPr>
              <w:rPr>
                <w:rFonts w:ascii="Times New Roman" w:hAnsi="Times New Roman"/>
                <w:lang w:val="es-CO"/>
              </w:rPr>
            </w:pPr>
            <w:r w:rsidRPr="00C87E07">
              <w:rPr>
                <w:rFonts w:ascii="Times New Roman" w:hAnsi="Times New Roman"/>
                <w:lang w:val="es-CO"/>
              </w:rPr>
              <w:t>Recomendaciones brindadas a la OEA sobre la competitividad y otras consideraciones del RCI que aplica y afectan el atractivo del FCD para donantes y contribuyentes.</w:t>
            </w:r>
          </w:p>
        </w:tc>
        <w:tc>
          <w:tcPr>
            <w:tcW w:w="2520" w:type="dxa"/>
            <w:vMerge/>
          </w:tcPr>
          <w:p w14:paraId="55BDBA7A" w14:textId="77777777" w:rsidR="003D3F19" w:rsidRPr="00C87E07" w:rsidRDefault="003D3F19">
            <w:pPr>
              <w:rPr>
                <w:rFonts w:ascii="Times New Roman" w:hAnsi="Times New Roman"/>
                <w:lang w:val="es-CO"/>
              </w:rPr>
            </w:pPr>
          </w:p>
        </w:tc>
      </w:tr>
      <w:tr w:rsidR="003D3F19" w:rsidRPr="0071322F" w14:paraId="635FD4B5" w14:textId="2E9BA322" w:rsidTr="000867CA">
        <w:trPr>
          <w:trHeight w:val="675"/>
        </w:trPr>
        <w:tc>
          <w:tcPr>
            <w:tcW w:w="2245" w:type="dxa"/>
            <w:vMerge w:val="restart"/>
            <w:shd w:val="clear" w:color="auto" w:fill="auto"/>
            <w:hideMark/>
          </w:tcPr>
          <w:p w14:paraId="10C0D2D6" w14:textId="77777777" w:rsidR="003D3F19" w:rsidRPr="00C87E07" w:rsidRDefault="003D3F19">
            <w:pPr>
              <w:rPr>
                <w:rFonts w:ascii="Times New Roman" w:hAnsi="Times New Roman"/>
                <w:lang w:val="es-CO"/>
              </w:rPr>
            </w:pPr>
            <w:r w:rsidRPr="00C87E07">
              <w:rPr>
                <w:rFonts w:ascii="Times New Roman" w:hAnsi="Times New Roman"/>
                <w:b/>
                <w:bCs/>
                <w:lang w:val="es-CO"/>
              </w:rPr>
              <w:t xml:space="preserve">3.3. </w:t>
            </w:r>
            <w:r w:rsidRPr="00C87E07">
              <w:rPr>
                <w:rFonts w:ascii="Times New Roman" w:hAnsi="Times New Roman"/>
                <w:lang w:val="es-CO"/>
              </w:rPr>
              <w:t xml:space="preserve"> Considerar la factibilidad del FCD como un fondo de cooperación general para SEDI. </w:t>
            </w:r>
          </w:p>
        </w:tc>
        <w:tc>
          <w:tcPr>
            <w:tcW w:w="3600" w:type="dxa"/>
            <w:vMerge w:val="restart"/>
            <w:shd w:val="clear" w:color="auto" w:fill="auto"/>
            <w:hideMark/>
          </w:tcPr>
          <w:p w14:paraId="50651FDA" w14:textId="3489AD9E" w:rsidR="003D3F19" w:rsidRPr="00C87E07" w:rsidRDefault="003D3F19">
            <w:pPr>
              <w:rPr>
                <w:rFonts w:ascii="Times New Roman" w:hAnsi="Times New Roman"/>
                <w:lang w:val="es-CO"/>
              </w:rPr>
            </w:pPr>
            <w:r w:rsidRPr="00C87E07">
              <w:rPr>
                <w:rFonts w:ascii="Times New Roman" w:hAnsi="Times New Roman"/>
                <w:lang w:val="es-CO"/>
              </w:rPr>
              <w:t>3.3.1. Analizar opciones para desarrollar un marco para un FCD más amplio, con subcuentas para financiar actividades específicas de programas y proyectos. Una de estas subcuentas deberá contemplar el apalancamiento de proyectos de cooperación triangular entre los Estados miembros de la OEA. Dicho marco incluiría, entre otras cosas, un mecanismo de rendición de cuentas y de informes financieros para los Estados miembros.</w:t>
            </w:r>
          </w:p>
        </w:tc>
        <w:tc>
          <w:tcPr>
            <w:tcW w:w="3240" w:type="dxa"/>
            <w:vMerge w:val="restart"/>
            <w:shd w:val="clear" w:color="auto" w:fill="auto"/>
            <w:hideMark/>
          </w:tcPr>
          <w:p w14:paraId="5283CC4E" w14:textId="1C7D545F" w:rsidR="003D3F19" w:rsidRPr="00C87E07" w:rsidRDefault="003D3F19">
            <w:pPr>
              <w:rPr>
                <w:rFonts w:ascii="Times New Roman" w:hAnsi="Times New Roman"/>
                <w:lang w:val="es-CO"/>
              </w:rPr>
            </w:pPr>
            <w:r w:rsidRPr="00C87E07">
              <w:rPr>
                <w:rFonts w:ascii="Times New Roman" w:hAnsi="Times New Roman"/>
                <w:lang w:val="es-CO"/>
              </w:rPr>
              <w:t>1 informe sobre la factibilidad de ampliar el alcance del FCD con propuestas claras y acciones a emprender y presentarlo a los Estados Miembros de la JD/AICD para su consideración y aprobación.</w:t>
            </w:r>
          </w:p>
        </w:tc>
        <w:tc>
          <w:tcPr>
            <w:tcW w:w="2520" w:type="dxa"/>
            <w:shd w:val="clear" w:color="auto" w:fill="auto"/>
            <w:hideMark/>
          </w:tcPr>
          <w:p w14:paraId="2541AB92" w14:textId="77777777" w:rsidR="003D3F19" w:rsidRPr="00C87E07" w:rsidRDefault="003D3F19">
            <w:pPr>
              <w:rPr>
                <w:rFonts w:ascii="Times New Roman" w:hAnsi="Times New Roman"/>
                <w:lang w:val="es-CO"/>
              </w:rPr>
            </w:pPr>
            <w:r w:rsidRPr="00C87E07">
              <w:rPr>
                <w:rFonts w:ascii="Times New Roman" w:hAnsi="Times New Roman"/>
                <w:lang w:val="es-CO"/>
              </w:rPr>
              <w:t>Mayor capacidad de supervisión por los Estados Miembros.</w:t>
            </w:r>
          </w:p>
        </w:tc>
        <w:tc>
          <w:tcPr>
            <w:tcW w:w="2520" w:type="dxa"/>
            <w:vMerge/>
          </w:tcPr>
          <w:p w14:paraId="23CE1CAE" w14:textId="77777777" w:rsidR="003D3F19" w:rsidRPr="00C87E07" w:rsidRDefault="003D3F19">
            <w:pPr>
              <w:rPr>
                <w:rFonts w:ascii="Times New Roman" w:hAnsi="Times New Roman"/>
                <w:lang w:val="es-CO"/>
              </w:rPr>
            </w:pPr>
          </w:p>
        </w:tc>
      </w:tr>
      <w:tr w:rsidR="003D3F19" w:rsidRPr="0071322F" w14:paraId="7577DDC2" w14:textId="31FCFFB2" w:rsidTr="000867CA">
        <w:trPr>
          <w:trHeight w:val="260"/>
        </w:trPr>
        <w:tc>
          <w:tcPr>
            <w:tcW w:w="2245" w:type="dxa"/>
            <w:vMerge/>
            <w:shd w:val="clear" w:color="auto" w:fill="auto"/>
            <w:hideMark/>
          </w:tcPr>
          <w:p w14:paraId="6E700755" w14:textId="77777777" w:rsidR="003D3F19" w:rsidRPr="00C87E07" w:rsidRDefault="003D3F19">
            <w:pPr>
              <w:rPr>
                <w:rFonts w:ascii="Times New Roman" w:hAnsi="Times New Roman"/>
                <w:lang w:val="es-CO"/>
              </w:rPr>
            </w:pPr>
          </w:p>
        </w:tc>
        <w:tc>
          <w:tcPr>
            <w:tcW w:w="3600" w:type="dxa"/>
            <w:vMerge/>
            <w:shd w:val="clear" w:color="auto" w:fill="auto"/>
            <w:hideMark/>
          </w:tcPr>
          <w:p w14:paraId="5AD63114" w14:textId="77777777" w:rsidR="003D3F19" w:rsidRPr="00C87E07" w:rsidRDefault="003D3F19">
            <w:pPr>
              <w:rPr>
                <w:rFonts w:ascii="Times New Roman" w:hAnsi="Times New Roman"/>
                <w:lang w:val="es-CO"/>
              </w:rPr>
            </w:pPr>
          </w:p>
        </w:tc>
        <w:tc>
          <w:tcPr>
            <w:tcW w:w="3240" w:type="dxa"/>
            <w:vMerge/>
            <w:shd w:val="clear" w:color="auto" w:fill="auto"/>
            <w:hideMark/>
          </w:tcPr>
          <w:p w14:paraId="6625A700" w14:textId="77777777" w:rsidR="003D3F19" w:rsidRPr="00C87E07" w:rsidRDefault="003D3F19">
            <w:pPr>
              <w:rPr>
                <w:rFonts w:ascii="Times New Roman" w:hAnsi="Times New Roman"/>
                <w:lang w:val="es-CO"/>
              </w:rPr>
            </w:pPr>
          </w:p>
        </w:tc>
        <w:tc>
          <w:tcPr>
            <w:tcW w:w="2520" w:type="dxa"/>
            <w:shd w:val="clear" w:color="auto" w:fill="auto"/>
            <w:hideMark/>
          </w:tcPr>
          <w:p w14:paraId="4D84A9EE" w14:textId="77777777" w:rsidR="003D3F19" w:rsidRPr="00C87E07" w:rsidRDefault="003D3F19">
            <w:pPr>
              <w:rPr>
                <w:rFonts w:ascii="Times New Roman" w:hAnsi="Times New Roman"/>
                <w:lang w:val="es-CO"/>
              </w:rPr>
            </w:pPr>
            <w:r w:rsidRPr="00C87E07">
              <w:rPr>
                <w:rFonts w:ascii="Times New Roman" w:hAnsi="Times New Roman"/>
                <w:lang w:val="es-CO"/>
              </w:rPr>
              <w:t>LA JD/AICD toma decisiones tendientes a aumentar la capacidad de apalancamiento de recursos, y mejorar opciones de inversión de los recursos en los Fondos.</w:t>
            </w:r>
          </w:p>
        </w:tc>
        <w:tc>
          <w:tcPr>
            <w:tcW w:w="2520" w:type="dxa"/>
            <w:vMerge/>
          </w:tcPr>
          <w:p w14:paraId="51EA2814" w14:textId="77777777" w:rsidR="003D3F19" w:rsidRPr="00C87E07" w:rsidRDefault="003D3F19">
            <w:pPr>
              <w:rPr>
                <w:rFonts w:ascii="Times New Roman" w:hAnsi="Times New Roman"/>
                <w:lang w:val="es-CO"/>
              </w:rPr>
            </w:pPr>
          </w:p>
        </w:tc>
      </w:tr>
    </w:tbl>
    <w:p w14:paraId="12835490" w14:textId="7BE448BA" w:rsidR="009A1B2A" w:rsidRDefault="009A1B2A" w:rsidP="00801D6B">
      <w:pPr>
        <w:rPr>
          <w:rFonts w:ascii="Times New Roman" w:hAnsi="Times New Roman"/>
          <w:lang w:val="es-CO"/>
        </w:rPr>
      </w:pPr>
    </w:p>
    <w:tbl>
      <w:tblPr>
        <w:tblStyle w:val="TableGrid"/>
        <w:tblW w:w="14125" w:type="dxa"/>
        <w:tblLook w:val="04A0" w:firstRow="1" w:lastRow="0" w:firstColumn="1" w:lastColumn="0" w:noHBand="0" w:noVBand="1"/>
      </w:tblPr>
      <w:tblGrid>
        <w:gridCol w:w="2202"/>
        <w:gridCol w:w="3798"/>
        <w:gridCol w:w="2782"/>
        <w:gridCol w:w="2614"/>
        <w:gridCol w:w="2729"/>
      </w:tblGrid>
      <w:tr w:rsidR="009A1B2A" w:rsidRPr="0071322F" w14:paraId="3A57B2E1" w14:textId="2C8C2CB7" w:rsidTr="00D3358D">
        <w:trPr>
          <w:trHeight w:val="350"/>
        </w:trPr>
        <w:tc>
          <w:tcPr>
            <w:tcW w:w="14125" w:type="dxa"/>
            <w:gridSpan w:val="5"/>
            <w:shd w:val="clear" w:color="auto" w:fill="auto"/>
            <w:hideMark/>
          </w:tcPr>
          <w:p w14:paraId="189C2E8B" w14:textId="278BEE39" w:rsidR="009A1B2A" w:rsidRPr="00C87E07" w:rsidRDefault="009A1B2A" w:rsidP="009535C1">
            <w:pPr>
              <w:rPr>
                <w:rFonts w:ascii="Times New Roman" w:hAnsi="Times New Roman"/>
                <w:b/>
                <w:bCs/>
                <w:lang w:val="es-CO"/>
              </w:rPr>
            </w:pPr>
            <w:r>
              <w:rPr>
                <w:rFonts w:ascii="Times New Roman" w:hAnsi="Times New Roman"/>
                <w:lang w:val="es-CO"/>
              </w:rPr>
              <w:lastRenderedPageBreak/>
              <w:br w:type="page"/>
            </w:r>
            <w:r w:rsidRPr="00C87E07">
              <w:rPr>
                <w:rFonts w:ascii="Times New Roman" w:hAnsi="Times New Roman"/>
                <w:b/>
                <w:bCs/>
                <w:lang w:val="es-CO"/>
              </w:rPr>
              <w:t>Acción priorizada 4: Lanzar, nutrir y promover la plataforma CooperaNet.</w:t>
            </w:r>
          </w:p>
        </w:tc>
      </w:tr>
      <w:tr w:rsidR="00AF53D9" w:rsidRPr="00C87E07" w14:paraId="423038FC" w14:textId="7FEDE1AB" w:rsidTr="00AF53D9">
        <w:trPr>
          <w:trHeight w:val="314"/>
        </w:trPr>
        <w:tc>
          <w:tcPr>
            <w:tcW w:w="2202" w:type="dxa"/>
            <w:shd w:val="clear" w:color="auto" w:fill="auto"/>
            <w:hideMark/>
          </w:tcPr>
          <w:p w14:paraId="517632BC" w14:textId="77777777" w:rsidR="0007444B" w:rsidRPr="00C87E07" w:rsidRDefault="0007444B">
            <w:pPr>
              <w:rPr>
                <w:rFonts w:ascii="Times New Roman" w:hAnsi="Times New Roman"/>
                <w:b/>
                <w:bCs/>
                <w:lang w:val="es-CO"/>
              </w:rPr>
            </w:pPr>
            <w:r w:rsidRPr="00C87E07">
              <w:rPr>
                <w:rFonts w:ascii="Times New Roman" w:hAnsi="Times New Roman"/>
                <w:b/>
                <w:bCs/>
                <w:lang w:val="es-CO"/>
              </w:rPr>
              <w:t>Tareas:</w:t>
            </w:r>
          </w:p>
        </w:tc>
        <w:tc>
          <w:tcPr>
            <w:tcW w:w="3798" w:type="dxa"/>
            <w:shd w:val="clear" w:color="auto" w:fill="auto"/>
            <w:hideMark/>
          </w:tcPr>
          <w:p w14:paraId="3E853DB3" w14:textId="77777777" w:rsidR="0007444B" w:rsidRPr="00C87E07" w:rsidRDefault="0007444B">
            <w:pPr>
              <w:rPr>
                <w:rFonts w:ascii="Times New Roman" w:hAnsi="Times New Roman"/>
                <w:b/>
                <w:bCs/>
                <w:lang w:val="es-CO"/>
              </w:rPr>
            </w:pPr>
            <w:r w:rsidRPr="00C87E07">
              <w:rPr>
                <w:rFonts w:ascii="Times New Roman" w:hAnsi="Times New Roman"/>
                <w:b/>
                <w:bCs/>
                <w:lang w:val="es-CO"/>
              </w:rPr>
              <w:t>Objetivos:</w:t>
            </w:r>
          </w:p>
        </w:tc>
        <w:tc>
          <w:tcPr>
            <w:tcW w:w="2782" w:type="dxa"/>
            <w:shd w:val="clear" w:color="auto" w:fill="auto"/>
            <w:hideMark/>
          </w:tcPr>
          <w:p w14:paraId="189CC8FB" w14:textId="77777777" w:rsidR="0007444B" w:rsidRPr="00C87E07" w:rsidRDefault="0007444B">
            <w:pPr>
              <w:rPr>
                <w:rFonts w:ascii="Times New Roman" w:hAnsi="Times New Roman"/>
                <w:b/>
                <w:bCs/>
                <w:lang w:val="es-CO"/>
              </w:rPr>
            </w:pPr>
            <w:r w:rsidRPr="00C87E07">
              <w:rPr>
                <w:rFonts w:ascii="Times New Roman" w:hAnsi="Times New Roman"/>
                <w:b/>
                <w:bCs/>
                <w:lang w:val="es-CO"/>
              </w:rPr>
              <w:t>Entregable / Indicador:</w:t>
            </w:r>
          </w:p>
        </w:tc>
        <w:tc>
          <w:tcPr>
            <w:tcW w:w="2614" w:type="dxa"/>
            <w:shd w:val="clear" w:color="auto" w:fill="auto"/>
            <w:hideMark/>
          </w:tcPr>
          <w:p w14:paraId="51D70D90" w14:textId="77777777" w:rsidR="0007444B" w:rsidRPr="00C87E07" w:rsidRDefault="0007444B">
            <w:pPr>
              <w:rPr>
                <w:rFonts w:ascii="Times New Roman" w:hAnsi="Times New Roman"/>
                <w:b/>
                <w:bCs/>
                <w:lang w:val="es-CO"/>
              </w:rPr>
            </w:pPr>
            <w:r w:rsidRPr="00C87E07">
              <w:rPr>
                <w:rFonts w:ascii="Times New Roman" w:hAnsi="Times New Roman"/>
                <w:b/>
                <w:bCs/>
                <w:lang w:val="es-CO"/>
              </w:rPr>
              <w:t>Resultado Esperado:</w:t>
            </w:r>
          </w:p>
        </w:tc>
        <w:tc>
          <w:tcPr>
            <w:tcW w:w="2729" w:type="dxa"/>
          </w:tcPr>
          <w:p w14:paraId="63F7583A" w14:textId="209FF6B2" w:rsidR="0007444B" w:rsidRPr="00C87E07" w:rsidRDefault="00151929">
            <w:pPr>
              <w:rPr>
                <w:rFonts w:ascii="Times New Roman" w:hAnsi="Times New Roman"/>
                <w:b/>
                <w:bCs/>
                <w:lang w:val="es-CO"/>
              </w:rPr>
            </w:pPr>
            <w:r>
              <w:rPr>
                <w:rFonts w:ascii="Times New Roman" w:hAnsi="Times New Roman"/>
                <w:b/>
                <w:bCs/>
                <w:lang w:val="es-CO"/>
              </w:rPr>
              <w:t>Actualización</w:t>
            </w:r>
            <w:r w:rsidR="00BA70BC">
              <w:rPr>
                <w:rFonts w:ascii="Times New Roman" w:hAnsi="Times New Roman"/>
                <w:b/>
                <w:bCs/>
                <w:lang w:val="es-CO"/>
              </w:rPr>
              <w:t xml:space="preserve"> 15/03/21:</w:t>
            </w:r>
          </w:p>
        </w:tc>
      </w:tr>
      <w:tr w:rsidR="00AF53D9" w:rsidRPr="0071322F" w14:paraId="53450BD8" w14:textId="68550252" w:rsidTr="00AF53D9">
        <w:trPr>
          <w:trHeight w:val="2024"/>
        </w:trPr>
        <w:tc>
          <w:tcPr>
            <w:tcW w:w="2202" w:type="dxa"/>
            <w:shd w:val="clear" w:color="auto" w:fill="auto"/>
          </w:tcPr>
          <w:p w14:paraId="4F06F60F" w14:textId="09D5842F" w:rsidR="00AF53D9" w:rsidRPr="00C87E07" w:rsidRDefault="00AF53D9" w:rsidP="00CA1CB2">
            <w:pPr>
              <w:rPr>
                <w:rFonts w:ascii="Times New Roman" w:hAnsi="Times New Roman"/>
                <w:b/>
                <w:bCs/>
                <w:lang w:val="es-CO"/>
              </w:rPr>
            </w:pPr>
            <w:r w:rsidRPr="00C87E07">
              <w:rPr>
                <w:rFonts w:ascii="Times New Roman" w:hAnsi="Times New Roman"/>
                <w:b/>
                <w:bCs/>
                <w:lang w:val="es-CO"/>
              </w:rPr>
              <w:t xml:space="preserve">4.0. </w:t>
            </w:r>
            <w:r w:rsidRPr="00C87E07">
              <w:rPr>
                <w:rFonts w:ascii="Times New Roman" w:hAnsi="Times New Roman"/>
                <w:bCs/>
                <w:lang w:val="es-CO"/>
              </w:rPr>
              <w:t xml:space="preserve">Hacer un llamado a ofertas y necesidades de cooperación de los Estados Miembros, específicamente relacionadas con la respuesta y recuperación de COVID-19. </w:t>
            </w:r>
          </w:p>
        </w:tc>
        <w:tc>
          <w:tcPr>
            <w:tcW w:w="3798" w:type="dxa"/>
            <w:shd w:val="clear" w:color="auto" w:fill="auto"/>
          </w:tcPr>
          <w:p w14:paraId="591A8779" w14:textId="5F12D412" w:rsidR="00AF53D9" w:rsidRPr="00C87E07" w:rsidRDefault="00AF53D9" w:rsidP="00CA1CB2">
            <w:pPr>
              <w:rPr>
                <w:rFonts w:ascii="Times New Roman" w:hAnsi="Times New Roman"/>
                <w:lang w:val="es-CO"/>
              </w:rPr>
            </w:pPr>
            <w:r w:rsidRPr="00C87E07">
              <w:rPr>
                <w:rFonts w:ascii="Times New Roman" w:hAnsi="Times New Roman"/>
                <w:bCs/>
                <w:lang w:val="es-CO"/>
              </w:rPr>
              <w:t xml:space="preserve">4.0.1. Hacer de la plataforma un canal útil para que los Estados miembros documenten necesidades específicas y ofrezcan cooperación en relación con la pandemia. </w:t>
            </w:r>
          </w:p>
        </w:tc>
        <w:tc>
          <w:tcPr>
            <w:tcW w:w="2782" w:type="dxa"/>
            <w:shd w:val="clear" w:color="auto" w:fill="auto"/>
          </w:tcPr>
          <w:p w14:paraId="69CC079E" w14:textId="3DE1F191" w:rsidR="00AF53D9" w:rsidRPr="00C87E07" w:rsidRDefault="00AF53D9" w:rsidP="00CA1CB2">
            <w:pPr>
              <w:rPr>
                <w:rFonts w:ascii="Times New Roman" w:hAnsi="Times New Roman"/>
                <w:lang w:val="es-CO"/>
              </w:rPr>
            </w:pPr>
            <w:r w:rsidRPr="00C87E07">
              <w:rPr>
                <w:rFonts w:ascii="Times New Roman" w:hAnsi="Times New Roman"/>
                <w:bCs/>
                <w:lang w:val="es-CO"/>
              </w:rPr>
              <w:t xml:space="preserve">Mensajes enviados a puntos focales con el manual de usuario y </w:t>
            </w:r>
            <w:r w:rsidRPr="00C87E07">
              <w:rPr>
                <w:rFonts w:ascii="Times New Roman" w:hAnsi="Times New Roman"/>
                <w:lang w:val="es-CO"/>
              </w:rPr>
              <w:t xml:space="preserve">los canales de asistencia de manejo de la plataforma, para que los Estados agreguen sus </w:t>
            </w:r>
            <w:r w:rsidRPr="00C87E07">
              <w:rPr>
                <w:rFonts w:ascii="Times New Roman" w:hAnsi="Times New Roman"/>
                <w:bCs/>
                <w:lang w:val="es-CO"/>
              </w:rPr>
              <w:t>ofertas y necesidades relacionadas con COVID-19.</w:t>
            </w:r>
          </w:p>
        </w:tc>
        <w:tc>
          <w:tcPr>
            <w:tcW w:w="2614" w:type="dxa"/>
            <w:shd w:val="clear" w:color="auto" w:fill="auto"/>
          </w:tcPr>
          <w:p w14:paraId="534D305C" w14:textId="77777777" w:rsidR="00AF53D9" w:rsidRPr="00C87E07" w:rsidRDefault="00AF53D9" w:rsidP="00CA1CB2">
            <w:pPr>
              <w:rPr>
                <w:rFonts w:ascii="Times New Roman" w:hAnsi="Times New Roman"/>
                <w:lang w:val="es-CO"/>
              </w:rPr>
            </w:pPr>
            <w:r w:rsidRPr="00C87E07">
              <w:rPr>
                <w:rFonts w:ascii="Times New Roman" w:hAnsi="Times New Roman"/>
                <w:bCs/>
                <w:lang w:val="es-CO"/>
              </w:rPr>
              <w:t>La plataforma CooperaNet incluye información sobre necesidades y ofertas que pueden impulsar e informar la cooperación relacionada con la respuesta y recuperación de COVID-19 en la región.</w:t>
            </w:r>
          </w:p>
        </w:tc>
        <w:tc>
          <w:tcPr>
            <w:tcW w:w="2729" w:type="dxa"/>
            <w:vMerge w:val="restart"/>
          </w:tcPr>
          <w:p w14:paraId="54FF217E" w14:textId="77777777" w:rsidR="00AF53D9" w:rsidRDefault="00AF53D9" w:rsidP="00FB5F4F">
            <w:pPr>
              <w:numPr>
                <w:ilvl w:val="0"/>
                <w:numId w:val="23"/>
              </w:numPr>
              <w:tabs>
                <w:tab w:val="left" w:pos="334"/>
                <w:tab w:val="left" w:pos="472"/>
                <w:tab w:val="num" w:pos="720"/>
              </w:tabs>
              <w:autoSpaceDE w:val="0"/>
              <w:autoSpaceDN w:val="0"/>
              <w:adjustRightInd w:val="0"/>
              <w:spacing w:after="0" w:line="240" w:lineRule="auto"/>
              <w:ind w:left="34" w:firstLine="33"/>
              <w:rPr>
                <w:rFonts w:ascii="Times New Roman" w:eastAsia="MS PGothic" w:hAnsi="Times New Roman"/>
                <w:kern w:val="24"/>
                <w:sz w:val="24"/>
                <w:szCs w:val="24"/>
                <w:lang w:val="es-ES"/>
              </w:rPr>
            </w:pPr>
            <w:r>
              <w:rPr>
                <w:rFonts w:ascii="Times New Roman" w:eastAsia="MS PGothic" w:hAnsi="Times New Roman"/>
                <w:kern w:val="24"/>
                <w:sz w:val="24"/>
                <w:szCs w:val="24"/>
                <w:lang w:val="es-ES"/>
              </w:rPr>
              <w:t xml:space="preserve">228 ofertas de 3 </w:t>
            </w:r>
            <w:r w:rsidRPr="00FB5F4F">
              <w:rPr>
                <w:rFonts w:ascii="Times New Roman" w:hAnsi="Times New Roman"/>
                <w:bCs/>
                <w:i/>
                <w:iCs/>
                <w:lang w:val="es-ES"/>
              </w:rPr>
              <w:t>Estados</w:t>
            </w:r>
            <w:r>
              <w:rPr>
                <w:rFonts w:ascii="Times New Roman" w:eastAsia="MS PGothic" w:hAnsi="Times New Roman"/>
                <w:kern w:val="24"/>
                <w:sz w:val="24"/>
                <w:szCs w:val="24"/>
                <w:lang w:val="es-ES"/>
              </w:rPr>
              <w:t xml:space="preserve"> miembros y 8 necesidades identificadas en proyectos actuales del FCD publicados en la sección </w:t>
            </w:r>
            <w:r>
              <w:rPr>
                <w:rFonts w:ascii="Times New Roman" w:eastAsia="MS PGothic" w:hAnsi="Times New Roman"/>
                <w:i/>
                <w:iCs/>
                <w:kern w:val="24"/>
                <w:sz w:val="24"/>
                <w:szCs w:val="24"/>
                <w:lang w:val="es-ES"/>
              </w:rPr>
              <w:t xml:space="preserve">“Intercambio de Cooperación” </w:t>
            </w:r>
            <w:r>
              <w:rPr>
                <w:rFonts w:ascii="Times New Roman" w:eastAsia="MS PGothic" w:hAnsi="Times New Roman"/>
                <w:kern w:val="24"/>
                <w:sz w:val="24"/>
                <w:szCs w:val="24"/>
                <w:lang w:val="es-ES"/>
              </w:rPr>
              <w:t>de CooperaNet.</w:t>
            </w:r>
          </w:p>
          <w:p w14:paraId="5AB4B7B6" w14:textId="77777777" w:rsidR="00AF53D9" w:rsidRDefault="00AF53D9" w:rsidP="00FB5F4F">
            <w:pPr>
              <w:numPr>
                <w:ilvl w:val="0"/>
                <w:numId w:val="23"/>
              </w:numPr>
              <w:tabs>
                <w:tab w:val="left" w:pos="334"/>
                <w:tab w:val="left" w:pos="472"/>
                <w:tab w:val="num" w:pos="720"/>
              </w:tabs>
              <w:autoSpaceDE w:val="0"/>
              <w:autoSpaceDN w:val="0"/>
              <w:adjustRightInd w:val="0"/>
              <w:spacing w:after="0" w:line="240" w:lineRule="auto"/>
              <w:ind w:left="34" w:firstLine="33"/>
              <w:rPr>
                <w:rFonts w:ascii="Times New Roman" w:eastAsia="MS PGothic" w:hAnsi="Times New Roman"/>
                <w:kern w:val="24"/>
                <w:sz w:val="24"/>
                <w:szCs w:val="24"/>
                <w:lang w:val="es-ES"/>
              </w:rPr>
            </w:pPr>
            <w:r>
              <w:rPr>
                <w:rFonts w:ascii="Times New Roman" w:eastAsia="MS PGothic" w:hAnsi="Times New Roman"/>
                <w:i/>
                <w:iCs/>
                <w:kern w:val="24"/>
                <w:sz w:val="24"/>
                <w:szCs w:val="24"/>
                <w:lang w:val="es-ES"/>
              </w:rPr>
              <w:t xml:space="preserve">Manual de usuario de CooperaNet </w:t>
            </w:r>
            <w:r>
              <w:rPr>
                <w:rFonts w:ascii="Times New Roman" w:eastAsia="MS PGothic" w:hAnsi="Times New Roman"/>
                <w:kern w:val="24"/>
                <w:sz w:val="24"/>
                <w:szCs w:val="24"/>
                <w:lang w:val="es-ES"/>
              </w:rPr>
              <w:t>elaborado y distribuido por correo electrónico a las Autoridades de Cooperación y a Misiones y publicado en la plataforma.</w:t>
            </w:r>
          </w:p>
          <w:p w14:paraId="61F8B242" w14:textId="77777777" w:rsidR="00AF53D9" w:rsidRDefault="00AF53D9" w:rsidP="00FB5F4F">
            <w:pPr>
              <w:numPr>
                <w:ilvl w:val="0"/>
                <w:numId w:val="23"/>
              </w:numPr>
              <w:tabs>
                <w:tab w:val="left" w:pos="334"/>
                <w:tab w:val="left" w:pos="472"/>
                <w:tab w:val="num" w:pos="720"/>
              </w:tabs>
              <w:autoSpaceDE w:val="0"/>
              <w:autoSpaceDN w:val="0"/>
              <w:adjustRightInd w:val="0"/>
              <w:spacing w:after="0" w:line="240" w:lineRule="auto"/>
              <w:ind w:left="34" w:firstLine="33"/>
              <w:rPr>
                <w:rFonts w:ascii="Times New Roman" w:eastAsia="MS PGothic" w:hAnsi="Times New Roman"/>
                <w:kern w:val="24"/>
                <w:sz w:val="24"/>
                <w:szCs w:val="24"/>
                <w:lang w:val="es-ES"/>
              </w:rPr>
            </w:pPr>
            <w:r>
              <w:rPr>
                <w:rFonts w:ascii="Times New Roman" w:eastAsia="MS PGothic" w:hAnsi="Times New Roman"/>
                <w:kern w:val="24"/>
                <w:sz w:val="24"/>
                <w:szCs w:val="24"/>
                <w:lang w:val="es-ES"/>
              </w:rPr>
              <w:t>53 participantes de 20 Estados miembros se sumaron a la capacitación realizada los días 29 y 30 de julio de 2020 desde capitales y Misiones Permanentes.</w:t>
            </w:r>
          </w:p>
          <w:p w14:paraId="1CDB7275" w14:textId="77777777" w:rsidR="00AF53D9" w:rsidRDefault="00AF53D9" w:rsidP="00FB5F4F">
            <w:pPr>
              <w:numPr>
                <w:ilvl w:val="0"/>
                <w:numId w:val="23"/>
              </w:numPr>
              <w:tabs>
                <w:tab w:val="left" w:pos="334"/>
                <w:tab w:val="left" w:pos="472"/>
                <w:tab w:val="num" w:pos="720"/>
              </w:tabs>
              <w:autoSpaceDE w:val="0"/>
              <w:autoSpaceDN w:val="0"/>
              <w:adjustRightInd w:val="0"/>
              <w:spacing w:after="0" w:line="240" w:lineRule="auto"/>
              <w:ind w:left="34" w:firstLine="33"/>
              <w:rPr>
                <w:rFonts w:ascii="Times New Roman" w:eastAsia="MS PGothic" w:hAnsi="Times New Roman"/>
                <w:kern w:val="24"/>
                <w:sz w:val="24"/>
                <w:szCs w:val="24"/>
                <w:lang w:val="es-ES"/>
              </w:rPr>
            </w:pPr>
            <w:r>
              <w:rPr>
                <w:rFonts w:ascii="Times New Roman" w:eastAsia="MS PGothic" w:hAnsi="Times New Roman"/>
                <w:kern w:val="24"/>
                <w:sz w:val="24"/>
                <w:szCs w:val="24"/>
                <w:lang w:val="es-ES"/>
              </w:rPr>
              <w:t>Se brindó apoyo y diálogo continuo a los Estados miembros interesados.</w:t>
            </w:r>
          </w:p>
          <w:p w14:paraId="586795BC" w14:textId="77777777" w:rsidR="00FB5F4F" w:rsidRDefault="00AF53D9" w:rsidP="00FB5F4F">
            <w:pPr>
              <w:numPr>
                <w:ilvl w:val="0"/>
                <w:numId w:val="23"/>
              </w:numPr>
              <w:tabs>
                <w:tab w:val="left" w:pos="334"/>
                <w:tab w:val="left" w:pos="472"/>
                <w:tab w:val="num" w:pos="720"/>
              </w:tabs>
              <w:autoSpaceDE w:val="0"/>
              <w:autoSpaceDN w:val="0"/>
              <w:adjustRightInd w:val="0"/>
              <w:spacing w:after="0" w:line="240" w:lineRule="auto"/>
              <w:ind w:left="34" w:firstLine="33"/>
              <w:rPr>
                <w:rFonts w:ascii="Times New Roman" w:eastAsia="MS PGothic" w:hAnsi="Times New Roman"/>
                <w:kern w:val="24"/>
                <w:sz w:val="24"/>
                <w:szCs w:val="24"/>
                <w:lang w:val="es-ES"/>
              </w:rPr>
            </w:pPr>
            <w:r>
              <w:rPr>
                <w:rFonts w:ascii="Times New Roman" w:eastAsia="MS PGothic" w:hAnsi="Times New Roman"/>
                <w:kern w:val="24"/>
                <w:sz w:val="24"/>
                <w:szCs w:val="24"/>
                <w:lang w:val="es-ES"/>
              </w:rPr>
              <w:t xml:space="preserve">Anuncio interno (SEDI) sobre el potencial de CooperaNet para </w:t>
            </w:r>
            <w:r>
              <w:rPr>
                <w:rFonts w:ascii="Times New Roman" w:eastAsia="MS PGothic" w:hAnsi="Times New Roman"/>
                <w:kern w:val="24"/>
                <w:sz w:val="24"/>
                <w:szCs w:val="24"/>
                <w:lang w:val="es-ES"/>
              </w:rPr>
              <w:lastRenderedPageBreak/>
              <w:t>presentar socios y soluciones/ofertas.</w:t>
            </w:r>
          </w:p>
          <w:p w14:paraId="2EBC1972" w14:textId="01348F3C" w:rsidR="00AF53D9" w:rsidRPr="00FB5F4F" w:rsidRDefault="00AF53D9" w:rsidP="00FB5F4F">
            <w:pPr>
              <w:numPr>
                <w:ilvl w:val="0"/>
                <w:numId w:val="23"/>
              </w:numPr>
              <w:tabs>
                <w:tab w:val="left" w:pos="334"/>
                <w:tab w:val="left" w:pos="472"/>
                <w:tab w:val="num" w:pos="720"/>
              </w:tabs>
              <w:autoSpaceDE w:val="0"/>
              <w:autoSpaceDN w:val="0"/>
              <w:adjustRightInd w:val="0"/>
              <w:spacing w:after="0" w:line="240" w:lineRule="auto"/>
              <w:ind w:left="34" w:firstLine="33"/>
              <w:rPr>
                <w:rFonts w:ascii="Times New Roman" w:eastAsia="MS PGothic" w:hAnsi="Times New Roman"/>
                <w:kern w:val="24"/>
                <w:sz w:val="24"/>
                <w:szCs w:val="24"/>
                <w:lang w:val="es-ES"/>
              </w:rPr>
            </w:pPr>
            <w:r w:rsidRPr="00FB5F4F">
              <w:rPr>
                <w:rFonts w:ascii="Times New Roman" w:eastAsia="MS PGothic" w:hAnsi="Times New Roman"/>
                <w:kern w:val="24"/>
                <w:sz w:val="24"/>
                <w:szCs w:val="24"/>
                <w:lang w:val="es-ES"/>
              </w:rPr>
              <w:t>Explorando sinergias con otras áreas de la SEDI.</w:t>
            </w:r>
          </w:p>
          <w:p w14:paraId="2046FF93" w14:textId="77777777" w:rsidR="00AF53D9" w:rsidRPr="00C87E07" w:rsidRDefault="00AF53D9" w:rsidP="00CA1CB2">
            <w:pPr>
              <w:rPr>
                <w:rFonts w:ascii="Times New Roman" w:hAnsi="Times New Roman"/>
                <w:bCs/>
                <w:lang w:val="es-CO"/>
              </w:rPr>
            </w:pPr>
          </w:p>
        </w:tc>
      </w:tr>
      <w:tr w:rsidR="00AF53D9" w:rsidRPr="0071322F" w14:paraId="49721E4B" w14:textId="62724399" w:rsidTr="00AF53D9">
        <w:trPr>
          <w:trHeight w:val="998"/>
        </w:trPr>
        <w:tc>
          <w:tcPr>
            <w:tcW w:w="2202" w:type="dxa"/>
            <w:vMerge w:val="restart"/>
            <w:shd w:val="clear" w:color="auto" w:fill="auto"/>
            <w:hideMark/>
          </w:tcPr>
          <w:p w14:paraId="1AE42FD1" w14:textId="77777777" w:rsidR="00AF53D9" w:rsidRPr="00C87E07" w:rsidRDefault="00AF53D9">
            <w:pPr>
              <w:rPr>
                <w:rFonts w:ascii="Times New Roman" w:hAnsi="Times New Roman"/>
                <w:b/>
                <w:bCs/>
                <w:lang w:val="es-CO"/>
              </w:rPr>
            </w:pPr>
            <w:r w:rsidRPr="00C87E07">
              <w:rPr>
                <w:rFonts w:ascii="Times New Roman" w:hAnsi="Times New Roman"/>
                <w:b/>
                <w:bCs/>
                <w:lang w:val="es-CO"/>
              </w:rPr>
              <w:t xml:space="preserve">4.1.  </w:t>
            </w:r>
            <w:r w:rsidRPr="00C87E07">
              <w:rPr>
                <w:rFonts w:ascii="Times New Roman" w:hAnsi="Times New Roman"/>
                <w:lang w:val="es-CO"/>
              </w:rPr>
              <w:t xml:space="preserve">Hacer seguimiento con los puntos focales para continuar nutriendo la plataforma. </w:t>
            </w:r>
          </w:p>
        </w:tc>
        <w:tc>
          <w:tcPr>
            <w:tcW w:w="3798" w:type="dxa"/>
            <w:shd w:val="clear" w:color="auto" w:fill="auto"/>
            <w:hideMark/>
          </w:tcPr>
          <w:p w14:paraId="3F0B304E" w14:textId="447F1B2B" w:rsidR="00AF53D9" w:rsidRPr="00C87E07" w:rsidRDefault="00AF53D9">
            <w:pPr>
              <w:rPr>
                <w:rFonts w:ascii="Times New Roman" w:hAnsi="Times New Roman"/>
                <w:lang w:val="es-CO"/>
              </w:rPr>
            </w:pPr>
            <w:r w:rsidRPr="00C87E07">
              <w:rPr>
                <w:rFonts w:ascii="Times New Roman" w:hAnsi="Times New Roman"/>
                <w:lang w:val="es-CO"/>
              </w:rPr>
              <w:t xml:space="preserve">4.1.1. Robustecer la plataforma con las ofertas de cooperación disponibles solicitadas a los puntos focales asignados en los Estados miembros.  </w:t>
            </w:r>
          </w:p>
        </w:tc>
        <w:tc>
          <w:tcPr>
            <w:tcW w:w="2782" w:type="dxa"/>
            <w:shd w:val="clear" w:color="auto" w:fill="auto"/>
            <w:hideMark/>
          </w:tcPr>
          <w:p w14:paraId="2B48EFD6" w14:textId="192E5BA0" w:rsidR="00AF53D9" w:rsidRPr="00C87E07" w:rsidRDefault="00AF53D9">
            <w:pPr>
              <w:rPr>
                <w:rFonts w:ascii="Times New Roman" w:hAnsi="Times New Roman"/>
                <w:lang w:val="es-CO"/>
              </w:rPr>
            </w:pPr>
            <w:r w:rsidRPr="00C87E07">
              <w:rPr>
                <w:rFonts w:ascii="Times New Roman" w:hAnsi="Times New Roman"/>
                <w:lang w:val="es-CO"/>
              </w:rPr>
              <w:t>Al menos 400 ofertas de cooperación de 5 países disponibles en la plataforma.</w:t>
            </w:r>
          </w:p>
        </w:tc>
        <w:tc>
          <w:tcPr>
            <w:tcW w:w="2614" w:type="dxa"/>
            <w:vMerge w:val="restart"/>
            <w:shd w:val="clear" w:color="auto" w:fill="auto"/>
            <w:hideMark/>
          </w:tcPr>
          <w:p w14:paraId="2825B3DE" w14:textId="77777777" w:rsidR="00AF53D9" w:rsidRPr="00C87E07" w:rsidRDefault="00AF53D9">
            <w:pPr>
              <w:rPr>
                <w:rFonts w:ascii="Times New Roman" w:hAnsi="Times New Roman"/>
                <w:lang w:val="es-CO"/>
              </w:rPr>
            </w:pPr>
            <w:r w:rsidRPr="00C87E07">
              <w:rPr>
                <w:rFonts w:ascii="Times New Roman" w:hAnsi="Times New Roman"/>
                <w:lang w:val="es-CO"/>
              </w:rPr>
              <w:t>Mayor participación de los puntos focales de los Estados miembros y otros actores interesados.</w:t>
            </w:r>
            <w:r w:rsidRPr="00C87E07">
              <w:rPr>
                <w:rFonts w:ascii="Times New Roman" w:hAnsi="Times New Roman"/>
                <w:lang w:val="es-CO"/>
              </w:rPr>
              <w:br/>
            </w:r>
            <w:r w:rsidRPr="00C87E07">
              <w:rPr>
                <w:rFonts w:ascii="Times New Roman" w:hAnsi="Times New Roman"/>
                <w:lang w:val="es-CO"/>
              </w:rPr>
              <w:br/>
              <w:t>La plataforma es nutrida de información útil para los actores de cooperación.</w:t>
            </w:r>
          </w:p>
        </w:tc>
        <w:tc>
          <w:tcPr>
            <w:tcW w:w="2729" w:type="dxa"/>
            <w:vMerge/>
          </w:tcPr>
          <w:p w14:paraId="5498204B" w14:textId="77777777" w:rsidR="00AF53D9" w:rsidRPr="00C87E07" w:rsidRDefault="00AF53D9">
            <w:pPr>
              <w:rPr>
                <w:rFonts w:ascii="Times New Roman" w:hAnsi="Times New Roman"/>
                <w:lang w:val="es-CO"/>
              </w:rPr>
            </w:pPr>
          </w:p>
        </w:tc>
      </w:tr>
      <w:tr w:rsidR="00AF53D9" w:rsidRPr="0071322F" w14:paraId="25C464EF" w14:textId="4A6208EE" w:rsidTr="00AF53D9">
        <w:trPr>
          <w:trHeight w:val="2312"/>
        </w:trPr>
        <w:tc>
          <w:tcPr>
            <w:tcW w:w="2202" w:type="dxa"/>
            <w:vMerge/>
            <w:shd w:val="clear" w:color="auto" w:fill="auto"/>
            <w:hideMark/>
          </w:tcPr>
          <w:p w14:paraId="3A010A7F" w14:textId="77777777" w:rsidR="00AF53D9" w:rsidRPr="00C87E07" w:rsidRDefault="00AF53D9">
            <w:pPr>
              <w:rPr>
                <w:rFonts w:ascii="Times New Roman" w:hAnsi="Times New Roman"/>
                <w:b/>
                <w:bCs/>
                <w:lang w:val="es-CO"/>
              </w:rPr>
            </w:pPr>
          </w:p>
        </w:tc>
        <w:tc>
          <w:tcPr>
            <w:tcW w:w="3798" w:type="dxa"/>
            <w:shd w:val="clear" w:color="auto" w:fill="auto"/>
            <w:hideMark/>
          </w:tcPr>
          <w:p w14:paraId="54FC8F84" w14:textId="5E1F195C" w:rsidR="00AF53D9" w:rsidRPr="00C87E07" w:rsidRDefault="00AF53D9">
            <w:pPr>
              <w:rPr>
                <w:rFonts w:ascii="Times New Roman" w:hAnsi="Times New Roman"/>
                <w:lang w:val="es-CO"/>
              </w:rPr>
            </w:pPr>
            <w:r w:rsidRPr="00C87E07">
              <w:rPr>
                <w:rFonts w:ascii="Times New Roman" w:hAnsi="Times New Roman"/>
                <w:lang w:val="es-CO"/>
              </w:rPr>
              <w:t>4.1.2. Recabar las necesidades de cooperación de los Estados Miembros a través de los puntos focales de cooperación.</w:t>
            </w:r>
          </w:p>
          <w:p w14:paraId="781A8B93" w14:textId="77777777" w:rsidR="00AF53D9" w:rsidRPr="00C87E07" w:rsidRDefault="00AF53D9">
            <w:pPr>
              <w:rPr>
                <w:rFonts w:ascii="Times New Roman" w:hAnsi="Times New Roman"/>
                <w:lang w:val="es-CO"/>
              </w:rPr>
            </w:pPr>
          </w:p>
          <w:p w14:paraId="2D697154" w14:textId="0CDFDA79" w:rsidR="00AF53D9" w:rsidRPr="00C87E07" w:rsidRDefault="00AF53D9" w:rsidP="00310A39">
            <w:pPr>
              <w:rPr>
                <w:rFonts w:ascii="Times New Roman" w:hAnsi="Times New Roman"/>
                <w:lang w:val="es-CO"/>
              </w:rPr>
            </w:pPr>
            <w:r w:rsidRPr="00C87E07">
              <w:rPr>
                <w:rFonts w:ascii="Times New Roman" w:hAnsi="Times New Roman"/>
                <w:lang w:val="es-CO"/>
              </w:rPr>
              <w:t>4.1.3. Incluir las necesidades identificadas en los proyectos actuales del FCD para detectar posibles vínculos de cooperación en el marco de los proyectos.</w:t>
            </w:r>
          </w:p>
        </w:tc>
        <w:tc>
          <w:tcPr>
            <w:tcW w:w="2782" w:type="dxa"/>
            <w:shd w:val="clear" w:color="auto" w:fill="auto"/>
            <w:hideMark/>
          </w:tcPr>
          <w:p w14:paraId="412D5EC9" w14:textId="77777777" w:rsidR="00AF53D9" w:rsidRPr="00C87E07" w:rsidRDefault="00AF53D9">
            <w:pPr>
              <w:rPr>
                <w:rFonts w:ascii="Times New Roman" w:hAnsi="Times New Roman"/>
                <w:lang w:val="es-CO"/>
              </w:rPr>
            </w:pPr>
            <w:r w:rsidRPr="00C87E07">
              <w:rPr>
                <w:rFonts w:ascii="Times New Roman" w:hAnsi="Times New Roman"/>
                <w:lang w:val="es-CO"/>
              </w:rPr>
              <w:t>Al menos 20 necesidades de cooperación de 15 países disponibles en la plataforma.</w:t>
            </w:r>
          </w:p>
        </w:tc>
        <w:tc>
          <w:tcPr>
            <w:tcW w:w="2614" w:type="dxa"/>
            <w:vMerge/>
            <w:shd w:val="clear" w:color="auto" w:fill="auto"/>
            <w:hideMark/>
          </w:tcPr>
          <w:p w14:paraId="049A1280" w14:textId="77777777" w:rsidR="00AF53D9" w:rsidRPr="00C87E07" w:rsidRDefault="00AF53D9">
            <w:pPr>
              <w:rPr>
                <w:rFonts w:ascii="Times New Roman" w:hAnsi="Times New Roman"/>
                <w:lang w:val="es-CO"/>
              </w:rPr>
            </w:pPr>
          </w:p>
        </w:tc>
        <w:tc>
          <w:tcPr>
            <w:tcW w:w="2729" w:type="dxa"/>
            <w:vMerge/>
          </w:tcPr>
          <w:p w14:paraId="2DFD60D6" w14:textId="77777777" w:rsidR="00AF53D9" w:rsidRPr="00C87E07" w:rsidRDefault="00AF53D9">
            <w:pPr>
              <w:rPr>
                <w:rFonts w:ascii="Times New Roman" w:hAnsi="Times New Roman"/>
                <w:lang w:val="es-CO"/>
              </w:rPr>
            </w:pPr>
          </w:p>
        </w:tc>
      </w:tr>
      <w:tr w:rsidR="00AF53D9" w:rsidRPr="0071322F" w14:paraId="4A283C01" w14:textId="1F979215" w:rsidTr="00AF53D9">
        <w:trPr>
          <w:trHeight w:val="1088"/>
        </w:trPr>
        <w:tc>
          <w:tcPr>
            <w:tcW w:w="2202" w:type="dxa"/>
            <w:vMerge/>
            <w:shd w:val="clear" w:color="auto" w:fill="auto"/>
            <w:hideMark/>
          </w:tcPr>
          <w:p w14:paraId="7A60F3A5" w14:textId="77777777" w:rsidR="00AF53D9" w:rsidRPr="00C87E07" w:rsidRDefault="00AF53D9">
            <w:pPr>
              <w:rPr>
                <w:rFonts w:ascii="Times New Roman" w:hAnsi="Times New Roman"/>
                <w:b/>
                <w:bCs/>
                <w:lang w:val="es-CO"/>
              </w:rPr>
            </w:pPr>
          </w:p>
        </w:tc>
        <w:tc>
          <w:tcPr>
            <w:tcW w:w="3798" w:type="dxa"/>
            <w:shd w:val="clear" w:color="auto" w:fill="auto"/>
            <w:hideMark/>
          </w:tcPr>
          <w:p w14:paraId="74700470" w14:textId="6F029736" w:rsidR="00AF53D9" w:rsidRPr="00C87E07" w:rsidRDefault="00AF53D9">
            <w:pPr>
              <w:rPr>
                <w:rFonts w:ascii="Times New Roman" w:hAnsi="Times New Roman"/>
                <w:lang w:val="es-CO"/>
              </w:rPr>
            </w:pPr>
            <w:r w:rsidRPr="00C87E07">
              <w:rPr>
                <w:rFonts w:ascii="Times New Roman" w:hAnsi="Times New Roman"/>
                <w:lang w:val="es-CO"/>
              </w:rPr>
              <w:t>4.1.4. Identificar y recoger información de expertos internos y externos, aprovechando las redes técnicas disponibles en SEDI.</w:t>
            </w:r>
          </w:p>
        </w:tc>
        <w:tc>
          <w:tcPr>
            <w:tcW w:w="2782" w:type="dxa"/>
            <w:shd w:val="clear" w:color="auto" w:fill="auto"/>
            <w:hideMark/>
          </w:tcPr>
          <w:p w14:paraId="08673480" w14:textId="77777777" w:rsidR="00AF53D9" w:rsidRPr="00C87E07" w:rsidRDefault="00AF53D9">
            <w:pPr>
              <w:rPr>
                <w:rFonts w:ascii="Times New Roman" w:hAnsi="Times New Roman"/>
                <w:lang w:val="es-CO"/>
              </w:rPr>
            </w:pPr>
            <w:r w:rsidRPr="00C87E07">
              <w:rPr>
                <w:rFonts w:ascii="Times New Roman" w:hAnsi="Times New Roman"/>
                <w:lang w:val="es-CO"/>
              </w:rPr>
              <w:t xml:space="preserve">Al menos 30 expertos de cooperación figuran en la plataforma. </w:t>
            </w:r>
          </w:p>
        </w:tc>
        <w:tc>
          <w:tcPr>
            <w:tcW w:w="2614" w:type="dxa"/>
            <w:vMerge/>
            <w:shd w:val="clear" w:color="auto" w:fill="auto"/>
            <w:hideMark/>
          </w:tcPr>
          <w:p w14:paraId="7A55D70E" w14:textId="77777777" w:rsidR="00AF53D9" w:rsidRPr="00C87E07" w:rsidRDefault="00AF53D9">
            <w:pPr>
              <w:rPr>
                <w:rFonts w:ascii="Times New Roman" w:hAnsi="Times New Roman"/>
                <w:lang w:val="es-CO"/>
              </w:rPr>
            </w:pPr>
          </w:p>
        </w:tc>
        <w:tc>
          <w:tcPr>
            <w:tcW w:w="2729" w:type="dxa"/>
            <w:vMerge/>
          </w:tcPr>
          <w:p w14:paraId="14CBFD2F" w14:textId="77777777" w:rsidR="00AF53D9" w:rsidRPr="00C87E07" w:rsidRDefault="00AF53D9">
            <w:pPr>
              <w:rPr>
                <w:rFonts w:ascii="Times New Roman" w:hAnsi="Times New Roman"/>
                <w:lang w:val="es-CO"/>
              </w:rPr>
            </w:pPr>
          </w:p>
        </w:tc>
      </w:tr>
      <w:tr w:rsidR="00AF53D9" w:rsidRPr="0071322F" w14:paraId="0DAD4F9E" w14:textId="7693C9C3" w:rsidTr="00AF53D9">
        <w:trPr>
          <w:trHeight w:val="530"/>
        </w:trPr>
        <w:tc>
          <w:tcPr>
            <w:tcW w:w="2202" w:type="dxa"/>
            <w:vMerge w:val="restart"/>
            <w:shd w:val="clear" w:color="auto" w:fill="auto"/>
            <w:hideMark/>
          </w:tcPr>
          <w:p w14:paraId="0492DF63" w14:textId="77777777" w:rsidR="00AF53D9" w:rsidRPr="00C87E07" w:rsidRDefault="00AF53D9">
            <w:pPr>
              <w:rPr>
                <w:rFonts w:ascii="Times New Roman" w:hAnsi="Times New Roman"/>
                <w:b/>
                <w:bCs/>
                <w:lang w:val="es-CO"/>
              </w:rPr>
            </w:pPr>
            <w:r w:rsidRPr="00C87E07">
              <w:rPr>
                <w:rFonts w:ascii="Times New Roman" w:hAnsi="Times New Roman"/>
                <w:b/>
                <w:bCs/>
                <w:lang w:val="es-CO"/>
              </w:rPr>
              <w:lastRenderedPageBreak/>
              <w:t xml:space="preserve">4.2. </w:t>
            </w:r>
            <w:r w:rsidRPr="00C87E07">
              <w:rPr>
                <w:rFonts w:ascii="Times New Roman" w:hAnsi="Times New Roman"/>
                <w:lang w:val="es-CO"/>
              </w:rPr>
              <w:t>Diseñar y ofrecer capacitación regular a los puntos focales.</w:t>
            </w:r>
          </w:p>
        </w:tc>
        <w:tc>
          <w:tcPr>
            <w:tcW w:w="3798" w:type="dxa"/>
            <w:shd w:val="clear" w:color="auto" w:fill="auto"/>
            <w:hideMark/>
          </w:tcPr>
          <w:p w14:paraId="11909775" w14:textId="5FF0417D" w:rsidR="00AF53D9" w:rsidRPr="00C87E07" w:rsidRDefault="00AF53D9">
            <w:pPr>
              <w:rPr>
                <w:rFonts w:ascii="Times New Roman" w:hAnsi="Times New Roman"/>
                <w:lang w:val="es-CO"/>
              </w:rPr>
            </w:pPr>
            <w:r w:rsidRPr="00C87E07">
              <w:rPr>
                <w:rFonts w:ascii="Times New Roman" w:hAnsi="Times New Roman"/>
                <w:lang w:val="es-CO"/>
              </w:rPr>
              <w:t xml:space="preserve">4.2.1. Diseñar un manual explicativo sobre la plataforma y socializarlo. </w:t>
            </w:r>
          </w:p>
        </w:tc>
        <w:tc>
          <w:tcPr>
            <w:tcW w:w="2782" w:type="dxa"/>
            <w:shd w:val="clear" w:color="auto" w:fill="auto"/>
            <w:hideMark/>
          </w:tcPr>
          <w:p w14:paraId="730F29B5" w14:textId="77777777" w:rsidR="00AF53D9" w:rsidRPr="00C87E07" w:rsidRDefault="00AF53D9">
            <w:pPr>
              <w:rPr>
                <w:rFonts w:ascii="Times New Roman" w:hAnsi="Times New Roman"/>
                <w:lang w:val="es-CO"/>
              </w:rPr>
            </w:pPr>
            <w:r w:rsidRPr="00C87E07">
              <w:rPr>
                <w:rFonts w:ascii="Times New Roman" w:hAnsi="Times New Roman"/>
                <w:lang w:val="es-CO"/>
              </w:rPr>
              <w:t xml:space="preserve">1 Manual de usuario disponible en inglés y español en la plataforma y distribuido a puntos focales. </w:t>
            </w:r>
          </w:p>
        </w:tc>
        <w:tc>
          <w:tcPr>
            <w:tcW w:w="2614" w:type="dxa"/>
            <w:vMerge w:val="restart"/>
            <w:shd w:val="clear" w:color="auto" w:fill="auto"/>
            <w:hideMark/>
          </w:tcPr>
          <w:p w14:paraId="27C00C87" w14:textId="77777777" w:rsidR="00AF53D9" w:rsidRPr="00C87E07" w:rsidRDefault="00AF53D9">
            <w:pPr>
              <w:rPr>
                <w:rFonts w:ascii="Times New Roman" w:hAnsi="Times New Roman"/>
                <w:lang w:val="es-CO"/>
              </w:rPr>
            </w:pPr>
            <w:r w:rsidRPr="00C87E07">
              <w:rPr>
                <w:rFonts w:ascii="Times New Roman" w:hAnsi="Times New Roman"/>
                <w:lang w:val="es-CO"/>
              </w:rPr>
              <w:t>Mejorar el conocimiento y mantener el compromiso por parte de los puntos focales designados por las Autoridades de Cooperación.</w:t>
            </w:r>
          </w:p>
        </w:tc>
        <w:tc>
          <w:tcPr>
            <w:tcW w:w="2729" w:type="dxa"/>
            <w:vMerge/>
          </w:tcPr>
          <w:p w14:paraId="1EB03906" w14:textId="77777777" w:rsidR="00AF53D9" w:rsidRPr="00C87E07" w:rsidRDefault="00AF53D9">
            <w:pPr>
              <w:rPr>
                <w:rFonts w:ascii="Times New Roman" w:hAnsi="Times New Roman"/>
                <w:lang w:val="es-CO"/>
              </w:rPr>
            </w:pPr>
          </w:p>
        </w:tc>
      </w:tr>
      <w:tr w:rsidR="00AF53D9" w:rsidRPr="0071322F" w14:paraId="701363C5" w14:textId="6A2F0C3A" w:rsidTr="00AF53D9">
        <w:trPr>
          <w:trHeight w:val="690"/>
        </w:trPr>
        <w:tc>
          <w:tcPr>
            <w:tcW w:w="2202" w:type="dxa"/>
            <w:vMerge/>
            <w:shd w:val="clear" w:color="auto" w:fill="auto"/>
            <w:hideMark/>
          </w:tcPr>
          <w:p w14:paraId="4CD41932" w14:textId="77777777" w:rsidR="00AF53D9" w:rsidRPr="00C87E07" w:rsidRDefault="00AF53D9">
            <w:pPr>
              <w:rPr>
                <w:rFonts w:ascii="Times New Roman" w:hAnsi="Times New Roman"/>
                <w:b/>
                <w:bCs/>
                <w:lang w:val="es-CO"/>
              </w:rPr>
            </w:pPr>
          </w:p>
        </w:tc>
        <w:tc>
          <w:tcPr>
            <w:tcW w:w="3798" w:type="dxa"/>
            <w:shd w:val="clear" w:color="auto" w:fill="auto"/>
            <w:hideMark/>
          </w:tcPr>
          <w:p w14:paraId="7FD760DC" w14:textId="47E3F1ED" w:rsidR="00AF53D9" w:rsidRPr="00C87E07" w:rsidRDefault="00AF53D9">
            <w:pPr>
              <w:rPr>
                <w:rFonts w:ascii="Times New Roman" w:hAnsi="Times New Roman"/>
                <w:lang w:val="es-CO"/>
              </w:rPr>
            </w:pPr>
            <w:r w:rsidRPr="00C87E07">
              <w:rPr>
                <w:rFonts w:ascii="Times New Roman" w:hAnsi="Times New Roman"/>
                <w:lang w:val="es-CO"/>
              </w:rPr>
              <w:t>4.2.2. Programar y llevar a cabo webinars y otras opciones de capacitación y formación continua sobre la plataforma.</w:t>
            </w:r>
          </w:p>
        </w:tc>
        <w:tc>
          <w:tcPr>
            <w:tcW w:w="2782" w:type="dxa"/>
            <w:shd w:val="clear" w:color="auto" w:fill="auto"/>
            <w:hideMark/>
          </w:tcPr>
          <w:p w14:paraId="04ABE5FD" w14:textId="77777777" w:rsidR="00AF53D9" w:rsidRPr="00C87E07" w:rsidRDefault="00AF53D9">
            <w:pPr>
              <w:rPr>
                <w:rFonts w:ascii="Times New Roman" w:hAnsi="Times New Roman"/>
                <w:lang w:val="es-CO"/>
              </w:rPr>
            </w:pPr>
            <w:r w:rsidRPr="00C87E07">
              <w:rPr>
                <w:rFonts w:ascii="Times New Roman" w:hAnsi="Times New Roman"/>
                <w:lang w:val="es-CO"/>
              </w:rPr>
              <w:t>Al menos 1 webinar en español y 1 en inglés ofrecido a los puntos focales cada trimestre.</w:t>
            </w:r>
          </w:p>
        </w:tc>
        <w:tc>
          <w:tcPr>
            <w:tcW w:w="2614" w:type="dxa"/>
            <w:vMerge/>
            <w:shd w:val="clear" w:color="auto" w:fill="auto"/>
            <w:hideMark/>
          </w:tcPr>
          <w:p w14:paraId="51A2DD5F" w14:textId="77777777" w:rsidR="00AF53D9" w:rsidRPr="00C87E07" w:rsidRDefault="00AF53D9">
            <w:pPr>
              <w:rPr>
                <w:rFonts w:ascii="Times New Roman" w:hAnsi="Times New Roman"/>
                <w:lang w:val="es-CO"/>
              </w:rPr>
            </w:pPr>
          </w:p>
        </w:tc>
        <w:tc>
          <w:tcPr>
            <w:tcW w:w="2729" w:type="dxa"/>
            <w:vMerge/>
          </w:tcPr>
          <w:p w14:paraId="29F504F5" w14:textId="77777777" w:rsidR="00AF53D9" w:rsidRPr="00C87E07" w:rsidRDefault="00AF53D9">
            <w:pPr>
              <w:rPr>
                <w:rFonts w:ascii="Times New Roman" w:hAnsi="Times New Roman"/>
                <w:lang w:val="es-CO"/>
              </w:rPr>
            </w:pPr>
          </w:p>
        </w:tc>
      </w:tr>
      <w:tr w:rsidR="00AF53D9" w:rsidRPr="0071322F" w14:paraId="355B0F02" w14:textId="64F06775" w:rsidTr="00AF53D9">
        <w:trPr>
          <w:trHeight w:val="800"/>
        </w:trPr>
        <w:tc>
          <w:tcPr>
            <w:tcW w:w="2202" w:type="dxa"/>
            <w:vMerge w:val="restart"/>
            <w:shd w:val="clear" w:color="auto" w:fill="auto"/>
            <w:hideMark/>
          </w:tcPr>
          <w:p w14:paraId="32E769BD" w14:textId="49807EB7" w:rsidR="00AF53D9" w:rsidRPr="00C87E07" w:rsidRDefault="00AF53D9">
            <w:pPr>
              <w:rPr>
                <w:rFonts w:ascii="Times New Roman" w:hAnsi="Times New Roman"/>
                <w:b/>
                <w:bCs/>
                <w:lang w:val="es-CO"/>
              </w:rPr>
            </w:pPr>
            <w:r w:rsidRPr="00C87E07">
              <w:rPr>
                <w:rFonts w:ascii="Times New Roman" w:hAnsi="Times New Roman"/>
                <w:b/>
                <w:bCs/>
                <w:lang w:val="es-CO"/>
              </w:rPr>
              <w:t xml:space="preserve">4.3. </w:t>
            </w:r>
            <w:r w:rsidRPr="00C87E07">
              <w:rPr>
                <w:rFonts w:ascii="Times New Roman" w:hAnsi="Times New Roman"/>
                <w:lang w:val="es-CO"/>
              </w:rPr>
              <w:t xml:space="preserve">Explorarla participación del sector privado, la academia] y la sociedad civil en la plataforma. </w:t>
            </w:r>
          </w:p>
        </w:tc>
        <w:tc>
          <w:tcPr>
            <w:tcW w:w="3798" w:type="dxa"/>
            <w:shd w:val="clear" w:color="auto" w:fill="auto"/>
            <w:hideMark/>
          </w:tcPr>
          <w:p w14:paraId="72D04429" w14:textId="6FC0496C" w:rsidR="00AF53D9" w:rsidRPr="00C87E07" w:rsidRDefault="00AF53D9">
            <w:pPr>
              <w:rPr>
                <w:rFonts w:ascii="Times New Roman" w:hAnsi="Times New Roman"/>
                <w:lang w:val="es-CO"/>
              </w:rPr>
            </w:pPr>
            <w:r w:rsidRPr="00C87E07">
              <w:rPr>
                <w:rFonts w:ascii="Times New Roman" w:hAnsi="Times New Roman"/>
                <w:lang w:val="es-CO"/>
              </w:rPr>
              <w:t>4.3.1. Determinar las opciones para relacionarse con el sector privado y otros socios de CooperaNet (estudiar el esquema de la SEDI/CIP y otros, para atraer socios del sector privado.)</w:t>
            </w:r>
          </w:p>
        </w:tc>
        <w:tc>
          <w:tcPr>
            <w:tcW w:w="2782" w:type="dxa"/>
            <w:shd w:val="clear" w:color="auto" w:fill="auto"/>
            <w:hideMark/>
          </w:tcPr>
          <w:p w14:paraId="3AD3C431" w14:textId="77777777" w:rsidR="00AF53D9" w:rsidRPr="00C87E07" w:rsidRDefault="00AF53D9">
            <w:pPr>
              <w:rPr>
                <w:rFonts w:ascii="Times New Roman" w:hAnsi="Times New Roman"/>
                <w:lang w:val="es-CO"/>
              </w:rPr>
            </w:pPr>
            <w:r w:rsidRPr="00C87E07">
              <w:rPr>
                <w:rFonts w:ascii="Times New Roman" w:hAnsi="Times New Roman"/>
                <w:lang w:val="es-CO"/>
              </w:rPr>
              <w:t xml:space="preserve">Al menos 30 socios de SEDI figuran en la plataforma como socios de desarrollo. </w:t>
            </w:r>
          </w:p>
        </w:tc>
        <w:tc>
          <w:tcPr>
            <w:tcW w:w="2614" w:type="dxa"/>
            <w:vMerge w:val="restart"/>
            <w:shd w:val="clear" w:color="auto" w:fill="auto"/>
            <w:hideMark/>
          </w:tcPr>
          <w:p w14:paraId="691A69D5" w14:textId="77777777" w:rsidR="00AF53D9" w:rsidRPr="00C87E07" w:rsidRDefault="00AF53D9">
            <w:pPr>
              <w:rPr>
                <w:rFonts w:ascii="Times New Roman" w:hAnsi="Times New Roman"/>
                <w:lang w:val="es-CO"/>
              </w:rPr>
            </w:pPr>
            <w:r w:rsidRPr="00C87E07">
              <w:rPr>
                <w:rFonts w:ascii="Times New Roman" w:hAnsi="Times New Roman"/>
                <w:lang w:val="es-CO"/>
              </w:rPr>
              <w:t>Se expanden las oportunidades de cooperación en la plataforma y mejora su sostenibilidad.</w:t>
            </w:r>
          </w:p>
        </w:tc>
        <w:tc>
          <w:tcPr>
            <w:tcW w:w="2729" w:type="dxa"/>
            <w:vMerge/>
          </w:tcPr>
          <w:p w14:paraId="75BDECE3" w14:textId="77777777" w:rsidR="00AF53D9" w:rsidRPr="00C87E07" w:rsidRDefault="00AF53D9">
            <w:pPr>
              <w:rPr>
                <w:rFonts w:ascii="Times New Roman" w:hAnsi="Times New Roman"/>
                <w:lang w:val="es-CO"/>
              </w:rPr>
            </w:pPr>
          </w:p>
        </w:tc>
      </w:tr>
      <w:tr w:rsidR="00AF53D9" w:rsidRPr="0071322F" w14:paraId="4E737A05" w14:textId="3759C38E" w:rsidTr="00AF53D9">
        <w:trPr>
          <w:trHeight w:val="530"/>
        </w:trPr>
        <w:tc>
          <w:tcPr>
            <w:tcW w:w="2202" w:type="dxa"/>
            <w:vMerge/>
            <w:shd w:val="clear" w:color="auto" w:fill="auto"/>
            <w:hideMark/>
          </w:tcPr>
          <w:p w14:paraId="015B9885" w14:textId="77777777" w:rsidR="00AF53D9" w:rsidRPr="00C87E07" w:rsidRDefault="00AF53D9">
            <w:pPr>
              <w:rPr>
                <w:rFonts w:ascii="Times New Roman" w:hAnsi="Times New Roman"/>
                <w:b/>
                <w:bCs/>
                <w:lang w:val="es-CO"/>
              </w:rPr>
            </w:pPr>
          </w:p>
        </w:tc>
        <w:tc>
          <w:tcPr>
            <w:tcW w:w="3798" w:type="dxa"/>
            <w:shd w:val="clear" w:color="auto" w:fill="auto"/>
            <w:hideMark/>
          </w:tcPr>
          <w:p w14:paraId="31F6E329" w14:textId="6CC0F20F" w:rsidR="00AF53D9" w:rsidRPr="00C87E07" w:rsidRDefault="00AF53D9">
            <w:pPr>
              <w:rPr>
                <w:rFonts w:ascii="Times New Roman" w:hAnsi="Times New Roman"/>
                <w:lang w:val="es-CO"/>
              </w:rPr>
            </w:pPr>
            <w:r w:rsidRPr="00C87E07">
              <w:rPr>
                <w:rFonts w:ascii="Times New Roman" w:hAnsi="Times New Roman"/>
                <w:lang w:val="es-CO"/>
              </w:rPr>
              <w:t>4.3.2. Identificar formas de atraer al sector privado como oferentes potenciales de cooperación regional y como posibles fuentes de financiación. (Su participación deberá regirse por los criterios y estándares establecidos por los Estados Miembros.)</w:t>
            </w:r>
          </w:p>
        </w:tc>
        <w:tc>
          <w:tcPr>
            <w:tcW w:w="2782" w:type="dxa"/>
            <w:shd w:val="clear" w:color="auto" w:fill="auto"/>
            <w:hideMark/>
          </w:tcPr>
          <w:p w14:paraId="67756240" w14:textId="35BD7545" w:rsidR="00AF53D9" w:rsidRPr="00C87E07" w:rsidRDefault="00AF53D9">
            <w:pPr>
              <w:rPr>
                <w:rFonts w:ascii="Times New Roman" w:hAnsi="Times New Roman"/>
                <w:lang w:val="es-CO"/>
              </w:rPr>
            </w:pPr>
            <w:r w:rsidRPr="00C87E07">
              <w:rPr>
                <w:rFonts w:ascii="Times New Roman" w:hAnsi="Times New Roman"/>
                <w:lang w:val="es-CO"/>
              </w:rPr>
              <w:t>Nota: Sujeto a avances en materia de alianzas multi-actores (acción 6)</w:t>
            </w:r>
          </w:p>
        </w:tc>
        <w:tc>
          <w:tcPr>
            <w:tcW w:w="2614" w:type="dxa"/>
            <w:vMerge/>
            <w:shd w:val="clear" w:color="auto" w:fill="auto"/>
            <w:hideMark/>
          </w:tcPr>
          <w:p w14:paraId="1D472C19" w14:textId="77777777" w:rsidR="00AF53D9" w:rsidRPr="00C87E07" w:rsidRDefault="00AF53D9">
            <w:pPr>
              <w:rPr>
                <w:rFonts w:ascii="Times New Roman" w:hAnsi="Times New Roman"/>
                <w:lang w:val="es-CO"/>
              </w:rPr>
            </w:pPr>
          </w:p>
        </w:tc>
        <w:tc>
          <w:tcPr>
            <w:tcW w:w="2729" w:type="dxa"/>
            <w:vMerge/>
          </w:tcPr>
          <w:p w14:paraId="09AFF3C8" w14:textId="77777777" w:rsidR="00AF53D9" w:rsidRPr="00C87E07" w:rsidRDefault="00AF53D9">
            <w:pPr>
              <w:rPr>
                <w:rFonts w:ascii="Times New Roman" w:hAnsi="Times New Roman"/>
                <w:lang w:val="es-CO"/>
              </w:rPr>
            </w:pPr>
          </w:p>
        </w:tc>
      </w:tr>
      <w:tr w:rsidR="00AF53D9" w:rsidRPr="0071322F" w14:paraId="7CBA5013" w14:textId="120DD129" w:rsidTr="00AF53D9">
        <w:trPr>
          <w:trHeight w:val="350"/>
        </w:trPr>
        <w:tc>
          <w:tcPr>
            <w:tcW w:w="2202" w:type="dxa"/>
            <w:vMerge w:val="restart"/>
            <w:shd w:val="clear" w:color="auto" w:fill="auto"/>
            <w:hideMark/>
          </w:tcPr>
          <w:p w14:paraId="3F1D01D6" w14:textId="77777777" w:rsidR="00AF53D9" w:rsidRPr="00C87E07" w:rsidRDefault="00AF53D9">
            <w:pPr>
              <w:rPr>
                <w:rFonts w:ascii="Times New Roman" w:hAnsi="Times New Roman"/>
                <w:b/>
                <w:bCs/>
                <w:lang w:val="es-CO"/>
              </w:rPr>
            </w:pPr>
            <w:r w:rsidRPr="00C87E07">
              <w:rPr>
                <w:rFonts w:ascii="Times New Roman" w:hAnsi="Times New Roman"/>
                <w:b/>
                <w:bCs/>
                <w:lang w:val="es-CO"/>
              </w:rPr>
              <w:t xml:space="preserve">4.4. </w:t>
            </w:r>
            <w:r w:rsidRPr="00C87E07">
              <w:rPr>
                <w:rFonts w:ascii="Times New Roman" w:hAnsi="Times New Roman"/>
                <w:lang w:val="es-CO"/>
              </w:rPr>
              <w:t>Vincular la plataforma a otros mecanismos de cooperación dentro y fuera de la OEA.</w:t>
            </w:r>
          </w:p>
        </w:tc>
        <w:tc>
          <w:tcPr>
            <w:tcW w:w="3798" w:type="dxa"/>
            <w:shd w:val="clear" w:color="auto" w:fill="auto"/>
            <w:hideMark/>
          </w:tcPr>
          <w:p w14:paraId="56DC376C" w14:textId="767A41EE" w:rsidR="00AF53D9" w:rsidRPr="00C87E07" w:rsidRDefault="00AF53D9">
            <w:pPr>
              <w:rPr>
                <w:rFonts w:ascii="Times New Roman" w:hAnsi="Times New Roman"/>
                <w:lang w:val="es-CO"/>
              </w:rPr>
            </w:pPr>
            <w:r w:rsidRPr="00C87E07">
              <w:rPr>
                <w:rFonts w:ascii="Times New Roman" w:hAnsi="Times New Roman"/>
                <w:lang w:val="es-CO"/>
              </w:rPr>
              <w:t>4.4.1. Llevar a cabo un análisis de iniciativas y esfuerzos de cooperación dentro del contexto de la Secretaría General de la OEA e incluir enlaces a esfuerzos de cooperación relevantes en la plataforma.</w:t>
            </w:r>
          </w:p>
        </w:tc>
        <w:tc>
          <w:tcPr>
            <w:tcW w:w="2782" w:type="dxa"/>
            <w:shd w:val="clear" w:color="auto" w:fill="auto"/>
            <w:hideMark/>
          </w:tcPr>
          <w:p w14:paraId="59470B6A" w14:textId="77777777" w:rsidR="00AF53D9" w:rsidRPr="00C87E07" w:rsidRDefault="00AF53D9">
            <w:pPr>
              <w:rPr>
                <w:rFonts w:ascii="Times New Roman" w:hAnsi="Times New Roman"/>
                <w:lang w:val="es-CO"/>
              </w:rPr>
            </w:pPr>
            <w:r w:rsidRPr="00C87E07">
              <w:rPr>
                <w:rFonts w:ascii="Times New Roman" w:hAnsi="Times New Roman"/>
                <w:lang w:val="es-CO"/>
              </w:rPr>
              <w:t>Al menos 10 iniciativas de cooperación internas --de otras Secretarías de la OEA-- publicadas en la plataforma.</w:t>
            </w:r>
          </w:p>
        </w:tc>
        <w:tc>
          <w:tcPr>
            <w:tcW w:w="2614" w:type="dxa"/>
            <w:shd w:val="clear" w:color="auto" w:fill="auto"/>
            <w:hideMark/>
          </w:tcPr>
          <w:p w14:paraId="158DD1E7" w14:textId="77777777" w:rsidR="00AF53D9" w:rsidRPr="00C87E07" w:rsidRDefault="00AF53D9">
            <w:pPr>
              <w:rPr>
                <w:rFonts w:ascii="Times New Roman" w:hAnsi="Times New Roman"/>
                <w:lang w:val="es-CO"/>
              </w:rPr>
            </w:pPr>
            <w:r w:rsidRPr="00C87E07">
              <w:rPr>
                <w:rFonts w:ascii="Times New Roman" w:hAnsi="Times New Roman"/>
                <w:lang w:val="es-CO"/>
              </w:rPr>
              <w:t>Coordinación virtual mejorada a lo interno y externo de la OEA para la cooperación solidaria.</w:t>
            </w:r>
          </w:p>
        </w:tc>
        <w:tc>
          <w:tcPr>
            <w:tcW w:w="2729" w:type="dxa"/>
            <w:vMerge/>
          </w:tcPr>
          <w:p w14:paraId="371DD1CF" w14:textId="77777777" w:rsidR="00AF53D9" w:rsidRPr="00C87E07" w:rsidRDefault="00AF53D9">
            <w:pPr>
              <w:rPr>
                <w:rFonts w:ascii="Times New Roman" w:hAnsi="Times New Roman"/>
                <w:lang w:val="es-CO"/>
              </w:rPr>
            </w:pPr>
          </w:p>
        </w:tc>
      </w:tr>
      <w:tr w:rsidR="00AF53D9" w:rsidRPr="0071322F" w14:paraId="6E23F2A6" w14:textId="70BD501D" w:rsidTr="00AF53D9">
        <w:trPr>
          <w:trHeight w:val="825"/>
        </w:trPr>
        <w:tc>
          <w:tcPr>
            <w:tcW w:w="2202" w:type="dxa"/>
            <w:vMerge/>
            <w:shd w:val="clear" w:color="auto" w:fill="auto"/>
            <w:hideMark/>
          </w:tcPr>
          <w:p w14:paraId="129EDBD8" w14:textId="77777777" w:rsidR="00AF53D9" w:rsidRPr="00C87E07" w:rsidRDefault="00AF53D9">
            <w:pPr>
              <w:rPr>
                <w:rFonts w:ascii="Times New Roman" w:hAnsi="Times New Roman"/>
                <w:b/>
                <w:bCs/>
                <w:lang w:val="es-CO"/>
              </w:rPr>
            </w:pPr>
          </w:p>
        </w:tc>
        <w:tc>
          <w:tcPr>
            <w:tcW w:w="3798" w:type="dxa"/>
            <w:shd w:val="clear" w:color="auto" w:fill="auto"/>
            <w:hideMark/>
          </w:tcPr>
          <w:p w14:paraId="7364B985" w14:textId="22DD7407" w:rsidR="00AF53D9" w:rsidRPr="00C87E07" w:rsidRDefault="00AF53D9">
            <w:pPr>
              <w:rPr>
                <w:rFonts w:ascii="Times New Roman" w:hAnsi="Times New Roman"/>
                <w:lang w:val="es-CO"/>
              </w:rPr>
            </w:pPr>
            <w:r w:rsidRPr="00C87E07">
              <w:rPr>
                <w:rFonts w:ascii="Times New Roman" w:hAnsi="Times New Roman"/>
                <w:lang w:val="es-CO"/>
              </w:rPr>
              <w:t>4.4.2 Socializar y vincular la plataforma con las Agencias de Cooperación en los Estados Observadores.</w:t>
            </w:r>
          </w:p>
        </w:tc>
        <w:tc>
          <w:tcPr>
            <w:tcW w:w="2782" w:type="dxa"/>
            <w:shd w:val="clear" w:color="auto" w:fill="auto"/>
            <w:hideMark/>
          </w:tcPr>
          <w:p w14:paraId="7A2E0B2A" w14:textId="77777777" w:rsidR="00AF53D9" w:rsidRPr="00C87E07" w:rsidRDefault="00AF53D9">
            <w:pPr>
              <w:rPr>
                <w:rFonts w:ascii="Times New Roman" w:hAnsi="Times New Roman"/>
                <w:lang w:val="es-CO"/>
              </w:rPr>
            </w:pPr>
            <w:r w:rsidRPr="00C87E07">
              <w:rPr>
                <w:rFonts w:ascii="Times New Roman" w:hAnsi="Times New Roman"/>
                <w:lang w:val="es-CO"/>
              </w:rPr>
              <w:t>1 Comunicación enviada a Estados Observadores sobre la plataforma, dando el seguimiento necesario para atraerlos y concretar colaboración.</w:t>
            </w:r>
          </w:p>
        </w:tc>
        <w:tc>
          <w:tcPr>
            <w:tcW w:w="2614" w:type="dxa"/>
            <w:vMerge w:val="restart"/>
            <w:shd w:val="clear" w:color="auto" w:fill="auto"/>
            <w:hideMark/>
          </w:tcPr>
          <w:p w14:paraId="536F412B" w14:textId="02E2B202" w:rsidR="00AF53D9" w:rsidRPr="00C87E07" w:rsidRDefault="00AF53D9">
            <w:pPr>
              <w:rPr>
                <w:rFonts w:ascii="Times New Roman" w:hAnsi="Times New Roman"/>
                <w:lang w:val="es-CO"/>
              </w:rPr>
            </w:pPr>
            <w:r w:rsidRPr="00C87E07">
              <w:rPr>
                <w:rFonts w:ascii="Times New Roman" w:hAnsi="Times New Roman"/>
                <w:lang w:val="es-CO"/>
              </w:rPr>
              <w:t xml:space="preserve">Aumentar sinergias y fortalecer el rol del sistema OEA en materia de cooperación, en particular como facilitador de Cooperación Triangular. </w:t>
            </w:r>
          </w:p>
        </w:tc>
        <w:tc>
          <w:tcPr>
            <w:tcW w:w="2729" w:type="dxa"/>
            <w:vMerge/>
          </w:tcPr>
          <w:p w14:paraId="29B75183" w14:textId="77777777" w:rsidR="00AF53D9" w:rsidRPr="00C87E07" w:rsidRDefault="00AF53D9">
            <w:pPr>
              <w:rPr>
                <w:rFonts w:ascii="Times New Roman" w:hAnsi="Times New Roman"/>
                <w:lang w:val="es-CO"/>
              </w:rPr>
            </w:pPr>
          </w:p>
        </w:tc>
      </w:tr>
      <w:tr w:rsidR="00AF53D9" w:rsidRPr="0071322F" w14:paraId="14B767F9" w14:textId="103A3A54" w:rsidTr="00AF53D9">
        <w:trPr>
          <w:trHeight w:val="1340"/>
        </w:trPr>
        <w:tc>
          <w:tcPr>
            <w:tcW w:w="2202" w:type="dxa"/>
            <w:vMerge/>
            <w:shd w:val="clear" w:color="auto" w:fill="auto"/>
            <w:hideMark/>
          </w:tcPr>
          <w:p w14:paraId="7420B6F3" w14:textId="77777777" w:rsidR="00AF53D9" w:rsidRPr="00C87E07" w:rsidRDefault="00AF53D9">
            <w:pPr>
              <w:rPr>
                <w:rFonts w:ascii="Times New Roman" w:hAnsi="Times New Roman"/>
                <w:b/>
                <w:bCs/>
                <w:lang w:val="es-CO"/>
              </w:rPr>
            </w:pPr>
          </w:p>
        </w:tc>
        <w:tc>
          <w:tcPr>
            <w:tcW w:w="3798" w:type="dxa"/>
            <w:shd w:val="clear" w:color="auto" w:fill="auto"/>
            <w:hideMark/>
          </w:tcPr>
          <w:p w14:paraId="261770CE" w14:textId="655FF139" w:rsidR="00AF53D9" w:rsidRPr="00C87E07" w:rsidRDefault="00AF53D9">
            <w:pPr>
              <w:rPr>
                <w:rFonts w:ascii="Times New Roman" w:hAnsi="Times New Roman"/>
                <w:lang w:val="es-CO"/>
              </w:rPr>
            </w:pPr>
            <w:r w:rsidRPr="00C87E07">
              <w:rPr>
                <w:rFonts w:ascii="Times New Roman" w:hAnsi="Times New Roman"/>
                <w:lang w:val="es-CO"/>
              </w:rPr>
              <w:t>4.4.3. Entrar en contacto con otros organismos y agencias internacionales e incluir enlaces relevantes de la cooperación hemisférica en la plataforma. Destacan mecanismos como la Alianza del Pacífico, Proyecto Mesoamérica, AEC, programa Iberoamericanos de CSS (PIFCSS) y CARICOM, en los cuales ya se han adelantado ejercicios previos de identificación de ofertas y demandas de cooperación a nivel subregional.</w:t>
            </w:r>
          </w:p>
        </w:tc>
        <w:tc>
          <w:tcPr>
            <w:tcW w:w="2782" w:type="dxa"/>
            <w:shd w:val="clear" w:color="auto" w:fill="auto"/>
            <w:hideMark/>
          </w:tcPr>
          <w:p w14:paraId="6C4F514C" w14:textId="77777777" w:rsidR="00AF53D9" w:rsidRPr="00C87E07" w:rsidRDefault="00AF53D9" w:rsidP="00B606B3">
            <w:pPr>
              <w:rPr>
                <w:rFonts w:ascii="Times New Roman" w:hAnsi="Times New Roman"/>
                <w:lang w:val="es-CO"/>
              </w:rPr>
            </w:pPr>
            <w:r w:rsidRPr="00C87E07">
              <w:rPr>
                <w:rFonts w:ascii="Times New Roman" w:hAnsi="Times New Roman"/>
                <w:lang w:val="es-CO"/>
              </w:rPr>
              <w:t>1 Comunicación enviada a agencias pertinentes sobre la plataforma, dando el seguimiento necesario para atraerlos y concretar colaboración.</w:t>
            </w:r>
          </w:p>
        </w:tc>
        <w:tc>
          <w:tcPr>
            <w:tcW w:w="2614" w:type="dxa"/>
            <w:vMerge/>
            <w:shd w:val="clear" w:color="auto" w:fill="auto"/>
            <w:hideMark/>
          </w:tcPr>
          <w:p w14:paraId="39EEAEDF" w14:textId="77777777" w:rsidR="00AF53D9" w:rsidRPr="00C87E07" w:rsidRDefault="00AF53D9">
            <w:pPr>
              <w:rPr>
                <w:rFonts w:ascii="Times New Roman" w:hAnsi="Times New Roman"/>
                <w:lang w:val="es-CO"/>
              </w:rPr>
            </w:pPr>
          </w:p>
        </w:tc>
        <w:tc>
          <w:tcPr>
            <w:tcW w:w="2729" w:type="dxa"/>
            <w:vMerge/>
          </w:tcPr>
          <w:p w14:paraId="24DC5FD1" w14:textId="77777777" w:rsidR="00AF53D9" w:rsidRPr="00C87E07" w:rsidRDefault="00AF53D9">
            <w:pPr>
              <w:rPr>
                <w:rFonts w:ascii="Times New Roman" w:hAnsi="Times New Roman"/>
                <w:lang w:val="es-CO"/>
              </w:rPr>
            </w:pPr>
          </w:p>
        </w:tc>
      </w:tr>
    </w:tbl>
    <w:p w14:paraId="5B1C6F75" w14:textId="3473A989" w:rsidR="00D10AC9" w:rsidRDefault="00D10AC9" w:rsidP="00801D6B">
      <w:pPr>
        <w:rPr>
          <w:rFonts w:ascii="Times New Roman" w:hAnsi="Times New Roman"/>
          <w:lang w:val="es-CO"/>
        </w:rPr>
      </w:pPr>
    </w:p>
    <w:p w14:paraId="543BBCCB" w14:textId="77777777" w:rsidR="00D10AC9" w:rsidRDefault="00D10AC9">
      <w:pPr>
        <w:rPr>
          <w:rFonts w:ascii="Times New Roman" w:hAnsi="Times New Roman"/>
          <w:lang w:val="es-CO"/>
        </w:rPr>
      </w:pPr>
      <w:r>
        <w:rPr>
          <w:rFonts w:ascii="Times New Roman" w:hAnsi="Times New Roman"/>
          <w:lang w:val="es-CO"/>
        </w:rPr>
        <w:br w:type="page"/>
      </w:r>
    </w:p>
    <w:p w14:paraId="4C88BAD0" w14:textId="77777777" w:rsidR="00264781" w:rsidRPr="00C87E07" w:rsidRDefault="00264781" w:rsidP="00801D6B">
      <w:pPr>
        <w:rPr>
          <w:rFonts w:ascii="Times New Roman" w:hAnsi="Times New Roman"/>
          <w:lang w:val="es-CO"/>
        </w:rPr>
      </w:pPr>
    </w:p>
    <w:tbl>
      <w:tblPr>
        <w:tblStyle w:val="TableGrid"/>
        <w:tblW w:w="14125" w:type="dxa"/>
        <w:tblLook w:val="04A0" w:firstRow="1" w:lastRow="0" w:firstColumn="1" w:lastColumn="0" w:noHBand="0" w:noVBand="1"/>
      </w:tblPr>
      <w:tblGrid>
        <w:gridCol w:w="2065"/>
        <w:gridCol w:w="2700"/>
        <w:gridCol w:w="2880"/>
        <w:gridCol w:w="2610"/>
        <w:gridCol w:w="3870"/>
      </w:tblGrid>
      <w:tr w:rsidR="0007444B" w:rsidRPr="0071322F" w14:paraId="2DEA8AE1" w14:textId="32154FAA" w:rsidTr="00D10AC9">
        <w:trPr>
          <w:trHeight w:val="260"/>
        </w:trPr>
        <w:tc>
          <w:tcPr>
            <w:tcW w:w="14125" w:type="dxa"/>
            <w:gridSpan w:val="5"/>
            <w:shd w:val="clear" w:color="auto" w:fill="auto"/>
            <w:hideMark/>
          </w:tcPr>
          <w:p w14:paraId="769E004D" w14:textId="4A95264D" w:rsidR="0007444B" w:rsidRPr="00C87E07" w:rsidRDefault="0007444B" w:rsidP="00BE07CF">
            <w:pPr>
              <w:rPr>
                <w:lang w:val="es-CO"/>
              </w:rPr>
            </w:pPr>
            <w:r w:rsidRPr="00C87E07">
              <w:rPr>
                <w:lang w:val="es-CO"/>
              </w:rPr>
              <w:br w:type="page"/>
            </w:r>
            <w:r w:rsidRPr="00C87E07">
              <w:rPr>
                <w:lang w:val="es-CO"/>
              </w:rPr>
              <w:br w:type="page"/>
            </w:r>
            <w:r w:rsidRPr="00C87E07">
              <w:rPr>
                <w:rFonts w:ascii="Times New Roman" w:hAnsi="Times New Roman"/>
                <w:b/>
                <w:bCs/>
                <w:lang w:val="es-CO"/>
              </w:rPr>
              <w:t>Acción priorizada 5: Diseñar e implementar una Estrategia de Comunicación general.</w:t>
            </w:r>
          </w:p>
        </w:tc>
      </w:tr>
      <w:tr w:rsidR="0007444B" w:rsidRPr="00C87E07" w14:paraId="0FF8089A" w14:textId="2381534D" w:rsidTr="00A83EB9">
        <w:trPr>
          <w:trHeight w:val="260"/>
        </w:trPr>
        <w:tc>
          <w:tcPr>
            <w:tcW w:w="2065" w:type="dxa"/>
            <w:shd w:val="clear" w:color="auto" w:fill="auto"/>
            <w:hideMark/>
          </w:tcPr>
          <w:p w14:paraId="19DEAF89" w14:textId="77777777" w:rsidR="0007444B" w:rsidRPr="00C87E07" w:rsidRDefault="0007444B">
            <w:pPr>
              <w:rPr>
                <w:rFonts w:ascii="Times New Roman" w:hAnsi="Times New Roman"/>
                <w:b/>
                <w:bCs/>
                <w:lang w:val="es-CO"/>
              </w:rPr>
            </w:pPr>
            <w:r w:rsidRPr="00C87E07">
              <w:rPr>
                <w:rFonts w:ascii="Times New Roman" w:hAnsi="Times New Roman"/>
                <w:b/>
                <w:bCs/>
                <w:lang w:val="es-CO"/>
              </w:rPr>
              <w:t>Tareas:</w:t>
            </w:r>
          </w:p>
        </w:tc>
        <w:tc>
          <w:tcPr>
            <w:tcW w:w="2700" w:type="dxa"/>
            <w:shd w:val="clear" w:color="auto" w:fill="auto"/>
            <w:hideMark/>
          </w:tcPr>
          <w:p w14:paraId="0F00CD6D" w14:textId="77777777" w:rsidR="0007444B" w:rsidRPr="00C87E07" w:rsidRDefault="0007444B">
            <w:pPr>
              <w:rPr>
                <w:rFonts w:ascii="Times New Roman" w:hAnsi="Times New Roman"/>
                <w:b/>
                <w:bCs/>
                <w:lang w:val="es-CO"/>
              </w:rPr>
            </w:pPr>
            <w:r w:rsidRPr="00C87E07">
              <w:rPr>
                <w:rFonts w:ascii="Times New Roman" w:hAnsi="Times New Roman"/>
                <w:b/>
                <w:bCs/>
                <w:lang w:val="es-CO"/>
              </w:rPr>
              <w:t>Objetivos:</w:t>
            </w:r>
          </w:p>
        </w:tc>
        <w:tc>
          <w:tcPr>
            <w:tcW w:w="2880" w:type="dxa"/>
            <w:shd w:val="clear" w:color="auto" w:fill="auto"/>
            <w:hideMark/>
          </w:tcPr>
          <w:p w14:paraId="2CD579FC" w14:textId="77777777" w:rsidR="0007444B" w:rsidRPr="00C87E07" w:rsidRDefault="0007444B">
            <w:pPr>
              <w:rPr>
                <w:rFonts w:ascii="Times New Roman" w:hAnsi="Times New Roman"/>
                <w:b/>
                <w:bCs/>
                <w:lang w:val="es-CO"/>
              </w:rPr>
            </w:pPr>
            <w:r w:rsidRPr="00C87E07">
              <w:rPr>
                <w:rFonts w:ascii="Times New Roman" w:hAnsi="Times New Roman"/>
                <w:b/>
                <w:bCs/>
                <w:lang w:val="es-CO"/>
              </w:rPr>
              <w:t>Entregable / Indicador:</w:t>
            </w:r>
          </w:p>
        </w:tc>
        <w:tc>
          <w:tcPr>
            <w:tcW w:w="2610" w:type="dxa"/>
            <w:shd w:val="clear" w:color="auto" w:fill="auto"/>
            <w:hideMark/>
          </w:tcPr>
          <w:p w14:paraId="14B5728B" w14:textId="77777777" w:rsidR="0007444B" w:rsidRPr="00C87E07" w:rsidRDefault="0007444B">
            <w:pPr>
              <w:rPr>
                <w:rFonts w:ascii="Times New Roman" w:hAnsi="Times New Roman"/>
                <w:b/>
                <w:bCs/>
                <w:lang w:val="es-CO"/>
              </w:rPr>
            </w:pPr>
            <w:r w:rsidRPr="00C87E07">
              <w:rPr>
                <w:rFonts w:ascii="Times New Roman" w:hAnsi="Times New Roman"/>
                <w:b/>
                <w:bCs/>
                <w:lang w:val="es-CO"/>
              </w:rPr>
              <w:t>Resultado Esperado:</w:t>
            </w:r>
          </w:p>
        </w:tc>
        <w:tc>
          <w:tcPr>
            <w:tcW w:w="3870" w:type="dxa"/>
          </w:tcPr>
          <w:p w14:paraId="33656965" w14:textId="11773583" w:rsidR="0007444B" w:rsidRPr="00C87E07" w:rsidRDefault="00151929">
            <w:pPr>
              <w:rPr>
                <w:rFonts w:ascii="Times New Roman" w:hAnsi="Times New Roman"/>
                <w:b/>
                <w:bCs/>
                <w:lang w:val="es-CO"/>
              </w:rPr>
            </w:pPr>
            <w:r>
              <w:rPr>
                <w:rFonts w:ascii="Times New Roman" w:hAnsi="Times New Roman"/>
                <w:b/>
                <w:bCs/>
                <w:lang w:val="es-CO"/>
              </w:rPr>
              <w:t>Actualización</w:t>
            </w:r>
            <w:r w:rsidR="00BA70BC">
              <w:rPr>
                <w:rFonts w:ascii="Times New Roman" w:hAnsi="Times New Roman"/>
                <w:b/>
                <w:bCs/>
                <w:lang w:val="es-CO"/>
              </w:rPr>
              <w:t xml:space="preserve"> 15/03/21:</w:t>
            </w:r>
          </w:p>
        </w:tc>
      </w:tr>
      <w:tr w:rsidR="00BA70BC" w:rsidRPr="0071322F" w14:paraId="547AC245" w14:textId="1617B73B" w:rsidTr="00A83EB9">
        <w:trPr>
          <w:trHeight w:val="1635"/>
        </w:trPr>
        <w:tc>
          <w:tcPr>
            <w:tcW w:w="2065" w:type="dxa"/>
            <w:shd w:val="clear" w:color="auto" w:fill="auto"/>
          </w:tcPr>
          <w:p w14:paraId="396EC813" w14:textId="52900575" w:rsidR="00BA70BC" w:rsidRPr="00C87E07" w:rsidRDefault="00BA70BC" w:rsidP="007526F5">
            <w:pPr>
              <w:rPr>
                <w:rFonts w:ascii="Times New Roman" w:hAnsi="Times New Roman"/>
                <w:b/>
                <w:bCs/>
                <w:lang w:val="es-CO"/>
              </w:rPr>
            </w:pPr>
            <w:r w:rsidRPr="00C87E07">
              <w:rPr>
                <w:rFonts w:ascii="Times New Roman" w:hAnsi="Times New Roman"/>
                <w:b/>
                <w:bCs/>
                <w:lang w:val="es-CO"/>
              </w:rPr>
              <w:t xml:space="preserve">5.0. </w:t>
            </w:r>
            <w:r w:rsidRPr="00C87E07">
              <w:rPr>
                <w:rFonts w:ascii="Times New Roman" w:hAnsi="Times New Roman"/>
                <w:bCs/>
                <w:lang w:val="es-CO"/>
              </w:rPr>
              <w:t xml:space="preserve">Centrar todas las comunicaciones en la respuesta de la OEA/SEDI a COVID-19. </w:t>
            </w:r>
          </w:p>
        </w:tc>
        <w:tc>
          <w:tcPr>
            <w:tcW w:w="2700" w:type="dxa"/>
            <w:shd w:val="clear" w:color="auto" w:fill="auto"/>
          </w:tcPr>
          <w:p w14:paraId="69FE495B" w14:textId="58E4CF1B" w:rsidR="00BA70BC" w:rsidRPr="00C87E07" w:rsidRDefault="00BA70BC" w:rsidP="007526F5">
            <w:pPr>
              <w:rPr>
                <w:rFonts w:ascii="Times New Roman" w:hAnsi="Times New Roman"/>
                <w:lang w:val="es-CO"/>
              </w:rPr>
            </w:pPr>
            <w:r w:rsidRPr="00C87E07">
              <w:rPr>
                <w:rFonts w:ascii="Times New Roman" w:hAnsi="Times New Roman"/>
                <w:bCs/>
                <w:lang w:val="es-CO"/>
              </w:rPr>
              <w:t>5.0.1. Comunicar con éxito el trabajo de la OEA/SEDI con los Estados Miembros y socios en respuesta a COVID-19.</w:t>
            </w:r>
          </w:p>
        </w:tc>
        <w:tc>
          <w:tcPr>
            <w:tcW w:w="2880" w:type="dxa"/>
            <w:shd w:val="clear" w:color="auto" w:fill="auto"/>
          </w:tcPr>
          <w:p w14:paraId="5B511AB3" w14:textId="282D51BC" w:rsidR="00BA70BC" w:rsidRPr="00C87E07" w:rsidRDefault="00BA70BC">
            <w:pPr>
              <w:rPr>
                <w:rFonts w:ascii="Times New Roman" w:hAnsi="Times New Roman"/>
                <w:lang w:val="es-CO"/>
              </w:rPr>
            </w:pPr>
            <w:r w:rsidRPr="00C87E07">
              <w:rPr>
                <w:rFonts w:ascii="Times New Roman" w:hAnsi="Times New Roman"/>
                <w:bCs/>
                <w:lang w:val="es-CO"/>
              </w:rPr>
              <w:t xml:space="preserve">1 estrategia de comunicación a corto plazo específica para la respuesta de la OEA/SEDI a COVID-19 </w:t>
            </w:r>
            <w:r w:rsidRPr="00C87E07">
              <w:rPr>
                <w:rFonts w:ascii="Times New Roman" w:hAnsi="Times New Roman"/>
                <w:lang w:val="es-CO"/>
              </w:rPr>
              <w:t>diseñada e implementada.</w:t>
            </w:r>
          </w:p>
        </w:tc>
        <w:tc>
          <w:tcPr>
            <w:tcW w:w="2610" w:type="dxa"/>
            <w:shd w:val="clear" w:color="auto" w:fill="auto"/>
          </w:tcPr>
          <w:p w14:paraId="517A1B6B" w14:textId="77777777" w:rsidR="00BA70BC" w:rsidRPr="00C87E07" w:rsidRDefault="00BA70BC" w:rsidP="007526F5">
            <w:pPr>
              <w:rPr>
                <w:rFonts w:ascii="Times New Roman" w:hAnsi="Times New Roman"/>
                <w:bCs/>
                <w:lang w:val="es-CO"/>
              </w:rPr>
            </w:pPr>
            <w:r w:rsidRPr="00C87E07">
              <w:rPr>
                <w:rFonts w:ascii="Times New Roman" w:hAnsi="Times New Roman"/>
                <w:bCs/>
                <w:lang w:val="es-CO"/>
              </w:rPr>
              <w:t>Los gobiernos y otros socios entienden claramente el papel y el trabajo de la OEA/SEDI en apoyo a los Estados Miembros para responder a la crisis COVID-19.</w:t>
            </w:r>
          </w:p>
        </w:tc>
        <w:tc>
          <w:tcPr>
            <w:tcW w:w="3870" w:type="dxa"/>
            <w:vMerge w:val="restart"/>
          </w:tcPr>
          <w:p w14:paraId="2B965B2C" w14:textId="77777777" w:rsidR="004C1CD0" w:rsidRPr="004C1CD0" w:rsidRDefault="004C1CD0" w:rsidP="00FB5F4F">
            <w:pPr>
              <w:numPr>
                <w:ilvl w:val="0"/>
                <w:numId w:val="23"/>
              </w:numPr>
              <w:tabs>
                <w:tab w:val="left" w:pos="334"/>
                <w:tab w:val="left" w:pos="472"/>
                <w:tab w:val="num" w:pos="720"/>
              </w:tabs>
              <w:autoSpaceDE w:val="0"/>
              <w:autoSpaceDN w:val="0"/>
              <w:adjustRightInd w:val="0"/>
              <w:spacing w:after="0" w:line="240" w:lineRule="auto"/>
              <w:ind w:left="34" w:firstLine="33"/>
              <w:rPr>
                <w:rFonts w:ascii="Times New Roman" w:eastAsia="MS PGothic" w:hAnsi="Times New Roman"/>
                <w:kern w:val="24"/>
                <w:sz w:val="24"/>
                <w:szCs w:val="24"/>
                <w:lang w:val="es-ES"/>
              </w:rPr>
            </w:pPr>
            <w:r w:rsidRPr="004C1CD0">
              <w:rPr>
                <w:rFonts w:ascii="Times New Roman" w:eastAsia="MS PGothic" w:hAnsi="Times New Roman"/>
                <w:kern w:val="24"/>
                <w:sz w:val="24"/>
                <w:szCs w:val="24"/>
                <w:lang w:val="es-ES"/>
              </w:rPr>
              <w:t>Mayor visibilidad y conciencia del trabajo que está realizando la SEDI para ayudar a los Estados miembros a enfrentar los desafíos presentados por el COVID-19, destacando los resultados y el impacto de iniciativas, proyectos y eventos.</w:t>
            </w:r>
          </w:p>
          <w:p w14:paraId="42346360" w14:textId="77777777" w:rsidR="004C1CD0" w:rsidRPr="004C1CD0" w:rsidRDefault="004C1CD0" w:rsidP="00FB5F4F">
            <w:pPr>
              <w:numPr>
                <w:ilvl w:val="0"/>
                <w:numId w:val="23"/>
              </w:numPr>
              <w:tabs>
                <w:tab w:val="left" w:pos="334"/>
                <w:tab w:val="left" w:pos="472"/>
                <w:tab w:val="num" w:pos="720"/>
              </w:tabs>
              <w:autoSpaceDE w:val="0"/>
              <w:autoSpaceDN w:val="0"/>
              <w:adjustRightInd w:val="0"/>
              <w:spacing w:after="0" w:line="240" w:lineRule="auto"/>
              <w:ind w:left="34" w:firstLine="33"/>
              <w:rPr>
                <w:rFonts w:ascii="Times New Roman" w:eastAsia="MS PGothic" w:hAnsi="Times New Roman"/>
                <w:kern w:val="24"/>
                <w:sz w:val="24"/>
                <w:szCs w:val="24"/>
                <w:lang w:val="es-ES"/>
              </w:rPr>
            </w:pPr>
            <w:r w:rsidRPr="004C1CD0">
              <w:rPr>
                <w:rFonts w:ascii="Times New Roman" w:eastAsia="MS PGothic" w:hAnsi="Times New Roman"/>
                <w:kern w:val="24"/>
                <w:sz w:val="24"/>
                <w:szCs w:val="24"/>
                <w:lang w:val="es-ES"/>
              </w:rPr>
              <w:t>Los Estados miembros recibieron actualizaciones semanales sobre el trabajo de la SEDI.</w:t>
            </w:r>
          </w:p>
          <w:p w14:paraId="6ED54326" w14:textId="77777777" w:rsidR="004C1CD0" w:rsidRPr="004C1CD0" w:rsidRDefault="004C1CD0" w:rsidP="00FB5F4F">
            <w:pPr>
              <w:numPr>
                <w:ilvl w:val="0"/>
                <w:numId w:val="23"/>
              </w:numPr>
              <w:tabs>
                <w:tab w:val="left" w:pos="334"/>
                <w:tab w:val="left" w:pos="472"/>
                <w:tab w:val="num" w:pos="720"/>
              </w:tabs>
              <w:autoSpaceDE w:val="0"/>
              <w:autoSpaceDN w:val="0"/>
              <w:adjustRightInd w:val="0"/>
              <w:spacing w:after="0" w:line="240" w:lineRule="auto"/>
              <w:ind w:left="34" w:firstLine="33"/>
              <w:rPr>
                <w:rFonts w:ascii="Times New Roman" w:hAnsi="Times New Roman"/>
                <w:bCs/>
                <w:lang w:val="es-CO"/>
              </w:rPr>
            </w:pPr>
            <w:r w:rsidRPr="004C1CD0">
              <w:rPr>
                <w:rFonts w:ascii="Times New Roman" w:eastAsia="MS PGothic" w:hAnsi="Times New Roman"/>
                <w:kern w:val="24"/>
                <w:sz w:val="24"/>
                <w:szCs w:val="24"/>
                <w:lang w:val="es-ES"/>
              </w:rPr>
              <w:t xml:space="preserve">Mejor comunicación </w:t>
            </w:r>
            <w:r w:rsidRPr="004C1CD0">
              <w:rPr>
                <w:rFonts w:ascii="Times New Roman" w:hAnsi="Times New Roman"/>
                <w:bCs/>
                <w:lang w:val="es-CO"/>
              </w:rPr>
              <w:t>con donantes, instituciones internacionales, sector privado y otros socios, complementando los esfuerzos para buscar apoyo para la programación de la SEDI.</w:t>
            </w:r>
          </w:p>
          <w:p w14:paraId="067DEA84" w14:textId="77777777" w:rsidR="004C1CD0" w:rsidRPr="004C1CD0" w:rsidRDefault="004C1CD0" w:rsidP="00FB5F4F">
            <w:pPr>
              <w:numPr>
                <w:ilvl w:val="0"/>
                <w:numId w:val="23"/>
              </w:numPr>
              <w:tabs>
                <w:tab w:val="left" w:pos="334"/>
                <w:tab w:val="left" w:pos="472"/>
                <w:tab w:val="num" w:pos="720"/>
              </w:tabs>
              <w:autoSpaceDE w:val="0"/>
              <w:autoSpaceDN w:val="0"/>
              <w:adjustRightInd w:val="0"/>
              <w:spacing w:after="0" w:line="240" w:lineRule="auto"/>
              <w:ind w:left="34" w:firstLine="33"/>
              <w:rPr>
                <w:rFonts w:ascii="Times New Roman" w:eastAsia="MS PGothic" w:hAnsi="Times New Roman"/>
                <w:kern w:val="24"/>
                <w:sz w:val="24"/>
                <w:szCs w:val="24"/>
                <w:lang w:val="es-ES"/>
              </w:rPr>
            </w:pPr>
            <w:r w:rsidRPr="004C1CD0">
              <w:rPr>
                <w:rFonts w:ascii="Times New Roman" w:eastAsia="MS PGothic" w:hAnsi="Times New Roman"/>
                <w:kern w:val="24"/>
                <w:sz w:val="24"/>
                <w:szCs w:val="24"/>
                <w:lang w:val="es-ES"/>
              </w:rPr>
              <w:t>Se reactivaron las cuentas en redes sociales de la SEDI, logrando un crecimiento del 20% de su base de suscriptores en el 2020.</w:t>
            </w:r>
          </w:p>
          <w:p w14:paraId="279A7809" w14:textId="77777777" w:rsidR="004C1CD0" w:rsidRPr="004C1CD0" w:rsidRDefault="004C1CD0" w:rsidP="00FB5F4F">
            <w:pPr>
              <w:numPr>
                <w:ilvl w:val="0"/>
                <w:numId w:val="23"/>
              </w:numPr>
              <w:tabs>
                <w:tab w:val="left" w:pos="334"/>
                <w:tab w:val="left" w:pos="472"/>
                <w:tab w:val="num" w:pos="720"/>
              </w:tabs>
              <w:autoSpaceDE w:val="0"/>
              <w:autoSpaceDN w:val="0"/>
              <w:adjustRightInd w:val="0"/>
              <w:spacing w:after="0" w:line="240" w:lineRule="auto"/>
              <w:ind w:left="34" w:firstLine="33"/>
              <w:rPr>
                <w:rFonts w:ascii="Times New Roman" w:eastAsia="MS PGothic" w:hAnsi="Times New Roman"/>
                <w:kern w:val="24"/>
                <w:sz w:val="24"/>
                <w:szCs w:val="24"/>
                <w:lang w:val="es-ES"/>
              </w:rPr>
            </w:pPr>
            <w:r w:rsidRPr="004C1CD0">
              <w:rPr>
                <w:rFonts w:ascii="Times New Roman" w:eastAsia="MS PGothic" w:hAnsi="Times New Roman"/>
                <w:kern w:val="24"/>
                <w:sz w:val="24"/>
                <w:szCs w:val="24"/>
                <w:lang w:val="es-ES"/>
              </w:rPr>
              <w:t>Avances significativos en la promoción de oportunidades de becas. Se está desarrollando un Plan de Comunicación específico para el programa de becas.</w:t>
            </w:r>
          </w:p>
          <w:p w14:paraId="26DD1BF1" w14:textId="78B7AC60" w:rsidR="00BA70BC" w:rsidRPr="00FB5F4F" w:rsidRDefault="004C1CD0" w:rsidP="007526F5">
            <w:pPr>
              <w:numPr>
                <w:ilvl w:val="0"/>
                <w:numId w:val="23"/>
              </w:numPr>
              <w:tabs>
                <w:tab w:val="left" w:pos="334"/>
                <w:tab w:val="left" w:pos="472"/>
                <w:tab w:val="num" w:pos="720"/>
              </w:tabs>
              <w:autoSpaceDE w:val="0"/>
              <w:autoSpaceDN w:val="0"/>
              <w:adjustRightInd w:val="0"/>
              <w:spacing w:after="0" w:line="240" w:lineRule="auto"/>
              <w:ind w:left="34" w:firstLine="33"/>
              <w:rPr>
                <w:rFonts w:ascii="Times New Roman" w:hAnsi="Times New Roman"/>
                <w:bCs/>
                <w:lang w:val="es-CO"/>
              </w:rPr>
            </w:pPr>
            <w:r w:rsidRPr="004C1CD0">
              <w:rPr>
                <w:rFonts w:ascii="Times New Roman" w:eastAsia="MS PGothic" w:hAnsi="Times New Roman"/>
                <w:kern w:val="24"/>
                <w:sz w:val="24"/>
                <w:szCs w:val="24"/>
                <w:lang w:val="es-ES"/>
              </w:rPr>
              <w:t>Se diseñó el banner utilizado para promover la convocatoria de CooperaNet de ofertas</w:t>
            </w:r>
            <w:r w:rsidRPr="004C1CD0">
              <w:rPr>
                <w:rFonts w:ascii="Times New Roman" w:hAnsi="Times New Roman"/>
                <w:bCs/>
                <w:lang w:val="es-CO"/>
              </w:rPr>
              <w:t xml:space="preserve"> y necesidades relacionadas con COVID-19</w:t>
            </w:r>
            <w:r w:rsidR="00FB5F4F">
              <w:rPr>
                <w:rFonts w:ascii="Times New Roman" w:hAnsi="Times New Roman"/>
                <w:bCs/>
                <w:lang w:val="es-CO"/>
              </w:rPr>
              <w:t>.</w:t>
            </w:r>
          </w:p>
        </w:tc>
      </w:tr>
      <w:tr w:rsidR="00BA70BC" w:rsidRPr="0071322F" w14:paraId="72603357" w14:textId="59CB7CC3" w:rsidTr="00A83EB9">
        <w:trPr>
          <w:trHeight w:val="530"/>
        </w:trPr>
        <w:tc>
          <w:tcPr>
            <w:tcW w:w="2065" w:type="dxa"/>
            <w:shd w:val="clear" w:color="auto" w:fill="auto"/>
            <w:hideMark/>
          </w:tcPr>
          <w:p w14:paraId="047BA836" w14:textId="1DD1522F" w:rsidR="00BA70BC" w:rsidRPr="00C87E07" w:rsidRDefault="00BA70BC">
            <w:pPr>
              <w:rPr>
                <w:rFonts w:ascii="Times New Roman" w:hAnsi="Times New Roman"/>
                <w:b/>
                <w:bCs/>
                <w:lang w:val="es-CO"/>
              </w:rPr>
            </w:pPr>
            <w:r w:rsidRPr="00C87E07">
              <w:rPr>
                <w:rFonts w:ascii="Times New Roman" w:hAnsi="Times New Roman"/>
                <w:b/>
                <w:bCs/>
                <w:lang w:val="es-CO"/>
              </w:rPr>
              <w:t xml:space="preserve">5.1. </w:t>
            </w:r>
            <w:r w:rsidRPr="00C87E07">
              <w:rPr>
                <w:rFonts w:ascii="Times New Roman" w:hAnsi="Times New Roman"/>
                <w:lang w:val="es-CO"/>
              </w:rPr>
              <w:t>Diseñar una estrategia de comunicación general para la SEDI, enfatizando su papel y el de la AICD en materia de cooperación para el desarrollo.</w:t>
            </w:r>
          </w:p>
        </w:tc>
        <w:tc>
          <w:tcPr>
            <w:tcW w:w="2700" w:type="dxa"/>
            <w:shd w:val="clear" w:color="auto" w:fill="auto"/>
            <w:hideMark/>
          </w:tcPr>
          <w:p w14:paraId="16F0DC9D" w14:textId="01AD0C28" w:rsidR="00BA70BC" w:rsidRPr="00C87E07" w:rsidRDefault="00BA70BC">
            <w:pPr>
              <w:rPr>
                <w:rFonts w:ascii="Times New Roman" w:hAnsi="Times New Roman"/>
                <w:lang w:val="es-CO"/>
              </w:rPr>
            </w:pPr>
            <w:r w:rsidRPr="00C87E07">
              <w:rPr>
                <w:rFonts w:ascii="Times New Roman" w:hAnsi="Times New Roman"/>
                <w:lang w:val="es-CO"/>
              </w:rPr>
              <w:t>5.1.1. Analizar las necesidades de comunicación de la SEDI y diseñar una estrategia, identificando los canales adecuados para optimizar la diseminación del mensaje.</w:t>
            </w:r>
          </w:p>
        </w:tc>
        <w:tc>
          <w:tcPr>
            <w:tcW w:w="2880" w:type="dxa"/>
            <w:shd w:val="clear" w:color="auto" w:fill="auto"/>
            <w:hideMark/>
          </w:tcPr>
          <w:p w14:paraId="314C20F8" w14:textId="77777777" w:rsidR="00BA70BC" w:rsidRPr="00C87E07" w:rsidRDefault="00BA70BC">
            <w:pPr>
              <w:rPr>
                <w:rFonts w:ascii="Times New Roman" w:hAnsi="Times New Roman"/>
                <w:lang w:val="es-CO"/>
              </w:rPr>
            </w:pPr>
            <w:r w:rsidRPr="00C87E07">
              <w:rPr>
                <w:rFonts w:ascii="Times New Roman" w:hAnsi="Times New Roman"/>
                <w:lang w:val="es-CO"/>
              </w:rPr>
              <w:t xml:space="preserve">1 borrador de estrategia de comunicación elaborado y presentado a la JD/AICD para su consideración, aprobación e implementación. </w:t>
            </w:r>
          </w:p>
        </w:tc>
        <w:tc>
          <w:tcPr>
            <w:tcW w:w="2610" w:type="dxa"/>
            <w:shd w:val="clear" w:color="auto" w:fill="auto"/>
            <w:hideMark/>
          </w:tcPr>
          <w:p w14:paraId="50998AD5" w14:textId="77777777" w:rsidR="00BA70BC" w:rsidRPr="00C87E07" w:rsidRDefault="00BA70BC" w:rsidP="003C0342">
            <w:pPr>
              <w:rPr>
                <w:rFonts w:ascii="Times New Roman" w:hAnsi="Times New Roman"/>
                <w:bCs/>
                <w:lang w:val="es-CO"/>
              </w:rPr>
            </w:pPr>
            <w:r w:rsidRPr="00C87E07">
              <w:rPr>
                <w:rFonts w:ascii="Times New Roman" w:hAnsi="Times New Roman"/>
                <w:bCs/>
                <w:lang w:val="es-CO"/>
              </w:rPr>
              <w:t>Mejor comunicación y compromiso de los puntos focales nacionales, los gobiernos de los Estados Miembros, los organismos regionales existentes, el sector privado y otros actores.</w:t>
            </w:r>
          </w:p>
          <w:p w14:paraId="2D6FE4D2" w14:textId="77777777" w:rsidR="00BA70BC" w:rsidRPr="00C87E07" w:rsidRDefault="00BA70BC" w:rsidP="003C0342">
            <w:pPr>
              <w:rPr>
                <w:rFonts w:ascii="Times New Roman" w:hAnsi="Times New Roman"/>
                <w:bCs/>
                <w:lang w:val="es-CO"/>
              </w:rPr>
            </w:pPr>
          </w:p>
          <w:p w14:paraId="38AA2528" w14:textId="77777777" w:rsidR="00BA70BC" w:rsidRPr="00C87E07" w:rsidRDefault="00BA70BC" w:rsidP="003C0342">
            <w:pPr>
              <w:rPr>
                <w:rFonts w:ascii="Times New Roman" w:hAnsi="Times New Roman"/>
                <w:lang w:val="es-CO"/>
              </w:rPr>
            </w:pPr>
            <w:r w:rsidRPr="00C87E07">
              <w:rPr>
                <w:rFonts w:ascii="Times New Roman" w:hAnsi="Times New Roman"/>
                <w:bCs/>
                <w:lang w:val="es-CO"/>
              </w:rPr>
              <w:t>Mayor comprensión del papel de la OEA en la cooperación para el desarrollo y viabilidad mejorada para acceder   a fuentes de financiación.</w:t>
            </w:r>
          </w:p>
        </w:tc>
        <w:tc>
          <w:tcPr>
            <w:tcW w:w="3870" w:type="dxa"/>
            <w:vMerge/>
          </w:tcPr>
          <w:p w14:paraId="6E7E3767" w14:textId="77777777" w:rsidR="00BA70BC" w:rsidRPr="00C87E07" w:rsidRDefault="00BA70BC" w:rsidP="003C0342">
            <w:pPr>
              <w:rPr>
                <w:rFonts w:ascii="Times New Roman" w:hAnsi="Times New Roman"/>
                <w:bCs/>
                <w:lang w:val="es-CO"/>
              </w:rPr>
            </w:pPr>
          </w:p>
        </w:tc>
      </w:tr>
    </w:tbl>
    <w:p w14:paraId="6F9E7934" w14:textId="025D121A" w:rsidR="00D10AC9" w:rsidRDefault="00D10AC9">
      <w:pPr>
        <w:rPr>
          <w:lang w:val="es-CO"/>
        </w:rPr>
      </w:pPr>
    </w:p>
    <w:tbl>
      <w:tblPr>
        <w:tblStyle w:val="TableGrid"/>
        <w:tblW w:w="14125" w:type="dxa"/>
        <w:tblLook w:val="04A0" w:firstRow="1" w:lastRow="0" w:firstColumn="1" w:lastColumn="0" w:noHBand="0" w:noVBand="1"/>
      </w:tblPr>
      <w:tblGrid>
        <w:gridCol w:w="2240"/>
        <w:gridCol w:w="1085"/>
        <w:gridCol w:w="2832"/>
        <w:gridCol w:w="588"/>
        <w:gridCol w:w="2454"/>
        <w:gridCol w:w="246"/>
        <w:gridCol w:w="1833"/>
        <w:gridCol w:w="417"/>
        <w:gridCol w:w="2430"/>
      </w:tblGrid>
      <w:tr w:rsidR="0007444B" w:rsidRPr="0071322F" w14:paraId="6F09C6EA" w14:textId="1D6015CB" w:rsidTr="000867CA">
        <w:trPr>
          <w:trHeight w:val="260"/>
        </w:trPr>
        <w:tc>
          <w:tcPr>
            <w:tcW w:w="14125" w:type="dxa"/>
            <w:gridSpan w:val="9"/>
            <w:shd w:val="clear" w:color="auto" w:fill="auto"/>
            <w:hideMark/>
          </w:tcPr>
          <w:p w14:paraId="27EE5103" w14:textId="60DA1F43" w:rsidR="0007444B" w:rsidRPr="00C87E07" w:rsidRDefault="0007444B">
            <w:pPr>
              <w:rPr>
                <w:rFonts w:ascii="Times New Roman" w:hAnsi="Times New Roman"/>
                <w:b/>
                <w:bCs/>
                <w:lang w:val="es-CO"/>
              </w:rPr>
            </w:pPr>
            <w:r w:rsidRPr="00C87E07">
              <w:rPr>
                <w:rFonts w:ascii="Times New Roman" w:hAnsi="Times New Roman"/>
                <w:b/>
                <w:bCs/>
                <w:lang w:val="es-CO"/>
              </w:rPr>
              <w:lastRenderedPageBreak/>
              <w:t>Acción priorizada 6: Establecer lineamientos para enmarcar las alianzas Multi-Actores.</w:t>
            </w:r>
          </w:p>
        </w:tc>
      </w:tr>
      <w:tr w:rsidR="00FB5F4F" w:rsidRPr="00C87E07" w14:paraId="71D70BEB" w14:textId="02AC3084" w:rsidTr="000867CA">
        <w:trPr>
          <w:trHeight w:val="350"/>
        </w:trPr>
        <w:tc>
          <w:tcPr>
            <w:tcW w:w="3325" w:type="dxa"/>
            <w:gridSpan w:val="2"/>
            <w:shd w:val="clear" w:color="auto" w:fill="auto"/>
            <w:hideMark/>
          </w:tcPr>
          <w:p w14:paraId="6520F7A4" w14:textId="77777777" w:rsidR="0007444B" w:rsidRPr="00C87E07" w:rsidRDefault="0007444B">
            <w:pPr>
              <w:rPr>
                <w:rFonts w:ascii="Times New Roman" w:hAnsi="Times New Roman"/>
                <w:b/>
                <w:bCs/>
                <w:lang w:val="es-CO"/>
              </w:rPr>
            </w:pPr>
            <w:r w:rsidRPr="00C87E07">
              <w:rPr>
                <w:rFonts w:ascii="Times New Roman" w:hAnsi="Times New Roman"/>
                <w:b/>
                <w:bCs/>
                <w:lang w:val="es-CO"/>
              </w:rPr>
              <w:t>Tareas:</w:t>
            </w:r>
          </w:p>
        </w:tc>
        <w:tc>
          <w:tcPr>
            <w:tcW w:w="3420" w:type="dxa"/>
            <w:gridSpan w:val="2"/>
            <w:shd w:val="clear" w:color="auto" w:fill="auto"/>
            <w:hideMark/>
          </w:tcPr>
          <w:p w14:paraId="3CC93980" w14:textId="77777777" w:rsidR="0007444B" w:rsidRPr="00C87E07" w:rsidRDefault="0007444B">
            <w:pPr>
              <w:rPr>
                <w:rFonts w:ascii="Times New Roman" w:hAnsi="Times New Roman"/>
                <w:b/>
                <w:bCs/>
                <w:lang w:val="es-CO"/>
              </w:rPr>
            </w:pPr>
            <w:r w:rsidRPr="00C87E07">
              <w:rPr>
                <w:rFonts w:ascii="Times New Roman" w:hAnsi="Times New Roman"/>
                <w:b/>
                <w:bCs/>
                <w:lang w:val="es-CO"/>
              </w:rPr>
              <w:t>Objetivos:</w:t>
            </w:r>
          </w:p>
        </w:tc>
        <w:tc>
          <w:tcPr>
            <w:tcW w:w="2700" w:type="dxa"/>
            <w:gridSpan w:val="2"/>
            <w:shd w:val="clear" w:color="auto" w:fill="auto"/>
            <w:hideMark/>
          </w:tcPr>
          <w:p w14:paraId="0EAFC50F" w14:textId="77777777" w:rsidR="0007444B" w:rsidRPr="00C87E07" w:rsidRDefault="0007444B">
            <w:pPr>
              <w:rPr>
                <w:rFonts w:ascii="Times New Roman" w:hAnsi="Times New Roman"/>
                <w:b/>
                <w:bCs/>
                <w:lang w:val="es-CO"/>
              </w:rPr>
            </w:pPr>
            <w:r w:rsidRPr="00C87E07">
              <w:rPr>
                <w:rFonts w:ascii="Times New Roman" w:hAnsi="Times New Roman"/>
                <w:b/>
                <w:bCs/>
                <w:lang w:val="es-CO"/>
              </w:rPr>
              <w:t>Entregable / Indicador:</w:t>
            </w:r>
          </w:p>
        </w:tc>
        <w:tc>
          <w:tcPr>
            <w:tcW w:w="2250" w:type="dxa"/>
            <w:gridSpan w:val="2"/>
            <w:shd w:val="clear" w:color="auto" w:fill="auto"/>
            <w:hideMark/>
          </w:tcPr>
          <w:p w14:paraId="082796F6" w14:textId="77777777" w:rsidR="0007444B" w:rsidRPr="00C87E07" w:rsidRDefault="0007444B">
            <w:pPr>
              <w:rPr>
                <w:rFonts w:ascii="Times New Roman" w:hAnsi="Times New Roman"/>
                <w:b/>
                <w:bCs/>
                <w:lang w:val="es-CO"/>
              </w:rPr>
            </w:pPr>
            <w:r w:rsidRPr="00C87E07">
              <w:rPr>
                <w:rFonts w:ascii="Times New Roman" w:hAnsi="Times New Roman"/>
                <w:b/>
                <w:bCs/>
                <w:lang w:val="es-CO"/>
              </w:rPr>
              <w:t>Resultado Esperado:</w:t>
            </w:r>
          </w:p>
        </w:tc>
        <w:tc>
          <w:tcPr>
            <w:tcW w:w="2430" w:type="dxa"/>
          </w:tcPr>
          <w:p w14:paraId="2969694E" w14:textId="05FD9DA9" w:rsidR="0007444B" w:rsidRPr="00C87E07" w:rsidRDefault="00151929">
            <w:pPr>
              <w:rPr>
                <w:rFonts w:ascii="Times New Roman" w:hAnsi="Times New Roman"/>
                <w:b/>
                <w:bCs/>
                <w:lang w:val="es-CO"/>
              </w:rPr>
            </w:pPr>
            <w:r>
              <w:rPr>
                <w:rFonts w:ascii="Times New Roman" w:hAnsi="Times New Roman"/>
                <w:b/>
                <w:bCs/>
                <w:lang w:val="es-CO"/>
              </w:rPr>
              <w:t>Actualización</w:t>
            </w:r>
            <w:r w:rsidR="00BA70BC">
              <w:rPr>
                <w:rFonts w:ascii="Times New Roman" w:hAnsi="Times New Roman"/>
                <w:b/>
                <w:bCs/>
                <w:lang w:val="es-CO"/>
              </w:rPr>
              <w:t xml:space="preserve"> 15/03/21:</w:t>
            </w:r>
          </w:p>
        </w:tc>
      </w:tr>
      <w:tr w:rsidR="00BA70BC" w:rsidRPr="0071322F" w14:paraId="1AE931A5" w14:textId="516DE8C5" w:rsidTr="000867CA">
        <w:trPr>
          <w:trHeight w:val="1178"/>
        </w:trPr>
        <w:tc>
          <w:tcPr>
            <w:tcW w:w="3325" w:type="dxa"/>
            <w:gridSpan w:val="2"/>
            <w:vMerge w:val="restart"/>
            <w:shd w:val="clear" w:color="auto" w:fill="auto"/>
          </w:tcPr>
          <w:p w14:paraId="61F12B2F" w14:textId="4A8FC2B7" w:rsidR="00BA70BC" w:rsidRPr="00C87E07" w:rsidRDefault="00BA70BC" w:rsidP="0006051A">
            <w:pPr>
              <w:rPr>
                <w:rFonts w:ascii="Times New Roman" w:hAnsi="Times New Roman"/>
                <w:b/>
                <w:bCs/>
                <w:lang w:val="es-CO"/>
              </w:rPr>
            </w:pPr>
            <w:r w:rsidRPr="00C87E07">
              <w:rPr>
                <w:rFonts w:ascii="Times New Roman" w:hAnsi="Times New Roman"/>
                <w:b/>
                <w:bCs/>
                <w:lang w:val="es-CO"/>
              </w:rPr>
              <w:t xml:space="preserve">6.0. </w:t>
            </w:r>
            <w:r w:rsidRPr="00C87E07">
              <w:rPr>
                <w:rFonts w:ascii="Times New Roman" w:hAnsi="Times New Roman"/>
                <w:lang w:val="es-CO"/>
              </w:rPr>
              <w:t xml:space="preserve">Identificar </w:t>
            </w:r>
            <w:r w:rsidRPr="00C87E07">
              <w:rPr>
                <w:rFonts w:ascii="Times New Roman" w:hAnsi="Times New Roman"/>
                <w:bCs/>
                <w:lang w:val="es-CO"/>
              </w:rPr>
              <w:t xml:space="preserve">a socios del sector privado que ofrecen soluciones específicas a la crisis y compartir las ofertas con los Estados miembros. </w:t>
            </w:r>
          </w:p>
        </w:tc>
        <w:tc>
          <w:tcPr>
            <w:tcW w:w="3420" w:type="dxa"/>
            <w:gridSpan w:val="2"/>
            <w:shd w:val="clear" w:color="auto" w:fill="auto"/>
          </w:tcPr>
          <w:p w14:paraId="7C128ACE" w14:textId="5C85E5FE" w:rsidR="00BA70BC" w:rsidRPr="00C87E07" w:rsidRDefault="00BA70BC">
            <w:pPr>
              <w:rPr>
                <w:rFonts w:ascii="Times New Roman" w:hAnsi="Times New Roman"/>
                <w:lang w:val="es-CO"/>
              </w:rPr>
            </w:pPr>
            <w:r w:rsidRPr="00C87E07">
              <w:rPr>
                <w:rFonts w:ascii="Times New Roman" w:hAnsi="Times New Roman"/>
                <w:bCs/>
                <w:lang w:val="es-CO"/>
              </w:rPr>
              <w:t>6.0.1. Identificar socios potenciales que ofrezcan soluciones específicas a COVID-19 para los Estados miembros.</w:t>
            </w:r>
          </w:p>
        </w:tc>
        <w:tc>
          <w:tcPr>
            <w:tcW w:w="2700" w:type="dxa"/>
            <w:gridSpan w:val="2"/>
            <w:shd w:val="clear" w:color="auto" w:fill="auto"/>
          </w:tcPr>
          <w:p w14:paraId="6E63EDC7" w14:textId="77777777" w:rsidR="00BA70BC" w:rsidRPr="00C87E07" w:rsidRDefault="00BA70BC">
            <w:pPr>
              <w:rPr>
                <w:rFonts w:ascii="Times New Roman" w:hAnsi="Times New Roman"/>
                <w:bCs/>
                <w:lang w:val="es-CO"/>
              </w:rPr>
            </w:pPr>
            <w:r w:rsidRPr="00C87E07">
              <w:rPr>
                <w:rFonts w:ascii="Times New Roman" w:hAnsi="Times New Roman"/>
                <w:bCs/>
                <w:lang w:val="es-CO"/>
              </w:rPr>
              <w:t>1 lista de socios potenciales que ofrecen soluciones específicas de COVID-19 a los Estados miembros.</w:t>
            </w:r>
          </w:p>
        </w:tc>
        <w:tc>
          <w:tcPr>
            <w:tcW w:w="2250" w:type="dxa"/>
            <w:gridSpan w:val="2"/>
            <w:vMerge w:val="restart"/>
            <w:shd w:val="clear" w:color="auto" w:fill="auto"/>
          </w:tcPr>
          <w:p w14:paraId="0AA5EFB2" w14:textId="77777777" w:rsidR="00BA70BC" w:rsidRPr="00C87E07" w:rsidRDefault="00BA70BC" w:rsidP="0006051A">
            <w:pPr>
              <w:rPr>
                <w:rFonts w:ascii="Times New Roman" w:hAnsi="Times New Roman"/>
                <w:lang w:val="es-CO"/>
              </w:rPr>
            </w:pPr>
            <w:r w:rsidRPr="00C87E07">
              <w:rPr>
                <w:rFonts w:ascii="Times New Roman" w:hAnsi="Times New Roman"/>
                <w:lang w:val="es-CO"/>
              </w:rPr>
              <w:t>Nuevas alianzas aseguradas para ofrecer más soluciones a los Estados miembros en respuesta a la crisis generada por el COVID-19.</w:t>
            </w:r>
          </w:p>
        </w:tc>
        <w:tc>
          <w:tcPr>
            <w:tcW w:w="2430" w:type="dxa"/>
            <w:vMerge w:val="restart"/>
          </w:tcPr>
          <w:p w14:paraId="1F2DB364" w14:textId="77777777" w:rsidR="003905C0" w:rsidRDefault="003905C0" w:rsidP="00FB5F4F">
            <w:pPr>
              <w:numPr>
                <w:ilvl w:val="0"/>
                <w:numId w:val="23"/>
              </w:numPr>
              <w:tabs>
                <w:tab w:val="left" w:pos="334"/>
                <w:tab w:val="left" w:pos="472"/>
                <w:tab w:val="num" w:pos="720"/>
              </w:tabs>
              <w:autoSpaceDE w:val="0"/>
              <w:autoSpaceDN w:val="0"/>
              <w:adjustRightInd w:val="0"/>
              <w:spacing w:after="0" w:line="240" w:lineRule="auto"/>
              <w:ind w:left="34" w:firstLine="33"/>
              <w:rPr>
                <w:rFonts w:ascii="Times New Roman" w:eastAsia="MS PGothic" w:hAnsi="Times New Roman"/>
                <w:sz w:val="24"/>
                <w:szCs w:val="24"/>
                <w:lang w:val="es-CO"/>
              </w:rPr>
            </w:pPr>
            <w:r>
              <w:rPr>
                <w:rFonts w:ascii="Times New Roman" w:eastAsia="MS PGothic" w:hAnsi="Times New Roman"/>
                <w:sz w:val="24"/>
                <w:szCs w:val="24"/>
                <w:lang w:val="es-CO"/>
              </w:rPr>
              <w:t xml:space="preserve">Los </w:t>
            </w:r>
            <w:r w:rsidRPr="00FB5F4F">
              <w:rPr>
                <w:rFonts w:ascii="Times New Roman" w:eastAsia="MS PGothic" w:hAnsi="Times New Roman"/>
                <w:kern w:val="24"/>
                <w:sz w:val="24"/>
                <w:szCs w:val="24"/>
                <w:lang w:val="es-ES"/>
              </w:rPr>
              <w:t>lineamientos</w:t>
            </w:r>
            <w:r>
              <w:rPr>
                <w:rFonts w:ascii="Times New Roman" w:eastAsia="MS PGothic" w:hAnsi="Times New Roman"/>
                <w:sz w:val="24"/>
                <w:szCs w:val="24"/>
                <w:lang w:val="es-CO"/>
              </w:rPr>
              <w:t xml:space="preserve"> están siendo creados a nivel institucional por el Departamento de Relaciones Externas e Institucionales (DREI).</w:t>
            </w:r>
          </w:p>
          <w:p w14:paraId="12038347" w14:textId="77777777" w:rsidR="00BA70BC" w:rsidRPr="00C87E07" w:rsidRDefault="00BA70BC" w:rsidP="0006051A">
            <w:pPr>
              <w:rPr>
                <w:rFonts w:ascii="Times New Roman" w:hAnsi="Times New Roman"/>
                <w:lang w:val="es-CO"/>
              </w:rPr>
            </w:pPr>
          </w:p>
        </w:tc>
      </w:tr>
      <w:tr w:rsidR="00BA70BC" w:rsidRPr="0071322F" w14:paraId="358FED18" w14:textId="15FE2AF0" w:rsidTr="000867CA">
        <w:trPr>
          <w:trHeight w:val="1358"/>
        </w:trPr>
        <w:tc>
          <w:tcPr>
            <w:tcW w:w="3325" w:type="dxa"/>
            <w:gridSpan w:val="2"/>
            <w:vMerge/>
            <w:shd w:val="clear" w:color="auto" w:fill="auto"/>
          </w:tcPr>
          <w:p w14:paraId="7F224055" w14:textId="77777777" w:rsidR="00BA70BC" w:rsidRPr="00C87E07" w:rsidRDefault="00BA70BC">
            <w:pPr>
              <w:rPr>
                <w:rFonts w:ascii="Times New Roman" w:hAnsi="Times New Roman"/>
                <w:b/>
                <w:bCs/>
                <w:lang w:val="es-CO"/>
              </w:rPr>
            </w:pPr>
          </w:p>
        </w:tc>
        <w:tc>
          <w:tcPr>
            <w:tcW w:w="3420" w:type="dxa"/>
            <w:gridSpan w:val="2"/>
            <w:shd w:val="clear" w:color="auto" w:fill="auto"/>
          </w:tcPr>
          <w:p w14:paraId="600B0253" w14:textId="6555BB04" w:rsidR="00BA70BC" w:rsidRPr="00C87E07" w:rsidRDefault="00BA70BC" w:rsidP="0006051A">
            <w:pPr>
              <w:rPr>
                <w:rFonts w:ascii="Times New Roman" w:hAnsi="Times New Roman"/>
                <w:lang w:val="es-CO"/>
              </w:rPr>
            </w:pPr>
            <w:r w:rsidRPr="00C87E07">
              <w:rPr>
                <w:rFonts w:ascii="Times New Roman" w:hAnsi="Times New Roman"/>
                <w:bCs/>
                <w:lang w:val="es-CO"/>
              </w:rPr>
              <w:t>6.0.2. Buscar alianzas con socios del sector privado que ofrezcan soluciones específicas a la crisis.</w:t>
            </w:r>
          </w:p>
        </w:tc>
        <w:tc>
          <w:tcPr>
            <w:tcW w:w="2700" w:type="dxa"/>
            <w:gridSpan w:val="2"/>
            <w:shd w:val="clear" w:color="auto" w:fill="auto"/>
          </w:tcPr>
          <w:p w14:paraId="21651753" w14:textId="77777777" w:rsidR="00BA70BC" w:rsidRPr="00C87E07" w:rsidRDefault="00BA70BC" w:rsidP="0006051A">
            <w:pPr>
              <w:rPr>
                <w:rFonts w:ascii="Times New Roman" w:hAnsi="Times New Roman"/>
                <w:lang w:val="es-CO"/>
              </w:rPr>
            </w:pPr>
            <w:r w:rsidRPr="00C87E07">
              <w:rPr>
                <w:rFonts w:ascii="Times New Roman" w:hAnsi="Times New Roman"/>
                <w:bCs/>
                <w:lang w:val="es-CO"/>
              </w:rPr>
              <w:t>Al menos 3 nuevas alianzas aseguradas a corto plazo para ofrecer soluciones a los Estados miembros en respuesta a la crisis.</w:t>
            </w:r>
          </w:p>
        </w:tc>
        <w:tc>
          <w:tcPr>
            <w:tcW w:w="2250" w:type="dxa"/>
            <w:gridSpan w:val="2"/>
            <w:vMerge/>
            <w:shd w:val="clear" w:color="auto" w:fill="auto"/>
          </w:tcPr>
          <w:p w14:paraId="3E3C9794" w14:textId="77777777" w:rsidR="00BA70BC" w:rsidRPr="00C87E07" w:rsidRDefault="00BA70BC">
            <w:pPr>
              <w:rPr>
                <w:rFonts w:ascii="Times New Roman" w:hAnsi="Times New Roman"/>
                <w:lang w:val="es-CO"/>
              </w:rPr>
            </w:pPr>
          </w:p>
        </w:tc>
        <w:tc>
          <w:tcPr>
            <w:tcW w:w="2430" w:type="dxa"/>
            <w:vMerge/>
          </w:tcPr>
          <w:p w14:paraId="0939CE45" w14:textId="77777777" w:rsidR="00BA70BC" w:rsidRPr="00C87E07" w:rsidRDefault="00BA70BC">
            <w:pPr>
              <w:rPr>
                <w:rFonts w:ascii="Times New Roman" w:hAnsi="Times New Roman"/>
                <w:lang w:val="es-CO"/>
              </w:rPr>
            </w:pPr>
          </w:p>
        </w:tc>
      </w:tr>
      <w:tr w:rsidR="00BA70BC" w:rsidRPr="0071322F" w14:paraId="0487934C" w14:textId="2E472573" w:rsidTr="000867CA">
        <w:trPr>
          <w:trHeight w:val="1970"/>
        </w:trPr>
        <w:tc>
          <w:tcPr>
            <w:tcW w:w="3325" w:type="dxa"/>
            <w:gridSpan w:val="2"/>
            <w:shd w:val="clear" w:color="auto" w:fill="auto"/>
            <w:hideMark/>
          </w:tcPr>
          <w:p w14:paraId="6D8793DF" w14:textId="42ADB22A" w:rsidR="00BA70BC" w:rsidRPr="00C87E07" w:rsidRDefault="00BA70BC">
            <w:pPr>
              <w:rPr>
                <w:rFonts w:ascii="Times New Roman" w:hAnsi="Times New Roman"/>
                <w:b/>
                <w:bCs/>
                <w:lang w:val="es-CO"/>
              </w:rPr>
            </w:pPr>
            <w:r w:rsidRPr="00C87E07">
              <w:rPr>
                <w:rFonts w:ascii="Times New Roman" w:hAnsi="Times New Roman"/>
                <w:b/>
                <w:bCs/>
                <w:lang w:val="es-CO"/>
              </w:rPr>
              <w:t xml:space="preserve">6.1. </w:t>
            </w:r>
            <w:r w:rsidRPr="00C87E07">
              <w:rPr>
                <w:rFonts w:ascii="Times New Roman" w:hAnsi="Times New Roman"/>
                <w:lang w:val="es-CO"/>
              </w:rPr>
              <w:t xml:space="preserve">Identificar buenas prácticas de otras organizaciones e instituciones respecto a su relacionamiento multi-actor. </w:t>
            </w:r>
          </w:p>
        </w:tc>
        <w:tc>
          <w:tcPr>
            <w:tcW w:w="3420" w:type="dxa"/>
            <w:gridSpan w:val="2"/>
            <w:shd w:val="clear" w:color="auto" w:fill="auto"/>
            <w:hideMark/>
          </w:tcPr>
          <w:p w14:paraId="0540D045" w14:textId="51400854" w:rsidR="00BA70BC" w:rsidRPr="00C87E07" w:rsidRDefault="00BA70BC">
            <w:pPr>
              <w:rPr>
                <w:rFonts w:ascii="Times New Roman" w:hAnsi="Times New Roman"/>
                <w:lang w:val="es-CO"/>
              </w:rPr>
            </w:pPr>
            <w:r w:rsidRPr="00C87E07">
              <w:rPr>
                <w:rFonts w:ascii="Times New Roman" w:hAnsi="Times New Roman"/>
                <w:lang w:val="es-CO"/>
              </w:rPr>
              <w:t>6.1.1. Realizar investigación de escritorio y entrevistas aclaratorias, según sea necesario, para recabar ejemplos de buenas prácticas de otras organizaciones e instituciones respecto a su relacionamiento multi-actor.</w:t>
            </w:r>
          </w:p>
        </w:tc>
        <w:tc>
          <w:tcPr>
            <w:tcW w:w="2700" w:type="dxa"/>
            <w:gridSpan w:val="2"/>
            <w:vMerge w:val="restart"/>
            <w:shd w:val="clear" w:color="auto" w:fill="auto"/>
            <w:hideMark/>
          </w:tcPr>
          <w:p w14:paraId="75CF5207" w14:textId="77777777" w:rsidR="00BA70BC" w:rsidRPr="00C87E07" w:rsidRDefault="00BA70BC">
            <w:pPr>
              <w:rPr>
                <w:rFonts w:ascii="Times New Roman" w:hAnsi="Times New Roman"/>
                <w:lang w:val="es-CO"/>
              </w:rPr>
            </w:pPr>
            <w:r w:rsidRPr="00C87E07">
              <w:rPr>
                <w:rFonts w:ascii="Times New Roman" w:hAnsi="Times New Roman"/>
                <w:lang w:val="es-CO"/>
              </w:rPr>
              <w:t>Nota: Esperar análisis y propuesta que está siendo desarrollada y será presentada por la SG/OEA a los Estados Miembros.</w:t>
            </w:r>
          </w:p>
          <w:p w14:paraId="42B92AFF" w14:textId="77777777" w:rsidR="00BA70BC" w:rsidRPr="00C87E07" w:rsidRDefault="00BA70BC">
            <w:pPr>
              <w:rPr>
                <w:rFonts w:ascii="Times New Roman" w:hAnsi="Times New Roman"/>
                <w:lang w:val="es-CO"/>
              </w:rPr>
            </w:pPr>
          </w:p>
          <w:p w14:paraId="3EB60CF3" w14:textId="77777777" w:rsidR="00BA70BC" w:rsidRPr="00C87E07" w:rsidRDefault="00BA70BC">
            <w:pPr>
              <w:rPr>
                <w:rFonts w:ascii="Times New Roman" w:hAnsi="Times New Roman"/>
                <w:lang w:val="es-CO"/>
              </w:rPr>
            </w:pPr>
          </w:p>
          <w:p w14:paraId="22829D18" w14:textId="2D8AD925" w:rsidR="00BA70BC" w:rsidRPr="00C87E07" w:rsidRDefault="00BA70BC" w:rsidP="006E62FA">
            <w:pPr>
              <w:rPr>
                <w:rFonts w:ascii="Times New Roman" w:hAnsi="Times New Roman"/>
                <w:lang w:val="es-CO"/>
              </w:rPr>
            </w:pPr>
          </w:p>
        </w:tc>
        <w:tc>
          <w:tcPr>
            <w:tcW w:w="2250" w:type="dxa"/>
            <w:gridSpan w:val="2"/>
            <w:vMerge w:val="restart"/>
            <w:shd w:val="clear" w:color="auto" w:fill="auto"/>
            <w:hideMark/>
          </w:tcPr>
          <w:p w14:paraId="07D153C6" w14:textId="77777777" w:rsidR="00BA70BC" w:rsidRPr="00C87E07" w:rsidRDefault="00BA70BC">
            <w:pPr>
              <w:rPr>
                <w:rFonts w:ascii="Times New Roman" w:hAnsi="Times New Roman"/>
                <w:lang w:val="es-CO"/>
              </w:rPr>
            </w:pPr>
            <w:r w:rsidRPr="00C87E07">
              <w:rPr>
                <w:rFonts w:ascii="Times New Roman" w:hAnsi="Times New Roman"/>
                <w:lang w:val="es-CO"/>
              </w:rPr>
              <w:t>La OEA está mejor posicionada para responder a las necesidades de cooperación al desarrollo de los Estados Miembros.</w:t>
            </w:r>
            <w:r w:rsidRPr="00C87E07">
              <w:rPr>
                <w:rFonts w:ascii="Times New Roman" w:hAnsi="Times New Roman"/>
                <w:lang w:val="es-CO"/>
              </w:rPr>
              <w:br/>
            </w:r>
            <w:r w:rsidRPr="00C87E07">
              <w:rPr>
                <w:rFonts w:ascii="Times New Roman" w:hAnsi="Times New Roman"/>
                <w:lang w:val="es-CO"/>
              </w:rPr>
              <w:br/>
              <w:t>Se evitan conflictos de interés entre los Estados miembros y los socios.</w:t>
            </w:r>
            <w:r w:rsidRPr="00C87E07">
              <w:rPr>
                <w:rFonts w:ascii="Times New Roman" w:hAnsi="Times New Roman"/>
                <w:lang w:val="es-CO"/>
              </w:rPr>
              <w:br/>
            </w:r>
            <w:r w:rsidRPr="00C87E07">
              <w:rPr>
                <w:rFonts w:ascii="Times New Roman" w:hAnsi="Times New Roman"/>
                <w:lang w:val="es-CO"/>
              </w:rPr>
              <w:br/>
              <w:t xml:space="preserve">Inclusión del sector privado como un socio igualitario para el desarrollo de la región. </w:t>
            </w:r>
          </w:p>
        </w:tc>
        <w:tc>
          <w:tcPr>
            <w:tcW w:w="2430" w:type="dxa"/>
            <w:vMerge/>
          </w:tcPr>
          <w:p w14:paraId="245A469D" w14:textId="77777777" w:rsidR="00BA70BC" w:rsidRPr="00C87E07" w:rsidRDefault="00BA70BC">
            <w:pPr>
              <w:rPr>
                <w:rFonts w:ascii="Times New Roman" w:hAnsi="Times New Roman"/>
                <w:lang w:val="es-CO"/>
              </w:rPr>
            </w:pPr>
          </w:p>
        </w:tc>
      </w:tr>
      <w:tr w:rsidR="00BA70BC" w:rsidRPr="0071322F" w14:paraId="7CECB731" w14:textId="5FF1C8E3" w:rsidTr="000867CA">
        <w:trPr>
          <w:trHeight w:val="1070"/>
        </w:trPr>
        <w:tc>
          <w:tcPr>
            <w:tcW w:w="3325" w:type="dxa"/>
            <w:gridSpan w:val="2"/>
            <w:shd w:val="clear" w:color="auto" w:fill="auto"/>
            <w:hideMark/>
          </w:tcPr>
          <w:p w14:paraId="602A7F35" w14:textId="2A6DE4DD" w:rsidR="00BA70BC" w:rsidRPr="00C87E07" w:rsidRDefault="00BA70BC">
            <w:pPr>
              <w:rPr>
                <w:rFonts w:ascii="Times New Roman" w:hAnsi="Times New Roman"/>
                <w:b/>
                <w:bCs/>
                <w:lang w:val="es-CO"/>
              </w:rPr>
            </w:pPr>
            <w:r w:rsidRPr="00C87E07">
              <w:rPr>
                <w:rFonts w:ascii="Times New Roman" w:hAnsi="Times New Roman"/>
                <w:b/>
                <w:bCs/>
                <w:lang w:val="es-CO"/>
              </w:rPr>
              <w:t xml:space="preserve">6.2. </w:t>
            </w:r>
            <w:r w:rsidRPr="00C87E07">
              <w:rPr>
                <w:rFonts w:ascii="Times New Roman" w:hAnsi="Times New Roman"/>
                <w:lang w:val="es-CO"/>
              </w:rPr>
              <w:t xml:space="preserve">Trabajar con los Estados Miembros para establecer lineamientos para involucrar al sector privado. </w:t>
            </w:r>
          </w:p>
        </w:tc>
        <w:tc>
          <w:tcPr>
            <w:tcW w:w="3420" w:type="dxa"/>
            <w:gridSpan w:val="2"/>
            <w:shd w:val="clear" w:color="auto" w:fill="auto"/>
            <w:hideMark/>
          </w:tcPr>
          <w:p w14:paraId="595F01B9" w14:textId="583F9B2E" w:rsidR="00BA70BC" w:rsidRPr="00C87E07" w:rsidRDefault="00BA70BC">
            <w:pPr>
              <w:rPr>
                <w:rFonts w:ascii="Times New Roman" w:hAnsi="Times New Roman"/>
                <w:lang w:val="es-CO"/>
              </w:rPr>
            </w:pPr>
            <w:r w:rsidRPr="00C87E07">
              <w:rPr>
                <w:rFonts w:ascii="Times New Roman" w:hAnsi="Times New Roman"/>
                <w:lang w:val="es-CO"/>
              </w:rPr>
              <w:t>6.2.1. Definir lineamientos y explorar canales para involucrar al sector privado y otros socios.</w:t>
            </w:r>
          </w:p>
        </w:tc>
        <w:tc>
          <w:tcPr>
            <w:tcW w:w="2700" w:type="dxa"/>
            <w:gridSpan w:val="2"/>
            <w:vMerge/>
            <w:shd w:val="clear" w:color="auto" w:fill="auto"/>
            <w:hideMark/>
          </w:tcPr>
          <w:p w14:paraId="2CD1FE82" w14:textId="54B34836" w:rsidR="00BA70BC" w:rsidRPr="00C87E07" w:rsidRDefault="00BA70BC">
            <w:pPr>
              <w:rPr>
                <w:rFonts w:ascii="Times New Roman" w:hAnsi="Times New Roman"/>
                <w:lang w:val="es-CO"/>
              </w:rPr>
            </w:pPr>
          </w:p>
        </w:tc>
        <w:tc>
          <w:tcPr>
            <w:tcW w:w="2250" w:type="dxa"/>
            <w:gridSpan w:val="2"/>
            <w:vMerge/>
            <w:shd w:val="clear" w:color="auto" w:fill="auto"/>
            <w:hideMark/>
          </w:tcPr>
          <w:p w14:paraId="0F1D9513" w14:textId="77777777" w:rsidR="00BA70BC" w:rsidRPr="00C87E07" w:rsidRDefault="00BA70BC">
            <w:pPr>
              <w:rPr>
                <w:rFonts w:ascii="Times New Roman" w:hAnsi="Times New Roman"/>
                <w:lang w:val="es-CO"/>
              </w:rPr>
            </w:pPr>
          </w:p>
        </w:tc>
        <w:tc>
          <w:tcPr>
            <w:tcW w:w="2430" w:type="dxa"/>
            <w:vMerge/>
          </w:tcPr>
          <w:p w14:paraId="64465F06" w14:textId="77777777" w:rsidR="00BA70BC" w:rsidRPr="00C87E07" w:rsidRDefault="00BA70BC">
            <w:pPr>
              <w:rPr>
                <w:rFonts w:ascii="Times New Roman" w:hAnsi="Times New Roman"/>
                <w:lang w:val="es-CO"/>
              </w:rPr>
            </w:pPr>
          </w:p>
        </w:tc>
      </w:tr>
      <w:tr w:rsidR="00BA70BC" w:rsidRPr="0071322F" w14:paraId="5C5A40C0" w14:textId="4F7FB7BC" w:rsidTr="000867CA">
        <w:trPr>
          <w:trHeight w:val="1215"/>
        </w:trPr>
        <w:tc>
          <w:tcPr>
            <w:tcW w:w="3325" w:type="dxa"/>
            <w:gridSpan w:val="2"/>
            <w:shd w:val="clear" w:color="auto" w:fill="auto"/>
            <w:hideMark/>
          </w:tcPr>
          <w:p w14:paraId="203CC2F9" w14:textId="44A5231A" w:rsidR="00BA70BC" w:rsidRPr="00C87E07" w:rsidRDefault="00BA70BC" w:rsidP="00F62596">
            <w:pPr>
              <w:rPr>
                <w:rFonts w:ascii="Times New Roman" w:hAnsi="Times New Roman"/>
                <w:b/>
                <w:bCs/>
                <w:lang w:val="es-CO"/>
              </w:rPr>
            </w:pPr>
            <w:r w:rsidRPr="00C87E07">
              <w:rPr>
                <w:rFonts w:ascii="Times New Roman" w:hAnsi="Times New Roman"/>
                <w:b/>
                <w:bCs/>
                <w:lang w:val="es-CO"/>
              </w:rPr>
              <w:t xml:space="preserve">6.3. </w:t>
            </w:r>
            <w:r w:rsidRPr="00C87E07">
              <w:rPr>
                <w:rFonts w:ascii="Times New Roman" w:hAnsi="Times New Roman"/>
                <w:lang w:val="es-CO"/>
              </w:rPr>
              <w:t>Establecer alianzas con el sector privado y otros sectores, incluyendo la Banca multilateral, academia y sociedad civil.</w:t>
            </w:r>
          </w:p>
        </w:tc>
        <w:tc>
          <w:tcPr>
            <w:tcW w:w="3420" w:type="dxa"/>
            <w:gridSpan w:val="2"/>
            <w:shd w:val="clear" w:color="auto" w:fill="auto"/>
            <w:hideMark/>
          </w:tcPr>
          <w:p w14:paraId="56107AC9" w14:textId="5834F524" w:rsidR="00BA70BC" w:rsidRPr="00C87E07" w:rsidRDefault="00BA70BC" w:rsidP="00F62596">
            <w:pPr>
              <w:rPr>
                <w:rFonts w:ascii="Times New Roman" w:hAnsi="Times New Roman"/>
                <w:lang w:val="es-CO"/>
              </w:rPr>
            </w:pPr>
            <w:r w:rsidRPr="00C87E07">
              <w:rPr>
                <w:rFonts w:ascii="Times New Roman" w:hAnsi="Times New Roman"/>
                <w:lang w:val="es-CO"/>
              </w:rPr>
              <w:t>6.3.1. Concluir la base de datos de socios potenciales preseleccionados y buscar acercamientos con los mismos.</w:t>
            </w:r>
          </w:p>
        </w:tc>
        <w:tc>
          <w:tcPr>
            <w:tcW w:w="2700" w:type="dxa"/>
            <w:gridSpan w:val="2"/>
            <w:vMerge/>
            <w:shd w:val="clear" w:color="auto" w:fill="auto"/>
          </w:tcPr>
          <w:p w14:paraId="514350ED" w14:textId="2BA2F5C1" w:rsidR="00BA70BC" w:rsidRPr="00C87E07" w:rsidRDefault="00BA70BC" w:rsidP="00F62596">
            <w:pPr>
              <w:rPr>
                <w:rFonts w:ascii="Times New Roman" w:hAnsi="Times New Roman"/>
                <w:lang w:val="es-CO"/>
              </w:rPr>
            </w:pPr>
          </w:p>
        </w:tc>
        <w:tc>
          <w:tcPr>
            <w:tcW w:w="2250" w:type="dxa"/>
            <w:gridSpan w:val="2"/>
            <w:vMerge/>
            <w:shd w:val="clear" w:color="auto" w:fill="auto"/>
            <w:hideMark/>
          </w:tcPr>
          <w:p w14:paraId="1E84811F" w14:textId="77777777" w:rsidR="00BA70BC" w:rsidRPr="00C87E07" w:rsidRDefault="00BA70BC" w:rsidP="00F62596">
            <w:pPr>
              <w:rPr>
                <w:rFonts w:ascii="Times New Roman" w:hAnsi="Times New Roman"/>
                <w:lang w:val="es-CO"/>
              </w:rPr>
            </w:pPr>
          </w:p>
        </w:tc>
        <w:tc>
          <w:tcPr>
            <w:tcW w:w="2430" w:type="dxa"/>
            <w:vMerge/>
          </w:tcPr>
          <w:p w14:paraId="0612177F" w14:textId="77777777" w:rsidR="00BA70BC" w:rsidRPr="00C87E07" w:rsidRDefault="00BA70BC" w:rsidP="00F62596">
            <w:pPr>
              <w:rPr>
                <w:rFonts w:ascii="Times New Roman" w:hAnsi="Times New Roman"/>
                <w:lang w:val="es-CO"/>
              </w:rPr>
            </w:pPr>
          </w:p>
        </w:tc>
      </w:tr>
      <w:tr w:rsidR="00BA70BC" w:rsidRPr="0071322F" w14:paraId="3284EC3A" w14:textId="6F2F3D3D" w:rsidTr="000867CA">
        <w:trPr>
          <w:trHeight w:val="900"/>
        </w:trPr>
        <w:tc>
          <w:tcPr>
            <w:tcW w:w="3325" w:type="dxa"/>
            <w:gridSpan w:val="2"/>
            <w:shd w:val="clear" w:color="auto" w:fill="auto"/>
            <w:hideMark/>
          </w:tcPr>
          <w:p w14:paraId="0D72F253" w14:textId="4DB8D22D" w:rsidR="00BA70BC" w:rsidRPr="00C87E07" w:rsidRDefault="00BA70BC" w:rsidP="00F62596">
            <w:pPr>
              <w:rPr>
                <w:rFonts w:ascii="Times New Roman" w:hAnsi="Times New Roman"/>
                <w:b/>
                <w:bCs/>
                <w:lang w:val="es-CO"/>
              </w:rPr>
            </w:pPr>
            <w:r w:rsidRPr="00C87E07">
              <w:rPr>
                <w:rFonts w:ascii="Times New Roman" w:hAnsi="Times New Roman"/>
                <w:b/>
                <w:bCs/>
                <w:lang w:val="es-CO"/>
              </w:rPr>
              <w:t xml:space="preserve">6.4. </w:t>
            </w:r>
            <w:r w:rsidRPr="00C87E07">
              <w:rPr>
                <w:rFonts w:ascii="Times New Roman" w:hAnsi="Times New Roman"/>
                <w:lang w:val="es-CO"/>
              </w:rPr>
              <w:t xml:space="preserve">Desarrollar la capacidad interna para explorar alianzas innovadoras y recaudar fondos. </w:t>
            </w:r>
          </w:p>
        </w:tc>
        <w:tc>
          <w:tcPr>
            <w:tcW w:w="3420" w:type="dxa"/>
            <w:gridSpan w:val="2"/>
            <w:shd w:val="clear" w:color="auto" w:fill="auto"/>
            <w:hideMark/>
          </w:tcPr>
          <w:p w14:paraId="0DC71533" w14:textId="03CED2C0" w:rsidR="00BA70BC" w:rsidRPr="00C87E07" w:rsidRDefault="00BA70BC" w:rsidP="00F62596">
            <w:pPr>
              <w:rPr>
                <w:rFonts w:ascii="Times New Roman" w:hAnsi="Times New Roman"/>
                <w:lang w:val="es-CO"/>
              </w:rPr>
            </w:pPr>
            <w:r w:rsidRPr="00C87E07">
              <w:rPr>
                <w:rFonts w:ascii="Times New Roman" w:hAnsi="Times New Roman"/>
                <w:lang w:val="es-CO"/>
              </w:rPr>
              <w:t>6.4.1. Continuar el proceso de implementación de la estrategia de participación del sector privado, que incluye un componente de formación de personal.</w:t>
            </w:r>
          </w:p>
        </w:tc>
        <w:tc>
          <w:tcPr>
            <w:tcW w:w="2700" w:type="dxa"/>
            <w:gridSpan w:val="2"/>
            <w:vMerge/>
            <w:shd w:val="clear" w:color="auto" w:fill="auto"/>
          </w:tcPr>
          <w:p w14:paraId="2984FE1A" w14:textId="5048EED7" w:rsidR="00BA70BC" w:rsidRPr="00C87E07" w:rsidRDefault="00BA70BC" w:rsidP="00F62596">
            <w:pPr>
              <w:rPr>
                <w:rFonts w:ascii="Times New Roman" w:hAnsi="Times New Roman"/>
                <w:lang w:val="es-CO"/>
              </w:rPr>
            </w:pPr>
          </w:p>
        </w:tc>
        <w:tc>
          <w:tcPr>
            <w:tcW w:w="2250" w:type="dxa"/>
            <w:gridSpan w:val="2"/>
            <w:vMerge/>
            <w:shd w:val="clear" w:color="auto" w:fill="auto"/>
            <w:hideMark/>
          </w:tcPr>
          <w:p w14:paraId="6E14E43D" w14:textId="77777777" w:rsidR="00BA70BC" w:rsidRPr="00C87E07" w:rsidRDefault="00BA70BC" w:rsidP="00F62596">
            <w:pPr>
              <w:rPr>
                <w:rFonts w:ascii="Times New Roman" w:hAnsi="Times New Roman"/>
                <w:lang w:val="es-CO"/>
              </w:rPr>
            </w:pPr>
          </w:p>
        </w:tc>
        <w:tc>
          <w:tcPr>
            <w:tcW w:w="2430" w:type="dxa"/>
            <w:vMerge/>
          </w:tcPr>
          <w:p w14:paraId="669DC7BA" w14:textId="77777777" w:rsidR="00BA70BC" w:rsidRPr="00C87E07" w:rsidRDefault="00BA70BC" w:rsidP="00F62596">
            <w:pPr>
              <w:rPr>
                <w:rFonts w:ascii="Times New Roman" w:hAnsi="Times New Roman"/>
                <w:lang w:val="es-CO"/>
              </w:rPr>
            </w:pPr>
          </w:p>
        </w:tc>
      </w:tr>
      <w:tr w:rsidR="009C2F8E" w:rsidRPr="0071322F" w14:paraId="53EE7A64" w14:textId="1CFA7C91" w:rsidTr="009C2F8E">
        <w:trPr>
          <w:trHeight w:val="368"/>
        </w:trPr>
        <w:tc>
          <w:tcPr>
            <w:tcW w:w="14125" w:type="dxa"/>
            <w:gridSpan w:val="9"/>
            <w:shd w:val="clear" w:color="auto" w:fill="auto"/>
            <w:hideMark/>
          </w:tcPr>
          <w:p w14:paraId="50898038" w14:textId="10CD5754" w:rsidR="009C2F8E" w:rsidRPr="00C87E07" w:rsidRDefault="009C2F8E" w:rsidP="006E62FA">
            <w:pPr>
              <w:rPr>
                <w:rFonts w:ascii="Times New Roman" w:hAnsi="Times New Roman"/>
                <w:b/>
                <w:bCs/>
                <w:lang w:val="es-CO"/>
              </w:rPr>
            </w:pPr>
            <w:r>
              <w:rPr>
                <w:rFonts w:ascii="Times New Roman" w:hAnsi="Times New Roman"/>
                <w:lang w:val="es-CO"/>
              </w:rPr>
              <w:lastRenderedPageBreak/>
              <w:br w:type="page"/>
            </w:r>
            <w:r w:rsidRPr="00C87E07">
              <w:rPr>
                <w:rFonts w:ascii="Times New Roman" w:hAnsi="Times New Roman"/>
                <w:b/>
                <w:bCs/>
                <w:lang w:val="es-CO"/>
              </w:rPr>
              <w:t>Acción priorizada 7: Búsqueda de complementariedades con otros esquemas e instituciones de cooperación regional e internacional.</w:t>
            </w:r>
          </w:p>
        </w:tc>
      </w:tr>
      <w:tr w:rsidR="00BA70BC" w:rsidRPr="00076D7A" w14:paraId="2665B1C8" w14:textId="77777777" w:rsidTr="00FB5F4F">
        <w:trPr>
          <w:trHeight w:val="431"/>
        </w:trPr>
        <w:tc>
          <w:tcPr>
            <w:tcW w:w="2240" w:type="dxa"/>
            <w:shd w:val="clear" w:color="auto" w:fill="auto"/>
          </w:tcPr>
          <w:p w14:paraId="31D55D9D" w14:textId="6FB5EA3A" w:rsidR="00BA70BC" w:rsidRPr="00C87E07" w:rsidRDefault="00BA70BC" w:rsidP="00BA70BC">
            <w:pPr>
              <w:rPr>
                <w:rFonts w:ascii="Times New Roman" w:hAnsi="Times New Roman"/>
                <w:lang w:val="es-CO"/>
              </w:rPr>
            </w:pPr>
            <w:r w:rsidRPr="00C87E07">
              <w:rPr>
                <w:rFonts w:ascii="Times New Roman" w:hAnsi="Times New Roman"/>
                <w:b/>
                <w:bCs/>
                <w:lang w:val="es-CO"/>
              </w:rPr>
              <w:t>Tareas:</w:t>
            </w:r>
          </w:p>
        </w:tc>
        <w:tc>
          <w:tcPr>
            <w:tcW w:w="3917" w:type="dxa"/>
            <w:gridSpan w:val="2"/>
            <w:shd w:val="clear" w:color="auto" w:fill="auto"/>
          </w:tcPr>
          <w:p w14:paraId="61751498" w14:textId="30E7B838" w:rsidR="00BA70BC" w:rsidRPr="00C87E07" w:rsidRDefault="00BA70BC" w:rsidP="00BA70BC">
            <w:pPr>
              <w:rPr>
                <w:rFonts w:ascii="Times New Roman" w:hAnsi="Times New Roman"/>
                <w:lang w:val="es-CO"/>
              </w:rPr>
            </w:pPr>
            <w:r w:rsidRPr="00C87E07">
              <w:rPr>
                <w:rFonts w:ascii="Times New Roman" w:hAnsi="Times New Roman"/>
                <w:b/>
                <w:bCs/>
                <w:lang w:val="es-CO"/>
              </w:rPr>
              <w:t>Objetivos:</w:t>
            </w:r>
          </w:p>
        </w:tc>
        <w:tc>
          <w:tcPr>
            <w:tcW w:w="3042" w:type="dxa"/>
            <w:gridSpan w:val="2"/>
            <w:shd w:val="clear" w:color="auto" w:fill="auto"/>
          </w:tcPr>
          <w:p w14:paraId="63A3ECC6" w14:textId="44930DA4" w:rsidR="00BA70BC" w:rsidRPr="00C87E07" w:rsidRDefault="00BA70BC" w:rsidP="00BA70BC">
            <w:pPr>
              <w:rPr>
                <w:rFonts w:ascii="Times New Roman" w:hAnsi="Times New Roman"/>
                <w:lang w:val="es-CO"/>
              </w:rPr>
            </w:pPr>
            <w:r w:rsidRPr="00C87E07">
              <w:rPr>
                <w:rFonts w:ascii="Times New Roman" w:hAnsi="Times New Roman"/>
                <w:b/>
                <w:bCs/>
                <w:lang w:val="es-CO"/>
              </w:rPr>
              <w:t>Entregable / Indicador:</w:t>
            </w:r>
          </w:p>
        </w:tc>
        <w:tc>
          <w:tcPr>
            <w:tcW w:w="2079" w:type="dxa"/>
            <w:gridSpan w:val="2"/>
            <w:shd w:val="clear" w:color="auto" w:fill="auto"/>
          </w:tcPr>
          <w:p w14:paraId="22BF54CD" w14:textId="587F297D" w:rsidR="00BA70BC" w:rsidRDefault="00BA70BC" w:rsidP="00BA70BC">
            <w:pPr>
              <w:rPr>
                <w:rFonts w:ascii="Times New Roman" w:hAnsi="Times New Roman"/>
                <w:lang w:val="es-CO"/>
              </w:rPr>
            </w:pPr>
            <w:r w:rsidRPr="00C87E07">
              <w:rPr>
                <w:rFonts w:ascii="Times New Roman" w:hAnsi="Times New Roman"/>
                <w:b/>
                <w:bCs/>
                <w:lang w:val="es-CO"/>
              </w:rPr>
              <w:t>Resultado Esperado:</w:t>
            </w:r>
          </w:p>
        </w:tc>
        <w:tc>
          <w:tcPr>
            <w:tcW w:w="2847" w:type="dxa"/>
            <w:gridSpan w:val="2"/>
          </w:tcPr>
          <w:p w14:paraId="21251364" w14:textId="33C00F18" w:rsidR="00BA70BC" w:rsidRDefault="00151929" w:rsidP="00BA70BC">
            <w:pPr>
              <w:rPr>
                <w:rFonts w:ascii="Times New Roman" w:hAnsi="Times New Roman"/>
                <w:lang w:val="es-CO"/>
              </w:rPr>
            </w:pPr>
            <w:r>
              <w:rPr>
                <w:rFonts w:ascii="Times New Roman" w:hAnsi="Times New Roman"/>
                <w:b/>
                <w:bCs/>
                <w:lang w:val="es-CO"/>
              </w:rPr>
              <w:t>Actualización</w:t>
            </w:r>
            <w:r w:rsidR="00BA70BC">
              <w:rPr>
                <w:rFonts w:ascii="Times New Roman" w:hAnsi="Times New Roman"/>
                <w:b/>
                <w:bCs/>
                <w:lang w:val="es-CO"/>
              </w:rPr>
              <w:t xml:space="preserve"> 15/03/21:</w:t>
            </w:r>
          </w:p>
        </w:tc>
      </w:tr>
      <w:tr w:rsidR="00BA70BC" w:rsidRPr="0071322F" w14:paraId="37E7E1E2" w14:textId="5D9576C9" w:rsidTr="00FB5F4F">
        <w:trPr>
          <w:trHeight w:val="761"/>
        </w:trPr>
        <w:tc>
          <w:tcPr>
            <w:tcW w:w="2240" w:type="dxa"/>
            <w:vMerge w:val="restart"/>
            <w:shd w:val="clear" w:color="auto" w:fill="auto"/>
            <w:hideMark/>
          </w:tcPr>
          <w:p w14:paraId="7EDA3A12" w14:textId="542F9645" w:rsidR="00BA70BC" w:rsidRPr="00C87E07" w:rsidRDefault="00BA70BC" w:rsidP="00BA70BC">
            <w:pPr>
              <w:rPr>
                <w:rFonts w:ascii="Times New Roman" w:hAnsi="Times New Roman"/>
                <w:lang w:val="es-CO"/>
              </w:rPr>
            </w:pPr>
            <w:r w:rsidRPr="00C87E07">
              <w:rPr>
                <w:rFonts w:ascii="Times New Roman" w:hAnsi="Times New Roman"/>
                <w:lang w:val="es-CO"/>
              </w:rPr>
              <w:t>7.1. Explotar las ventajas comparativas de la cooperación interamericana con otros esquemas, mecanismos e instituciones de cooperación regional e internacional a través de la AICD, incluyendo, pero no limitado a la UE, ONU, CARICOM, SICA, Mercosur, SEGIB, entre otras instituciones con mandatos semejantes.</w:t>
            </w:r>
          </w:p>
        </w:tc>
        <w:tc>
          <w:tcPr>
            <w:tcW w:w="3917" w:type="dxa"/>
            <w:gridSpan w:val="2"/>
            <w:shd w:val="clear" w:color="auto" w:fill="auto"/>
          </w:tcPr>
          <w:p w14:paraId="14F2CC63" w14:textId="0C494441" w:rsidR="00BA70BC" w:rsidRPr="00C87E07" w:rsidRDefault="00BA70BC" w:rsidP="00BA70BC">
            <w:pPr>
              <w:rPr>
                <w:rFonts w:ascii="Times New Roman" w:hAnsi="Times New Roman"/>
                <w:lang w:val="es-CO"/>
              </w:rPr>
            </w:pPr>
            <w:r w:rsidRPr="00C87E07">
              <w:rPr>
                <w:rFonts w:ascii="Times New Roman" w:hAnsi="Times New Roman"/>
                <w:lang w:val="es-CO"/>
              </w:rPr>
              <w:t>7.1.1 Identificar actores claves en la cooperación regional e internacional y definir actividades y/o acciones para propiciar posibles sinergias y ampliar programas y proyectos en beneficio de los Estados miembros.</w:t>
            </w:r>
          </w:p>
        </w:tc>
        <w:tc>
          <w:tcPr>
            <w:tcW w:w="3042" w:type="dxa"/>
            <w:gridSpan w:val="2"/>
            <w:shd w:val="clear" w:color="auto" w:fill="auto"/>
          </w:tcPr>
          <w:p w14:paraId="4197B194" w14:textId="77777777" w:rsidR="00BA70BC" w:rsidRPr="00C87E07" w:rsidRDefault="00BA70BC" w:rsidP="00BA70BC">
            <w:pPr>
              <w:rPr>
                <w:rFonts w:ascii="Times New Roman" w:hAnsi="Times New Roman"/>
                <w:lang w:val="es-CO"/>
              </w:rPr>
            </w:pPr>
            <w:r w:rsidRPr="00C87E07">
              <w:rPr>
                <w:rFonts w:ascii="Times New Roman" w:hAnsi="Times New Roman"/>
                <w:lang w:val="es-CO"/>
              </w:rPr>
              <w:t>1 calendario de actividades / acciones en común redactado y distribuido a la JD/AICD. Participación de la Secretaría de la AICD en al menos 2 eventos estratégicos. A su vez, aliados potenciales serán invitados a participar en al menos 2 eventos de la OEA definidos por la JD/AICD.</w:t>
            </w:r>
          </w:p>
        </w:tc>
        <w:tc>
          <w:tcPr>
            <w:tcW w:w="2079" w:type="dxa"/>
            <w:gridSpan w:val="2"/>
            <w:vMerge w:val="restart"/>
            <w:shd w:val="clear" w:color="auto" w:fill="auto"/>
          </w:tcPr>
          <w:p w14:paraId="28A6A55D" w14:textId="2C18807A" w:rsidR="00BA70BC" w:rsidRPr="005C725B" w:rsidRDefault="00BA70BC" w:rsidP="00BA70BC">
            <w:pPr>
              <w:rPr>
                <w:rFonts w:ascii="Times New Roman" w:hAnsi="Times New Roman"/>
                <w:lang w:val="es-CO"/>
              </w:rPr>
            </w:pPr>
            <w:r>
              <w:rPr>
                <w:rFonts w:ascii="Times New Roman" w:hAnsi="Times New Roman"/>
                <w:lang w:val="es-CO"/>
              </w:rPr>
              <w:t>Mayor c</w:t>
            </w:r>
            <w:r w:rsidRPr="005C725B">
              <w:rPr>
                <w:rFonts w:ascii="Times New Roman" w:hAnsi="Times New Roman"/>
                <w:lang w:val="es-CO"/>
              </w:rPr>
              <w:t>oordinación y colaboración para ampliar el alcance y el impacto de la cooperación.</w:t>
            </w:r>
          </w:p>
          <w:p w14:paraId="1C22B7B4" w14:textId="77777777" w:rsidR="00BA70BC" w:rsidRPr="005C725B" w:rsidRDefault="00BA70BC" w:rsidP="00BA70BC">
            <w:pPr>
              <w:rPr>
                <w:rFonts w:ascii="Times New Roman" w:hAnsi="Times New Roman"/>
                <w:lang w:val="es-CO"/>
              </w:rPr>
            </w:pPr>
          </w:p>
          <w:p w14:paraId="73845CC5" w14:textId="7CD62995" w:rsidR="00BA70BC" w:rsidRPr="00C87E07" w:rsidRDefault="00BA70BC" w:rsidP="00BA70BC">
            <w:pPr>
              <w:rPr>
                <w:rFonts w:ascii="Times New Roman" w:hAnsi="Times New Roman"/>
                <w:lang w:val="es-CO"/>
              </w:rPr>
            </w:pPr>
            <w:r w:rsidRPr="005C725B">
              <w:rPr>
                <w:rFonts w:ascii="Times New Roman" w:hAnsi="Times New Roman"/>
                <w:lang w:val="es-CO"/>
              </w:rPr>
              <w:t>Aument</w:t>
            </w:r>
            <w:r>
              <w:rPr>
                <w:rFonts w:ascii="Times New Roman" w:hAnsi="Times New Roman"/>
                <w:lang w:val="es-CO"/>
              </w:rPr>
              <w:t>o de o</w:t>
            </w:r>
            <w:r w:rsidRPr="005C725B">
              <w:rPr>
                <w:rFonts w:ascii="Times New Roman" w:hAnsi="Times New Roman"/>
                <w:lang w:val="es-CO"/>
              </w:rPr>
              <w:t>portunidades de cooperación para los Estados miembros</w:t>
            </w:r>
            <w:r>
              <w:rPr>
                <w:rFonts w:ascii="Times New Roman" w:hAnsi="Times New Roman"/>
                <w:lang w:val="es-CO"/>
              </w:rPr>
              <w:t>.</w:t>
            </w:r>
          </w:p>
        </w:tc>
        <w:tc>
          <w:tcPr>
            <w:tcW w:w="2847" w:type="dxa"/>
            <w:gridSpan w:val="2"/>
            <w:vMerge w:val="restart"/>
          </w:tcPr>
          <w:p w14:paraId="3C97CBBD" w14:textId="77777777" w:rsidR="009E08E3" w:rsidRPr="009E08E3" w:rsidRDefault="009E08E3" w:rsidP="00FB5F4F">
            <w:pPr>
              <w:numPr>
                <w:ilvl w:val="0"/>
                <w:numId w:val="23"/>
              </w:numPr>
              <w:tabs>
                <w:tab w:val="left" w:pos="334"/>
                <w:tab w:val="left" w:pos="472"/>
                <w:tab w:val="num" w:pos="720"/>
                <w:tab w:val="num" w:pos="1440"/>
              </w:tabs>
              <w:autoSpaceDE w:val="0"/>
              <w:autoSpaceDN w:val="0"/>
              <w:adjustRightInd w:val="0"/>
              <w:spacing w:after="0" w:line="240" w:lineRule="auto"/>
              <w:ind w:left="34" w:firstLine="33"/>
              <w:rPr>
                <w:rFonts w:ascii="Times New Roman" w:hAnsi="Times New Roman"/>
                <w:lang w:val="es-CO"/>
              </w:rPr>
            </w:pPr>
            <w:r w:rsidRPr="009E08E3">
              <w:rPr>
                <w:rFonts w:ascii="Times New Roman" w:hAnsi="Times New Roman"/>
                <w:lang w:val="es-CO"/>
              </w:rPr>
              <w:t>Esfuerzos continuos para interactuar con otras entidades. Algunos a través del DREI y otros directamente. Por ejemplo: Presentación a la UE en diciembre (DREI), discusiones en curso con el BID, Reunión de la OCDE sobre cooperación triangular.</w:t>
            </w:r>
          </w:p>
          <w:p w14:paraId="49FADE6D" w14:textId="77777777" w:rsidR="00BA70BC" w:rsidRDefault="00BA70BC" w:rsidP="00BA70BC">
            <w:pPr>
              <w:rPr>
                <w:rFonts w:ascii="Times New Roman" w:hAnsi="Times New Roman"/>
                <w:lang w:val="es-CO"/>
              </w:rPr>
            </w:pPr>
          </w:p>
        </w:tc>
      </w:tr>
      <w:tr w:rsidR="00BA70BC" w:rsidRPr="00C87E07" w14:paraId="5F7AE396" w14:textId="745EF260" w:rsidTr="00FB5F4F">
        <w:trPr>
          <w:trHeight w:val="759"/>
        </w:trPr>
        <w:tc>
          <w:tcPr>
            <w:tcW w:w="2240" w:type="dxa"/>
            <w:vMerge/>
            <w:shd w:val="clear" w:color="auto" w:fill="auto"/>
          </w:tcPr>
          <w:p w14:paraId="55D17FBB" w14:textId="77777777" w:rsidR="00BA70BC" w:rsidRPr="00C87E07" w:rsidRDefault="00BA70BC" w:rsidP="00BA70BC">
            <w:pPr>
              <w:rPr>
                <w:rFonts w:ascii="Times New Roman" w:hAnsi="Times New Roman"/>
                <w:lang w:val="es-CO"/>
              </w:rPr>
            </w:pPr>
          </w:p>
        </w:tc>
        <w:tc>
          <w:tcPr>
            <w:tcW w:w="3917" w:type="dxa"/>
            <w:gridSpan w:val="2"/>
            <w:shd w:val="clear" w:color="auto" w:fill="auto"/>
          </w:tcPr>
          <w:p w14:paraId="611E0099" w14:textId="3FC61462" w:rsidR="00BA70BC" w:rsidRPr="00C87E07" w:rsidRDefault="00BA70BC" w:rsidP="00BA70BC">
            <w:pPr>
              <w:rPr>
                <w:rFonts w:ascii="Times New Roman" w:hAnsi="Times New Roman"/>
                <w:lang w:val="es-CO"/>
              </w:rPr>
            </w:pPr>
            <w:r w:rsidRPr="00C87E07">
              <w:rPr>
                <w:rFonts w:ascii="Times New Roman" w:hAnsi="Times New Roman"/>
                <w:lang w:val="es-CO"/>
              </w:rPr>
              <w:t>7.1.2. Identificar recursos y productos de conocimiento de otras instituciones que puedan adaptarse a las necesidades de las diferentes membresías. Trabajar en al menos 1 publicación conjunta.</w:t>
            </w:r>
          </w:p>
        </w:tc>
        <w:tc>
          <w:tcPr>
            <w:tcW w:w="3042" w:type="dxa"/>
            <w:gridSpan w:val="2"/>
            <w:shd w:val="clear" w:color="auto" w:fill="auto"/>
          </w:tcPr>
          <w:p w14:paraId="5709DB5A" w14:textId="77777777" w:rsidR="00BA70BC" w:rsidRPr="00C87E07" w:rsidRDefault="00BA70BC" w:rsidP="00BA70BC">
            <w:pPr>
              <w:rPr>
                <w:rFonts w:ascii="Times New Roman" w:hAnsi="Times New Roman"/>
                <w:lang w:val="es-CO"/>
              </w:rPr>
            </w:pPr>
            <w:r w:rsidRPr="00C87E07">
              <w:rPr>
                <w:rFonts w:ascii="Times New Roman" w:hAnsi="Times New Roman"/>
                <w:lang w:val="es-CO"/>
              </w:rPr>
              <w:t>1 lista de recursos y productos de conocimiento de diferentes instituciones que podrían ser de interés para los Estados Miembros. Al menos 1 publicación conjunta adaptada y producida.</w:t>
            </w:r>
          </w:p>
        </w:tc>
        <w:tc>
          <w:tcPr>
            <w:tcW w:w="2079" w:type="dxa"/>
            <w:gridSpan w:val="2"/>
            <w:vMerge/>
            <w:shd w:val="clear" w:color="auto" w:fill="auto"/>
          </w:tcPr>
          <w:p w14:paraId="3030E982" w14:textId="77777777" w:rsidR="00BA70BC" w:rsidRPr="00C87E07" w:rsidRDefault="00BA70BC" w:rsidP="00BA70BC">
            <w:pPr>
              <w:rPr>
                <w:rFonts w:ascii="Times New Roman" w:hAnsi="Times New Roman"/>
                <w:lang w:val="es-CO"/>
              </w:rPr>
            </w:pPr>
          </w:p>
        </w:tc>
        <w:tc>
          <w:tcPr>
            <w:tcW w:w="2847" w:type="dxa"/>
            <w:gridSpan w:val="2"/>
            <w:vMerge/>
          </w:tcPr>
          <w:p w14:paraId="79853493" w14:textId="77777777" w:rsidR="00BA70BC" w:rsidRPr="00C87E07" w:rsidRDefault="00BA70BC" w:rsidP="00BA70BC">
            <w:pPr>
              <w:rPr>
                <w:rFonts w:ascii="Times New Roman" w:hAnsi="Times New Roman"/>
                <w:lang w:val="es-CO"/>
              </w:rPr>
            </w:pPr>
          </w:p>
        </w:tc>
      </w:tr>
      <w:tr w:rsidR="00BA70BC" w:rsidRPr="0071322F" w14:paraId="02918AD1" w14:textId="1B03CA8F" w:rsidTr="00FB5F4F">
        <w:trPr>
          <w:trHeight w:val="759"/>
        </w:trPr>
        <w:tc>
          <w:tcPr>
            <w:tcW w:w="2240" w:type="dxa"/>
            <w:vMerge/>
            <w:shd w:val="clear" w:color="auto" w:fill="auto"/>
          </w:tcPr>
          <w:p w14:paraId="0879D6A6" w14:textId="77777777" w:rsidR="00BA70BC" w:rsidRPr="00C87E07" w:rsidRDefault="00BA70BC" w:rsidP="00BA70BC">
            <w:pPr>
              <w:rPr>
                <w:rFonts w:ascii="Times New Roman" w:hAnsi="Times New Roman"/>
                <w:lang w:val="es-CO"/>
              </w:rPr>
            </w:pPr>
          </w:p>
        </w:tc>
        <w:tc>
          <w:tcPr>
            <w:tcW w:w="3917" w:type="dxa"/>
            <w:gridSpan w:val="2"/>
            <w:shd w:val="clear" w:color="auto" w:fill="auto"/>
          </w:tcPr>
          <w:p w14:paraId="452C5A06" w14:textId="42995DEF" w:rsidR="00BA70BC" w:rsidRPr="00C87E07" w:rsidRDefault="00BA70BC" w:rsidP="00BA70BC">
            <w:pPr>
              <w:rPr>
                <w:rFonts w:ascii="Times New Roman" w:hAnsi="Times New Roman"/>
                <w:lang w:val="es-CO"/>
              </w:rPr>
            </w:pPr>
            <w:r w:rsidRPr="00C87E07">
              <w:rPr>
                <w:rFonts w:ascii="Times New Roman" w:hAnsi="Times New Roman"/>
                <w:lang w:val="es-CO"/>
              </w:rPr>
              <w:t xml:space="preserve">7.1.3. Aumentar la visibilización de buenas prácticas de esquemas de cooperación triangular en el espacio interamericano y explorar potenciales iniciativas con socios tradicionales (Países como Estados Unidos y Canadá, agencias como la OPS y el IICA, Bancos como el BID y la CAF, OCDE, entre otras.) </w:t>
            </w:r>
          </w:p>
        </w:tc>
        <w:tc>
          <w:tcPr>
            <w:tcW w:w="3042" w:type="dxa"/>
            <w:gridSpan w:val="2"/>
            <w:shd w:val="clear" w:color="auto" w:fill="auto"/>
          </w:tcPr>
          <w:p w14:paraId="5186691A" w14:textId="77777777" w:rsidR="00BA70BC" w:rsidRPr="00C87E07" w:rsidRDefault="00BA70BC" w:rsidP="00BA70BC">
            <w:pPr>
              <w:rPr>
                <w:rFonts w:ascii="Times New Roman" w:hAnsi="Times New Roman"/>
                <w:lang w:val="es-CO"/>
              </w:rPr>
            </w:pPr>
            <w:r w:rsidRPr="00C87E07">
              <w:rPr>
                <w:rFonts w:ascii="Times New Roman" w:hAnsi="Times New Roman"/>
                <w:lang w:val="es-CO"/>
              </w:rPr>
              <w:t xml:space="preserve">Asegurar la inclusión de iniciativas de cooperación triangular en informes internacionales y regionales para ampliar el alcance Producir al menos 1 producto de conocimiento conjunto en este tema, desde la AICD.  </w:t>
            </w:r>
          </w:p>
        </w:tc>
        <w:tc>
          <w:tcPr>
            <w:tcW w:w="2079" w:type="dxa"/>
            <w:gridSpan w:val="2"/>
            <w:vMerge/>
            <w:shd w:val="clear" w:color="auto" w:fill="auto"/>
          </w:tcPr>
          <w:p w14:paraId="2C7AEAE1" w14:textId="77777777" w:rsidR="00BA70BC" w:rsidRPr="00C87E07" w:rsidRDefault="00BA70BC" w:rsidP="00BA70BC">
            <w:pPr>
              <w:rPr>
                <w:rFonts w:ascii="Times New Roman" w:hAnsi="Times New Roman"/>
                <w:lang w:val="es-CO"/>
              </w:rPr>
            </w:pPr>
          </w:p>
        </w:tc>
        <w:tc>
          <w:tcPr>
            <w:tcW w:w="2847" w:type="dxa"/>
            <w:gridSpan w:val="2"/>
            <w:vMerge/>
          </w:tcPr>
          <w:p w14:paraId="7B7E9840" w14:textId="77777777" w:rsidR="00BA70BC" w:rsidRPr="00C87E07" w:rsidRDefault="00BA70BC" w:rsidP="00BA70BC">
            <w:pPr>
              <w:rPr>
                <w:rFonts w:ascii="Times New Roman" w:hAnsi="Times New Roman"/>
                <w:lang w:val="es-CO"/>
              </w:rPr>
            </w:pPr>
          </w:p>
        </w:tc>
      </w:tr>
      <w:tr w:rsidR="00BA70BC" w:rsidRPr="0071322F" w14:paraId="30D46D25" w14:textId="1A090D1A" w:rsidTr="00FB5F4F">
        <w:trPr>
          <w:trHeight w:val="80"/>
        </w:trPr>
        <w:tc>
          <w:tcPr>
            <w:tcW w:w="2240" w:type="dxa"/>
            <w:vMerge/>
            <w:shd w:val="clear" w:color="auto" w:fill="auto"/>
          </w:tcPr>
          <w:p w14:paraId="24871592" w14:textId="77777777" w:rsidR="00BA70BC" w:rsidRPr="00C87E07" w:rsidRDefault="00BA70BC" w:rsidP="00BA70BC">
            <w:pPr>
              <w:rPr>
                <w:rFonts w:ascii="Times New Roman" w:hAnsi="Times New Roman"/>
                <w:lang w:val="es-CO"/>
              </w:rPr>
            </w:pPr>
          </w:p>
        </w:tc>
        <w:tc>
          <w:tcPr>
            <w:tcW w:w="3917" w:type="dxa"/>
            <w:gridSpan w:val="2"/>
            <w:shd w:val="clear" w:color="auto" w:fill="auto"/>
          </w:tcPr>
          <w:p w14:paraId="6D534ADF" w14:textId="39D675F0" w:rsidR="00BA70BC" w:rsidRPr="00C87E07" w:rsidRDefault="00BA70BC" w:rsidP="00BA70BC">
            <w:pPr>
              <w:rPr>
                <w:rFonts w:ascii="Times New Roman" w:hAnsi="Times New Roman"/>
                <w:lang w:val="es-CO"/>
              </w:rPr>
            </w:pPr>
            <w:r w:rsidRPr="00C87E07">
              <w:rPr>
                <w:rFonts w:ascii="Times New Roman" w:hAnsi="Times New Roman"/>
                <w:lang w:val="es-CO"/>
              </w:rPr>
              <w:t xml:space="preserve">7.1.4. </w:t>
            </w:r>
            <w:r w:rsidRPr="001770FB">
              <w:rPr>
                <w:rFonts w:ascii="Times New Roman" w:hAnsi="Times New Roman"/>
                <w:lang w:val="es-CO"/>
              </w:rPr>
              <w:t xml:space="preserve">Analizar los sistemas de medición, registro, visualización y generación de conocimiento sobre proyectos de cooperación técnica desarrollados por </w:t>
            </w:r>
            <w:r w:rsidRPr="001770FB">
              <w:rPr>
                <w:rFonts w:ascii="Times New Roman" w:hAnsi="Times New Roman"/>
                <w:lang w:val="es-CO"/>
              </w:rPr>
              <w:lastRenderedPageBreak/>
              <w:t>otros organismos internacionales y regionales, para informar la preparación de propuesta de metodología de medición, registro, visualización y generación de conocimiento sobre las iniciativas de cooperación internacional conducidas por la AICD.</w:t>
            </w:r>
          </w:p>
        </w:tc>
        <w:tc>
          <w:tcPr>
            <w:tcW w:w="3042" w:type="dxa"/>
            <w:gridSpan w:val="2"/>
            <w:shd w:val="clear" w:color="auto" w:fill="auto"/>
          </w:tcPr>
          <w:p w14:paraId="2F6C2CC5" w14:textId="75CC38B9" w:rsidR="00BA70BC" w:rsidRPr="00C87E07" w:rsidRDefault="00BA70BC" w:rsidP="00BA70BC">
            <w:pPr>
              <w:rPr>
                <w:rFonts w:ascii="Times New Roman" w:hAnsi="Times New Roman"/>
                <w:lang w:val="es-CO"/>
              </w:rPr>
            </w:pPr>
            <w:r w:rsidRPr="001770FB">
              <w:rPr>
                <w:rFonts w:ascii="Times New Roman" w:hAnsi="Times New Roman"/>
                <w:lang w:val="es-CO"/>
              </w:rPr>
              <w:lastRenderedPageBreak/>
              <w:t xml:space="preserve">1 propuesta de metodología de medición, registro, visualización y generación de conocimiento sobre las </w:t>
            </w:r>
            <w:r w:rsidRPr="001770FB">
              <w:rPr>
                <w:rFonts w:ascii="Times New Roman" w:hAnsi="Times New Roman"/>
                <w:lang w:val="es-CO"/>
              </w:rPr>
              <w:lastRenderedPageBreak/>
              <w:t>iniciativas de cooperación internacional conducidas por la AICD.</w:t>
            </w:r>
          </w:p>
        </w:tc>
        <w:tc>
          <w:tcPr>
            <w:tcW w:w="2079" w:type="dxa"/>
            <w:gridSpan w:val="2"/>
            <w:vMerge/>
            <w:shd w:val="clear" w:color="auto" w:fill="auto"/>
          </w:tcPr>
          <w:p w14:paraId="63FE60CC" w14:textId="77777777" w:rsidR="00BA70BC" w:rsidRPr="00C87E07" w:rsidRDefault="00BA70BC" w:rsidP="00BA70BC">
            <w:pPr>
              <w:rPr>
                <w:rFonts w:ascii="Times New Roman" w:hAnsi="Times New Roman"/>
                <w:lang w:val="es-CO"/>
              </w:rPr>
            </w:pPr>
          </w:p>
        </w:tc>
        <w:tc>
          <w:tcPr>
            <w:tcW w:w="2847" w:type="dxa"/>
            <w:gridSpan w:val="2"/>
            <w:vMerge/>
          </w:tcPr>
          <w:p w14:paraId="68485644" w14:textId="77777777" w:rsidR="00BA70BC" w:rsidRPr="00C87E07" w:rsidRDefault="00BA70BC" w:rsidP="00BA70BC">
            <w:pPr>
              <w:rPr>
                <w:rFonts w:ascii="Times New Roman" w:hAnsi="Times New Roman"/>
                <w:lang w:val="es-CO"/>
              </w:rPr>
            </w:pPr>
          </w:p>
        </w:tc>
      </w:tr>
    </w:tbl>
    <w:p w14:paraId="7F82C97E" w14:textId="36A9154E" w:rsidR="008C1E01" w:rsidRDefault="008C1E01" w:rsidP="00801D6B">
      <w:pPr>
        <w:rPr>
          <w:rFonts w:ascii="Times New Roman" w:hAnsi="Times New Roman"/>
          <w:lang w:val="es-CO"/>
        </w:rPr>
      </w:pPr>
    </w:p>
    <w:tbl>
      <w:tblPr>
        <w:tblStyle w:val="TableGrid"/>
        <w:tblW w:w="13760" w:type="dxa"/>
        <w:tblLook w:val="04A0" w:firstRow="1" w:lastRow="0" w:firstColumn="1" w:lastColumn="0" w:noHBand="0" w:noVBand="1"/>
      </w:tblPr>
      <w:tblGrid>
        <w:gridCol w:w="2202"/>
        <w:gridCol w:w="3343"/>
        <w:gridCol w:w="3128"/>
        <w:gridCol w:w="2416"/>
        <w:gridCol w:w="2671"/>
      </w:tblGrid>
      <w:tr w:rsidR="009C2F8E" w:rsidRPr="0071322F" w14:paraId="521F6391" w14:textId="19C5BF25" w:rsidTr="002A639A">
        <w:trPr>
          <w:trHeight w:val="368"/>
        </w:trPr>
        <w:tc>
          <w:tcPr>
            <w:tcW w:w="13760" w:type="dxa"/>
            <w:gridSpan w:val="5"/>
            <w:shd w:val="clear" w:color="auto" w:fill="auto"/>
            <w:hideMark/>
          </w:tcPr>
          <w:p w14:paraId="52429B3F" w14:textId="479F7244" w:rsidR="009C2F8E" w:rsidRPr="00C87E07" w:rsidRDefault="009C2F8E" w:rsidP="006E62FA">
            <w:pPr>
              <w:rPr>
                <w:rFonts w:ascii="Times New Roman" w:hAnsi="Times New Roman"/>
                <w:b/>
                <w:bCs/>
                <w:lang w:val="es-CO"/>
              </w:rPr>
            </w:pPr>
            <w:r w:rsidRPr="00C87E07">
              <w:rPr>
                <w:rFonts w:ascii="Times New Roman" w:hAnsi="Times New Roman"/>
                <w:b/>
                <w:bCs/>
                <w:lang w:val="es-CO"/>
              </w:rPr>
              <w:t>Acción priorizada 8: Alinear los procesos Ministeriales con la Cooperación.</w:t>
            </w:r>
          </w:p>
        </w:tc>
      </w:tr>
      <w:tr w:rsidR="009C2F8E" w:rsidRPr="00C87E07" w14:paraId="050A286B" w14:textId="53231B25" w:rsidTr="00FB5F4F">
        <w:trPr>
          <w:trHeight w:val="350"/>
        </w:trPr>
        <w:tc>
          <w:tcPr>
            <w:tcW w:w="2202" w:type="dxa"/>
            <w:shd w:val="clear" w:color="auto" w:fill="auto"/>
            <w:hideMark/>
          </w:tcPr>
          <w:p w14:paraId="193B8227" w14:textId="77777777" w:rsidR="009C2F8E" w:rsidRPr="00C87E07" w:rsidRDefault="009C2F8E" w:rsidP="006E62FA">
            <w:pPr>
              <w:rPr>
                <w:rFonts w:ascii="Times New Roman" w:hAnsi="Times New Roman"/>
                <w:b/>
                <w:bCs/>
                <w:lang w:val="es-CO"/>
              </w:rPr>
            </w:pPr>
            <w:r w:rsidRPr="00C87E07">
              <w:rPr>
                <w:rFonts w:ascii="Times New Roman" w:hAnsi="Times New Roman"/>
                <w:b/>
                <w:bCs/>
                <w:lang w:val="es-CO"/>
              </w:rPr>
              <w:t>Tareas:</w:t>
            </w:r>
          </w:p>
        </w:tc>
        <w:tc>
          <w:tcPr>
            <w:tcW w:w="3343" w:type="dxa"/>
            <w:shd w:val="clear" w:color="auto" w:fill="auto"/>
            <w:hideMark/>
          </w:tcPr>
          <w:p w14:paraId="1AFCC8CB" w14:textId="77777777" w:rsidR="009C2F8E" w:rsidRPr="00C87E07" w:rsidRDefault="009C2F8E" w:rsidP="006E62FA">
            <w:pPr>
              <w:rPr>
                <w:rFonts w:ascii="Times New Roman" w:hAnsi="Times New Roman"/>
                <w:b/>
                <w:bCs/>
                <w:lang w:val="es-CO"/>
              </w:rPr>
            </w:pPr>
            <w:r w:rsidRPr="00C87E07">
              <w:rPr>
                <w:rFonts w:ascii="Times New Roman" w:hAnsi="Times New Roman"/>
                <w:b/>
                <w:bCs/>
                <w:lang w:val="es-CO"/>
              </w:rPr>
              <w:t>Objetivos:</w:t>
            </w:r>
          </w:p>
        </w:tc>
        <w:tc>
          <w:tcPr>
            <w:tcW w:w="3128" w:type="dxa"/>
            <w:shd w:val="clear" w:color="auto" w:fill="auto"/>
            <w:hideMark/>
          </w:tcPr>
          <w:p w14:paraId="6EAFD72E" w14:textId="77777777" w:rsidR="009C2F8E" w:rsidRPr="00C87E07" w:rsidRDefault="009C2F8E" w:rsidP="006E62FA">
            <w:pPr>
              <w:rPr>
                <w:rFonts w:ascii="Times New Roman" w:hAnsi="Times New Roman"/>
                <w:b/>
                <w:bCs/>
                <w:lang w:val="es-CO"/>
              </w:rPr>
            </w:pPr>
            <w:r w:rsidRPr="00C87E07">
              <w:rPr>
                <w:rFonts w:ascii="Times New Roman" w:hAnsi="Times New Roman"/>
                <w:b/>
                <w:bCs/>
                <w:lang w:val="es-CO"/>
              </w:rPr>
              <w:t>Entregable / Indicador:</w:t>
            </w:r>
          </w:p>
        </w:tc>
        <w:tc>
          <w:tcPr>
            <w:tcW w:w="2416" w:type="dxa"/>
            <w:shd w:val="clear" w:color="auto" w:fill="auto"/>
            <w:hideMark/>
          </w:tcPr>
          <w:p w14:paraId="6ADEEBD5" w14:textId="77777777" w:rsidR="009C2F8E" w:rsidRPr="00C87E07" w:rsidRDefault="009C2F8E" w:rsidP="006E62FA">
            <w:pPr>
              <w:rPr>
                <w:rFonts w:ascii="Times New Roman" w:hAnsi="Times New Roman"/>
                <w:b/>
                <w:bCs/>
                <w:lang w:val="es-CO"/>
              </w:rPr>
            </w:pPr>
            <w:r w:rsidRPr="00C87E07">
              <w:rPr>
                <w:rFonts w:ascii="Times New Roman" w:hAnsi="Times New Roman"/>
                <w:b/>
                <w:bCs/>
                <w:lang w:val="es-CO"/>
              </w:rPr>
              <w:t>Resultado Esperado:</w:t>
            </w:r>
          </w:p>
        </w:tc>
        <w:tc>
          <w:tcPr>
            <w:tcW w:w="2671" w:type="dxa"/>
          </w:tcPr>
          <w:p w14:paraId="04D52CB7" w14:textId="7E7375CA" w:rsidR="009C2F8E" w:rsidRPr="00C87E07" w:rsidRDefault="00151929" w:rsidP="006E62FA">
            <w:pPr>
              <w:rPr>
                <w:rFonts w:ascii="Times New Roman" w:hAnsi="Times New Roman"/>
                <w:b/>
                <w:bCs/>
                <w:lang w:val="es-CO"/>
              </w:rPr>
            </w:pPr>
            <w:r>
              <w:rPr>
                <w:rFonts w:ascii="Times New Roman" w:hAnsi="Times New Roman"/>
                <w:b/>
                <w:bCs/>
                <w:lang w:val="es-CO"/>
              </w:rPr>
              <w:t>Actualización</w:t>
            </w:r>
            <w:r w:rsidR="00BA70BC">
              <w:rPr>
                <w:rFonts w:ascii="Times New Roman" w:hAnsi="Times New Roman"/>
                <w:b/>
                <w:bCs/>
                <w:lang w:val="es-CO"/>
              </w:rPr>
              <w:t xml:space="preserve"> 15/03/21:</w:t>
            </w:r>
          </w:p>
        </w:tc>
      </w:tr>
      <w:tr w:rsidR="00BA70BC" w:rsidRPr="0071322F" w14:paraId="09F4EAEA" w14:textId="296BDC88" w:rsidTr="00FB5F4F">
        <w:trPr>
          <w:trHeight w:val="900"/>
        </w:trPr>
        <w:tc>
          <w:tcPr>
            <w:tcW w:w="2202" w:type="dxa"/>
            <w:shd w:val="clear" w:color="auto" w:fill="auto"/>
          </w:tcPr>
          <w:p w14:paraId="71BD42D8" w14:textId="76A5D77B" w:rsidR="00BA70BC" w:rsidRPr="00C87E07" w:rsidRDefault="00BA70BC" w:rsidP="006E62FA">
            <w:pPr>
              <w:rPr>
                <w:rFonts w:ascii="Times New Roman" w:hAnsi="Times New Roman"/>
                <w:bCs/>
                <w:lang w:val="es-CO"/>
              </w:rPr>
            </w:pPr>
            <w:r w:rsidRPr="00C87E07">
              <w:rPr>
                <w:rFonts w:ascii="Times New Roman" w:hAnsi="Times New Roman"/>
                <w:b/>
                <w:bCs/>
                <w:lang w:val="es-CO"/>
              </w:rPr>
              <w:t xml:space="preserve">8.0. </w:t>
            </w:r>
            <w:r w:rsidRPr="00C87E07">
              <w:rPr>
                <w:rFonts w:ascii="Times New Roman" w:hAnsi="Times New Roman"/>
                <w:bCs/>
                <w:lang w:val="es-CO"/>
              </w:rPr>
              <w:t>Identificar oportunidades de generar mayor cooperación específica para la recuperación de COVID-19 en los procesos Ministeriales del 2020.</w:t>
            </w:r>
          </w:p>
        </w:tc>
        <w:tc>
          <w:tcPr>
            <w:tcW w:w="3343" w:type="dxa"/>
            <w:shd w:val="clear" w:color="auto" w:fill="auto"/>
          </w:tcPr>
          <w:p w14:paraId="04BA5E98" w14:textId="1E4C58E8" w:rsidR="00BA70BC" w:rsidRPr="00C87E07" w:rsidRDefault="00BA70BC" w:rsidP="006E62FA">
            <w:pPr>
              <w:rPr>
                <w:rFonts w:ascii="Times New Roman" w:hAnsi="Times New Roman"/>
                <w:lang w:val="es-CO"/>
              </w:rPr>
            </w:pPr>
            <w:r w:rsidRPr="00C87E07">
              <w:rPr>
                <w:rFonts w:ascii="Times New Roman" w:hAnsi="Times New Roman"/>
                <w:bCs/>
                <w:lang w:val="es-CO"/>
              </w:rPr>
              <w:t>8.0.1. La JD/AICD hace sugerencias específicas para revisar el enfoque temático de las reuniones ministeriales de 2020: Puertos, Ciencia y Tecnología, y Trabajo.</w:t>
            </w:r>
          </w:p>
        </w:tc>
        <w:tc>
          <w:tcPr>
            <w:tcW w:w="3128" w:type="dxa"/>
            <w:shd w:val="clear" w:color="auto" w:fill="auto"/>
          </w:tcPr>
          <w:p w14:paraId="7CCBA616" w14:textId="77777777" w:rsidR="00BA70BC" w:rsidRPr="00C87E07" w:rsidRDefault="00BA70BC" w:rsidP="006E62FA">
            <w:pPr>
              <w:rPr>
                <w:rFonts w:ascii="Times New Roman" w:hAnsi="Times New Roman"/>
                <w:lang w:val="es-CO"/>
              </w:rPr>
            </w:pPr>
            <w:r w:rsidRPr="00C87E07">
              <w:rPr>
                <w:rFonts w:ascii="Times New Roman" w:hAnsi="Times New Roman"/>
                <w:bCs/>
                <w:lang w:val="es-CO"/>
              </w:rPr>
              <w:t>La JD/AICD se involucra en el proceso de revisión del enfoque temático de las Ministeriales 2020, a fin de validar el potencial de generar cooperación.</w:t>
            </w:r>
          </w:p>
        </w:tc>
        <w:tc>
          <w:tcPr>
            <w:tcW w:w="2416" w:type="dxa"/>
            <w:shd w:val="clear" w:color="auto" w:fill="auto"/>
          </w:tcPr>
          <w:p w14:paraId="2BAF9507" w14:textId="77777777" w:rsidR="00BA70BC" w:rsidRPr="00C87E07" w:rsidRDefault="00BA70BC" w:rsidP="006E62FA">
            <w:pPr>
              <w:rPr>
                <w:rFonts w:ascii="Times New Roman" w:hAnsi="Times New Roman"/>
                <w:lang w:val="es-CO"/>
              </w:rPr>
            </w:pPr>
            <w:r w:rsidRPr="00C87E07">
              <w:rPr>
                <w:rFonts w:ascii="Times New Roman" w:hAnsi="Times New Roman"/>
                <w:bCs/>
                <w:lang w:val="es-CO"/>
              </w:rPr>
              <w:t>Las reuniones ministeriales de 2020 están alineadas con las prioridades de los Estados miembros relacionadas con la recuperación de COVID-19, y se centran en áreas con potencial conocido para generar cooperación.</w:t>
            </w:r>
          </w:p>
        </w:tc>
        <w:tc>
          <w:tcPr>
            <w:tcW w:w="2671" w:type="dxa"/>
            <w:vMerge w:val="restart"/>
          </w:tcPr>
          <w:p w14:paraId="29694F44" w14:textId="77777777" w:rsidR="009E08E3" w:rsidRPr="009E08E3" w:rsidRDefault="009E08E3" w:rsidP="00FB5F4F">
            <w:pPr>
              <w:numPr>
                <w:ilvl w:val="0"/>
                <w:numId w:val="23"/>
              </w:numPr>
              <w:tabs>
                <w:tab w:val="left" w:pos="334"/>
                <w:tab w:val="left" w:pos="472"/>
                <w:tab w:val="num" w:pos="720"/>
                <w:tab w:val="num" w:pos="1440"/>
              </w:tabs>
              <w:autoSpaceDE w:val="0"/>
              <w:autoSpaceDN w:val="0"/>
              <w:adjustRightInd w:val="0"/>
              <w:spacing w:after="0" w:line="240" w:lineRule="auto"/>
              <w:ind w:left="34" w:firstLine="33"/>
              <w:rPr>
                <w:rFonts w:ascii="Times New Roman" w:hAnsi="Times New Roman"/>
                <w:bCs/>
                <w:lang w:val="es-CO"/>
              </w:rPr>
            </w:pPr>
            <w:r w:rsidRPr="009E08E3">
              <w:rPr>
                <w:rFonts w:ascii="Times New Roman" w:hAnsi="Times New Roman"/>
                <w:bCs/>
                <w:lang w:val="es-CO"/>
              </w:rPr>
              <w:t xml:space="preserve">Las discusiones están avanzando en el marco de la Comisión de Políticas. </w:t>
            </w:r>
          </w:p>
          <w:p w14:paraId="29F808D3" w14:textId="77777777" w:rsidR="00BA70BC" w:rsidRPr="00C87E07" w:rsidRDefault="00BA70BC" w:rsidP="006E62FA">
            <w:pPr>
              <w:rPr>
                <w:rFonts w:ascii="Times New Roman" w:hAnsi="Times New Roman"/>
                <w:bCs/>
                <w:lang w:val="es-CO"/>
              </w:rPr>
            </w:pPr>
          </w:p>
        </w:tc>
      </w:tr>
      <w:tr w:rsidR="00BA70BC" w:rsidRPr="0071322F" w14:paraId="75707248" w14:textId="18950583" w:rsidTr="00FB5F4F">
        <w:trPr>
          <w:trHeight w:val="800"/>
        </w:trPr>
        <w:tc>
          <w:tcPr>
            <w:tcW w:w="2202" w:type="dxa"/>
            <w:vMerge w:val="restart"/>
            <w:shd w:val="clear" w:color="auto" w:fill="auto"/>
            <w:hideMark/>
          </w:tcPr>
          <w:p w14:paraId="13E4BD6C" w14:textId="55B35A61" w:rsidR="00BA70BC" w:rsidRPr="00C87E07" w:rsidRDefault="00BA70BC" w:rsidP="006E62FA">
            <w:pPr>
              <w:rPr>
                <w:rFonts w:ascii="Times New Roman" w:hAnsi="Times New Roman"/>
                <w:b/>
                <w:bCs/>
                <w:lang w:val="es-CO"/>
              </w:rPr>
            </w:pPr>
            <w:r w:rsidRPr="00C87E07">
              <w:rPr>
                <w:rFonts w:ascii="Times New Roman" w:hAnsi="Times New Roman"/>
                <w:b/>
                <w:bCs/>
                <w:lang w:val="es-CO"/>
              </w:rPr>
              <w:t xml:space="preserve">8.1. </w:t>
            </w:r>
            <w:r w:rsidRPr="00C87E07">
              <w:rPr>
                <w:rFonts w:ascii="Times New Roman" w:hAnsi="Times New Roman"/>
                <w:lang w:val="es-CO"/>
              </w:rPr>
              <w:t xml:space="preserve">Fortalecer los vínculos intersectoriales ministeriales, estableciendo una participación fluida y continua de las autoridades de cooperación y las Misiones permanentes </w:t>
            </w:r>
            <w:r w:rsidRPr="00C87E07">
              <w:rPr>
                <w:rFonts w:ascii="Times New Roman" w:hAnsi="Times New Roman"/>
                <w:lang w:val="es-CO"/>
              </w:rPr>
              <w:lastRenderedPageBreak/>
              <w:t xml:space="preserve">durante el ciclo ministerial de 3 años. </w:t>
            </w:r>
          </w:p>
        </w:tc>
        <w:tc>
          <w:tcPr>
            <w:tcW w:w="3343" w:type="dxa"/>
            <w:shd w:val="clear" w:color="auto" w:fill="auto"/>
            <w:hideMark/>
          </w:tcPr>
          <w:p w14:paraId="4943845E" w14:textId="61DB0530" w:rsidR="00BA70BC" w:rsidRPr="00C87E07" w:rsidRDefault="00BA70BC" w:rsidP="006E62FA">
            <w:pPr>
              <w:rPr>
                <w:rFonts w:ascii="Times New Roman" w:hAnsi="Times New Roman"/>
                <w:lang w:val="es-CO"/>
              </w:rPr>
            </w:pPr>
            <w:r w:rsidRPr="00C87E07">
              <w:rPr>
                <w:rFonts w:ascii="Times New Roman" w:hAnsi="Times New Roman"/>
                <w:lang w:val="es-CO"/>
              </w:rPr>
              <w:lastRenderedPageBreak/>
              <w:t>8.1.1. Informar a los puntos focales de cooperación cuando se convoquen las reuniones Ministeriales y de alto nivel.</w:t>
            </w:r>
          </w:p>
        </w:tc>
        <w:tc>
          <w:tcPr>
            <w:tcW w:w="3128" w:type="dxa"/>
            <w:shd w:val="clear" w:color="auto" w:fill="auto"/>
            <w:hideMark/>
          </w:tcPr>
          <w:p w14:paraId="3E39E377" w14:textId="77777777" w:rsidR="00BA70BC" w:rsidRPr="00C87E07" w:rsidRDefault="00BA70BC" w:rsidP="006E62FA">
            <w:pPr>
              <w:rPr>
                <w:rFonts w:ascii="Times New Roman" w:hAnsi="Times New Roman"/>
                <w:lang w:val="es-CO"/>
              </w:rPr>
            </w:pPr>
            <w:r w:rsidRPr="00C87E07">
              <w:rPr>
                <w:rFonts w:ascii="Times New Roman" w:hAnsi="Times New Roman"/>
                <w:lang w:val="es-CO"/>
              </w:rPr>
              <w:t>1 Comunicación enviada a los puntos focales por cada Ministerial convocada, y recordatorios dados en el marco de las reuniones de la JD/AICD.</w:t>
            </w:r>
          </w:p>
        </w:tc>
        <w:tc>
          <w:tcPr>
            <w:tcW w:w="2416" w:type="dxa"/>
            <w:vMerge w:val="restart"/>
            <w:shd w:val="clear" w:color="auto" w:fill="auto"/>
            <w:hideMark/>
          </w:tcPr>
          <w:p w14:paraId="4DD8137D" w14:textId="77777777" w:rsidR="00BA70BC" w:rsidRPr="00C87E07" w:rsidRDefault="00BA70BC" w:rsidP="006E62FA">
            <w:pPr>
              <w:rPr>
                <w:rFonts w:ascii="Times New Roman" w:hAnsi="Times New Roman"/>
                <w:lang w:val="es-CO"/>
              </w:rPr>
            </w:pPr>
            <w:r w:rsidRPr="00C87E07">
              <w:rPr>
                <w:rFonts w:ascii="Times New Roman" w:hAnsi="Times New Roman"/>
                <w:lang w:val="es-CO"/>
              </w:rPr>
              <w:t>Se mejora la alineación entre la cooperación para el desarrollo y los procesos ministeriales en el marco del CIDI.</w:t>
            </w:r>
            <w:r w:rsidRPr="00C87E07">
              <w:rPr>
                <w:rFonts w:ascii="Times New Roman" w:hAnsi="Times New Roman"/>
                <w:lang w:val="es-CO"/>
              </w:rPr>
              <w:br/>
            </w:r>
            <w:r w:rsidRPr="00C87E07">
              <w:rPr>
                <w:rFonts w:ascii="Times New Roman" w:hAnsi="Times New Roman"/>
                <w:lang w:val="es-CO"/>
              </w:rPr>
              <w:br/>
              <w:t>Las Ministeriales son convocadas en torno a áreas temáticas destacadas y transversales.</w:t>
            </w:r>
            <w:r w:rsidRPr="00C87E07">
              <w:rPr>
                <w:rFonts w:ascii="Times New Roman" w:hAnsi="Times New Roman"/>
                <w:lang w:val="es-CO"/>
              </w:rPr>
              <w:br/>
            </w:r>
            <w:r w:rsidRPr="00C87E07">
              <w:rPr>
                <w:rFonts w:ascii="Times New Roman" w:hAnsi="Times New Roman"/>
                <w:lang w:val="es-CO"/>
              </w:rPr>
              <w:lastRenderedPageBreak/>
              <w:br/>
              <w:t>La asistencia a nivel de Ministros y Altas Autoridades en las reuniones aumenta.</w:t>
            </w:r>
            <w:r w:rsidRPr="00C87E07">
              <w:rPr>
                <w:rFonts w:ascii="Times New Roman" w:hAnsi="Times New Roman"/>
                <w:lang w:val="es-CO"/>
              </w:rPr>
              <w:br/>
            </w:r>
            <w:r w:rsidRPr="00C87E07">
              <w:rPr>
                <w:rFonts w:ascii="Times New Roman" w:hAnsi="Times New Roman"/>
                <w:lang w:val="es-CO"/>
              </w:rPr>
              <w:br/>
              <w:t>Se avanza en generar un ciclo virtuoso, que vincule el diálogo político con el componente técnico de cooperación.</w:t>
            </w:r>
            <w:r w:rsidRPr="00C87E07">
              <w:rPr>
                <w:rFonts w:ascii="Times New Roman" w:hAnsi="Times New Roman"/>
                <w:lang w:val="es-CO"/>
              </w:rPr>
              <w:br/>
            </w:r>
            <w:r w:rsidRPr="00C87E07">
              <w:rPr>
                <w:rFonts w:ascii="Times New Roman" w:hAnsi="Times New Roman"/>
                <w:lang w:val="es-CO"/>
              </w:rPr>
              <w:br/>
              <w:t>Mayores oportunidades para participar en alianzas multi-actores para la cooperación al desarrollo.</w:t>
            </w:r>
          </w:p>
        </w:tc>
        <w:tc>
          <w:tcPr>
            <w:tcW w:w="2671" w:type="dxa"/>
            <w:vMerge/>
          </w:tcPr>
          <w:p w14:paraId="28012252" w14:textId="77777777" w:rsidR="00BA70BC" w:rsidRPr="00C87E07" w:rsidRDefault="00BA70BC" w:rsidP="006E62FA">
            <w:pPr>
              <w:rPr>
                <w:rFonts w:ascii="Times New Roman" w:hAnsi="Times New Roman"/>
                <w:lang w:val="es-CO"/>
              </w:rPr>
            </w:pPr>
          </w:p>
        </w:tc>
      </w:tr>
      <w:tr w:rsidR="00BA70BC" w:rsidRPr="0071322F" w14:paraId="39AFF3CB" w14:textId="0B0B97CC" w:rsidTr="00FB5F4F">
        <w:trPr>
          <w:trHeight w:val="1065"/>
        </w:trPr>
        <w:tc>
          <w:tcPr>
            <w:tcW w:w="2202" w:type="dxa"/>
            <w:vMerge/>
            <w:shd w:val="clear" w:color="auto" w:fill="auto"/>
            <w:hideMark/>
          </w:tcPr>
          <w:p w14:paraId="75DD261F" w14:textId="77777777" w:rsidR="00BA70BC" w:rsidRPr="00C87E07" w:rsidRDefault="00BA70BC" w:rsidP="006E62FA">
            <w:pPr>
              <w:rPr>
                <w:rFonts w:ascii="Times New Roman" w:hAnsi="Times New Roman"/>
                <w:b/>
                <w:bCs/>
                <w:lang w:val="es-CO"/>
              </w:rPr>
            </w:pPr>
          </w:p>
        </w:tc>
        <w:tc>
          <w:tcPr>
            <w:tcW w:w="3343" w:type="dxa"/>
            <w:shd w:val="clear" w:color="auto" w:fill="auto"/>
            <w:hideMark/>
          </w:tcPr>
          <w:p w14:paraId="400C57BE" w14:textId="3260AB26" w:rsidR="00BA70BC" w:rsidRPr="00C87E07" w:rsidRDefault="00BA70BC" w:rsidP="006E62FA">
            <w:pPr>
              <w:rPr>
                <w:rFonts w:ascii="Times New Roman" w:hAnsi="Times New Roman"/>
                <w:lang w:val="es-CO"/>
              </w:rPr>
            </w:pPr>
            <w:r w:rsidRPr="00C87E07">
              <w:rPr>
                <w:rFonts w:ascii="Times New Roman" w:hAnsi="Times New Roman"/>
                <w:lang w:val="es-CO"/>
              </w:rPr>
              <w:t xml:space="preserve">8.1.2. Diseñar e impulsar una campaña de entrega de resultados de parte de todos los actores participantes antes de la reunión y </w:t>
            </w:r>
            <w:r w:rsidRPr="00C87E07">
              <w:rPr>
                <w:rFonts w:ascii="Times New Roman" w:hAnsi="Times New Roman"/>
                <w:lang w:val="es-CO"/>
              </w:rPr>
              <w:lastRenderedPageBreak/>
              <w:t>en todos los sectores. Coordinada por el país anfitrión y la Secretaría.</w:t>
            </w:r>
          </w:p>
        </w:tc>
        <w:tc>
          <w:tcPr>
            <w:tcW w:w="3128" w:type="dxa"/>
            <w:shd w:val="clear" w:color="auto" w:fill="auto"/>
            <w:hideMark/>
          </w:tcPr>
          <w:p w14:paraId="348EDDD4" w14:textId="77777777" w:rsidR="00BA70BC" w:rsidRPr="00C87E07" w:rsidRDefault="00BA70BC" w:rsidP="006E62FA">
            <w:pPr>
              <w:rPr>
                <w:rFonts w:ascii="Times New Roman" w:hAnsi="Times New Roman"/>
                <w:lang w:val="es-CO"/>
              </w:rPr>
            </w:pPr>
            <w:r w:rsidRPr="00C87E07">
              <w:rPr>
                <w:rFonts w:ascii="Times New Roman" w:hAnsi="Times New Roman"/>
                <w:lang w:val="es-CO"/>
              </w:rPr>
              <w:lastRenderedPageBreak/>
              <w:t xml:space="preserve">1 borrador de campaña de entrega de resultados co-creada entre la Secretaría y el Comité de Políticas, a ser presentada para consideración del CIDI e implementada con el apoyo de </w:t>
            </w:r>
            <w:r w:rsidRPr="00C87E07">
              <w:rPr>
                <w:rFonts w:ascii="Times New Roman" w:hAnsi="Times New Roman"/>
                <w:lang w:val="es-CO"/>
              </w:rPr>
              <w:lastRenderedPageBreak/>
              <w:t>los países anfitriones de las Ministeriales.</w:t>
            </w:r>
          </w:p>
        </w:tc>
        <w:tc>
          <w:tcPr>
            <w:tcW w:w="2416" w:type="dxa"/>
            <w:vMerge/>
            <w:shd w:val="clear" w:color="auto" w:fill="auto"/>
            <w:hideMark/>
          </w:tcPr>
          <w:p w14:paraId="67E0E4A1" w14:textId="77777777" w:rsidR="00BA70BC" w:rsidRPr="00C87E07" w:rsidRDefault="00BA70BC" w:rsidP="006E62FA">
            <w:pPr>
              <w:rPr>
                <w:rFonts w:ascii="Times New Roman" w:hAnsi="Times New Roman"/>
                <w:lang w:val="es-CO"/>
              </w:rPr>
            </w:pPr>
          </w:p>
        </w:tc>
        <w:tc>
          <w:tcPr>
            <w:tcW w:w="2671" w:type="dxa"/>
            <w:vMerge/>
          </w:tcPr>
          <w:p w14:paraId="56CB2920" w14:textId="77777777" w:rsidR="00BA70BC" w:rsidRPr="00C87E07" w:rsidRDefault="00BA70BC" w:rsidP="006E62FA">
            <w:pPr>
              <w:rPr>
                <w:rFonts w:ascii="Times New Roman" w:hAnsi="Times New Roman"/>
                <w:lang w:val="es-CO"/>
              </w:rPr>
            </w:pPr>
          </w:p>
        </w:tc>
      </w:tr>
      <w:tr w:rsidR="00BA70BC" w:rsidRPr="0071322F" w14:paraId="597655FD" w14:textId="1537C5A6" w:rsidTr="00FB5F4F">
        <w:trPr>
          <w:trHeight w:val="1065"/>
        </w:trPr>
        <w:tc>
          <w:tcPr>
            <w:tcW w:w="2202" w:type="dxa"/>
            <w:vMerge/>
            <w:shd w:val="clear" w:color="auto" w:fill="auto"/>
            <w:hideMark/>
          </w:tcPr>
          <w:p w14:paraId="2E287D87" w14:textId="77777777" w:rsidR="00BA70BC" w:rsidRPr="00C87E07" w:rsidRDefault="00BA70BC" w:rsidP="006E62FA">
            <w:pPr>
              <w:rPr>
                <w:rFonts w:ascii="Times New Roman" w:hAnsi="Times New Roman"/>
                <w:b/>
                <w:bCs/>
                <w:lang w:val="es-CO"/>
              </w:rPr>
            </w:pPr>
          </w:p>
        </w:tc>
        <w:tc>
          <w:tcPr>
            <w:tcW w:w="3343" w:type="dxa"/>
            <w:shd w:val="clear" w:color="auto" w:fill="auto"/>
            <w:hideMark/>
          </w:tcPr>
          <w:p w14:paraId="62646228" w14:textId="31EB9626" w:rsidR="00BA70BC" w:rsidRPr="00C87E07" w:rsidRDefault="00BA70BC" w:rsidP="006E62FA">
            <w:pPr>
              <w:rPr>
                <w:rFonts w:ascii="Times New Roman" w:hAnsi="Times New Roman"/>
                <w:lang w:val="es-CO"/>
              </w:rPr>
            </w:pPr>
            <w:r w:rsidRPr="00C87E07">
              <w:rPr>
                <w:rFonts w:ascii="Times New Roman" w:hAnsi="Times New Roman"/>
                <w:lang w:val="es-CO"/>
              </w:rPr>
              <w:t>8.1.3. Transmitir a la AICD los Planes de Acción que surjan de las Ministeriales y que incluyan propuestas de cooperación.</w:t>
            </w:r>
          </w:p>
        </w:tc>
        <w:tc>
          <w:tcPr>
            <w:tcW w:w="3128" w:type="dxa"/>
            <w:shd w:val="clear" w:color="auto" w:fill="auto"/>
            <w:hideMark/>
          </w:tcPr>
          <w:p w14:paraId="401688A0" w14:textId="77777777" w:rsidR="00BA70BC" w:rsidRPr="00C87E07" w:rsidRDefault="00BA70BC" w:rsidP="006E62FA">
            <w:pPr>
              <w:rPr>
                <w:rFonts w:ascii="Times New Roman" w:hAnsi="Times New Roman"/>
                <w:lang w:val="es-CO"/>
              </w:rPr>
            </w:pPr>
            <w:r w:rsidRPr="00C87E07">
              <w:rPr>
                <w:rFonts w:ascii="Times New Roman" w:hAnsi="Times New Roman"/>
                <w:lang w:val="es-CO"/>
              </w:rPr>
              <w:t>1 Comunicación enviada a las autoridades de cooperación sobre los documentos emergentes de las Ministeriales, y recordatorios dados en el marco de las reuniones de la JD/AICD.</w:t>
            </w:r>
          </w:p>
        </w:tc>
        <w:tc>
          <w:tcPr>
            <w:tcW w:w="2416" w:type="dxa"/>
            <w:vMerge/>
            <w:shd w:val="clear" w:color="auto" w:fill="auto"/>
            <w:hideMark/>
          </w:tcPr>
          <w:p w14:paraId="3B8431C6" w14:textId="77777777" w:rsidR="00BA70BC" w:rsidRPr="00C87E07" w:rsidRDefault="00BA70BC" w:rsidP="006E62FA">
            <w:pPr>
              <w:rPr>
                <w:rFonts w:ascii="Times New Roman" w:hAnsi="Times New Roman"/>
                <w:lang w:val="es-CO"/>
              </w:rPr>
            </w:pPr>
          </w:p>
        </w:tc>
        <w:tc>
          <w:tcPr>
            <w:tcW w:w="2671" w:type="dxa"/>
            <w:vMerge/>
          </w:tcPr>
          <w:p w14:paraId="17A62B3A" w14:textId="77777777" w:rsidR="00BA70BC" w:rsidRPr="00C87E07" w:rsidRDefault="00BA70BC" w:rsidP="006E62FA">
            <w:pPr>
              <w:rPr>
                <w:rFonts w:ascii="Times New Roman" w:hAnsi="Times New Roman"/>
                <w:lang w:val="es-CO"/>
              </w:rPr>
            </w:pPr>
          </w:p>
        </w:tc>
      </w:tr>
      <w:tr w:rsidR="00BA70BC" w:rsidRPr="0071322F" w14:paraId="04C27E5D" w14:textId="65A324F1" w:rsidTr="00FB5F4F">
        <w:trPr>
          <w:trHeight w:val="915"/>
        </w:trPr>
        <w:tc>
          <w:tcPr>
            <w:tcW w:w="2202" w:type="dxa"/>
            <w:vMerge/>
            <w:shd w:val="clear" w:color="auto" w:fill="auto"/>
            <w:hideMark/>
          </w:tcPr>
          <w:p w14:paraId="2BCDBBAE" w14:textId="77777777" w:rsidR="00BA70BC" w:rsidRPr="00C87E07" w:rsidRDefault="00BA70BC" w:rsidP="006E62FA">
            <w:pPr>
              <w:rPr>
                <w:rFonts w:ascii="Times New Roman" w:hAnsi="Times New Roman"/>
                <w:b/>
                <w:bCs/>
                <w:lang w:val="es-CO"/>
              </w:rPr>
            </w:pPr>
          </w:p>
        </w:tc>
        <w:tc>
          <w:tcPr>
            <w:tcW w:w="3343" w:type="dxa"/>
            <w:shd w:val="clear" w:color="auto" w:fill="auto"/>
            <w:hideMark/>
          </w:tcPr>
          <w:p w14:paraId="0EA5C3DA" w14:textId="3BADCB71" w:rsidR="00BA70BC" w:rsidRPr="00C87E07" w:rsidRDefault="00BA70BC" w:rsidP="006E62FA">
            <w:pPr>
              <w:rPr>
                <w:rFonts w:ascii="Times New Roman" w:hAnsi="Times New Roman"/>
                <w:lang w:val="es-CO"/>
              </w:rPr>
            </w:pPr>
            <w:r w:rsidRPr="00C87E07">
              <w:rPr>
                <w:rFonts w:ascii="Times New Roman" w:hAnsi="Times New Roman"/>
                <w:lang w:val="es-CO"/>
              </w:rPr>
              <w:t>8.1.4.  Asegurar que se cumplen los lineamientos y los plazos del ciclo ministerial, consolidando la selección de los temas según las necesidades y prioridades de los Estados Miembros.</w:t>
            </w:r>
          </w:p>
        </w:tc>
        <w:tc>
          <w:tcPr>
            <w:tcW w:w="3128" w:type="dxa"/>
            <w:shd w:val="clear" w:color="auto" w:fill="auto"/>
            <w:hideMark/>
          </w:tcPr>
          <w:p w14:paraId="08573A2C" w14:textId="77777777" w:rsidR="00BA70BC" w:rsidRPr="00C87E07" w:rsidRDefault="00BA70BC" w:rsidP="006E62FA">
            <w:pPr>
              <w:rPr>
                <w:rFonts w:ascii="Times New Roman" w:hAnsi="Times New Roman"/>
                <w:lang w:val="es-CO"/>
              </w:rPr>
            </w:pPr>
            <w:r w:rsidRPr="00C87E07">
              <w:rPr>
                <w:rFonts w:ascii="Times New Roman" w:hAnsi="Times New Roman"/>
                <w:lang w:val="es-CO"/>
              </w:rPr>
              <w:t>Nota: Continuar brindando seguimiento y apoyo continuo desde la Secretaría Técnica a los Estados Miembros.</w:t>
            </w:r>
          </w:p>
        </w:tc>
        <w:tc>
          <w:tcPr>
            <w:tcW w:w="2416" w:type="dxa"/>
            <w:vMerge/>
            <w:shd w:val="clear" w:color="auto" w:fill="auto"/>
            <w:hideMark/>
          </w:tcPr>
          <w:p w14:paraId="155F5166" w14:textId="77777777" w:rsidR="00BA70BC" w:rsidRPr="00C87E07" w:rsidRDefault="00BA70BC" w:rsidP="006E62FA">
            <w:pPr>
              <w:rPr>
                <w:rFonts w:ascii="Times New Roman" w:hAnsi="Times New Roman"/>
                <w:lang w:val="es-CO"/>
              </w:rPr>
            </w:pPr>
          </w:p>
        </w:tc>
        <w:tc>
          <w:tcPr>
            <w:tcW w:w="2671" w:type="dxa"/>
            <w:vMerge/>
          </w:tcPr>
          <w:p w14:paraId="3ECD27DD" w14:textId="77777777" w:rsidR="00BA70BC" w:rsidRPr="00C87E07" w:rsidRDefault="00BA70BC" w:rsidP="006E62FA">
            <w:pPr>
              <w:rPr>
                <w:rFonts w:ascii="Times New Roman" w:hAnsi="Times New Roman"/>
                <w:lang w:val="es-CO"/>
              </w:rPr>
            </w:pPr>
          </w:p>
        </w:tc>
      </w:tr>
      <w:tr w:rsidR="00BA70BC" w:rsidRPr="0071322F" w14:paraId="6C542FE6" w14:textId="39C7A19B" w:rsidTr="00FB5F4F">
        <w:trPr>
          <w:trHeight w:val="975"/>
        </w:trPr>
        <w:tc>
          <w:tcPr>
            <w:tcW w:w="2202" w:type="dxa"/>
            <w:vMerge w:val="restart"/>
            <w:shd w:val="clear" w:color="auto" w:fill="auto"/>
            <w:hideMark/>
          </w:tcPr>
          <w:p w14:paraId="34767420" w14:textId="7E3DDBEE" w:rsidR="00BA70BC" w:rsidRPr="00C87E07" w:rsidRDefault="00BA70BC" w:rsidP="006E62FA">
            <w:pPr>
              <w:rPr>
                <w:rFonts w:ascii="Times New Roman" w:hAnsi="Times New Roman"/>
                <w:b/>
                <w:bCs/>
                <w:lang w:val="es-CO"/>
              </w:rPr>
            </w:pPr>
            <w:r w:rsidRPr="00C87E07">
              <w:rPr>
                <w:rFonts w:ascii="Times New Roman" w:hAnsi="Times New Roman"/>
                <w:b/>
                <w:bCs/>
                <w:lang w:val="es-CO"/>
              </w:rPr>
              <w:t xml:space="preserve">8.2. </w:t>
            </w:r>
            <w:r w:rsidRPr="00C87E07">
              <w:rPr>
                <w:rFonts w:ascii="Times New Roman" w:hAnsi="Times New Roman"/>
                <w:bCs/>
                <w:lang w:val="es-CO"/>
              </w:rPr>
              <w:t>Impulsar la utilización de la tecnología para mejorar, avanzar y optimizar el trabajo de cooperación del pilar de desarrollo y la realización de las reuniones ministeriales, facilitando la participación virtual de autoridades</w:t>
            </w:r>
            <w:r w:rsidRPr="00C87E07">
              <w:rPr>
                <w:rFonts w:ascii="Times New Roman" w:hAnsi="Times New Roman"/>
                <w:lang w:val="es-CO"/>
              </w:rPr>
              <w:t>.</w:t>
            </w:r>
          </w:p>
        </w:tc>
        <w:tc>
          <w:tcPr>
            <w:tcW w:w="3343" w:type="dxa"/>
            <w:shd w:val="clear" w:color="auto" w:fill="auto"/>
            <w:hideMark/>
          </w:tcPr>
          <w:p w14:paraId="3F51CE43" w14:textId="63168317" w:rsidR="00BA70BC" w:rsidRPr="00C87E07" w:rsidRDefault="00BA70BC" w:rsidP="006E62FA">
            <w:pPr>
              <w:rPr>
                <w:rFonts w:ascii="Times New Roman" w:hAnsi="Times New Roman"/>
                <w:lang w:val="es-CO"/>
              </w:rPr>
            </w:pPr>
            <w:r w:rsidRPr="00C87E07">
              <w:rPr>
                <w:rFonts w:ascii="Times New Roman" w:hAnsi="Times New Roman"/>
                <w:lang w:val="es-CO"/>
              </w:rPr>
              <w:t>8.2.1. Explorar con los anfitriones de las reuniones Ministeriales y con el Departamento de Conferencias de la OEA la viabilidad de habilitar la participación remota de Ministros en las reuniones.</w:t>
            </w:r>
          </w:p>
        </w:tc>
        <w:tc>
          <w:tcPr>
            <w:tcW w:w="3128" w:type="dxa"/>
            <w:shd w:val="clear" w:color="auto" w:fill="auto"/>
            <w:hideMark/>
          </w:tcPr>
          <w:p w14:paraId="4062A3A0" w14:textId="77777777" w:rsidR="00BA70BC" w:rsidRPr="00C87E07" w:rsidRDefault="00BA70BC" w:rsidP="006E62FA">
            <w:pPr>
              <w:rPr>
                <w:rFonts w:ascii="Times New Roman" w:hAnsi="Times New Roman"/>
                <w:lang w:val="es-CO"/>
              </w:rPr>
            </w:pPr>
            <w:r w:rsidRPr="00C87E07">
              <w:rPr>
                <w:rFonts w:ascii="Times New Roman" w:hAnsi="Times New Roman"/>
                <w:lang w:val="es-CO"/>
              </w:rPr>
              <w:t>Hacer consulta al Departamento de Conferencias y presentar respuesta y opciones a los anfitriones de las Ministeriales.</w:t>
            </w:r>
          </w:p>
        </w:tc>
        <w:tc>
          <w:tcPr>
            <w:tcW w:w="2416" w:type="dxa"/>
            <w:vMerge/>
            <w:shd w:val="clear" w:color="auto" w:fill="auto"/>
            <w:hideMark/>
          </w:tcPr>
          <w:p w14:paraId="232C0F50" w14:textId="77777777" w:rsidR="00BA70BC" w:rsidRPr="00C87E07" w:rsidRDefault="00BA70BC" w:rsidP="006E62FA">
            <w:pPr>
              <w:rPr>
                <w:rFonts w:ascii="Times New Roman" w:hAnsi="Times New Roman"/>
                <w:lang w:val="es-CO"/>
              </w:rPr>
            </w:pPr>
          </w:p>
        </w:tc>
        <w:tc>
          <w:tcPr>
            <w:tcW w:w="2671" w:type="dxa"/>
            <w:vMerge w:val="restart"/>
          </w:tcPr>
          <w:p w14:paraId="3A8F878F" w14:textId="77777777" w:rsidR="00BA70BC" w:rsidRPr="00C87E07" w:rsidRDefault="00BA70BC" w:rsidP="006E62FA">
            <w:pPr>
              <w:rPr>
                <w:rFonts w:ascii="Times New Roman" w:hAnsi="Times New Roman"/>
                <w:lang w:val="es-CO"/>
              </w:rPr>
            </w:pPr>
          </w:p>
        </w:tc>
      </w:tr>
      <w:tr w:rsidR="00BA70BC" w:rsidRPr="0071322F" w14:paraId="3EA20D6B" w14:textId="688AA763" w:rsidTr="00FB5F4F">
        <w:trPr>
          <w:trHeight w:val="1140"/>
        </w:trPr>
        <w:tc>
          <w:tcPr>
            <w:tcW w:w="2202" w:type="dxa"/>
            <w:vMerge/>
            <w:shd w:val="clear" w:color="auto" w:fill="auto"/>
            <w:hideMark/>
          </w:tcPr>
          <w:p w14:paraId="74BE8177" w14:textId="77777777" w:rsidR="00BA70BC" w:rsidRPr="00C87E07" w:rsidRDefault="00BA70BC" w:rsidP="006E62FA">
            <w:pPr>
              <w:rPr>
                <w:rFonts w:ascii="Times New Roman" w:hAnsi="Times New Roman"/>
                <w:b/>
                <w:bCs/>
                <w:lang w:val="es-CO"/>
              </w:rPr>
            </w:pPr>
          </w:p>
        </w:tc>
        <w:tc>
          <w:tcPr>
            <w:tcW w:w="3343" w:type="dxa"/>
            <w:shd w:val="clear" w:color="auto" w:fill="auto"/>
            <w:hideMark/>
          </w:tcPr>
          <w:p w14:paraId="4B799642" w14:textId="058051C2" w:rsidR="00BA70BC" w:rsidRPr="00C87E07" w:rsidRDefault="00BA70BC" w:rsidP="006E62FA">
            <w:pPr>
              <w:rPr>
                <w:rFonts w:ascii="Times New Roman" w:hAnsi="Times New Roman"/>
                <w:lang w:val="es-CO"/>
              </w:rPr>
            </w:pPr>
            <w:r w:rsidRPr="00C87E07">
              <w:rPr>
                <w:rFonts w:ascii="Times New Roman" w:hAnsi="Times New Roman"/>
                <w:lang w:val="es-CO"/>
              </w:rPr>
              <w:t>8.2.2. Elaborar una estrategia con el fin de que CooperaNet sea una herramienta útil para estimular, concentrar y catalizar la cooperación regional, y sirva para impulsar las prioridades consensuadas en los procesos ministeriales.</w:t>
            </w:r>
          </w:p>
        </w:tc>
        <w:tc>
          <w:tcPr>
            <w:tcW w:w="3128" w:type="dxa"/>
            <w:shd w:val="clear" w:color="auto" w:fill="auto"/>
            <w:hideMark/>
          </w:tcPr>
          <w:p w14:paraId="12864EB3" w14:textId="77777777" w:rsidR="00BA70BC" w:rsidRPr="00C87E07" w:rsidRDefault="00BA70BC" w:rsidP="006E62FA">
            <w:pPr>
              <w:rPr>
                <w:rFonts w:ascii="Times New Roman" w:hAnsi="Times New Roman"/>
                <w:lang w:val="es-CO"/>
              </w:rPr>
            </w:pPr>
            <w:r w:rsidRPr="00C87E07">
              <w:rPr>
                <w:rFonts w:ascii="Times New Roman" w:hAnsi="Times New Roman"/>
                <w:lang w:val="es-CO"/>
              </w:rPr>
              <w:t xml:space="preserve">1 borrador de estrategia para vincular los procesos Ministeriales con CooperaNet elaborado y presentado a la JD/AICD para su consideración e implementación. </w:t>
            </w:r>
          </w:p>
        </w:tc>
        <w:tc>
          <w:tcPr>
            <w:tcW w:w="2416" w:type="dxa"/>
            <w:vMerge/>
            <w:shd w:val="clear" w:color="auto" w:fill="auto"/>
            <w:hideMark/>
          </w:tcPr>
          <w:p w14:paraId="4585F202" w14:textId="77777777" w:rsidR="00BA70BC" w:rsidRPr="00C87E07" w:rsidRDefault="00BA70BC" w:rsidP="006E62FA">
            <w:pPr>
              <w:rPr>
                <w:rFonts w:ascii="Times New Roman" w:hAnsi="Times New Roman"/>
                <w:lang w:val="es-CO"/>
              </w:rPr>
            </w:pPr>
          </w:p>
        </w:tc>
        <w:tc>
          <w:tcPr>
            <w:tcW w:w="2671" w:type="dxa"/>
            <w:vMerge/>
          </w:tcPr>
          <w:p w14:paraId="2A44697E" w14:textId="77777777" w:rsidR="00BA70BC" w:rsidRPr="00C87E07" w:rsidRDefault="00BA70BC" w:rsidP="006E62FA">
            <w:pPr>
              <w:rPr>
                <w:rFonts w:ascii="Times New Roman" w:hAnsi="Times New Roman"/>
                <w:lang w:val="es-CO"/>
              </w:rPr>
            </w:pPr>
          </w:p>
        </w:tc>
      </w:tr>
      <w:tr w:rsidR="00BA70BC" w:rsidRPr="0071322F" w14:paraId="1056CD2D" w14:textId="16AB595E" w:rsidTr="00FB5F4F">
        <w:trPr>
          <w:trHeight w:val="1380"/>
        </w:trPr>
        <w:tc>
          <w:tcPr>
            <w:tcW w:w="2202" w:type="dxa"/>
            <w:shd w:val="clear" w:color="auto" w:fill="auto"/>
            <w:hideMark/>
          </w:tcPr>
          <w:p w14:paraId="69E9A1C7" w14:textId="2BEBAC80" w:rsidR="00BA70BC" w:rsidRPr="00C87E07" w:rsidRDefault="00BA70BC" w:rsidP="006E62FA">
            <w:pPr>
              <w:rPr>
                <w:rFonts w:ascii="Times New Roman" w:hAnsi="Times New Roman"/>
                <w:b/>
                <w:bCs/>
                <w:lang w:val="es-CO"/>
              </w:rPr>
            </w:pPr>
            <w:r w:rsidRPr="00C87E07">
              <w:rPr>
                <w:rFonts w:ascii="Times New Roman" w:hAnsi="Times New Roman"/>
                <w:b/>
                <w:bCs/>
                <w:lang w:val="es-CO"/>
              </w:rPr>
              <w:lastRenderedPageBreak/>
              <w:t xml:space="preserve">8.3.  </w:t>
            </w:r>
            <w:r w:rsidRPr="00C87E07">
              <w:rPr>
                <w:rFonts w:ascii="Times New Roman" w:hAnsi="Times New Roman"/>
                <w:lang w:val="es-CO"/>
              </w:rPr>
              <w:t>Establecer como método de uso regular la realización de un análisis de viabilidad de cooperación.</w:t>
            </w:r>
            <w:r w:rsidRPr="00C87E07">
              <w:rPr>
                <w:rFonts w:ascii="Times New Roman" w:hAnsi="Times New Roman"/>
                <w:i/>
                <w:iCs/>
                <w:lang w:val="es-CO"/>
              </w:rPr>
              <w:t xml:space="preserve"> </w:t>
            </w:r>
          </w:p>
        </w:tc>
        <w:tc>
          <w:tcPr>
            <w:tcW w:w="3343" w:type="dxa"/>
            <w:shd w:val="clear" w:color="auto" w:fill="auto"/>
            <w:hideMark/>
          </w:tcPr>
          <w:p w14:paraId="42F03C50" w14:textId="026EEC40" w:rsidR="00BA70BC" w:rsidRPr="00C87E07" w:rsidRDefault="00BA70BC" w:rsidP="006E62FA">
            <w:pPr>
              <w:rPr>
                <w:rFonts w:ascii="Times New Roman" w:hAnsi="Times New Roman"/>
                <w:lang w:val="es-CO"/>
              </w:rPr>
            </w:pPr>
            <w:r w:rsidRPr="00C87E07">
              <w:rPr>
                <w:rFonts w:ascii="Times New Roman" w:hAnsi="Times New Roman"/>
                <w:lang w:val="es-CO"/>
              </w:rPr>
              <w:t>8.3.1. Validar la viabilidad de la implementación de las propuestas de cooperación que surjan de las Ministeriales a través de la JD/AICD, de acuerdo con los fondos disponibles en la SEDI y en la AICD, o a través de modalidades de cooperación triangular.</w:t>
            </w:r>
          </w:p>
        </w:tc>
        <w:tc>
          <w:tcPr>
            <w:tcW w:w="3128" w:type="dxa"/>
            <w:shd w:val="clear" w:color="auto" w:fill="auto"/>
            <w:hideMark/>
          </w:tcPr>
          <w:p w14:paraId="1546ADEB" w14:textId="77777777" w:rsidR="00BA70BC" w:rsidRPr="00C87E07" w:rsidRDefault="00BA70BC" w:rsidP="006E62FA">
            <w:pPr>
              <w:rPr>
                <w:rFonts w:ascii="Times New Roman" w:hAnsi="Times New Roman"/>
                <w:lang w:val="es-CO"/>
              </w:rPr>
            </w:pPr>
            <w:r w:rsidRPr="00C87E07">
              <w:rPr>
                <w:rFonts w:ascii="Times New Roman" w:hAnsi="Times New Roman"/>
                <w:lang w:val="es-CO"/>
              </w:rPr>
              <w:t xml:space="preserve">Nota: Coordinar con el Comité de Políticas en el marco de su Plan de Trabajo relativo a los procesos ministeriales y considerar avances en materia de alianzas multi-actores (acción 6). </w:t>
            </w:r>
          </w:p>
        </w:tc>
        <w:tc>
          <w:tcPr>
            <w:tcW w:w="2416" w:type="dxa"/>
            <w:vMerge/>
            <w:shd w:val="clear" w:color="auto" w:fill="auto"/>
            <w:hideMark/>
          </w:tcPr>
          <w:p w14:paraId="538AD694" w14:textId="77777777" w:rsidR="00BA70BC" w:rsidRPr="00C87E07" w:rsidRDefault="00BA70BC" w:rsidP="006E62FA">
            <w:pPr>
              <w:rPr>
                <w:rFonts w:ascii="Times New Roman" w:hAnsi="Times New Roman"/>
                <w:lang w:val="es-CO"/>
              </w:rPr>
            </w:pPr>
          </w:p>
        </w:tc>
        <w:tc>
          <w:tcPr>
            <w:tcW w:w="2671" w:type="dxa"/>
            <w:vMerge/>
          </w:tcPr>
          <w:p w14:paraId="46903733" w14:textId="77777777" w:rsidR="00BA70BC" w:rsidRPr="00C87E07" w:rsidRDefault="00BA70BC" w:rsidP="006E62FA">
            <w:pPr>
              <w:rPr>
                <w:rFonts w:ascii="Times New Roman" w:hAnsi="Times New Roman"/>
                <w:lang w:val="es-CO"/>
              </w:rPr>
            </w:pPr>
          </w:p>
        </w:tc>
      </w:tr>
      <w:tr w:rsidR="00BA70BC" w:rsidRPr="0071322F" w14:paraId="4E0DF2D5" w14:textId="4691973C" w:rsidTr="00FB5F4F">
        <w:trPr>
          <w:trHeight w:val="1515"/>
        </w:trPr>
        <w:tc>
          <w:tcPr>
            <w:tcW w:w="2202" w:type="dxa"/>
            <w:shd w:val="clear" w:color="auto" w:fill="auto"/>
            <w:hideMark/>
          </w:tcPr>
          <w:p w14:paraId="6D09EFEB" w14:textId="22DB9BE2" w:rsidR="00BA70BC" w:rsidRPr="00C87E07" w:rsidRDefault="00BA70BC" w:rsidP="006E62FA">
            <w:pPr>
              <w:rPr>
                <w:rFonts w:ascii="Times New Roman" w:hAnsi="Times New Roman"/>
                <w:b/>
                <w:bCs/>
                <w:lang w:val="es-CO"/>
              </w:rPr>
            </w:pPr>
            <w:r w:rsidRPr="00C87E07">
              <w:rPr>
                <w:rFonts w:ascii="Times New Roman" w:hAnsi="Times New Roman"/>
                <w:b/>
                <w:bCs/>
                <w:lang w:val="es-CO"/>
              </w:rPr>
              <w:t xml:space="preserve">8.4. </w:t>
            </w:r>
            <w:r w:rsidRPr="00C87E07">
              <w:rPr>
                <w:rFonts w:ascii="Times New Roman" w:hAnsi="Times New Roman"/>
                <w:lang w:val="es-CO"/>
              </w:rPr>
              <w:t>Involucrar a varios actores interesados de diferentes sectores que estén dispuestos y preparados para contribuir a los procesos ministeriales.</w:t>
            </w:r>
          </w:p>
        </w:tc>
        <w:tc>
          <w:tcPr>
            <w:tcW w:w="3343" w:type="dxa"/>
            <w:shd w:val="clear" w:color="auto" w:fill="auto"/>
            <w:hideMark/>
          </w:tcPr>
          <w:p w14:paraId="3145E988" w14:textId="0E042AAD" w:rsidR="00BA70BC" w:rsidRPr="00C87E07" w:rsidRDefault="00BA70BC" w:rsidP="006E62FA">
            <w:pPr>
              <w:rPr>
                <w:rFonts w:ascii="Times New Roman" w:hAnsi="Times New Roman"/>
                <w:lang w:val="es-CO"/>
              </w:rPr>
            </w:pPr>
            <w:r w:rsidRPr="00C87E07">
              <w:rPr>
                <w:rFonts w:ascii="Times New Roman" w:hAnsi="Times New Roman"/>
                <w:lang w:val="es-CO"/>
              </w:rPr>
              <w:t>8.4.1. Promover la participación de diferentes actores en el proceso Ministerial, aumentando las oportunidades de concretar alianzas multi-actores para la cooperación al desarrollo.</w:t>
            </w:r>
          </w:p>
        </w:tc>
        <w:tc>
          <w:tcPr>
            <w:tcW w:w="3128" w:type="dxa"/>
            <w:shd w:val="clear" w:color="auto" w:fill="auto"/>
            <w:hideMark/>
          </w:tcPr>
          <w:p w14:paraId="621CD441" w14:textId="77777777" w:rsidR="00BA70BC" w:rsidRPr="00C87E07" w:rsidRDefault="00BA70BC" w:rsidP="006E62FA">
            <w:pPr>
              <w:rPr>
                <w:rFonts w:ascii="Times New Roman" w:hAnsi="Times New Roman"/>
                <w:lang w:val="es-CO"/>
              </w:rPr>
            </w:pPr>
            <w:r w:rsidRPr="00C87E07">
              <w:rPr>
                <w:rFonts w:ascii="Times New Roman" w:hAnsi="Times New Roman"/>
                <w:lang w:val="es-CO"/>
              </w:rPr>
              <w:t>Nota: Sujeto a avances en materia de alianzas multi-actores (acción 6)</w:t>
            </w:r>
          </w:p>
        </w:tc>
        <w:tc>
          <w:tcPr>
            <w:tcW w:w="2416" w:type="dxa"/>
            <w:vMerge/>
            <w:shd w:val="clear" w:color="auto" w:fill="auto"/>
            <w:hideMark/>
          </w:tcPr>
          <w:p w14:paraId="0707B741" w14:textId="77777777" w:rsidR="00BA70BC" w:rsidRPr="00C87E07" w:rsidRDefault="00BA70BC" w:rsidP="006E62FA">
            <w:pPr>
              <w:rPr>
                <w:rFonts w:ascii="Times New Roman" w:hAnsi="Times New Roman"/>
                <w:lang w:val="es-CO"/>
              </w:rPr>
            </w:pPr>
          </w:p>
        </w:tc>
        <w:tc>
          <w:tcPr>
            <w:tcW w:w="2671" w:type="dxa"/>
            <w:vMerge/>
          </w:tcPr>
          <w:p w14:paraId="5A63A05A" w14:textId="77777777" w:rsidR="00BA70BC" w:rsidRPr="00C87E07" w:rsidRDefault="00BA70BC" w:rsidP="006E62FA">
            <w:pPr>
              <w:rPr>
                <w:rFonts w:ascii="Times New Roman" w:hAnsi="Times New Roman"/>
                <w:lang w:val="es-CO"/>
              </w:rPr>
            </w:pPr>
          </w:p>
        </w:tc>
      </w:tr>
    </w:tbl>
    <w:p w14:paraId="6CDAD562" w14:textId="546ECAF2" w:rsidR="009E08E3" w:rsidRDefault="009E08E3" w:rsidP="00801D6B">
      <w:pPr>
        <w:rPr>
          <w:rFonts w:ascii="Times New Roman" w:hAnsi="Times New Roman"/>
          <w:lang w:val="es-CO"/>
        </w:rPr>
      </w:pPr>
    </w:p>
    <w:p w14:paraId="396C75A3" w14:textId="77777777" w:rsidR="009E08E3" w:rsidRDefault="009E08E3">
      <w:pPr>
        <w:spacing w:after="0" w:line="240" w:lineRule="auto"/>
        <w:rPr>
          <w:rFonts w:ascii="Times New Roman" w:hAnsi="Times New Roman"/>
          <w:lang w:val="es-CO"/>
        </w:rPr>
      </w:pPr>
      <w:r>
        <w:rPr>
          <w:rFonts w:ascii="Times New Roman" w:hAnsi="Times New Roman"/>
          <w:lang w:val="es-CO"/>
        </w:rPr>
        <w:br w:type="page"/>
      </w:r>
    </w:p>
    <w:p w14:paraId="6163063E" w14:textId="28433427" w:rsidR="00D30D4D" w:rsidRPr="00D30D4D" w:rsidRDefault="00D30D4D" w:rsidP="00D30D4D">
      <w:pPr>
        <w:autoSpaceDE w:val="0"/>
        <w:autoSpaceDN w:val="0"/>
        <w:adjustRightInd w:val="0"/>
        <w:spacing w:after="0" w:line="240" w:lineRule="auto"/>
        <w:rPr>
          <w:rFonts w:ascii="Times New Roman" w:eastAsia="MS PGothic" w:hAnsi="Times New Roman"/>
          <w:b/>
          <w:bCs/>
          <w:kern w:val="24"/>
          <w:sz w:val="24"/>
          <w:szCs w:val="24"/>
          <w:lang w:val="es-CO"/>
        </w:rPr>
      </w:pPr>
      <w:r w:rsidRPr="00D30D4D">
        <w:rPr>
          <w:rFonts w:ascii="Times New Roman" w:eastAsia="MS PGothic" w:hAnsi="Times New Roman"/>
          <w:b/>
          <w:bCs/>
          <w:kern w:val="24"/>
          <w:sz w:val="24"/>
          <w:szCs w:val="24"/>
          <w:lang w:val="es-CO"/>
        </w:rPr>
        <w:lastRenderedPageBreak/>
        <w:t>PRÓXIMOS PASOS EN LA IMPLEMENTACIÓN:</w:t>
      </w:r>
    </w:p>
    <w:p w14:paraId="38A3137E" w14:textId="77777777" w:rsidR="00DE33FF" w:rsidRDefault="00DE33FF" w:rsidP="00D30D4D">
      <w:pPr>
        <w:spacing w:after="0" w:line="240" w:lineRule="auto"/>
        <w:rPr>
          <w:rFonts w:ascii="Times New Roman" w:hAnsi="Times New Roman"/>
          <w:lang w:val="es-CO"/>
        </w:rPr>
      </w:pPr>
    </w:p>
    <w:p w14:paraId="340E4343" w14:textId="77777777" w:rsidR="00D30D4D" w:rsidRDefault="00D30D4D" w:rsidP="00D30D4D">
      <w:pPr>
        <w:spacing w:after="0" w:line="240" w:lineRule="auto"/>
        <w:rPr>
          <w:rFonts w:ascii="Times New Roman" w:hAnsi="Times New Roman"/>
          <w:lang w:val="es-CO"/>
        </w:rPr>
      </w:pPr>
    </w:p>
    <w:p w14:paraId="7533812B" w14:textId="71C11503" w:rsidR="00D30D4D" w:rsidRPr="00C87E07" w:rsidRDefault="003D3F19" w:rsidP="00D30D4D">
      <w:pPr>
        <w:spacing w:after="0" w:line="240" w:lineRule="auto"/>
        <w:rPr>
          <w:rFonts w:ascii="Times New Roman" w:hAnsi="Times New Roman"/>
          <w:lang w:val="es-CO"/>
        </w:rPr>
        <w:sectPr w:rsidR="00D30D4D" w:rsidRPr="00C87E07" w:rsidSect="000867CA">
          <w:pgSz w:w="15840" w:h="12240" w:orient="landscape"/>
          <w:pgMar w:top="1080" w:right="1080" w:bottom="990" w:left="990" w:header="450" w:footer="720" w:gutter="0"/>
          <w:pgNumType w:fmt="numberInDash"/>
          <w:cols w:space="720"/>
          <w:docGrid w:linePitch="360"/>
        </w:sectPr>
      </w:pPr>
      <w:r>
        <w:rPr>
          <w:noProof/>
        </w:rPr>
        <w:drawing>
          <wp:inline distT="0" distB="0" distL="0" distR="0" wp14:anchorId="174FF6A0" wp14:editId="0BDE5A06">
            <wp:extent cx="6481267" cy="3415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514814" cy="3432998"/>
                    </a:xfrm>
                    <a:prstGeom prst="rect">
                      <a:avLst/>
                    </a:prstGeom>
                  </pic:spPr>
                </pic:pic>
              </a:graphicData>
            </a:graphic>
          </wp:inline>
        </w:drawing>
      </w:r>
    </w:p>
    <w:p w14:paraId="4D84D6CB" w14:textId="6E9AECA6" w:rsidR="00912B4A" w:rsidRPr="00E36A1A" w:rsidRDefault="00912B4A">
      <w:pPr>
        <w:rPr>
          <w:rFonts w:ascii="Times New Roman" w:hAnsi="Times New Roman"/>
        </w:rPr>
      </w:pPr>
    </w:p>
    <w:p w14:paraId="3A76AE65" w14:textId="613138F8" w:rsidR="00C1313E" w:rsidRDefault="002E544F">
      <w:pPr>
        <w:rPr>
          <w:rFonts w:ascii="Times New Roman" w:hAnsi="Times New Roman"/>
          <w:b/>
          <w:bCs/>
          <w:lang w:val="es-CO"/>
        </w:rPr>
      </w:pPr>
      <w:r w:rsidRPr="00C87E07">
        <w:rPr>
          <w:rFonts w:ascii="Times New Roman" w:hAnsi="Times New Roman"/>
          <w:b/>
          <w:bCs/>
          <w:lang w:val="es-CO"/>
        </w:rPr>
        <w:t xml:space="preserve">PLAN DE TRABAJO DE LA AICD 2020 – 2021: CALENDARIO </w:t>
      </w:r>
      <w:r w:rsidR="008B3950">
        <w:rPr>
          <w:rFonts w:ascii="Times New Roman" w:hAnsi="Times New Roman"/>
          <w:b/>
          <w:bCs/>
          <w:lang w:val="es-CO"/>
        </w:rPr>
        <w:t xml:space="preserve">ACTUALIZADO </w:t>
      </w:r>
      <w:r w:rsidRPr="00C87E07">
        <w:rPr>
          <w:rFonts w:ascii="Times New Roman" w:hAnsi="Times New Roman"/>
          <w:b/>
          <w:bCs/>
          <w:lang w:val="es-CO"/>
        </w:rPr>
        <w:t>DE ACTIVIDADES</w:t>
      </w:r>
    </w:p>
    <w:p w14:paraId="38636DFE" w14:textId="597F7254" w:rsidR="001829E1" w:rsidRDefault="001829E1">
      <w:pPr>
        <w:rPr>
          <w:rFonts w:ascii="Times New Roman" w:hAnsi="Times New Roman"/>
          <w:b/>
          <w:bCs/>
          <w:lang w:val="es-CO"/>
        </w:rPr>
      </w:pPr>
    </w:p>
    <w:p w14:paraId="0951DE2E" w14:textId="633135EE" w:rsidR="001829E1" w:rsidRDefault="00C25551">
      <w:pPr>
        <w:rPr>
          <w:rFonts w:ascii="Times New Roman" w:hAnsi="Times New Roman"/>
          <w:b/>
          <w:bCs/>
          <w:lang w:val="es-CO"/>
        </w:rPr>
      </w:pPr>
      <w:r w:rsidRPr="00C25551">
        <w:rPr>
          <w:noProof/>
        </w:rPr>
        <w:drawing>
          <wp:inline distT="0" distB="0" distL="0" distR="0" wp14:anchorId="1B61E7E7" wp14:editId="626C4EFB">
            <wp:extent cx="8980045" cy="4057650"/>
            <wp:effectExtent l="19050" t="19050" r="12065" b="190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82174" cy="4058612"/>
                    </a:xfrm>
                    <a:prstGeom prst="rect">
                      <a:avLst/>
                    </a:prstGeom>
                    <a:noFill/>
                    <a:ln>
                      <a:solidFill>
                        <a:schemeClr val="bg1">
                          <a:lumMod val="65000"/>
                        </a:schemeClr>
                      </a:solidFill>
                    </a:ln>
                  </pic:spPr>
                </pic:pic>
              </a:graphicData>
            </a:graphic>
          </wp:inline>
        </w:drawing>
      </w:r>
    </w:p>
    <w:p w14:paraId="01B634E6" w14:textId="6C50D5B7" w:rsidR="003B6CAA" w:rsidRDefault="003B6CAA">
      <w:pPr>
        <w:rPr>
          <w:rFonts w:ascii="Times New Roman" w:hAnsi="Times New Roman"/>
          <w:b/>
          <w:bCs/>
          <w:lang w:val="es-CO"/>
        </w:rPr>
      </w:pPr>
    </w:p>
    <w:p w14:paraId="7423C19E" w14:textId="1AC7B938" w:rsidR="003B6CAA" w:rsidRDefault="003B6CAA">
      <w:pPr>
        <w:spacing w:after="0" w:line="240" w:lineRule="auto"/>
        <w:rPr>
          <w:rFonts w:ascii="Times New Roman" w:hAnsi="Times New Roman"/>
          <w:b/>
          <w:bCs/>
          <w:lang w:val="es-CO"/>
        </w:rPr>
      </w:pPr>
      <w:r>
        <w:rPr>
          <w:rFonts w:ascii="Times New Roman" w:hAnsi="Times New Roman"/>
          <w:b/>
          <w:bCs/>
          <w:lang w:val="es-CO"/>
        </w:rPr>
        <w:br w:type="page"/>
      </w:r>
    </w:p>
    <w:p w14:paraId="520F2541" w14:textId="636FD925" w:rsidR="003B6CAA" w:rsidRDefault="00A068AA">
      <w:pPr>
        <w:spacing w:after="0" w:line="240" w:lineRule="auto"/>
        <w:rPr>
          <w:rFonts w:ascii="Times New Roman" w:hAnsi="Times New Roman"/>
          <w:b/>
          <w:bCs/>
          <w:lang w:val="es-CO"/>
        </w:rPr>
      </w:pPr>
      <w:r w:rsidRPr="00A068AA">
        <w:rPr>
          <w:noProof/>
        </w:rPr>
        <w:lastRenderedPageBreak/>
        <w:drawing>
          <wp:inline distT="0" distB="0" distL="0" distR="0" wp14:anchorId="76BF02C6" wp14:editId="691F2BAD">
            <wp:extent cx="8840410" cy="5295900"/>
            <wp:effectExtent l="19050" t="19050" r="18415" b="190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43596" cy="5297809"/>
                    </a:xfrm>
                    <a:prstGeom prst="rect">
                      <a:avLst/>
                    </a:prstGeom>
                    <a:noFill/>
                    <a:ln>
                      <a:solidFill>
                        <a:schemeClr val="bg1">
                          <a:lumMod val="65000"/>
                        </a:schemeClr>
                      </a:solidFill>
                    </a:ln>
                  </pic:spPr>
                </pic:pic>
              </a:graphicData>
            </a:graphic>
          </wp:inline>
        </w:drawing>
      </w:r>
    </w:p>
    <w:p w14:paraId="0112B82F" w14:textId="75B253F2" w:rsidR="003B6CAA" w:rsidRDefault="006674E9">
      <w:pPr>
        <w:rPr>
          <w:rFonts w:ascii="Times New Roman" w:hAnsi="Times New Roman"/>
          <w:b/>
          <w:bCs/>
          <w:lang w:val="es-CO"/>
        </w:rPr>
      </w:pPr>
      <w:r w:rsidRPr="006674E9">
        <w:rPr>
          <w:noProof/>
        </w:rPr>
        <w:lastRenderedPageBreak/>
        <w:drawing>
          <wp:inline distT="0" distB="0" distL="0" distR="0" wp14:anchorId="3B0D7E8F" wp14:editId="5ED83491">
            <wp:extent cx="9042183" cy="3619500"/>
            <wp:effectExtent l="19050" t="19050" r="26035" b="190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048281" cy="3621941"/>
                    </a:xfrm>
                    <a:prstGeom prst="rect">
                      <a:avLst/>
                    </a:prstGeom>
                    <a:noFill/>
                    <a:ln>
                      <a:solidFill>
                        <a:schemeClr val="bg1">
                          <a:lumMod val="65000"/>
                        </a:schemeClr>
                      </a:solidFill>
                    </a:ln>
                  </pic:spPr>
                </pic:pic>
              </a:graphicData>
            </a:graphic>
          </wp:inline>
        </w:drawing>
      </w:r>
    </w:p>
    <w:p w14:paraId="554B529D" w14:textId="439EACA7" w:rsidR="001E1585" w:rsidRDefault="001E1585">
      <w:pPr>
        <w:rPr>
          <w:rFonts w:ascii="Times New Roman" w:hAnsi="Times New Roman"/>
          <w:b/>
          <w:bCs/>
          <w:lang w:val="es-CO"/>
        </w:rPr>
      </w:pPr>
    </w:p>
    <w:p w14:paraId="39526161" w14:textId="68C2654F" w:rsidR="001E1585" w:rsidRDefault="001E1585">
      <w:pPr>
        <w:rPr>
          <w:rFonts w:ascii="Times New Roman" w:hAnsi="Times New Roman"/>
          <w:b/>
          <w:bCs/>
          <w:lang w:val="es-CO"/>
        </w:rPr>
      </w:pPr>
    </w:p>
    <w:p w14:paraId="04B569B6" w14:textId="58A658E4" w:rsidR="001E1585" w:rsidRDefault="001E1585">
      <w:pPr>
        <w:rPr>
          <w:rFonts w:ascii="Times New Roman" w:hAnsi="Times New Roman"/>
          <w:b/>
          <w:bCs/>
          <w:lang w:val="es-CO"/>
        </w:rPr>
      </w:pPr>
    </w:p>
    <w:p w14:paraId="00AD05F6" w14:textId="31B5AD95" w:rsidR="001E1585" w:rsidRDefault="001E1585">
      <w:pPr>
        <w:rPr>
          <w:rFonts w:ascii="Times New Roman" w:hAnsi="Times New Roman"/>
          <w:b/>
          <w:bCs/>
          <w:lang w:val="es-CO"/>
        </w:rPr>
      </w:pPr>
    </w:p>
    <w:p w14:paraId="21D101E0" w14:textId="2E64FB46" w:rsidR="001E1585" w:rsidRDefault="001E1585">
      <w:pPr>
        <w:rPr>
          <w:rFonts w:ascii="Times New Roman" w:hAnsi="Times New Roman"/>
          <w:b/>
          <w:bCs/>
          <w:lang w:val="es-CO"/>
        </w:rPr>
      </w:pPr>
    </w:p>
    <w:p w14:paraId="73087C27" w14:textId="0619F404" w:rsidR="001E1585" w:rsidRDefault="001E1585">
      <w:pPr>
        <w:rPr>
          <w:rFonts w:ascii="Times New Roman" w:hAnsi="Times New Roman"/>
          <w:b/>
          <w:bCs/>
          <w:lang w:val="es-CO"/>
        </w:rPr>
      </w:pPr>
    </w:p>
    <w:p w14:paraId="2CB2EC23" w14:textId="701C95F8" w:rsidR="001E1585" w:rsidRDefault="001E1585">
      <w:pPr>
        <w:rPr>
          <w:rFonts w:ascii="Times New Roman" w:hAnsi="Times New Roman"/>
          <w:b/>
          <w:bCs/>
          <w:lang w:val="es-CO"/>
        </w:rPr>
      </w:pPr>
    </w:p>
    <w:p w14:paraId="13B24D52" w14:textId="1B2BA1F5" w:rsidR="001E1585" w:rsidRPr="008B3950" w:rsidRDefault="001E1585">
      <w:pPr>
        <w:rPr>
          <w:rFonts w:ascii="Times New Roman" w:hAnsi="Times New Roman"/>
          <w:b/>
          <w:bCs/>
          <w:lang w:val="es-CO"/>
        </w:rPr>
      </w:pPr>
      <w:r w:rsidRPr="001E1585">
        <w:rPr>
          <w:rFonts w:ascii="Times New Roman" w:eastAsia="SimSun" w:hAnsi="Times New Roman"/>
          <w:noProof/>
          <w:sz w:val="24"/>
          <w:szCs w:val="24"/>
        </w:rPr>
        <mc:AlternateContent>
          <mc:Choice Requires="wps">
            <w:drawing>
              <wp:anchor distT="0" distB="0" distL="114300" distR="114300" simplePos="0" relativeHeight="251659264" behindDoc="0" locked="1" layoutInCell="1" allowOverlap="1" wp14:anchorId="73F0E4C8" wp14:editId="7B85B002">
                <wp:simplePos x="0" y="0"/>
                <wp:positionH relativeFrom="column">
                  <wp:posOffset>0</wp:posOffset>
                </wp:positionH>
                <wp:positionV relativeFrom="page">
                  <wp:posOffset>6553835</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3E6286B" w14:textId="77D44957" w:rsidR="001E1585" w:rsidRPr="00C3135A" w:rsidRDefault="001E1585" w:rsidP="001E1585">
                            <w:pPr>
                              <w:rPr>
                                <w:sz w:val="18"/>
                              </w:rPr>
                            </w:pPr>
                            <w:r>
                              <w:rPr>
                                <w:sz w:val="18"/>
                              </w:rPr>
                              <w:fldChar w:fldCharType="begin"/>
                            </w:r>
                            <w:r>
                              <w:rPr>
                                <w:sz w:val="18"/>
                              </w:rPr>
                              <w:instrText xml:space="preserve"> FILENAME  \* MERGEFORMAT </w:instrText>
                            </w:r>
                            <w:r>
                              <w:rPr>
                                <w:sz w:val="18"/>
                              </w:rPr>
                              <w:fldChar w:fldCharType="separate"/>
                            </w:r>
                            <w:r>
                              <w:rPr>
                                <w:noProof/>
                                <w:sz w:val="18"/>
                              </w:rPr>
                              <w:t>CIDRP03152S01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F0E4C8" id="_x0000_t202" coordsize="21600,21600" o:spt="202" path="m,l,21600r21600,l21600,xe">
                <v:stroke joinstyle="miter"/>
                <v:path gradientshapeok="t" o:connecttype="rect"/>
              </v:shapetype>
              <v:shape id="Text Box 2" o:spid="_x0000_s1026" type="#_x0000_t202" style="position:absolute;margin-left:0;margin-top:516.05pt;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" filled="f" stroked="f">
                <v:stroke joinstyle="round"/>
                <v:path arrowok="t"/>
                <v:textbox>
                  <w:txbxContent>
                    <w:p w14:paraId="13E6286B" w14:textId="77D44957" w:rsidR="001E1585" w:rsidRPr="00C3135A" w:rsidRDefault="001E1585" w:rsidP="001E1585">
                      <w:pPr>
                        <w:rPr>
                          <w:sz w:val="18"/>
                        </w:rPr>
                      </w:pPr>
                      <w:r>
                        <w:rPr>
                          <w:sz w:val="18"/>
                        </w:rPr>
                        <w:fldChar w:fldCharType="begin"/>
                      </w:r>
                      <w:r>
                        <w:rPr>
                          <w:sz w:val="18"/>
                        </w:rPr>
                        <w:instrText xml:space="preserve"> FILENAME  \* MERGEFORMAT </w:instrText>
                      </w:r>
                      <w:r>
                        <w:rPr>
                          <w:sz w:val="18"/>
                        </w:rPr>
                        <w:fldChar w:fldCharType="separate"/>
                      </w:r>
                      <w:r>
                        <w:rPr>
                          <w:noProof/>
                          <w:sz w:val="18"/>
                        </w:rPr>
                        <w:t>CIDRP03152S01</w:t>
                      </w:r>
                      <w:r>
                        <w:rPr>
                          <w:sz w:val="18"/>
                        </w:rPr>
                        <w:fldChar w:fldCharType="end"/>
                      </w:r>
                    </w:p>
                  </w:txbxContent>
                </v:textbox>
                <w10:wrap anchory="page"/>
                <w10:anchorlock/>
              </v:shape>
            </w:pict>
          </mc:Fallback>
        </mc:AlternateContent>
      </w:r>
    </w:p>
    <w:sectPr w:rsidR="001E1585" w:rsidRPr="008B3950" w:rsidSect="0047084E">
      <w:headerReference w:type="first" r:id="rId14"/>
      <w:pgSz w:w="15840" w:h="12240" w:orient="landscape"/>
      <w:pgMar w:top="1080" w:right="1080" w:bottom="1080" w:left="990" w:header="45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FDF423" w14:textId="77777777" w:rsidR="00C92117" w:rsidRDefault="00C92117" w:rsidP="004F3FF4">
      <w:r>
        <w:separator/>
      </w:r>
    </w:p>
  </w:endnote>
  <w:endnote w:type="continuationSeparator" w:id="0">
    <w:p w14:paraId="6CC293D0" w14:textId="77777777" w:rsidR="00C92117" w:rsidRDefault="00C92117" w:rsidP="004F3FF4">
      <w:r>
        <w:continuationSeparator/>
      </w:r>
    </w:p>
  </w:endnote>
  <w:endnote w:type="continuationNotice" w:id="1">
    <w:p w14:paraId="40A94DA4" w14:textId="77777777" w:rsidR="00C92117" w:rsidRDefault="00C921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D7B4BE" w14:textId="77777777" w:rsidR="00C92117" w:rsidRDefault="00C92117" w:rsidP="004F3FF4">
      <w:r>
        <w:separator/>
      </w:r>
    </w:p>
  </w:footnote>
  <w:footnote w:type="continuationSeparator" w:id="0">
    <w:p w14:paraId="49E4EAB9" w14:textId="77777777" w:rsidR="00C92117" w:rsidRDefault="00C92117" w:rsidP="004F3FF4">
      <w:r>
        <w:continuationSeparator/>
      </w:r>
    </w:p>
  </w:footnote>
  <w:footnote w:type="continuationNotice" w:id="1">
    <w:p w14:paraId="1BD94AFD" w14:textId="77777777" w:rsidR="00C92117" w:rsidRDefault="00C9211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7672722"/>
      <w:docPartObj>
        <w:docPartGallery w:val="Page Numbers (Top of Page)"/>
        <w:docPartUnique/>
      </w:docPartObj>
    </w:sdtPr>
    <w:sdtEndPr>
      <w:rPr>
        <w:noProof/>
      </w:rPr>
    </w:sdtEndPr>
    <w:sdtContent>
      <w:p w14:paraId="4984B5D0" w14:textId="1D2ED554" w:rsidR="00FA2D08" w:rsidRDefault="00FA2D08">
        <w:pPr>
          <w:pStyle w:val="Header"/>
          <w:jc w:val="center"/>
        </w:pPr>
        <w:r>
          <w:fldChar w:fldCharType="begin"/>
        </w:r>
        <w:r>
          <w:instrText xml:space="preserve"> PAGE   \* MERGEFORMAT </w:instrText>
        </w:r>
        <w:r>
          <w:fldChar w:fldCharType="separate"/>
        </w:r>
        <w:r w:rsidR="0071322F">
          <w:rPr>
            <w:noProof/>
          </w:rPr>
          <w:t>- 20 -</w:t>
        </w:r>
        <w:r>
          <w:rPr>
            <w:noProof/>
          </w:rPr>
          <w:fldChar w:fldCharType="end"/>
        </w:r>
      </w:p>
    </w:sdtContent>
  </w:sdt>
  <w:p w14:paraId="033FC3C8" w14:textId="77777777" w:rsidR="00FA2D08" w:rsidRDefault="00FA2D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9E492" w14:textId="77777777" w:rsidR="00FA2D08" w:rsidRDefault="00FA2D08" w:rsidP="003D3F19">
    <w:pPr>
      <w:spacing w:after="0" w:line="240" w:lineRule="auto"/>
      <w:ind w:left="187"/>
      <w:rPr>
        <w:rFonts w:ascii="Times New Roman" w:hAnsi="Times New Roman"/>
        <w:b/>
        <w:noProof/>
        <w:lang w:val="es-ES"/>
      </w:rPr>
    </w:pPr>
  </w:p>
  <w:p w14:paraId="20E2B385" w14:textId="5D2779F2" w:rsidR="00FA2D08" w:rsidRPr="00A244A5" w:rsidRDefault="00FA2D08" w:rsidP="003D3F19">
    <w:pPr>
      <w:spacing w:after="0" w:line="240" w:lineRule="auto"/>
      <w:ind w:left="187"/>
      <w:rPr>
        <w:rFonts w:ascii="Times New Roman" w:hAnsi="Times New Roman"/>
        <w:b/>
        <w:noProof/>
        <w:lang w:val="es-CO"/>
      </w:rPr>
    </w:pPr>
    <w:r w:rsidRPr="00417138">
      <w:rPr>
        <w:rFonts w:ascii="Times New Roman" w:hAnsi="Times New Roman"/>
        <w:b/>
        <w:noProof/>
        <w:lang w:val="es-ES"/>
      </w:rPr>
      <w:t>Agencia Interamericana para la Cooperación y el Desarrollo</w:t>
    </w:r>
    <w:r w:rsidRPr="00417138">
      <w:rPr>
        <w:rFonts w:ascii="Times New Roman" w:hAnsi="Times New Roman"/>
        <w:b/>
        <w:noProof/>
        <w:lang w:val="es-ES"/>
      </w:rPr>
      <w:tab/>
    </w:r>
    <w:r w:rsidRPr="00417138">
      <w:rPr>
        <w:rFonts w:ascii="Times New Roman" w:hAnsi="Times New Roman"/>
        <w:b/>
        <w:noProof/>
        <w:lang w:val="es-ES"/>
      </w:rPr>
      <w:tab/>
    </w:r>
    <w:r>
      <w:rPr>
        <w:rFonts w:ascii="Times New Roman" w:hAnsi="Times New Roman"/>
        <w:b/>
        <w:noProof/>
        <w:lang w:val="es-ES"/>
      </w:rPr>
      <w:t xml:space="preserve"> </w:t>
    </w:r>
    <w:r w:rsidRPr="00417138">
      <w:rPr>
        <w:rFonts w:ascii="Times New Roman" w:hAnsi="Times New Roman"/>
        <w:lang w:val="es-ES"/>
      </w:rPr>
      <w:t xml:space="preserve">OEA/SER. </w:t>
    </w:r>
    <w:r w:rsidRPr="00A244A5">
      <w:rPr>
        <w:rFonts w:ascii="Times New Roman" w:hAnsi="Times New Roman"/>
        <w:lang w:val="es-CO"/>
      </w:rPr>
      <w:t>W</w:t>
    </w:r>
  </w:p>
  <w:p w14:paraId="340DC02C" w14:textId="4CB2C161" w:rsidR="00FA2D08" w:rsidRPr="00417138" w:rsidRDefault="00FA2D08" w:rsidP="003D3F19">
    <w:pPr>
      <w:spacing w:after="0" w:line="240" w:lineRule="auto"/>
      <w:ind w:left="187"/>
      <w:rPr>
        <w:rFonts w:ascii="Times New Roman" w:hAnsi="Times New Roman"/>
        <w:b/>
        <w:lang w:val="es-ES"/>
      </w:rPr>
    </w:pPr>
    <w:r w:rsidRPr="00417138">
      <w:rPr>
        <w:rFonts w:ascii="Times New Roman" w:hAnsi="Times New Roman"/>
        <w:b/>
        <w:noProof/>
        <w:lang w:val="es-ES"/>
      </w:rPr>
      <w:t>Reunión de la Junta Directiva (</w:t>
    </w:r>
    <w:r>
      <w:rPr>
        <w:rFonts w:ascii="Times New Roman" w:hAnsi="Times New Roman"/>
        <w:b/>
        <w:noProof/>
        <w:lang w:val="es-ES"/>
      </w:rPr>
      <w:t>JD/</w:t>
    </w:r>
    <w:r w:rsidRPr="00417138">
      <w:rPr>
        <w:rFonts w:ascii="Times New Roman" w:hAnsi="Times New Roman"/>
        <w:b/>
        <w:noProof/>
        <w:lang w:val="es-ES"/>
      </w:rPr>
      <w:t>AICD)</w:t>
    </w:r>
    <w:r>
      <w:rPr>
        <w:rFonts w:ascii="Times New Roman" w:hAnsi="Times New Roman"/>
        <w:b/>
        <w:noProof/>
        <w:lang w:val="es-ES"/>
      </w:rPr>
      <w:tab/>
    </w:r>
    <w:r>
      <w:rPr>
        <w:rFonts w:ascii="Times New Roman" w:hAnsi="Times New Roman"/>
        <w:b/>
        <w:noProof/>
        <w:lang w:val="es-ES"/>
      </w:rPr>
      <w:tab/>
      <w:t xml:space="preserve">   </w:t>
    </w:r>
    <w:r w:rsidRPr="00417138">
      <w:rPr>
        <w:rFonts w:ascii="Times New Roman" w:hAnsi="Times New Roman"/>
        <w:b/>
        <w:bCs/>
        <w:lang w:val="es-ES"/>
      </w:rPr>
      <w:tab/>
    </w:r>
    <w:r w:rsidRPr="00417138">
      <w:rPr>
        <w:rFonts w:ascii="Times New Roman" w:hAnsi="Times New Roman"/>
        <w:b/>
        <w:bCs/>
        <w:lang w:val="es-ES"/>
      </w:rPr>
      <w:tab/>
    </w:r>
    <w:r>
      <w:rPr>
        <w:rFonts w:ascii="Times New Roman" w:hAnsi="Times New Roman"/>
        <w:b/>
        <w:bCs/>
        <w:lang w:val="es-ES"/>
      </w:rPr>
      <w:tab/>
      <w:t xml:space="preserve"> </w:t>
    </w:r>
    <w:r w:rsidRPr="006E62FA">
      <w:rPr>
        <w:rFonts w:ascii="Times New Roman" w:hAnsi="Times New Roman"/>
        <w:bCs/>
        <w:lang w:val="es-ES"/>
      </w:rPr>
      <w:t>AICD</w:t>
    </w:r>
    <w:r w:rsidRPr="006E62FA">
      <w:rPr>
        <w:rFonts w:ascii="Times New Roman" w:hAnsi="Times New Roman"/>
        <w:lang w:val="es-ES"/>
      </w:rPr>
      <w:t>/JD</w:t>
    </w:r>
    <w:r w:rsidRPr="00417138">
      <w:rPr>
        <w:rFonts w:ascii="Times New Roman" w:hAnsi="Times New Roman"/>
        <w:lang w:val="es-ES"/>
      </w:rPr>
      <w:t>/doc.</w:t>
    </w:r>
    <w:r w:rsidR="00B9341E">
      <w:rPr>
        <w:rFonts w:ascii="Times New Roman" w:hAnsi="Times New Roman"/>
        <w:lang w:val="es-ES"/>
      </w:rPr>
      <w:t>187</w:t>
    </w:r>
    <w:r>
      <w:rPr>
        <w:rFonts w:ascii="Times New Roman" w:hAnsi="Times New Roman"/>
        <w:lang w:val="es-ES"/>
      </w:rPr>
      <w:t>/2</w:t>
    </w:r>
    <w:r w:rsidR="00FD42B5">
      <w:rPr>
        <w:rFonts w:ascii="Times New Roman" w:hAnsi="Times New Roman"/>
        <w:lang w:val="es-ES"/>
      </w:rPr>
      <w:t>1</w:t>
    </w:r>
  </w:p>
  <w:p w14:paraId="0E921D12" w14:textId="402A5EDC" w:rsidR="00FA2D08" w:rsidRPr="00E942FF" w:rsidRDefault="00FA2D08" w:rsidP="003D3F19">
    <w:pPr>
      <w:spacing w:after="0" w:line="240" w:lineRule="auto"/>
      <w:ind w:left="187"/>
      <w:rPr>
        <w:rFonts w:ascii="Times New Roman" w:hAnsi="Times New Roman"/>
        <w:bCs/>
        <w:noProof/>
      </w:rPr>
    </w:pPr>
    <w:r w:rsidRPr="00417138">
      <w:rPr>
        <w:rFonts w:ascii="Times New Roman" w:hAnsi="Times New Roman"/>
        <w:b/>
        <w:noProof/>
        <w:lang w:val="es-ES"/>
      </w:rPr>
      <w:tab/>
    </w:r>
    <w:r w:rsidRPr="00417138">
      <w:rPr>
        <w:rFonts w:ascii="Times New Roman" w:hAnsi="Times New Roman"/>
        <w:b/>
        <w:noProof/>
        <w:lang w:val="es-ES"/>
      </w:rPr>
      <w:tab/>
    </w:r>
    <w:r w:rsidRPr="00417138">
      <w:rPr>
        <w:rFonts w:ascii="Times New Roman" w:hAnsi="Times New Roman"/>
        <w:b/>
        <w:noProof/>
        <w:lang w:val="es-ES"/>
      </w:rPr>
      <w:tab/>
    </w:r>
    <w:r w:rsidRPr="00417138">
      <w:rPr>
        <w:rFonts w:ascii="Times New Roman" w:hAnsi="Times New Roman"/>
        <w:b/>
        <w:noProof/>
        <w:lang w:val="es-ES"/>
      </w:rPr>
      <w:tab/>
    </w:r>
    <w:r w:rsidRPr="00417138">
      <w:rPr>
        <w:rFonts w:ascii="Times New Roman" w:hAnsi="Times New Roman"/>
        <w:b/>
        <w:noProof/>
        <w:lang w:val="es-ES"/>
      </w:rPr>
      <w:tab/>
    </w:r>
    <w:r w:rsidRPr="00417138">
      <w:rPr>
        <w:rFonts w:ascii="Times New Roman" w:hAnsi="Times New Roman"/>
        <w:b/>
        <w:noProof/>
        <w:lang w:val="es-ES"/>
      </w:rPr>
      <w:tab/>
    </w:r>
    <w:r w:rsidRPr="00417138">
      <w:rPr>
        <w:rFonts w:ascii="Times New Roman" w:hAnsi="Times New Roman"/>
        <w:b/>
        <w:noProof/>
        <w:lang w:val="es-ES"/>
      </w:rPr>
      <w:tab/>
    </w:r>
    <w:r w:rsidRPr="00417138">
      <w:rPr>
        <w:rFonts w:ascii="Times New Roman" w:hAnsi="Times New Roman"/>
        <w:b/>
        <w:noProof/>
        <w:lang w:val="es-ES"/>
      </w:rPr>
      <w:tab/>
    </w:r>
    <w:r w:rsidRPr="00417138">
      <w:rPr>
        <w:rFonts w:ascii="Times New Roman" w:hAnsi="Times New Roman"/>
        <w:b/>
        <w:noProof/>
        <w:lang w:val="es-ES"/>
      </w:rPr>
      <w:tab/>
    </w:r>
    <w:r w:rsidRPr="00417138">
      <w:rPr>
        <w:rFonts w:ascii="Times New Roman" w:hAnsi="Times New Roman"/>
        <w:b/>
        <w:noProof/>
        <w:lang w:val="es-ES"/>
      </w:rPr>
      <w:tab/>
    </w:r>
    <w:r w:rsidRPr="00FD42B5">
      <w:rPr>
        <w:rFonts w:ascii="Times New Roman" w:hAnsi="Times New Roman"/>
        <w:bCs/>
        <w:noProof/>
        <w:lang w:val="es-ES"/>
      </w:rPr>
      <w:t xml:space="preserve"> </w:t>
    </w:r>
    <w:r w:rsidR="00B9341E">
      <w:rPr>
        <w:rFonts w:ascii="Times New Roman" w:hAnsi="Times New Roman"/>
        <w:bCs/>
        <w:noProof/>
        <w:lang w:val="es-ES"/>
      </w:rPr>
      <w:t xml:space="preserve">8 </w:t>
    </w:r>
    <w:r w:rsidR="00FD42B5" w:rsidRPr="00FD42B5">
      <w:rPr>
        <w:rFonts w:ascii="Times New Roman" w:hAnsi="Times New Roman"/>
        <w:bCs/>
        <w:noProof/>
        <w:lang w:val="es-ES"/>
      </w:rPr>
      <w:t>abril</w:t>
    </w:r>
    <w:r>
      <w:rPr>
        <w:rFonts w:ascii="Times New Roman" w:hAnsi="Times New Roman"/>
        <w:noProof/>
        <w:lang w:val="es-ES"/>
      </w:rPr>
      <w:t xml:space="preserve"> 202</w:t>
    </w:r>
    <w:r w:rsidR="00FD42B5">
      <w:rPr>
        <w:rFonts w:ascii="Times New Roman" w:hAnsi="Times New Roman"/>
        <w:noProof/>
        <w:lang w:val="es-ES"/>
      </w:rPr>
      <w:t>1</w:t>
    </w:r>
  </w:p>
  <w:p w14:paraId="16720126" w14:textId="79265DC8" w:rsidR="00FA2D08" w:rsidRDefault="00FA2D08" w:rsidP="003D3F19">
    <w:pPr>
      <w:pBdr>
        <w:bottom w:val="single" w:sz="12" w:space="1" w:color="auto"/>
      </w:pBdr>
      <w:spacing w:after="0" w:line="240" w:lineRule="auto"/>
      <w:ind w:left="187"/>
      <w:rPr>
        <w:rFonts w:ascii="Times New Roman" w:hAnsi="Times New Roman"/>
        <w:noProof/>
      </w:rPr>
    </w:pPr>
    <w:r w:rsidRPr="00E942FF">
      <w:rPr>
        <w:rFonts w:ascii="Times New Roman" w:hAnsi="Times New Roman"/>
        <w:noProof/>
      </w:rPr>
      <w:tab/>
    </w:r>
    <w:r w:rsidRPr="00E942FF">
      <w:rPr>
        <w:rFonts w:ascii="Times New Roman" w:hAnsi="Times New Roman"/>
        <w:noProof/>
      </w:rPr>
      <w:tab/>
    </w:r>
    <w:r w:rsidRPr="00E942FF">
      <w:rPr>
        <w:rFonts w:ascii="Times New Roman" w:hAnsi="Times New Roman"/>
        <w:noProof/>
      </w:rPr>
      <w:tab/>
    </w:r>
    <w:r w:rsidRPr="00E942FF">
      <w:rPr>
        <w:rFonts w:ascii="Times New Roman" w:hAnsi="Times New Roman"/>
        <w:noProof/>
      </w:rPr>
      <w:tab/>
    </w:r>
    <w:r w:rsidRPr="00E942FF">
      <w:rPr>
        <w:rFonts w:ascii="Times New Roman" w:hAnsi="Times New Roman"/>
        <w:noProof/>
      </w:rPr>
      <w:tab/>
    </w:r>
    <w:r w:rsidRPr="00E942FF">
      <w:rPr>
        <w:rFonts w:ascii="Times New Roman" w:hAnsi="Times New Roman"/>
        <w:noProof/>
      </w:rPr>
      <w:tab/>
    </w:r>
    <w:r w:rsidRPr="00E942FF">
      <w:rPr>
        <w:rFonts w:ascii="Times New Roman" w:hAnsi="Times New Roman"/>
        <w:noProof/>
      </w:rPr>
      <w:tab/>
    </w:r>
    <w:r w:rsidRPr="00E942FF">
      <w:rPr>
        <w:rFonts w:ascii="Times New Roman" w:hAnsi="Times New Roman"/>
        <w:noProof/>
      </w:rPr>
      <w:tab/>
    </w:r>
    <w:r w:rsidRPr="00E942FF">
      <w:rPr>
        <w:rFonts w:ascii="Times New Roman" w:hAnsi="Times New Roman"/>
        <w:noProof/>
      </w:rPr>
      <w:tab/>
    </w:r>
    <w:r w:rsidRPr="00E942FF">
      <w:rPr>
        <w:rFonts w:ascii="Times New Roman" w:hAnsi="Times New Roman"/>
        <w:noProof/>
      </w:rPr>
      <w:tab/>
    </w:r>
    <w:r>
      <w:rPr>
        <w:rFonts w:ascii="Times New Roman" w:hAnsi="Times New Roman"/>
        <w:noProof/>
      </w:rPr>
      <w:t xml:space="preserve"> </w:t>
    </w:r>
    <w:r w:rsidRPr="00E942FF">
      <w:rPr>
        <w:rFonts w:ascii="Times New Roman" w:hAnsi="Times New Roman"/>
        <w:noProof/>
      </w:rPr>
      <w:t xml:space="preserve">Original: </w:t>
    </w:r>
    <w:r w:rsidR="00FD42B5">
      <w:rPr>
        <w:rFonts w:ascii="Times New Roman" w:hAnsi="Times New Roman"/>
        <w:noProof/>
      </w:rPr>
      <w:t>inglés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F40DF" w14:textId="210A9670" w:rsidR="00FA2D08" w:rsidRPr="00FB5F4F" w:rsidRDefault="00FA2D08" w:rsidP="00FB5F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97685"/>
    <w:multiLevelType w:val="hybridMultilevel"/>
    <w:tmpl w:val="50B00448"/>
    <w:lvl w:ilvl="0" w:tplc="7B5CDA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501BA"/>
    <w:multiLevelType w:val="hybridMultilevel"/>
    <w:tmpl w:val="ED66FBC6"/>
    <w:lvl w:ilvl="0" w:tplc="6C8CC9A8">
      <w:start w:val="1"/>
      <w:numFmt w:val="bullet"/>
      <w:lvlText w:val=""/>
      <w:lvlJc w:val="left"/>
      <w:pPr>
        <w:tabs>
          <w:tab w:val="num" w:pos="720"/>
        </w:tabs>
        <w:ind w:left="720" w:hanging="360"/>
      </w:pPr>
      <w:rPr>
        <w:rFonts w:ascii="Wingdings" w:hAnsi="Wingdings" w:hint="default"/>
      </w:rPr>
    </w:lvl>
    <w:lvl w:ilvl="1" w:tplc="D8CED180" w:tentative="1">
      <w:start w:val="1"/>
      <w:numFmt w:val="bullet"/>
      <w:lvlText w:val=""/>
      <w:lvlJc w:val="left"/>
      <w:pPr>
        <w:tabs>
          <w:tab w:val="num" w:pos="1440"/>
        </w:tabs>
        <w:ind w:left="1440" w:hanging="360"/>
      </w:pPr>
      <w:rPr>
        <w:rFonts w:ascii="Wingdings" w:hAnsi="Wingdings" w:hint="default"/>
      </w:rPr>
    </w:lvl>
    <w:lvl w:ilvl="2" w:tplc="A922F186" w:tentative="1">
      <w:start w:val="1"/>
      <w:numFmt w:val="bullet"/>
      <w:lvlText w:val=""/>
      <w:lvlJc w:val="left"/>
      <w:pPr>
        <w:tabs>
          <w:tab w:val="num" w:pos="2160"/>
        </w:tabs>
        <w:ind w:left="2160" w:hanging="360"/>
      </w:pPr>
      <w:rPr>
        <w:rFonts w:ascii="Wingdings" w:hAnsi="Wingdings" w:hint="default"/>
      </w:rPr>
    </w:lvl>
    <w:lvl w:ilvl="3" w:tplc="3128108E" w:tentative="1">
      <w:start w:val="1"/>
      <w:numFmt w:val="bullet"/>
      <w:lvlText w:val=""/>
      <w:lvlJc w:val="left"/>
      <w:pPr>
        <w:tabs>
          <w:tab w:val="num" w:pos="2880"/>
        </w:tabs>
        <w:ind w:left="2880" w:hanging="360"/>
      </w:pPr>
      <w:rPr>
        <w:rFonts w:ascii="Wingdings" w:hAnsi="Wingdings" w:hint="default"/>
      </w:rPr>
    </w:lvl>
    <w:lvl w:ilvl="4" w:tplc="7EDC48D6" w:tentative="1">
      <w:start w:val="1"/>
      <w:numFmt w:val="bullet"/>
      <w:lvlText w:val=""/>
      <w:lvlJc w:val="left"/>
      <w:pPr>
        <w:tabs>
          <w:tab w:val="num" w:pos="3600"/>
        </w:tabs>
        <w:ind w:left="3600" w:hanging="360"/>
      </w:pPr>
      <w:rPr>
        <w:rFonts w:ascii="Wingdings" w:hAnsi="Wingdings" w:hint="default"/>
      </w:rPr>
    </w:lvl>
    <w:lvl w:ilvl="5" w:tplc="C93EE16A" w:tentative="1">
      <w:start w:val="1"/>
      <w:numFmt w:val="bullet"/>
      <w:lvlText w:val=""/>
      <w:lvlJc w:val="left"/>
      <w:pPr>
        <w:tabs>
          <w:tab w:val="num" w:pos="4320"/>
        </w:tabs>
        <w:ind w:left="4320" w:hanging="360"/>
      </w:pPr>
      <w:rPr>
        <w:rFonts w:ascii="Wingdings" w:hAnsi="Wingdings" w:hint="default"/>
      </w:rPr>
    </w:lvl>
    <w:lvl w:ilvl="6" w:tplc="5102326A" w:tentative="1">
      <w:start w:val="1"/>
      <w:numFmt w:val="bullet"/>
      <w:lvlText w:val=""/>
      <w:lvlJc w:val="left"/>
      <w:pPr>
        <w:tabs>
          <w:tab w:val="num" w:pos="5040"/>
        </w:tabs>
        <w:ind w:left="5040" w:hanging="360"/>
      </w:pPr>
      <w:rPr>
        <w:rFonts w:ascii="Wingdings" w:hAnsi="Wingdings" w:hint="default"/>
      </w:rPr>
    </w:lvl>
    <w:lvl w:ilvl="7" w:tplc="60D41692" w:tentative="1">
      <w:start w:val="1"/>
      <w:numFmt w:val="bullet"/>
      <w:lvlText w:val=""/>
      <w:lvlJc w:val="left"/>
      <w:pPr>
        <w:tabs>
          <w:tab w:val="num" w:pos="5760"/>
        </w:tabs>
        <w:ind w:left="5760" w:hanging="360"/>
      </w:pPr>
      <w:rPr>
        <w:rFonts w:ascii="Wingdings" w:hAnsi="Wingdings" w:hint="default"/>
      </w:rPr>
    </w:lvl>
    <w:lvl w:ilvl="8" w:tplc="285CB60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9179A"/>
    <w:multiLevelType w:val="multilevel"/>
    <w:tmpl w:val="1882A11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BF676C"/>
    <w:multiLevelType w:val="hybridMultilevel"/>
    <w:tmpl w:val="297E162A"/>
    <w:lvl w:ilvl="0" w:tplc="929ABE26">
      <w:start w:val="1"/>
      <w:numFmt w:val="decimal"/>
      <w:lvlText w:val="%1."/>
      <w:lvlJc w:val="left"/>
      <w:pPr>
        <w:ind w:left="990" w:hanging="360"/>
      </w:pPr>
      <w:rPr>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0A8A7ED6"/>
    <w:multiLevelType w:val="multilevel"/>
    <w:tmpl w:val="1882A11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D02A45"/>
    <w:multiLevelType w:val="hybridMultilevel"/>
    <w:tmpl w:val="CBC617C6"/>
    <w:lvl w:ilvl="0" w:tplc="E27EBFE2">
      <w:numFmt w:val="bullet"/>
      <w:lvlText w:val="-"/>
      <w:lvlJc w:val="left"/>
      <w:pPr>
        <w:ind w:left="730" w:hanging="360"/>
      </w:pPr>
      <w:rPr>
        <w:rFonts w:ascii="Calibri" w:eastAsia="Times New Roman" w:hAnsi="Calibri" w:cs="Times New Roman"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6" w15:restartNumberingAfterBreak="0">
    <w:nsid w:val="1BAD75B6"/>
    <w:multiLevelType w:val="hybridMultilevel"/>
    <w:tmpl w:val="297E162A"/>
    <w:lvl w:ilvl="0" w:tplc="929ABE2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F523E2"/>
    <w:multiLevelType w:val="multilevel"/>
    <w:tmpl w:val="5810EE06"/>
    <w:lvl w:ilvl="0">
      <w:start w:val="1"/>
      <w:numFmt w:val="decimal"/>
      <w:lvlText w:val="%1."/>
      <w:lvlJc w:val="left"/>
      <w:pPr>
        <w:ind w:left="360" w:hanging="360"/>
      </w:pPr>
      <w:rPr>
        <w:rFonts w:hint="default"/>
        <w:vanish w:val="0"/>
      </w:rPr>
    </w:lvl>
    <w:lvl w:ilvl="1">
      <w:start w:val="1"/>
      <w:numFmt w:val="decimal"/>
      <w:lvlRestart w:val="0"/>
      <w:lvlText w:val="2.%2."/>
      <w:lvlJc w:val="left"/>
      <w:pPr>
        <w:ind w:left="684" w:hanging="432"/>
      </w:pPr>
      <w:rPr>
        <w:rFonts w:hint="default"/>
        <w:b/>
        <w:bCs/>
        <w:vanish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4505C7B"/>
    <w:multiLevelType w:val="hybridMultilevel"/>
    <w:tmpl w:val="297E162A"/>
    <w:lvl w:ilvl="0" w:tplc="929ABE26">
      <w:start w:val="1"/>
      <w:numFmt w:val="decimal"/>
      <w:lvlText w:val="%1."/>
      <w:lvlJc w:val="left"/>
      <w:pPr>
        <w:ind w:left="990" w:hanging="360"/>
      </w:pPr>
      <w:rPr>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28336DE3"/>
    <w:multiLevelType w:val="multilevel"/>
    <w:tmpl w:val="F738D874"/>
    <w:lvl w:ilvl="0">
      <w:start w:val="1"/>
      <w:numFmt w:val="decimal"/>
      <w:lvlText w:val="%1."/>
      <w:lvlJc w:val="left"/>
      <w:pPr>
        <w:ind w:left="540" w:hanging="360"/>
      </w:pPr>
      <w:rPr>
        <w:rFonts w:hint="default"/>
        <w:vanish w:val="0"/>
      </w:rPr>
    </w:lvl>
    <w:lvl w:ilvl="1">
      <w:start w:val="1"/>
      <w:numFmt w:val="decimal"/>
      <w:lvlRestart w:val="0"/>
      <w:lvlText w:val="5.%2."/>
      <w:lvlJc w:val="left"/>
      <w:pPr>
        <w:ind w:left="144" w:firstLine="216"/>
      </w:pPr>
      <w:rPr>
        <w:rFonts w:hint="default"/>
        <w:b/>
        <w:bCs/>
        <w:vanish w:val="0"/>
      </w:rPr>
    </w:lvl>
    <w:lvl w:ilvl="2">
      <w:start w:val="1"/>
      <w:numFmt w:val="decimal"/>
      <w:lvlText w:val="%1.%2.%3."/>
      <w:lvlJc w:val="left"/>
      <w:pPr>
        <w:ind w:left="1404" w:hanging="504"/>
      </w:pPr>
      <w:rPr>
        <w:rFonts w:hint="default"/>
      </w:rPr>
    </w:lvl>
    <w:lvl w:ilvl="3">
      <w:start w:val="1"/>
      <w:numFmt w:val="decimal"/>
      <w:lvlText w:val="%1.%2.%3.%4."/>
      <w:lvlJc w:val="left"/>
      <w:pPr>
        <w:ind w:left="1908" w:hanging="648"/>
      </w:pPr>
      <w:rPr>
        <w:rFonts w:hint="default"/>
      </w:rPr>
    </w:lvl>
    <w:lvl w:ilvl="4">
      <w:start w:val="1"/>
      <w:numFmt w:val="decimal"/>
      <w:lvlText w:val="%1.%2.%3.%4.%5."/>
      <w:lvlJc w:val="left"/>
      <w:pPr>
        <w:ind w:left="2412" w:hanging="792"/>
      </w:pPr>
      <w:rPr>
        <w:rFonts w:hint="default"/>
      </w:rPr>
    </w:lvl>
    <w:lvl w:ilvl="5">
      <w:start w:val="1"/>
      <w:numFmt w:val="decimal"/>
      <w:lvlText w:val="%1.%2.%3.%4.%5.%6."/>
      <w:lvlJc w:val="left"/>
      <w:pPr>
        <w:ind w:left="2916" w:hanging="936"/>
      </w:pPr>
      <w:rPr>
        <w:rFonts w:hint="default"/>
      </w:rPr>
    </w:lvl>
    <w:lvl w:ilvl="6">
      <w:start w:val="1"/>
      <w:numFmt w:val="decimal"/>
      <w:lvlText w:val="%1.%2.%3.%4.%5.%6.%7."/>
      <w:lvlJc w:val="left"/>
      <w:pPr>
        <w:ind w:left="3420" w:hanging="1080"/>
      </w:pPr>
      <w:rPr>
        <w:rFonts w:hint="default"/>
      </w:rPr>
    </w:lvl>
    <w:lvl w:ilvl="7">
      <w:start w:val="1"/>
      <w:numFmt w:val="decimal"/>
      <w:lvlText w:val="%1.%2.%3.%4.%5.%6.%7.%8."/>
      <w:lvlJc w:val="left"/>
      <w:pPr>
        <w:ind w:left="3924" w:hanging="1224"/>
      </w:pPr>
      <w:rPr>
        <w:rFonts w:hint="default"/>
      </w:rPr>
    </w:lvl>
    <w:lvl w:ilvl="8">
      <w:start w:val="1"/>
      <w:numFmt w:val="decimal"/>
      <w:lvlText w:val="%1.%2.%3.%4.%5.%6.%7.%8.%9."/>
      <w:lvlJc w:val="left"/>
      <w:pPr>
        <w:ind w:left="4500" w:hanging="1440"/>
      </w:pPr>
      <w:rPr>
        <w:rFonts w:hint="default"/>
      </w:rPr>
    </w:lvl>
  </w:abstractNum>
  <w:abstractNum w:abstractNumId="10" w15:restartNumberingAfterBreak="0">
    <w:nsid w:val="2C353099"/>
    <w:multiLevelType w:val="hybridMultilevel"/>
    <w:tmpl w:val="23D62B9C"/>
    <w:lvl w:ilvl="0" w:tplc="E27EBFE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5262D5"/>
    <w:multiLevelType w:val="hybridMultilevel"/>
    <w:tmpl w:val="297E162A"/>
    <w:lvl w:ilvl="0" w:tplc="929ABE26">
      <w:start w:val="1"/>
      <w:numFmt w:val="decimal"/>
      <w:lvlText w:val="%1."/>
      <w:lvlJc w:val="left"/>
      <w:pPr>
        <w:ind w:left="990" w:hanging="360"/>
      </w:pPr>
      <w:rPr>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33364D90"/>
    <w:multiLevelType w:val="hybridMultilevel"/>
    <w:tmpl w:val="A1523AB2"/>
    <w:lvl w:ilvl="0" w:tplc="3FEE02B4">
      <w:start w:val="1"/>
      <w:numFmt w:val="bullet"/>
      <w:lvlText w:val=""/>
      <w:lvlJc w:val="left"/>
      <w:pPr>
        <w:tabs>
          <w:tab w:val="num" w:pos="720"/>
        </w:tabs>
        <w:ind w:left="720" w:hanging="360"/>
      </w:pPr>
      <w:rPr>
        <w:rFonts w:ascii="Wingdings" w:hAnsi="Wingdings" w:hint="default"/>
      </w:rPr>
    </w:lvl>
    <w:lvl w:ilvl="1" w:tplc="FDEE48D2" w:tentative="1">
      <w:start w:val="1"/>
      <w:numFmt w:val="bullet"/>
      <w:lvlText w:val=""/>
      <w:lvlJc w:val="left"/>
      <w:pPr>
        <w:tabs>
          <w:tab w:val="num" w:pos="1440"/>
        </w:tabs>
        <w:ind w:left="1440" w:hanging="360"/>
      </w:pPr>
      <w:rPr>
        <w:rFonts w:ascii="Wingdings" w:hAnsi="Wingdings" w:hint="default"/>
      </w:rPr>
    </w:lvl>
    <w:lvl w:ilvl="2" w:tplc="30406F24" w:tentative="1">
      <w:start w:val="1"/>
      <w:numFmt w:val="bullet"/>
      <w:lvlText w:val=""/>
      <w:lvlJc w:val="left"/>
      <w:pPr>
        <w:tabs>
          <w:tab w:val="num" w:pos="2160"/>
        </w:tabs>
        <w:ind w:left="2160" w:hanging="360"/>
      </w:pPr>
      <w:rPr>
        <w:rFonts w:ascii="Wingdings" w:hAnsi="Wingdings" w:hint="default"/>
      </w:rPr>
    </w:lvl>
    <w:lvl w:ilvl="3" w:tplc="42285B2C" w:tentative="1">
      <w:start w:val="1"/>
      <w:numFmt w:val="bullet"/>
      <w:lvlText w:val=""/>
      <w:lvlJc w:val="left"/>
      <w:pPr>
        <w:tabs>
          <w:tab w:val="num" w:pos="2880"/>
        </w:tabs>
        <w:ind w:left="2880" w:hanging="360"/>
      </w:pPr>
      <w:rPr>
        <w:rFonts w:ascii="Wingdings" w:hAnsi="Wingdings" w:hint="default"/>
      </w:rPr>
    </w:lvl>
    <w:lvl w:ilvl="4" w:tplc="0DF8650E" w:tentative="1">
      <w:start w:val="1"/>
      <w:numFmt w:val="bullet"/>
      <w:lvlText w:val=""/>
      <w:lvlJc w:val="left"/>
      <w:pPr>
        <w:tabs>
          <w:tab w:val="num" w:pos="3600"/>
        </w:tabs>
        <w:ind w:left="3600" w:hanging="360"/>
      </w:pPr>
      <w:rPr>
        <w:rFonts w:ascii="Wingdings" w:hAnsi="Wingdings" w:hint="default"/>
      </w:rPr>
    </w:lvl>
    <w:lvl w:ilvl="5" w:tplc="41ACDACE" w:tentative="1">
      <w:start w:val="1"/>
      <w:numFmt w:val="bullet"/>
      <w:lvlText w:val=""/>
      <w:lvlJc w:val="left"/>
      <w:pPr>
        <w:tabs>
          <w:tab w:val="num" w:pos="4320"/>
        </w:tabs>
        <w:ind w:left="4320" w:hanging="360"/>
      </w:pPr>
      <w:rPr>
        <w:rFonts w:ascii="Wingdings" w:hAnsi="Wingdings" w:hint="default"/>
      </w:rPr>
    </w:lvl>
    <w:lvl w:ilvl="6" w:tplc="9B8CCACC" w:tentative="1">
      <w:start w:val="1"/>
      <w:numFmt w:val="bullet"/>
      <w:lvlText w:val=""/>
      <w:lvlJc w:val="left"/>
      <w:pPr>
        <w:tabs>
          <w:tab w:val="num" w:pos="5040"/>
        </w:tabs>
        <w:ind w:left="5040" w:hanging="360"/>
      </w:pPr>
      <w:rPr>
        <w:rFonts w:ascii="Wingdings" w:hAnsi="Wingdings" w:hint="default"/>
      </w:rPr>
    </w:lvl>
    <w:lvl w:ilvl="7" w:tplc="95A2085E" w:tentative="1">
      <w:start w:val="1"/>
      <w:numFmt w:val="bullet"/>
      <w:lvlText w:val=""/>
      <w:lvlJc w:val="left"/>
      <w:pPr>
        <w:tabs>
          <w:tab w:val="num" w:pos="5760"/>
        </w:tabs>
        <w:ind w:left="5760" w:hanging="360"/>
      </w:pPr>
      <w:rPr>
        <w:rFonts w:ascii="Wingdings" w:hAnsi="Wingdings" w:hint="default"/>
      </w:rPr>
    </w:lvl>
    <w:lvl w:ilvl="8" w:tplc="79F049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3E7DA2"/>
    <w:multiLevelType w:val="multilevel"/>
    <w:tmpl w:val="F4D40738"/>
    <w:lvl w:ilvl="0">
      <w:start w:val="1"/>
      <w:numFmt w:val="decimal"/>
      <w:lvlText w:val="%1."/>
      <w:lvlJc w:val="left"/>
      <w:pPr>
        <w:tabs>
          <w:tab w:val="num" w:pos="720"/>
        </w:tabs>
        <w:ind w:left="720" w:hanging="720"/>
      </w:pPr>
      <w:rPr>
        <w:vanish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89145FA"/>
    <w:multiLevelType w:val="multilevel"/>
    <w:tmpl w:val="E1121034"/>
    <w:lvl w:ilvl="0">
      <w:start w:val="1"/>
      <w:numFmt w:val="decimal"/>
      <w:lvlText w:val="%1."/>
      <w:lvlJc w:val="left"/>
      <w:pPr>
        <w:ind w:left="360" w:hanging="360"/>
      </w:pPr>
      <w:rPr>
        <w:rFonts w:hint="default"/>
        <w:vanish w:val="0"/>
      </w:rPr>
    </w:lvl>
    <w:lvl w:ilvl="1">
      <w:start w:val="1"/>
      <w:numFmt w:val="decimal"/>
      <w:lvlRestart w:val="0"/>
      <w:lvlText w:val="7.%2."/>
      <w:lvlJc w:val="left"/>
      <w:pPr>
        <w:ind w:left="612" w:hanging="432"/>
      </w:pPr>
      <w:rPr>
        <w:rFonts w:hint="default"/>
        <w:b/>
        <w:bCs/>
        <w:vanish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B0C6BD3"/>
    <w:multiLevelType w:val="multilevel"/>
    <w:tmpl w:val="94BC57B2"/>
    <w:lvl w:ilvl="0">
      <w:start w:val="1"/>
      <w:numFmt w:val="decimal"/>
      <w:lvlText w:val="%1."/>
      <w:lvlJc w:val="left"/>
      <w:pPr>
        <w:ind w:left="360" w:hanging="360"/>
      </w:pPr>
      <w:rPr>
        <w:rFonts w:hint="default"/>
      </w:rPr>
    </w:lvl>
    <w:lvl w:ilvl="1">
      <w:start w:val="1"/>
      <w:numFmt w:val="decimal"/>
      <w:lvlRestart w:val="0"/>
      <w:lvlText w:val="4.%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0676520"/>
    <w:multiLevelType w:val="hybridMultilevel"/>
    <w:tmpl w:val="88128E02"/>
    <w:lvl w:ilvl="0" w:tplc="55D2B6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9F64C7"/>
    <w:multiLevelType w:val="hybridMultilevel"/>
    <w:tmpl w:val="F39C6B0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54454A1"/>
    <w:multiLevelType w:val="multilevel"/>
    <w:tmpl w:val="50CE4088"/>
    <w:lvl w:ilvl="0">
      <w:start w:val="1"/>
      <w:numFmt w:val="decimal"/>
      <w:lvlText w:val="%1."/>
      <w:lvlJc w:val="left"/>
      <w:pPr>
        <w:ind w:left="360" w:hanging="360"/>
      </w:pPr>
    </w:lvl>
    <w:lvl w:ilvl="1">
      <w:start w:val="1"/>
      <w:numFmt w:val="decimal"/>
      <w:lvlText w:val="%1.%2."/>
      <w:lvlJc w:val="left"/>
      <w:pPr>
        <w:ind w:left="61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A123585"/>
    <w:multiLevelType w:val="hybridMultilevel"/>
    <w:tmpl w:val="C310B472"/>
    <w:lvl w:ilvl="0" w:tplc="218C5626">
      <w:start w:val="1"/>
      <w:numFmt w:val="bullet"/>
      <w:lvlText w:val=""/>
      <w:lvlJc w:val="left"/>
      <w:pPr>
        <w:tabs>
          <w:tab w:val="num" w:pos="720"/>
        </w:tabs>
        <w:ind w:left="720" w:hanging="360"/>
      </w:pPr>
      <w:rPr>
        <w:rFonts w:ascii="Wingdings" w:hAnsi="Wingdings" w:hint="default"/>
      </w:rPr>
    </w:lvl>
    <w:lvl w:ilvl="1" w:tplc="8C062BBC">
      <w:start w:val="1"/>
      <w:numFmt w:val="bullet"/>
      <w:lvlText w:val=""/>
      <w:lvlJc w:val="left"/>
      <w:pPr>
        <w:tabs>
          <w:tab w:val="num" w:pos="1440"/>
        </w:tabs>
        <w:ind w:left="1440" w:hanging="360"/>
      </w:pPr>
      <w:rPr>
        <w:rFonts w:ascii="Wingdings" w:hAnsi="Wingdings" w:hint="default"/>
      </w:rPr>
    </w:lvl>
    <w:lvl w:ilvl="2" w:tplc="4BDA791E" w:tentative="1">
      <w:start w:val="1"/>
      <w:numFmt w:val="bullet"/>
      <w:lvlText w:val=""/>
      <w:lvlJc w:val="left"/>
      <w:pPr>
        <w:tabs>
          <w:tab w:val="num" w:pos="2160"/>
        </w:tabs>
        <w:ind w:left="2160" w:hanging="360"/>
      </w:pPr>
      <w:rPr>
        <w:rFonts w:ascii="Wingdings" w:hAnsi="Wingdings" w:hint="default"/>
      </w:rPr>
    </w:lvl>
    <w:lvl w:ilvl="3" w:tplc="DA4883A6" w:tentative="1">
      <w:start w:val="1"/>
      <w:numFmt w:val="bullet"/>
      <w:lvlText w:val=""/>
      <w:lvlJc w:val="left"/>
      <w:pPr>
        <w:tabs>
          <w:tab w:val="num" w:pos="2880"/>
        </w:tabs>
        <w:ind w:left="2880" w:hanging="360"/>
      </w:pPr>
      <w:rPr>
        <w:rFonts w:ascii="Wingdings" w:hAnsi="Wingdings" w:hint="default"/>
      </w:rPr>
    </w:lvl>
    <w:lvl w:ilvl="4" w:tplc="DDCC6F9E" w:tentative="1">
      <w:start w:val="1"/>
      <w:numFmt w:val="bullet"/>
      <w:lvlText w:val=""/>
      <w:lvlJc w:val="left"/>
      <w:pPr>
        <w:tabs>
          <w:tab w:val="num" w:pos="3600"/>
        </w:tabs>
        <w:ind w:left="3600" w:hanging="360"/>
      </w:pPr>
      <w:rPr>
        <w:rFonts w:ascii="Wingdings" w:hAnsi="Wingdings" w:hint="default"/>
      </w:rPr>
    </w:lvl>
    <w:lvl w:ilvl="5" w:tplc="6A3627C4" w:tentative="1">
      <w:start w:val="1"/>
      <w:numFmt w:val="bullet"/>
      <w:lvlText w:val=""/>
      <w:lvlJc w:val="left"/>
      <w:pPr>
        <w:tabs>
          <w:tab w:val="num" w:pos="4320"/>
        </w:tabs>
        <w:ind w:left="4320" w:hanging="360"/>
      </w:pPr>
      <w:rPr>
        <w:rFonts w:ascii="Wingdings" w:hAnsi="Wingdings" w:hint="default"/>
      </w:rPr>
    </w:lvl>
    <w:lvl w:ilvl="6" w:tplc="FB4E842A" w:tentative="1">
      <w:start w:val="1"/>
      <w:numFmt w:val="bullet"/>
      <w:lvlText w:val=""/>
      <w:lvlJc w:val="left"/>
      <w:pPr>
        <w:tabs>
          <w:tab w:val="num" w:pos="5040"/>
        </w:tabs>
        <w:ind w:left="5040" w:hanging="360"/>
      </w:pPr>
      <w:rPr>
        <w:rFonts w:ascii="Wingdings" w:hAnsi="Wingdings" w:hint="default"/>
      </w:rPr>
    </w:lvl>
    <w:lvl w:ilvl="7" w:tplc="A7A26744" w:tentative="1">
      <w:start w:val="1"/>
      <w:numFmt w:val="bullet"/>
      <w:lvlText w:val=""/>
      <w:lvlJc w:val="left"/>
      <w:pPr>
        <w:tabs>
          <w:tab w:val="num" w:pos="5760"/>
        </w:tabs>
        <w:ind w:left="5760" w:hanging="360"/>
      </w:pPr>
      <w:rPr>
        <w:rFonts w:ascii="Wingdings" w:hAnsi="Wingdings" w:hint="default"/>
      </w:rPr>
    </w:lvl>
    <w:lvl w:ilvl="8" w:tplc="F128137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9657A7"/>
    <w:multiLevelType w:val="hybridMultilevel"/>
    <w:tmpl w:val="F39C6B0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0252831"/>
    <w:multiLevelType w:val="hybridMultilevel"/>
    <w:tmpl w:val="50B00448"/>
    <w:lvl w:ilvl="0" w:tplc="7B5CDA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781207"/>
    <w:multiLevelType w:val="multilevel"/>
    <w:tmpl w:val="9444961E"/>
    <w:lvl w:ilvl="0">
      <w:start w:val="9"/>
      <w:numFmt w:val="decimal"/>
      <w:lvlText w:val="%1."/>
      <w:lvlJc w:val="left"/>
      <w:pPr>
        <w:tabs>
          <w:tab w:val="num" w:pos="0"/>
        </w:tabs>
        <w:ind w:left="360" w:hanging="360"/>
      </w:pPr>
      <w:rPr>
        <w:rFonts w:hint="default"/>
      </w:rPr>
    </w:lvl>
    <w:lvl w:ilvl="1">
      <w:start w:val="1"/>
      <w:numFmt w:val="decimal"/>
      <w:lvlRestart w:val="0"/>
      <w:lvlText w:val="3.%2."/>
      <w:lvlJc w:val="left"/>
      <w:pPr>
        <w:tabs>
          <w:tab w:val="num" w:pos="0"/>
        </w:tabs>
        <w:ind w:left="792" w:hanging="432"/>
      </w:pPr>
      <w:rPr>
        <w:rFonts w:hint="default"/>
        <w:b/>
        <w:bCs/>
        <w:sz w:val="22"/>
        <w:szCs w:val="22"/>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3" w15:restartNumberingAfterBreak="0">
    <w:nsid w:val="61D90F5E"/>
    <w:multiLevelType w:val="hybridMultilevel"/>
    <w:tmpl w:val="D17E7E2C"/>
    <w:lvl w:ilvl="0" w:tplc="EBA019D2">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37248D"/>
    <w:multiLevelType w:val="hybridMultilevel"/>
    <w:tmpl w:val="D360A156"/>
    <w:lvl w:ilvl="0" w:tplc="F418DE3C">
      <w:start w:val="1"/>
      <w:numFmt w:val="decimal"/>
      <w:lvlText w:val="%1."/>
      <w:lvlJc w:val="left"/>
      <w:pPr>
        <w:tabs>
          <w:tab w:val="num" w:pos="720"/>
        </w:tabs>
        <w:ind w:left="720" w:hanging="360"/>
      </w:pPr>
    </w:lvl>
    <w:lvl w:ilvl="1" w:tplc="30688554" w:tentative="1">
      <w:start w:val="1"/>
      <w:numFmt w:val="decimal"/>
      <w:lvlText w:val="%2."/>
      <w:lvlJc w:val="left"/>
      <w:pPr>
        <w:tabs>
          <w:tab w:val="num" w:pos="1440"/>
        </w:tabs>
        <w:ind w:left="1440" w:hanging="360"/>
      </w:pPr>
    </w:lvl>
    <w:lvl w:ilvl="2" w:tplc="91D2A1B8" w:tentative="1">
      <w:start w:val="1"/>
      <w:numFmt w:val="decimal"/>
      <w:lvlText w:val="%3."/>
      <w:lvlJc w:val="left"/>
      <w:pPr>
        <w:tabs>
          <w:tab w:val="num" w:pos="2160"/>
        </w:tabs>
        <w:ind w:left="2160" w:hanging="360"/>
      </w:pPr>
    </w:lvl>
    <w:lvl w:ilvl="3" w:tplc="A21C85C2" w:tentative="1">
      <w:start w:val="1"/>
      <w:numFmt w:val="decimal"/>
      <w:lvlText w:val="%4."/>
      <w:lvlJc w:val="left"/>
      <w:pPr>
        <w:tabs>
          <w:tab w:val="num" w:pos="2880"/>
        </w:tabs>
        <w:ind w:left="2880" w:hanging="360"/>
      </w:pPr>
    </w:lvl>
    <w:lvl w:ilvl="4" w:tplc="DED8A682" w:tentative="1">
      <w:start w:val="1"/>
      <w:numFmt w:val="decimal"/>
      <w:lvlText w:val="%5."/>
      <w:lvlJc w:val="left"/>
      <w:pPr>
        <w:tabs>
          <w:tab w:val="num" w:pos="3600"/>
        </w:tabs>
        <w:ind w:left="3600" w:hanging="360"/>
      </w:pPr>
    </w:lvl>
    <w:lvl w:ilvl="5" w:tplc="7CC622F4" w:tentative="1">
      <w:start w:val="1"/>
      <w:numFmt w:val="decimal"/>
      <w:lvlText w:val="%6."/>
      <w:lvlJc w:val="left"/>
      <w:pPr>
        <w:tabs>
          <w:tab w:val="num" w:pos="4320"/>
        </w:tabs>
        <w:ind w:left="4320" w:hanging="360"/>
      </w:pPr>
    </w:lvl>
    <w:lvl w:ilvl="6" w:tplc="6324C05A" w:tentative="1">
      <w:start w:val="1"/>
      <w:numFmt w:val="decimal"/>
      <w:lvlText w:val="%7."/>
      <w:lvlJc w:val="left"/>
      <w:pPr>
        <w:tabs>
          <w:tab w:val="num" w:pos="5040"/>
        </w:tabs>
        <w:ind w:left="5040" w:hanging="360"/>
      </w:pPr>
    </w:lvl>
    <w:lvl w:ilvl="7" w:tplc="B33A6D38" w:tentative="1">
      <w:start w:val="1"/>
      <w:numFmt w:val="decimal"/>
      <w:lvlText w:val="%8."/>
      <w:lvlJc w:val="left"/>
      <w:pPr>
        <w:tabs>
          <w:tab w:val="num" w:pos="5760"/>
        </w:tabs>
        <w:ind w:left="5760" w:hanging="360"/>
      </w:pPr>
    </w:lvl>
    <w:lvl w:ilvl="8" w:tplc="6ACA5268" w:tentative="1">
      <w:start w:val="1"/>
      <w:numFmt w:val="decimal"/>
      <w:lvlText w:val="%9."/>
      <w:lvlJc w:val="left"/>
      <w:pPr>
        <w:tabs>
          <w:tab w:val="num" w:pos="6480"/>
        </w:tabs>
        <w:ind w:left="6480" w:hanging="360"/>
      </w:pPr>
    </w:lvl>
  </w:abstractNum>
  <w:abstractNum w:abstractNumId="25" w15:restartNumberingAfterBreak="0">
    <w:nsid w:val="6A3B1AC9"/>
    <w:multiLevelType w:val="multilevel"/>
    <w:tmpl w:val="01E0606A"/>
    <w:lvl w:ilvl="0">
      <w:start w:val="1"/>
      <w:numFmt w:val="decimal"/>
      <w:lvlText w:val="%1."/>
      <w:lvlJc w:val="left"/>
      <w:pPr>
        <w:ind w:left="360" w:hanging="360"/>
      </w:pPr>
      <w:rPr>
        <w:rFonts w:hint="default"/>
        <w:vanish w:val="0"/>
      </w:rPr>
    </w:lvl>
    <w:lvl w:ilvl="1">
      <w:start w:val="1"/>
      <w:numFmt w:val="decimal"/>
      <w:lvlRestart w:val="0"/>
      <w:lvlText w:val="6.%2."/>
      <w:lvlJc w:val="left"/>
      <w:pPr>
        <w:ind w:left="612" w:hanging="432"/>
      </w:pPr>
      <w:rPr>
        <w:rFonts w:hint="default"/>
        <w:b/>
        <w:bCs/>
        <w:vanish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AA04933"/>
    <w:multiLevelType w:val="hybridMultilevel"/>
    <w:tmpl w:val="FFDE8508"/>
    <w:lvl w:ilvl="0" w:tplc="6700CA34">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8C7A38"/>
    <w:multiLevelType w:val="hybridMultilevel"/>
    <w:tmpl w:val="165E515E"/>
    <w:lvl w:ilvl="0" w:tplc="E59C2660">
      <w:start w:val="1"/>
      <w:numFmt w:val="bullet"/>
      <w:lvlText w:val=""/>
      <w:lvlJc w:val="left"/>
      <w:pPr>
        <w:tabs>
          <w:tab w:val="num" w:pos="720"/>
        </w:tabs>
        <w:ind w:left="720" w:hanging="360"/>
      </w:pPr>
      <w:rPr>
        <w:rFonts w:ascii="Wingdings" w:hAnsi="Wingdings" w:hint="default"/>
      </w:rPr>
    </w:lvl>
    <w:lvl w:ilvl="1" w:tplc="ACA8163E">
      <w:start w:val="1"/>
      <w:numFmt w:val="bullet"/>
      <w:lvlText w:val=""/>
      <w:lvlJc w:val="left"/>
      <w:pPr>
        <w:tabs>
          <w:tab w:val="num" w:pos="1440"/>
        </w:tabs>
        <w:ind w:left="1440" w:hanging="360"/>
      </w:pPr>
      <w:rPr>
        <w:rFonts w:ascii="Wingdings" w:hAnsi="Wingdings" w:hint="default"/>
      </w:rPr>
    </w:lvl>
    <w:lvl w:ilvl="2" w:tplc="A2BEFC86" w:tentative="1">
      <w:start w:val="1"/>
      <w:numFmt w:val="bullet"/>
      <w:lvlText w:val=""/>
      <w:lvlJc w:val="left"/>
      <w:pPr>
        <w:tabs>
          <w:tab w:val="num" w:pos="2160"/>
        </w:tabs>
        <w:ind w:left="2160" w:hanging="360"/>
      </w:pPr>
      <w:rPr>
        <w:rFonts w:ascii="Wingdings" w:hAnsi="Wingdings" w:hint="default"/>
      </w:rPr>
    </w:lvl>
    <w:lvl w:ilvl="3" w:tplc="5C4E7D30" w:tentative="1">
      <w:start w:val="1"/>
      <w:numFmt w:val="bullet"/>
      <w:lvlText w:val=""/>
      <w:lvlJc w:val="left"/>
      <w:pPr>
        <w:tabs>
          <w:tab w:val="num" w:pos="2880"/>
        </w:tabs>
        <w:ind w:left="2880" w:hanging="360"/>
      </w:pPr>
      <w:rPr>
        <w:rFonts w:ascii="Wingdings" w:hAnsi="Wingdings" w:hint="default"/>
      </w:rPr>
    </w:lvl>
    <w:lvl w:ilvl="4" w:tplc="3D206616" w:tentative="1">
      <w:start w:val="1"/>
      <w:numFmt w:val="bullet"/>
      <w:lvlText w:val=""/>
      <w:lvlJc w:val="left"/>
      <w:pPr>
        <w:tabs>
          <w:tab w:val="num" w:pos="3600"/>
        </w:tabs>
        <w:ind w:left="3600" w:hanging="360"/>
      </w:pPr>
      <w:rPr>
        <w:rFonts w:ascii="Wingdings" w:hAnsi="Wingdings" w:hint="default"/>
      </w:rPr>
    </w:lvl>
    <w:lvl w:ilvl="5" w:tplc="B9CA2858" w:tentative="1">
      <w:start w:val="1"/>
      <w:numFmt w:val="bullet"/>
      <w:lvlText w:val=""/>
      <w:lvlJc w:val="left"/>
      <w:pPr>
        <w:tabs>
          <w:tab w:val="num" w:pos="4320"/>
        </w:tabs>
        <w:ind w:left="4320" w:hanging="360"/>
      </w:pPr>
      <w:rPr>
        <w:rFonts w:ascii="Wingdings" w:hAnsi="Wingdings" w:hint="default"/>
      </w:rPr>
    </w:lvl>
    <w:lvl w:ilvl="6" w:tplc="33769898" w:tentative="1">
      <w:start w:val="1"/>
      <w:numFmt w:val="bullet"/>
      <w:lvlText w:val=""/>
      <w:lvlJc w:val="left"/>
      <w:pPr>
        <w:tabs>
          <w:tab w:val="num" w:pos="5040"/>
        </w:tabs>
        <w:ind w:left="5040" w:hanging="360"/>
      </w:pPr>
      <w:rPr>
        <w:rFonts w:ascii="Wingdings" w:hAnsi="Wingdings" w:hint="default"/>
      </w:rPr>
    </w:lvl>
    <w:lvl w:ilvl="7" w:tplc="6A861BDA" w:tentative="1">
      <w:start w:val="1"/>
      <w:numFmt w:val="bullet"/>
      <w:lvlText w:val=""/>
      <w:lvlJc w:val="left"/>
      <w:pPr>
        <w:tabs>
          <w:tab w:val="num" w:pos="5760"/>
        </w:tabs>
        <w:ind w:left="5760" w:hanging="360"/>
      </w:pPr>
      <w:rPr>
        <w:rFonts w:ascii="Wingdings" w:hAnsi="Wingdings" w:hint="default"/>
      </w:rPr>
    </w:lvl>
    <w:lvl w:ilvl="8" w:tplc="F7B6A70A"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
  </w:num>
  <w:num w:numId="3">
    <w:abstractNumId w:val="4"/>
  </w:num>
  <w:num w:numId="4">
    <w:abstractNumId w:val="26"/>
  </w:num>
  <w:num w:numId="5">
    <w:abstractNumId w:val="8"/>
  </w:num>
  <w:num w:numId="6">
    <w:abstractNumId w:val="5"/>
  </w:num>
  <w:num w:numId="7">
    <w:abstractNumId w:val="18"/>
  </w:num>
  <w:num w:numId="8">
    <w:abstractNumId w:val="6"/>
  </w:num>
  <w:num w:numId="9">
    <w:abstractNumId w:val="10"/>
  </w:num>
  <w:num w:numId="10">
    <w:abstractNumId w:val="13"/>
  </w:num>
  <w:num w:numId="11">
    <w:abstractNumId w:val="7"/>
  </w:num>
  <w:num w:numId="12">
    <w:abstractNumId w:val="22"/>
  </w:num>
  <w:num w:numId="13">
    <w:abstractNumId w:val="15"/>
  </w:num>
  <w:num w:numId="14">
    <w:abstractNumId w:val="9"/>
  </w:num>
  <w:num w:numId="15">
    <w:abstractNumId w:val="25"/>
  </w:num>
  <w:num w:numId="16">
    <w:abstractNumId w:val="14"/>
  </w:num>
  <w:num w:numId="17">
    <w:abstractNumId w:val="3"/>
  </w:num>
  <w:num w:numId="18">
    <w:abstractNumId w:val="11"/>
  </w:num>
  <w:num w:numId="19">
    <w:abstractNumId w:val="0"/>
  </w:num>
  <w:num w:numId="20">
    <w:abstractNumId w:val="17"/>
  </w:num>
  <w:num w:numId="21">
    <w:abstractNumId w:val="21"/>
  </w:num>
  <w:num w:numId="22">
    <w:abstractNumId w:val="20"/>
  </w:num>
  <w:num w:numId="23">
    <w:abstractNumId w:val="16"/>
  </w:num>
  <w:num w:numId="24">
    <w:abstractNumId w:val="16"/>
  </w:num>
  <w:num w:numId="25">
    <w:abstractNumId w:val="12"/>
  </w:num>
  <w:num w:numId="26">
    <w:abstractNumId w:val="24"/>
  </w:num>
  <w:num w:numId="27">
    <w:abstractNumId w:val="1"/>
  </w:num>
  <w:num w:numId="28">
    <w:abstractNumId w:val="19"/>
  </w:num>
  <w:num w:numId="29">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4B7"/>
    <w:rsid w:val="00000773"/>
    <w:rsid w:val="0000594B"/>
    <w:rsid w:val="00013DCA"/>
    <w:rsid w:val="000169CC"/>
    <w:rsid w:val="0002288F"/>
    <w:rsid w:val="00023CA9"/>
    <w:rsid w:val="00025DC3"/>
    <w:rsid w:val="00026728"/>
    <w:rsid w:val="00033986"/>
    <w:rsid w:val="00040268"/>
    <w:rsid w:val="000462C0"/>
    <w:rsid w:val="00050767"/>
    <w:rsid w:val="000517B7"/>
    <w:rsid w:val="0006035D"/>
    <w:rsid w:val="0006051A"/>
    <w:rsid w:val="000620CA"/>
    <w:rsid w:val="000623F3"/>
    <w:rsid w:val="00063185"/>
    <w:rsid w:val="000669C6"/>
    <w:rsid w:val="00066C04"/>
    <w:rsid w:val="00072811"/>
    <w:rsid w:val="00073F5C"/>
    <w:rsid w:val="0007444B"/>
    <w:rsid w:val="00076D7A"/>
    <w:rsid w:val="000800EA"/>
    <w:rsid w:val="00080173"/>
    <w:rsid w:val="00081E88"/>
    <w:rsid w:val="000837C7"/>
    <w:rsid w:val="000867CA"/>
    <w:rsid w:val="0008789F"/>
    <w:rsid w:val="000969C7"/>
    <w:rsid w:val="000A3003"/>
    <w:rsid w:val="000B142F"/>
    <w:rsid w:val="000B1DD2"/>
    <w:rsid w:val="000C1E1F"/>
    <w:rsid w:val="000C351E"/>
    <w:rsid w:val="000D044F"/>
    <w:rsid w:val="000D17A6"/>
    <w:rsid w:val="000D2D29"/>
    <w:rsid w:val="000D32FD"/>
    <w:rsid w:val="000D4B8A"/>
    <w:rsid w:val="000D7857"/>
    <w:rsid w:val="000E171F"/>
    <w:rsid w:val="000E6C8A"/>
    <w:rsid w:val="000F0D0E"/>
    <w:rsid w:val="000F1E57"/>
    <w:rsid w:val="000F341C"/>
    <w:rsid w:val="000F527E"/>
    <w:rsid w:val="000F7064"/>
    <w:rsid w:val="001029A7"/>
    <w:rsid w:val="00107425"/>
    <w:rsid w:val="00113809"/>
    <w:rsid w:val="001138FD"/>
    <w:rsid w:val="0011699B"/>
    <w:rsid w:val="001173B0"/>
    <w:rsid w:val="0011766A"/>
    <w:rsid w:val="00121542"/>
    <w:rsid w:val="00121D29"/>
    <w:rsid w:val="001253B4"/>
    <w:rsid w:val="0012723B"/>
    <w:rsid w:val="0013070C"/>
    <w:rsid w:val="001309DF"/>
    <w:rsid w:val="001337EF"/>
    <w:rsid w:val="00134A90"/>
    <w:rsid w:val="0014193B"/>
    <w:rsid w:val="00142E66"/>
    <w:rsid w:val="001433BB"/>
    <w:rsid w:val="00143B94"/>
    <w:rsid w:val="00143C05"/>
    <w:rsid w:val="00146CD2"/>
    <w:rsid w:val="001503C5"/>
    <w:rsid w:val="00151095"/>
    <w:rsid w:val="001512D8"/>
    <w:rsid w:val="00151929"/>
    <w:rsid w:val="00156667"/>
    <w:rsid w:val="00162570"/>
    <w:rsid w:val="001629D2"/>
    <w:rsid w:val="00163D52"/>
    <w:rsid w:val="00165ABC"/>
    <w:rsid w:val="00172A14"/>
    <w:rsid w:val="001770FB"/>
    <w:rsid w:val="001807CF"/>
    <w:rsid w:val="001829E1"/>
    <w:rsid w:val="00183D7A"/>
    <w:rsid w:val="0018413C"/>
    <w:rsid w:val="001841EA"/>
    <w:rsid w:val="001858EB"/>
    <w:rsid w:val="00185CFC"/>
    <w:rsid w:val="001901B5"/>
    <w:rsid w:val="001930CA"/>
    <w:rsid w:val="00194358"/>
    <w:rsid w:val="001A2BD2"/>
    <w:rsid w:val="001A5849"/>
    <w:rsid w:val="001B0537"/>
    <w:rsid w:val="001B320C"/>
    <w:rsid w:val="001B5EC6"/>
    <w:rsid w:val="001C2BBC"/>
    <w:rsid w:val="001C472A"/>
    <w:rsid w:val="001C7196"/>
    <w:rsid w:val="001D1DA5"/>
    <w:rsid w:val="001D2532"/>
    <w:rsid w:val="001D357E"/>
    <w:rsid w:val="001D5418"/>
    <w:rsid w:val="001D5F8C"/>
    <w:rsid w:val="001D60E9"/>
    <w:rsid w:val="001D6CEE"/>
    <w:rsid w:val="001E1585"/>
    <w:rsid w:val="001E5BD2"/>
    <w:rsid w:val="001E616C"/>
    <w:rsid w:val="001E7C26"/>
    <w:rsid w:val="001F38D7"/>
    <w:rsid w:val="001F42F2"/>
    <w:rsid w:val="001F4ECA"/>
    <w:rsid w:val="001F58A3"/>
    <w:rsid w:val="001F5FB2"/>
    <w:rsid w:val="00202439"/>
    <w:rsid w:val="002121A8"/>
    <w:rsid w:val="00213AA1"/>
    <w:rsid w:val="00214874"/>
    <w:rsid w:val="00221968"/>
    <w:rsid w:val="002219B2"/>
    <w:rsid w:val="00222511"/>
    <w:rsid w:val="00226EA2"/>
    <w:rsid w:val="00230196"/>
    <w:rsid w:val="0023175C"/>
    <w:rsid w:val="002326BB"/>
    <w:rsid w:val="00241E00"/>
    <w:rsid w:val="0024559B"/>
    <w:rsid w:val="00247967"/>
    <w:rsid w:val="002562D5"/>
    <w:rsid w:val="00256770"/>
    <w:rsid w:val="00264781"/>
    <w:rsid w:val="0027457E"/>
    <w:rsid w:val="0027704F"/>
    <w:rsid w:val="00280E8B"/>
    <w:rsid w:val="00282AC7"/>
    <w:rsid w:val="00282FDE"/>
    <w:rsid w:val="00283783"/>
    <w:rsid w:val="00284743"/>
    <w:rsid w:val="00285C00"/>
    <w:rsid w:val="00291304"/>
    <w:rsid w:val="00291589"/>
    <w:rsid w:val="00291739"/>
    <w:rsid w:val="00291B4B"/>
    <w:rsid w:val="00292A1F"/>
    <w:rsid w:val="00295FFC"/>
    <w:rsid w:val="002A26E3"/>
    <w:rsid w:val="002A7DAF"/>
    <w:rsid w:val="002C1441"/>
    <w:rsid w:val="002C7966"/>
    <w:rsid w:val="002D066B"/>
    <w:rsid w:val="002D37F8"/>
    <w:rsid w:val="002E2E7D"/>
    <w:rsid w:val="002E42F0"/>
    <w:rsid w:val="002E544F"/>
    <w:rsid w:val="002E5D7F"/>
    <w:rsid w:val="002F26F3"/>
    <w:rsid w:val="00302092"/>
    <w:rsid w:val="00304A51"/>
    <w:rsid w:val="003071CF"/>
    <w:rsid w:val="00310529"/>
    <w:rsid w:val="00310A39"/>
    <w:rsid w:val="003110FE"/>
    <w:rsid w:val="00311383"/>
    <w:rsid w:val="00315606"/>
    <w:rsid w:val="00325AC7"/>
    <w:rsid w:val="003347DC"/>
    <w:rsid w:val="0033527F"/>
    <w:rsid w:val="003363C8"/>
    <w:rsid w:val="0033650B"/>
    <w:rsid w:val="00340F9E"/>
    <w:rsid w:val="0034186B"/>
    <w:rsid w:val="003511AF"/>
    <w:rsid w:val="003563EC"/>
    <w:rsid w:val="00364F7A"/>
    <w:rsid w:val="0036553F"/>
    <w:rsid w:val="0037065F"/>
    <w:rsid w:val="003727C8"/>
    <w:rsid w:val="00373FAC"/>
    <w:rsid w:val="00374AE9"/>
    <w:rsid w:val="0037545C"/>
    <w:rsid w:val="00377D2C"/>
    <w:rsid w:val="00380749"/>
    <w:rsid w:val="00381116"/>
    <w:rsid w:val="00382455"/>
    <w:rsid w:val="0038281A"/>
    <w:rsid w:val="003905C0"/>
    <w:rsid w:val="003907A7"/>
    <w:rsid w:val="00391C4F"/>
    <w:rsid w:val="003949FD"/>
    <w:rsid w:val="003969A2"/>
    <w:rsid w:val="0039768B"/>
    <w:rsid w:val="003A056F"/>
    <w:rsid w:val="003A24F3"/>
    <w:rsid w:val="003A40FA"/>
    <w:rsid w:val="003A54FC"/>
    <w:rsid w:val="003A6E66"/>
    <w:rsid w:val="003A7FA0"/>
    <w:rsid w:val="003B083E"/>
    <w:rsid w:val="003B2D6F"/>
    <w:rsid w:val="003B6CAA"/>
    <w:rsid w:val="003C0342"/>
    <w:rsid w:val="003C0F77"/>
    <w:rsid w:val="003C5718"/>
    <w:rsid w:val="003C6D00"/>
    <w:rsid w:val="003D13C2"/>
    <w:rsid w:val="003D1AD0"/>
    <w:rsid w:val="003D1ED9"/>
    <w:rsid w:val="003D3531"/>
    <w:rsid w:val="003D3F19"/>
    <w:rsid w:val="003D6FC4"/>
    <w:rsid w:val="003E59F0"/>
    <w:rsid w:val="003E64A0"/>
    <w:rsid w:val="003E67D4"/>
    <w:rsid w:val="003F1BE7"/>
    <w:rsid w:val="003F4932"/>
    <w:rsid w:val="0040160F"/>
    <w:rsid w:val="004047FB"/>
    <w:rsid w:val="00413956"/>
    <w:rsid w:val="00414CC6"/>
    <w:rsid w:val="00415759"/>
    <w:rsid w:val="00415D97"/>
    <w:rsid w:val="00417138"/>
    <w:rsid w:val="00424544"/>
    <w:rsid w:val="004261D2"/>
    <w:rsid w:val="00432820"/>
    <w:rsid w:val="0044580E"/>
    <w:rsid w:val="00445BB9"/>
    <w:rsid w:val="004516BB"/>
    <w:rsid w:val="004522B8"/>
    <w:rsid w:val="00460980"/>
    <w:rsid w:val="00461B6F"/>
    <w:rsid w:val="004645E1"/>
    <w:rsid w:val="00464A1A"/>
    <w:rsid w:val="0046679E"/>
    <w:rsid w:val="0047084E"/>
    <w:rsid w:val="00471C74"/>
    <w:rsid w:val="0048096B"/>
    <w:rsid w:val="0048117A"/>
    <w:rsid w:val="00484770"/>
    <w:rsid w:val="004853FD"/>
    <w:rsid w:val="004857DF"/>
    <w:rsid w:val="004877B4"/>
    <w:rsid w:val="00487C05"/>
    <w:rsid w:val="004937B7"/>
    <w:rsid w:val="00494FA5"/>
    <w:rsid w:val="004A2F1F"/>
    <w:rsid w:val="004A4FC0"/>
    <w:rsid w:val="004B34A9"/>
    <w:rsid w:val="004B54E4"/>
    <w:rsid w:val="004C1A1F"/>
    <w:rsid w:val="004C1CD0"/>
    <w:rsid w:val="004C2896"/>
    <w:rsid w:val="004C5260"/>
    <w:rsid w:val="004D2225"/>
    <w:rsid w:val="004D2283"/>
    <w:rsid w:val="004D25D3"/>
    <w:rsid w:val="004D46E3"/>
    <w:rsid w:val="004D4CD9"/>
    <w:rsid w:val="004D5459"/>
    <w:rsid w:val="004E22CB"/>
    <w:rsid w:val="004E301E"/>
    <w:rsid w:val="004E457E"/>
    <w:rsid w:val="004E73BC"/>
    <w:rsid w:val="004E7D11"/>
    <w:rsid w:val="004F1D82"/>
    <w:rsid w:val="004F277D"/>
    <w:rsid w:val="004F3FF4"/>
    <w:rsid w:val="004F5C9A"/>
    <w:rsid w:val="004F7675"/>
    <w:rsid w:val="00504CE1"/>
    <w:rsid w:val="0050731E"/>
    <w:rsid w:val="0050745D"/>
    <w:rsid w:val="0051245D"/>
    <w:rsid w:val="00513657"/>
    <w:rsid w:val="00515574"/>
    <w:rsid w:val="005176CE"/>
    <w:rsid w:val="005232F0"/>
    <w:rsid w:val="00526D15"/>
    <w:rsid w:val="00533A20"/>
    <w:rsid w:val="00536187"/>
    <w:rsid w:val="005374B3"/>
    <w:rsid w:val="005402C4"/>
    <w:rsid w:val="00540468"/>
    <w:rsid w:val="00542530"/>
    <w:rsid w:val="00545B2D"/>
    <w:rsid w:val="00551E38"/>
    <w:rsid w:val="00553059"/>
    <w:rsid w:val="00553962"/>
    <w:rsid w:val="005559E9"/>
    <w:rsid w:val="00566932"/>
    <w:rsid w:val="00570105"/>
    <w:rsid w:val="00572B65"/>
    <w:rsid w:val="00574026"/>
    <w:rsid w:val="00577862"/>
    <w:rsid w:val="00581F35"/>
    <w:rsid w:val="00590B93"/>
    <w:rsid w:val="00595205"/>
    <w:rsid w:val="0059739C"/>
    <w:rsid w:val="00597A6C"/>
    <w:rsid w:val="005A0441"/>
    <w:rsid w:val="005A2448"/>
    <w:rsid w:val="005A2834"/>
    <w:rsid w:val="005A3000"/>
    <w:rsid w:val="005A320B"/>
    <w:rsid w:val="005A7083"/>
    <w:rsid w:val="005A715C"/>
    <w:rsid w:val="005A7F94"/>
    <w:rsid w:val="005B0CD1"/>
    <w:rsid w:val="005B18B7"/>
    <w:rsid w:val="005B3071"/>
    <w:rsid w:val="005B445E"/>
    <w:rsid w:val="005B57A9"/>
    <w:rsid w:val="005B5B11"/>
    <w:rsid w:val="005C1E2A"/>
    <w:rsid w:val="005C34C3"/>
    <w:rsid w:val="005C3677"/>
    <w:rsid w:val="005C5780"/>
    <w:rsid w:val="005C6A45"/>
    <w:rsid w:val="005C725B"/>
    <w:rsid w:val="005D20D0"/>
    <w:rsid w:val="005D392E"/>
    <w:rsid w:val="005E06BE"/>
    <w:rsid w:val="005E0EE8"/>
    <w:rsid w:val="005E51C7"/>
    <w:rsid w:val="005E72E5"/>
    <w:rsid w:val="005F14A2"/>
    <w:rsid w:val="005F1611"/>
    <w:rsid w:val="005F18F0"/>
    <w:rsid w:val="005F6A81"/>
    <w:rsid w:val="005F777D"/>
    <w:rsid w:val="005F7AF2"/>
    <w:rsid w:val="005F7CAE"/>
    <w:rsid w:val="00600828"/>
    <w:rsid w:val="0060209F"/>
    <w:rsid w:val="006033E4"/>
    <w:rsid w:val="0060516B"/>
    <w:rsid w:val="00611A65"/>
    <w:rsid w:val="006141C6"/>
    <w:rsid w:val="00614E7F"/>
    <w:rsid w:val="006166E3"/>
    <w:rsid w:val="006233BC"/>
    <w:rsid w:val="00623A6E"/>
    <w:rsid w:val="00626FA4"/>
    <w:rsid w:val="006333C1"/>
    <w:rsid w:val="00634C26"/>
    <w:rsid w:val="0064128C"/>
    <w:rsid w:val="00655C85"/>
    <w:rsid w:val="00656A19"/>
    <w:rsid w:val="00660D80"/>
    <w:rsid w:val="0066278F"/>
    <w:rsid w:val="00666346"/>
    <w:rsid w:val="006674E9"/>
    <w:rsid w:val="00667616"/>
    <w:rsid w:val="00673B43"/>
    <w:rsid w:val="006759D5"/>
    <w:rsid w:val="006774E6"/>
    <w:rsid w:val="00680C33"/>
    <w:rsid w:val="00684EED"/>
    <w:rsid w:val="00685780"/>
    <w:rsid w:val="006874AA"/>
    <w:rsid w:val="006952A7"/>
    <w:rsid w:val="006A1F42"/>
    <w:rsid w:val="006A249A"/>
    <w:rsid w:val="006A4415"/>
    <w:rsid w:val="006A60CC"/>
    <w:rsid w:val="006A7893"/>
    <w:rsid w:val="006A7A15"/>
    <w:rsid w:val="006B0390"/>
    <w:rsid w:val="006B3692"/>
    <w:rsid w:val="006B4C6B"/>
    <w:rsid w:val="006C0D2E"/>
    <w:rsid w:val="006C45BF"/>
    <w:rsid w:val="006C45CF"/>
    <w:rsid w:val="006C7254"/>
    <w:rsid w:val="006D1900"/>
    <w:rsid w:val="006D1C21"/>
    <w:rsid w:val="006D1E42"/>
    <w:rsid w:val="006D5A41"/>
    <w:rsid w:val="006D7EA9"/>
    <w:rsid w:val="006E0147"/>
    <w:rsid w:val="006E43B0"/>
    <w:rsid w:val="006E62CD"/>
    <w:rsid w:val="006E62FA"/>
    <w:rsid w:val="006F0531"/>
    <w:rsid w:val="006F4CBF"/>
    <w:rsid w:val="007007E8"/>
    <w:rsid w:val="00704B60"/>
    <w:rsid w:val="00711B9B"/>
    <w:rsid w:val="00712156"/>
    <w:rsid w:val="0071322F"/>
    <w:rsid w:val="007135D1"/>
    <w:rsid w:val="0071640A"/>
    <w:rsid w:val="007239A4"/>
    <w:rsid w:val="007259B7"/>
    <w:rsid w:val="00727541"/>
    <w:rsid w:val="00727EE9"/>
    <w:rsid w:val="0073452D"/>
    <w:rsid w:val="00736423"/>
    <w:rsid w:val="00743E38"/>
    <w:rsid w:val="0074664D"/>
    <w:rsid w:val="00751A8F"/>
    <w:rsid w:val="007526F5"/>
    <w:rsid w:val="007527A8"/>
    <w:rsid w:val="00754616"/>
    <w:rsid w:val="00754FD6"/>
    <w:rsid w:val="007650B8"/>
    <w:rsid w:val="0076750C"/>
    <w:rsid w:val="00776AF0"/>
    <w:rsid w:val="00783C3B"/>
    <w:rsid w:val="00786A84"/>
    <w:rsid w:val="00786E7D"/>
    <w:rsid w:val="00792F19"/>
    <w:rsid w:val="007A14A5"/>
    <w:rsid w:val="007A6554"/>
    <w:rsid w:val="007A6996"/>
    <w:rsid w:val="007C0FB6"/>
    <w:rsid w:val="007C26C7"/>
    <w:rsid w:val="007D5E7F"/>
    <w:rsid w:val="007D75A5"/>
    <w:rsid w:val="007E249A"/>
    <w:rsid w:val="007E29F4"/>
    <w:rsid w:val="007E46B1"/>
    <w:rsid w:val="007E62E3"/>
    <w:rsid w:val="007F4E0B"/>
    <w:rsid w:val="007F6955"/>
    <w:rsid w:val="00801D6B"/>
    <w:rsid w:val="008172F8"/>
    <w:rsid w:val="00823386"/>
    <w:rsid w:val="008266EA"/>
    <w:rsid w:val="00826BDE"/>
    <w:rsid w:val="00834DD5"/>
    <w:rsid w:val="0083507F"/>
    <w:rsid w:val="00842E41"/>
    <w:rsid w:val="00843E24"/>
    <w:rsid w:val="008451D4"/>
    <w:rsid w:val="00846338"/>
    <w:rsid w:val="00847F22"/>
    <w:rsid w:val="00850B8F"/>
    <w:rsid w:val="00855D01"/>
    <w:rsid w:val="00862254"/>
    <w:rsid w:val="00862C24"/>
    <w:rsid w:val="0087391E"/>
    <w:rsid w:val="00873C7A"/>
    <w:rsid w:val="00874DA3"/>
    <w:rsid w:val="00881DB2"/>
    <w:rsid w:val="00883D31"/>
    <w:rsid w:val="008871DC"/>
    <w:rsid w:val="00892C90"/>
    <w:rsid w:val="008934DF"/>
    <w:rsid w:val="008A37D8"/>
    <w:rsid w:val="008A392A"/>
    <w:rsid w:val="008B2053"/>
    <w:rsid w:val="008B3950"/>
    <w:rsid w:val="008B4C34"/>
    <w:rsid w:val="008C0432"/>
    <w:rsid w:val="008C1C4D"/>
    <w:rsid w:val="008C1E01"/>
    <w:rsid w:val="008C26CD"/>
    <w:rsid w:val="008C32CC"/>
    <w:rsid w:val="008C7431"/>
    <w:rsid w:val="008D1868"/>
    <w:rsid w:val="008D361F"/>
    <w:rsid w:val="008D4EF1"/>
    <w:rsid w:val="008D5271"/>
    <w:rsid w:val="008E5380"/>
    <w:rsid w:val="008E7269"/>
    <w:rsid w:val="008F13AF"/>
    <w:rsid w:val="008F4B08"/>
    <w:rsid w:val="008F6237"/>
    <w:rsid w:val="009018EE"/>
    <w:rsid w:val="00902B36"/>
    <w:rsid w:val="00903227"/>
    <w:rsid w:val="00907C3F"/>
    <w:rsid w:val="0091162F"/>
    <w:rsid w:val="00912B4A"/>
    <w:rsid w:val="0091487E"/>
    <w:rsid w:val="00914A24"/>
    <w:rsid w:val="00916D21"/>
    <w:rsid w:val="00923EAD"/>
    <w:rsid w:val="009305BA"/>
    <w:rsid w:val="00930CF1"/>
    <w:rsid w:val="00934C44"/>
    <w:rsid w:val="00937BF2"/>
    <w:rsid w:val="00950E4C"/>
    <w:rsid w:val="009535C1"/>
    <w:rsid w:val="009540B8"/>
    <w:rsid w:val="00954252"/>
    <w:rsid w:val="0095520F"/>
    <w:rsid w:val="00961E77"/>
    <w:rsid w:val="00963C17"/>
    <w:rsid w:val="00967036"/>
    <w:rsid w:val="009706CB"/>
    <w:rsid w:val="009722AF"/>
    <w:rsid w:val="00973548"/>
    <w:rsid w:val="00977C34"/>
    <w:rsid w:val="00980284"/>
    <w:rsid w:val="009847A4"/>
    <w:rsid w:val="00985AA3"/>
    <w:rsid w:val="009877D9"/>
    <w:rsid w:val="0099134B"/>
    <w:rsid w:val="00993504"/>
    <w:rsid w:val="00993F22"/>
    <w:rsid w:val="009969DA"/>
    <w:rsid w:val="00996A1A"/>
    <w:rsid w:val="009A1B2A"/>
    <w:rsid w:val="009A5146"/>
    <w:rsid w:val="009B0432"/>
    <w:rsid w:val="009B48CD"/>
    <w:rsid w:val="009B7D70"/>
    <w:rsid w:val="009C181B"/>
    <w:rsid w:val="009C2F8E"/>
    <w:rsid w:val="009C58E1"/>
    <w:rsid w:val="009D0727"/>
    <w:rsid w:val="009D3D93"/>
    <w:rsid w:val="009D685D"/>
    <w:rsid w:val="009E08E3"/>
    <w:rsid w:val="009E3D58"/>
    <w:rsid w:val="009E4CB6"/>
    <w:rsid w:val="009E756B"/>
    <w:rsid w:val="009F5F66"/>
    <w:rsid w:val="009F6308"/>
    <w:rsid w:val="00A022AC"/>
    <w:rsid w:val="00A028C7"/>
    <w:rsid w:val="00A05556"/>
    <w:rsid w:val="00A05D55"/>
    <w:rsid w:val="00A0640B"/>
    <w:rsid w:val="00A068AA"/>
    <w:rsid w:val="00A20D0F"/>
    <w:rsid w:val="00A20E77"/>
    <w:rsid w:val="00A22F56"/>
    <w:rsid w:val="00A321C1"/>
    <w:rsid w:val="00A33617"/>
    <w:rsid w:val="00A35CA1"/>
    <w:rsid w:val="00A441E2"/>
    <w:rsid w:val="00A51984"/>
    <w:rsid w:val="00A547B4"/>
    <w:rsid w:val="00A55A59"/>
    <w:rsid w:val="00A6194A"/>
    <w:rsid w:val="00A62362"/>
    <w:rsid w:val="00A62EBF"/>
    <w:rsid w:val="00A64666"/>
    <w:rsid w:val="00A65B51"/>
    <w:rsid w:val="00A76DD2"/>
    <w:rsid w:val="00A80C57"/>
    <w:rsid w:val="00A832A6"/>
    <w:rsid w:val="00A83EB9"/>
    <w:rsid w:val="00A854FB"/>
    <w:rsid w:val="00A86239"/>
    <w:rsid w:val="00A87CA8"/>
    <w:rsid w:val="00A90E6F"/>
    <w:rsid w:val="00A9766B"/>
    <w:rsid w:val="00AA0443"/>
    <w:rsid w:val="00AA1E56"/>
    <w:rsid w:val="00AC11E1"/>
    <w:rsid w:val="00AC1248"/>
    <w:rsid w:val="00AC331E"/>
    <w:rsid w:val="00AD05EF"/>
    <w:rsid w:val="00AD7A8F"/>
    <w:rsid w:val="00AE057B"/>
    <w:rsid w:val="00AE67B1"/>
    <w:rsid w:val="00AE7686"/>
    <w:rsid w:val="00AE7D09"/>
    <w:rsid w:val="00AF1BB9"/>
    <w:rsid w:val="00AF41CB"/>
    <w:rsid w:val="00AF53D9"/>
    <w:rsid w:val="00B00FA1"/>
    <w:rsid w:val="00B02F02"/>
    <w:rsid w:val="00B04C98"/>
    <w:rsid w:val="00B05784"/>
    <w:rsid w:val="00B07128"/>
    <w:rsid w:val="00B11DFC"/>
    <w:rsid w:val="00B12976"/>
    <w:rsid w:val="00B13246"/>
    <w:rsid w:val="00B1398B"/>
    <w:rsid w:val="00B139D6"/>
    <w:rsid w:val="00B217D3"/>
    <w:rsid w:val="00B27B01"/>
    <w:rsid w:val="00B30B89"/>
    <w:rsid w:val="00B340FE"/>
    <w:rsid w:val="00B343B2"/>
    <w:rsid w:val="00B37616"/>
    <w:rsid w:val="00B43EE6"/>
    <w:rsid w:val="00B47F77"/>
    <w:rsid w:val="00B538D2"/>
    <w:rsid w:val="00B568A1"/>
    <w:rsid w:val="00B606B3"/>
    <w:rsid w:val="00B65E0C"/>
    <w:rsid w:val="00B67991"/>
    <w:rsid w:val="00B71DA6"/>
    <w:rsid w:val="00B71E8E"/>
    <w:rsid w:val="00B7218D"/>
    <w:rsid w:val="00B7409E"/>
    <w:rsid w:val="00B756D4"/>
    <w:rsid w:val="00B77398"/>
    <w:rsid w:val="00B7793F"/>
    <w:rsid w:val="00B86A14"/>
    <w:rsid w:val="00B87225"/>
    <w:rsid w:val="00B877B8"/>
    <w:rsid w:val="00B9341E"/>
    <w:rsid w:val="00B9394F"/>
    <w:rsid w:val="00B96D00"/>
    <w:rsid w:val="00BA30E5"/>
    <w:rsid w:val="00BA3747"/>
    <w:rsid w:val="00BA6FCF"/>
    <w:rsid w:val="00BA70BC"/>
    <w:rsid w:val="00BB280D"/>
    <w:rsid w:val="00BB5133"/>
    <w:rsid w:val="00BB6E89"/>
    <w:rsid w:val="00BB7FB0"/>
    <w:rsid w:val="00BC5A48"/>
    <w:rsid w:val="00BC7377"/>
    <w:rsid w:val="00BD0966"/>
    <w:rsid w:val="00BD3362"/>
    <w:rsid w:val="00BD50D0"/>
    <w:rsid w:val="00BE07CF"/>
    <w:rsid w:val="00BF77B9"/>
    <w:rsid w:val="00BF77BF"/>
    <w:rsid w:val="00BF7D6F"/>
    <w:rsid w:val="00C042CC"/>
    <w:rsid w:val="00C06CAA"/>
    <w:rsid w:val="00C07A2A"/>
    <w:rsid w:val="00C10E5B"/>
    <w:rsid w:val="00C10F09"/>
    <w:rsid w:val="00C1313E"/>
    <w:rsid w:val="00C17E0E"/>
    <w:rsid w:val="00C202A1"/>
    <w:rsid w:val="00C25551"/>
    <w:rsid w:val="00C31BE0"/>
    <w:rsid w:val="00C32163"/>
    <w:rsid w:val="00C36433"/>
    <w:rsid w:val="00C37AD4"/>
    <w:rsid w:val="00C425E7"/>
    <w:rsid w:val="00C519E0"/>
    <w:rsid w:val="00C52FA8"/>
    <w:rsid w:val="00C548E3"/>
    <w:rsid w:val="00C54CAC"/>
    <w:rsid w:val="00C6343E"/>
    <w:rsid w:val="00C67F09"/>
    <w:rsid w:val="00C71AF3"/>
    <w:rsid w:val="00C741FA"/>
    <w:rsid w:val="00C745C0"/>
    <w:rsid w:val="00C7785A"/>
    <w:rsid w:val="00C81181"/>
    <w:rsid w:val="00C866EF"/>
    <w:rsid w:val="00C87E07"/>
    <w:rsid w:val="00C916BE"/>
    <w:rsid w:val="00C92117"/>
    <w:rsid w:val="00C93F96"/>
    <w:rsid w:val="00CA1CB2"/>
    <w:rsid w:val="00CA48CA"/>
    <w:rsid w:val="00CA50E8"/>
    <w:rsid w:val="00CA58AD"/>
    <w:rsid w:val="00CB2FD3"/>
    <w:rsid w:val="00CB3AD2"/>
    <w:rsid w:val="00CB54F8"/>
    <w:rsid w:val="00CB621E"/>
    <w:rsid w:val="00CC6699"/>
    <w:rsid w:val="00CC7E37"/>
    <w:rsid w:val="00CD2713"/>
    <w:rsid w:val="00CD412A"/>
    <w:rsid w:val="00CD4942"/>
    <w:rsid w:val="00CD4EDD"/>
    <w:rsid w:val="00CE15D5"/>
    <w:rsid w:val="00CE2E89"/>
    <w:rsid w:val="00CE755A"/>
    <w:rsid w:val="00CF3D2A"/>
    <w:rsid w:val="00CF54A0"/>
    <w:rsid w:val="00D07A64"/>
    <w:rsid w:val="00D10AC9"/>
    <w:rsid w:val="00D1593D"/>
    <w:rsid w:val="00D17C3C"/>
    <w:rsid w:val="00D17EF7"/>
    <w:rsid w:val="00D23FD4"/>
    <w:rsid w:val="00D30D4D"/>
    <w:rsid w:val="00D32E4D"/>
    <w:rsid w:val="00D43101"/>
    <w:rsid w:val="00D43CA8"/>
    <w:rsid w:val="00D45446"/>
    <w:rsid w:val="00D533F0"/>
    <w:rsid w:val="00D53C5F"/>
    <w:rsid w:val="00D55095"/>
    <w:rsid w:val="00D55E92"/>
    <w:rsid w:val="00D61C14"/>
    <w:rsid w:val="00D639D5"/>
    <w:rsid w:val="00D63A8E"/>
    <w:rsid w:val="00D6651E"/>
    <w:rsid w:val="00D73B22"/>
    <w:rsid w:val="00D75E01"/>
    <w:rsid w:val="00D75E9A"/>
    <w:rsid w:val="00D7615F"/>
    <w:rsid w:val="00D76972"/>
    <w:rsid w:val="00D80670"/>
    <w:rsid w:val="00D81506"/>
    <w:rsid w:val="00D81659"/>
    <w:rsid w:val="00D81E38"/>
    <w:rsid w:val="00D835F0"/>
    <w:rsid w:val="00D92FC7"/>
    <w:rsid w:val="00DA1872"/>
    <w:rsid w:val="00DA1E66"/>
    <w:rsid w:val="00DA3B8E"/>
    <w:rsid w:val="00DA57DB"/>
    <w:rsid w:val="00DA662F"/>
    <w:rsid w:val="00DB1A23"/>
    <w:rsid w:val="00DB2AE6"/>
    <w:rsid w:val="00DB32EB"/>
    <w:rsid w:val="00DC312D"/>
    <w:rsid w:val="00DD0351"/>
    <w:rsid w:val="00DD2F78"/>
    <w:rsid w:val="00DD4409"/>
    <w:rsid w:val="00DD7211"/>
    <w:rsid w:val="00DE0653"/>
    <w:rsid w:val="00DE0790"/>
    <w:rsid w:val="00DE085F"/>
    <w:rsid w:val="00DE33FF"/>
    <w:rsid w:val="00DE423C"/>
    <w:rsid w:val="00DE6C24"/>
    <w:rsid w:val="00DF5B52"/>
    <w:rsid w:val="00E00F63"/>
    <w:rsid w:val="00E07D1E"/>
    <w:rsid w:val="00E11367"/>
    <w:rsid w:val="00E11D4F"/>
    <w:rsid w:val="00E14CC4"/>
    <w:rsid w:val="00E20BA0"/>
    <w:rsid w:val="00E216F9"/>
    <w:rsid w:val="00E31A0E"/>
    <w:rsid w:val="00E32C70"/>
    <w:rsid w:val="00E3320A"/>
    <w:rsid w:val="00E33BE2"/>
    <w:rsid w:val="00E35DDD"/>
    <w:rsid w:val="00E36A1A"/>
    <w:rsid w:val="00E40D10"/>
    <w:rsid w:val="00E412DA"/>
    <w:rsid w:val="00E4200A"/>
    <w:rsid w:val="00E43ED5"/>
    <w:rsid w:val="00E47BDC"/>
    <w:rsid w:val="00E55C55"/>
    <w:rsid w:val="00E604B2"/>
    <w:rsid w:val="00E60BAA"/>
    <w:rsid w:val="00E626D1"/>
    <w:rsid w:val="00E6663D"/>
    <w:rsid w:val="00E66BCB"/>
    <w:rsid w:val="00E83444"/>
    <w:rsid w:val="00E83D0C"/>
    <w:rsid w:val="00E869CB"/>
    <w:rsid w:val="00E869CC"/>
    <w:rsid w:val="00E87729"/>
    <w:rsid w:val="00E87E18"/>
    <w:rsid w:val="00E942FF"/>
    <w:rsid w:val="00E970D8"/>
    <w:rsid w:val="00EA4249"/>
    <w:rsid w:val="00EA4F86"/>
    <w:rsid w:val="00EB0E94"/>
    <w:rsid w:val="00EB14BD"/>
    <w:rsid w:val="00EB1577"/>
    <w:rsid w:val="00EB3811"/>
    <w:rsid w:val="00EB619C"/>
    <w:rsid w:val="00EB6245"/>
    <w:rsid w:val="00EB67C3"/>
    <w:rsid w:val="00EB6C87"/>
    <w:rsid w:val="00EC5281"/>
    <w:rsid w:val="00ED24B7"/>
    <w:rsid w:val="00ED3378"/>
    <w:rsid w:val="00ED4BB8"/>
    <w:rsid w:val="00ED7E94"/>
    <w:rsid w:val="00EE00D1"/>
    <w:rsid w:val="00EE550E"/>
    <w:rsid w:val="00EE7B6C"/>
    <w:rsid w:val="00EF1C7A"/>
    <w:rsid w:val="00EF52F3"/>
    <w:rsid w:val="00EF59F7"/>
    <w:rsid w:val="00EF671D"/>
    <w:rsid w:val="00F03BD6"/>
    <w:rsid w:val="00F0632F"/>
    <w:rsid w:val="00F118AD"/>
    <w:rsid w:val="00F24433"/>
    <w:rsid w:val="00F249B5"/>
    <w:rsid w:val="00F27226"/>
    <w:rsid w:val="00F30966"/>
    <w:rsid w:val="00F31598"/>
    <w:rsid w:val="00F348D0"/>
    <w:rsid w:val="00F3730B"/>
    <w:rsid w:val="00F41181"/>
    <w:rsid w:val="00F4209D"/>
    <w:rsid w:val="00F43DAF"/>
    <w:rsid w:val="00F45CBF"/>
    <w:rsid w:val="00F47799"/>
    <w:rsid w:val="00F5066B"/>
    <w:rsid w:val="00F558FE"/>
    <w:rsid w:val="00F57B7C"/>
    <w:rsid w:val="00F62596"/>
    <w:rsid w:val="00F644BF"/>
    <w:rsid w:val="00F6564A"/>
    <w:rsid w:val="00F700F7"/>
    <w:rsid w:val="00F74831"/>
    <w:rsid w:val="00F758AD"/>
    <w:rsid w:val="00F75C8C"/>
    <w:rsid w:val="00F83885"/>
    <w:rsid w:val="00F83E45"/>
    <w:rsid w:val="00F846C9"/>
    <w:rsid w:val="00F87984"/>
    <w:rsid w:val="00F90910"/>
    <w:rsid w:val="00F90B8C"/>
    <w:rsid w:val="00F9175D"/>
    <w:rsid w:val="00F950E3"/>
    <w:rsid w:val="00FA2D08"/>
    <w:rsid w:val="00FA34A8"/>
    <w:rsid w:val="00FA5EF2"/>
    <w:rsid w:val="00FB06E7"/>
    <w:rsid w:val="00FB0CFC"/>
    <w:rsid w:val="00FB1C2E"/>
    <w:rsid w:val="00FB458C"/>
    <w:rsid w:val="00FB4EA2"/>
    <w:rsid w:val="00FB5F4F"/>
    <w:rsid w:val="00FB764D"/>
    <w:rsid w:val="00FB78F6"/>
    <w:rsid w:val="00FC0B66"/>
    <w:rsid w:val="00FC1203"/>
    <w:rsid w:val="00FD42B5"/>
    <w:rsid w:val="00FD5163"/>
    <w:rsid w:val="00FE6D32"/>
    <w:rsid w:val="00FE784C"/>
    <w:rsid w:val="00FF1D3E"/>
    <w:rsid w:val="00FF24FC"/>
    <w:rsid w:val="00FF4C4F"/>
    <w:rsid w:val="00FF4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DC7C1F"/>
  <w15:docId w15:val="{D9E80421-BBE7-489F-A476-0A2148C37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F22"/>
    <w:pPr>
      <w:spacing w:after="160" w:line="259" w:lineRule="auto"/>
    </w:pPr>
    <w:rPr>
      <w:rFonts w:asciiTheme="minorHAnsi" w:eastAsia="Times New Roman"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
    <w:name w:val="Light Grid"/>
    <w:basedOn w:val="TableNormal"/>
    <w:uiPriority w:val="62"/>
    <w:rsid w:val="00023CA9"/>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BalloonText">
    <w:name w:val="Balloon Text"/>
    <w:basedOn w:val="Normal"/>
    <w:link w:val="BalloonTextChar"/>
    <w:uiPriority w:val="99"/>
    <w:semiHidden/>
    <w:unhideWhenUsed/>
    <w:rsid w:val="00E626D1"/>
    <w:rPr>
      <w:rFonts w:ascii="Segoe UI" w:hAnsi="Segoe UI" w:cs="Segoe UI"/>
      <w:sz w:val="18"/>
      <w:szCs w:val="18"/>
    </w:rPr>
  </w:style>
  <w:style w:type="character" w:customStyle="1" w:styleId="BalloonTextChar">
    <w:name w:val="Balloon Text Char"/>
    <w:link w:val="BalloonText"/>
    <w:uiPriority w:val="99"/>
    <w:semiHidden/>
    <w:rsid w:val="00E626D1"/>
    <w:rPr>
      <w:rFonts w:ascii="Segoe UI" w:hAnsi="Segoe UI" w:cs="Segoe UI"/>
      <w:sz w:val="18"/>
      <w:szCs w:val="18"/>
    </w:rPr>
  </w:style>
  <w:style w:type="paragraph" w:styleId="Header">
    <w:name w:val="header"/>
    <w:basedOn w:val="Normal"/>
    <w:link w:val="HeaderChar"/>
    <w:uiPriority w:val="99"/>
    <w:unhideWhenUsed/>
    <w:rsid w:val="004F3FF4"/>
    <w:pPr>
      <w:tabs>
        <w:tab w:val="center" w:pos="4680"/>
        <w:tab w:val="right" w:pos="9360"/>
      </w:tabs>
    </w:pPr>
  </w:style>
  <w:style w:type="character" w:customStyle="1" w:styleId="HeaderChar">
    <w:name w:val="Header Char"/>
    <w:basedOn w:val="DefaultParagraphFont"/>
    <w:link w:val="Header"/>
    <w:uiPriority w:val="99"/>
    <w:rsid w:val="004F3FF4"/>
  </w:style>
  <w:style w:type="paragraph" w:styleId="Footer">
    <w:name w:val="footer"/>
    <w:basedOn w:val="Normal"/>
    <w:link w:val="FooterChar"/>
    <w:uiPriority w:val="99"/>
    <w:unhideWhenUsed/>
    <w:rsid w:val="004F3FF4"/>
    <w:pPr>
      <w:tabs>
        <w:tab w:val="center" w:pos="4680"/>
        <w:tab w:val="right" w:pos="9360"/>
      </w:tabs>
    </w:pPr>
  </w:style>
  <w:style w:type="character" w:customStyle="1" w:styleId="FooterChar">
    <w:name w:val="Footer Char"/>
    <w:basedOn w:val="DefaultParagraphFont"/>
    <w:link w:val="Footer"/>
    <w:uiPriority w:val="99"/>
    <w:rsid w:val="004F3FF4"/>
  </w:style>
  <w:style w:type="paragraph" w:styleId="ListParagraph">
    <w:name w:val="List Paragraph"/>
    <w:basedOn w:val="Normal"/>
    <w:uiPriority w:val="34"/>
    <w:qFormat/>
    <w:rsid w:val="00FF4D95"/>
    <w:pPr>
      <w:ind w:left="720"/>
      <w:contextualSpacing/>
    </w:pPr>
  </w:style>
  <w:style w:type="table" w:customStyle="1" w:styleId="LightGrid1">
    <w:name w:val="Light Grid1"/>
    <w:basedOn w:val="TableNormal"/>
    <w:next w:val="LightGrid"/>
    <w:uiPriority w:val="62"/>
    <w:rsid w:val="00304A5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2">
    <w:name w:val="Light Grid2"/>
    <w:basedOn w:val="TableNormal"/>
    <w:next w:val="LightGrid"/>
    <w:uiPriority w:val="62"/>
    <w:rsid w:val="00656A19"/>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3">
    <w:name w:val="Light Grid3"/>
    <w:basedOn w:val="TableNormal"/>
    <w:next w:val="LightGrid"/>
    <w:uiPriority w:val="62"/>
    <w:rsid w:val="00656A19"/>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4">
    <w:name w:val="Light Grid4"/>
    <w:basedOn w:val="TableNormal"/>
    <w:next w:val="LightGrid"/>
    <w:uiPriority w:val="62"/>
    <w:rsid w:val="008C1C4D"/>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5">
    <w:name w:val="Light Grid5"/>
    <w:basedOn w:val="TableNormal"/>
    <w:next w:val="LightGrid"/>
    <w:uiPriority w:val="62"/>
    <w:rsid w:val="006141C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Arial Black"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Arial Black"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Arial Black" w:hAnsi="Calibri Light" w:cs="Times New Roman"/>
        <w:b/>
        <w:bCs/>
      </w:rPr>
    </w:tblStylePr>
    <w:tblStylePr w:type="lastCol">
      <w:rPr>
        <w:rFonts w:ascii="Calibri Light" w:eastAsia="Arial Black"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TableGrid">
    <w:name w:val="Table Grid"/>
    <w:basedOn w:val="TableNormal"/>
    <w:uiPriority w:val="39"/>
    <w:rsid w:val="00A623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1">
    <w:name w:val="Light Grid11"/>
    <w:basedOn w:val="TableNormal"/>
    <w:next w:val="LightGrid"/>
    <w:uiPriority w:val="62"/>
    <w:rsid w:val="008D4EF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FootnoteText">
    <w:name w:val="footnote text"/>
    <w:basedOn w:val="Normal"/>
    <w:link w:val="FootnoteTextChar"/>
    <w:uiPriority w:val="99"/>
    <w:semiHidden/>
    <w:unhideWhenUsed/>
    <w:rsid w:val="00712156"/>
    <w:rPr>
      <w:sz w:val="20"/>
      <w:szCs w:val="20"/>
    </w:rPr>
  </w:style>
  <w:style w:type="character" w:customStyle="1" w:styleId="FootnoteTextChar">
    <w:name w:val="Footnote Text Char"/>
    <w:link w:val="FootnoteText"/>
    <w:uiPriority w:val="99"/>
    <w:semiHidden/>
    <w:rsid w:val="00712156"/>
    <w:rPr>
      <w:sz w:val="20"/>
      <w:szCs w:val="20"/>
    </w:rPr>
  </w:style>
  <w:style w:type="character" w:styleId="FootnoteReference">
    <w:name w:val="footnote reference"/>
    <w:uiPriority w:val="99"/>
    <w:semiHidden/>
    <w:unhideWhenUsed/>
    <w:rsid w:val="00712156"/>
    <w:rPr>
      <w:vertAlign w:val="superscript"/>
    </w:rPr>
  </w:style>
  <w:style w:type="table" w:customStyle="1" w:styleId="LightGrid6">
    <w:name w:val="Light Grid6"/>
    <w:basedOn w:val="TableNormal"/>
    <w:next w:val="LightGrid"/>
    <w:uiPriority w:val="62"/>
    <w:rsid w:val="00F7483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7">
    <w:name w:val="Light Grid7"/>
    <w:basedOn w:val="TableNormal"/>
    <w:next w:val="LightGrid"/>
    <w:uiPriority w:val="62"/>
    <w:rsid w:val="00A20E77"/>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CommentReference">
    <w:name w:val="annotation reference"/>
    <w:uiPriority w:val="99"/>
    <w:semiHidden/>
    <w:unhideWhenUsed/>
    <w:rsid w:val="004E7D11"/>
    <w:rPr>
      <w:sz w:val="16"/>
      <w:szCs w:val="16"/>
    </w:rPr>
  </w:style>
  <w:style w:type="paragraph" w:styleId="CommentText">
    <w:name w:val="annotation text"/>
    <w:basedOn w:val="Normal"/>
    <w:link w:val="CommentTextChar"/>
    <w:uiPriority w:val="99"/>
    <w:semiHidden/>
    <w:unhideWhenUsed/>
    <w:rsid w:val="004E7D11"/>
    <w:rPr>
      <w:sz w:val="20"/>
      <w:szCs w:val="20"/>
    </w:rPr>
  </w:style>
  <w:style w:type="character" w:customStyle="1" w:styleId="CommentTextChar">
    <w:name w:val="Comment Text Char"/>
    <w:basedOn w:val="DefaultParagraphFont"/>
    <w:link w:val="CommentText"/>
    <w:uiPriority w:val="99"/>
    <w:semiHidden/>
    <w:rsid w:val="004E7D11"/>
  </w:style>
  <w:style w:type="paragraph" w:styleId="CommentSubject">
    <w:name w:val="annotation subject"/>
    <w:basedOn w:val="CommentText"/>
    <w:next w:val="CommentText"/>
    <w:link w:val="CommentSubjectChar"/>
    <w:uiPriority w:val="99"/>
    <w:semiHidden/>
    <w:unhideWhenUsed/>
    <w:rsid w:val="004E7D11"/>
    <w:rPr>
      <w:b/>
      <w:bCs/>
    </w:rPr>
  </w:style>
  <w:style w:type="character" w:customStyle="1" w:styleId="CommentSubjectChar">
    <w:name w:val="Comment Subject Char"/>
    <w:link w:val="CommentSubject"/>
    <w:uiPriority w:val="99"/>
    <w:semiHidden/>
    <w:rsid w:val="004E7D11"/>
    <w:rPr>
      <w:b/>
      <w:bCs/>
    </w:rPr>
  </w:style>
  <w:style w:type="paragraph" w:styleId="Revision">
    <w:name w:val="Revision"/>
    <w:hidden/>
    <w:uiPriority w:val="99"/>
    <w:semiHidden/>
    <w:rsid w:val="00A51984"/>
    <w:rPr>
      <w:sz w:val="24"/>
      <w:szCs w:val="24"/>
    </w:rPr>
  </w:style>
  <w:style w:type="character" w:customStyle="1" w:styleId="HeaderChar1">
    <w:name w:val="Header Char1"/>
    <w:basedOn w:val="DefaultParagraphFont"/>
    <w:uiPriority w:val="99"/>
    <w:locked/>
    <w:rsid w:val="007A14A5"/>
  </w:style>
  <w:style w:type="character" w:styleId="Hyperlink">
    <w:name w:val="Hyperlink"/>
    <w:basedOn w:val="DefaultParagraphFont"/>
    <w:uiPriority w:val="99"/>
    <w:unhideWhenUsed/>
    <w:rsid w:val="000D044F"/>
    <w:rPr>
      <w:color w:val="0563C1" w:themeColor="hyperlink"/>
      <w:u w:val="single"/>
    </w:rPr>
  </w:style>
  <w:style w:type="character" w:styleId="FollowedHyperlink">
    <w:name w:val="FollowedHyperlink"/>
    <w:basedOn w:val="DefaultParagraphFont"/>
    <w:uiPriority w:val="99"/>
    <w:semiHidden/>
    <w:unhideWhenUsed/>
    <w:rsid w:val="00B071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05718">
      <w:bodyDiv w:val="1"/>
      <w:marLeft w:val="0"/>
      <w:marRight w:val="0"/>
      <w:marTop w:val="0"/>
      <w:marBottom w:val="0"/>
      <w:divBdr>
        <w:top w:val="none" w:sz="0" w:space="0" w:color="auto"/>
        <w:left w:val="none" w:sz="0" w:space="0" w:color="auto"/>
        <w:bottom w:val="none" w:sz="0" w:space="0" w:color="auto"/>
        <w:right w:val="none" w:sz="0" w:space="0" w:color="auto"/>
      </w:divBdr>
    </w:div>
    <w:div w:id="127167766">
      <w:bodyDiv w:val="1"/>
      <w:marLeft w:val="0"/>
      <w:marRight w:val="0"/>
      <w:marTop w:val="0"/>
      <w:marBottom w:val="0"/>
      <w:divBdr>
        <w:top w:val="none" w:sz="0" w:space="0" w:color="auto"/>
        <w:left w:val="none" w:sz="0" w:space="0" w:color="auto"/>
        <w:bottom w:val="none" w:sz="0" w:space="0" w:color="auto"/>
        <w:right w:val="none" w:sz="0" w:space="0" w:color="auto"/>
      </w:divBdr>
    </w:div>
    <w:div w:id="252321256">
      <w:bodyDiv w:val="1"/>
      <w:marLeft w:val="0"/>
      <w:marRight w:val="0"/>
      <w:marTop w:val="0"/>
      <w:marBottom w:val="0"/>
      <w:divBdr>
        <w:top w:val="none" w:sz="0" w:space="0" w:color="auto"/>
        <w:left w:val="none" w:sz="0" w:space="0" w:color="auto"/>
        <w:bottom w:val="none" w:sz="0" w:space="0" w:color="auto"/>
        <w:right w:val="none" w:sz="0" w:space="0" w:color="auto"/>
      </w:divBdr>
    </w:div>
    <w:div w:id="269123502">
      <w:bodyDiv w:val="1"/>
      <w:marLeft w:val="0"/>
      <w:marRight w:val="0"/>
      <w:marTop w:val="0"/>
      <w:marBottom w:val="0"/>
      <w:divBdr>
        <w:top w:val="none" w:sz="0" w:space="0" w:color="auto"/>
        <w:left w:val="none" w:sz="0" w:space="0" w:color="auto"/>
        <w:bottom w:val="none" w:sz="0" w:space="0" w:color="auto"/>
        <w:right w:val="none" w:sz="0" w:space="0" w:color="auto"/>
      </w:divBdr>
    </w:div>
    <w:div w:id="286395743">
      <w:bodyDiv w:val="1"/>
      <w:marLeft w:val="0"/>
      <w:marRight w:val="0"/>
      <w:marTop w:val="0"/>
      <w:marBottom w:val="0"/>
      <w:divBdr>
        <w:top w:val="none" w:sz="0" w:space="0" w:color="auto"/>
        <w:left w:val="none" w:sz="0" w:space="0" w:color="auto"/>
        <w:bottom w:val="none" w:sz="0" w:space="0" w:color="auto"/>
        <w:right w:val="none" w:sz="0" w:space="0" w:color="auto"/>
      </w:divBdr>
    </w:div>
    <w:div w:id="325717292">
      <w:bodyDiv w:val="1"/>
      <w:marLeft w:val="0"/>
      <w:marRight w:val="0"/>
      <w:marTop w:val="0"/>
      <w:marBottom w:val="0"/>
      <w:divBdr>
        <w:top w:val="none" w:sz="0" w:space="0" w:color="auto"/>
        <w:left w:val="none" w:sz="0" w:space="0" w:color="auto"/>
        <w:bottom w:val="none" w:sz="0" w:space="0" w:color="auto"/>
        <w:right w:val="none" w:sz="0" w:space="0" w:color="auto"/>
      </w:divBdr>
    </w:div>
    <w:div w:id="353729306">
      <w:bodyDiv w:val="1"/>
      <w:marLeft w:val="0"/>
      <w:marRight w:val="0"/>
      <w:marTop w:val="0"/>
      <w:marBottom w:val="0"/>
      <w:divBdr>
        <w:top w:val="none" w:sz="0" w:space="0" w:color="auto"/>
        <w:left w:val="none" w:sz="0" w:space="0" w:color="auto"/>
        <w:bottom w:val="none" w:sz="0" w:space="0" w:color="auto"/>
        <w:right w:val="none" w:sz="0" w:space="0" w:color="auto"/>
      </w:divBdr>
    </w:div>
    <w:div w:id="355082397">
      <w:bodyDiv w:val="1"/>
      <w:marLeft w:val="0"/>
      <w:marRight w:val="0"/>
      <w:marTop w:val="0"/>
      <w:marBottom w:val="0"/>
      <w:divBdr>
        <w:top w:val="none" w:sz="0" w:space="0" w:color="auto"/>
        <w:left w:val="none" w:sz="0" w:space="0" w:color="auto"/>
        <w:bottom w:val="none" w:sz="0" w:space="0" w:color="auto"/>
        <w:right w:val="none" w:sz="0" w:space="0" w:color="auto"/>
      </w:divBdr>
    </w:div>
    <w:div w:id="359431979">
      <w:bodyDiv w:val="1"/>
      <w:marLeft w:val="0"/>
      <w:marRight w:val="0"/>
      <w:marTop w:val="0"/>
      <w:marBottom w:val="0"/>
      <w:divBdr>
        <w:top w:val="none" w:sz="0" w:space="0" w:color="auto"/>
        <w:left w:val="none" w:sz="0" w:space="0" w:color="auto"/>
        <w:bottom w:val="none" w:sz="0" w:space="0" w:color="auto"/>
        <w:right w:val="none" w:sz="0" w:space="0" w:color="auto"/>
      </w:divBdr>
    </w:div>
    <w:div w:id="404181955">
      <w:bodyDiv w:val="1"/>
      <w:marLeft w:val="0"/>
      <w:marRight w:val="0"/>
      <w:marTop w:val="0"/>
      <w:marBottom w:val="0"/>
      <w:divBdr>
        <w:top w:val="none" w:sz="0" w:space="0" w:color="auto"/>
        <w:left w:val="none" w:sz="0" w:space="0" w:color="auto"/>
        <w:bottom w:val="none" w:sz="0" w:space="0" w:color="auto"/>
        <w:right w:val="none" w:sz="0" w:space="0" w:color="auto"/>
      </w:divBdr>
    </w:div>
    <w:div w:id="443236629">
      <w:bodyDiv w:val="1"/>
      <w:marLeft w:val="0"/>
      <w:marRight w:val="0"/>
      <w:marTop w:val="0"/>
      <w:marBottom w:val="0"/>
      <w:divBdr>
        <w:top w:val="none" w:sz="0" w:space="0" w:color="auto"/>
        <w:left w:val="none" w:sz="0" w:space="0" w:color="auto"/>
        <w:bottom w:val="none" w:sz="0" w:space="0" w:color="auto"/>
        <w:right w:val="none" w:sz="0" w:space="0" w:color="auto"/>
      </w:divBdr>
    </w:div>
    <w:div w:id="446580734">
      <w:bodyDiv w:val="1"/>
      <w:marLeft w:val="0"/>
      <w:marRight w:val="0"/>
      <w:marTop w:val="0"/>
      <w:marBottom w:val="0"/>
      <w:divBdr>
        <w:top w:val="none" w:sz="0" w:space="0" w:color="auto"/>
        <w:left w:val="none" w:sz="0" w:space="0" w:color="auto"/>
        <w:bottom w:val="none" w:sz="0" w:space="0" w:color="auto"/>
        <w:right w:val="none" w:sz="0" w:space="0" w:color="auto"/>
      </w:divBdr>
    </w:div>
    <w:div w:id="458693352">
      <w:bodyDiv w:val="1"/>
      <w:marLeft w:val="0"/>
      <w:marRight w:val="0"/>
      <w:marTop w:val="0"/>
      <w:marBottom w:val="0"/>
      <w:divBdr>
        <w:top w:val="none" w:sz="0" w:space="0" w:color="auto"/>
        <w:left w:val="none" w:sz="0" w:space="0" w:color="auto"/>
        <w:bottom w:val="none" w:sz="0" w:space="0" w:color="auto"/>
        <w:right w:val="none" w:sz="0" w:space="0" w:color="auto"/>
      </w:divBdr>
    </w:div>
    <w:div w:id="469439596">
      <w:bodyDiv w:val="1"/>
      <w:marLeft w:val="0"/>
      <w:marRight w:val="0"/>
      <w:marTop w:val="0"/>
      <w:marBottom w:val="0"/>
      <w:divBdr>
        <w:top w:val="none" w:sz="0" w:space="0" w:color="auto"/>
        <w:left w:val="none" w:sz="0" w:space="0" w:color="auto"/>
        <w:bottom w:val="none" w:sz="0" w:space="0" w:color="auto"/>
        <w:right w:val="none" w:sz="0" w:space="0" w:color="auto"/>
      </w:divBdr>
    </w:div>
    <w:div w:id="489491937">
      <w:bodyDiv w:val="1"/>
      <w:marLeft w:val="0"/>
      <w:marRight w:val="0"/>
      <w:marTop w:val="0"/>
      <w:marBottom w:val="0"/>
      <w:divBdr>
        <w:top w:val="none" w:sz="0" w:space="0" w:color="auto"/>
        <w:left w:val="none" w:sz="0" w:space="0" w:color="auto"/>
        <w:bottom w:val="none" w:sz="0" w:space="0" w:color="auto"/>
        <w:right w:val="none" w:sz="0" w:space="0" w:color="auto"/>
      </w:divBdr>
    </w:div>
    <w:div w:id="504172130">
      <w:bodyDiv w:val="1"/>
      <w:marLeft w:val="0"/>
      <w:marRight w:val="0"/>
      <w:marTop w:val="0"/>
      <w:marBottom w:val="0"/>
      <w:divBdr>
        <w:top w:val="none" w:sz="0" w:space="0" w:color="auto"/>
        <w:left w:val="none" w:sz="0" w:space="0" w:color="auto"/>
        <w:bottom w:val="none" w:sz="0" w:space="0" w:color="auto"/>
        <w:right w:val="none" w:sz="0" w:space="0" w:color="auto"/>
      </w:divBdr>
    </w:div>
    <w:div w:id="513344536">
      <w:bodyDiv w:val="1"/>
      <w:marLeft w:val="0"/>
      <w:marRight w:val="0"/>
      <w:marTop w:val="0"/>
      <w:marBottom w:val="0"/>
      <w:divBdr>
        <w:top w:val="none" w:sz="0" w:space="0" w:color="auto"/>
        <w:left w:val="none" w:sz="0" w:space="0" w:color="auto"/>
        <w:bottom w:val="none" w:sz="0" w:space="0" w:color="auto"/>
        <w:right w:val="none" w:sz="0" w:space="0" w:color="auto"/>
      </w:divBdr>
    </w:div>
    <w:div w:id="548692041">
      <w:bodyDiv w:val="1"/>
      <w:marLeft w:val="0"/>
      <w:marRight w:val="0"/>
      <w:marTop w:val="0"/>
      <w:marBottom w:val="0"/>
      <w:divBdr>
        <w:top w:val="none" w:sz="0" w:space="0" w:color="auto"/>
        <w:left w:val="none" w:sz="0" w:space="0" w:color="auto"/>
        <w:bottom w:val="none" w:sz="0" w:space="0" w:color="auto"/>
        <w:right w:val="none" w:sz="0" w:space="0" w:color="auto"/>
      </w:divBdr>
    </w:div>
    <w:div w:id="557402729">
      <w:bodyDiv w:val="1"/>
      <w:marLeft w:val="0"/>
      <w:marRight w:val="0"/>
      <w:marTop w:val="0"/>
      <w:marBottom w:val="0"/>
      <w:divBdr>
        <w:top w:val="none" w:sz="0" w:space="0" w:color="auto"/>
        <w:left w:val="none" w:sz="0" w:space="0" w:color="auto"/>
        <w:bottom w:val="none" w:sz="0" w:space="0" w:color="auto"/>
        <w:right w:val="none" w:sz="0" w:space="0" w:color="auto"/>
      </w:divBdr>
      <w:divsChild>
        <w:div w:id="1275554186">
          <w:marLeft w:val="446"/>
          <w:marRight w:val="0"/>
          <w:marTop w:val="0"/>
          <w:marBottom w:val="0"/>
          <w:divBdr>
            <w:top w:val="none" w:sz="0" w:space="0" w:color="auto"/>
            <w:left w:val="none" w:sz="0" w:space="0" w:color="auto"/>
            <w:bottom w:val="none" w:sz="0" w:space="0" w:color="auto"/>
            <w:right w:val="none" w:sz="0" w:space="0" w:color="auto"/>
          </w:divBdr>
        </w:div>
        <w:div w:id="1623224731">
          <w:marLeft w:val="446"/>
          <w:marRight w:val="0"/>
          <w:marTop w:val="0"/>
          <w:marBottom w:val="0"/>
          <w:divBdr>
            <w:top w:val="none" w:sz="0" w:space="0" w:color="auto"/>
            <w:left w:val="none" w:sz="0" w:space="0" w:color="auto"/>
            <w:bottom w:val="none" w:sz="0" w:space="0" w:color="auto"/>
            <w:right w:val="none" w:sz="0" w:space="0" w:color="auto"/>
          </w:divBdr>
        </w:div>
        <w:div w:id="290139136">
          <w:marLeft w:val="907"/>
          <w:marRight w:val="0"/>
          <w:marTop w:val="0"/>
          <w:marBottom w:val="0"/>
          <w:divBdr>
            <w:top w:val="none" w:sz="0" w:space="0" w:color="auto"/>
            <w:left w:val="none" w:sz="0" w:space="0" w:color="auto"/>
            <w:bottom w:val="none" w:sz="0" w:space="0" w:color="auto"/>
            <w:right w:val="none" w:sz="0" w:space="0" w:color="auto"/>
          </w:divBdr>
        </w:div>
        <w:div w:id="255098519">
          <w:marLeft w:val="907"/>
          <w:marRight w:val="0"/>
          <w:marTop w:val="0"/>
          <w:marBottom w:val="0"/>
          <w:divBdr>
            <w:top w:val="none" w:sz="0" w:space="0" w:color="auto"/>
            <w:left w:val="none" w:sz="0" w:space="0" w:color="auto"/>
            <w:bottom w:val="none" w:sz="0" w:space="0" w:color="auto"/>
            <w:right w:val="none" w:sz="0" w:space="0" w:color="auto"/>
          </w:divBdr>
        </w:div>
        <w:div w:id="1805349906">
          <w:marLeft w:val="907"/>
          <w:marRight w:val="0"/>
          <w:marTop w:val="0"/>
          <w:marBottom w:val="0"/>
          <w:divBdr>
            <w:top w:val="none" w:sz="0" w:space="0" w:color="auto"/>
            <w:left w:val="none" w:sz="0" w:space="0" w:color="auto"/>
            <w:bottom w:val="none" w:sz="0" w:space="0" w:color="auto"/>
            <w:right w:val="none" w:sz="0" w:space="0" w:color="auto"/>
          </w:divBdr>
        </w:div>
        <w:div w:id="396055835">
          <w:marLeft w:val="907"/>
          <w:marRight w:val="0"/>
          <w:marTop w:val="0"/>
          <w:marBottom w:val="0"/>
          <w:divBdr>
            <w:top w:val="none" w:sz="0" w:space="0" w:color="auto"/>
            <w:left w:val="none" w:sz="0" w:space="0" w:color="auto"/>
            <w:bottom w:val="none" w:sz="0" w:space="0" w:color="auto"/>
            <w:right w:val="none" w:sz="0" w:space="0" w:color="auto"/>
          </w:divBdr>
        </w:div>
      </w:divsChild>
    </w:div>
    <w:div w:id="573591914">
      <w:bodyDiv w:val="1"/>
      <w:marLeft w:val="0"/>
      <w:marRight w:val="0"/>
      <w:marTop w:val="0"/>
      <w:marBottom w:val="0"/>
      <w:divBdr>
        <w:top w:val="none" w:sz="0" w:space="0" w:color="auto"/>
        <w:left w:val="none" w:sz="0" w:space="0" w:color="auto"/>
        <w:bottom w:val="none" w:sz="0" w:space="0" w:color="auto"/>
        <w:right w:val="none" w:sz="0" w:space="0" w:color="auto"/>
      </w:divBdr>
    </w:div>
    <w:div w:id="577204170">
      <w:bodyDiv w:val="1"/>
      <w:marLeft w:val="0"/>
      <w:marRight w:val="0"/>
      <w:marTop w:val="0"/>
      <w:marBottom w:val="0"/>
      <w:divBdr>
        <w:top w:val="none" w:sz="0" w:space="0" w:color="auto"/>
        <w:left w:val="none" w:sz="0" w:space="0" w:color="auto"/>
        <w:bottom w:val="none" w:sz="0" w:space="0" w:color="auto"/>
        <w:right w:val="none" w:sz="0" w:space="0" w:color="auto"/>
      </w:divBdr>
      <w:divsChild>
        <w:div w:id="441387263">
          <w:marLeft w:val="720"/>
          <w:marRight w:val="0"/>
          <w:marTop w:val="0"/>
          <w:marBottom w:val="0"/>
          <w:divBdr>
            <w:top w:val="none" w:sz="0" w:space="0" w:color="auto"/>
            <w:left w:val="none" w:sz="0" w:space="0" w:color="auto"/>
            <w:bottom w:val="none" w:sz="0" w:space="0" w:color="auto"/>
            <w:right w:val="none" w:sz="0" w:space="0" w:color="auto"/>
          </w:divBdr>
        </w:div>
      </w:divsChild>
    </w:div>
    <w:div w:id="577207952">
      <w:bodyDiv w:val="1"/>
      <w:marLeft w:val="0"/>
      <w:marRight w:val="0"/>
      <w:marTop w:val="0"/>
      <w:marBottom w:val="0"/>
      <w:divBdr>
        <w:top w:val="none" w:sz="0" w:space="0" w:color="auto"/>
        <w:left w:val="none" w:sz="0" w:space="0" w:color="auto"/>
        <w:bottom w:val="none" w:sz="0" w:space="0" w:color="auto"/>
        <w:right w:val="none" w:sz="0" w:space="0" w:color="auto"/>
      </w:divBdr>
      <w:divsChild>
        <w:div w:id="513694861">
          <w:marLeft w:val="720"/>
          <w:marRight w:val="0"/>
          <w:marTop w:val="0"/>
          <w:marBottom w:val="0"/>
          <w:divBdr>
            <w:top w:val="none" w:sz="0" w:space="0" w:color="auto"/>
            <w:left w:val="none" w:sz="0" w:space="0" w:color="auto"/>
            <w:bottom w:val="none" w:sz="0" w:space="0" w:color="auto"/>
            <w:right w:val="none" w:sz="0" w:space="0" w:color="auto"/>
          </w:divBdr>
        </w:div>
      </w:divsChild>
    </w:div>
    <w:div w:id="729427676">
      <w:bodyDiv w:val="1"/>
      <w:marLeft w:val="0"/>
      <w:marRight w:val="0"/>
      <w:marTop w:val="0"/>
      <w:marBottom w:val="0"/>
      <w:divBdr>
        <w:top w:val="none" w:sz="0" w:space="0" w:color="auto"/>
        <w:left w:val="none" w:sz="0" w:space="0" w:color="auto"/>
        <w:bottom w:val="none" w:sz="0" w:space="0" w:color="auto"/>
        <w:right w:val="none" w:sz="0" w:space="0" w:color="auto"/>
      </w:divBdr>
    </w:div>
    <w:div w:id="747771502">
      <w:bodyDiv w:val="1"/>
      <w:marLeft w:val="0"/>
      <w:marRight w:val="0"/>
      <w:marTop w:val="0"/>
      <w:marBottom w:val="0"/>
      <w:divBdr>
        <w:top w:val="none" w:sz="0" w:space="0" w:color="auto"/>
        <w:left w:val="none" w:sz="0" w:space="0" w:color="auto"/>
        <w:bottom w:val="none" w:sz="0" w:space="0" w:color="auto"/>
        <w:right w:val="none" w:sz="0" w:space="0" w:color="auto"/>
      </w:divBdr>
    </w:div>
    <w:div w:id="821966382">
      <w:bodyDiv w:val="1"/>
      <w:marLeft w:val="0"/>
      <w:marRight w:val="0"/>
      <w:marTop w:val="0"/>
      <w:marBottom w:val="0"/>
      <w:divBdr>
        <w:top w:val="none" w:sz="0" w:space="0" w:color="auto"/>
        <w:left w:val="none" w:sz="0" w:space="0" w:color="auto"/>
        <w:bottom w:val="none" w:sz="0" w:space="0" w:color="auto"/>
        <w:right w:val="none" w:sz="0" w:space="0" w:color="auto"/>
      </w:divBdr>
    </w:div>
    <w:div w:id="898055948">
      <w:bodyDiv w:val="1"/>
      <w:marLeft w:val="0"/>
      <w:marRight w:val="0"/>
      <w:marTop w:val="0"/>
      <w:marBottom w:val="0"/>
      <w:divBdr>
        <w:top w:val="none" w:sz="0" w:space="0" w:color="auto"/>
        <w:left w:val="none" w:sz="0" w:space="0" w:color="auto"/>
        <w:bottom w:val="none" w:sz="0" w:space="0" w:color="auto"/>
        <w:right w:val="none" w:sz="0" w:space="0" w:color="auto"/>
      </w:divBdr>
    </w:div>
    <w:div w:id="919944932">
      <w:bodyDiv w:val="1"/>
      <w:marLeft w:val="0"/>
      <w:marRight w:val="0"/>
      <w:marTop w:val="0"/>
      <w:marBottom w:val="0"/>
      <w:divBdr>
        <w:top w:val="none" w:sz="0" w:space="0" w:color="auto"/>
        <w:left w:val="none" w:sz="0" w:space="0" w:color="auto"/>
        <w:bottom w:val="none" w:sz="0" w:space="0" w:color="auto"/>
        <w:right w:val="none" w:sz="0" w:space="0" w:color="auto"/>
      </w:divBdr>
    </w:div>
    <w:div w:id="971597582">
      <w:bodyDiv w:val="1"/>
      <w:marLeft w:val="0"/>
      <w:marRight w:val="0"/>
      <w:marTop w:val="0"/>
      <w:marBottom w:val="0"/>
      <w:divBdr>
        <w:top w:val="none" w:sz="0" w:space="0" w:color="auto"/>
        <w:left w:val="none" w:sz="0" w:space="0" w:color="auto"/>
        <w:bottom w:val="none" w:sz="0" w:space="0" w:color="auto"/>
        <w:right w:val="none" w:sz="0" w:space="0" w:color="auto"/>
      </w:divBdr>
    </w:div>
    <w:div w:id="1059209830">
      <w:bodyDiv w:val="1"/>
      <w:marLeft w:val="0"/>
      <w:marRight w:val="0"/>
      <w:marTop w:val="0"/>
      <w:marBottom w:val="0"/>
      <w:divBdr>
        <w:top w:val="none" w:sz="0" w:space="0" w:color="auto"/>
        <w:left w:val="none" w:sz="0" w:space="0" w:color="auto"/>
        <w:bottom w:val="none" w:sz="0" w:space="0" w:color="auto"/>
        <w:right w:val="none" w:sz="0" w:space="0" w:color="auto"/>
      </w:divBdr>
    </w:div>
    <w:div w:id="1140683030">
      <w:bodyDiv w:val="1"/>
      <w:marLeft w:val="0"/>
      <w:marRight w:val="0"/>
      <w:marTop w:val="0"/>
      <w:marBottom w:val="0"/>
      <w:divBdr>
        <w:top w:val="none" w:sz="0" w:space="0" w:color="auto"/>
        <w:left w:val="none" w:sz="0" w:space="0" w:color="auto"/>
        <w:bottom w:val="none" w:sz="0" w:space="0" w:color="auto"/>
        <w:right w:val="none" w:sz="0" w:space="0" w:color="auto"/>
      </w:divBdr>
    </w:div>
    <w:div w:id="1226335119">
      <w:bodyDiv w:val="1"/>
      <w:marLeft w:val="0"/>
      <w:marRight w:val="0"/>
      <w:marTop w:val="0"/>
      <w:marBottom w:val="0"/>
      <w:divBdr>
        <w:top w:val="none" w:sz="0" w:space="0" w:color="auto"/>
        <w:left w:val="none" w:sz="0" w:space="0" w:color="auto"/>
        <w:bottom w:val="none" w:sz="0" w:space="0" w:color="auto"/>
        <w:right w:val="none" w:sz="0" w:space="0" w:color="auto"/>
      </w:divBdr>
    </w:div>
    <w:div w:id="1226527001">
      <w:bodyDiv w:val="1"/>
      <w:marLeft w:val="0"/>
      <w:marRight w:val="0"/>
      <w:marTop w:val="0"/>
      <w:marBottom w:val="0"/>
      <w:divBdr>
        <w:top w:val="none" w:sz="0" w:space="0" w:color="auto"/>
        <w:left w:val="none" w:sz="0" w:space="0" w:color="auto"/>
        <w:bottom w:val="none" w:sz="0" w:space="0" w:color="auto"/>
        <w:right w:val="none" w:sz="0" w:space="0" w:color="auto"/>
      </w:divBdr>
    </w:div>
    <w:div w:id="1263105115">
      <w:bodyDiv w:val="1"/>
      <w:marLeft w:val="0"/>
      <w:marRight w:val="0"/>
      <w:marTop w:val="0"/>
      <w:marBottom w:val="0"/>
      <w:divBdr>
        <w:top w:val="none" w:sz="0" w:space="0" w:color="auto"/>
        <w:left w:val="none" w:sz="0" w:space="0" w:color="auto"/>
        <w:bottom w:val="none" w:sz="0" w:space="0" w:color="auto"/>
        <w:right w:val="none" w:sz="0" w:space="0" w:color="auto"/>
      </w:divBdr>
    </w:div>
    <w:div w:id="1376080084">
      <w:bodyDiv w:val="1"/>
      <w:marLeft w:val="0"/>
      <w:marRight w:val="0"/>
      <w:marTop w:val="0"/>
      <w:marBottom w:val="0"/>
      <w:divBdr>
        <w:top w:val="none" w:sz="0" w:space="0" w:color="auto"/>
        <w:left w:val="none" w:sz="0" w:space="0" w:color="auto"/>
        <w:bottom w:val="none" w:sz="0" w:space="0" w:color="auto"/>
        <w:right w:val="none" w:sz="0" w:space="0" w:color="auto"/>
      </w:divBdr>
    </w:div>
    <w:div w:id="1396706042">
      <w:bodyDiv w:val="1"/>
      <w:marLeft w:val="0"/>
      <w:marRight w:val="0"/>
      <w:marTop w:val="0"/>
      <w:marBottom w:val="0"/>
      <w:divBdr>
        <w:top w:val="none" w:sz="0" w:space="0" w:color="auto"/>
        <w:left w:val="none" w:sz="0" w:space="0" w:color="auto"/>
        <w:bottom w:val="none" w:sz="0" w:space="0" w:color="auto"/>
        <w:right w:val="none" w:sz="0" w:space="0" w:color="auto"/>
      </w:divBdr>
    </w:div>
    <w:div w:id="1420635025">
      <w:bodyDiv w:val="1"/>
      <w:marLeft w:val="0"/>
      <w:marRight w:val="0"/>
      <w:marTop w:val="0"/>
      <w:marBottom w:val="0"/>
      <w:divBdr>
        <w:top w:val="none" w:sz="0" w:space="0" w:color="auto"/>
        <w:left w:val="none" w:sz="0" w:space="0" w:color="auto"/>
        <w:bottom w:val="none" w:sz="0" w:space="0" w:color="auto"/>
        <w:right w:val="none" w:sz="0" w:space="0" w:color="auto"/>
      </w:divBdr>
    </w:div>
    <w:div w:id="1503542254">
      <w:bodyDiv w:val="1"/>
      <w:marLeft w:val="0"/>
      <w:marRight w:val="0"/>
      <w:marTop w:val="0"/>
      <w:marBottom w:val="0"/>
      <w:divBdr>
        <w:top w:val="none" w:sz="0" w:space="0" w:color="auto"/>
        <w:left w:val="none" w:sz="0" w:space="0" w:color="auto"/>
        <w:bottom w:val="none" w:sz="0" w:space="0" w:color="auto"/>
        <w:right w:val="none" w:sz="0" w:space="0" w:color="auto"/>
      </w:divBdr>
    </w:div>
    <w:div w:id="1532263010">
      <w:bodyDiv w:val="1"/>
      <w:marLeft w:val="0"/>
      <w:marRight w:val="0"/>
      <w:marTop w:val="0"/>
      <w:marBottom w:val="0"/>
      <w:divBdr>
        <w:top w:val="none" w:sz="0" w:space="0" w:color="auto"/>
        <w:left w:val="none" w:sz="0" w:space="0" w:color="auto"/>
        <w:bottom w:val="none" w:sz="0" w:space="0" w:color="auto"/>
        <w:right w:val="none" w:sz="0" w:space="0" w:color="auto"/>
      </w:divBdr>
    </w:div>
    <w:div w:id="1566984871">
      <w:bodyDiv w:val="1"/>
      <w:marLeft w:val="0"/>
      <w:marRight w:val="0"/>
      <w:marTop w:val="0"/>
      <w:marBottom w:val="0"/>
      <w:divBdr>
        <w:top w:val="none" w:sz="0" w:space="0" w:color="auto"/>
        <w:left w:val="none" w:sz="0" w:space="0" w:color="auto"/>
        <w:bottom w:val="none" w:sz="0" w:space="0" w:color="auto"/>
        <w:right w:val="none" w:sz="0" w:space="0" w:color="auto"/>
      </w:divBdr>
    </w:div>
    <w:div w:id="1759523501">
      <w:bodyDiv w:val="1"/>
      <w:marLeft w:val="0"/>
      <w:marRight w:val="0"/>
      <w:marTop w:val="0"/>
      <w:marBottom w:val="0"/>
      <w:divBdr>
        <w:top w:val="none" w:sz="0" w:space="0" w:color="auto"/>
        <w:left w:val="none" w:sz="0" w:space="0" w:color="auto"/>
        <w:bottom w:val="none" w:sz="0" w:space="0" w:color="auto"/>
        <w:right w:val="none" w:sz="0" w:space="0" w:color="auto"/>
      </w:divBdr>
    </w:div>
    <w:div w:id="1829469246">
      <w:bodyDiv w:val="1"/>
      <w:marLeft w:val="0"/>
      <w:marRight w:val="0"/>
      <w:marTop w:val="0"/>
      <w:marBottom w:val="0"/>
      <w:divBdr>
        <w:top w:val="none" w:sz="0" w:space="0" w:color="auto"/>
        <w:left w:val="none" w:sz="0" w:space="0" w:color="auto"/>
        <w:bottom w:val="none" w:sz="0" w:space="0" w:color="auto"/>
        <w:right w:val="none" w:sz="0" w:space="0" w:color="auto"/>
      </w:divBdr>
    </w:div>
    <w:div w:id="1834639169">
      <w:bodyDiv w:val="1"/>
      <w:marLeft w:val="0"/>
      <w:marRight w:val="0"/>
      <w:marTop w:val="0"/>
      <w:marBottom w:val="0"/>
      <w:divBdr>
        <w:top w:val="none" w:sz="0" w:space="0" w:color="auto"/>
        <w:left w:val="none" w:sz="0" w:space="0" w:color="auto"/>
        <w:bottom w:val="none" w:sz="0" w:space="0" w:color="auto"/>
        <w:right w:val="none" w:sz="0" w:space="0" w:color="auto"/>
      </w:divBdr>
    </w:div>
    <w:div w:id="1842350722">
      <w:bodyDiv w:val="1"/>
      <w:marLeft w:val="0"/>
      <w:marRight w:val="0"/>
      <w:marTop w:val="0"/>
      <w:marBottom w:val="0"/>
      <w:divBdr>
        <w:top w:val="none" w:sz="0" w:space="0" w:color="auto"/>
        <w:left w:val="none" w:sz="0" w:space="0" w:color="auto"/>
        <w:bottom w:val="none" w:sz="0" w:space="0" w:color="auto"/>
        <w:right w:val="none" w:sz="0" w:space="0" w:color="auto"/>
      </w:divBdr>
    </w:div>
    <w:div w:id="1878656986">
      <w:bodyDiv w:val="1"/>
      <w:marLeft w:val="0"/>
      <w:marRight w:val="0"/>
      <w:marTop w:val="0"/>
      <w:marBottom w:val="0"/>
      <w:divBdr>
        <w:top w:val="none" w:sz="0" w:space="0" w:color="auto"/>
        <w:left w:val="none" w:sz="0" w:space="0" w:color="auto"/>
        <w:bottom w:val="none" w:sz="0" w:space="0" w:color="auto"/>
        <w:right w:val="none" w:sz="0" w:space="0" w:color="auto"/>
      </w:divBdr>
    </w:div>
    <w:div w:id="1885022329">
      <w:bodyDiv w:val="1"/>
      <w:marLeft w:val="0"/>
      <w:marRight w:val="0"/>
      <w:marTop w:val="0"/>
      <w:marBottom w:val="0"/>
      <w:divBdr>
        <w:top w:val="none" w:sz="0" w:space="0" w:color="auto"/>
        <w:left w:val="none" w:sz="0" w:space="0" w:color="auto"/>
        <w:bottom w:val="none" w:sz="0" w:space="0" w:color="auto"/>
        <w:right w:val="none" w:sz="0" w:space="0" w:color="auto"/>
      </w:divBdr>
    </w:div>
    <w:div w:id="2028941692">
      <w:bodyDiv w:val="1"/>
      <w:marLeft w:val="0"/>
      <w:marRight w:val="0"/>
      <w:marTop w:val="0"/>
      <w:marBottom w:val="0"/>
      <w:divBdr>
        <w:top w:val="none" w:sz="0" w:space="0" w:color="auto"/>
        <w:left w:val="none" w:sz="0" w:space="0" w:color="auto"/>
        <w:bottom w:val="none" w:sz="0" w:space="0" w:color="auto"/>
        <w:right w:val="none" w:sz="0" w:space="0" w:color="auto"/>
      </w:divBdr>
    </w:div>
    <w:div w:id="2070373703">
      <w:bodyDiv w:val="1"/>
      <w:marLeft w:val="0"/>
      <w:marRight w:val="0"/>
      <w:marTop w:val="0"/>
      <w:marBottom w:val="0"/>
      <w:divBdr>
        <w:top w:val="none" w:sz="0" w:space="0" w:color="auto"/>
        <w:left w:val="none" w:sz="0" w:space="0" w:color="auto"/>
        <w:bottom w:val="none" w:sz="0" w:space="0" w:color="auto"/>
        <w:right w:val="none" w:sz="0" w:space="0" w:color="auto"/>
      </w:divBdr>
    </w:div>
    <w:div w:id="2081904591">
      <w:bodyDiv w:val="1"/>
      <w:marLeft w:val="0"/>
      <w:marRight w:val="0"/>
      <w:marTop w:val="0"/>
      <w:marBottom w:val="0"/>
      <w:divBdr>
        <w:top w:val="none" w:sz="0" w:space="0" w:color="auto"/>
        <w:left w:val="none" w:sz="0" w:space="0" w:color="auto"/>
        <w:bottom w:val="none" w:sz="0" w:space="0" w:color="auto"/>
        <w:right w:val="none" w:sz="0" w:space="0" w:color="auto"/>
      </w:divBdr>
    </w:div>
    <w:div w:id="21418042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0C35D-B98C-439C-9355-41DA5773A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4933</Words>
  <Characters>28119</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32987</CharactersWithSpaces>
  <SharedDoc>false</SharedDoc>
  <HLinks>
    <vt:vector size="6" baseType="variant">
      <vt:variant>
        <vt:i4>2424888</vt:i4>
      </vt:variant>
      <vt:variant>
        <vt:i4>0</vt:i4>
      </vt:variant>
      <vt:variant>
        <vt:i4>0</vt:i4>
      </vt:variant>
      <vt:variant>
        <vt:i4>5</vt:i4>
      </vt:variant>
      <vt:variant>
        <vt:lpwstr>http://scm.oas.org/IDMS/Redirectpage.aspx?class=AICD/JD%20XX.2.18/doc.&amp;classNum=175&amp;lang=s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Secretaría</dc:creator>
  <dc:description>Secretaría</dc:description>
  <cp:lastModifiedBy>Burns, Sandra</cp:lastModifiedBy>
  <cp:revision>4</cp:revision>
  <cp:lastPrinted>2019-12-03T17:31:00Z</cp:lastPrinted>
  <dcterms:created xsi:type="dcterms:W3CDTF">2021-04-12T22:39:00Z</dcterms:created>
  <dcterms:modified xsi:type="dcterms:W3CDTF">2021-04-13T01:31:00Z</dcterms:modified>
</cp:coreProperties>
</file>