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DCCB" w14:textId="77777777" w:rsidR="00742888" w:rsidRPr="00DC3951" w:rsidRDefault="00742888" w:rsidP="00390AD2">
      <w:pPr>
        <w:tabs>
          <w:tab w:val="left" w:pos="7200"/>
        </w:tabs>
        <w:suppressAutoHyphens/>
        <w:spacing w:after="0" w:line="240" w:lineRule="auto"/>
        <w:ind w:right="-900"/>
        <w:jc w:val="both"/>
        <w:rPr>
          <w:rFonts w:ascii="Times New Roman" w:eastAsia="Times New Roman" w:hAnsi="Times New Roman" w:cs="Times New Roman"/>
          <w:lang w:val="es-CO"/>
        </w:rPr>
      </w:pPr>
      <w:r w:rsidRPr="00DC3951">
        <w:rPr>
          <w:rFonts w:ascii="Times New Roman" w:eastAsia="SimSun" w:hAnsi="Times New Roman" w:cs="Times New Roman"/>
          <w:b/>
          <w:lang w:val="es-CO"/>
        </w:rPr>
        <w:t xml:space="preserve">AGENCIA INTERAMERICANA PARA </w:t>
      </w:r>
      <w:r w:rsidRPr="00DC3951">
        <w:rPr>
          <w:rFonts w:ascii="Times New Roman" w:eastAsia="SimSun" w:hAnsi="Times New Roman" w:cs="Times New Roman"/>
          <w:b/>
          <w:lang w:val="es-CO"/>
        </w:rPr>
        <w:tab/>
      </w:r>
      <w:r w:rsidRPr="00DC3951">
        <w:rPr>
          <w:rFonts w:ascii="Times New Roman" w:eastAsia="Times New Roman" w:hAnsi="Times New Roman" w:cs="Times New Roman"/>
          <w:lang w:val="es-CO"/>
        </w:rPr>
        <w:t>OEA/Ser. W</w:t>
      </w:r>
    </w:p>
    <w:p w14:paraId="662E21D9" w14:textId="59664A67" w:rsidR="00742888" w:rsidRPr="00DC3951" w:rsidRDefault="00742888" w:rsidP="00390AD2">
      <w:pPr>
        <w:tabs>
          <w:tab w:val="left" w:pos="7200"/>
        </w:tabs>
        <w:suppressAutoHyphens/>
        <w:spacing w:after="0" w:line="240" w:lineRule="auto"/>
        <w:ind w:right="-900"/>
        <w:jc w:val="both"/>
        <w:rPr>
          <w:rFonts w:ascii="Times New Roman" w:eastAsia="SimSun" w:hAnsi="Times New Roman" w:cs="Times New Roman"/>
          <w:b/>
          <w:lang w:val="es-CO" w:eastAsia="es-ES"/>
        </w:rPr>
      </w:pPr>
      <w:r w:rsidRPr="00DC3951">
        <w:rPr>
          <w:rFonts w:ascii="Times New Roman" w:eastAsia="SimSun" w:hAnsi="Times New Roman" w:cs="Times New Roman"/>
          <w:b/>
          <w:lang w:val="es-CO"/>
        </w:rPr>
        <w:t xml:space="preserve">LA COOPERACIÓN Y EL DESARROLLO </w:t>
      </w:r>
      <w:r w:rsidRPr="00DC3951">
        <w:rPr>
          <w:rFonts w:ascii="Times New Roman" w:eastAsia="SimSun" w:hAnsi="Times New Roman" w:cs="Times New Roman"/>
          <w:lang w:val="es-CO"/>
        </w:rPr>
        <w:tab/>
        <w:t>AICD/JD/doc.</w:t>
      </w:r>
      <w:r w:rsidR="00F82AC0">
        <w:rPr>
          <w:rFonts w:ascii="Times New Roman" w:eastAsia="SimSun" w:hAnsi="Times New Roman" w:cs="Times New Roman"/>
          <w:lang w:val="es-CO"/>
        </w:rPr>
        <w:t>198</w:t>
      </w:r>
      <w:r w:rsidRPr="00DC3951">
        <w:rPr>
          <w:rFonts w:ascii="Times New Roman" w:eastAsia="SimSun" w:hAnsi="Times New Roman" w:cs="Times New Roman"/>
          <w:lang w:val="es-CO"/>
        </w:rPr>
        <w:t>/2</w:t>
      </w:r>
      <w:r w:rsidR="000514AC">
        <w:rPr>
          <w:rFonts w:ascii="Times New Roman" w:eastAsia="SimSun" w:hAnsi="Times New Roman" w:cs="Times New Roman"/>
          <w:lang w:val="es-CO"/>
        </w:rPr>
        <w:t>2</w:t>
      </w:r>
    </w:p>
    <w:p w14:paraId="12D57453" w14:textId="2164017C" w:rsidR="00742888" w:rsidRPr="00DC3951" w:rsidRDefault="00742888" w:rsidP="00390AD2">
      <w:pPr>
        <w:tabs>
          <w:tab w:val="center" w:pos="4680"/>
          <w:tab w:val="left" w:pos="7200"/>
          <w:tab w:val="right" w:pos="9360"/>
        </w:tabs>
        <w:suppressAutoHyphens/>
        <w:spacing w:after="0" w:line="240" w:lineRule="auto"/>
        <w:ind w:right="-900"/>
        <w:rPr>
          <w:rFonts w:ascii="Times New Roman" w:eastAsia="SimSun" w:hAnsi="Times New Roman" w:cs="Times New Roman"/>
          <w:lang w:val="es-CO" w:eastAsia="es-ES"/>
        </w:rPr>
      </w:pPr>
      <w:r w:rsidRPr="00DC3951">
        <w:rPr>
          <w:rFonts w:ascii="Times New Roman" w:eastAsia="SimSun" w:hAnsi="Times New Roman" w:cs="Times New Roman"/>
          <w:b/>
          <w:lang w:val="es-CO"/>
        </w:rPr>
        <w:t>REUNIÓN DE LA JUNTA DIRECTIVA</w:t>
      </w:r>
      <w:r w:rsidRPr="00DC3951">
        <w:rPr>
          <w:rFonts w:ascii="Times New Roman" w:eastAsia="SimSun" w:hAnsi="Times New Roman" w:cs="Times New Roman"/>
          <w:b/>
          <w:lang w:val="es-CO"/>
        </w:rPr>
        <w:tab/>
      </w:r>
      <w:r w:rsidRPr="00DC3951">
        <w:rPr>
          <w:rFonts w:ascii="Times New Roman" w:eastAsia="SimSun" w:hAnsi="Times New Roman" w:cs="Times New Roman"/>
          <w:b/>
          <w:lang w:val="es-CO"/>
        </w:rPr>
        <w:tab/>
      </w:r>
      <w:r w:rsidR="00F82AC0">
        <w:rPr>
          <w:rFonts w:ascii="Times New Roman" w:eastAsia="SimSun" w:hAnsi="Times New Roman" w:cs="Times New Roman"/>
          <w:bCs/>
          <w:lang w:val="es-CO"/>
        </w:rPr>
        <w:t>19</w:t>
      </w:r>
      <w:r w:rsidRPr="00DC3951">
        <w:rPr>
          <w:rFonts w:ascii="Times New Roman" w:eastAsia="SimSun" w:hAnsi="Times New Roman" w:cs="Times New Roman"/>
          <w:lang w:val="es-CO" w:eastAsia="es-ES"/>
        </w:rPr>
        <w:t xml:space="preserve"> </w:t>
      </w:r>
      <w:r w:rsidR="00F82AC0">
        <w:rPr>
          <w:rFonts w:ascii="Times New Roman" w:eastAsia="SimSun" w:hAnsi="Times New Roman" w:cs="Times New Roman"/>
          <w:lang w:val="es-CO" w:eastAsia="es-ES"/>
        </w:rPr>
        <w:t>mayo</w:t>
      </w:r>
      <w:r w:rsidRPr="00DC3951">
        <w:rPr>
          <w:rFonts w:ascii="Times New Roman" w:eastAsia="SimSun" w:hAnsi="Times New Roman" w:cs="Times New Roman"/>
          <w:lang w:val="es-CO" w:eastAsia="es-ES"/>
        </w:rPr>
        <w:t xml:space="preserve"> 202</w:t>
      </w:r>
      <w:r w:rsidR="0007355A" w:rsidRPr="00DC3951">
        <w:rPr>
          <w:rFonts w:ascii="Times New Roman" w:eastAsia="SimSun" w:hAnsi="Times New Roman" w:cs="Times New Roman"/>
          <w:lang w:val="es-CO" w:eastAsia="es-ES"/>
        </w:rPr>
        <w:t>2</w:t>
      </w:r>
    </w:p>
    <w:p w14:paraId="21DC5C9C" w14:textId="77777777" w:rsidR="00742888" w:rsidRPr="00DC3951" w:rsidRDefault="00742888" w:rsidP="00390AD2">
      <w:pPr>
        <w:tabs>
          <w:tab w:val="left" w:pos="7200"/>
        </w:tabs>
        <w:suppressAutoHyphens/>
        <w:spacing w:after="0" w:line="240" w:lineRule="auto"/>
        <w:ind w:right="-900"/>
        <w:rPr>
          <w:rFonts w:ascii="Times New Roman" w:eastAsia="SimSun" w:hAnsi="Times New Roman" w:cs="Times New Roman"/>
          <w:lang w:val="es-CO"/>
        </w:rPr>
      </w:pPr>
      <w:r w:rsidRPr="00DC3951">
        <w:rPr>
          <w:rFonts w:ascii="Times New Roman" w:eastAsia="SimSun" w:hAnsi="Times New Roman" w:cs="Times New Roman"/>
          <w:lang w:val="es-CO"/>
        </w:rPr>
        <w:tab/>
        <w:t>Original: inglés</w:t>
      </w:r>
    </w:p>
    <w:p w14:paraId="5BBE5B9F" w14:textId="77777777" w:rsidR="00B0684B" w:rsidRPr="00DC3951" w:rsidRDefault="00B0684B" w:rsidP="00390AD2">
      <w:pPr>
        <w:pBdr>
          <w:bottom w:val="single" w:sz="12" w:space="1" w:color="auto"/>
        </w:pBdr>
        <w:spacing w:after="0" w:line="240" w:lineRule="auto"/>
        <w:jc w:val="both"/>
        <w:rPr>
          <w:rFonts w:ascii="Times New Roman" w:eastAsia="SimSun" w:hAnsi="Times New Roman" w:cs="Times New Roman"/>
          <w:lang w:val="es-CO" w:eastAsia="es-ES"/>
        </w:rPr>
      </w:pPr>
    </w:p>
    <w:p w14:paraId="30CDB93B" w14:textId="77777777" w:rsidR="00B0684B" w:rsidRPr="00DC3951" w:rsidRDefault="00B0684B" w:rsidP="00390AD2">
      <w:pPr>
        <w:spacing w:after="0" w:line="240" w:lineRule="auto"/>
        <w:jc w:val="both"/>
        <w:rPr>
          <w:rFonts w:ascii="Times New Roman" w:eastAsia="SimSun" w:hAnsi="Times New Roman" w:cs="Times New Roman"/>
          <w:color w:val="000000"/>
          <w:lang w:val="es-CO" w:eastAsia="es-ES"/>
        </w:rPr>
      </w:pPr>
    </w:p>
    <w:p w14:paraId="3368B13D" w14:textId="52627186" w:rsidR="00203694" w:rsidRPr="00DC3951" w:rsidRDefault="00844DD5" w:rsidP="00390AD2">
      <w:pPr>
        <w:spacing w:after="0" w:line="240" w:lineRule="auto"/>
        <w:jc w:val="center"/>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Secretaría Ejecutiva para el Desarrollo Integral</w:t>
      </w:r>
      <w:r w:rsidR="00203694" w:rsidRPr="00DC3951">
        <w:rPr>
          <w:rFonts w:ascii="Times New Roman" w:eastAsia="Times New Roman" w:hAnsi="Times New Roman" w:cs="Times New Roman"/>
          <w:b/>
          <w:bCs/>
          <w:color w:val="000000"/>
          <w:lang w:val="es-CO"/>
        </w:rPr>
        <w:t xml:space="preserve"> (SEDI)</w:t>
      </w:r>
    </w:p>
    <w:p w14:paraId="6567392C" w14:textId="1EA49964" w:rsidR="00203694" w:rsidRPr="00DC3951" w:rsidRDefault="00844DD5" w:rsidP="00390AD2">
      <w:pPr>
        <w:spacing w:after="0" w:line="240" w:lineRule="auto"/>
        <w:jc w:val="center"/>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Informe sobre la Plataforma CooperaNet de la OEA</w:t>
      </w:r>
    </w:p>
    <w:p w14:paraId="2E8AB9AB" w14:textId="4E2EB433" w:rsidR="00203694" w:rsidRPr="00DC3951" w:rsidRDefault="00742888" w:rsidP="00390AD2">
      <w:pPr>
        <w:tabs>
          <w:tab w:val="left" w:pos="8242"/>
        </w:tabs>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ab/>
      </w:r>
    </w:p>
    <w:p w14:paraId="2DCEEA0D" w14:textId="77777777" w:rsidR="00742888" w:rsidRPr="00DC3951" w:rsidRDefault="00742888" w:rsidP="00390AD2">
      <w:pPr>
        <w:spacing w:after="0" w:line="240" w:lineRule="auto"/>
        <w:jc w:val="center"/>
        <w:rPr>
          <w:rFonts w:ascii="Times New Roman" w:eastAsia="SimSun" w:hAnsi="Times New Roman" w:cs="Times New Roman"/>
          <w:lang w:val="es-CO" w:eastAsia="es-ES"/>
        </w:rPr>
      </w:pPr>
      <w:r w:rsidRPr="00DC3951">
        <w:rPr>
          <w:rFonts w:ascii="Times New Roman" w:eastAsia="SimSun" w:hAnsi="Times New Roman" w:cs="Times New Roman"/>
          <w:lang w:val="es-CO" w:eastAsia="es-ES"/>
        </w:rPr>
        <w:t xml:space="preserve">(Elaborado por la Secretaría con base en información disponible en la Plataforma </w:t>
      </w:r>
      <w:r w:rsidR="005B6F06" w:rsidRPr="00DC3951">
        <w:rPr>
          <w:rFonts w:ascii="Times New Roman" w:eastAsia="SimSun" w:hAnsi="Times New Roman" w:cs="Times New Roman"/>
          <w:lang w:val="es-CO" w:eastAsia="es-ES"/>
        </w:rPr>
        <w:t xml:space="preserve">CooperaNet </w:t>
      </w:r>
    </w:p>
    <w:p w14:paraId="73E45227" w14:textId="29F6094E" w:rsidR="005B6F06" w:rsidRPr="00DC3951" w:rsidRDefault="00742888" w:rsidP="00390AD2">
      <w:pPr>
        <w:spacing w:after="0" w:line="240" w:lineRule="auto"/>
        <w:jc w:val="center"/>
        <w:rPr>
          <w:rFonts w:ascii="Times New Roman" w:eastAsia="SimSun" w:hAnsi="Times New Roman" w:cs="Times New Roman"/>
          <w:lang w:val="es-CO" w:eastAsia="es-ES"/>
        </w:rPr>
      </w:pPr>
      <w:r w:rsidRPr="00DC3951">
        <w:rPr>
          <w:rFonts w:ascii="Times New Roman" w:eastAsia="SimSun" w:hAnsi="Times New Roman" w:cs="Times New Roman"/>
          <w:lang w:val="es-CO" w:eastAsia="es-ES"/>
        </w:rPr>
        <w:t xml:space="preserve">al </w:t>
      </w:r>
      <w:r w:rsidR="00BD7FF5" w:rsidRPr="00DC3951">
        <w:rPr>
          <w:rFonts w:ascii="Times New Roman" w:eastAsia="SimSun" w:hAnsi="Times New Roman" w:cs="Times New Roman"/>
          <w:lang w:val="es-CO" w:eastAsia="es-ES"/>
        </w:rPr>
        <w:t>20</w:t>
      </w:r>
      <w:r w:rsidRPr="00DC3951">
        <w:rPr>
          <w:rFonts w:ascii="Times New Roman" w:eastAsia="SimSun" w:hAnsi="Times New Roman" w:cs="Times New Roman"/>
          <w:lang w:val="es-CO" w:eastAsia="es-ES"/>
        </w:rPr>
        <w:t xml:space="preserve"> de </w:t>
      </w:r>
      <w:r w:rsidR="0007355A" w:rsidRPr="00DC3951">
        <w:rPr>
          <w:rFonts w:ascii="Times New Roman" w:eastAsia="SimSun" w:hAnsi="Times New Roman" w:cs="Times New Roman"/>
          <w:lang w:val="es-CO" w:eastAsia="es-ES"/>
        </w:rPr>
        <w:t>a</w:t>
      </w:r>
      <w:r w:rsidR="00BD7FF5" w:rsidRPr="00DC3951">
        <w:rPr>
          <w:rFonts w:ascii="Times New Roman" w:eastAsia="SimSun" w:hAnsi="Times New Roman" w:cs="Times New Roman"/>
          <w:lang w:val="es-CO" w:eastAsia="es-ES"/>
        </w:rPr>
        <w:t>bril</w:t>
      </w:r>
      <w:r w:rsidRPr="00DC3951">
        <w:rPr>
          <w:rFonts w:ascii="Times New Roman" w:eastAsia="SimSun" w:hAnsi="Times New Roman" w:cs="Times New Roman"/>
          <w:lang w:val="es-CO" w:eastAsia="es-ES"/>
        </w:rPr>
        <w:t xml:space="preserve"> de</w:t>
      </w:r>
      <w:r w:rsidR="005B6F06" w:rsidRPr="00DC3951">
        <w:rPr>
          <w:rFonts w:ascii="Times New Roman" w:eastAsia="SimSun" w:hAnsi="Times New Roman" w:cs="Times New Roman"/>
          <w:lang w:val="es-CO" w:eastAsia="es-ES"/>
        </w:rPr>
        <w:t xml:space="preserve"> 20</w:t>
      </w:r>
      <w:r w:rsidR="00BD7FF5" w:rsidRPr="00DC3951">
        <w:rPr>
          <w:rFonts w:ascii="Times New Roman" w:eastAsia="SimSun" w:hAnsi="Times New Roman" w:cs="Times New Roman"/>
          <w:lang w:val="es-CO" w:eastAsia="es-ES"/>
        </w:rPr>
        <w:t>22</w:t>
      </w:r>
      <w:r w:rsidR="00AF0DD5" w:rsidRPr="00DC3951">
        <w:rPr>
          <w:rFonts w:ascii="Times New Roman" w:eastAsia="SimSun" w:hAnsi="Times New Roman" w:cs="Times New Roman"/>
          <w:lang w:val="es-CO" w:eastAsia="es-ES"/>
        </w:rPr>
        <w:t xml:space="preserve">: </w:t>
      </w:r>
      <w:hyperlink r:id="rId8" w:history="1">
        <w:r w:rsidR="00AF0DD5" w:rsidRPr="00DC3951">
          <w:rPr>
            <w:rStyle w:val="Hyperlink"/>
            <w:rFonts w:ascii="Times New Roman" w:eastAsia="SimSun" w:hAnsi="Times New Roman" w:cs="Times New Roman"/>
            <w:lang w:val="es-CO" w:eastAsia="es-ES"/>
          </w:rPr>
          <w:t>https://www.oas.org/cooperanet</w:t>
        </w:r>
      </w:hyperlink>
      <w:r w:rsidR="005B6F06" w:rsidRPr="00DC3951">
        <w:rPr>
          <w:rFonts w:ascii="Times New Roman" w:eastAsia="SimSun" w:hAnsi="Times New Roman" w:cs="Times New Roman"/>
          <w:lang w:val="es-CO" w:eastAsia="es-ES"/>
        </w:rPr>
        <w:t>)</w:t>
      </w:r>
    </w:p>
    <w:p w14:paraId="08B3CBB6" w14:textId="77777777" w:rsidR="00EF7357" w:rsidRPr="00DC3951" w:rsidRDefault="00EF7357" w:rsidP="00390AD2">
      <w:pPr>
        <w:spacing w:after="0" w:line="240" w:lineRule="auto"/>
        <w:jc w:val="both"/>
        <w:rPr>
          <w:rFonts w:ascii="Times New Roman" w:eastAsia="Times New Roman" w:hAnsi="Times New Roman" w:cs="Times New Roman"/>
          <w:b/>
          <w:bCs/>
          <w:color w:val="000000"/>
          <w:lang w:val="es-CO"/>
        </w:rPr>
      </w:pPr>
    </w:p>
    <w:p w14:paraId="3E275F5C" w14:textId="2E012A73" w:rsidR="00183E3D" w:rsidRPr="00DC3951" w:rsidRDefault="00183E3D" w:rsidP="00390AD2">
      <w:pPr>
        <w:spacing w:after="0" w:line="240" w:lineRule="auto"/>
        <w:jc w:val="both"/>
        <w:rPr>
          <w:rFonts w:ascii="Times New Roman" w:hAnsi="Times New Roman" w:cs="Times New Roman"/>
          <w:lang w:val="es-CO"/>
        </w:rPr>
      </w:pPr>
    </w:p>
    <w:p w14:paraId="7DC64D6C" w14:textId="51DB35FD" w:rsidR="0088538F" w:rsidRPr="00DC3951" w:rsidRDefault="007E1925" w:rsidP="00390AD2">
      <w:pPr>
        <w:spacing w:after="0" w:line="240" w:lineRule="auto"/>
        <w:jc w:val="both"/>
        <w:rPr>
          <w:rFonts w:ascii="Times New Roman" w:hAnsi="Times New Roman" w:cs="Times New Roman"/>
          <w:lang w:val="es-CO"/>
        </w:rPr>
      </w:pPr>
      <w:r w:rsidRPr="007E1925">
        <w:rPr>
          <w:rFonts w:ascii="Times New Roman" w:hAnsi="Times New Roman" w:cs="Times New Roman"/>
          <w:lang w:val="es-CO"/>
        </w:rPr>
        <w:t xml:space="preserve">La Tercera Reunión Especializada de Altas Autoridades de Cooperación, realizada los días 2 y 3 de diciembre de 2021, bajo el lema “Cooperación y alianzas como motores </w:t>
      </w:r>
      <w:r>
        <w:rPr>
          <w:rFonts w:ascii="Times New Roman" w:hAnsi="Times New Roman" w:cs="Times New Roman"/>
          <w:lang w:val="es-CO"/>
        </w:rPr>
        <w:t>para</w:t>
      </w:r>
      <w:r w:rsidRPr="007E1925">
        <w:rPr>
          <w:rFonts w:ascii="Times New Roman" w:hAnsi="Times New Roman" w:cs="Times New Roman"/>
          <w:lang w:val="es-CO"/>
        </w:rPr>
        <w:t xml:space="preserve"> la recuperación post-COVID-19 en la región”, resultó en una serie de intercambios y ofertas de cooperación o soluciones prácticas para ayudar a los Estados Miembros en su proceso de recuperación. Como parte del proceso de seguimiento, la Secretaría está trabajando en la actualización de la Plataforma CooperaNet con las ofertas presentadas en la reunión. Estos esfuerzos también están alineados con las acciones para fortalecer </w:t>
      </w:r>
      <w:r w:rsidR="003F7A9A">
        <w:rPr>
          <w:rFonts w:ascii="Times New Roman" w:hAnsi="Times New Roman" w:cs="Times New Roman"/>
          <w:lang w:val="es-CO"/>
        </w:rPr>
        <w:t xml:space="preserve">la </w:t>
      </w:r>
      <w:r w:rsidRPr="007E1925">
        <w:rPr>
          <w:rFonts w:ascii="Times New Roman" w:hAnsi="Times New Roman" w:cs="Times New Roman"/>
          <w:lang w:val="es-CO"/>
        </w:rPr>
        <w:t>cooperación en el marco de la OEA propuest</w:t>
      </w:r>
      <w:r w:rsidR="00326AC1">
        <w:rPr>
          <w:rFonts w:ascii="Times New Roman" w:hAnsi="Times New Roman" w:cs="Times New Roman"/>
          <w:lang w:val="es-CO"/>
        </w:rPr>
        <w:t>as</w:t>
      </w:r>
      <w:r w:rsidRPr="007E1925">
        <w:rPr>
          <w:rFonts w:ascii="Times New Roman" w:hAnsi="Times New Roman" w:cs="Times New Roman"/>
          <w:lang w:val="es-CO"/>
        </w:rPr>
        <w:t xml:space="preserve"> por la Junta Directiva de la Agencia Interamericana para la Cooperación y el Desarrollo (JD/AICD), que incluye la promoción de CooperaNet como un mecanismo </w:t>
      </w:r>
      <w:r w:rsidR="00784919">
        <w:rPr>
          <w:rFonts w:ascii="Times New Roman" w:hAnsi="Times New Roman" w:cs="Times New Roman"/>
          <w:lang w:val="es-CO"/>
        </w:rPr>
        <w:t>continuo</w:t>
      </w:r>
      <w:r w:rsidRPr="007E1925">
        <w:rPr>
          <w:rFonts w:ascii="Times New Roman" w:hAnsi="Times New Roman" w:cs="Times New Roman"/>
          <w:lang w:val="es-CO"/>
        </w:rPr>
        <w:t xml:space="preserve"> para que los Estados Miembros se comprometan entre sí y con </w:t>
      </w:r>
      <w:r w:rsidR="0030265F">
        <w:rPr>
          <w:rFonts w:ascii="Times New Roman" w:hAnsi="Times New Roman" w:cs="Times New Roman"/>
          <w:lang w:val="es-CO"/>
        </w:rPr>
        <w:t xml:space="preserve">los </w:t>
      </w:r>
      <w:r w:rsidRPr="007E1925">
        <w:rPr>
          <w:rFonts w:ascii="Times New Roman" w:hAnsi="Times New Roman" w:cs="Times New Roman"/>
          <w:lang w:val="es-CO"/>
        </w:rPr>
        <w:t>socios para compartir necesidades y ofertas de cooperación.</w:t>
      </w:r>
    </w:p>
    <w:p w14:paraId="3A79BA3E" w14:textId="41621EF3" w:rsidR="007E1925" w:rsidRDefault="007E1925" w:rsidP="0075071A">
      <w:pPr>
        <w:spacing w:after="0" w:line="240" w:lineRule="auto"/>
        <w:jc w:val="both"/>
        <w:rPr>
          <w:rFonts w:ascii="Times New Roman" w:hAnsi="Times New Roman" w:cs="Times New Roman"/>
          <w:lang w:val="es-CO"/>
        </w:rPr>
      </w:pPr>
    </w:p>
    <w:p w14:paraId="45B409E0" w14:textId="432DDB08" w:rsidR="007E1925" w:rsidRDefault="0030265F" w:rsidP="0075071A">
      <w:pPr>
        <w:spacing w:after="0" w:line="240" w:lineRule="auto"/>
        <w:jc w:val="both"/>
        <w:rPr>
          <w:rFonts w:ascii="Times New Roman" w:hAnsi="Times New Roman" w:cs="Times New Roman"/>
          <w:lang w:val="es-CO"/>
        </w:rPr>
      </w:pPr>
      <w:r>
        <w:rPr>
          <w:rFonts w:ascii="Times New Roman" w:hAnsi="Times New Roman" w:cs="Times New Roman"/>
          <w:lang w:val="es-CO"/>
        </w:rPr>
        <w:t>Desde</w:t>
      </w:r>
      <w:r w:rsidRPr="0030265F">
        <w:rPr>
          <w:rFonts w:ascii="Times New Roman" w:hAnsi="Times New Roman" w:cs="Times New Roman"/>
          <w:lang w:val="es-CO"/>
        </w:rPr>
        <w:t xml:space="preserve"> principios de 2022, se </w:t>
      </w:r>
      <w:r w:rsidR="00CF7AF3">
        <w:rPr>
          <w:rFonts w:ascii="Times New Roman" w:hAnsi="Times New Roman" w:cs="Times New Roman"/>
          <w:lang w:val="es-CO"/>
        </w:rPr>
        <w:t xml:space="preserve">han ido </w:t>
      </w:r>
      <w:r>
        <w:rPr>
          <w:rFonts w:ascii="Times New Roman" w:hAnsi="Times New Roman" w:cs="Times New Roman"/>
          <w:lang w:val="es-CO"/>
        </w:rPr>
        <w:t>creando</w:t>
      </w:r>
      <w:r w:rsidRPr="0030265F">
        <w:rPr>
          <w:rFonts w:ascii="Times New Roman" w:hAnsi="Times New Roman" w:cs="Times New Roman"/>
          <w:lang w:val="es-CO"/>
        </w:rPr>
        <w:t xml:space="preserve"> cuentas únicas para todas las Autoridades de Cooperación de los Estados </w:t>
      </w:r>
      <w:r>
        <w:rPr>
          <w:rFonts w:ascii="Times New Roman" w:hAnsi="Times New Roman" w:cs="Times New Roman"/>
          <w:lang w:val="es-CO"/>
        </w:rPr>
        <w:t>M</w:t>
      </w:r>
      <w:r w:rsidRPr="0030265F">
        <w:rPr>
          <w:rFonts w:ascii="Times New Roman" w:hAnsi="Times New Roman" w:cs="Times New Roman"/>
          <w:lang w:val="es-CO"/>
        </w:rPr>
        <w:t xml:space="preserve">iembros. Estas cuentas estarán asociadas a correos institucionales y tendrán permisos </w:t>
      </w:r>
      <w:r w:rsidR="003F7A9A">
        <w:rPr>
          <w:rFonts w:ascii="Times New Roman" w:hAnsi="Times New Roman" w:cs="Times New Roman"/>
          <w:lang w:val="es-CO"/>
        </w:rPr>
        <w:t>a</w:t>
      </w:r>
      <w:r w:rsidRPr="0030265F">
        <w:rPr>
          <w:rFonts w:ascii="Times New Roman" w:hAnsi="Times New Roman" w:cs="Times New Roman"/>
          <w:lang w:val="es-CO"/>
        </w:rPr>
        <w:t xml:space="preserve"> nivel de "punto focal", lo que les permitirá </w:t>
      </w:r>
      <w:r w:rsidR="00CF7AF3">
        <w:rPr>
          <w:rFonts w:ascii="Times New Roman" w:hAnsi="Times New Roman" w:cs="Times New Roman"/>
          <w:lang w:val="es-CO"/>
        </w:rPr>
        <w:t>subir</w:t>
      </w:r>
      <w:r w:rsidRPr="0030265F">
        <w:rPr>
          <w:rFonts w:ascii="Times New Roman" w:hAnsi="Times New Roman" w:cs="Times New Roman"/>
          <w:lang w:val="es-CO"/>
        </w:rPr>
        <w:t xml:space="preserve"> ofertas y actualizar el perfil de </w:t>
      </w:r>
      <w:r w:rsidR="00CF7AF3">
        <w:rPr>
          <w:rFonts w:ascii="Times New Roman" w:hAnsi="Times New Roman" w:cs="Times New Roman"/>
          <w:lang w:val="es-CO"/>
        </w:rPr>
        <w:t>las</w:t>
      </w:r>
      <w:r w:rsidRPr="0030265F">
        <w:rPr>
          <w:rFonts w:ascii="Times New Roman" w:hAnsi="Times New Roman" w:cs="Times New Roman"/>
          <w:lang w:val="es-CO"/>
        </w:rPr>
        <w:t xml:space="preserve"> Autoridad</w:t>
      </w:r>
      <w:r w:rsidR="00CF7AF3">
        <w:rPr>
          <w:rFonts w:ascii="Times New Roman" w:hAnsi="Times New Roman" w:cs="Times New Roman"/>
          <w:lang w:val="es-CO"/>
        </w:rPr>
        <w:t>es</w:t>
      </w:r>
      <w:r w:rsidRPr="0030265F">
        <w:rPr>
          <w:rFonts w:ascii="Times New Roman" w:hAnsi="Times New Roman" w:cs="Times New Roman"/>
          <w:lang w:val="es-CO"/>
        </w:rPr>
        <w:t xml:space="preserve">. Este cambio en el enfoque anterior requería que las Autoridades de Cooperación designaran a una persona técnica como punto focal al que luego se le otorgó acceso para cargar ofertas. El cambio a cuentas institucionales versus cuentas personales evitará alteraciones generadas por la rotación de personal en las </w:t>
      </w:r>
      <w:r w:rsidR="003F7A9A">
        <w:rPr>
          <w:rFonts w:ascii="Times New Roman" w:hAnsi="Times New Roman" w:cs="Times New Roman"/>
          <w:lang w:val="es-CO"/>
        </w:rPr>
        <w:t>A</w:t>
      </w:r>
      <w:r w:rsidR="00E30E90">
        <w:rPr>
          <w:rFonts w:ascii="Times New Roman" w:hAnsi="Times New Roman" w:cs="Times New Roman"/>
          <w:lang w:val="es-CO"/>
        </w:rPr>
        <w:t>utoridades</w:t>
      </w:r>
      <w:r w:rsidRPr="0030265F">
        <w:rPr>
          <w:rFonts w:ascii="Times New Roman" w:hAnsi="Times New Roman" w:cs="Times New Roman"/>
          <w:lang w:val="es-CO"/>
        </w:rPr>
        <w:t xml:space="preserve"> de </w:t>
      </w:r>
      <w:r w:rsidR="003F7A9A">
        <w:rPr>
          <w:rFonts w:ascii="Times New Roman" w:hAnsi="Times New Roman" w:cs="Times New Roman"/>
          <w:lang w:val="es-CO"/>
        </w:rPr>
        <w:t>C</w:t>
      </w:r>
      <w:r w:rsidRPr="0030265F">
        <w:rPr>
          <w:rFonts w:ascii="Times New Roman" w:hAnsi="Times New Roman" w:cs="Times New Roman"/>
          <w:lang w:val="es-CO"/>
        </w:rPr>
        <w:t xml:space="preserve">ooperación. </w:t>
      </w:r>
      <w:r w:rsidR="00E30E90">
        <w:rPr>
          <w:rFonts w:ascii="Times New Roman" w:hAnsi="Times New Roman" w:cs="Times New Roman"/>
          <w:lang w:val="es-CO"/>
        </w:rPr>
        <w:t>Hasta</w:t>
      </w:r>
      <w:r w:rsidRPr="0030265F">
        <w:rPr>
          <w:rFonts w:ascii="Times New Roman" w:hAnsi="Times New Roman" w:cs="Times New Roman"/>
          <w:lang w:val="es-CO"/>
        </w:rPr>
        <w:t xml:space="preserve"> la fecha, 5 Autoridades de Cooperación (15%) han designado sus cuentas únicas y 29 Estados Miembros (85%) aún no han establecido sus cuentas únicas para trabajar directamente con la Secretaría en esta iniciativa.</w:t>
      </w:r>
    </w:p>
    <w:p w14:paraId="60BC1D04" w14:textId="77777777" w:rsidR="00E956A0" w:rsidRPr="00DC3951" w:rsidRDefault="00E956A0" w:rsidP="0075071A">
      <w:pPr>
        <w:spacing w:after="0" w:line="240" w:lineRule="auto"/>
        <w:jc w:val="both"/>
        <w:rPr>
          <w:rFonts w:ascii="Times New Roman" w:hAnsi="Times New Roman" w:cs="Times New Roman"/>
          <w:lang w:val="es-ES"/>
        </w:rPr>
      </w:pPr>
    </w:p>
    <w:p w14:paraId="4325DCEC" w14:textId="247B3632" w:rsidR="00E30E90" w:rsidRDefault="00E30E90" w:rsidP="0075071A">
      <w:pPr>
        <w:spacing w:after="0" w:line="240" w:lineRule="auto"/>
        <w:jc w:val="both"/>
        <w:rPr>
          <w:rFonts w:ascii="Times New Roman" w:hAnsi="Times New Roman" w:cs="Times New Roman"/>
          <w:lang w:val="es-CO"/>
        </w:rPr>
      </w:pPr>
      <w:r w:rsidRPr="00E30E90">
        <w:rPr>
          <w:rFonts w:ascii="Times New Roman" w:hAnsi="Times New Roman" w:cs="Times New Roman"/>
          <w:lang w:val="es-CO"/>
        </w:rPr>
        <w:t xml:space="preserve">La plataforma sirvió como principal canal de información y repositorio de documentos relacionados con la </w:t>
      </w:r>
      <w:hyperlink r:id="rId9" w:history="1">
        <w:r w:rsidRPr="00E30E90">
          <w:rPr>
            <w:rStyle w:val="Hyperlink"/>
            <w:rFonts w:ascii="Times New Roman" w:hAnsi="Times New Roman" w:cs="Times New Roman"/>
            <w:lang w:val="es-CO"/>
          </w:rPr>
          <w:t>reunión de 2021</w:t>
        </w:r>
      </w:hyperlink>
      <w:r w:rsidRPr="00E30E90">
        <w:rPr>
          <w:rFonts w:ascii="Times New Roman" w:hAnsi="Times New Roman" w:cs="Times New Roman"/>
          <w:lang w:val="es-CO"/>
        </w:rPr>
        <w:t>. Además, se creó una nueva sección de "Recursos" con el manual de usuario actualizado y una serie de videos explicativos sobre las diferentes funcionalidades de la plataforma. Estos videos pretenden ser una capacitación y soporte técnico a su propio ritmo para los usuarios y complementar el manual del usuario.</w:t>
      </w:r>
    </w:p>
    <w:p w14:paraId="5C845823" w14:textId="77777777" w:rsidR="00E956A0" w:rsidRPr="00DC3951" w:rsidRDefault="00E956A0" w:rsidP="0075071A">
      <w:pPr>
        <w:spacing w:after="0" w:line="240" w:lineRule="auto"/>
        <w:jc w:val="both"/>
        <w:rPr>
          <w:rFonts w:ascii="Times New Roman" w:hAnsi="Times New Roman" w:cs="Times New Roman"/>
          <w:lang w:val="es-CO"/>
        </w:rPr>
      </w:pPr>
    </w:p>
    <w:p w14:paraId="4083085F" w14:textId="7136B729" w:rsidR="00C531E7" w:rsidRDefault="00C531E7" w:rsidP="00D66EFF">
      <w:pPr>
        <w:spacing w:after="0" w:line="240" w:lineRule="auto"/>
        <w:jc w:val="both"/>
        <w:rPr>
          <w:rFonts w:ascii="Times New Roman" w:hAnsi="Times New Roman" w:cs="Times New Roman"/>
          <w:lang w:val="es-ES"/>
        </w:rPr>
      </w:pPr>
      <w:r w:rsidRPr="00C531E7">
        <w:rPr>
          <w:rFonts w:ascii="Times New Roman" w:hAnsi="Times New Roman" w:cs="Times New Roman"/>
          <w:lang w:val="es-ES"/>
        </w:rPr>
        <w:t>El apoyo continúa</w:t>
      </w:r>
      <w:r>
        <w:rPr>
          <w:rFonts w:ascii="Times New Roman" w:hAnsi="Times New Roman" w:cs="Times New Roman"/>
          <w:lang w:val="es-ES"/>
        </w:rPr>
        <w:t>,</w:t>
      </w:r>
      <w:r w:rsidRPr="00C531E7">
        <w:rPr>
          <w:rFonts w:ascii="Times New Roman" w:hAnsi="Times New Roman" w:cs="Times New Roman"/>
          <w:lang w:val="es-ES"/>
        </w:rPr>
        <w:t xml:space="preserve"> y la Secretaría ha realizado reuniones </w:t>
      </w:r>
      <w:r w:rsidRPr="00D66EFF">
        <w:rPr>
          <w:rFonts w:ascii="Times New Roman" w:hAnsi="Times New Roman" w:cs="Times New Roman"/>
          <w:lang w:val="es-ES"/>
        </w:rPr>
        <w:t xml:space="preserve">uno a uno </w:t>
      </w:r>
      <w:r w:rsidRPr="00C531E7">
        <w:rPr>
          <w:rFonts w:ascii="Times New Roman" w:hAnsi="Times New Roman" w:cs="Times New Roman"/>
          <w:lang w:val="es-ES"/>
        </w:rPr>
        <w:t xml:space="preserve">con las Autoridades de Cooperación y los socios que han expresado interés y </w:t>
      </w:r>
      <w:r w:rsidR="003F7A9A">
        <w:rPr>
          <w:rFonts w:ascii="Times New Roman" w:hAnsi="Times New Roman" w:cs="Times New Roman"/>
          <w:lang w:val="es-ES"/>
        </w:rPr>
        <w:t xml:space="preserve">que han </w:t>
      </w:r>
      <w:r w:rsidRPr="00C531E7">
        <w:rPr>
          <w:rFonts w:ascii="Times New Roman" w:hAnsi="Times New Roman" w:cs="Times New Roman"/>
          <w:lang w:val="es-ES"/>
        </w:rPr>
        <w:t xml:space="preserve">solicitado asistencia. Además, el equipo de cooperación técnica se ha reunido con el Departamento de Desarrollo Humano, Educación y Empleo (DDHEE) de la SEDI para explorar la posibilidad de utilizar la plataforma para compartir información sobre las </w:t>
      </w:r>
      <w:r>
        <w:rPr>
          <w:rFonts w:ascii="Times New Roman" w:hAnsi="Times New Roman" w:cs="Times New Roman"/>
          <w:lang w:val="es-ES"/>
        </w:rPr>
        <w:t>B</w:t>
      </w:r>
      <w:r w:rsidRPr="00C531E7">
        <w:rPr>
          <w:rFonts w:ascii="Times New Roman" w:hAnsi="Times New Roman" w:cs="Times New Roman"/>
          <w:lang w:val="es-ES"/>
        </w:rPr>
        <w:t xml:space="preserve">ecas de la OEA. </w:t>
      </w:r>
      <w:r w:rsidR="00321A78">
        <w:rPr>
          <w:rFonts w:ascii="Times New Roman" w:hAnsi="Times New Roman" w:cs="Times New Roman"/>
          <w:lang w:val="es-ES"/>
        </w:rPr>
        <w:t>Adicionalmente</w:t>
      </w:r>
      <w:r w:rsidRPr="00C531E7">
        <w:rPr>
          <w:rFonts w:ascii="Times New Roman" w:hAnsi="Times New Roman" w:cs="Times New Roman"/>
          <w:lang w:val="es-ES"/>
        </w:rPr>
        <w:t xml:space="preserve">, el equipo se reunió con varios socios, dos de los cuales se han registrado como socios en la plataforma (Formato Educativo y Structuralia), y expresaron interés en incluir ofertas en la plataforma. </w:t>
      </w:r>
      <w:r w:rsidR="00321A78">
        <w:rPr>
          <w:rFonts w:ascii="Times New Roman" w:hAnsi="Times New Roman" w:cs="Times New Roman"/>
          <w:lang w:val="es-ES"/>
        </w:rPr>
        <w:t>Por otra parte</w:t>
      </w:r>
      <w:r w:rsidRPr="00C531E7">
        <w:rPr>
          <w:rFonts w:ascii="Times New Roman" w:hAnsi="Times New Roman" w:cs="Times New Roman"/>
          <w:lang w:val="es-ES"/>
        </w:rPr>
        <w:t xml:space="preserve">, </w:t>
      </w:r>
      <w:r w:rsidR="00321A78" w:rsidRPr="00321A78">
        <w:rPr>
          <w:rFonts w:ascii="Times New Roman" w:hAnsi="Times New Roman" w:cs="Times New Roman"/>
          <w:color w:val="000000" w:themeColor="text1"/>
          <w:lang w:val="es-ES"/>
        </w:rPr>
        <w:t xml:space="preserve">se están realizando esfuerzos </w:t>
      </w:r>
      <w:r w:rsidRPr="00C531E7">
        <w:rPr>
          <w:rFonts w:ascii="Times New Roman" w:hAnsi="Times New Roman" w:cs="Times New Roman"/>
          <w:lang w:val="es-ES"/>
        </w:rPr>
        <w:t>para promover la plataforma y comunicar sus avances a través de los canales generales de comunicación de la SEDI.</w:t>
      </w:r>
    </w:p>
    <w:p w14:paraId="3B86FAF5" w14:textId="77777777" w:rsidR="00F07456" w:rsidRDefault="00F07456" w:rsidP="0075071A">
      <w:pPr>
        <w:spacing w:after="0" w:line="240" w:lineRule="auto"/>
        <w:jc w:val="both"/>
        <w:rPr>
          <w:rFonts w:ascii="Times New Roman" w:hAnsi="Times New Roman" w:cs="Times New Roman"/>
          <w:lang w:val="es-ES"/>
        </w:rPr>
      </w:pPr>
    </w:p>
    <w:p w14:paraId="5DC0C81C" w14:textId="4D727889" w:rsidR="00321A78" w:rsidRDefault="00321A78" w:rsidP="0075071A">
      <w:pPr>
        <w:spacing w:after="0" w:line="240" w:lineRule="auto"/>
        <w:jc w:val="both"/>
        <w:rPr>
          <w:rFonts w:ascii="Times New Roman" w:hAnsi="Times New Roman" w:cs="Times New Roman"/>
          <w:color w:val="000000" w:themeColor="text1"/>
          <w:lang w:val="es-ES"/>
        </w:rPr>
      </w:pPr>
      <w:r w:rsidRPr="00321A78">
        <w:rPr>
          <w:rFonts w:ascii="Times New Roman" w:hAnsi="Times New Roman" w:cs="Times New Roman"/>
          <w:color w:val="000000" w:themeColor="text1"/>
          <w:lang w:val="es-ES"/>
        </w:rPr>
        <w:lastRenderedPageBreak/>
        <w:t>Es importante señalar que, a partir de mayo de 2022, CooperaNet contará por primera vez con un</w:t>
      </w:r>
      <w:r>
        <w:rPr>
          <w:rFonts w:ascii="Times New Roman" w:hAnsi="Times New Roman" w:cs="Times New Roman"/>
          <w:color w:val="000000" w:themeColor="text1"/>
          <w:lang w:val="es-ES"/>
        </w:rPr>
        <w:t>a</w:t>
      </w:r>
      <w:r w:rsidRPr="00321A78">
        <w:rPr>
          <w:rFonts w:ascii="Times New Roman" w:hAnsi="Times New Roman" w:cs="Times New Roman"/>
          <w:color w:val="000000" w:themeColor="text1"/>
          <w:lang w:val="es-ES"/>
        </w:rPr>
        <w:t xml:space="preserve"> consultor</w:t>
      </w:r>
      <w:r>
        <w:rPr>
          <w:rFonts w:ascii="Times New Roman" w:hAnsi="Times New Roman" w:cs="Times New Roman"/>
          <w:color w:val="000000" w:themeColor="text1"/>
          <w:lang w:val="es-ES"/>
        </w:rPr>
        <w:t>a</w:t>
      </w:r>
      <w:r w:rsidRPr="00321A78">
        <w:rPr>
          <w:rFonts w:ascii="Times New Roman" w:hAnsi="Times New Roman" w:cs="Times New Roman"/>
          <w:color w:val="000000" w:themeColor="text1"/>
          <w:lang w:val="es-ES"/>
        </w:rPr>
        <w:t xml:space="preserve"> dedicad</w:t>
      </w:r>
      <w:r>
        <w:rPr>
          <w:rFonts w:ascii="Times New Roman" w:hAnsi="Times New Roman" w:cs="Times New Roman"/>
          <w:color w:val="000000" w:themeColor="text1"/>
          <w:lang w:val="es-ES"/>
        </w:rPr>
        <w:t>a</w:t>
      </w:r>
      <w:r w:rsidRPr="00321A78">
        <w:rPr>
          <w:rFonts w:ascii="Times New Roman" w:hAnsi="Times New Roman" w:cs="Times New Roman"/>
          <w:color w:val="000000" w:themeColor="text1"/>
          <w:lang w:val="es-ES"/>
        </w:rPr>
        <w:t xml:space="preserve"> exclusivamente a la plataforma.</w:t>
      </w:r>
    </w:p>
    <w:p w14:paraId="265911A5" w14:textId="77777777" w:rsidR="00183E3D" w:rsidRPr="00DC3951" w:rsidRDefault="00183E3D" w:rsidP="00390AD2">
      <w:pPr>
        <w:spacing w:after="0" w:line="240" w:lineRule="auto"/>
        <w:jc w:val="both"/>
        <w:rPr>
          <w:rFonts w:ascii="Times New Roman" w:hAnsi="Times New Roman" w:cs="Times New Roman"/>
          <w:lang w:val="es-CO"/>
        </w:rPr>
      </w:pPr>
    </w:p>
    <w:p w14:paraId="39EB298D" w14:textId="77777777" w:rsidR="00183E3D" w:rsidRPr="00DC3951" w:rsidRDefault="00183E3D" w:rsidP="00390AD2">
      <w:pPr>
        <w:spacing w:after="0" w:line="240" w:lineRule="auto"/>
        <w:jc w:val="both"/>
        <w:rPr>
          <w:rFonts w:ascii="Times New Roman" w:hAnsi="Times New Roman" w:cs="Times New Roman"/>
          <w:b/>
          <w:bCs/>
          <w:lang w:val="es-CO"/>
        </w:rPr>
      </w:pPr>
    </w:p>
    <w:p w14:paraId="71094DFA" w14:textId="49C8DDA0" w:rsidR="00742888" w:rsidRPr="00DC3951" w:rsidRDefault="00742888" w:rsidP="00390AD2">
      <w:pPr>
        <w:spacing w:after="0" w:line="240" w:lineRule="auto"/>
        <w:jc w:val="both"/>
        <w:rPr>
          <w:rFonts w:ascii="Times New Roman" w:hAnsi="Times New Roman" w:cs="Times New Roman"/>
          <w:b/>
          <w:bCs/>
          <w:lang w:val="es-CO"/>
        </w:rPr>
      </w:pPr>
      <w:r w:rsidRPr="00DC3951">
        <w:rPr>
          <w:rFonts w:ascii="Times New Roman" w:hAnsi="Times New Roman" w:cs="Times New Roman"/>
          <w:b/>
          <w:bCs/>
          <w:lang w:val="es-CO"/>
        </w:rPr>
        <w:t>Intercambio de cooperación:</w:t>
      </w:r>
    </w:p>
    <w:p w14:paraId="314F2371" w14:textId="77777777" w:rsidR="00183E3D" w:rsidRPr="00DC3951" w:rsidRDefault="00183E3D" w:rsidP="00390AD2">
      <w:pPr>
        <w:spacing w:after="0" w:line="240" w:lineRule="auto"/>
        <w:jc w:val="both"/>
        <w:rPr>
          <w:rFonts w:ascii="Times New Roman" w:hAnsi="Times New Roman" w:cs="Times New Roman"/>
          <w:lang w:val="es-CO"/>
        </w:rPr>
      </w:pPr>
    </w:p>
    <w:p w14:paraId="08CC439B" w14:textId="39DF2F2E" w:rsidR="00742888" w:rsidRPr="00DC3951" w:rsidRDefault="00742888" w:rsidP="00390AD2">
      <w:pPr>
        <w:spacing w:after="0" w:line="240" w:lineRule="auto"/>
        <w:jc w:val="both"/>
        <w:rPr>
          <w:rFonts w:ascii="Times New Roman" w:hAnsi="Times New Roman" w:cs="Times New Roman"/>
          <w:lang w:val="es-CO"/>
        </w:rPr>
      </w:pPr>
      <w:r w:rsidRPr="00DC3951">
        <w:rPr>
          <w:rFonts w:ascii="Times New Roman" w:hAnsi="Times New Roman" w:cs="Times New Roman"/>
          <w:lang w:val="es-CO"/>
        </w:rPr>
        <w:t xml:space="preserve">Actualmente hay </w:t>
      </w:r>
      <w:r w:rsidRPr="00DC3951">
        <w:rPr>
          <w:rFonts w:ascii="Times New Roman" w:hAnsi="Times New Roman" w:cs="Times New Roman"/>
          <w:b/>
          <w:bCs/>
          <w:lang w:val="es-CO"/>
        </w:rPr>
        <w:t>23</w:t>
      </w:r>
      <w:r w:rsidR="00896B49" w:rsidRPr="00DC3951">
        <w:rPr>
          <w:rFonts w:ascii="Times New Roman" w:hAnsi="Times New Roman" w:cs="Times New Roman"/>
          <w:b/>
          <w:bCs/>
          <w:lang w:val="es-CO"/>
        </w:rPr>
        <w:t>8</w:t>
      </w:r>
      <w:r w:rsidRPr="00DC3951">
        <w:rPr>
          <w:rFonts w:ascii="Times New Roman" w:hAnsi="Times New Roman" w:cs="Times New Roman"/>
          <w:b/>
          <w:bCs/>
          <w:lang w:val="es-CO"/>
        </w:rPr>
        <w:t xml:space="preserve"> ofertas y necesidades publicadas en la sección “Intercambio de cooperación” </w:t>
      </w:r>
      <w:r w:rsidRPr="00DC3951">
        <w:rPr>
          <w:rFonts w:ascii="Times New Roman" w:hAnsi="Times New Roman" w:cs="Times New Roman"/>
          <w:lang w:val="es-CO"/>
        </w:rPr>
        <w:t xml:space="preserve">de CooperaNet. Perú publicó 124 ofertas (53%) al cierre de 2019 y Argentina publicó 102 ofertas </w:t>
      </w:r>
      <w:r w:rsidR="00670ED0" w:rsidRPr="00DC3951">
        <w:rPr>
          <w:rFonts w:ascii="Times New Roman" w:hAnsi="Times New Roman" w:cs="Times New Roman"/>
          <w:lang w:val="es-CO"/>
        </w:rPr>
        <w:t xml:space="preserve">(43,6%) </w:t>
      </w:r>
      <w:r w:rsidRPr="00DC3951">
        <w:rPr>
          <w:rFonts w:ascii="Times New Roman" w:hAnsi="Times New Roman" w:cs="Times New Roman"/>
          <w:lang w:val="es-CO"/>
        </w:rPr>
        <w:t>en abril de 2020</w:t>
      </w:r>
      <w:r w:rsidR="009047F4" w:rsidRPr="00DC3951">
        <w:rPr>
          <w:rFonts w:ascii="Times New Roman" w:hAnsi="Times New Roman" w:cs="Times New Roman"/>
          <w:lang w:val="es-CO"/>
        </w:rPr>
        <w:t>, las cuales se mantienen</w:t>
      </w:r>
      <w:r w:rsidR="001E0C3D" w:rsidRPr="00DC3951">
        <w:rPr>
          <w:rFonts w:ascii="Times New Roman" w:hAnsi="Times New Roman" w:cs="Times New Roman"/>
          <w:lang w:val="es-CO"/>
        </w:rPr>
        <w:t xml:space="preserve"> a la fecha</w:t>
      </w:r>
      <w:r w:rsidRPr="00DC3951">
        <w:rPr>
          <w:rFonts w:ascii="Times New Roman" w:hAnsi="Times New Roman" w:cs="Times New Roman"/>
          <w:lang w:val="es-CO"/>
        </w:rPr>
        <w:t xml:space="preserve">. Ambos Puntos Focales utilizaron información disponible en el “Catálogo de Cooperación” de las Agencias de Cooperación. Las 8 “Necesidades” </w:t>
      </w:r>
      <w:r w:rsidR="009922DF" w:rsidRPr="00DC3951">
        <w:rPr>
          <w:rFonts w:ascii="Times New Roman" w:hAnsi="Times New Roman" w:cs="Times New Roman"/>
          <w:lang w:val="es-CO"/>
        </w:rPr>
        <w:t>publicadas</w:t>
      </w:r>
      <w:r w:rsidRPr="00DC3951">
        <w:rPr>
          <w:rFonts w:ascii="Times New Roman" w:hAnsi="Times New Roman" w:cs="Times New Roman"/>
          <w:lang w:val="es-CO"/>
        </w:rPr>
        <w:t xml:space="preserve"> actualmente provienen de programas en ejecución en el marco del Fondo de Cooperación para el Desarrollo (FCD) </w:t>
      </w:r>
      <w:r w:rsidR="009922DF" w:rsidRPr="00DC3951">
        <w:rPr>
          <w:rFonts w:ascii="Times New Roman" w:hAnsi="Times New Roman" w:cs="Times New Roman"/>
          <w:lang w:val="es-CO"/>
        </w:rPr>
        <w:t>en</w:t>
      </w:r>
      <w:r w:rsidRPr="00DC3951">
        <w:rPr>
          <w:rFonts w:ascii="Times New Roman" w:hAnsi="Times New Roman" w:cs="Times New Roman"/>
          <w:lang w:val="es-CO"/>
        </w:rPr>
        <w:t xml:space="preserve"> Bahamas, Barbados, Costa Rica, El Salvador, Honduras, Saint Kitts y Nevis, San Vicente y las Granadinas y Uruguay.</w:t>
      </w:r>
    </w:p>
    <w:p w14:paraId="1DDBAB58" w14:textId="77777777" w:rsidR="00183E3D" w:rsidRPr="00DC3951" w:rsidRDefault="00183E3D" w:rsidP="00390AD2">
      <w:pPr>
        <w:spacing w:after="0" w:line="240" w:lineRule="auto"/>
        <w:jc w:val="both"/>
        <w:rPr>
          <w:rFonts w:ascii="Times New Roman" w:hAnsi="Times New Roman" w:cs="Times New Roman"/>
          <w:lang w:val="es-CO"/>
        </w:rPr>
      </w:pPr>
    </w:p>
    <w:p w14:paraId="00267A38" w14:textId="440F667D" w:rsidR="00742888" w:rsidRPr="00DC3951" w:rsidRDefault="00742888" w:rsidP="00390AD2">
      <w:pPr>
        <w:spacing w:after="0" w:line="240" w:lineRule="auto"/>
        <w:jc w:val="both"/>
        <w:rPr>
          <w:rFonts w:ascii="Times New Roman" w:hAnsi="Times New Roman" w:cs="Times New Roman"/>
          <w:lang w:val="es-CO"/>
        </w:rPr>
      </w:pPr>
      <w:r w:rsidRPr="00DC3951">
        <w:rPr>
          <w:rFonts w:ascii="Times New Roman" w:hAnsi="Times New Roman" w:cs="Times New Roman"/>
          <w:lang w:val="es-CO"/>
        </w:rPr>
        <w:t>Las “ofertas” compartidas a través de CooperaNet pueden referirse a un proyecto en ejecución o concluido, lo que representa una buena práctica basada en capacidades institucionales, que podría servir como ejemplo para diseñar proyectos o actividades de cooperación con otros países.</w:t>
      </w:r>
    </w:p>
    <w:p w14:paraId="0142A652" w14:textId="77777777" w:rsidR="00183E3D" w:rsidRPr="00DC3951" w:rsidRDefault="00183E3D" w:rsidP="00390AD2">
      <w:pPr>
        <w:spacing w:after="0" w:line="240" w:lineRule="auto"/>
        <w:jc w:val="both"/>
        <w:rPr>
          <w:rFonts w:ascii="Times New Roman" w:hAnsi="Times New Roman" w:cs="Times New Roman"/>
          <w:lang w:val="es-CO"/>
        </w:rPr>
      </w:pPr>
    </w:p>
    <w:p w14:paraId="486B6D01" w14:textId="74F341BF" w:rsidR="00947E38" w:rsidRPr="00DC3951" w:rsidRDefault="00742888" w:rsidP="00390AD2">
      <w:pPr>
        <w:spacing w:after="0" w:line="240" w:lineRule="auto"/>
        <w:jc w:val="both"/>
        <w:rPr>
          <w:rFonts w:ascii="Times New Roman" w:hAnsi="Times New Roman" w:cs="Times New Roman"/>
          <w:lang w:val="es-CO"/>
        </w:rPr>
      </w:pPr>
      <w:r w:rsidRPr="00DC3951">
        <w:rPr>
          <w:rFonts w:ascii="Times New Roman" w:hAnsi="Times New Roman" w:cs="Times New Roman"/>
          <w:lang w:val="es-CO"/>
        </w:rPr>
        <w:t>Cabe señalar que el mayor desafío en est</w:t>
      </w:r>
      <w:r w:rsidR="009922DF" w:rsidRPr="00DC3951">
        <w:rPr>
          <w:rFonts w:ascii="Times New Roman" w:hAnsi="Times New Roman" w:cs="Times New Roman"/>
          <w:lang w:val="es-CO"/>
        </w:rPr>
        <w:t xml:space="preserve">a sección de la plataforma </w:t>
      </w:r>
      <w:r w:rsidRPr="00DC3951">
        <w:rPr>
          <w:rFonts w:ascii="Times New Roman" w:hAnsi="Times New Roman" w:cs="Times New Roman"/>
          <w:lang w:val="es-CO"/>
        </w:rPr>
        <w:t xml:space="preserve">es que las Autoridades de Cooperación identifiquen sus ofertas o buenas prácticas, tarea que ya ha sido emprendida por muchos países y que ha sido sistematizada en catálogos de cooperación. En este sentido, la Secretaría ha estado en contacto con varios Puntos Focales que han expresado interés en </w:t>
      </w:r>
      <w:r w:rsidR="003B7537" w:rsidRPr="00DC3951">
        <w:rPr>
          <w:rFonts w:ascii="Times New Roman" w:hAnsi="Times New Roman" w:cs="Times New Roman"/>
          <w:lang w:val="es-CO"/>
        </w:rPr>
        <w:t>subir</w:t>
      </w:r>
      <w:r w:rsidRPr="00DC3951">
        <w:rPr>
          <w:rFonts w:ascii="Times New Roman" w:hAnsi="Times New Roman" w:cs="Times New Roman"/>
          <w:lang w:val="es-CO"/>
        </w:rPr>
        <w:t xml:space="preserve"> información a CooperaNet</w:t>
      </w:r>
      <w:r w:rsidR="003B7537" w:rsidRPr="00DC3951">
        <w:rPr>
          <w:rFonts w:ascii="Times New Roman" w:hAnsi="Times New Roman" w:cs="Times New Roman"/>
          <w:lang w:val="es-CO"/>
        </w:rPr>
        <w:t>,</w:t>
      </w:r>
      <w:r w:rsidRPr="00DC3951">
        <w:rPr>
          <w:rFonts w:ascii="Times New Roman" w:hAnsi="Times New Roman" w:cs="Times New Roman"/>
          <w:lang w:val="es-CO"/>
        </w:rPr>
        <w:t xml:space="preserve"> pero indicaron que sus catálogos están </w:t>
      </w:r>
      <w:r w:rsidR="003B7537" w:rsidRPr="00DC3951">
        <w:rPr>
          <w:rFonts w:ascii="Times New Roman" w:hAnsi="Times New Roman" w:cs="Times New Roman"/>
          <w:lang w:val="es-CO"/>
        </w:rPr>
        <w:t xml:space="preserve">en proceso de ser </w:t>
      </w:r>
      <w:r w:rsidRPr="00DC3951">
        <w:rPr>
          <w:rFonts w:ascii="Times New Roman" w:hAnsi="Times New Roman" w:cs="Times New Roman"/>
          <w:lang w:val="es-CO"/>
        </w:rPr>
        <w:t>actualizado</w:t>
      </w:r>
      <w:r w:rsidR="003B7537" w:rsidRPr="00DC3951">
        <w:rPr>
          <w:rFonts w:ascii="Times New Roman" w:hAnsi="Times New Roman" w:cs="Times New Roman"/>
          <w:lang w:val="es-CO"/>
        </w:rPr>
        <w:t>s</w:t>
      </w:r>
      <w:r w:rsidRPr="00DC3951">
        <w:rPr>
          <w:rFonts w:ascii="Times New Roman" w:hAnsi="Times New Roman" w:cs="Times New Roman"/>
          <w:lang w:val="es-CO"/>
        </w:rPr>
        <w:t xml:space="preserve"> actualmente y lo harán a medida que la información esté disponible.</w:t>
      </w:r>
    </w:p>
    <w:p w14:paraId="332E31CD" w14:textId="77777777" w:rsidR="00183E3D" w:rsidRPr="00DC3951" w:rsidRDefault="00183E3D" w:rsidP="00390AD2">
      <w:pPr>
        <w:spacing w:after="0" w:line="240" w:lineRule="auto"/>
        <w:jc w:val="both"/>
        <w:rPr>
          <w:rFonts w:ascii="Times New Roman" w:hAnsi="Times New Roman" w:cs="Times New Roman"/>
          <w:lang w:val="es-CO"/>
        </w:rPr>
      </w:pPr>
    </w:p>
    <w:tbl>
      <w:tblPr>
        <w:tblW w:w="5000" w:type="pct"/>
        <w:tblLook w:val="04A0" w:firstRow="1" w:lastRow="0" w:firstColumn="1" w:lastColumn="0" w:noHBand="0" w:noVBand="1"/>
      </w:tblPr>
      <w:tblGrid>
        <w:gridCol w:w="7630"/>
        <w:gridCol w:w="1720"/>
      </w:tblGrid>
      <w:tr w:rsidR="00903BCB" w:rsidRPr="00DC3951" w14:paraId="6F3B4361" w14:textId="77777777" w:rsidTr="00844DD5">
        <w:trPr>
          <w:trHeight w:val="285"/>
        </w:trPr>
        <w:tc>
          <w:tcPr>
            <w:tcW w:w="4080" w:type="pct"/>
            <w:tcBorders>
              <w:top w:val="single" w:sz="4" w:space="0" w:color="auto"/>
              <w:left w:val="single" w:sz="4" w:space="0" w:color="auto"/>
              <w:bottom w:val="nil"/>
              <w:right w:val="nil"/>
            </w:tcBorders>
            <w:shd w:val="clear" w:color="F2F2F2" w:fill="DAE3F3"/>
            <w:noWrap/>
            <w:vAlign w:val="bottom"/>
            <w:hideMark/>
          </w:tcPr>
          <w:p w14:paraId="19633B6B" w14:textId="43208EFE" w:rsidR="00903BCB" w:rsidRPr="00DC3951" w:rsidRDefault="00903BCB" w:rsidP="00390AD2">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T</w:t>
            </w:r>
            <w:r w:rsidR="001C5282" w:rsidRPr="00DC3951">
              <w:rPr>
                <w:rFonts w:ascii="Times New Roman" w:eastAsia="Times New Roman" w:hAnsi="Times New Roman" w:cs="Times New Roman"/>
                <w:b/>
                <w:bCs/>
                <w:color w:val="000000"/>
                <w:lang w:val="es-CO"/>
              </w:rPr>
              <w:t>ipo</w:t>
            </w:r>
          </w:p>
        </w:tc>
        <w:tc>
          <w:tcPr>
            <w:tcW w:w="920" w:type="pct"/>
            <w:tcBorders>
              <w:top w:val="single" w:sz="4" w:space="0" w:color="auto"/>
              <w:left w:val="nil"/>
              <w:bottom w:val="nil"/>
              <w:right w:val="single" w:sz="4" w:space="0" w:color="auto"/>
            </w:tcBorders>
            <w:shd w:val="clear" w:color="F2F2F2" w:fill="DAE3F3"/>
            <w:noWrap/>
            <w:vAlign w:val="bottom"/>
            <w:hideMark/>
          </w:tcPr>
          <w:p w14:paraId="0EEB2D73" w14:textId="77777777" w:rsidR="00903BCB" w:rsidRPr="00DC3951" w:rsidRDefault="00903BCB" w:rsidP="00390AD2">
            <w:pPr>
              <w:spacing w:after="0" w:line="240" w:lineRule="auto"/>
              <w:jc w:val="center"/>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 </w:t>
            </w:r>
          </w:p>
        </w:tc>
      </w:tr>
      <w:tr w:rsidR="00903BCB" w:rsidRPr="00DC3951" w14:paraId="15FDEF90" w14:textId="77777777" w:rsidTr="00844DD5">
        <w:trPr>
          <w:trHeight w:val="285"/>
        </w:trPr>
        <w:tc>
          <w:tcPr>
            <w:tcW w:w="4080" w:type="pct"/>
            <w:tcBorders>
              <w:top w:val="nil"/>
              <w:left w:val="single" w:sz="4" w:space="0" w:color="auto"/>
              <w:bottom w:val="nil"/>
              <w:right w:val="nil"/>
            </w:tcBorders>
            <w:shd w:val="clear" w:color="auto" w:fill="auto"/>
            <w:noWrap/>
            <w:vAlign w:val="bottom"/>
            <w:hideMark/>
          </w:tcPr>
          <w:p w14:paraId="4F94DFB1" w14:textId="77777777" w:rsidR="00903BCB" w:rsidRPr="00DC3951" w:rsidRDefault="00903BCB" w:rsidP="00390AD2">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Oferta – Estados Miembros </w:t>
            </w:r>
          </w:p>
        </w:tc>
        <w:tc>
          <w:tcPr>
            <w:tcW w:w="920" w:type="pct"/>
            <w:tcBorders>
              <w:top w:val="nil"/>
              <w:left w:val="nil"/>
              <w:bottom w:val="nil"/>
              <w:right w:val="single" w:sz="4" w:space="0" w:color="auto"/>
            </w:tcBorders>
            <w:shd w:val="clear" w:color="auto" w:fill="auto"/>
            <w:noWrap/>
            <w:vAlign w:val="bottom"/>
            <w:hideMark/>
          </w:tcPr>
          <w:p w14:paraId="1D566218" w14:textId="195ADA78" w:rsidR="00903BCB" w:rsidRPr="00DC3951" w:rsidRDefault="00903BCB" w:rsidP="00390AD2">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22</w:t>
            </w:r>
            <w:r w:rsidR="008E32AC" w:rsidRPr="00DC3951">
              <w:rPr>
                <w:rFonts w:ascii="Times New Roman" w:eastAsia="Times New Roman" w:hAnsi="Times New Roman" w:cs="Times New Roman"/>
                <w:color w:val="000000"/>
                <w:lang w:val="es-CO"/>
              </w:rPr>
              <w:t>9</w:t>
            </w:r>
          </w:p>
        </w:tc>
      </w:tr>
      <w:tr w:rsidR="00903BCB" w:rsidRPr="00DC3951" w14:paraId="4F72F3EC" w14:textId="77777777" w:rsidTr="00844DD5">
        <w:trPr>
          <w:trHeight w:val="285"/>
        </w:trPr>
        <w:tc>
          <w:tcPr>
            <w:tcW w:w="4080" w:type="pct"/>
            <w:tcBorders>
              <w:top w:val="nil"/>
              <w:left w:val="single" w:sz="4" w:space="0" w:color="auto"/>
              <w:bottom w:val="nil"/>
              <w:right w:val="nil"/>
            </w:tcBorders>
            <w:shd w:val="clear" w:color="auto" w:fill="auto"/>
            <w:noWrap/>
            <w:vAlign w:val="bottom"/>
            <w:hideMark/>
          </w:tcPr>
          <w:p w14:paraId="49DC2DAB" w14:textId="77777777" w:rsidR="00903BCB" w:rsidRPr="00DC3951" w:rsidRDefault="00903BCB" w:rsidP="00390AD2">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Oferta – Socio </w:t>
            </w:r>
          </w:p>
        </w:tc>
        <w:tc>
          <w:tcPr>
            <w:tcW w:w="920" w:type="pct"/>
            <w:tcBorders>
              <w:top w:val="nil"/>
              <w:left w:val="nil"/>
              <w:bottom w:val="nil"/>
              <w:right w:val="single" w:sz="4" w:space="0" w:color="auto"/>
            </w:tcBorders>
            <w:shd w:val="clear" w:color="auto" w:fill="auto"/>
            <w:noWrap/>
            <w:vAlign w:val="bottom"/>
            <w:hideMark/>
          </w:tcPr>
          <w:p w14:paraId="1ED0E878" w14:textId="27C07B52" w:rsidR="00903BCB" w:rsidRPr="00DC3951" w:rsidRDefault="008E32AC" w:rsidP="00390AD2">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r>
      <w:tr w:rsidR="00903BCB" w:rsidRPr="00DC3951" w14:paraId="25C2F670" w14:textId="77777777" w:rsidTr="00844DD5">
        <w:trPr>
          <w:trHeight w:val="285"/>
        </w:trPr>
        <w:tc>
          <w:tcPr>
            <w:tcW w:w="4080" w:type="pct"/>
            <w:tcBorders>
              <w:top w:val="nil"/>
              <w:left w:val="single" w:sz="4" w:space="0" w:color="auto"/>
              <w:bottom w:val="single" w:sz="4" w:space="0" w:color="auto"/>
              <w:right w:val="nil"/>
            </w:tcBorders>
            <w:shd w:val="clear" w:color="auto" w:fill="auto"/>
            <w:noWrap/>
            <w:vAlign w:val="bottom"/>
            <w:hideMark/>
          </w:tcPr>
          <w:p w14:paraId="080484A5" w14:textId="77777777" w:rsidR="00903BCB" w:rsidRPr="00DC3951" w:rsidRDefault="00903BCB" w:rsidP="00390AD2">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Necesidades – Estados Miembros </w:t>
            </w:r>
          </w:p>
        </w:tc>
        <w:tc>
          <w:tcPr>
            <w:tcW w:w="920" w:type="pct"/>
            <w:tcBorders>
              <w:top w:val="nil"/>
              <w:left w:val="nil"/>
              <w:bottom w:val="single" w:sz="4" w:space="0" w:color="auto"/>
              <w:right w:val="single" w:sz="4" w:space="0" w:color="auto"/>
            </w:tcBorders>
            <w:shd w:val="clear" w:color="auto" w:fill="auto"/>
            <w:noWrap/>
            <w:vAlign w:val="bottom"/>
            <w:hideMark/>
          </w:tcPr>
          <w:p w14:paraId="3061749A" w14:textId="77777777" w:rsidR="00903BCB" w:rsidRPr="00DC3951" w:rsidRDefault="00903BCB" w:rsidP="00390AD2">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8</w:t>
            </w:r>
          </w:p>
        </w:tc>
      </w:tr>
      <w:tr w:rsidR="00903BCB" w:rsidRPr="00DC3951" w14:paraId="59BE4284" w14:textId="77777777" w:rsidTr="00844DD5">
        <w:trPr>
          <w:trHeight w:val="285"/>
        </w:trPr>
        <w:tc>
          <w:tcPr>
            <w:tcW w:w="4080" w:type="pct"/>
            <w:tcBorders>
              <w:top w:val="nil"/>
              <w:left w:val="single" w:sz="4" w:space="0" w:color="auto"/>
              <w:bottom w:val="single" w:sz="4" w:space="0" w:color="auto"/>
              <w:right w:val="nil"/>
            </w:tcBorders>
            <w:shd w:val="clear" w:color="DAE3F3" w:fill="F2F2F2"/>
            <w:noWrap/>
            <w:vAlign w:val="bottom"/>
            <w:hideMark/>
          </w:tcPr>
          <w:p w14:paraId="4374ECE5" w14:textId="77777777" w:rsidR="00903BCB" w:rsidRPr="00DC3951" w:rsidRDefault="00903BCB" w:rsidP="00390AD2">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Total</w:t>
            </w:r>
          </w:p>
        </w:tc>
        <w:tc>
          <w:tcPr>
            <w:tcW w:w="920" w:type="pct"/>
            <w:tcBorders>
              <w:top w:val="nil"/>
              <w:left w:val="nil"/>
              <w:bottom w:val="single" w:sz="4" w:space="0" w:color="auto"/>
              <w:right w:val="single" w:sz="4" w:space="0" w:color="auto"/>
            </w:tcBorders>
            <w:shd w:val="clear" w:color="DAE3F3" w:fill="F2F2F2"/>
            <w:noWrap/>
            <w:vAlign w:val="bottom"/>
            <w:hideMark/>
          </w:tcPr>
          <w:p w14:paraId="77B0EE98" w14:textId="6956BCFC" w:rsidR="00903BCB" w:rsidRPr="00DC3951" w:rsidRDefault="00903BCB" w:rsidP="00390AD2">
            <w:pPr>
              <w:spacing w:after="0" w:line="240" w:lineRule="auto"/>
              <w:jc w:val="right"/>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23</w:t>
            </w:r>
            <w:r w:rsidR="007D6C70" w:rsidRPr="00DC3951">
              <w:rPr>
                <w:rFonts w:ascii="Times New Roman" w:eastAsia="Times New Roman" w:hAnsi="Times New Roman" w:cs="Times New Roman"/>
                <w:b/>
                <w:bCs/>
                <w:color w:val="000000"/>
                <w:lang w:val="es-CO"/>
              </w:rPr>
              <w:t>8</w:t>
            </w:r>
          </w:p>
        </w:tc>
      </w:tr>
    </w:tbl>
    <w:p w14:paraId="5AB09C4C" w14:textId="30505EAE" w:rsidR="00947E38" w:rsidRPr="00DC3951" w:rsidRDefault="00947E38" w:rsidP="00390AD2">
      <w:pPr>
        <w:spacing w:after="0" w:line="240" w:lineRule="auto"/>
        <w:jc w:val="both"/>
        <w:rPr>
          <w:rFonts w:ascii="Times New Roman" w:hAnsi="Times New Roman" w:cs="Times New Roman"/>
          <w:lang w:val="es-CO"/>
        </w:rPr>
      </w:pPr>
    </w:p>
    <w:tbl>
      <w:tblPr>
        <w:tblW w:w="5000" w:type="pct"/>
        <w:tblLook w:val="04A0" w:firstRow="1" w:lastRow="0" w:firstColumn="1" w:lastColumn="0" w:noHBand="0" w:noVBand="1"/>
      </w:tblPr>
      <w:tblGrid>
        <w:gridCol w:w="6444"/>
        <w:gridCol w:w="1453"/>
        <w:gridCol w:w="1453"/>
      </w:tblGrid>
      <w:tr w:rsidR="00D961F0" w:rsidRPr="00DC3951" w14:paraId="66B5A6CB" w14:textId="35912265" w:rsidTr="00D961F0">
        <w:trPr>
          <w:trHeight w:val="285"/>
        </w:trPr>
        <w:tc>
          <w:tcPr>
            <w:tcW w:w="3446" w:type="pct"/>
            <w:tcBorders>
              <w:top w:val="single" w:sz="4" w:space="0" w:color="auto"/>
              <w:left w:val="single" w:sz="4" w:space="0" w:color="auto"/>
              <w:bottom w:val="single" w:sz="4" w:space="0" w:color="auto"/>
              <w:right w:val="nil"/>
            </w:tcBorders>
            <w:shd w:val="clear" w:color="99CCFF" w:fill="D9E1F2"/>
            <w:noWrap/>
            <w:vAlign w:val="bottom"/>
            <w:hideMark/>
          </w:tcPr>
          <w:p w14:paraId="3E26A949" w14:textId="77777777" w:rsidR="00D961F0" w:rsidRPr="00DC3951" w:rsidRDefault="00D961F0" w:rsidP="00390AD2">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País Oferente / Solicitante</w:t>
            </w:r>
          </w:p>
        </w:tc>
        <w:tc>
          <w:tcPr>
            <w:tcW w:w="777" w:type="pct"/>
            <w:tcBorders>
              <w:top w:val="single" w:sz="4" w:space="0" w:color="auto"/>
              <w:left w:val="nil"/>
              <w:bottom w:val="single" w:sz="4" w:space="0" w:color="auto"/>
              <w:right w:val="single" w:sz="4" w:space="0" w:color="auto"/>
            </w:tcBorders>
            <w:shd w:val="clear" w:color="99CCFF" w:fill="D9E1F2"/>
            <w:noWrap/>
            <w:vAlign w:val="bottom"/>
            <w:hideMark/>
          </w:tcPr>
          <w:p w14:paraId="6C39210B" w14:textId="75DB9636" w:rsidR="00D961F0" w:rsidRPr="00DC3951" w:rsidRDefault="00D961F0" w:rsidP="00390AD2">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w:t>
            </w:r>
          </w:p>
        </w:tc>
        <w:tc>
          <w:tcPr>
            <w:tcW w:w="777" w:type="pct"/>
            <w:tcBorders>
              <w:top w:val="single" w:sz="4" w:space="0" w:color="auto"/>
              <w:left w:val="nil"/>
              <w:bottom w:val="single" w:sz="4" w:space="0" w:color="auto"/>
              <w:right w:val="single" w:sz="4" w:space="0" w:color="auto"/>
            </w:tcBorders>
            <w:shd w:val="clear" w:color="99CCFF" w:fill="D9E1F2"/>
          </w:tcPr>
          <w:p w14:paraId="1BE15988" w14:textId="041E966C" w:rsidR="00D961F0" w:rsidRPr="00DC3951" w:rsidRDefault="00D961F0" w:rsidP="00390AD2">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w:t>
            </w:r>
          </w:p>
        </w:tc>
      </w:tr>
      <w:tr w:rsidR="002B6846" w:rsidRPr="00DC3951" w14:paraId="32D7B739" w14:textId="2F346BE8" w:rsidTr="00764ED1">
        <w:trPr>
          <w:trHeight w:val="285"/>
        </w:trPr>
        <w:tc>
          <w:tcPr>
            <w:tcW w:w="3446" w:type="pct"/>
            <w:tcBorders>
              <w:top w:val="nil"/>
              <w:left w:val="single" w:sz="4" w:space="0" w:color="auto"/>
              <w:bottom w:val="nil"/>
              <w:right w:val="nil"/>
            </w:tcBorders>
            <w:shd w:val="clear" w:color="auto" w:fill="auto"/>
            <w:noWrap/>
            <w:vAlign w:val="bottom"/>
            <w:hideMark/>
          </w:tcPr>
          <w:p w14:paraId="61CCA711"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Argentina </w:t>
            </w:r>
          </w:p>
        </w:tc>
        <w:tc>
          <w:tcPr>
            <w:tcW w:w="777" w:type="pct"/>
            <w:tcBorders>
              <w:top w:val="nil"/>
              <w:left w:val="nil"/>
              <w:bottom w:val="nil"/>
              <w:right w:val="single" w:sz="4" w:space="0" w:color="auto"/>
            </w:tcBorders>
            <w:shd w:val="clear" w:color="auto" w:fill="auto"/>
            <w:noWrap/>
            <w:vAlign w:val="bottom"/>
            <w:hideMark/>
          </w:tcPr>
          <w:p w14:paraId="0332118B"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102</w:t>
            </w:r>
          </w:p>
        </w:tc>
        <w:tc>
          <w:tcPr>
            <w:tcW w:w="777" w:type="pct"/>
            <w:tcBorders>
              <w:top w:val="nil"/>
              <w:left w:val="nil"/>
              <w:bottom w:val="nil"/>
              <w:right w:val="single" w:sz="4" w:space="0" w:color="auto"/>
            </w:tcBorders>
            <w:vAlign w:val="center"/>
          </w:tcPr>
          <w:p w14:paraId="091C7149" w14:textId="61F46B5E"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42,9%</w:t>
            </w:r>
          </w:p>
        </w:tc>
      </w:tr>
      <w:tr w:rsidR="002B6846" w:rsidRPr="00DC3951" w14:paraId="15652AD9" w14:textId="2332B45E" w:rsidTr="00764ED1">
        <w:trPr>
          <w:trHeight w:val="285"/>
        </w:trPr>
        <w:tc>
          <w:tcPr>
            <w:tcW w:w="3446" w:type="pct"/>
            <w:tcBorders>
              <w:top w:val="nil"/>
              <w:left w:val="single" w:sz="4" w:space="0" w:color="auto"/>
              <w:bottom w:val="nil"/>
              <w:right w:val="nil"/>
            </w:tcBorders>
            <w:shd w:val="clear" w:color="auto" w:fill="auto"/>
            <w:noWrap/>
            <w:vAlign w:val="bottom"/>
            <w:hideMark/>
          </w:tcPr>
          <w:p w14:paraId="189CC241"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Bahamas </w:t>
            </w:r>
          </w:p>
        </w:tc>
        <w:tc>
          <w:tcPr>
            <w:tcW w:w="777" w:type="pct"/>
            <w:tcBorders>
              <w:top w:val="nil"/>
              <w:left w:val="nil"/>
              <w:bottom w:val="nil"/>
              <w:right w:val="single" w:sz="4" w:space="0" w:color="auto"/>
            </w:tcBorders>
            <w:shd w:val="clear" w:color="auto" w:fill="auto"/>
            <w:noWrap/>
            <w:vAlign w:val="bottom"/>
            <w:hideMark/>
          </w:tcPr>
          <w:p w14:paraId="50D4F91A"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6B3E527D" w14:textId="78C7DF05"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369BCF7A" w14:textId="50EF652B" w:rsidTr="00764ED1">
        <w:trPr>
          <w:trHeight w:val="285"/>
        </w:trPr>
        <w:tc>
          <w:tcPr>
            <w:tcW w:w="3446" w:type="pct"/>
            <w:tcBorders>
              <w:top w:val="nil"/>
              <w:left w:val="single" w:sz="4" w:space="0" w:color="auto"/>
              <w:bottom w:val="nil"/>
              <w:right w:val="nil"/>
            </w:tcBorders>
            <w:shd w:val="clear" w:color="auto" w:fill="auto"/>
            <w:noWrap/>
            <w:vAlign w:val="bottom"/>
            <w:hideMark/>
          </w:tcPr>
          <w:p w14:paraId="6529767C"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Barbados </w:t>
            </w:r>
          </w:p>
        </w:tc>
        <w:tc>
          <w:tcPr>
            <w:tcW w:w="777" w:type="pct"/>
            <w:tcBorders>
              <w:top w:val="nil"/>
              <w:left w:val="nil"/>
              <w:bottom w:val="nil"/>
              <w:right w:val="single" w:sz="4" w:space="0" w:color="auto"/>
            </w:tcBorders>
            <w:shd w:val="clear" w:color="auto" w:fill="auto"/>
            <w:noWrap/>
            <w:vAlign w:val="bottom"/>
            <w:hideMark/>
          </w:tcPr>
          <w:p w14:paraId="02B360F9"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0B0901DC" w14:textId="26C3B5E8"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2E934BB7" w14:textId="7399033A" w:rsidTr="00764ED1">
        <w:trPr>
          <w:trHeight w:val="285"/>
        </w:trPr>
        <w:tc>
          <w:tcPr>
            <w:tcW w:w="3446" w:type="pct"/>
            <w:tcBorders>
              <w:top w:val="nil"/>
              <w:left w:val="single" w:sz="4" w:space="0" w:color="auto"/>
              <w:bottom w:val="nil"/>
              <w:right w:val="nil"/>
            </w:tcBorders>
            <w:shd w:val="clear" w:color="auto" w:fill="auto"/>
            <w:noWrap/>
            <w:vAlign w:val="bottom"/>
          </w:tcPr>
          <w:p w14:paraId="006DA942"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Chile</w:t>
            </w:r>
          </w:p>
        </w:tc>
        <w:tc>
          <w:tcPr>
            <w:tcW w:w="777" w:type="pct"/>
            <w:tcBorders>
              <w:top w:val="nil"/>
              <w:left w:val="nil"/>
              <w:bottom w:val="nil"/>
              <w:right w:val="single" w:sz="4" w:space="0" w:color="auto"/>
            </w:tcBorders>
            <w:shd w:val="clear" w:color="auto" w:fill="auto"/>
            <w:noWrap/>
            <w:vAlign w:val="bottom"/>
          </w:tcPr>
          <w:p w14:paraId="0A02F590"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501DABA6" w14:textId="3D265F1F"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42595836" w14:textId="1D4EE895" w:rsidTr="00764ED1">
        <w:trPr>
          <w:trHeight w:val="285"/>
        </w:trPr>
        <w:tc>
          <w:tcPr>
            <w:tcW w:w="3446" w:type="pct"/>
            <w:tcBorders>
              <w:top w:val="nil"/>
              <w:left w:val="single" w:sz="4" w:space="0" w:color="auto"/>
              <w:bottom w:val="nil"/>
              <w:right w:val="nil"/>
            </w:tcBorders>
            <w:shd w:val="clear" w:color="auto" w:fill="auto"/>
            <w:noWrap/>
            <w:vAlign w:val="bottom"/>
            <w:hideMark/>
          </w:tcPr>
          <w:p w14:paraId="12735CCF"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Costa Rica </w:t>
            </w:r>
          </w:p>
        </w:tc>
        <w:tc>
          <w:tcPr>
            <w:tcW w:w="777" w:type="pct"/>
            <w:tcBorders>
              <w:top w:val="nil"/>
              <w:left w:val="nil"/>
              <w:bottom w:val="nil"/>
              <w:right w:val="single" w:sz="4" w:space="0" w:color="auto"/>
            </w:tcBorders>
            <w:shd w:val="clear" w:color="auto" w:fill="auto"/>
            <w:noWrap/>
            <w:vAlign w:val="bottom"/>
            <w:hideMark/>
          </w:tcPr>
          <w:p w14:paraId="6EBC2160"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773D5778" w14:textId="041BF9F0"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17B7AAA2" w14:textId="07519168" w:rsidTr="00764ED1">
        <w:trPr>
          <w:trHeight w:val="285"/>
        </w:trPr>
        <w:tc>
          <w:tcPr>
            <w:tcW w:w="3446" w:type="pct"/>
            <w:tcBorders>
              <w:top w:val="nil"/>
              <w:left w:val="single" w:sz="4" w:space="0" w:color="auto"/>
              <w:bottom w:val="nil"/>
              <w:right w:val="nil"/>
            </w:tcBorders>
            <w:shd w:val="clear" w:color="auto" w:fill="auto"/>
            <w:noWrap/>
            <w:vAlign w:val="bottom"/>
            <w:hideMark/>
          </w:tcPr>
          <w:p w14:paraId="7899DEAA"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El Salvador </w:t>
            </w:r>
          </w:p>
        </w:tc>
        <w:tc>
          <w:tcPr>
            <w:tcW w:w="777" w:type="pct"/>
            <w:tcBorders>
              <w:top w:val="nil"/>
              <w:left w:val="nil"/>
              <w:bottom w:val="nil"/>
              <w:right w:val="single" w:sz="4" w:space="0" w:color="auto"/>
            </w:tcBorders>
            <w:shd w:val="clear" w:color="auto" w:fill="auto"/>
            <w:noWrap/>
            <w:vAlign w:val="bottom"/>
            <w:hideMark/>
          </w:tcPr>
          <w:p w14:paraId="420011CD"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5F43EB2B" w14:textId="40501F3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3AE40046" w14:textId="4BA1A6CA" w:rsidTr="00764ED1">
        <w:trPr>
          <w:trHeight w:val="285"/>
        </w:trPr>
        <w:tc>
          <w:tcPr>
            <w:tcW w:w="3446" w:type="pct"/>
            <w:tcBorders>
              <w:top w:val="nil"/>
              <w:left w:val="single" w:sz="4" w:space="0" w:color="auto"/>
              <w:bottom w:val="nil"/>
              <w:right w:val="nil"/>
            </w:tcBorders>
            <w:shd w:val="clear" w:color="auto" w:fill="auto"/>
            <w:noWrap/>
            <w:vAlign w:val="bottom"/>
            <w:hideMark/>
          </w:tcPr>
          <w:p w14:paraId="7C19D56D"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Honduras </w:t>
            </w:r>
          </w:p>
        </w:tc>
        <w:tc>
          <w:tcPr>
            <w:tcW w:w="777" w:type="pct"/>
            <w:tcBorders>
              <w:top w:val="nil"/>
              <w:left w:val="nil"/>
              <w:bottom w:val="nil"/>
              <w:right w:val="single" w:sz="4" w:space="0" w:color="auto"/>
            </w:tcBorders>
            <w:shd w:val="clear" w:color="auto" w:fill="auto"/>
            <w:noWrap/>
            <w:vAlign w:val="bottom"/>
            <w:hideMark/>
          </w:tcPr>
          <w:p w14:paraId="061DA8DE"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138868E1" w14:textId="5CCA4F34"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1ADACD28" w14:textId="732C3CE1" w:rsidTr="00764ED1">
        <w:trPr>
          <w:trHeight w:val="285"/>
        </w:trPr>
        <w:tc>
          <w:tcPr>
            <w:tcW w:w="3446" w:type="pct"/>
            <w:tcBorders>
              <w:top w:val="nil"/>
              <w:left w:val="single" w:sz="4" w:space="0" w:color="auto"/>
              <w:bottom w:val="nil"/>
              <w:right w:val="nil"/>
            </w:tcBorders>
            <w:shd w:val="clear" w:color="auto" w:fill="auto"/>
            <w:noWrap/>
            <w:vAlign w:val="bottom"/>
          </w:tcPr>
          <w:p w14:paraId="4A7869F7" w14:textId="109F93DC"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Pamamá</w:t>
            </w:r>
          </w:p>
        </w:tc>
        <w:tc>
          <w:tcPr>
            <w:tcW w:w="777" w:type="pct"/>
            <w:tcBorders>
              <w:top w:val="nil"/>
              <w:left w:val="nil"/>
              <w:bottom w:val="nil"/>
              <w:right w:val="single" w:sz="4" w:space="0" w:color="auto"/>
            </w:tcBorders>
            <w:shd w:val="clear" w:color="auto" w:fill="auto"/>
            <w:noWrap/>
            <w:vAlign w:val="bottom"/>
          </w:tcPr>
          <w:p w14:paraId="088614DB" w14:textId="54F8146B"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032865F9" w14:textId="584D7001"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3DB2DCA2" w14:textId="3FDCBA07" w:rsidTr="00764ED1">
        <w:trPr>
          <w:trHeight w:val="285"/>
        </w:trPr>
        <w:tc>
          <w:tcPr>
            <w:tcW w:w="3446" w:type="pct"/>
            <w:tcBorders>
              <w:top w:val="nil"/>
              <w:left w:val="single" w:sz="4" w:space="0" w:color="auto"/>
              <w:bottom w:val="nil"/>
              <w:right w:val="nil"/>
            </w:tcBorders>
            <w:shd w:val="clear" w:color="auto" w:fill="auto"/>
            <w:noWrap/>
            <w:vAlign w:val="bottom"/>
            <w:hideMark/>
          </w:tcPr>
          <w:p w14:paraId="57EB5D09"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Perú </w:t>
            </w:r>
          </w:p>
        </w:tc>
        <w:tc>
          <w:tcPr>
            <w:tcW w:w="777" w:type="pct"/>
            <w:tcBorders>
              <w:top w:val="nil"/>
              <w:left w:val="nil"/>
              <w:bottom w:val="nil"/>
              <w:right w:val="single" w:sz="4" w:space="0" w:color="auto"/>
            </w:tcBorders>
            <w:shd w:val="clear" w:color="auto" w:fill="auto"/>
            <w:noWrap/>
            <w:vAlign w:val="bottom"/>
            <w:hideMark/>
          </w:tcPr>
          <w:p w14:paraId="7B5D19C7"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124</w:t>
            </w:r>
          </w:p>
        </w:tc>
        <w:tc>
          <w:tcPr>
            <w:tcW w:w="777" w:type="pct"/>
            <w:tcBorders>
              <w:top w:val="nil"/>
              <w:left w:val="nil"/>
              <w:bottom w:val="nil"/>
              <w:right w:val="single" w:sz="4" w:space="0" w:color="auto"/>
            </w:tcBorders>
            <w:vAlign w:val="center"/>
          </w:tcPr>
          <w:p w14:paraId="11D97DB5" w14:textId="2DCEC8B5"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52,1%</w:t>
            </w:r>
          </w:p>
        </w:tc>
      </w:tr>
      <w:tr w:rsidR="002B6846" w:rsidRPr="00DC3951" w14:paraId="0F875F77" w14:textId="5FB84718" w:rsidTr="00764ED1">
        <w:trPr>
          <w:trHeight w:val="285"/>
        </w:trPr>
        <w:tc>
          <w:tcPr>
            <w:tcW w:w="3446" w:type="pct"/>
            <w:tcBorders>
              <w:top w:val="nil"/>
              <w:left w:val="single" w:sz="4" w:space="0" w:color="auto"/>
              <w:bottom w:val="nil"/>
              <w:right w:val="nil"/>
            </w:tcBorders>
            <w:shd w:val="clear" w:color="auto" w:fill="auto"/>
            <w:noWrap/>
            <w:vAlign w:val="bottom"/>
            <w:hideMark/>
          </w:tcPr>
          <w:p w14:paraId="11C6F7B7"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Saint Kitts y Nevis </w:t>
            </w:r>
          </w:p>
        </w:tc>
        <w:tc>
          <w:tcPr>
            <w:tcW w:w="777" w:type="pct"/>
            <w:tcBorders>
              <w:top w:val="nil"/>
              <w:left w:val="nil"/>
              <w:bottom w:val="nil"/>
              <w:right w:val="single" w:sz="4" w:space="0" w:color="auto"/>
            </w:tcBorders>
            <w:shd w:val="clear" w:color="auto" w:fill="auto"/>
            <w:noWrap/>
            <w:vAlign w:val="bottom"/>
            <w:hideMark/>
          </w:tcPr>
          <w:p w14:paraId="1919D830"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3B8C425B" w14:textId="70F68245"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61698310" w14:textId="0EDA6059" w:rsidTr="00764ED1">
        <w:trPr>
          <w:trHeight w:val="285"/>
        </w:trPr>
        <w:tc>
          <w:tcPr>
            <w:tcW w:w="3446" w:type="pct"/>
            <w:tcBorders>
              <w:top w:val="nil"/>
              <w:left w:val="single" w:sz="4" w:space="0" w:color="auto"/>
              <w:bottom w:val="nil"/>
              <w:right w:val="nil"/>
            </w:tcBorders>
            <w:shd w:val="clear" w:color="auto" w:fill="auto"/>
            <w:noWrap/>
            <w:vAlign w:val="bottom"/>
            <w:hideMark/>
          </w:tcPr>
          <w:p w14:paraId="57660A48"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San Vicente y las Granadinas </w:t>
            </w:r>
          </w:p>
        </w:tc>
        <w:tc>
          <w:tcPr>
            <w:tcW w:w="777" w:type="pct"/>
            <w:tcBorders>
              <w:top w:val="nil"/>
              <w:left w:val="nil"/>
              <w:bottom w:val="nil"/>
              <w:right w:val="single" w:sz="4" w:space="0" w:color="auto"/>
            </w:tcBorders>
            <w:shd w:val="clear" w:color="auto" w:fill="auto"/>
            <w:noWrap/>
            <w:vAlign w:val="bottom"/>
            <w:hideMark/>
          </w:tcPr>
          <w:p w14:paraId="00A552E3" w14:textId="77777777"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7" w:type="pct"/>
            <w:tcBorders>
              <w:top w:val="nil"/>
              <w:left w:val="nil"/>
              <w:bottom w:val="nil"/>
              <w:right w:val="single" w:sz="4" w:space="0" w:color="auto"/>
            </w:tcBorders>
            <w:vAlign w:val="center"/>
          </w:tcPr>
          <w:p w14:paraId="6AAEEE27" w14:textId="3BF08BF3"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0,4%</w:t>
            </w:r>
          </w:p>
        </w:tc>
      </w:tr>
      <w:tr w:rsidR="002B6846" w:rsidRPr="00DC3951" w14:paraId="43948C90" w14:textId="53F3345F" w:rsidTr="00764ED1">
        <w:trPr>
          <w:trHeight w:val="285"/>
        </w:trPr>
        <w:tc>
          <w:tcPr>
            <w:tcW w:w="3446" w:type="pct"/>
            <w:tcBorders>
              <w:top w:val="nil"/>
              <w:left w:val="single" w:sz="4" w:space="0" w:color="auto"/>
              <w:bottom w:val="nil"/>
              <w:right w:val="nil"/>
            </w:tcBorders>
            <w:shd w:val="clear" w:color="auto" w:fill="auto"/>
            <w:noWrap/>
            <w:vAlign w:val="bottom"/>
            <w:hideMark/>
          </w:tcPr>
          <w:p w14:paraId="27D5EA49" w14:textId="77777777" w:rsidR="002B6846" w:rsidRPr="00DC3951" w:rsidRDefault="002B6846" w:rsidP="002B6846">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Uruguay </w:t>
            </w:r>
          </w:p>
        </w:tc>
        <w:tc>
          <w:tcPr>
            <w:tcW w:w="777" w:type="pct"/>
            <w:tcBorders>
              <w:top w:val="nil"/>
              <w:left w:val="nil"/>
              <w:bottom w:val="nil"/>
              <w:right w:val="single" w:sz="4" w:space="0" w:color="auto"/>
            </w:tcBorders>
            <w:shd w:val="clear" w:color="auto" w:fill="auto"/>
            <w:noWrap/>
            <w:vAlign w:val="bottom"/>
            <w:hideMark/>
          </w:tcPr>
          <w:p w14:paraId="5489BFEB" w14:textId="0BB77803"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3</w:t>
            </w:r>
          </w:p>
        </w:tc>
        <w:tc>
          <w:tcPr>
            <w:tcW w:w="777" w:type="pct"/>
            <w:tcBorders>
              <w:top w:val="nil"/>
              <w:left w:val="nil"/>
              <w:bottom w:val="nil"/>
              <w:right w:val="single" w:sz="4" w:space="0" w:color="auto"/>
            </w:tcBorders>
            <w:vAlign w:val="center"/>
          </w:tcPr>
          <w:p w14:paraId="342CF110" w14:textId="1635BEEC" w:rsidR="002B6846" w:rsidRPr="00DC3951" w:rsidRDefault="002B6846" w:rsidP="002B6846">
            <w:pPr>
              <w:spacing w:after="0" w:line="240" w:lineRule="auto"/>
              <w:jc w:val="right"/>
              <w:rPr>
                <w:rFonts w:ascii="Times New Roman" w:eastAsia="Times New Roman" w:hAnsi="Times New Roman" w:cs="Times New Roman"/>
                <w:color w:val="000000"/>
                <w:lang w:val="es-CO"/>
              </w:rPr>
            </w:pPr>
            <w:r w:rsidRPr="00DC3951">
              <w:rPr>
                <w:color w:val="000000"/>
              </w:rPr>
              <w:t>1,3%</w:t>
            </w:r>
          </w:p>
        </w:tc>
      </w:tr>
      <w:tr w:rsidR="002B6846" w:rsidRPr="00DC3951" w14:paraId="2341828E" w14:textId="3B28B067" w:rsidTr="00764ED1">
        <w:trPr>
          <w:trHeight w:val="285"/>
        </w:trPr>
        <w:tc>
          <w:tcPr>
            <w:tcW w:w="3446" w:type="pct"/>
            <w:tcBorders>
              <w:top w:val="single" w:sz="4" w:space="0" w:color="auto"/>
              <w:left w:val="single" w:sz="4" w:space="0" w:color="auto"/>
              <w:bottom w:val="single" w:sz="4" w:space="0" w:color="auto"/>
              <w:right w:val="nil"/>
            </w:tcBorders>
            <w:shd w:val="clear" w:color="DAE3F3" w:fill="F2F2F2"/>
            <w:noWrap/>
            <w:vAlign w:val="bottom"/>
            <w:hideMark/>
          </w:tcPr>
          <w:p w14:paraId="34E14342" w14:textId="77777777" w:rsidR="002B6846" w:rsidRPr="00DC3951" w:rsidRDefault="002B6846" w:rsidP="002B6846">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Total</w:t>
            </w:r>
          </w:p>
        </w:tc>
        <w:tc>
          <w:tcPr>
            <w:tcW w:w="777" w:type="pct"/>
            <w:tcBorders>
              <w:top w:val="single" w:sz="4" w:space="0" w:color="auto"/>
              <w:left w:val="nil"/>
              <w:bottom w:val="single" w:sz="4" w:space="0" w:color="auto"/>
              <w:right w:val="single" w:sz="4" w:space="0" w:color="auto"/>
            </w:tcBorders>
            <w:shd w:val="clear" w:color="DAE3F3" w:fill="F2F2F2"/>
            <w:noWrap/>
            <w:vAlign w:val="bottom"/>
            <w:hideMark/>
          </w:tcPr>
          <w:p w14:paraId="40DE17BD" w14:textId="10F914F0" w:rsidR="002B6846" w:rsidRPr="00DC3951" w:rsidRDefault="002B6846" w:rsidP="002B6846">
            <w:pPr>
              <w:spacing w:after="0" w:line="240" w:lineRule="auto"/>
              <w:jc w:val="right"/>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238</w:t>
            </w:r>
          </w:p>
        </w:tc>
        <w:tc>
          <w:tcPr>
            <w:tcW w:w="777" w:type="pct"/>
            <w:tcBorders>
              <w:top w:val="single" w:sz="4" w:space="0" w:color="auto"/>
              <w:left w:val="nil"/>
              <w:bottom w:val="single" w:sz="4" w:space="0" w:color="auto"/>
              <w:right w:val="single" w:sz="4" w:space="0" w:color="auto"/>
            </w:tcBorders>
            <w:shd w:val="clear" w:color="DAE3F3" w:fill="F2F2F2"/>
            <w:vAlign w:val="center"/>
          </w:tcPr>
          <w:p w14:paraId="23044519" w14:textId="46B1EFD5" w:rsidR="002B6846" w:rsidRPr="00DC3951" w:rsidRDefault="002B6846" w:rsidP="002B6846">
            <w:pPr>
              <w:spacing w:after="0" w:line="240" w:lineRule="auto"/>
              <w:jc w:val="right"/>
              <w:rPr>
                <w:rFonts w:ascii="Times New Roman" w:eastAsia="Times New Roman" w:hAnsi="Times New Roman" w:cs="Times New Roman"/>
                <w:b/>
                <w:bCs/>
                <w:color w:val="000000"/>
                <w:lang w:val="es-CO"/>
              </w:rPr>
            </w:pPr>
            <w:r w:rsidRPr="00DC3951">
              <w:rPr>
                <w:b/>
                <w:bCs/>
                <w:color w:val="000000"/>
              </w:rPr>
              <w:t>100%</w:t>
            </w:r>
          </w:p>
        </w:tc>
      </w:tr>
    </w:tbl>
    <w:p w14:paraId="0A3A1B86" w14:textId="77777777" w:rsidR="00D81D6C" w:rsidRPr="00DC3951" w:rsidRDefault="00D81D6C" w:rsidP="00390AD2">
      <w:pPr>
        <w:spacing w:after="0" w:line="240" w:lineRule="auto"/>
        <w:jc w:val="both"/>
        <w:rPr>
          <w:rFonts w:ascii="Times New Roman" w:eastAsia="Times New Roman" w:hAnsi="Times New Roman" w:cs="Times New Roman"/>
          <w:color w:val="000000"/>
          <w:lang w:val="es-CO"/>
        </w:rPr>
      </w:pPr>
    </w:p>
    <w:p w14:paraId="3A051629" w14:textId="4720FE2E" w:rsidR="007E4100" w:rsidRPr="00DC3951" w:rsidRDefault="007E4100" w:rsidP="00390AD2">
      <w:pPr>
        <w:spacing w:after="0" w:line="240" w:lineRule="auto"/>
        <w:jc w:val="both"/>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En cuanto a las </w:t>
      </w:r>
      <w:r w:rsidRPr="00DC3951">
        <w:rPr>
          <w:rFonts w:ascii="Times New Roman" w:eastAsia="Times New Roman" w:hAnsi="Times New Roman" w:cs="Times New Roman"/>
          <w:b/>
          <w:bCs/>
          <w:color w:val="000000"/>
          <w:lang w:val="es-CO"/>
        </w:rPr>
        <w:t>“Áreas de Enfoque”</w:t>
      </w:r>
      <w:r w:rsidRPr="00DC3951">
        <w:rPr>
          <w:rFonts w:ascii="Times New Roman" w:eastAsia="Times New Roman" w:hAnsi="Times New Roman" w:cs="Times New Roman"/>
          <w:color w:val="000000"/>
          <w:lang w:val="es-CO"/>
        </w:rPr>
        <w:t>,</w:t>
      </w:r>
      <w:r w:rsidRPr="00DC3951">
        <w:rPr>
          <w:rFonts w:ascii="Times New Roman" w:eastAsia="Times New Roman" w:hAnsi="Times New Roman" w:cs="Times New Roman"/>
          <w:b/>
          <w:bCs/>
          <w:color w:val="000000"/>
          <w:lang w:val="es-CO"/>
        </w:rPr>
        <w:t xml:space="preserve"> </w:t>
      </w:r>
      <w:r w:rsidRPr="00DC3951">
        <w:rPr>
          <w:rFonts w:ascii="Times New Roman" w:eastAsia="Times New Roman" w:hAnsi="Times New Roman" w:cs="Times New Roman"/>
          <w:color w:val="000000"/>
          <w:lang w:val="es-CO"/>
        </w:rPr>
        <w:t xml:space="preserve">que se basan en los mandatos otorgados por los Estados Miembros a la OEA en materia de desarrollo, </w:t>
      </w:r>
      <w:r w:rsidRPr="00DC3951">
        <w:rPr>
          <w:rFonts w:ascii="Times New Roman" w:eastAsia="Times New Roman" w:hAnsi="Times New Roman" w:cs="Times New Roman"/>
          <w:b/>
          <w:bCs/>
          <w:color w:val="000000"/>
          <w:lang w:val="es-CO"/>
        </w:rPr>
        <w:t xml:space="preserve">cerca del </w:t>
      </w:r>
      <w:r w:rsidR="007D6C70" w:rsidRPr="00DC3951">
        <w:rPr>
          <w:rFonts w:ascii="Times New Roman" w:eastAsia="Times New Roman" w:hAnsi="Times New Roman" w:cs="Times New Roman"/>
          <w:b/>
          <w:bCs/>
          <w:color w:val="000000"/>
          <w:lang w:val="es-CO"/>
        </w:rPr>
        <w:t>38</w:t>
      </w:r>
      <w:r w:rsidRPr="00DC3951">
        <w:rPr>
          <w:rFonts w:ascii="Times New Roman" w:eastAsia="Times New Roman" w:hAnsi="Times New Roman" w:cs="Times New Roman"/>
          <w:b/>
          <w:bCs/>
          <w:color w:val="000000"/>
          <w:lang w:val="es-CO"/>
        </w:rPr>
        <w:t xml:space="preserve">% de las Ofertas compartidas se encuentran en el área </w:t>
      </w:r>
      <w:r w:rsidRPr="00DC3951">
        <w:rPr>
          <w:rFonts w:ascii="Times New Roman" w:eastAsia="Times New Roman" w:hAnsi="Times New Roman" w:cs="Times New Roman"/>
          <w:b/>
          <w:bCs/>
          <w:color w:val="000000"/>
          <w:lang w:val="es-CO"/>
        </w:rPr>
        <w:lastRenderedPageBreak/>
        <w:t>de “Desarrollo Sostenible y Medio Ambiente”,</w:t>
      </w:r>
      <w:r w:rsidRPr="00DC3951">
        <w:rPr>
          <w:rFonts w:ascii="Times New Roman" w:eastAsia="Times New Roman" w:hAnsi="Times New Roman" w:cs="Times New Roman"/>
          <w:color w:val="000000"/>
          <w:lang w:val="es-CO"/>
        </w:rPr>
        <w:t xml:space="preserve"> incluyendo áreas como Gestión de Riesgo de Desastres, Producción y consumo responsable, Agua Limpia y Saneamiento, entre otros. El 3</w:t>
      </w:r>
      <w:r w:rsidR="007D6C70" w:rsidRPr="00DC3951">
        <w:rPr>
          <w:rFonts w:ascii="Times New Roman" w:eastAsia="Times New Roman" w:hAnsi="Times New Roman" w:cs="Times New Roman"/>
          <w:color w:val="000000"/>
          <w:lang w:val="es-CO"/>
        </w:rPr>
        <w:t>3</w:t>
      </w:r>
      <w:r w:rsidRPr="00DC3951">
        <w:rPr>
          <w:rFonts w:ascii="Times New Roman" w:eastAsia="Times New Roman" w:hAnsi="Times New Roman" w:cs="Times New Roman"/>
          <w:color w:val="000000"/>
          <w:lang w:val="es-CO"/>
        </w:rPr>
        <w:t>% se encuentra en “Otras” áreas como Seguridad, Justicia y Derechos Humanos, Innovación en la Gestión Pública y Salud.</w:t>
      </w:r>
    </w:p>
    <w:p w14:paraId="0D5CF824" w14:textId="77777777" w:rsidR="007E4100" w:rsidRPr="00DC3951" w:rsidRDefault="007E4100" w:rsidP="00390AD2">
      <w:pPr>
        <w:spacing w:after="0" w:line="240" w:lineRule="auto"/>
        <w:jc w:val="both"/>
        <w:rPr>
          <w:rFonts w:ascii="Times New Roman" w:eastAsia="Times New Roman" w:hAnsi="Times New Roman" w:cs="Times New Roman"/>
          <w:color w:val="000000"/>
          <w:lang w:val="es-CO"/>
        </w:rPr>
      </w:pPr>
    </w:p>
    <w:tbl>
      <w:tblPr>
        <w:tblW w:w="5000" w:type="pct"/>
        <w:tblLook w:val="04A0" w:firstRow="1" w:lastRow="0" w:firstColumn="1" w:lastColumn="0" w:noHBand="0" w:noVBand="1"/>
      </w:tblPr>
      <w:tblGrid>
        <w:gridCol w:w="6446"/>
        <w:gridCol w:w="1453"/>
        <w:gridCol w:w="1451"/>
      </w:tblGrid>
      <w:tr w:rsidR="00D53D1F" w:rsidRPr="00DC3951" w14:paraId="0C5B7FE2" w14:textId="77777777" w:rsidTr="00A01AE4">
        <w:trPr>
          <w:trHeight w:val="285"/>
        </w:trPr>
        <w:tc>
          <w:tcPr>
            <w:tcW w:w="3447" w:type="pct"/>
            <w:tcBorders>
              <w:top w:val="single" w:sz="4" w:space="0" w:color="auto"/>
              <w:left w:val="single" w:sz="4" w:space="0" w:color="auto"/>
              <w:bottom w:val="single" w:sz="4" w:space="0" w:color="auto"/>
              <w:right w:val="nil"/>
            </w:tcBorders>
            <w:shd w:val="clear" w:color="F2F2F2" w:fill="DAE3F3"/>
            <w:noWrap/>
            <w:vAlign w:val="bottom"/>
            <w:hideMark/>
          </w:tcPr>
          <w:p w14:paraId="7CEC7FF3" w14:textId="77777777" w:rsidR="00D53D1F" w:rsidRPr="00DC3951" w:rsidRDefault="00D53D1F" w:rsidP="00390AD2">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Áreas de Enfoque </w:t>
            </w:r>
          </w:p>
        </w:tc>
        <w:tc>
          <w:tcPr>
            <w:tcW w:w="777" w:type="pct"/>
            <w:tcBorders>
              <w:top w:val="single" w:sz="4" w:space="0" w:color="auto"/>
              <w:left w:val="nil"/>
              <w:bottom w:val="single" w:sz="4" w:space="0" w:color="auto"/>
              <w:right w:val="nil"/>
            </w:tcBorders>
            <w:shd w:val="clear" w:color="F2F2F2" w:fill="DAE3F3"/>
            <w:noWrap/>
            <w:vAlign w:val="bottom"/>
            <w:hideMark/>
          </w:tcPr>
          <w:p w14:paraId="17F588FD" w14:textId="77777777" w:rsidR="00D53D1F" w:rsidRPr="00DC3951" w:rsidRDefault="00D53D1F" w:rsidP="00390AD2">
            <w:pPr>
              <w:spacing w:after="0" w:line="240" w:lineRule="auto"/>
              <w:jc w:val="center"/>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w:t>
            </w:r>
          </w:p>
        </w:tc>
        <w:tc>
          <w:tcPr>
            <w:tcW w:w="776" w:type="pct"/>
            <w:tcBorders>
              <w:top w:val="single" w:sz="4" w:space="0" w:color="auto"/>
              <w:left w:val="nil"/>
              <w:bottom w:val="single" w:sz="4" w:space="0" w:color="auto"/>
              <w:right w:val="single" w:sz="4" w:space="0" w:color="auto"/>
            </w:tcBorders>
            <w:shd w:val="clear" w:color="F2F2F2" w:fill="DAE3F3"/>
            <w:noWrap/>
            <w:vAlign w:val="bottom"/>
            <w:hideMark/>
          </w:tcPr>
          <w:p w14:paraId="41950131" w14:textId="77777777" w:rsidR="00D53D1F" w:rsidRPr="00DC3951" w:rsidRDefault="00D53D1F" w:rsidP="00390AD2">
            <w:pPr>
              <w:spacing w:after="0" w:line="240" w:lineRule="auto"/>
              <w:jc w:val="center"/>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w:t>
            </w:r>
          </w:p>
        </w:tc>
      </w:tr>
      <w:tr w:rsidR="00A01AE4" w:rsidRPr="00DC3951" w14:paraId="7A3202E5" w14:textId="77777777" w:rsidTr="00A01AE4">
        <w:trPr>
          <w:trHeight w:val="285"/>
        </w:trPr>
        <w:tc>
          <w:tcPr>
            <w:tcW w:w="3447" w:type="pct"/>
            <w:tcBorders>
              <w:top w:val="single" w:sz="4" w:space="0" w:color="auto"/>
              <w:left w:val="single" w:sz="4" w:space="0" w:color="auto"/>
              <w:bottom w:val="nil"/>
              <w:right w:val="nil"/>
            </w:tcBorders>
            <w:shd w:val="clear" w:color="auto" w:fill="auto"/>
            <w:noWrap/>
            <w:vAlign w:val="bottom"/>
            <w:hideMark/>
          </w:tcPr>
          <w:p w14:paraId="2D45B4BB"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Educación y Desarrollo Humano </w:t>
            </w:r>
          </w:p>
        </w:tc>
        <w:tc>
          <w:tcPr>
            <w:tcW w:w="777" w:type="pct"/>
            <w:tcBorders>
              <w:top w:val="single" w:sz="4" w:space="0" w:color="auto"/>
              <w:left w:val="nil"/>
              <w:bottom w:val="nil"/>
              <w:right w:val="nil"/>
            </w:tcBorders>
            <w:shd w:val="clear" w:color="auto" w:fill="auto"/>
            <w:noWrap/>
            <w:vAlign w:val="bottom"/>
            <w:hideMark/>
          </w:tcPr>
          <w:p w14:paraId="6633232D" w14:textId="702F3448"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16</w:t>
            </w:r>
          </w:p>
        </w:tc>
        <w:tc>
          <w:tcPr>
            <w:tcW w:w="776" w:type="pct"/>
            <w:tcBorders>
              <w:top w:val="single" w:sz="4" w:space="0" w:color="auto"/>
              <w:left w:val="nil"/>
              <w:bottom w:val="nil"/>
              <w:right w:val="single" w:sz="4" w:space="0" w:color="auto"/>
            </w:tcBorders>
            <w:shd w:val="clear" w:color="auto" w:fill="auto"/>
            <w:noWrap/>
            <w:vAlign w:val="center"/>
            <w:hideMark/>
          </w:tcPr>
          <w:p w14:paraId="52D96CDC" w14:textId="42EE6927" w:rsidR="00A01AE4" w:rsidRPr="00DC3951" w:rsidRDefault="00A01AE4" w:rsidP="00A01AE4">
            <w:pPr>
              <w:spacing w:after="0" w:line="240" w:lineRule="auto"/>
              <w:jc w:val="right"/>
              <w:rPr>
                <w:rFonts w:ascii="Times New Roman" w:eastAsia="Times New Roman" w:hAnsi="Times New Roman" w:cs="Times New Roman"/>
                <w:lang w:val="es-CO"/>
              </w:rPr>
            </w:pPr>
            <w:r w:rsidRPr="00DC3951">
              <w:t>6%</w:t>
            </w:r>
          </w:p>
        </w:tc>
      </w:tr>
      <w:tr w:rsidR="00A01AE4" w:rsidRPr="00DC3951" w14:paraId="15CA4D28"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6BA5F643"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Desarrollo Económico y Competitividad </w:t>
            </w:r>
          </w:p>
        </w:tc>
        <w:tc>
          <w:tcPr>
            <w:tcW w:w="777" w:type="pct"/>
            <w:tcBorders>
              <w:top w:val="nil"/>
              <w:left w:val="nil"/>
              <w:bottom w:val="nil"/>
              <w:right w:val="nil"/>
            </w:tcBorders>
            <w:shd w:val="clear" w:color="auto" w:fill="auto"/>
            <w:noWrap/>
            <w:vAlign w:val="bottom"/>
            <w:hideMark/>
          </w:tcPr>
          <w:p w14:paraId="58E557E8"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16</w:t>
            </w:r>
          </w:p>
        </w:tc>
        <w:tc>
          <w:tcPr>
            <w:tcW w:w="776" w:type="pct"/>
            <w:tcBorders>
              <w:top w:val="nil"/>
              <w:left w:val="nil"/>
              <w:bottom w:val="nil"/>
              <w:right w:val="single" w:sz="4" w:space="0" w:color="auto"/>
            </w:tcBorders>
            <w:shd w:val="clear" w:color="auto" w:fill="auto"/>
            <w:noWrap/>
            <w:vAlign w:val="center"/>
            <w:hideMark/>
          </w:tcPr>
          <w:p w14:paraId="716A4AF3" w14:textId="1D136F42"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6%</w:t>
            </w:r>
          </w:p>
        </w:tc>
      </w:tr>
      <w:tr w:rsidR="00A01AE4" w:rsidRPr="00DC3951" w14:paraId="5FC9CE6F"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0CFEBB32"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Pequeña y Mediana Empresa (PyMEs)</w:t>
            </w:r>
          </w:p>
        </w:tc>
        <w:tc>
          <w:tcPr>
            <w:tcW w:w="777" w:type="pct"/>
            <w:tcBorders>
              <w:top w:val="nil"/>
              <w:left w:val="nil"/>
              <w:bottom w:val="nil"/>
              <w:right w:val="nil"/>
            </w:tcBorders>
            <w:shd w:val="clear" w:color="auto" w:fill="auto"/>
            <w:noWrap/>
            <w:vAlign w:val="bottom"/>
            <w:hideMark/>
          </w:tcPr>
          <w:p w14:paraId="23602177"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4</w:t>
            </w:r>
          </w:p>
        </w:tc>
        <w:tc>
          <w:tcPr>
            <w:tcW w:w="776" w:type="pct"/>
            <w:tcBorders>
              <w:top w:val="nil"/>
              <w:left w:val="nil"/>
              <w:bottom w:val="nil"/>
              <w:right w:val="single" w:sz="4" w:space="0" w:color="auto"/>
            </w:tcBorders>
            <w:shd w:val="clear" w:color="auto" w:fill="auto"/>
            <w:noWrap/>
            <w:vAlign w:val="center"/>
            <w:hideMark/>
          </w:tcPr>
          <w:p w14:paraId="39F0A3D4" w14:textId="4BC40C5F"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1%</w:t>
            </w:r>
          </w:p>
        </w:tc>
      </w:tr>
      <w:tr w:rsidR="00A01AE4" w:rsidRPr="00DC3951" w14:paraId="29D3B9F6"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5C017108"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Investigación y Desarrollo </w:t>
            </w:r>
          </w:p>
        </w:tc>
        <w:tc>
          <w:tcPr>
            <w:tcW w:w="777" w:type="pct"/>
            <w:tcBorders>
              <w:top w:val="nil"/>
              <w:left w:val="nil"/>
              <w:bottom w:val="nil"/>
              <w:right w:val="nil"/>
            </w:tcBorders>
            <w:shd w:val="clear" w:color="auto" w:fill="auto"/>
            <w:noWrap/>
            <w:vAlign w:val="bottom"/>
            <w:hideMark/>
          </w:tcPr>
          <w:p w14:paraId="3E5A31A6"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w:t>
            </w:r>
          </w:p>
        </w:tc>
        <w:tc>
          <w:tcPr>
            <w:tcW w:w="776" w:type="pct"/>
            <w:tcBorders>
              <w:top w:val="nil"/>
              <w:left w:val="nil"/>
              <w:bottom w:val="nil"/>
              <w:right w:val="single" w:sz="4" w:space="0" w:color="auto"/>
            </w:tcBorders>
            <w:shd w:val="clear" w:color="auto" w:fill="auto"/>
            <w:noWrap/>
            <w:vAlign w:val="center"/>
            <w:hideMark/>
          </w:tcPr>
          <w:p w14:paraId="252F7CCE" w14:textId="27D64EAB"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0%</w:t>
            </w:r>
          </w:p>
        </w:tc>
      </w:tr>
      <w:tr w:rsidR="00A01AE4" w:rsidRPr="00DC3951" w14:paraId="6AA12D2B"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3A91E504"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Innovación y Tecnología </w:t>
            </w:r>
          </w:p>
        </w:tc>
        <w:tc>
          <w:tcPr>
            <w:tcW w:w="777" w:type="pct"/>
            <w:tcBorders>
              <w:top w:val="nil"/>
              <w:left w:val="nil"/>
              <w:bottom w:val="nil"/>
              <w:right w:val="nil"/>
            </w:tcBorders>
            <w:shd w:val="clear" w:color="auto" w:fill="auto"/>
            <w:noWrap/>
            <w:vAlign w:val="bottom"/>
            <w:hideMark/>
          </w:tcPr>
          <w:p w14:paraId="0A0B8B58" w14:textId="48DF86A9"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12</w:t>
            </w:r>
          </w:p>
        </w:tc>
        <w:tc>
          <w:tcPr>
            <w:tcW w:w="776" w:type="pct"/>
            <w:tcBorders>
              <w:top w:val="nil"/>
              <w:left w:val="nil"/>
              <w:bottom w:val="nil"/>
              <w:right w:val="single" w:sz="4" w:space="0" w:color="auto"/>
            </w:tcBorders>
            <w:shd w:val="clear" w:color="auto" w:fill="auto"/>
            <w:noWrap/>
            <w:vAlign w:val="center"/>
            <w:hideMark/>
          </w:tcPr>
          <w:p w14:paraId="77ED6DFB" w14:textId="5E964690"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4%</w:t>
            </w:r>
          </w:p>
        </w:tc>
      </w:tr>
      <w:tr w:rsidR="00A01AE4" w:rsidRPr="00DC3951" w14:paraId="216C1023"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444EB58B"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Desarrollo Turístico Sostenible </w:t>
            </w:r>
          </w:p>
        </w:tc>
        <w:tc>
          <w:tcPr>
            <w:tcW w:w="777" w:type="pct"/>
            <w:tcBorders>
              <w:top w:val="nil"/>
              <w:left w:val="nil"/>
              <w:bottom w:val="nil"/>
              <w:right w:val="nil"/>
            </w:tcBorders>
            <w:shd w:val="clear" w:color="auto" w:fill="auto"/>
            <w:noWrap/>
            <w:vAlign w:val="bottom"/>
            <w:hideMark/>
          </w:tcPr>
          <w:p w14:paraId="1A97770E"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13</w:t>
            </w:r>
          </w:p>
        </w:tc>
        <w:tc>
          <w:tcPr>
            <w:tcW w:w="776" w:type="pct"/>
            <w:tcBorders>
              <w:top w:val="nil"/>
              <w:left w:val="nil"/>
              <w:bottom w:val="nil"/>
              <w:right w:val="single" w:sz="4" w:space="0" w:color="auto"/>
            </w:tcBorders>
            <w:shd w:val="clear" w:color="auto" w:fill="auto"/>
            <w:noWrap/>
            <w:vAlign w:val="center"/>
            <w:hideMark/>
          </w:tcPr>
          <w:p w14:paraId="3FBF1A98" w14:textId="06E08450"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5%</w:t>
            </w:r>
          </w:p>
        </w:tc>
      </w:tr>
      <w:tr w:rsidR="00A01AE4" w:rsidRPr="00DC3951" w14:paraId="341A178E"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49B3DD2A"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Desarrollo Sostenible y Medio Ambiente </w:t>
            </w:r>
          </w:p>
        </w:tc>
        <w:tc>
          <w:tcPr>
            <w:tcW w:w="777" w:type="pct"/>
            <w:tcBorders>
              <w:top w:val="nil"/>
              <w:left w:val="nil"/>
              <w:bottom w:val="nil"/>
              <w:right w:val="nil"/>
            </w:tcBorders>
            <w:shd w:val="clear" w:color="auto" w:fill="auto"/>
            <w:noWrap/>
            <w:vAlign w:val="bottom"/>
            <w:hideMark/>
          </w:tcPr>
          <w:p w14:paraId="143874EB"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107</w:t>
            </w:r>
          </w:p>
        </w:tc>
        <w:tc>
          <w:tcPr>
            <w:tcW w:w="776" w:type="pct"/>
            <w:tcBorders>
              <w:top w:val="nil"/>
              <w:left w:val="nil"/>
              <w:bottom w:val="nil"/>
              <w:right w:val="single" w:sz="4" w:space="0" w:color="auto"/>
            </w:tcBorders>
            <w:shd w:val="clear" w:color="auto" w:fill="auto"/>
            <w:noWrap/>
            <w:vAlign w:val="center"/>
            <w:hideMark/>
          </w:tcPr>
          <w:p w14:paraId="54EA1AFC" w14:textId="4011FE06"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38%</w:t>
            </w:r>
          </w:p>
        </w:tc>
      </w:tr>
      <w:tr w:rsidR="00A01AE4" w:rsidRPr="00DC3951" w14:paraId="5E2766BE"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68066C8A"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Cultura </w:t>
            </w:r>
          </w:p>
        </w:tc>
        <w:tc>
          <w:tcPr>
            <w:tcW w:w="777" w:type="pct"/>
            <w:tcBorders>
              <w:top w:val="nil"/>
              <w:left w:val="nil"/>
              <w:bottom w:val="nil"/>
              <w:right w:val="nil"/>
            </w:tcBorders>
            <w:shd w:val="clear" w:color="auto" w:fill="auto"/>
            <w:noWrap/>
            <w:vAlign w:val="bottom"/>
            <w:hideMark/>
          </w:tcPr>
          <w:p w14:paraId="597ECEAF"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0</w:t>
            </w:r>
          </w:p>
        </w:tc>
        <w:tc>
          <w:tcPr>
            <w:tcW w:w="776" w:type="pct"/>
            <w:tcBorders>
              <w:top w:val="nil"/>
              <w:left w:val="nil"/>
              <w:bottom w:val="nil"/>
              <w:right w:val="single" w:sz="4" w:space="0" w:color="auto"/>
            </w:tcBorders>
            <w:shd w:val="clear" w:color="auto" w:fill="auto"/>
            <w:noWrap/>
            <w:vAlign w:val="center"/>
            <w:hideMark/>
          </w:tcPr>
          <w:p w14:paraId="70CC06A2" w14:textId="0F306227"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0%</w:t>
            </w:r>
          </w:p>
        </w:tc>
      </w:tr>
      <w:tr w:rsidR="00A01AE4" w:rsidRPr="00DC3951" w14:paraId="6562D1A6" w14:textId="77777777" w:rsidTr="00A01AE4">
        <w:trPr>
          <w:trHeight w:val="285"/>
        </w:trPr>
        <w:tc>
          <w:tcPr>
            <w:tcW w:w="3447" w:type="pct"/>
            <w:tcBorders>
              <w:left w:val="single" w:sz="4" w:space="0" w:color="auto"/>
              <w:bottom w:val="nil"/>
              <w:right w:val="nil"/>
            </w:tcBorders>
            <w:shd w:val="clear" w:color="auto" w:fill="auto"/>
            <w:noWrap/>
            <w:vAlign w:val="bottom"/>
            <w:hideMark/>
          </w:tcPr>
          <w:p w14:paraId="289D6476"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Desarrollo Social </w:t>
            </w:r>
          </w:p>
        </w:tc>
        <w:tc>
          <w:tcPr>
            <w:tcW w:w="777" w:type="pct"/>
            <w:tcBorders>
              <w:left w:val="nil"/>
              <w:bottom w:val="nil"/>
              <w:right w:val="nil"/>
            </w:tcBorders>
            <w:shd w:val="clear" w:color="auto" w:fill="auto"/>
            <w:noWrap/>
            <w:vAlign w:val="bottom"/>
            <w:hideMark/>
          </w:tcPr>
          <w:p w14:paraId="3923C9C0"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20</w:t>
            </w:r>
          </w:p>
        </w:tc>
        <w:tc>
          <w:tcPr>
            <w:tcW w:w="776" w:type="pct"/>
            <w:tcBorders>
              <w:left w:val="nil"/>
              <w:bottom w:val="nil"/>
              <w:right w:val="single" w:sz="4" w:space="0" w:color="auto"/>
            </w:tcBorders>
            <w:shd w:val="clear" w:color="auto" w:fill="auto"/>
            <w:noWrap/>
            <w:vAlign w:val="center"/>
            <w:hideMark/>
          </w:tcPr>
          <w:p w14:paraId="2CFF9E26" w14:textId="73934B5B"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7%</w:t>
            </w:r>
          </w:p>
        </w:tc>
      </w:tr>
      <w:tr w:rsidR="00A01AE4" w:rsidRPr="00DC3951" w14:paraId="262DBED8" w14:textId="77777777" w:rsidTr="00A01AE4">
        <w:trPr>
          <w:trHeight w:val="285"/>
        </w:trPr>
        <w:tc>
          <w:tcPr>
            <w:tcW w:w="3447" w:type="pct"/>
            <w:tcBorders>
              <w:top w:val="nil"/>
              <w:left w:val="single" w:sz="4" w:space="0" w:color="auto"/>
              <w:bottom w:val="nil"/>
              <w:right w:val="nil"/>
            </w:tcBorders>
            <w:shd w:val="clear" w:color="auto" w:fill="auto"/>
            <w:noWrap/>
            <w:vAlign w:val="bottom"/>
            <w:hideMark/>
          </w:tcPr>
          <w:p w14:paraId="1B11AFD7"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Empleo Productivo </w:t>
            </w:r>
          </w:p>
        </w:tc>
        <w:tc>
          <w:tcPr>
            <w:tcW w:w="777" w:type="pct"/>
            <w:tcBorders>
              <w:top w:val="nil"/>
              <w:left w:val="nil"/>
              <w:bottom w:val="nil"/>
              <w:right w:val="nil"/>
            </w:tcBorders>
            <w:shd w:val="clear" w:color="auto" w:fill="auto"/>
            <w:noWrap/>
            <w:vAlign w:val="bottom"/>
            <w:hideMark/>
          </w:tcPr>
          <w:p w14:paraId="1093791D" w14:textId="77777777"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0</w:t>
            </w:r>
          </w:p>
        </w:tc>
        <w:tc>
          <w:tcPr>
            <w:tcW w:w="776" w:type="pct"/>
            <w:tcBorders>
              <w:top w:val="nil"/>
              <w:left w:val="nil"/>
              <w:bottom w:val="nil"/>
              <w:right w:val="single" w:sz="4" w:space="0" w:color="auto"/>
            </w:tcBorders>
            <w:shd w:val="clear" w:color="auto" w:fill="auto"/>
            <w:noWrap/>
            <w:vAlign w:val="center"/>
            <w:hideMark/>
          </w:tcPr>
          <w:p w14:paraId="049A153F" w14:textId="559428C8"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0%</w:t>
            </w:r>
          </w:p>
        </w:tc>
      </w:tr>
      <w:tr w:rsidR="00A01AE4" w:rsidRPr="00DC3951" w14:paraId="0791A986" w14:textId="77777777" w:rsidTr="00A01AE4">
        <w:trPr>
          <w:trHeight w:val="285"/>
        </w:trPr>
        <w:tc>
          <w:tcPr>
            <w:tcW w:w="3447" w:type="pct"/>
            <w:tcBorders>
              <w:top w:val="nil"/>
              <w:left w:val="single" w:sz="4" w:space="0" w:color="auto"/>
              <w:bottom w:val="single" w:sz="4" w:space="0" w:color="auto"/>
              <w:right w:val="nil"/>
            </w:tcBorders>
            <w:shd w:val="clear" w:color="auto" w:fill="auto"/>
            <w:noWrap/>
            <w:vAlign w:val="bottom"/>
            <w:hideMark/>
          </w:tcPr>
          <w:p w14:paraId="43FF3DB5" w14:textId="77777777" w:rsidR="00A01AE4" w:rsidRPr="00DC3951" w:rsidRDefault="00A01AE4" w:rsidP="00A01AE4">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Otra </w:t>
            </w:r>
          </w:p>
        </w:tc>
        <w:tc>
          <w:tcPr>
            <w:tcW w:w="777" w:type="pct"/>
            <w:tcBorders>
              <w:top w:val="nil"/>
              <w:left w:val="nil"/>
              <w:bottom w:val="single" w:sz="4" w:space="0" w:color="auto"/>
              <w:right w:val="nil"/>
            </w:tcBorders>
            <w:shd w:val="clear" w:color="auto" w:fill="auto"/>
            <w:noWrap/>
            <w:vAlign w:val="bottom"/>
            <w:hideMark/>
          </w:tcPr>
          <w:p w14:paraId="31EF2F68" w14:textId="7FD34EBC" w:rsidR="00A01AE4" w:rsidRPr="00DC3951" w:rsidRDefault="00A01AE4" w:rsidP="00A01AE4">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91</w:t>
            </w:r>
          </w:p>
        </w:tc>
        <w:tc>
          <w:tcPr>
            <w:tcW w:w="776" w:type="pct"/>
            <w:tcBorders>
              <w:top w:val="nil"/>
              <w:left w:val="nil"/>
              <w:bottom w:val="single" w:sz="4" w:space="0" w:color="auto"/>
              <w:right w:val="single" w:sz="4" w:space="0" w:color="auto"/>
            </w:tcBorders>
            <w:shd w:val="clear" w:color="auto" w:fill="auto"/>
            <w:noWrap/>
            <w:vAlign w:val="center"/>
            <w:hideMark/>
          </w:tcPr>
          <w:p w14:paraId="3FFA7CC7" w14:textId="41537930" w:rsidR="00A01AE4" w:rsidRPr="00DC3951" w:rsidRDefault="00A01AE4" w:rsidP="00A01AE4">
            <w:pPr>
              <w:spacing w:after="0" w:line="240" w:lineRule="auto"/>
              <w:jc w:val="right"/>
              <w:rPr>
                <w:rFonts w:ascii="Times New Roman" w:eastAsia="Times New Roman" w:hAnsi="Times New Roman" w:cs="Times New Roman"/>
                <w:lang w:val="es-CO"/>
              </w:rPr>
            </w:pPr>
            <w:r w:rsidRPr="00DC3951">
              <w:rPr>
                <w:lang w:val="es-CO"/>
              </w:rPr>
              <w:t>33%</w:t>
            </w:r>
          </w:p>
        </w:tc>
      </w:tr>
      <w:tr w:rsidR="00A01AE4" w:rsidRPr="00DC3951" w14:paraId="2823033F" w14:textId="77777777" w:rsidTr="00A01AE4">
        <w:trPr>
          <w:trHeight w:val="285"/>
        </w:trPr>
        <w:tc>
          <w:tcPr>
            <w:tcW w:w="3447" w:type="pct"/>
            <w:tcBorders>
              <w:top w:val="single" w:sz="4" w:space="0" w:color="auto"/>
              <w:left w:val="single" w:sz="4" w:space="0" w:color="auto"/>
              <w:bottom w:val="single" w:sz="4" w:space="0" w:color="auto"/>
              <w:right w:val="nil"/>
            </w:tcBorders>
            <w:shd w:val="clear" w:color="DAE3F3" w:fill="F2F2F2"/>
            <w:noWrap/>
            <w:vAlign w:val="bottom"/>
            <w:hideMark/>
          </w:tcPr>
          <w:p w14:paraId="7A213B3D" w14:textId="77777777" w:rsidR="00A01AE4" w:rsidRPr="00DC3951" w:rsidRDefault="00A01AE4" w:rsidP="00A01AE4">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Total</w:t>
            </w:r>
          </w:p>
        </w:tc>
        <w:tc>
          <w:tcPr>
            <w:tcW w:w="777" w:type="pct"/>
            <w:tcBorders>
              <w:top w:val="single" w:sz="4" w:space="0" w:color="auto"/>
              <w:left w:val="nil"/>
              <w:bottom w:val="single" w:sz="4" w:space="0" w:color="auto"/>
              <w:right w:val="nil"/>
            </w:tcBorders>
            <w:shd w:val="clear" w:color="DAE3F3" w:fill="F2F2F2"/>
            <w:noWrap/>
            <w:vAlign w:val="bottom"/>
            <w:hideMark/>
          </w:tcPr>
          <w:p w14:paraId="67EA90E3" w14:textId="77777777" w:rsidR="00A01AE4" w:rsidRPr="00DC3951" w:rsidRDefault="00A01AE4" w:rsidP="00A01AE4">
            <w:pPr>
              <w:spacing w:after="0" w:line="240" w:lineRule="auto"/>
              <w:jc w:val="right"/>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275</w:t>
            </w:r>
          </w:p>
        </w:tc>
        <w:tc>
          <w:tcPr>
            <w:tcW w:w="776" w:type="pct"/>
            <w:tcBorders>
              <w:top w:val="single" w:sz="4" w:space="0" w:color="auto"/>
              <w:left w:val="nil"/>
              <w:bottom w:val="single" w:sz="4" w:space="0" w:color="auto"/>
              <w:right w:val="single" w:sz="4" w:space="0" w:color="auto"/>
            </w:tcBorders>
            <w:shd w:val="clear" w:color="000000" w:fill="F2F2F2"/>
            <w:noWrap/>
            <w:vAlign w:val="bottom"/>
            <w:hideMark/>
          </w:tcPr>
          <w:p w14:paraId="2CC54CE0" w14:textId="1A1D5548" w:rsidR="00A01AE4" w:rsidRPr="00DC3951" w:rsidRDefault="00A01AE4" w:rsidP="00A01AE4">
            <w:pPr>
              <w:spacing w:after="0" w:line="240" w:lineRule="auto"/>
              <w:jc w:val="right"/>
              <w:rPr>
                <w:rFonts w:ascii="Times New Roman" w:eastAsia="Times New Roman" w:hAnsi="Times New Roman" w:cs="Times New Roman"/>
                <w:b/>
                <w:bCs/>
                <w:lang w:val="es-CO"/>
              </w:rPr>
            </w:pPr>
            <w:r w:rsidRPr="00DC3951">
              <w:rPr>
                <w:rFonts w:ascii="Calibri" w:hAnsi="Calibri" w:cs="Calibri"/>
                <w:b/>
                <w:bCs/>
              </w:rPr>
              <w:t>100%</w:t>
            </w:r>
          </w:p>
        </w:tc>
      </w:tr>
    </w:tbl>
    <w:p w14:paraId="7E1277B7" w14:textId="0EC4FF41" w:rsidR="00282004" w:rsidRPr="00DC3951" w:rsidRDefault="00282004" w:rsidP="00390AD2">
      <w:pPr>
        <w:spacing w:after="0" w:line="240" w:lineRule="auto"/>
        <w:jc w:val="both"/>
        <w:rPr>
          <w:rFonts w:ascii="Times New Roman" w:eastAsia="Times New Roman" w:hAnsi="Times New Roman" w:cs="Times New Roman"/>
          <w:color w:val="000000"/>
          <w:lang w:val="es-CO"/>
        </w:rPr>
      </w:pPr>
    </w:p>
    <w:p w14:paraId="58106DE9" w14:textId="03F5BECB" w:rsidR="00A2731B" w:rsidRPr="00DC3951" w:rsidRDefault="00A2731B" w:rsidP="00F50522">
      <w:pPr>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En términos de los ODS, el </w:t>
      </w:r>
      <w:r w:rsidRPr="00DC3951">
        <w:rPr>
          <w:rFonts w:ascii="Times New Roman" w:eastAsia="Times New Roman" w:hAnsi="Times New Roman" w:cs="Times New Roman"/>
          <w:b/>
          <w:bCs/>
          <w:color w:val="000000"/>
          <w:lang w:val="es-CO"/>
        </w:rPr>
        <w:t xml:space="preserve">25% de las Ofertas publicadas están alineadas con el ODS 17: Alianzas para </w:t>
      </w:r>
      <w:r w:rsidR="00E06951" w:rsidRPr="00DC3951">
        <w:rPr>
          <w:rFonts w:ascii="Times New Roman" w:eastAsia="Times New Roman" w:hAnsi="Times New Roman" w:cs="Times New Roman"/>
          <w:b/>
          <w:bCs/>
          <w:color w:val="000000"/>
          <w:lang w:val="es-CO"/>
        </w:rPr>
        <w:t xml:space="preserve">lograr </w:t>
      </w:r>
      <w:r w:rsidRPr="00DC3951">
        <w:rPr>
          <w:rFonts w:ascii="Times New Roman" w:eastAsia="Times New Roman" w:hAnsi="Times New Roman" w:cs="Times New Roman"/>
          <w:b/>
          <w:bCs/>
          <w:color w:val="000000"/>
          <w:lang w:val="es-CO"/>
        </w:rPr>
        <w:t>los Objetivos.</w:t>
      </w:r>
      <w:r w:rsidRPr="00DC3951">
        <w:rPr>
          <w:rFonts w:ascii="Times New Roman" w:eastAsia="Times New Roman" w:hAnsi="Times New Roman" w:cs="Times New Roman"/>
          <w:color w:val="000000"/>
          <w:lang w:val="es-CO"/>
        </w:rPr>
        <w:t xml:space="preserve"> Cabe señalar que el número total de proyectos relacionados con los ODS es mayor que el número total de proyectos, ya que un proyecto puede estar alineado simultáneamente con dos o más Objetivos.</w:t>
      </w:r>
    </w:p>
    <w:p w14:paraId="04DFE6E5" w14:textId="77777777" w:rsidR="00A2731B" w:rsidRPr="00DC3951" w:rsidRDefault="00A2731B" w:rsidP="00390AD2">
      <w:pPr>
        <w:spacing w:after="0" w:line="240" w:lineRule="auto"/>
        <w:jc w:val="both"/>
        <w:rPr>
          <w:rFonts w:ascii="Times New Roman" w:eastAsia="Times New Roman" w:hAnsi="Times New Roman" w:cs="Times New Roman"/>
          <w:color w:val="000000"/>
          <w:lang w:val="es-CO"/>
        </w:rPr>
      </w:pPr>
    </w:p>
    <w:tbl>
      <w:tblPr>
        <w:tblW w:w="5000" w:type="pct"/>
        <w:tblLook w:val="04A0" w:firstRow="1" w:lastRow="0" w:firstColumn="1" w:lastColumn="0" w:noHBand="0" w:noVBand="1"/>
      </w:tblPr>
      <w:tblGrid>
        <w:gridCol w:w="6702"/>
        <w:gridCol w:w="1324"/>
        <w:gridCol w:w="1324"/>
      </w:tblGrid>
      <w:tr w:rsidR="00D81D6C" w:rsidRPr="00DC3951" w14:paraId="32309070" w14:textId="77777777" w:rsidTr="00D81D6C">
        <w:trPr>
          <w:trHeight w:val="285"/>
        </w:trPr>
        <w:tc>
          <w:tcPr>
            <w:tcW w:w="3584" w:type="pct"/>
            <w:tcBorders>
              <w:top w:val="single" w:sz="4" w:space="0" w:color="auto"/>
              <w:left w:val="single" w:sz="4" w:space="0" w:color="auto"/>
              <w:bottom w:val="nil"/>
              <w:right w:val="nil"/>
            </w:tcBorders>
            <w:shd w:val="clear" w:color="F2F2F2" w:fill="DAE3F3"/>
            <w:noWrap/>
            <w:vAlign w:val="bottom"/>
            <w:hideMark/>
          </w:tcPr>
          <w:p w14:paraId="71A057E0" w14:textId="77777777" w:rsidR="00D81D6C" w:rsidRPr="00DC3951" w:rsidRDefault="00D81D6C" w:rsidP="00390AD2">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Objetivo de Desarrollo Sostenible</w:t>
            </w:r>
          </w:p>
        </w:tc>
        <w:tc>
          <w:tcPr>
            <w:tcW w:w="708" w:type="pct"/>
            <w:tcBorders>
              <w:top w:val="single" w:sz="4" w:space="0" w:color="auto"/>
              <w:left w:val="nil"/>
              <w:bottom w:val="nil"/>
              <w:right w:val="nil"/>
            </w:tcBorders>
            <w:shd w:val="clear" w:color="F2F2F2" w:fill="DAE3F3"/>
            <w:noWrap/>
            <w:vAlign w:val="bottom"/>
            <w:hideMark/>
          </w:tcPr>
          <w:p w14:paraId="2F581700" w14:textId="77777777" w:rsidR="00D81D6C" w:rsidRPr="00DC3951" w:rsidRDefault="00D81D6C" w:rsidP="00390AD2">
            <w:pPr>
              <w:spacing w:after="0" w:line="240" w:lineRule="auto"/>
              <w:jc w:val="center"/>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w:t>
            </w:r>
          </w:p>
        </w:tc>
        <w:tc>
          <w:tcPr>
            <w:tcW w:w="708" w:type="pct"/>
            <w:tcBorders>
              <w:top w:val="single" w:sz="4" w:space="0" w:color="auto"/>
              <w:left w:val="nil"/>
              <w:bottom w:val="nil"/>
              <w:right w:val="single" w:sz="4" w:space="0" w:color="auto"/>
            </w:tcBorders>
            <w:shd w:val="clear" w:color="F2F2F2" w:fill="DAE3F3"/>
            <w:noWrap/>
            <w:vAlign w:val="bottom"/>
            <w:hideMark/>
          </w:tcPr>
          <w:p w14:paraId="617720C2" w14:textId="77777777" w:rsidR="00D81D6C" w:rsidRPr="00DC3951" w:rsidRDefault="00D81D6C" w:rsidP="00390AD2">
            <w:pPr>
              <w:spacing w:after="0" w:line="240" w:lineRule="auto"/>
              <w:jc w:val="center"/>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w:t>
            </w:r>
          </w:p>
        </w:tc>
      </w:tr>
      <w:tr w:rsidR="00DA24F1" w:rsidRPr="00DC3951" w14:paraId="5999B91F" w14:textId="77777777" w:rsidTr="00AA5429">
        <w:trPr>
          <w:trHeight w:val="285"/>
        </w:trPr>
        <w:tc>
          <w:tcPr>
            <w:tcW w:w="3584" w:type="pct"/>
            <w:tcBorders>
              <w:top w:val="single" w:sz="4" w:space="0" w:color="auto"/>
              <w:left w:val="single" w:sz="4" w:space="0" w:color="auto"/>
              <w:bottom w:val="nil"/>
              <w:right w:val="nil"/>
            </w:tcBorders>
            <w:shd w:val="clear" w:color="auto" w:fill="auto"/>
            <w:noWrap/>
            <w:vAlign w:val="bottom"/>
            <w:hideMark/>
          </w:tcPr>
          <w:p w14:paraId="0C21E9FD"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 Fin de la Pobreza </w:t>
            </w:r>
          </w:p>
        </w:tc>
        <w:tc>
          <w:tcPr>
            <w:tcW w:w="708" w:type="pct"/>
            <w:tcBorders>
              <w:top w:val="single" w:sz="4" w:space="0" w:color="auto"/>
              <w:left w:val="nil"/>
              <w:bottom w:val="nil"/>
              <w:right w:val="nil"/>
            </w:tcBorders>
            <w:shd w:val="clear" w:color="auto" w:fill="auto"/>
            <w:noWrap/>
            <w:vAlign w:val="bottom"/>
            <w:hideMark/>
          </w:tcPr>
          <w:p w14:paraId="0C1A4576"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8</w:t>
            </w:r>
          </w:p>
        </w:tc>
        <w:tc>
          <w:tcPr>
            <w:tcW w:w="708" w:type="pct"/>
            <w:tcBorders>
              <w:top w:val="single" w:sz="4" w:space="0" w:color="auto"/>
              <w:left w:val="nil"/>
              <w:bottom w:val="nil"/>
              <w:right w:val="single" w:sz="4" w:space="0" w:color="auto"/>
            </w:tcBorders>
            <w:shd w:val="clear" w:color="auto" w:fill="auto"/>
            <w:noWrap/>
            <w:vAlign w:val="center"/>
            <w:hideMark/>
          </w:tcPr>
          <w:p w14:paraId="66E77C55" w14:textId="6C1F275A"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2%</w:t>
            </w:r>
          </w:p>
        </w:tc>
      </w:tr>
      <w:tr w:rsidR="00DA24F1" w:rsidRPr="00DC3951" w14:paraId="4815BA3F"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795FB7D8"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2: Hambre Cero </w:t>
            </w:r>
          </w:p>
        </w:tc>
        <w:tc>
          <w:tcPr>
            <w:tcW w:w="708" w:type="pct"/>
            <w:tcBorders>
              <w:top w:val="nil"/>
              <w:left w:val="nil"/>
              <w:bottom w:val="nil"/>
              <w:right w:val="nil"/>
            </w:tcBorders>
            <w:shd w:val="clear" w:color="auto" w:fill="auto"/>
            <w:noWrap/>
            <w:vAlign w:val="bottom"/>
            <w:hideMark/>
          </w:tcPr>
          <w:p w14:paraId="681CD4A6"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33</w:t>
            </w:r>
          </w:p>
        </w:tc>
        <w:tc>
          <w:tcPr>
            <w:tcW w:w="708" w:type="pct"/>
            <w:tcBorders>
              <w:top w:val="nil"/>
              <w:left w:val="nil"/>
              <w:bottom w:val="nil"/>
              <w:right w:val="single" w:sz="4" w:space="0" w:color="auto"/>
            </w:tcBorders>
            <w:shd w:val="clear" w:color="auto" w:fill="auto"/>
            <w:noWrap/>
            <w:vAlign w:val="center"/>
            <w:hideMark/>
          </w:tcPr>
          <w:p w14:paraId="3516D5D2" w14:textId="5DF005E3"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8%</w:t>
            </w:r>
          </w:p>
        </w:tc>
      </w:tr>
      <w:tr w:rsidR="00DA24F1" w:rsidRPr="00DC3951" w14:paraId="376DBFB2"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0496DE61"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3: Salud y Bienestar </w:t>
            </w:r>
          </w:p>
        </w:tc>
        <w:tc>
          <w:tcPr>
            <w:tcW w:w="708" w:type="pct"/>
            <w:tcBorders>
              <w:top w:val="nil"/>
              <w:left w:val="nil"/>
              <w:bottom w:val="nil"/>
              <w:right w:val="nil"/>
            </w:tcBorders>
            <w:shd w:val="clear" w:color="auto" w:fill="auto"/>
            <w:noWrap/>
            <w:vAlign w:val="bottom"/>
            <w:hideMark/>
          </w:tcPr>
          <w:p w14:paraId="2ADDDA66" w14:textId="0565A31C"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15</w:t>
            </w:r>
          </w:p>
        </w:tc>
        <w:tc>
          <w:tcPr>
            <w:tcW w:w="708" w:type="pct"/>
            <w:tcBorders>
              <w:top w:val="nil"/>
              <w:left w:val="nil"/>
              <w:bottom w:val="nil"/>
              <w:right w:val="single" w:sz="4" w:space="0" w:color="auto"/>
            </w:tcBorders>
            <w:shd w:val="clear" w:color="auto" w:fill="auto"/>
            <w:noWrap/>
            <w:vAlign w:val="center"/>
            <w:hideMark/>
          </w:tcPr>
          <w:p w14:paraId="1C104683" w14:textId="24B31869"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4%</w:t>
            </w:r>
          </w:p>
        </w:tc>
      </w:tr>
      <w:tr w:rsidR="00DA24F1" w:rsidRPr="00DC3951" w14:paraId="62C68AF8"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085FDAAC"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4: Educación de Calidad </w:t>
            </w:r>
          </w:p>
        </w:tc>
        <w:tc>
          <w:tcPr>
            <w:tcW w:w="708" w:type="pct"/>
            <w:tcBorders>
              <w:top w:val="nil"/>
              <w:left w:val="nil"/>
              <w:bottom w:val="nil"/>
              <w:right w:val="nil"/>
            </w:tcBorders>
            <w:shd w:val="clear" w:color="auto" w:fill="auto"/>
            <w:noWrap/>
            <w:vAlign w:val="bottom"/>
            <w:hideMark/>
          </w:tcPr>
          <w:p w14:paraId="6054A524" w14:textId="56ACCF7E"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17</w:t>
            </w:r>
          </w:p>
        </w:tc>
        <w:tc>
          <w:tcPr>
            <w:tcW w:w="708" w:type="pct"/>
            <w:tcBorders>
              <w:top w:val="nil"/>
              <w:left w:val="nil"/>
              <w:bottom w:val="nil"/>
              <w:right w:val="single" w:sz="4" w:space="0" w:color="auto"/>
            </w:tcBorders>
            <w:shd w:val="clear" w:color="auto" w:fill="auto"/>
            <w:noWrap/>
            <w:vAlign w:val="center"/>
            <w:hideMark/>
          </w:tcPr>
          <w:p w14:paraId="2A5039CF" w14:textId="23679577"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4%</w:t>
            </w:r>
          </w:p>
        </w:tc>
      </w:tr>
      <w:tr w:rsidR="00DA24F1" w:rsidRPr="00DC3951" w14:paraId="7E3D6536"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75CE44F3"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5: Igualdad de Género </w:t>
            </w:r>
          </w:p>
        </w:tc>
        <w:tc>
          <w:tcPr>
            <w:tcW w:w="708" w:type="pct"/>
            <w:tcBorders>
              <w:top w:val="nil"/>
              <w:left w:val="nil"/>
              <w:bottom w:val="nil"/>
              <w:right w:val="nil"/>
            </w:tcBorders>
            <w:shd w:val="clear" w:color="auto" w:fill="auto"/>
            <w:noWrap/>
            <w:vAlign w:val="bottom"/>
            <w:hideMark/>
          </w:tcPr>
          <w:p w14:paraId="05381DF6"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5</w:t>
            </w:r>
          </w:p>
        </w:tc>
        <w:tc>
          <w:tcPr>
            <w:tcW w:w="708" w:type="pct"/>
            <w:tcBorders>
              <w:top w:val="nil"/>
              <w:left w:val="nil"/>
              <w:bottom w:val="nil"/>
              <w:right w:val="single" w:sz="4" w:space="0" w:color="auto"/>
            </w:tcBorders>
            <w:shd w:val="clear" w:color="auto" w:fill="auto"/>
            <w:noWrap/>
            <w:vAlign w:val="center"/>
            <w:hideMark/>
          </w:tcPr>
          <w:p w14:paraId="54E20742" w14:textId="6DCA162A"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1%</w:t>
            </w:r>
          </w:p>
        </w:tc>
      </w:tr>
      <w:tr w:rsidR="00DA24F1" w:rsidRPr="00DC3951" w14:paraId="31AE1B11"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1460BA96"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6: Agua Limpia y Saneamiento </w:t>
            </w:r>
          </w:p>
        </w:tc>
        <w:tc>
          <w:tcPr>
            <w:tcW w:w="708" w:type="pct"/>
            <w:tcBorders>
              <w:top w:val="nil"/>
              <w:left w:val="nil"/>
              <w:bottom w:val="nil"/>
              <w:right w:val="nil"/>
            </w:tcBorders>
            <w:shd w:val="clear" w:color="auto" w:fill="auto"/>
            <w:noWrap/>
            <w:vAlign w:val="bottom"/>
            <w:hideMark/>
          </w:tcPr>
          <w:p w14:paraId="5DE2CA9B"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10</w:t>
            </w:r>
          </w:p>
        </w:tc>
        <w:tc>
          <w:tcPr>
            <w:tcW w:w="708" w:type="pct"/>
            <w:tcBorders>
              <w:top w:val="nil"/>
              <w:left w:val="nil"/>
              <w:bottom w:val="nil"/>
              <w:right w:val="single" w:sz="4" w:space="0" w:color="auto"/>
            </w:tcBorders>
            <w:shd w:val="clear" w:color="auto" w:fill="auto"/>
            <w:noWrap/>
            <w:vAlign w:val="center"/>
            <w:hideMark/>
          </w:tcPr>
          <w:p w14:paraId="60838C66" w14:textId="1CDE949E"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2%</w:t>
            </w:r>
          </w:p>
        </w:tc>
      </w:tr>
      <w:tr w:rsidR="00DA24F1" w:rsidRPr="00DC3951" w14:paraId="344EBD45"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7F51383C"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7: Energía Asequible y No Contaminante </w:t>
            </w:r>
          </w:p>
        </w:tc>
        <w:tc>
          <w:tcPr>
            <w:tcW w:w="708" w:type="pct"/>
            <w:tcBorders>
              <w:top w:val="nil"/>
              <w:left w:val="nil"/>
              <w:bottom w:val="nil"/>
              <w:right w:val="nil"/>
            </w:tcBorders>
            <w:shd w:val="clear" w:color="auto" w:fill="auto"/>
            <w:noWrap/>
            <w:vAlign w:val="bottom"/>
            <w:hideMark/>
          </w:tcPr>
          <w:p w14:paraId="69E74690"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2</w:t>
            </w:r>
          </w:p>
        </w:tc>
        <w:tc>
          <w:tcPr>
            <w:tcW w:w="708" w:type="pct"/>
            <w:tcBorders>
              <w:top w:val="nil"/>
              <w:left w:val="nil"/>
              <w:bottom w:val="nil"/>
              <w:right w:val="single" w:sz="4" w:space="0" w:color="auto"/>
            </w:tcBorders>
            <w:shd w:val="clear" w:color="auto" w:fill="auto"/>
            <w:noWrap/>
            <w:vAlign w:val="center"/>
            <w:hideMark/>
          </w:tcPr>
          <w:p w14:paraId="688AEA63" w14:textId="4B4ECD25"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0%</w:t>
            </w:r>
          </w:p>
        </w:tc>
      </w:tr>
      <w:tr w:rsidR="00DA24F1" w:rsidRPr="00DC3951" w14:paraId="64FE1155"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4BBFC9B8"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8: Trabajo Decente y Crecimiento Económico </w:t>
            </w:r>
          </w:p>
        </w:tc>
        <w:tc>
          <w:tcPr>
            <w:tcW w:w="708" w:type="pct"/>
            <w:tcBorders>
              <w:top w:val="nil"/>
              <w:left w:val="nil"/>
              <w:bottom w:val="nil"/>
              <w:right w:val="nil"/>
            </w:tcBorders>
            <w:shd w:val="clear" w:color="auto" w:fill="auto"/>
            <w:noWrap/>
            <w:vAlign w:val="bottom"/>
            <w:hideMark/>
          </w:tcPr>
          <w:p w14:paraId="17AA86E4"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19</w:t>
            </w:r>
          </w:p>
        </w:tc>
        <w:tc>
          <w:tcPr>
            <w:tcW w:w="708" w:type="pct"/>
            <w:tcBorders>
              <w:top w:val="nil"/>
              <w:left w:val="nil"/>
              <w:bottom w:val="nil"/>
              <w:right w:val="single" w:sz="4" w:space="0" w:color="auto"/>
            </w:tcBorders>
            <w:shd w:val="clear" w:color="auto" w:fill="auto"/>
            <w:noWrap/>
            <w:vAlign w:val="center"/>
            <w:hideMark/>
          </w:tcPr>
          <w:p w14:paraId="040593A7" w14:textId="6E0A75AB"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4%</w:t>
            </w:r>
          </w:p>
        </w:tc>
      </w:tr>
      <w:tr w:rsidR="00DA24F1" w:rsidRPr="00DC3951" w14:paraId="0BB1D50E"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01EBD568"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9: Industria, Innovación e Infraestructuras </w:t>
            </w:r>
          </w:p>
        </w:tc>
        <w:tc>
          <w:tcPr>
            <w:tcW w:w="708" w:type="pct"/>
            <w:tcBorders>
              <w:top w:val="nil"/>
              <w:left w:val="nil"/>
              <w:bottom w:val="nil"/>
              <w:right w:val="nil"/>
            </w:tcBorders>
            <w:shd w:val="clear" w:color="auto" w:fill="auto"/>
            <w:noWrap/>
            <w:vAlign w:val="bottom"/>
            <w:hideMark/>
          </w:tcPr>
          <w:p w14:paraId="4F669CFE"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18</w:t>
            </w:r>
          </w:p>
        </w:tc>
        <w:tc>
          <w:tcPr>
            <w:tcW w:w="708" w:type="pct"/>
            <w:tcBorders>
              <w:top w:val="nil"/>
              <w:left w:val="nil"/>
              <w:bottom w:val="nil"/>
              <w:right w:val="single" w:sz="4" w:space="0" w:color="auto"/>
            </w:tcBorders>
            <w:shd w:val="clear" w:color="auto" w:fill="auto"/>
            <w:noWrap/>
            <w:vAlign w:val="center"/>
            <w:hideMark/>
          </w:tcPr>
          <w:p w14:paraId="2EA1AE8B" w14:textId="1CD74625"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4%</w:t>
            </w:r>
          </w:p>
        </w:tc>
      </w:tr>
      <w:tr w:rsidR="00DA24F1" w:rsidRPr="00DC3951" w14:paraId="3D02B3A2"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4047234C"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10: Reducción de las Desigualdades </w:t>
            </w:r>
          </w:p>
        </w:tc>
        <w:tc>
          <w:tcPr>
            <w:tcW w:w="708" w:type="pct"/>
            <w:tcBorders>
              <w:top w:val="nil"/>
              <w:left w:val="nil"/>
              <w:bottom w:val="nil"/>
              <w:right w:val="nil"/>
            </w:tcBorders>
            <w:shd w:val="clear" w:color="auto" w:fill="auto"/>
            <w:noWrap/>
            <w:vAlign w:val="bottom"/>
            <w:hideMark/>
          </w:tcPr>
          <w:p w14:paraId="0421F0B5"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11</w:t>
            </w:r>
          </w:p>
        </w:tc>
        <w:tc>
          <w:tcPr>
            <w:tcW w:w="708" w:type="pct"/>
            <w:tcBorders>
              <w:top w:val="nil"/>
              <w:left w:val="nil"/>
              <w:bottom w:val="nil"/>
              <w:right w:val="single" w:sz="4" w:space="0" w:color="auto"/>
            </w:tcBorders>
            <w:shd w:val="clear" w:color="auto" w:fill="auto"/>
            <w:noWrap/>
            <w:vAlign w:val="center"/>
            <w:hideMark/>
          </w:tcPr>
          <w:p w14:paraId="251BF7EB" w14:textId="74C998C1"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3%</w:t>
            </w:r>
          </w:p>
        </w:tc>
      </w:tr>
      <w:tr w:rsidR="00DA24F1" w:rsidRPr="00DC3951" w14:paraId="4372CFC1"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2BB22FB6"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11: Ciudades y Comunidades Sostenibles </w:t>
            </w:r>
          </w:p>
        </w:tc>
        <w:tc>
          <w:tcPr>
            <w:tcW w:w="708" w:type="pct"/>
            <w:tcBorders>
              <w:top w:val="nil"/>
              <w:left w:val="nil"/>
              <w:bottom w:val="nil"/>
              <w:right w:val="nil"/>
            </w:tcBorders>
            <w:shd w:val="clear" w:color="auto" w:fill="auto"/>
            <w:noWrap/>
            <w:vAlign w:val="bottom"/>
            <w:hideMark/>
          </w:tcPr>
          <w:p w14:paraId="6DDD1522"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34</w:t>
            </w:r>
          </w:p>
        </w:tc>
        <w:tc>
          <w:tcPr>
            <w:tcW w:w="708" w:type="pct"/>
            <w:tcBorders>
              <w:top w:val="nil"/>
              <w:left w:val="nil"/>
              <w:bottom w:val="nil"/>
              <w:right w:val="single" w:sz="4" w:space="0" w:color="auto"/>
            </w:tcBorders>
            <w:shd w:val="clear" w:color="auto" w:fill="auto"/>
            <w:noWrap/>
            <w:vAlign w:val="center"/>
            <w:hideMark/>
          </w:tcPr>
          <w:p w14:paraId="5580A625" w14:textId="209CF774"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8%</w:t>
            </w:r>
          </w:p>
        </w:tc>
      </w:tr>
      <w:tr w:rsidR="00DA24F1" w:rsidRPr="00DC3951" w14:paraId="7ADA54B2"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2698F1B0"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12: Producción y Consumo Responsables </w:t>
            </w:r>
          </w:p>
        </w:tc>
        <w:tc>
          <w:tcPr>
            <w:tcW w:w="708" w:type="pct"/>
            <w:tcBorders>
              <w:top w:val="nil"/>
              <w:left w:val="nil"/>
              <w:bottom w:val="nil"/>
              <w:right w:val="nil"/>
            </w:tcBorders>
            <w:shd w:val="clear" w:color="auto" w:fill="auto"/>
            <w:noWrap/>
            <w:vAlign w:val="bottom"/>
            <w:hideMark/>
          </w:tcPr>
          <w:p w14:paraId="547CA6DB"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35</w:t>
            </w:r>
          </w:p>
        </w:tc>
        <w:tc>
          <w:tcPr>
            <w:tcW w:w="708" w:type="pct"/>
            <w:tcBorders>
              <w:top w:val="nil"/>
              <w:left w:val="nil"/>
              <w:bottom w:val="nil"/>
              <w:right w:val="single" w:sz="4" w:space="0" w:color="auto"/>
            </w:tcBorders>
            <w:shd w:val="clear" w:color="auto" w:fill="auto"/>
            <w:noWrap/>
            <w:vAlign w:val="center"/>
            <w:hideMark/>
          </w:tcPr>
          <w:p w14:paraId="4D1A090F" w14:textId="380A528C"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8%</w:t>
            </w:r>
          </w:p>
        </w:tc>
      </w:tr>
      <w:tr w:rsidR="00DA24F1" w:rsidRPr="00DC3951" w14:paraId="32EC33AA"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24F01F1C"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13: Acción por el Clima </w:t>
            </w:r>
          </w:p>
        </w:tc>
        <w:tc>
          <w:tcPr>
            <w:tcW w:w="708" w:type="pct"/>
            <w:tcBorders>
              <w:top w:val="nil"/>
              <w:left w:val="nil"/>
              <w:bottom w:val="nil"/>
              <w:right w:val="nil"/>
            </w:tcBorders>
            <w:shd w:val="clear" w:color="auto" w:fill="auto"/>
            <w:noWrap/>
            <w:vAlign w:val="bottom"/>
            <w:hideMark/>
          </w:tcPr>
          <w:p w14:paraId="2AE6451F"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27</w:t>
            </w:r>
          </w:p>
        </w:tc>
        <w:tc>
          <w:tcPr>
            <w:tcW w:w="708" w:type="pct"/>
            <w:tcBorders>
              <w:top w:val="nil"/>
              <w:left w:val="nil"/>
              <w:bottom w:val="nil"/>
              <w:right w:val="single" w:sz="4" w:space="0" w:color="auto"/>
            </w:tcBorders>
            <w:shd w:val="clear" w:color="auto" w:fill="auto"/>
            <w:noWrap/>
            <w:vAlign w:val="center"/>
            <w:hideMark/>
          </w:tcPr>
          <w:p w14:paraId="5EF688D5" w14:textId="46EA5D95"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6%</w:t>
            </w:r>
          </w:p>
        </w:tc>
      </w:tr>
      <w:tr w:rsidR="00DA24F1" w:rsidRPr="00DC3951" w14:paraId="765F1B26"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2A86C3E5"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14: Vida Submarina </w:t>
            </w:r>
          </w:p>
        </w:tc>
        <w:tc>
          <w:tcPr>
            <w:tcW w:w="708" w:type="pct"/>
            <w:tcBorders>
              <w:top w:val="nil"/>
              <w:left w:val="nil"/>
              <w:bottom w:val="nil"/>
              <w:right w:val="nil"/>
            </w:tcBorders>
            <w:shd w:val="clear" w:color="auto" w:fill="auto"/>
            <w:noWrap/>
            <w:vAlign w:val="bottom"/>
            <w:hideMark/>
          </w:tcPr>
          <w:p w14:paraId="0F15F871"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26</w:t>
            </w:r>
          </w:p>
        </w:tc>
        <w:tc>
          <w:tcPr>
            <w:tcW w:w="708" w:type="pct"/>
            <w:tcBorders>
              <w:top w:val="nil"/>
              <w:left w:val="nil"/>
              <w:bottom w:val="nil"/>
              <w:right w:val="single" w:sz="4" w:space="0" w:color="auto"/>
            </w:tcBorders>
            <w:shd w:val="clear" w:color="auto" w:fill="auto"/>
            <w:noWrap/>
            <w:vAlign w:val="center"/>
            <w:hideMark/>
          </w:tcPr>
          <w:p w14:paraId="58E8CF21" w14:textId="45706F7E"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6%</w:t>
            </w:r>
          </w:p>
        </w:tc>
      </w:tr>
      <w:tr w:rsidR="00DA24F1" w:rsidRPr="00DC3951" w14:paraId="6A67A741"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39A16BCE"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15: Vida de Ecosistemas Terrestres </w:t>
            </w:r>
          </w:p>
        </w:tc>
        <w:tc>
          <w:tcPr>
            <w:tcW w:w="708" w:type="pct"/>
            <w:tcBorders>
              <w:top w:val="nil"/>
              <w:left w:val="nil"/>
              <w:bottom w:val="nil"/>
              <w:right w:val="nil"/>
            </w:tcBorders>
            <w:shd w:val="clear" w:color="auto" w:fill="auto"/>
            <w:noWrap/>
            <w:vAlign w:val="bottom"/>
            <w:hideMark/>
          </w:tcPr>
          <w:p w14:paraId="00B18000"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20</w:t>
            </w:r>
          </w:p>
        </w:tc>
        <w:tc>
          <w:tcPr>
            <w:tcW w:w="708" w:type="pct"/>
            <w:tcBorders>
              <w:top w:val="nil"/>
              <w:left w:val="nil"/>
              <w:bottom w:val="nil"/>
              <w:right w:val="single" w:sz="4" w:space="0" w:color="auto"/>
            </w:tcBorders>
            <w:shd w:val="clear" w:color="auto" w:fill="auto"/>
            <w:noWrap/>
            <w:vAlign w:val="center"/>
            <w:hideMark/>
          </w:tcPr>
          <w:p w14:paraId="34884263" w14:textId="03DB2C62"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5%</w:t>
            </w:r>
          </w:p>
        </w:tc>
      </w:tr>
      <w:tr w:rsidR="00DA24F1" w:rsidRPr="00DC3951" w14:paraId="46CA1996" w14:textId="77777777" w:rsidTr="00AA5429">
        <w:trPr>
          <w:trHeight w:val="285"/>
        </w:trPr>
        <w:tc>
          <w:tcPr>
            <w:tcW w:w="3584" w:type="pct"/>
            <w:tcBorders>
              <w:top w:val="nil"/>
              <w:left w:val="single" w:sz="4" w:space="0" w:color="auto"/>
              <w:bottom w:val="nil"/>
              <w:right w:val="nil"/>
            </w:tcBorders>
            <w:shd w:val="clear" w:color="auto" w:fill="auto"/>
            <w:noWrap/>
            <w:vAlign w:val="bottom"/>
            <w:hideMark/>
          </w:tcPr>
          <w:p w14:paraId="25886569"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 16: Paz, Justicia e Instituciones Sólidas </w:t>
            </w:r>
          </w:p>
        </w:tc>
        <w:tc>
          <w:tcPr>
            <w:tcW w:w="708" w:type="pct"/>
            <w:tcBorders>
              <w:top w:val="nil"/>
              <w:left w:val="nil"/>
              <w:bottom w:val="nil"/>
              <w:right w:val="nil"/>
            </w:tcBorders>
            <w:shd w:val="clear" w:color="auto" w:fill="auto"/>
            <w:noWrap/>
            <w:vAlign w:val="bottom"/>
            <w:hideMark/>
          </w:tcPr>
          <w:p w14:paraId="7CA72171" w14:textId="77777777"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40</w:t>
            </w:r>
          </w:p>
        </w:tc>
        <w:tc>
          <w:tcPr>
            <w:tcW w:w="708" w:type="pct"/>
            <w:tcBorders>
              <w:top w:val="nil"/>
              <w:left w:val="nil"/>
              <w:bottom w:val="nil"/>
              <w:right w:val="single" w:sz="4" w:space="0" w:color="auto"/>
            </w:tcBorders>
            <w:shd w:val="clear" w:color="auto" w:fill="auto"/>
            <w:noWrap/>
            <w:vAlign w:val="center"/>
            <w:hideMark/>
          </w:tcPr>
          <w:p w14:paraId="32BAE403" w14:textId="2F96D051"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9%</w:t>
            </w:r>
          </w:p>
        </w:tc>
      </w:tr>
      <w:tr w:rsidR="00DA24F1" w:rsidRPr="00DC3951" w14:paraId="19C680D8" w14:textId="77777777" w:rsidTr="00AA5429">
        <w:trPr>
          <w:trHeight w:val="285"/>
        </w:trPr>
        <w:tc>
          <w:tcPr>
            <w:tcW w:w="3584" w:type="pct"/>
            <w:tcBorders>
              <w:top w:val="nil"/>
              <w:left w:val="single" w:sz="4" w:space="0" w:color="auto"/>
              <w:bottom w:val="single" w:sz="4" w:space="0" w:color="auto"/>
              <w:right w:val="nil"/>
            </w:tcBorders>
            <w:shd w:val="clear" w:color="auto" w:fill="auto"/>
            <w:noWrap/>
            <w:vAlign w:val="bottom"/>
            <w:hideMark/>
          </w:tcPr>
          <w:p w14:paraId="524468CE" w14:textId="77777777" w:rsidR="00DA24F1" w:rsidRPr="00DC3951" w:rsidRDefault="00DA24F1" w:rsidP="00DA24F1">
            <w:pPr>
              <w:spacing w:after="0" w:line="240" w:lineRule="auto"/>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 xml:space="preserve">Objetivo17: Alianzas Para Lograr los Objetivos </w:t>
            </w:r>
          </w:p>
        </w:tc>
        <w:tc>
          <w:tcPr>
            <w:tcW w:w="708" w:type="pct"/>
            <w:tcBorders>
              <w:top w:val="nil"/>
              <w:left w:val="nil"/>
              <w:bottom w:val="single" w:sz="4" w:space="0" w:color="auto"/>
              <w:right w:val="nil"/>
            </w:tcBorders>
            <w:shd w:val="clear" w:color="auto" w:fill="auto"/>
            <w:noWrap/>
            <w:vAlign w:val="bottom"/>
            <w:hideMark/>
          </w:tcPr>
          <w:p w14:paraId="25759475" w14:textId="3EAF918D" w:rsidR="00DA24F1" w:rsidRPr="00DC3951" w:rsidRDefault="00DA24F1" w:rsidP="00DA24F1">
            <w:pPr>
              <w:spacing w:after="0" w:line="240" w:lineRule="auto"/>
              <w:jc w:val="right"/>
              <w:rPr>
                <w:rFonts w:ascii="Times New Roman" w:eastAsia="Times New Roman" w:hAnsi="Times New Roman" w:cs="Times New Roman"/>
                <w:color w:val="000000"/>
                <w:lang w:val="es-CO"/>
              </w:rPr>
            </w:pPr>
            <w:r w:rsidRPr="00DC3951">
              <w:rPr>
                <w:rFonts w:ascii="Times New Roman" w:eastAsia="Times New Roman" w:hAnsi="Times New Roman" w:cs="Times New Roman"/>
                <w:color w:val="000000"/>
                <w:lang w:val="es-CO"/>
              </w:rPr>
              <w:t>107</w:t>
            </w:r>
          </w:p>
        </w:tc>
        <w:tc>
          <w:tcPr>
            <w:tcW w:w="708" w:type="pct"/>
            <w:tcBorders>
              <w:top w:val="nil"/>
              <w:left w:val="nil"/>
              <w:bottom w:val="single" w:sz="4" w:space="0" w:color="auto"/>
              <w:right w:val="single" w:sz="4" w:space="0" w:color="auto"/>
            </w:tcBorders>
            <w:shd w:val="clear" w:color="auto" w:fill="auto"/>
            <w:noWrap/>
            <w:vAlign w:val="center"/>
            <w:hideMark/>
          </w:tcPr>
          <w:p w14:paraId="2ACD1C61" w14:textId="0D957CAC" w:rsidR="00DA24F1" w:rsidRPr="00DC3951" w:rsidRDefault="00DA24F1" w:rsidP="00DA24F1">
            <w:pPr>
              <w:spacing w:after="0" w:line="240" w:lineRule="auto"/>
              <w:jc w:val="right"/>
              <w:rPr>
                <w:rFonts w:ascii="Times New Roman" w:eastAsia="Times New Roman" w:hAnsi="Times New Roman" w:cs="Times New Roman"/>
                <w:lang w:val="es-CO"/>
              </w:rPr>
            </w:pPr>
            <w:r w:rsidRPr="00DC3951">
              <w:rPr>
                <w:color w:val="000000"/>
                <w:lang w:val="es-CO"/>
              </w:rPr>
              <w:t>25%</w:t>
            </w:r>
          </w:p>
        </w:tc>
      </w:tr>
      <w:tr w:rsidR="00DA24F1" w:rsidRPr="00DC3951" w14:paraId="702331DC" w14:textId="77777777" w:rsidTr="00AA5429">
        <w:trPr>
          <w:trHeight w:val="285"/>
        </w:trPr>
        <w:tc>
          <w:tcPr>
            <w:tcW w:w="3584" w:type="pct"/>
            <w:tcBorders>
              <w:top w:val="nil"/>
              <w:left w:val="single" w:sz="4" w:space="0" w:color="auto"/>
              <w:bottom w:val="single" w:sz="4" w:space="0" w:color="auto"/>
              <w:right w:val="nil"/>
            </w:tcBorders>
            <w:shd w:val="clear" w:color="DAE3F3" w:fill="F2F2F2"/>
            <w:noWrap/>
            <w:vAlign w:val="bottom"/>
            <w:hideMark/>
          </w:tcPr>
          <w:p w14:paraId="6F499C82" w14:textId="77777777" w:rsidR="00DA24F1" w:rsidRPr="00DC3951" w:rsidRDefault="00DA24F1" w:rsidP="00DA24F1">
            <w:pPr>
              <w:spacing w:after="0" w:line="240" w:lineRule="auto"/>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Total</w:t>
            </w:r>
          </w:p>
        </w:tc>
        <w:tc>
          <w:tcPr>
            <w:tcW w:w="708" w:type="pct"/>
            <w:tcBorders>
              <w:top w:val="nil"/>
              <w:left w:val="nil"/>
              <w:bottom w:val="single" w:sz="4" w:space="0" w:color="auto"/>
              <w:right w:val="nil"/>
            </w:tcBorders>
            <w:shd w:val="clear" w:color="DAE3F3" w:fill="F2F2F2"/>
            <w:noWrap/>
            <w:vAlign w:val="bottom"/>
            <w:hideMark/>
          </w:tcPr>
          <w:p w14:paraId="76061059" w14:textId="3F55A1C3" w:rsidR="00DA24F1" w:rsidRPr="00DC3951" w:rsidRDefault="00DA24F1" w:rsidP="00DA24F1">
            <w:pPr>
              <w:spacing w:after="0" w:line="240" w:lineRule="auto"/>
              <w:jc w:val="right"/>
              <w:rPr>
                <w:rFonts w:ascii="Times New Roman" w:eastAsia="Times New Roman" w:hAnsi="Times New Roman" w:cs="Times New Roman"/>
                <w:b/>
                <w:bCs/>
                <w:color w:val="000000"/>
                <w:lang w:val="es-CO"/>
              </w:rPr>
            </w:pPr>
            <w:r w:rsidRPr="00DC3951">
              <w:rPr>
                <w:rFonts w:ascii="Times New Roman" w:eastAsia="Times New Roman" w:hAnsi="Times New Roman" w:cs="Times New Roman"/>
                <w:b/>
                <w:bCs/>
                <w:color w:val="000000"/>
                <w:lang w:val="es-CO"/>
              </w:rPr>
              <w:t>42</w:t>
            </w:r>
            <w:r w:rsidR="00586CF4" w:rsidRPr="00DC3951">
              <w:rPr>
                <w:rFonts w:ascii="Times New Roman" w:eastAsia="Times New Roman" w:hAnsi="Times New Roman" w:cs="Times New Roman"/>
                <w:b/>
                <w:bCs/>
                <w:color w:val="000000"/>
                <w:lang w:val="es-CO"/>
              </w:rPr>
              <w:t>7</w:t>
            </w:r>
          </w:p>
        </w:tc>
        <w:tc>
          <w:tcPr>
            <w:tcW w:w="708" w:type="pct"/>
            <w:tcBorders>
              <w:top w:val="nil"/>
              <w:left w:val="nil"/>
              <w:bottom w:val="single" w:sz="4" w:space="0" w:color="auto"/>
              <w:right w:val="single" w:sz="4" w:space="0" w:color="auto"/>
            </w:tcBorders>
            <w:shd w:val="clear" w:color="000000" w:fill="F2F2F2"/>
            <w:noWrap/>
            <w:vAlign w:val="center"/>
            <w:hideMark/>
          </w:tcPr>
          <w:p w14:paraId="61AE208A" w14:textId="3967FBE7" w:rsidR="00DA24F1" w:rsidRPr="00DC3951" w:rsidRDefault="00DA24F1" w:rsidP="00DA24F1">
            <w:pPr>
              <w:spacing w:after="0" w:line="240" w:lineRule="auto"/>
              <w:jc w:val="right"/>
              <w:rPr>
                <w:rFonts w:ascii="Times New Roman" w:eastAsia="Times New Roman" w:hAnsi="Times New Roman" w:cs="Times New Roman"/>
                <w:b/>
                <w:bCs/>
                <w:lang w:val="es-CO"/>
              </w:rPr>
            </w:pPr>
            <w:r w:rsidRPr="00DC3951">
              <w:rPr>
                <w:b/>
                <w:bCs/>
                <w:color w:val="000000"/>
                <w:lang w:val="es-CO"/>
              </w:rPr>
              <w:t>100%</w:t>
            </w:r>
          </w:p>
        </w:tc>
      </w:tr>
    </w:tbl>
    <w:p w14:paraId="11D6BADD" w14:textId="0C799F44" w:rsidR="00DD3430" w:rsidRDefault="00DD3430" w:rsidP="00390AD2">
      <w:pPr>
        <w:spacing w:after="0" w:line="240" w:lineRule="auto"/>
        <w:jc w:val="both"/>
        <w:rPr>
          <w:rFonts w:ascii="Times New Roman" w:eastAsia="Times New Roman" w:hAnsi="Times New Roman" w:cs="Times New Roman"/>
          <w:color w:val="000000"/>
          <w:lang w:val="es-CO"/>
        </w:rPr>
      </w:pPr>
      <w:r w:rsidRPr="00DD3430">
        <w:rPr>
          <w:rFonts w:ascii="Times New Roman" w:eastAsia="Times New Roman" w:hAnsi="Times New Roman" w:cs="Times New Roman"/>
          <w:color w:val="000000"/>
          <w:lang w:val="es-CO"/>
        </w:rPr>
        <w:t xml:space="preserve">La Secretaría continuará trabajando con los Estados </w:t>
      </w:r>
      <w:r>
        <w:rPr>
          <w:rFonts w:ascii="Times New Roman" w:eastAsia="Times New Roman" w:hAnsi="Times New Roman" w:cs="Times New Roman"/>
          <w:color w:val="000000"/>
          <w:lang w:val="es-CO"/>
        </w:rPr>
        <w:t>M</w:t>
      </w:r>
      <w:r w:rsidRPr="00DD3430">
        <w:rPr>
          <w:rFonts w:ascii="Times New Roman" w:eastAsia="Times New Roman" w:hAnsi="Times New Roman" w:cs="Times New Roman"/>
          <w:color w:val="000000"/>
          <w:lang w:val="es-CO"/>
        </w:rPr>
        <w:t xml:space="preserve">iembros para apoyar el proceso de </w:t>
      </w:r>
      <w:r>
        <w:rPr>
          <w:rFonts w:ascii="Times New Roman" w:eastAsia="Times New Roman" w:hAnsi="Times New Roman" w:cs="Times New Roman"/>
          <w:color w:val="000000"/>
          <w:lang w:val="es-CO"/>
        </w:rPr>
        <w:t xml:space="preserve">nutrir </w:t>
      </w:r>
      <w:r w:rsidRPr="00DD3430">
        <w:rPr>
          <w:rFonts w:ascii="Times New Roman" w:eastAsia="Times New Roman" w:hAnsi="Times New Roman" w:cs="Times New Roman"/>
          <w:color w:val="000000"/>
          <w:lang w:val="es-CO"/>
        </w:rPr>
        <w:t xml:space="preserve">CooperaNet, a fin de </w:t>
      </w:r>
      <w:r>
        <w:rPr>
          <w:rFonts w:ascii="Times New Roman" w:eastAsia="Times New Roman" w:hAnsi="Times New Roman" w:cs="Times New Roman"/>
          <w:color w:val="000000"/>
          <w:lang w:val="es-CO"/>
        </w:rPr>
        <w:t>maximizar</w:t>
      </w:r>
      <w:r w:rsidRPr="00DD3430">
        <w:rPr>
          <w:rFonts w:ascii="Times New Roman" w:eastAsia="Times New Roman" w:hAnsi="Times New Roman" w:cs="Times New Roman"/>
          <w:color w:val="000000"/>
          <w:lang w:val="es-CO"/>
        </w:rPr>
        <w:t xml:space="preserve"> su potencial. </w:t>
      </w:r>
      <w:r>
        <w:rPr>
          <w:rFonts w:ascii="Times New Roman" w:eastAsia="Times New Roman" w:hAnsi="Times New Roman" w:cs="Times New Roman"/>
          <w:color w:val="000000"/>
          <w:lang w:val="es-CO"/>
        </w:rPr>
        <w:t>Con este fin</w:t>
      </w:r>
      <w:r w:rsidRPr="00DD3430">
        <w:rPr>
          <w:rFonts w:ascii="Times New Roman" w:eastAsia="Times New Roman" w:hAnsi="Times New Roman" w:cs="Times New Roman"/>
          <w:color w:val="000000"/>
          <w:lang w:val="es-CO"/>
        </w:rPr>
        <w:t xml:space="preserve">, </w:t>
      </w:r>
      <w:r>
        <w:rPr>
          <w:rFonts w:ascii="Times New Roman" w:eastAsia="Times New Roman" w:hAnsi="Times New Roman" w:cs="Times New Roman"/>
          <w:color w:val="000000"/>
          <w:lang w:val="es-CO"/>
        </w:rPr>
        <w:t>alentamos</w:t>
      </w:r>
      <w:r w:rsidRPr="00DD3430">
        <w:rPr>
          <w:rFonts w:ascii="Times New Roman" w:eastAsia="Times New Roman" w:hAnsi="Times New Roman" w:cs="Times New Roman"/>
          <w:color w:val="000000"/>
          <w:lang w:val="es-CO"/>
        </w:rPr>
        <w:t xml:space="preserve"> una mayor participación e implicación </w:t>
      </w:r>
      <w:r w:rsidR="009E11B4">
        <w:rPr>
          <w:rFonts w:ascii="Times New Roman" w:eastAsia="Times New Roman" w:hAnsi="Times New Roman" w:cs="Times New Roman"/>
          <w:color w:val="000000"/>
          <w:lang w:val="es-CO"/>
        </w:rPr>
        <w:t xml:space="preserve">por parte </w:t>
      </w:r>
      <w:r w:rsidRPr="00DD3430">
        <w:rPr>
          <w:rFonts w:ascii="Times New Roman" w:eastAsia="Times New Roman" w:hAnsi="Times New Roman" w:cs="Times New Roman"/>
          <w:color w:val="000000"/>
          <w:lang w:val="es-CO"/>
        </w:rPr>
        <w:t>de los Estados miembros.</w:t>
      </w:r>
    </w:p>
    <w:p w14:paraId="700F0D2E" w14:textId="616E2EB6" w:rsidR="0069403B" w:rsidRPr="00F07456" w:rsidRDefault="0069403B" w:rsidP="00390AD2">
      <w:pPr>
        <w:spacing w:after="0" w:line="240" w:lineRule="auto"/>
        <w:jc w:val="both"/>
        <w:rPr>
          <w:rFonts w:ascii="Times New Roman" w:eastAsia="Times New Roman" w:hAnsi="Times New Roman" w:cs="Times New Roman"/>
          <w:color w:val="000000"/>
          <w:lang w:val="es-CO"/>
        </w:rPr>
      </w:pPr>
      <w:r>
        <w:rPr>
          <w:rFonts w:ascii="Times New Roman" w:eastAsia="Times New Roman" w:hAnsi="Times New Roman" w:cs="Times New Roman"/>
          <w:noProof/>
          <w:color w:val="000000"/>
          <w:lang w:val="es-CO"/>
        </w:rPr>
        <mc:AlternateContent>
          <mc:Choice Requires="wps">
            <w:drawing>
              <wp:anchor distT="0" distB="0" distL="114300" distR="114300" simplePos="0" relativeHeight="251659264" behindDoc="0" locked="1" layoutInCell="1" allowOverlap="1" wp14:anchorId="5B02D595" wp14:editId="1EB78AB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B659E0" w14:textId="70FCA88E" w:rsidR="0069403B" w:rsidRPr="0069403B" w:rsidRDefault="0069403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CIDRP03526S01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02D59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1B659E0" w14:textId="70FCA88E" w:rsidR="0069403B" w:rsidRPr="0069403B" w:rsidRDefault="0069403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CIDRP03526S01</w:t>
                      </w:r>
                      <w:r>
                        <w:rPr>
                          <w:rFonts w:ascii="Times New Roman" w:hAnsi="Times New Roman" w:cs="Times New Roman"/>
                          <w:sz w:val="18"/>
                        </w:rPr>
                        <w:fldChar w:fldCharType="end"/>
                      </w:r>
                    </w:p>
                  </w:txbxContent>
                </v:textbox>
                <w10:wrap anchory="page"/>
                <w10:anchorlock/>
              </v:shape>
            </w:pict>
          </mc:Fallback>
        </mc:AlternateContent>
      </w:r>
    </w:p>
    <w:sectPr w:rsidR="0069403B" w:rsidRPr="00F074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5CEC" w14:textId="77777777" w:rsidR="008451A4" w:rsidRDefault="008451A4" w:rsidP="00B0684B">
      <w:pPr>
        <w:spacing w:after="0" w:line="240" w:lineRule="auto"/>
      </w:pPr>
      <w:r>
        <w:separator/>
      </w:r>
    </w:p>
  </w:endnote>
  <w:endnote w:type="continuationSeparator" w:id="0">
    <w:p w14:paraId="509443CE" w14:textId="77777777" w:rsidR="008451A4" w:rsidRDefault="008451A4" w:rsidP="00B0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4FDB" w14:textId="77777777" w:rsidR="008451A4" w:rsidRDefault="008451A4" w:rsidP="00B0684B">
      <w:pPr>
        <w:spacing w:after="0" w:line="240" w:lineRule="auto"/>
      </w:pPr>
      <w:r>
        <w:separator/>
      </w:r>
    </w:p>
  </w:footnote>
  <w:footnote w:type="continuationSeparator" w:id="0">
    <w:p w14:paraId="08EF0385" w14:textId="77777777" w:rsidR="008451A4" w:rsidRDefault="008451A4" w:rsidP="00B06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6EA"/>
    <w:multiLevelType w:val="hybridMultilevel"/>
    <w:tmpl w:val="CC50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10582"/>
    <w:multiLevelType w:val="hybridMultilevel"/>
    <w:tmpl w:val="EC726796"/>
    <w:lvl w:ilvl="0" w:tplc="1A849ED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7132"/>
    <w:multiLevelType w:val="hybridMultilevel"/>
    <w:tmpl w:val="F058F2E8"/>
    <w:lvl w:ilvl="0" w:tplc="07C8C2D4">
      <w:numFmt w:val="bullet"/>
      <w:lvlText w:val=""/>
      <w:lvlJc w:val="left"/>
      <w:pPr>
        <w:ind w:left="1133" w:hanging="413"/>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87BFA"/>
    <w:multiLevelType w:val="hybridMultilevel"/>
    <w:tmpl w:val="19C02E34"/>
    <w:lvl w:ilvl="0" w:tplc="1A849EDE">
      <w:start w:val="1"/>
      <w:numFmt w:val="bullet"/>
      <w:lvlText w:val="-"/>
      <w:lvlJc w:val="left"/>
      <w:pPr>
        <w:ind w:left="720" w:hanging="360"/>
      </w:pPr>
      <w:rPr>
        <w:rFonts w:ascii="Times New Roman" w:eastAsia="Times New Roman" w:hAnsi="Times New Roman" w:cs="Times New Roman" w:hint="default"/>
      </w:rPr>
    </w:lvl>
    <w:lvl w:ilvl="1" w:tplc="00285D1A">
      <w:numFmt w:val="bullet"/>
      <w:lvlText w:val=""/>
      <w:lvlJc w:val="left"/>
      <w:pPr>
        <w:ind w:left="1493" w:hanging="413"/>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37010"/>
    <w:multiLevelType w:val="hybridMultilevel"/>
    <w:tmpl w:val="C7A81ECA"/>
    <w:lvl w:ilvl="0" w:tplc="D85CE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44E27"/>
    <w:multiLevelType w:val="hybridMultilevel"/>
    <w:tmpl w:val="0CF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409820">
    <w:abstractNumId w:val="0"/>
  </w:num>
  <w:num w:numId="2" w16cid:durableId="1040786527">
    <w:abstractNumId w:val="2"/>
  </w:num>
  <w:num w:numId="3" w16cid:durableId="2109885268">
    <w:abstractNumId w:val="3"/>
  </w:num>
  <w:num w:numId="4" w16cid:durableId="783883060">
    <w:abstractNumId w:val="1"/>
  </w:num>
  <w:num w:numId="5" w16cid:durableId="151070414">
    <w:abstractNumId w:val="5"/>
  </w:num>
  <w:num w:numId="6" w16cid:durableId="1246960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4"/>
    <w:rsid w:val="0000336C"/>
    <w:rsid w:val="00005583"/>
    <w:rsid w:val="00017352"/>
    <w:rsid w:val="00023C47"/>
    <w:rsid w:val="000514AC"/>
    <w:rsid w:val="00071B28"/>
    <w:rsid w:val="0007355A"/>
    <w:rsid w:val="00077F63"/>
    <w:rsid w:val="000B3B70"/>
    <w:rsid w:val="001244BD"/>
    <w:rsid w:val="0012771A"/>
    <w:rsid w:val="00144F06"/>
    <w:rsid w:val="00145A74"/>
    <w:rsid w:val="00150390"/>
    <w:rsid w:val="0016111C"/>
    <w:rsid w:val="00183E3D"/>
    <w:rsid w:val="00196327"/>
    <w:rsid w:val="001C5282"/>
    <w:rsid w:val="001E0C3D"/>
    <w:rsid w:val="001E433C"/>
    <w:rsid w:val="001F0FEC"/>
    <w:rsid w:val="00203694"/>
    <w:rsid w:val="00210C76"/>
    <w:rsid w:val="00244614"/>
    <w:rsid w:val="00272542"/>
    <w:rsid w:val="00282004"/>
    <w:rsid w:val="002826F6"/>
    <w:rsid w:val="00297ABC"/>
    <w:rsid w:val="002A617A"/>
    <w:rsid w:val="002B6846"/>
    <w:rsid w:val="002C56CD"/>
    <w:rsid w:val="002C734F"/>
    <w:rsid w:val="002D17AC"/>
    <w:rsid w:val="002E763A"/>
    <w:rsid w:val="002F73B3"/>
    <w:rsid w:val="0030265F"/>
    <w:rsid w:val="00303887"/>
    <w:rsid w:val="00321A78"/>
    <w:rsid w:val="003223FF"/>
    <w:rsid w:val="00326AC1"/>
    <w:rsid w:val="0037727F"/>
    <w:rsid w:val="0037797E"/>
    <w:rsid w:val="003808B3"/>
    <w:rsid w:val="0038243F"/>
    <w:rsid w:val="00383B62"/>
    <w:rsid w:val="00390AD2"/>
    <w:rsid w:val="00393BAA"/>
    <w:rsid w:val="003B7537"/>
    <w:rsid w:val="003F55E5"/>
    <w:rsid w:val="003F7A9A"/>
    <w:rsid w:val="00410F2C"/>
    <w:rsid w:val="00413F12"/>
    <w:rsid w:val="00416161"/>
    <w:rsid w:val="00437B96"/>
    <w:rsid w:val="00456FA8"/>
    <w:rsid w:val="00472FC6"/>
    <w:rsid w:val="004964B0"/>
    <w:rsid w:val="004B7076"/>
    <w:rsid w:val="004C38D0"/>
    <w:rsid w:val="004F451D"/>
    <w:rsid w:val="0051602E"/>
    <w:rsid w:val="00517BB1"/>
    <w:rsid w:val="005422FC"/>
    <w:rsid w:val="00542FF7"/>
    <w:rsid w:val="0056185D"/>
    <w:rsid w:val="00567017"/>
    <w:rsid w:val="00586CF4"/>
    <w:rsid w:val="005B3F62"/>
    <w:rsid w:val="005B6F06"/>
    <w:rsid w:val="005C2AC6"/>
    <w:rsid w:val="005E3AA7"/>
    <w:rsid w:val="005E4E96"/>
    <w:rsid w:val="005E6532"/>
    <w:rsid w:val="00607D5F"/>
    <w:rsid w:val="00670ED0"/>
    <w:rsid w:val="0069403B"/>
    <w:rsid w:val="006B106D"/>
    <w:rsid w:val="006D3AC3"/>
    <w:rsid w:val="006E2828"/>
    <w:rsid w:val="0070006E"/>
    <w:rsid w:val="007029A9"/>
    <w:rsid w:val="00707494"/>
    <w:rsid w:val="0071552C"/>
    <w:rsid w:val="00723B4E"/>
    <w:rsid w:val="00726736"/>
    <w:rsid w:val="007409FF"/>
    <w:rsid w:val="00742888"/>
    <w:rsid w:val="0075071A"/>
    <w:rsid w:val="00784919"/>
    <w:rsid w:val="007D6C70"/>
    <w:rsid w:val="007E1925"/>
    <w:rsid w:val="007E4100"/>
    <w:rsid w:val="00804F58"/>
    <w:rsid w:val="00844DD5"/>
    <w:rsid w:val="008451A4"/>
    <w:rsid w:val="00852EED"/>
    <w:rsid w:val="0088538F"/>
    <w:rsid w:val="00896B49"/>
    <w:rsid w:val="0089763A"/>
    <w:rsid w:val="008B233C"/>
    <w:rsid w:val="008B2C34"/>
    <w:rsid w:val="008C6ED7"/>
    <w:rsid w:val="008D2377"/>
    <w:rsid w:val="008E32AC"/>
    <w:rsid w:val="00903BCB"/>
    <w:rsid w:val="009047F4"/>
    <w:rsid w:val="00907A9E"/>
    <w:rsid w:val="0092086F"/>
    <w:rsid w:val="00930A34"/>
    <w:rsid w:val="00930B0E"/>
    <w:rsid w:val="00947E38"/>
    <w:rsid w:val="00953FB2"/>
    <w:rsid w:val="0097205F"/>
    <w:rsid w:val="009922DF"/>
    <w:rsid w:val="009C37CD"/>
    <w:rsid w:val="009C5818"/>
    <w:rsid w:val="009C7CBA"/>
    <w:rsid w:val="009E11B4"/>
    <w:rsid w:val="00A01AE4"/>
    <w:rsid w:val="00A2731B"/>
    <w:rsid w:val="00A34475"/>
    <w:rsid w:val="00A44D8E"/>
    <w:rsid w:val="00AA301B"/>
    <w:rsid w:val="00AB0243"/>
    <w:rsid w:val="00AF0DD5"/>
    <w:rsid w:val="00AF1456"/>
    <w:rsid w:val="00B0484B"/>
    <w:rsid w:val="00B0684B"/>
    <w:rsid w:val="00B3500C"/>
    <w:rsid w:val="00B50FC7"/>
    <w:rsid w:val="00B7109A"/>
    <w:rsid w:val="00BD7FF5"/>
    <w:rsid w:val="00C0204F"/>
    <w:rsid w:val="00C37B50"/>
    <w:rsid w:val="00C531E7"/>
    <w:rsid w:val="00C61AF0"/>
    <w:rsid w:val="00CA0776"/>
    <w:rsid w:val="00CA55CE"/>
    <w:rsid w:val="00CB5C6D"/>
    <w:rsid w:val="00CF7AF3"/>
    <w:rsid w:val="00D0750F"/>
    <w:rsid w:val="00D1124F"/>
    <w:rsid w:val="00D254EB"/>
    <w:rsid w:val="00D52344"/>
    <w:rsid w:val="00D53D1F"/>
    <w:rsid w:val="00D66EFF"/>
    <w:rsid w:val="00D81D6C"/>
    <w:rsid w:val="00D961F0"/>
    <w:rsid w:val="00DA24F1"/>
    <w:rsid w:val="00DA3BD7"/>
    <w:rsid w:val="00DA5936"/>
    <w:rsid w:val="00DB6FBB"/>
    <w:rsid w:val="00DC3951"/>
    <w:rsid w:val="00DD3430"/>
    <w:rsid w:val="00DD7A88"/>
    <w:rsid w:val="00DE0318"/>
    <w:rsid w:val="00DF0C12"/>
    <w:rsid w:val="00E03C6E"/>
    <w:rsid w:val="00E06951"/>
    <w:rsid w:val="00E1139E"/>
    <w:rsid w:val="00E20CB1"/>
    <w:rsid w:val="00E225E6"/>
    <w:rsid w:val="00E30E90"/>
    <w:rsid w:val="00E3444A"/>
    <w:rsid w:val="00E956A0"/>
    <w:rsid w:val="00EB30B4"/>
    <w:rsid w:val="00EB7210"/>
    <w:rsid w:val="00EE0AA3"/>
    <w:rsid w:val="00EE7759"/>
    <w:rsid w:val="00EF3685"/>
    <w:rsid w:val="00EF7357"/>
    <w:rsid w:val="00F04945"/>
    <w:rsid w:val="00F07456"/>
    <w:rsid w:val="00F32150"/>
    <w:rsid w:val="00F50522"/>
    <w:rsid w:val="00F51B42"/>
    <w:rsid w:val="00F5395B"/>
    <w:rsid w:val="00F53C71"/>
    <w:rsid w:val="00F82AC0"/>
    <w:rsid w:val="00FA02D2"/>
    <w:rsid w:val="00FA2C5C"/>
    <w:rsid w:val="00FB02E4"/>
    <w:rsid w:val="00FC61DB"/>
    <w:rsid w:val="00FD4B09"/>
    <w:rsid w:val="00FE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CB68D"/>
  <w15:chartTrackingRefBased/>
  <w15:docId w15:val="{A7382A97-D027-4E88-90C0-15D388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94"/>
    <w:rPr>
      <w:color w:val="0000FF"/>
      <w:u w:val="single"/>
    </w:rPr>
  </w:style>
  <w:style w:type="paragraph" w:styleId="ListParagraph">
    <w:name w:val="List Paragraph"/>
    <w:basedOn w:val="Normal"/>
    <w:uiPriority w:val="34"/>
    <w:qFormat/>
    <w:rsid w:val="00203694"/>
    <w:pPr>
      <w:ind w:left="720"/>
      <w:contextualSpacing/>
    </w:pPr>
  </w:style>
  <w:style w:type="character" w:styleId="UnresolvedMention">
    <w:name w:val="Unresolved Mention"/>
    <w:basedOn w:val="DefaultParagraphFont"/>
    <w:uiPriority w:val="99"/>
    <w:semiHidden/>
    <w:unhideWhenUsed/>
    <w:rsid w:val="00A44D8E"/>
    <w:rPr>
      <w:color w:val="605E5C"/>
      <w:shd w:val="clear" w:color="auto" w:fill="E1DFDD"/>
    </w:rPr>
  </w:style>
  <w:style w:type="paragraph" w:styleId="BalloonText">
    <w:name w:val="Balloon Text"/>
    <w:basedOn w:val="Normal"/>
    <w:link w:val="BalloonTextChar"/>
    <w:uiPriority w:val="99"/>
    <w:semiHidden/>
    <w:unhideWhenUsed/>
    <w:rsid w:val="00E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4A"/>
    <w:rPr>
      <w:rFonts w:ascii="Segoe UI" w:hAnsi="Segoe UI" w:cs="Segoe UI"/>
      <w:sz w:val="18"/>
      <w:szCs w:val="18"/>
    </w:rPr>
  </w:style>
  <w:style w:type="paragraph" w:styleId="Header">
    <w:name w:val="header"/>
    <w:basedOn w:val="Normal"/>
    <w:link w:val="HeaderChar"/>
    <w:uiPriority w:val="99"/>
    <w:unhideWhenUsed/>
    <w:rsid w:val="00B0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4B"/>
  </w:style>
  <w:style w:type="paragraph" w:styleId="Footer">
    <w:name w:val="footer"/>
    <w:basedOn w:val="Normal"/>
    <w:link w:val="FooterChar"/>
    <w:uiPriority w:val="99"/>
    <w:unhideWhenUsed/>
    <w:rsid w:val="00B0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B"/>
  </w:style>
  <w:style w:type="character" w:styleId="FollowedHyperlink">
    <w:name w:val="FollowedHyperlink"/>
    <w:basedOn w:val="DefaultParagraphFont"/>
    <w:uiPriority w:val="99"/>
    <w:semiHidden/>
    <w:unhideWhenUsed/>
    <w:rsid w:val="00DC3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388">
      <w:bodyDiv w:val="1"/>
      <w:marLeft w:val="0"/>
      <w:marRight w:val="0"/>
      <w:marTop w:val="0"/>
      <w:marBottom w:val="0"/>
      <w:divBdr>
        <w:top w:val="none" w:sz="0" w:space="0" w:color="auto"/>
        <w:left w:val="none" w:sz="0" w:space="0" w:color="auto"/>
        <w:bottom w:val="none" w:sz="0" w:space="0" w:color="auto"/>
        <w:right w:val="none" w:sz="0" w:space="0" w:color="auto"/>
      </w:divBdr>
    </w:div>
    <w:div w:id="453720225">
      <w:bodyDiv w:val="1"/>
      <w:marLeft w:val="0"/>
      <w:marRight w:val="0"/>
      <w:marTop w:val="0"/>
      <w:marBottom w:val="0"/>
      <w:divBdr>
        <w:top w:val="none" w:sz="0" w:space="0" w:color="auto"/>
        <w:left w:val="none" w:sz="0" w:space="0" w:color="auto"/>
        <w:bottom w:val="none" w:sz="0" w:space="0" w:color="auto"/>
        <w:right w:val="none" w:sz="0" w:space="0" w:color="auto"/>
      </w:divBdr>
    </w:div>
    <w:div w:id="494296161">
      <w:bodyDiv w:val="1"/>
      <w:marLeft w:val="0"/>
      <w:marRight w:val="0"/>
      <w:marTop w:val="0"/>
      <w:marBottom w:val="0"/>
      <w:divBdr>
        <w:top w:val="none" w:sz="0" w:space="0" w:color="auto"/>
        <w:left w:val="none" w:sz="0" w:space="0" w:color="auto"/>
        <w:bottom w:val="none" w:sz="0" w:space="0" w:color="auto"/>
        <w:right w:val="none" w:sz="0" w:space="0" w:color="auto"/>
      </w:divBdr>
    </w:div>
    <w:div w:id="505942802">
      <w:bodyDiv w:val="1"/>
      <w:marLeft w:val="0"/>
      <w:marRight w:val="0"/>
      <w:marTop w:val="0"/>
      <w:marBottom w:val="0"/>
      <w:divBdr>
        <w:top w:val="none" w:sz="0" w:space="0" w:color="auto"/>
        <w:left w:val="none" w:sz="0" w:space="0" w:color="auto"/>
        <w:bottom w:val="none" w:sz="0" w:space="0" w:color="auto"/>
        <w:right w:val="none" w:sz="0" w:space="0" w:color="auto"/>
      </w:divBdr>
    </w:div>
    <w:div w:id="582908470">
      <w:bodyDiv w:val="1"/>
      <w:marLeft w:val="0"/>
      <w:marRight w:val="0"/>
      <w:marTop w:val="0"/>
      <w:marBottom w:val="0"/>
      <w:divBdr>
        <w:top w:val="none" w:sz="0" w:space="0" w:color="auto"/>
        <w:left w:val="none" w:sz="0" w:space="0" w:color="auto"/>
        <w:bottom w:val="none" w:sz="0" w:space="0" w:color="auto"/>
        <w:right w:val="none" w:sz="0" w:space="0" w:color="auto"/>
      </w:divBdr>
    </w:div>
    <w:div w:id="669480292">
      <w:bodyDiv w:val="1"/>
      <w:marLeft w:val="0"/>
      <w:marRight w:val="0"/>
      <w:marTop w:val="0"/>
      <w:marBottom w:val="0"/>
      <w:divBdr>
        <w:top w:val="none" w:sz="0" w:space="0" w:color="auto"/>
        <w:left w:val="none" w:sz="0" w:space="0" w:color="auto"/>
        <w:bottom w:val="none" w:sz="0" w:space="0" w:color="auto"/>
        <w:right w:val="none" w:sz="0" w:space="0" w:color="auto"/>
      </w:divBdr>
      <w:divsChild>
        <w:div w:id="1415930407">
          <w:marLeft w:val="0"/>
          <w:marRight w:val="0"/>
          <w:marTop w:val="0"/>
          <w:marBottom w:val="0"/>
          <w:divBdr>
            <w:top w:val="none" w:sz="0" w:space="0" w:color="auto"/>
            <w:left w:val="none" w:sz="0" w:space="0" w:color="auto"/>
            <w:bottom w:val="none" w:sz="0" w:space="0" w:color="auto"/>
            <w:right w:val="none" w:sz="0" w:space="0" w:color="auto"/>
          </w:divBdr>
        </w:div>
      </w:divsChild>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6786398">
      <w:bodyDiv w:val="1"/>
      <w:marLeft w:val="0"/>
      <w:marRight w:val="0"/>
      <w:marTop w:val="0"/>
      <w:marBottom w:val="0"/>
      <w:divBdr>
        <w:top w:val="none" w:sz="0" w:space="0" w:color="auto"/>
        <w:left w:val="none" w:sz="0" w:space="0" w:color="auto"/>
        <w:bottom w:val="none" w:sz="0" w:space="0" w:color="auto"/>
        <w:right w:val="none" w:sz="0" w:space="0" w:color="auto"/>
      </w:divBdr>
    </w:div>
    <w:div w:id="1363360226">
      <w:bodyDiv w:val="1"/>
      <w:marLeft w:val="0"/>
      <w:marRight w:val="0"/>
      <w:marTop w:val="0"/>
      <w:marBottom w:val="0"/>
      <w:divBdr>
        <w:top w:val="none" w:sz="0" w:space="0" w:color="auto"/>
        <w:left w:val="none" w:sz="0" w:space="0" w:color="auto"/>
        <w:bottom w:val="none" w:sz="0" w:space="0" w:color="auto"/>
        <w:right w:val="none" w:sz="0" w:space="0" w:color="auto"/>
      </w:divBdr>
    </w:div>
    <w:div w:id="1382745859">
      <w:bodyDiv w:val="1"/>
      <w:marLeft w:val="0"/>
      <w:marRight w:val="0"/>
      <w:marTop w:val="0"/>
      <w:marBottom w:val="0"/>
      <w:divBdr>
        <w:top w:val="none" w:sz="0" w:space="0" w:color="auto"/>
        <w:left w:val="none" w:sz="0" w:space="0" w:color="auto"/>
        <w:bottom w:val="none" w:sz="0" w:space="0" w:color="auto"/>
        <w:right w:val="none" w:sz="0" w:space="0" w:color="auto"/>
      </w:divBdr>
    </w:div>
    <w:div w:id="1653176443">
      <w:bodyDiv w:val="1"/>
      <w:marLeft w:val="0"/>
      <w:marRight w:val="0"/>
      <w:marTop w:val="0"/>
      <w:marBottom w:val="0"/>
      <w:divBdr>
        <w:top w:val="none" w:sz="0" w:space="0" w:color="auto"/>
        <w:left w:val="none" w:sz="0" w:space="0" w:color="auto"/>
        <w:bottom w:val="none" w:sz="0" w:space="0" w:color="auto"/>
        <w:right w:val="none" w:sz="0" w:space="0" w:color="auto"/>
      </w:divBdr>
    </w:div>
    <w:div w:id="19475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cooper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s.org/ext/es/desarrollo/cooperanet/Autoridades-de-Cooperacion/Reuniones-de-Autorid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CD58-D81B-43A8-B588-758041CD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 Secretariat CS</dc:creator>
  <cp:keywords/>
  <dc:description/>
  <cp:lastModifiedBy>Burns, Sandra</cp:lastModifiedBy>
  <cp:revision>4</cp:revision>
  <dcterms:created xsi:type="dcterms:W3CDTF">2022-05-19T22:01:00Z</dcterms:created>
  <dcterms:modified xsi:type="dcterms:W3CDTF">2022-05-19T22:04:00Z</dcterms:modified>
</cp:coreProperties>
</file>