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922C" w14:textId="77777777" w:rsidR="00485B07" w:rsidRPr="00856B44" w:rsidRDefault="00485B07" w:rsidP="002E0720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</w:rPr>
      </w:pPr>
    </w:p>
    <w:p w14:paraId="4AF66635" w14:textId="36D966DD" w:rsidR="00485B07" w:rsidRPr="00703703" w:rsidRDefault="00696E7E" w:rsidP="002E0720">
      <w:pPr>
        <w:tabs>
          <w:tab w:val="left" w:pos="7200"/>
          <w:tab w:val="left" w:pos="73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96E7E">
        <w:rPr>
          <w:rFonts w:ascii="Times New Roman" w:eastAsia="Times New Roman" w:hAnsi="Times New Roman" w:cs="Times New Roman"/>
          <w:b/>
          <w:spacing w:val="-2"/>
          <w:lang w:val="es-ES"/>
        </w:rPr>
        <w:t>AGENCIA INTERAMERICANA</w:t>
      </w:r>
      <w:r w:rsidR="00485B07" w:rsidRPr="00696E7E">
        <w:rPr>
          <w:rFonts w:ascii="Times New Roman" w:eastAsia="Times New Roman" w:hAnsi="Times New Roman" w:cs="Times New Roman"/>
          <w:b/>
          <w:spacing w:val="-2"/>
          <w:lang w:val="es-ES"/>
        </w:rPr>
        <w:t xml:space="preserve"> </w:t>
      </w:r>
      <w:r w:rsidRPr="00696E7E">
        <w:rPr>
          <w:rFonts w:ascii="Times New Roman" w:eastAsia="Times New Roman" w:hAnsi="Times New Roman" w:cs="Times New Roman"/>
          <w:b/>
          <w:spacing w:val="-2"/>
          <w:lang w:val="es-ES"/>
        </w:rPr>
        <w:t>PARA LA</w:t>
      </w:r>
      <w:r w:rsidR="00485B07" w:rsidRPr="00696E7E">
        <w:rPr>
          <w:rFonts w:ascii="Times New Roman" w:eastAsia="Times New Roman" w:hAnsi="Times New Roman" w:cs="Times New Roman"/>
          <w:b/>
          <w:spacing w:val="-2"/>
          <w:lang w:val="es-ES"/>
        </w:rPr>
        <w:tab/>
      </w:r>
      <w:r w:rsidR="00485B07" w:rsidRPr="00696E7E">
        <w:rPr>
          <w:rFonts w:ascii="Times New Roman" w:eastAsia="Times New Roman" w:hAnsi="Times New Roman" w:cs="Times New Roman"/>
          <w:lang w:val="es-ES"/>
        </w:rPr>
        <w:t xml:space="preserve">OEA/Ser. </w:t>
      </w:r>
      <w:r w:rsidR="00485B07" w:rsidRPr="00703703">
        <w:rPr>
          <w:rFonts w:ascii="Times New Roman" w:eastAsia="Times New Roman" w:hAnsi="Times New Roman" w:cs="Times New Roman"/>
          <w:lang w:val="es-ES"/>
        </w:rPr>
        <w:t>W</w:t>
      </w:r>
    </w:p>
    <w:p w14:paraId="69BBD4A2" w14:textId="51A50130" w:rsidR="00485B07" w:rsidRPr="00696E7E" w:rsidRDefault="00485B07" w:rsidP="002E0720">
      <w:pPr>
        <w:tabs>
          <w:tab w:val="left" w:pos="7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lang w:val="es-ES"/>
        </w:rPr>
      </w:pPr>
      <w:r w:rsidRPr="00696E7E">
        <w:rPr>
          <w:rFonts w:ascii="Times New Roman" w:eastAsia="Times New Roman" w:hAnsi="Times New Roman" w:cs="Times New Roman"/>
          <w:b/>
          <w:spacing w:val="-2"/>
          <w:lang w:val="es-ES"/>
        </w:rPr>
        <w:t>COOPERA</w:t>
      </w:r>
      <w:r w:rsidR="00696E7E" w:rsidRPr="00696E7E">
        <w:rPr>
          <w:rFonts w:ascii="Times New Roman" w:eastAsia="Times New Roman" w:hAnsi="Times New Roman" w:cs="Times New Roman"/>
          <w:b/>
          <w:spacing w:val="-2"/>
          <w:lang w:val="es-ES"/>
        </w:rPr>
        <w:t>CIÓN Y EL DESARROLLO</w:t>
      </w:r>
      <w:r w:rsidRPr="00696E7E">
        <w:rPr>
          <w:rFonts w:ascii="Times New Roman" w:eastAsia="Times New Roman" w:hAnsi="Times New Roman" w:cs="Times New Roman"/>
          <w:spacing w:val="-2"/>
          <w:lang w:val="es-ES"/>
        </w:rPr>
        <w:tab/>
        <w:t>AICD/JD/INF</w:t>
      </w:r>
      <w:r w:rsidR="002A41CA" w:rsidRPr="00696E7E">
        <w:rPr>
          <w:rFonts w:ascii="Times New Roman" w:eastAsia="Times New Roman" w:hAnsi="Times New Roman" w:cs="Times New Roman"/>
          <w:spacing w:val="-2"/>
          <w:lang w:val="es-ES"/>
        </w:rPr>
        <w:t>.</w:t>
      </w:r>
      <w:r w:rsidRPr="00696E7E">
        <w:rPr>
          <w:rFonts w:ascii="Times New Roman" w:eastAsia="Times New Roman" w:hAnsi="Times New Roman" w:cs="Times New Roman"/>
          <w:spacing w:val="-2"/>
          <w:lang w:val="es-ES"/>
        </w:rPr>
        <w:t>7</w:t>
      </w:r>
      <w:r w:rsidR="00AF3BDE">
        <w:rPr>
          <w:rFonts w:ascii="Times New Roman" w:eastAsia="Times New Roman" w:hAnsi="Times New Roman" w:cs="Times New Roman"/>
          <w:spacing w:val="-2"/>
          <w:lang w:val="es-ES"/>
        </w:rPr>
        <w:t>4</w:t>
      </w:r>
      <w:r w:rsidRPr="00696E7E">
        <w:rPr>
          <w:rFonts w:ascii="Times New Roman" w:eastAsia="Times New Roman" w:hAnsi="Times New Roman" w:cs="Times New Roman"/>
          <w:spacing w:val="-2"/>
          <w:lang w:val="es-ES"/>
        </w:rPr>
        <w:t xml:space="preserve">/21 </w:t>
      </w:r>
    </w:p>
    <w:p w14:paraId="65D9370C" w14:textId="79647885" w:rsidR="00485B07" w:rsidRPr="00696E7E" w:rsidRDefault="00696E7E" w:rsidP="002E0720">
      <w:pPr>
        <w:tabs>
          <w:tab w:val="center" w:pos="4680"/>
          <w:tab w:val="left" w:pos="6210"/>
          <w:tab w:val="left" w:pos="7200"/>
          <w:tab w:val="left" w:pos="7920"/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lang w:val="es-ES"/>
        </w:rPr>
      </w:pPr>
      <w:r w:rsidRPr="00696E7E">
        <w:rPr>
          <w:rFonts w:ascii="Times New Roman" w:eastAsia="Times New Roman" w:hAnsi="Times New Roman" w:cs="Times New Roman"/>
          <w:b/>
          <w:spacing w:val="-2"/>
          <w:lang w:val="es-ES"/>
        </w:rPr>
        <w:t>REUNIÓN DE LA JUNTA DIRECTIVA</w:t>
      </w:r>
      <w:r>
        <w:rPr>
          <w:rFonts w:ascii="Times New Roman" w:eastAsia="Times New Roman" w:hAnsi="Times New Roman" w:cs="Times New Roman"/>
          <w:b/>
          <w:spacing w:val="-2"/>
          <w:lang w:val="es-ES"/>
        </w:rPr>
        <w:tab/>
      </w:r>
      <w:r w:rsidR="00485B07" w:rsidRPr="00696E7E">
        <w:rPr>
          <w:rFonts w:ascii="Times New Roman" w:eastAsia="Times New Roman" w:hAnsi="Times New Roman" w:cs="Times New Roman"/>
          <w:b/>
          <w:spacing w:val="-2"/>
          <w:lang w:val="es-ES"/>
        </w:rPr>
        <w:tab/>
      </w:r>
      <w:r w:rsidR="00485B07" w:rsidRPr="00696E7E">
        <w:rPr>
          <w:rFonts w:ascii="Times New Roman" w:eastAsia="Times New Roman" w:hAnsi="Times New Roman" w:cs="Times New Roman"/>
          <w:b/>
          <w:spacing w:val="-2"/>
          <w:lang w:val="es-ES"/>
        </w:rPr>
        <w:tab/>
      </w:r>
      <w:r w:rsidR="00485B07" w:rsidRPr="00696E7E">
        <w:rPr>
          <w:rFonts w:ascii="Times New Roman" w:eastAsia="Times New Roman" w:hAnsi="Times New Roman" w:cs="Times New Roman"/>
          <w:lang w:val="es-ES"/>
        </w:rPr>
        <w:t xml:space="preserve">31 </w:t>
      </w:r>
      <w:r>
        <w:rPr>
          <w:rFonts w:ascii="Times New Roman" w:eastAsia="Times New Roman" w:hAnsi="Times New Roman" w:cs="Times New Roman"/>
          <w:lang w:val="es-ES"/>
        </w:rPr>
        <w:t>marzo</w:t>
      </w:r>
      <w:r w:rsidR="00485B07" w:rsidRPr="00696E7E">
        <w:rPr>
          <w:rFonts w:ascii="Times New Roman" w:eastAsia="Times New Roman" w:hAnsi="Times New Roman" w:cs="Times New Roman"/>
          <w:lang w:val="es-ES"/>
        </w:rPr>
        <w:t xml:space="preserve"> 2021</w:t>
      </w:r>
    </w:p>
    <w:p w14:paraId="5921AC49" w14:textId="571864A1" w:rsidR="00485B07" w:rsidRPr="00696E7E" w:rsidRDefault="00485B07" w:rsidP="002E0720">
      <w:pPr>
        <w:tabs>
          <w:tab w:val="left" w:pos="6120"/>
          <w:tab w:val="left" w:pos="7200"/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lang w:val="es-ES"/>
        </w:rPr>
      </w:pPr>
      <w:r w:rsidRPr="00696E7E">
        <w:rPr>
          <w:rFonts w:ascii="Times New Roman" w:eastAsia="Times New Roman" w:hAnsi="Times New Roman" w:cs="Times New Roman"/>
          <w:spacing w:val="-2"/>
          <w:lang w:val="es-ES"/>
        </w:rPr>
        <w:tab/>
      </w:r>
      <w:r w:rsidRPr="00696E7E">
        <w:rPr>
          <w:rFonts w:ascii="Times New Roman" w:eastAsia="Times New Roman" w:hAnsi="Times New Roman" w:cs="Times New Roman"/>
          <w:spacing w:val="-2"/>
          <w:lang w:val="es-ES"/>
        </w:rPr>
        <w:tab/>
        <w:t xml:space="preserve">Original: </w:t>
      </w:r>
      <w:r w:rsidR="00696E7E" w:rsidRPr="00696E7E">
        <w:rPr>
          <w:rFonts w:ascii="Times New Roman" w:eastAsia="Times New Roman" w:hAnsi="Times New Roman" w:cs="Times New Roman"/>
          <w:spacing w:val="-2"/>
          <w:lang w:val="es-ES"/>
        </w:rPr>
        <w:t>inglés</w:t>
      </w:r>
    </w:p>
    <w:p w14:paraId="7BDB600E" w14:textId="77777777" w:rsidR="00485B07" w:rsidRPr="00696E7E" w:rsidRDefault="00485B07" w:rsidP="002E0720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val="es-ES"/>
        </w:rPr>
      </w:pPr>
    </w:p>
    <w:p w14:paraId="2A00FCBD" w14:textId="77777777" w:rsidR="00485B07" w:rsidRPr="00696E7E" w:rsidRDefault="00485B07" w:rsidP="002E072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2EC97AF" w14:textId="77777777" w:rsidR="00485B07" w:rsidRPr="00696E7E" w:rsidRDefault="00485B07" w:rsidP="002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983D0D1" w14:textId="77777777" w:rsidR="00485B07" w:rsidRPr="00696E7E" w:rsidRDefault="00485B07" w:rsidP="002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0EEBD44" w14:textId="77777777" w:rsidR="00485B07" w:rsidRPr="00696E7E" w:rsidRDefault="00485B07" w:rsidP="002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1DFB44B" w14:textId="77777777" w:rsidR="00485B07" w:rsidRPr="00696E7E" w:rsidRDefault="00485B07" w:rsidP="002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E146BE0" w14:textId="77777777" w:rsidR="00485B07" w:rsidRPr="00696E7E" w:rsidRDefault="00485B07" w:rsidP="002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07B46EB" w14:textId="77777777" w:rsidR="00485B07" w:rsidRPr="00696E7E" w:rsidRDefault="00485B07" w:rsidP="002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45C7759" w14:textId="77777777" w:rsidR="00485B07" w:rsidRPr="00696E7E" w:rsidRDefault="00485B07" w:rsidP="002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A5B39DE" w14:textId="77777777" w:rsidR="00485B07" w:rsidRPr="00696E7E" w:rsidRDefault="00485B07" w:rsidP="002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8C7DDC1" w14:textId="77777777" w:rsidR="00485B07" w:rsidRPr="00696E7E" w:rsidRDefault="00485B07" w:rsidP="002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693025E" w14:textId="77777777" w:rsidR="00485B07" w:rsidRPr="00696E7E" w:rsidRDefault="00485B07" w:rsidP="002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F2BF0D2" w14:textId="77777777" w:rsidR="00485B07" w:rsidRDefault="00485B07" w:rsidP="007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202A8CE" w14:textId="77777777" w:rsidR="00703703" w:rsidRDefault="00703703" w:rsidP="007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B12EDC8" w14:textId="77777777" w:rsidR="00703703" w:rsidRDefault="00703703" w:rsidP="007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038F0BD" w14:textId="77777777" w:rsidR="00703703" w:rsidRDefault="00703703" w:rsidP="007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3786FD5" w14:textId="77777777" w:rsidR="00703703" w:rsidRDefault="00703703" w:rsidP="007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E670ACF" w14:textId="77777777" w:rsidR="00703703" w:rsidRDefault="00703703" w:rsidP="007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216652A" w14:textId="77777777" w:rsidR="00703703" w:rsidRDefault="00703703" w:rsidP="007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033DE69" w14:textId="77777777" w:rsidR="00703703" w:rsidRPr="00696E7E" w:rsidRDefault="00703703" w:rsidP="007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3C2844D" w14:textId="77777777" w:rsidR="00485B07" w:rsidRPr="00696E7E" w:rsidRDefault="00485B07" w:rsidP="002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85A59E9" w14:textId="65C14835" w:rsidR="002A41CA" w:rsidRPr="00696E7E" w:rsidRDefault="00696E7E" w:rsidP="002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96E7E">
        <w:rPr>
          <w:rFonts w:ascii="Times New Roman" w:eastAsia="Times New Roman" w:hAnsi="Times New Roman" w:cs="Times New Roman"/>
          <w:sz w:val="24"/>
          <w:szCs w:val="24"/>
          <w:lang w:val="es-ES"/>
        </w:rPr>
        <w:t>MEMORANDO DE</w:t>
      </w:r>
      <w:r w:rsidR="00017078">
        <w:rPr>
          <w:rFonts w:ascii="Times New Roman" w:eastAsia="Times New Roman" w:hAnsi="Times New Roman" w:cs="Times New Roman"/>
          <w:sz w:val="24"/>
          <w:szCs w:val="24"/>
          <w:lang w:val="es-ES"/>
        </w:rPr>
        <w:t>L SR.</w:t>
      </w:r>
      <w:r w:rsidRPr="00696E7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JAY ANANIA, SECRETARIO DE ADMINISTRACIÓN Y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FINANZAS SOBRE OPCIONES DE INVERSIÓN (PRESENTADO A LA JUNTA DIRECTIVA DE LA AGENCIA INTERAMERICANA PARA LA COOPERACIÓN Y EL DESARROLLO</w:t>
      </w:r>
      <w:r w:rsidR="00390670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017078">
        <w:rPr>
          <w:rFonts w:ascii="Times New Roman" w:eastAsia="Times New Roman" w:hAnsi="Times New Roman" w:cs="Times New Roman"/>
          <w:sz w:val="24"/>
          <w:szCs w:val="24"/>
          <w:lang w:val="es-ES"/>
        </w:rPr>
        <w:t>COMO GUÍA PARA INVERTIR EL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DINERO DEL FONDO)</w:t>
      </w:r>
    </w:p>
    <w:p w14:paraId="7D38149C" w14:textId="77777777" w:rsidR="002A41CA" w:rsidRPr="00696E7E" w:rsidRDefault="002A41CA" w:rsidP="002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7051DCA" w14:textId="70568291" w:rsidR="00485B07" w:rsidRPr="00703703" w:rsidRDefault="002A41CA" w:rsidP="002E07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96E7E">
        <w:rPr>
          <w:rFonts w:ascii="Times New Roman" w:eastAsia="Times New Roman" w:hAnsi="Times New Roman" w:cs="Times New Roman"/>
          <w:lang w:val="es-ES"/>
        </w:rPr>
        <w:tab/>
      </w:r>
    </w:p>
    <w:p w14:paraId="222C072F" w14:textId="77777777" w:rsidR="00703703" w:rsidRPr="00703703" w:rsidRDefault="00703703" w:rsidP="002E0720">
      <w:pPr>
        <w:spacing w:after="0" w:line="240" w:lineRule="auto"/>
        <w:ind w:left="720"/>
        <w:jc w:val="center"/>
        <w:rPr>
          <w:lang w:val="es-ES"/>
        </w:rPr>
        <w:sectPr w:rsidR="00703703" w:rsidRPr="00703703">
          <w:headerReference w:type="default" r:id="rId7"/>
          <w:footerReference w:type="default" r:id="rId8"/>
          <w:pgSz w:w="12240" w:h="15840"/>
          <w:pgMar w:top="880" w:right="1040" w:bottom="900" w:left="1000" w:header="677" w:footer="703" w:gutter="0"/>
          <w:cols w:space="720"/>
        </w:sectPr>
      </w:pPr>
    </w:p>
    <w:p w14:paraId="3A549BB6" w14:textId="17D003BC" w:rsidR="00485B07" w:rsidRPr="00703703" w:rsidRDefault="00485B07" w:rsidP="002E0720">
      <w:pPr>
        <w:spacing w:after="0" w:line="240" w:lineRule="auto"/>
        <w:ind w:left="720"/>
        <w:jc w:val="center"/>
        <w:rPr>
          <w:lang w:val="es-ES"/>
        </w:rPr>
      </w:pPr>
    </w:p>
    <w:p w14:paraId="7392206B" w14:textId="643BAA81" w:rsidR="00513189" w:rsidRPr="00AF3BDE" w:rsidRDefault="00723A5F" w:rsidP="002E07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083DD1">
        <w:rPr>
          <w:noProof/>
        </w:rPr>
        <w:drawing>
          <wp:anchor distT="0" distB="0" distL="114300" distR="114300" simplePos="0" relativeHeight="251658240" behindDoc="0" locked="0" layoutInCell="1" allowOverlap="1" wp14:anchorId="26D7740B" wp14:editId="2F7B588C">
            <wp:simplePos x="0" y="0"/>
            <wp:positionH relativeFrom="column">
              <wp:posOffset>454660</wp:posOffset>
            </wp:positionH>
            <wp:positionV relativeFrom="paragraph">
              <wp:posOffset>1905</wp:posOffset>
            </wp:positionV>
            <wp:extent cx="2713990" cy="70231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28DF3" w14:textId="3ED55AC2" w:rsidR="00513189" w:rsidRPr="00EC26FC" w:rsidRDefault="00513189" w:rsidP="002E0720">
      <w:pPr>
        <w:tabs>
          <w:tab w:val="left" w:pos="3796"/>
        </w:tabs>
        <w:spacing w:before="144"/>
        <w:jc w:val="right"/>
        <w:rPr>
          <w:rFonts w:ascii="Tahoma" w:eastAsia="Tahoma" w:hAnsi="Tahoma" w:cs="Tahoma"/>
          <w:sz w:val="52"/>
          <w:szCs w:val="52"/>
          <w:lang w:val="es-ES"/>
        </w:rPr>
      </w:pPr>
      <w:r w:rsidRPr="00EC26FC">
        <w:rPr>
          <w:rFonts w:ascii="Tahoma"/>
          <w:color w:val="FFFFFF"/>
          <w:w w:val="99"/>
          <w:sz w:val="52"/>
          <w:highlight w:val="darkGray"/>
          <w:lang w:val="es-ES"/>
        </w:rPr>
        <w:t xml:space="preserve"> </w:t>
      </w:r>
      <w:r w:rsidRPr="00EC26FC">
        <w:rPr>
          <w:rFonts w:ascii="Tahoma"/>
          <w:color w:val="FFFFFF"/>
          <w:spacing w:val="-84"/>
          <w:sz w:val="52"/>
          <w:highlight w:val="darkGray"/>
          <w:lang w:val="es-ES"/>
        </w:rPr>
        <w:t xml:space="preserve"> </w:t>
      </w:r>
      <w:r w:rsidR="008C78EA" w:rsidRPr="00EC26FC">
        <w:rPr>
          <w:rFonts w:ascii="Tahoma"/>
          <w:color w:val="FFFFFF"/>
          <w:spacing w:val="-1"/>
          <w:sz w:val="52"/>
          <w:highlight w:val="darkGray"/>
          <w:lang w:val="es-ES"/>
        </w:rPr>
        <w:t>Memor</w:t>
      </w:r>
      <w:r w:rsidR="008C78EA" w:rsidRPr="00EC26FC">
        <w:rPr>
          <w:rFonts w:ascii="Tahoma"/>
          <w:color w:val="FFFFFF"/>
          <w:spacing w:val="-1"/>
          <w:sz w:val="52"/>
          <w:highlight w:val="darkGray"/>
          <w:lang w:val="es-ES"/>
        </w:rPr>
        <w:t>á</w:t>
      </w:r>
      <w:r w:rsidR="008C78EA" w:rsidRPr="00EC26FC">
        <w:rPr>
          <w:rFonts w:ascii="Tahoma"/>
          <w:color w:val="FFFFFF"/>
          <w:spacing w:val="-1"/>
          <w:sz w:val="52"/>
          <w:highlight w:val="darkGray"/>
          <w:lang w:val="es-ES"/>
        </w:rPr>
        <w:t>ndum</w:t>
      </w:r>
      <w:r w:rsidRPr="00EC26FC">
        <w:rPr>
          <w:rFonts w:ascii="Tahoma"/>
          <w:color w:val="FFFFFF"/>
          <w:w w:val="99"/>
          <w:sz w:val="52"/>
          <w:highlight w:val="darkGray"/>
          <w:lang w:val="es-ES"/>
        </w:rPr>
        <w:t xml:space="preserve"> </w:t>
      </w:r>
      <w:r w:rsidRPr="00EC26FC">
        <w:rPr>
          <w:rFonts w:ascii="Tahoma"/>
          <w:color w:val="FFFFFF"/>
          <w:sz w:val="52"/>
          <w:highlight w:val="darkGray"/>
          <w:lang w:val="es-ES"/>
        </w:rPr>
        <w:tab/>
      </w:r>
    </w:p>
    <w:p w14:paraId="3F3C7E77" w14:textId="77777777" w:rsidR="00513189" w:rsidRPr="00EC26FC" w:rsidRDefault="00513189" w:rsidP="002E0720">
      <w:pPr>
        <w:pStyle w:val="BodyText"/>
        <w:spacing w:before="379"/>
        <w:ind w:left="8550" w:hanging="466"/>
        <w:jc w:val="right"/>
        <w:rPr>
          <w:lang w:val="es-ES"/>
        </w:rPr>
      </w:pPr>
      <w:r w:rsidRPr="00EC26FC">
        <w:rPr>
          <w:spacing w:val="-1"/>
          <w:lang w:val="es-ES"/>
        </w:rPr>
        <w:t>1 de abril de 2021</w:t>
      </w:r>
      <w:r w:rsidRPr="00EC26FC">
        <w:rPr>
          <w:spacing w:val="26"/>
          <w:lang w:val="es-ES"/>
        </w:rPr>
        <w:t xml:space="preserve"> </w:t>
      </w:r>
      <w:r w:rsidRPr="00EC26FC">
        <w:rPr>
          <w:spacing w:val="-1"/>
          <w:lang w:val="es-ES"/>
        </w:rPr>
        <w:t>SAF/031/21</w:t>
      </w:r>
    </w:p>
    <w:p w14:paraId="0ECC773F" w14:textId="77777777" w:rsidR="00513189" w:rsidRPr="00EC26FC" w:rsidRDefault="00513189" w:rsidP="002E072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55076176" w14:textId="77777777" w:rsidR="00513189" w:rsidRPr="00EC26FC" w:rsidRDefault="00513189" w:rsidP="002E0720">
      <w:pPr>
        <w:spacing w:before="6"/>
        <w:rPr>
          <w:rFonts w:ascii="Calibri" w:eastAsia="Calibri" w:hAnsi="Calibri" w:cs="Calibri"/>
          <w:sz w:val="19"/>
          <w:szCs w:val="19"/>
          <w:lang w:val="es-ES"/>
        </w:rPr>
      </w:pPr>
    </w:p>
    <w:p w14:paraId="1732C0D7" w14:textId="77777777" w:rsidR="00513189" w:rsidRPr="001C0049" w:rsidRDefault="00513189" w:rsidP="002E0720">
      <w:pPr>
        <w:pStyle w:val="BodyText"/>
        <w:tabs>
          <w:tab w:val="left" w:pos="1880"/>
        </w:tabs>
        <w:spacing w:before="58" w:line="238" w:lineRule="auto"/>
        <w:rPr>
          <w:spacing w:val="-1"/>
          <w:lang w:val="es-ES"/>
        </w:rPr>
      </w:pPr>
      <w:r w:rsidRPr="009E3C2B">
        <w:rPr>
          <w:b/>
          <w:bCs/>
          <w:spacing w:val="-1"/>
          <w:lang w:val="es-ES"/>
        </w:rPr>
        <w:t>PARA</w:t>
      </w:r>
      <w:r w:rsidRPr="001C0049">
        <w:rPr>
          <w:spacing w:val="-1"/>
          <w:lang w:val="es-ES"/>
        </w:rPr>
        <w:t>:</w:t>
      </w:r>
      <w:r w:rsidRPr="001C0049">
        <w:rPr>
          <w:spacing w:val="-1"/>
          <w:lang w:val="es-ES"/>
        </w:rPr>
        <w:tab/>
        <w:t xml:space="preserve">Junta Directiva de la Agencia Interamericana </w:t>
      </w:r>
      <w:r>
        <w:rPr>
          <w:spacing w:val="-1"/>
          <w:lang w:val="es-ES"/>
        </w:rPr>
        <w:t>para la Cooperación y el Desarrollo</w:t>
      </w:r>
    </w:p>
    <w:p w14:paraId="111CAAD6" w14:textId="128ACE5F" w:rsidR="00513189" w:rsidRPr="00C35940" w:rsidRDefault="00513189" w:rsidP="002E0720">
      <w:pPr>
        <w:pStyle w:val="BodyText"/>
        <w:tabs>
          <w:tab w:val="left" w:pos="1880"/>
        </w:tabs>
        <w:spacing w:before="58" w:line="238" w:lineRule="auto"/>
        <w:rPr>
          <w:lang w:val="es-ES"/>
        </w:rPr>
      </w:pPr>
      <w:r w:rsidRPr="009E3C2B">
        <w:rPr>
          <w:b/>
          <w:bCs/>
          <w:lang w:val="es-ES"/>
        </w:rPr>
        <w:t>DE</w:t>
      </w:r>
      <w:r w:rsidRPr="009E3C2B">
        <w:rPr>
          <w:b/>
          <w:bCs/>
          <w:w w:val="95"/>
          <w:lang w:val="es-ES"/>
        </w:rPr>
        <w:t>:</w:t>
      </w:r>
      <w:r w:rsidRPr="001C0049">
        <w:rPr>
          <w:spacing w:val="-1"/>
          <w:w w:val="95"/>
          <w:lang w:val="es-ES"/>
        </w:rPr>
        <w:tab/>
      </w:r>
      <w:r w:rsidRPr="00C35940">
        <w:rPr>
          <w:w w:val="95"/>
          <w:lang w:val="es-ES"/>
        </w:rPr>
        <w:t>Secretario de Administración y Finanzas</w:t>
      </w:r>
      <w:r w:rsidRPr="00C35940">
        <w:rPr>
          <w:lang w:val="es-ES"/>
        </w:rPr>
        <w:t xml:space="preserve"> </w:t>
      </w:r>
      <w:r w:rsidRPr="00C35940">
        <w:rPr>
          <w:rFonts w:cs="Calibri"/>
          <w:lang w:val="es-ES"/>
        </w:rPr>
        <w:t xml:space="preserve">– </w:t>
      </w:r>
      <w:r w:rsidRPr="00C35940">
        <w:rPr>
          <w:lang w:val="es-ES"/>
        </w:rPr>
        <w:t xml:space="preserve">Jay </w:t>
      </w:r>
      <w:proofErr w:type="spellStart"/>
      <w:r w:rsidRPr="00C35940">
        <w:rPr>
          <w:lang w:val="es-ES"/>
        </w:rPr>
        <w:t>Anania</w:t>
      </w:r>
      <w:proofErr w:type="spellEnd"/>
      <w:r w:rsidRPr="00C35940">
        <w:rPr>
          <w:lang w:val="es-ES"/>
        </w:rPr>
        <w:t xml:space="preserve">   </w:t>
      </w:r>
    </w:p>
    <w:p w14:paraId="0E6F22F5" w14:textId="77777777" w:rsidR="00513189" w:rsidRPr="001C0049" w:rsidRDefault="00513189" w:rsidP="002E0720">
      <w:pPr>
        <w:pStyle w:val="BodyText"/>
        <w:tabs>
          <w:tab w:val="left" w:pos="1880"/>
        </w:tabs>
        <w:spacing w:before="56"/>
        <w:jc w:val="both"/>
        <w:rPr>
          <w:lang w:val="es-ES"/>
        </w:rPr>
      </w:pPr>
      <w:r w:rsidRPr="009E3C2B">
        <w:rPr>
          <w:b/>
          <w:bCs/>
          <w:spacing w:val="-1"/>
          <w:lang w:val="es-ES"/>
        </w:rPr>
        <w:t>ASUNTO:</w:t>
      </w:r>
      <w:r w:rsidRPr="001C0049">
        <w:rPr>
          <w:spacing w:val="-1"/>
          <w:lang w:val="es-ES"/>
        </w:rPr>
        <w:tab/>
        <w:t>Fondo de capital</w:t>
      </w:r>
      <w:r w:rsidRPr="001C0049">
        <w:rPr>
          <w:lang w:val="es-ES"/>
        </w:rPr>
        <w:t xml:space="preserve"> </w:t>
      </w:r>
      <w:r w:rsidRPr="001C0049">
        <w:rPr>
          <w:rFonts w:cs="Calibri"/>
          <w:lang w:val="es-ES"/>
        </w:rPr>
        <w:t>–</w:t>
      </w:r>
      <w:r w:rsidRPr="001C0049">
        <w:rPr>
          <w:rFonts w:cs="Calibri"/>
          <w:spacing w:val="1"/>
          <w:lang w:val="es-ES"/>
        </w:rPr>
        <w:t xml:space="preserve"> Opciones de inversión</w:t>
      </w:r>
    </w:p>
    <w:p w14:paraId="589CDB7B" w14:textId="77777777" w:rsidR="00513189" w:rsidRPr="001C0049" w:rsidRDefault="00513189" w:rsidP="002E0720">
      <w:pPr>
        <w:rPr>
          <w:rFonts w:ascii="Calibri" w:eastAsia="Calibri" w:hAnsi="Calibri" w:cs="Calibri"/>
          <w:lang w:val="es-ES"/>
        </w:rPr>
      </w:pPr>
    </w:p>
    <w:p w14:paraId="6A132943" w14:textId="77777777" w:rsidR="001F088E" w:rsidRDefault="001F088E" w:rsidP="002E0720">
      <w:pPr>
        <w:pStyle w:val="Heading1"/>
        <w:jc w:val="both"/>
        <w:rPr>
          <w:spacing w:val="-1"/>
          <w:lang w:val="es-ES"/>
        </w:rPr>
      </w:pPr>
    </w:p>
    <w:p w14:paraId="632F9CE1" w14:textId="63B6777F" w:rsidR="00513189" w:rsidRDefault="00513189" w:rsidP="002E0720">
      <w:pPr>
        <w:pStyle w:val="Heading1"/>
        <w:jc w:val="both"/>
        <w:rPr>
          <w:spacing w:val="-1"/>
          <w:lang w:val="es-ES"/>
        </w:rPr>
      </w:pPr>
      <w:r w:rsidRPr="004A23A1">
        <w:rPr>
          <w:spacing w:val="-1"/>
          <w:lang w:val="es-ES"/>
        </w:rPr>
        <w:t>Asunto para decidir</w:t>
      </w:r>
    </w:p>
    <w:p w14:paraId="34A25841" w14:textId="17989830" w:rsidR="00513189" w:rsidRDefault="00513189" w:rsidP="002E0720">
      <w:pPr>
        <w:pStyle w:val="BodyText"/>
        <w:jc w:val="both"/>
        <w:rPr>
          <w:lang w:val="es-ES"/>
        </w:rPr>
      </w:pPr>
      <w:r>
        <w:rPr>
          <w:lang w:val="es-ES"/>
        </w:rPr>
        <w:t xml:space="preserve">Si </w:t>
      </w:r>
      <w:r w:rsidR="00440E26">
        <w:rPr>
          <w:lang w:val="es-ES"/>
        </w:rPr>
        <w:t>se invierte</w:t>
      </w:r>
      <w:r w:rsidRPr="004A23A1">
        <w:rPr>
          <w:lang w:val="es-ES"/>
        </w:rPr>
        <w:t xml:space="preserve"> el dinero </w:t>
      </w:r>
      <w:r w:rsidR="00215F4F">
        <w:rPr>
          <w:lang w:val="es-ES"/>
        </w:rPr>
        <w:t>d</w:t>
      </w:r>
      <w:r w:rsidRPr="004A23A1">
        <w:rPr>
          <w:lang w:val="es-ES"/>
        </w:rPr>
        <w:t xml:space="preserve">el Fondo de Capital </w:t>
      </w:r>
      <w:r w:rsidR="001C460F">
        <w:rPr>
          <w:lang w:val="es-ES"/>
        </w:rPr>
        <w:t>con el propósito de</w:t>
      </w:r>
      <w:r w:rsidRPr="004A23A1">
        <w:rPr>
          <w:lang w:val="es-ES"/>
        </w:rPr>
        <w:t xml:space="preserve"> </w:t>
      </w:r>
      <w:r>
        <w:rPr>
          <w:lang w:val="es-ES"/>
        </w:rPr>
        <w:t>lograr</w:t>
      </w:r>
      <w:r w:rsidRPr="004A23A1">
        <w:rPr>
          <w:lang w:val="es-ES"/>
        </w:rPr>
        <w:t xml:space="preserve"> un crecimiento de</w:t>
      </w:r>
      <w:r>
        <w:rPr>
          <w:lang w:val="es-ES"/>
        </w:rPr>
        <w:t>l</w:t>
      </w:r>
      <w:r w:rsidRPr="004A23A1">
        <w:rPr>
          <w:lang w:val="es-ES"/>
        </w:rPr>
        <w:t xml:space="preserve"> capital a largo plazo, </w:t>
      </w:r>
      <w:r w:rsidR="00FC044D">
        <w:rPr>
          <w:lang w:val="es-ES"/>
        </w:rPr>
        <w:t>y así</w:t>
      </w:r>
      <w:r w:rsidR="000F79F5">
        <w:rPr>
          <w:lang w:val="es-ES"/>
        </w:rPr>
        <w:t xml:space="preserve"> facilitar</w:t>
      </w:r>
      <w:r w:rsidRPr="004A23A1">
        <w:rPr>
          <w:lang w:val="es-ES"/>
        </w:rPr>
        <w:t xml:space="preserve"> </w:t>
      </w:r>
      <w:r w:rsidR="000F79F5">
        <w:rPr>
          <w:lang w:val="es-ES"/>
        </w:rPr>
        <w:t xml:space="preserve">futuros </w:t>
      </w:r>
      <w:r w:rsidRPr="004A23A1">
        <w:rPr>
          <w:lang w:val="es-ES"/>
        </w:rPr>
        <w:t>gastos adicionales en becas.</w:t>
      </w:r>
    </w:p>
    <w:p w14:paraId="53207A66" w14:textId="77777777" w:rsidR="00513189" w:rsidRDefault="00513189" w:rsidP="002E0720">
      <w:pPr>
        <w:pStyle w:val="BodyText"/>
        <w:jc w:val="both"/>
        <w:rPr>
          <w:lang w:val="es-ES"/>
        </w:rPr>
      </w:pPr>
    </w:p>
    <w:p w14:paraId="20046B28" w14:textId="77777777" w:rsidR="00513189" w:rsidRPr="00EC26FC" w:rsidRDefault="00513189" w:rsidP="002E0720">
      <w:pPr>
        <w:pStyle w:val="Heading1"/>
        <w:jc w:val="both"/>
        <w:rPr>
          <w:b w:val="0"/>
          <w:bCs w:val="0"/>
          <w:lang w:val="es-ES"/>
        </w:rPr>
      </w:pPr>
      <w:r w:rsidRPr="00EC26FC">
        <w:rPr>
          <w:spacing w:val="-1"/>
          <w:lang w:val="es-ES"/>
        </w:rPr>
        <w:t>Antecedentes</w:t>
      </w:r>
    </w:p>
    <w:p w14:paraId="73BA9FE3" w14:textId="5B745673" w:rsidR="00513189" w:rsidRPr="00CE4244" w:rsidRDefault="00513189" w:rsidP="002E0720">
      <w:pPr>
        <w:pStyle w:val="BodyText"/>
        <w:jc w:val="both"/>
        <w:rPr>
          <w:lang w:val="es-ES"/>
        </w:rPr>
      </w:pPr>
      <w:r w:rsidRPr="00CE4244">
        <w:rPr>
          <w:spacing w:val="-1"/>
          <w:lang w:val="es-ES"/>
        </w:rPr>
        <w:t>Los fondos que componen</w:t>
      </w:r>
      <w:r>
        <w:rPr>
          <w:spacing w:val="-1"/>
          <w:lang w:val="es-ES"/>
        </w:rPr>
        <w:t xml:space="preserve"> del Fondo de Capital (el Fondo) se encuentran actualmente dentro del Fondo d</w:t>
      </w:r>
      <w:r w:rsidR="00440E26">
        <w:rPr>
          <w:spacing w:val="-1"/>
          <w:lang w:val="es-ES"/>
        </w:rPr>
        <w:t>e Tesorería</w:t>
      </w:r>
      <w:r>
        <w:rPr>
          <w:spacing w:val="-1"/>
          <w:lang w:val="es-ES"/>
        </w:rPr>
        <w:t xml:space="preserve"> de la Secretaría General de la OEA. El valor del Fondo de Capital a fines de 2020 </w:t>
      </w:r>
      <w:r w:rsidR="006F58DB">
        <w:rPr>
          <w:spacing w:val="-1"/>
          <w:lang w:val="es-ES"/>
        </w:rPr>
        <w:t>era</w:t>
      </w:r>
      <w:r>
        <w:rPr>
          <w:spacing w:val="-1"/>
          <w:lang w:val="es-ES"/>
        </w:rPr>
        <w:t xml:space="preserve"> de </w:t>
      </w:r>
      <w:r w:rsidR="006C34F1">
        <w:rPr>
          <w:spacing w:val="-1"/>
          <w:lang w:val="es-ES"/>
        </w:rPr>
        <w:t>US</w:t>
      </w:r>
      <w:r w:rsidRPr="00CE4244">
        <w:rPr>
          <w:spacing w:val="-1"/>
          <w:lang w:val="es-ES"/>
        </w:rPr>
        <w:t>$3</w:t>
      </w:r>
      <w:r>
        <w:rPr>
          <w:spacing w:val="-1"/>
          <w:lang w:val="es-ES"/>
        </w:rPr>
        <w:t>.</w:t>
      </w:r>
      <w:r w:rsidRPr="00CE4244">
        <w:rPr>
          <w:spacing w:val="-1"/>
          <w:lang w:val="es-ES"/>
        </w:rPr>
        <w:t>692</w:t>
      </w:r>
      <w:r>
        <w:rPr>
          <w:spacing w:val="-1"/>
          <w:lang w:val="es-ES"/>
        </w:rPr>
        <w:t>.</w:t>
      </w:r>
      <w:r w:rsidRPr="00CE4244">
        <w:rPr>
          <w:spacing w:val="-1"/>
          <w:lang w:val="es-ES"/>
        </w:rPr>
        <w:t>608.</w:t>
      </w:r>
    </w:p>
    <w:p w14:paraId="5994B1B6" w14:textId="77777777" w:rsidR="00513189" w:rsidRPr="00CE4244" w:rsidRDefault="00513189" w:rsidP="002E0720">
      <w:pPr>
        <w:pStyle w:val="BodyText"/>
        <w:jc w:val="both"/>
        <w:rPr>
          <w:spacing w:val="-1"/>
          <w:lang w:val="es-ES"/>
        </w:rPr>
      </w:pPr>
    </w:p>
    <w:p w14:paraId="7E38C24F" w14:textId="3691E16F" w:rsidR="00513189" w:rsidRDefault="00513189" w:rsidP="002E0720">
      <w:pPr>
        <w:pStyle w:val="BodyText"/>
        <w:spacing w:line="239" w:lineRule="auto"/>
        <w:jc w:val="both"/>
        <w:rPr>
          <w:lang w:val="es-ES"/>
        </w:rPr>
      </w:pPr>
      <w:r w:rsidRPr="00072934">
        <w:rPr>
          <w:lang w:val="es-ES"/>
        </w:rPr>
        <w:t xml:space="preserve">Debido a que los mercados </w:t>
      </w:r>
      <w:r>
        <w:rPr>
          <w:lang w:val="es-ES"/>
        </w:rPr>
        <w:t>mundiales</w:t>
      </w:r>
      <w:r w:rsidRPr="00072934">
        <w:rPr>
          <w:lang w:val="es-ES"/>
        </w:rPr>
        <w:t xml:space="preserve"> pagan tasas de interés muy bajas y </w:t>
      </w:r>
      <w:r>
        <w:rPr>
          <w:lang w:val="es-ES"/>
        </w:rPr>
        <w:t xml:space="preserve">el dinero </w:t>
      </w:r>
      <w:r w:rsidRPr="00072934">
        <w:rPr>
          <w:lang w:val="es-ES"/>
        </w:rPr>
        <w:t>del Fondo de</w:t>
      </w:r>
      <w:r>
        <w:rPr>
          <w:lang w:val="es-ES"/>
        </w:rPr>
        <w:t xml:space="preserve"> Tesorería</w:t>
      </w:r>
      <w:r w:rsidRPr="00072934">
        <w:rPr>
          <w:lang w:val="es-ES"/>
        </w:rPr>
        <w:t xml:space="preserve"> se mantiene (</w:t>
      </w:r>
      <w:r>
        <w:rPr>
          <w:lang w:val="es-ES"/>
        </w:rPr>
        <w:t>en virtud de l</w:t>
      </w:r>
      <w:r w:rsidR="009404C5">
        <w:rPr>
          <w:lang w:val="es-ES"/>
        </w:rPr>
        <w:t>a normativa</w:t>
      </w:r>
      <w:r w:rsidRPr="00072934">
        <w:rPr>
          <w:lang w:val="es-ES"/>
        </w:rPr>
        <w:t>) solo en cuentas bancarias a corto plazo, las ganancias del fondo</w:t>
      </w:r>
      <w:r>
        <w:rPr>
          <w:lang w:val="es-ES"/>
        </w:rPr>
        <w:t xml:space="preserve"> no son significativas.</w:t>
      </w:r>
      <w:r w:rsidRPr="00072934">
        <w:rPr>
          <w:lang w:val="es-ES"/>
        </w:rPr>
        <w:t xml:space="preserve"> Incluso en períodos anteriores en los que las tasas de interés eran más altas, el Fondo de Tesorería ganó cantidades relativamente pequeñas en comparación con otras opciones de inversión.</w:t>
      </w:r>
    </w:p>
    <w:p w14:paraId="62833F97" w14:textId="77777777" w:rsidR="00513189" w:rsidRDefault="00513189" w:rsidP="002E0720">
      <w:pPr>
        <w:pStyle w:val="BodyText"/>
        <w:spacing w:line="239" w:lineRule="auto"/>
        <w:jc w:val="both"/>
        <w:rPr>
          <w:lang w:val="es-ES"/>
        </w:rPr>
      </w:pPr>
    </w:p>
    <w:p w14:paraId="627AE945" w14:textId="3ADC5CA1" w:rsidR="00513189" w:rsidRPr="008A7761" w:rsidRDefault="00513189" w:rsidP="002E0720">
      <w:pPr>
        <w:pStyle w:val="BodyText"/>
        <w:jc w:val="both"/>
        <w:rPr>
          <w:spacing w:val="-1"/>
          <w:lang w:val="es-ES"/>
        </w:rPr>
      </w:pPr>
      <w:r w:rsidRPr="005B7AC5">
        <w:rPr>
          <w:spacing w:val="-1"/>
          <w:lang w:val="es-ES"/>
        </w:rPr>
        <w:t xml:space="preserve">El Anexo </w:t>
      </w:r>
      <w:r>
        <w:rPr>
          <w:spacing w:val="-1"/>
          <w:lang w:val="es-ES"/>
        </w:rPr>
        <w:t>1</w:t>
      </w:r>
      <w:r w:rsidRPr="005B7AC5">
        <w:rPr>
          <w:spacing w:val="-1"/>
          <w:lang w:val="es-ES"/>
        </w:rPr>
        <w:t xml:space="preserve"> es un gráfico que ilustra rendimientos mucho más altos (</w:t>
      </w:r>
      <w:r>
        <w:rPr>
          <w:spacing w:val="-1"/>
          <w:lang w:val="es-ES"/>
        </w:rPr>
        <w:t>ganancias siete</w:t>
      </w:r>
      <w:r w:rsidRPr="005B7AC5">
        <w:rPr>
          <w:spacing w:val="-1"/>
          <w:lang w:val="es-ES"/>
        </w:rPr>
        <w:t xml:space="preserve"> veces</w:t>
      </w:r>
      <w:r>
        <w:rPr>
          <w:spacing w:val="-1"/>
          <w:lang w:val="es-ES"/>
        </w:rPr>
        <w:t xml:space="preserve"> </w:t>
      </w:r>
      <w:r w:rsidR="000B64F6">
        <w:rPr>
          <w:spacing w:val="-1"/>
          <w:lang w:val="es-ES"/>
        </w:rPr>
        <w:t>mayores</w:t>
      </w:r>
      <w:r w:rsidRPr="005B7AC5">
        <w:rPr>
          <w:spacing w:val="-1"/>
          <w:lang w:val="es-ES"/>
        </w:rPr>
        <w:t xml:space="preserve">) que el Fondo de Capital podría haber obtenido a largo plazo (desde 2002) siguiendo una estrategia de inversión diferente, la del Fondo Fiduciario de Beneficios Médicos de la OEA. </w:t>
      </w:r>
      <w:r w:rsidRPr="008A7761">
        <w:rPr>
          <w:spacing w:val="-1"/>
          <w:lang w:val="es-ES"/>
        </w:rPr>
        <w:t xml:space="preserve">En teoría, el Fondo de Capital podría haber ganado alrededor de </w:t>
      </w:r>
      <w:r w:rsidR="00D71E76">
        <w:rPr>
          <w:spacing w:val="-1"/>
          <w:lang w:val="es-ES"/>
        </w:rPr>
        <w:t>US</w:t>
      </w:r>
      <w:r w:rsidRPr="008A7761">
        <w:rPr>
          <w:spacing w:val="-1"/>
          <w:lang w:val="es-ES"/>
        </w:rPr>
        <w:t>$12</w:t>
      </w:r>
      <w:r w:rsidR="00B228ED">
        <w:rPr>
          <w:spacing w:val="-1"/>
          <w:lang w:val="es-ES"/>
        </w:rPr>
        <w:t>.000.000</w:t>
      </w:r>
      <w:r w:rsidRPr="008A7761">
        <w:rPr>
          <w:spacing w:val="-1"/>
          <w:lang w:val="es-ES"/>
        </w:rPr>
        <w:t xml:space="preserve"> millones más si se hubiera invertido de manera similar al </w:t>
      </w:r>
      <w:r>
        <w:rPr>
          <w:spacing w:val="-1"/>
          <w:lang w:val="es-ES"/>
        </w:rPr>
        <w:t>Fondo Fiduciario de Beneficios Médicos (</w:t>
      </w:r>
      <w:r w:rsidRPr="008A7761">
        <w:rPr>
          <w:spacing w:val="-1"/>
          <w:lang w:val="es-ES"/>
        </w:rPr>
        <w:t>MBTF</w:t>
      </w:r>
      <w:r>
        <w:rPr>
          <w:spacing w:val="-1"/>
          <w:lang w:val="es-ES"/>
        </w:rPr>
        <w:t>, por sus siglas en inglés)</w:t>
      </w:r>
      <w:r w:rsidRPr="008A7761">
        <w:rPr>
          <w:spacing w:val="-1"/>
          <w:lang w:val="es-ES"/>
        </w:rPr>
        <w:t>.</w:t>
      </w:r>
    </w:p>
    <w:p w14:paraId="2053F620" w14:textId="77777777" w:rsidR="00513189" w:rsidRPr="008A7761" w:rsidRDefault="00513189" w:rsidP="002E0720">
      <w:pPr>
        <w:pStyle w:val="BodyText"/>
        <w:jc w:val="both"/>
        <w:rPr>
          <w:spacing w:val="-1"/>
          <w:lang w:val="es-ES"/>
        </w:rPr>
      </w:pPr>
    </w:p>
    <w:p w14:paraId="2F546053" w14:textId="4BD17D04" w:rsidR="00513189" w:rsidRDefault="00513189" w:rsidP="002E0720">
      <w:pPr>
        <w:pStyle w:val="BodyText"/>
        <w:jc w:val="both"/>
        <w:rPr>
          <w:spacing w:val="-1"/>
          <w:lang w:val="es-ES"/>
        </w:rPr>
      </w:pPr>
      <w:r w:rsidRPr="00A24BD5">
        <w:rPr>
          <w:spacing w:val="-1"/>
          <w:lang w:val="es-ES"/>
        </w:rPr>
        <w:t xml:space="preserve">La ventaja de mantener el dinero del Fondo de Capital en cuentas a corto plazo es que existe muy poco riesgo </w:t>
      </w:r>
      <w:r>
        <w:rPr>
          <w:spacing w:val="-1"/>
          <w:lang w:val="es-ES"/>
        </w:rPr>
        <w:t>de que pierda su valor.</w:t>
      </w:r>
      <w:r w:rsidRPr="00A24BD5">
        <w:rPr>
          <w:spacing w:val="-1"/>
          <w:lang w:val="es-ES"/>
        </w:rPr>
        <w:t xml:space="preserve"> No hay </w:t>
      </w:r>
      <w:r w:rsidR="0079636D">
        <w:rPr>
          <w:spacing w:val="-1"/>
          <w:lang w:val="es-ES"/>
        </w:rPr>
        <w:t>tarifas</w:t>
      </w:r>
      <w:r w:rsidR="009A502B">
        <w:rPr>
          <w:spacing w:val="-1"/>
          <w:lang w:val="es-ES"/>
        </w:rPr>
        <w:t xml:space="preserve"> asociadas</w:t>
      </w:r>
      <w:r w:rsidRPr="00A24BD5">
        <w:rPr>
          <w:spacing w:val="-1"/>
          <w:lang w:val="es-ES"/>
        </w:rPr>
        <w:t xml:space="preserve"> con el Fondo de Capital porque la Secretaría General no cobra </w:t>
      </w:r>
      <w:r w:rsidR="00F14DC1">
        <w:rPr>
          <w:spacing w:val="-1"/>
          <w:lang w:val="es-ES"/>
        </w:rPr>
        <w:t>tarifas</w:t>
      </w:r>
      <w:r w:rsidRPr="00A24BD5">
        <w:rPr>
          <w:spacing w:val="-1"/>
          <w:lang w:val="es-ES"/>
        </w:rPr>
        <w:t xml:space="preserve"> por mantener dinero en el Fondo de Tesorería. Si </w:t>
      </w:r>
      <w:r w:rsidR="00002019">
        <w:rPr>
          <w:spacing w:val="-1"/>
          <w:lang w:val="es-ES"/>
        </w:rPr>
        <w:t>la finalidad</w:t>
      </w:r>
      <w:r w:rsidRPr="00A24BD5">
        <w:rPr>
          <w:spacing w:val="-1"/>
          <w:lang w:val="es-ES"/>
        </w:rPr>
        <w:t xml:space="preserve"> del Fondo fuera gastar todo el dinero en programas de becas </w:t>
      </w:r>
      <w:r>
        <w:rPr>
          <w:spacing w:val="-1"/>
          <w:lang w:val="es-ES"/>
        </w:rPr>
        <w:t xml:space="preserve">en </w:t>
      </w:r>
      <w:r w:rsidRPr="00A24BD5">
        <w:rPr>
          <w:spacing w:val="-1"/>
          <w:lang w:val="es-ES"/>
        </w:rPr>
        <w:t>un período de tiempo corto (quizás de 1 a 3 años), una estrategia de inversión a corto plazo podría ser apropiada.</w:t>
      </w:r>
    </w:p>
    <w:p w14:paraId="530009EC" w14:textId="77777777" w:rsidR="00513189" w:rsidRDefault="00513189" w:rsidP="002E0720">
      <w:pPr>
        <w:pStyle w:val="BodyText"/>
        <w:jc w:val="both"/>
        <w:rPr>
          <w:spacing w:val="-1"/>
          <w:lang w:val="es-ES"/>
        </w:rPr>
      </w:pPr>
    </w:p>
    <w:p w14:paraId="16C066C8" w14:textId="7FCFD8A0" w:rsidR="00513189" w:rsidRPr="00F31496" w:rsidRDefault="00513189" w:rsidP="002E0720">
      <w:pPr>
        <w:pStyle w:val="BodyText"/>
        <w:spacing w:line="239" w:lineRule="auto"/>
        <w:jc w:val="both"/>
        <w:rPr>
          <w:spacing w:val="-1"/>
          <w:lang w:val="es-ES"/>
        </w:rPr>
      </w:pPr>
      <w:r w:rsidRPr="008D1F0C">
        <w:rPr>
          <w:spacing w:val="-1"/>
          <w:lang w:val="es-ES"/>
        </w:rPr>
        <w:t xml:space="preserve">Sin embargo, si el objetivo de invertir el Fondo es aumentar el valor </w:t>
      </w:r>
      <w:r w:rsidR="003863F5">
        <w:rPr>
          <w:spacing w:val="-1"/>
          <w:lang w:val="es-ES"/>
        </w:rPr>
        <w:t>del mismo</w:t>
      </w:r>
      <w:r w:rsidRPr="008D1F0C">
        <w:rPr>
          <w:spacing w:val="-1"/>
          <w:lang w:val="es-ES"/>
        </w:rPr>
        <w:t xml:space="preserve">, tal vez a un nivel en el que las ganancias anuales </w:t>
      </w:r>
      <w:r>
        <w:rPr>
          <w:spacing w:val="-1"/>
          <w:lang w:val="es-ES"/>
        </w:rPr>
        <w:t>fueran</w:t>
      </w:r>
      <w:r w:rsidRPr="008D1F0C">
        <w:rPr>
          <w:spacing w:val="-1"/>
          <w:lang w:val="es-ES"/>
        </w:rPr>
        <w:t xml:space="preserve"> suficientes para financiar </w:t>
      </w:r>
      <w:r>
        <w:rPr>
          <w:spacing w:val="-1"/>
          <w:lang w:val="es-ES"/>
        </w:rPr>
        <w:t xml:space="preserve">las </w:t>
      </w:r>
      <w:r w:rsidRPr="008D1F0C">
        <w:rPr>
          <w:spacing w:val="-1"/>
          <w:lang w:val="es-ES"/>
        </w:rPr>
        <w:t xml:space="preserve">becas </w:t>
      </w:r>
      <w:r w:rsidR="007D4D20">
        <w:rPr>
          <w:spacing w:val="-1"/>
          <w:lang w:val="es-ES"/>
        </w:rPr>
        <w:t>en curso</w:t>
      </w:r>
      <w:r w:rsidRPr="008D1F0C">
        <w:rPr>
          <w:spacing w:val="-1"/>
          <w:lang w:val="es-ES"/>
        </w:rPr>
        <w:t xml:space="preserve">, la estrategia de inversión actual </w:t>
      </w:r>
      <w:r>
        <w:rPr>
          <w:spacing w:val="-1"/>
          <w:lang w:val="es-ES"/>
        </w:rPr>
        <w:t>no es adecuada.</w:t>
      </w:r>
      <w:r w:rsidRPr="008D1F0C">
        <w:rPr>
          <w:spacing w:val="-1"/>
          <w:lang w:val="es-ES"/>
        </w:rPr>
        <w:t xml:space="preserve"> Durante la última década, es probable que el valor ajustado por inflación del fondo haya disminuido, incluso si el valor nominal es ligeramente superior. </w:t>
      </w:r>
      <w:r w:rsidRPr="00F31496">
        <w:rPr>
          <w:spacing w:val="-1"/>
          <w:lang w:val="es-ES"/>
        </w:rPr>
        <w:t xml:space="preserve">Por el contrario, otros fondos de la OEA </w:t>
      </w:r>
      <w:r w:rsidR="001F088E">
        <w:rPr>
          <w:spacing w:val="-1"/>
          <w:lang w:val="es-ES"/>
        </w:rPr>
        <w:t>que se invirtieron</w:t>
      </w:r>
      <w:r w:rsidRPr="00F31496">
        <w:rPr>
          <w:spacing w:val="-1"/>
          <w:lang w:val="es-ES"/>
        </w:rPr>
        <w:t xml:space="preserve"> en acciones y bonos obtuvieron altas tasas de rendimiento en c</w:t>
      </w:r>
      <w:r>
        <w:rPr>
          <w:spacing w:val="-1"/>
          <w:lang w:val="es-ES"/>
        </w:rPr>
        <w:t xml:space="preserve">onsonancia </w:t>
      </w:r>
      <w:r w:rsidRPr="00F31496">
        <w:rPr>
          <w:spacing w:val="-1"/>
          <w:lang w:val="es-ES"/>
        </w:rPr>
        <w:t xml:space="preserve">con los mercados </w:t>
      </w:r>
      <w:r>
        <w:rPr>
          <w:spacing w:val="-1"/>
          <w:lang w:val="es-ES"/>
        </w:rPr>
        <w:t>mundiales</w:t>
      </w:r>
      <w:r w:rsidRPr="00F31496">
        <w:rPr>
          <w:spacing w:val="-1"/>
          <w:lang w:val="es-ES"/>
        </w:rPr>
        <w:t>.</w:t>
      </w:r>
    </w:p>
    <w:p w14:paraId="6E33B722" w14:textId="77777777" w:rsidR="00513189" w:rsidRDefault="00513189" w:rsidP="002E0720">
      <w:pPr>
        <w:pStyle w:val="BodyText"/>
        <w:spacing w:line="239" w:lineRule="auto"/>
        <w:jc w:val="both"/>
        <w:rPr>
          <w:spacing w:val="-1"/>
          <w:lang w:val="es-ES"/>
        </w:rPr>
      </w:pPr>
    </w:p>
    <w:p w14:paraId="2A00CD60" w14:textId="77777777" w:rsidR="00703703" w:rsidRDefault="00703703" w:rsidP="002E0720">
      <w:pPr>
        <w:pStyle w:val="BodyText"/>
        <w:spacing w:line="239" w:lineRule="auto"/>
        <w:jc w:val="both"/>
        <w:rPr>
          <w:spacing w:val="-1"/>
          <w:lang w:val="es-ES"/>
        </w:rPr>
      </w:pPr>
    </w:p>
    <w:p w14:paraId="7BD39F88" w14:textId="77777777" w:rsidR="00703703" w:rsidRPr="00F31496" w:rsidRDefault="00703703" w:rsidP="002E0720">
      <w:pPr>
        <w:pStyle w:val="BodyText"/>
        <w:spacing w:line="239" w:lineRule="auto"/>
        <w:jc w:val="both"/>
        <w:rPr>
          <w:spacing w:val="-1"/>
          <w:lang w:val="es-ES"/>
        </w:rPr>
      </w:pPr>
    </w:p>
    <w:p w14:paraId="64B9A5E5" w14:textId="77777777" w:rsidR="00513189" w:rsidRPr="008D1F0C" w:rsidRDefault="00513189" w:rsidP="002E0720">
      <w:pPr>
        <w:pStyle w:val="Heading1"/>
        <w:jc w:val="both"/>
        <w:rPr>
          <w:b w:val="0"/>
          <w:bCs w:val="0"/>
          <w:lang w:val="es-ES"/>
        </w:rPr>
      </w:pPr>
      <w:r w:rsidRPr="008D1F0C">
        <w:rPr>
          <w:spacing w:val="-1"/>
          <w:lang w:val="es-ES"/>
        </w:rPr>
        <w:t>Discusión</w:t>
      </w:r>
    </w:p>
    <w:p w14:paraId="411E1F7A" w14:textId="77777777" w:rsidR="00513189" w:rsidRPr="00B60230" w:rsidRDefault="00513189" w:rsidP="002E0720">
      <w:pPr>
        <w:pStyle w:val="BodyText"/>
        <w:jc w:val="both"/>
        <w:rPr>
          <w:lang w:val="es-ES"/>
        </w:rPr>
      </w:pPr>
      <w:r>
        <w:rPr>
          <w:lang w:val="es-ES"/>
        </w:rPr>
        <w:t xml:space="preserve">Basándose en </w:t>
      </w:r>
      <w:r w:rsidRPr="008D1F0C">
        <w:rPr>
          <w:lang w:val="es-ES"/>
        </w:rPr>
        <w:t>la</w:t>
      </w:r>
      <w:r>
        <w:rPr>
          <w:lang w:val="es-ES"/>
        </w:rPr>
        <w:t>s deliberaciones llevadas a cabo recientemente</w:t>
      </w:r>
      <w:r w:rsidRPr="008D1F0C">
        <w:rPr>
          <w:lang w:val="es-ES"/>
        </w:rPr>
        <w:t xml:space="preserve"> en una reunión de la Junta, </w:t>
      </w:r>
      <w:r>
        <w:rPr>
          <w:lang w:val="es-ES"/>
        </w:rPr>
        <w:t xml:space="preserve">la Secretaría de Administración y Finanzas (SAF) </w:t>
      </w:r>
      <w:r w:rsidRPr="008D1F0C">
        <w:rPr>
          <w:lang w:val="es-ES"/>
        </w:rPr>
        <w:t xml:space="preserve">ofrece tres opciones posibles para la </w:t>
      </w:r>
      <w:r>
        <w:rPr>
          <w:lang w:val="es-ES"/>
        </w:rPr>
        <w:t xml:space="preserve">consideración de la </w:t>
      </w:r>
      <w:r w:rsidRPr="008D1F0C">
        <w:rPr>
          <w:lang w:val="es-ES"/>
        </w:rPr>
        <w:t>Junta</w:t>
      </w:r>
      <w:r w:rsidRPr="00B60230">
        <w:rPr>
          <w:lang w:val="es-ES"/>
        </w:rPr>
        <w:t>.</w:t>
      </w:r>
    </w:p>
    <w:p w14:paraId="3BAA6AA1" w14:textId="77777777" w:rsidR="00513189" w:rsidRPr="00EC26FC" w:rsidRDefault="00513189" w:rsidP="002E0720">
      <w:pPr>
        <w:rPr>
          <w:rFonts w:ascii="Calibri" w:eastAsia="Calibri" w:hAnsi="Calibri" w:cs="Calibri"/>
          <w:lang w:val="es-ES"/>
        </w:rPr>
      </w:pPr>
    </w:p>
    <w:p w14:paraId="13C97E21" w14:textId="167C4452" w:rsidR="00513189" w:rsidRPr="00B70F97" w:rsidRDefault="00513189" w:rsidP="002E0720">
      <w:pPr>
        <w:pStyle w:val="BodyText"/>
        <w:numPr>
          <w:ilvl w:val="0"/>
          <w:numId w:val="4"/>
        </w:numPr>
        <w:tabs>
          <w:tab w:val="left" w:pos="763"/>
        </w:tabs>
        <w:ind w:firstLine="0"/>
        <w:jc w:val="both"/>
        <w:rPr>
          <w:lang w:val="es-ES"/>
        </w:rPr>
      </w:pPr>
      <w:r w:rsidRPr="00B70F97">
        <w:rPr>
          <w:spacing w:val="-1"/>
          <w:lang w:val="es-ES"/>
        </w:rPr>
        <w:t xml:space="preserve">Encomendar al Departamento de Servicios Financieros que invierta el dinero del Fondo de </w:t>
      </w:r>
      <w:r>
        <w:rPr>
          <w:spacing w:val="-1"/>
          <w:lang w:val="es-ES"/>
        </w:rPr>
        <w:t>C</w:t>
      </w:r>
      <w:r w:rsidRPr="00B70F97">
        <w:rPr>
          <w:spacing w:val="-1"/>
          <w:lang w:val="es-ES"/>
        </w:rPr>
        <w:t xml:space="preserve">apital directamente en una empresa </w:t>
      </w:r>
      <w:r>
        <w:rPr>
          <w:spacing w:val="-1"/>
          <w:lang w:val="es-ES"/>
        </w:rPr>
        <w:t xml:space="preserve">grande </w:t>
      </w:r>
      <w:r w:rsidRPr="00B70F97">
        <w:rPr>
          <w:spacing w:val="-1"/>
          <w:lang w:val="es-ES"/>
        </w:rPr>
        <w:t>de gestión de inversiones,</w:t>
      </w:r>
      <w:r w:rsidRPr="00B70F97">
        <w:rPr>
          <w:lang w:val="es-ES"/>
        </w:rPr>
        <w:t xml:space="preserve"> </w:t>
      </w:r>
      <w:r>
        <w:rPr>
          <w:lang w:val="es-ES"/>
        </w:rPr>
        <w:t xml:space="preserve">tal </w:t>
      </w:r>
      <w:r w:rsidRPr="00B70F97">
        <w:rPr>
          <w:spacing w:val="-1"/>
          <w:lang w:val="es-ES"/>
        </w:rPr>
        <w:t xml:space="preserve">como </w:t>
      </w:r>
      <w:proofErr w:type="spellStart"/>
      <w:r w:rsidRPr="00B70F97">
        <w:rPr>
          <w:spacing w:val="-1"/>
          <w:lang w:val="es-ES"/>
        </w:rPr>
        <w:t>Vanguard</w:t>
      </w:r>
      <w:proofErr w:type="spellEnd"/>
      <w:r w:rsidRPr="00B70F97">
        <w:rPr>
          <w:spacing w:val="-1"/>
          <w:lang w:val="es-ES"/>
        </w:rPr>
        <w:t xml:space="preserve">. </w:t>
      </w:r>
      <w:r>
        <w:rPr>
          <w:spacing w:val="-1"/>
          <w:lang w:val="es-ES"/>
        </w:rPr>
        <w:t xml:space="preserve"> Al </w:t>
      </w:r>
      <w:r w:rsidRPr="00B70F97">
        <w:rPr>
          <w:spacing w:val="-1"/>
          <w:lang w:val="es-ES"/>
        </w:rPr>
        <w:t xml:space="preserve">Fondo de Capital </w:t>
      </w:r>
      <w:r>
        <w:rPr>
          <w:spacing w:val="-1"/>
          <w:lang w:val="es-ES"/>
        </w:rPr>
        <w:t>solamente le correspondería</w:t>
      </w:r>
      <w:r w:rsidR="00E16631">
        <w:rPr>
          <w:spacing w:val="-1"/>
          <w:lang w:val="es-ES"/>
        </w:rPr>
        <w:t xml:space="preserve"> solamente el pago de</w:t>
      </w:r>
      <w:r w:rsidR="000E31B7">
        <w:rPr>
          <w:spacing w:val="-1"/>
          <w:lang w:val="es-ES"/>
        </w:rPr>
        <w:t xml:space="preserve"> la comisión </w:t>
      </w:r>
      <w:r w:rsidR="00F209A9">
        <w:rPr>
          <w:spacing w:val="-1"/>
          <w:lang w:val="es-ES"/>
        </w:rPr>
        <w:t>básica</w:t>
      </w:r>
      <w:r w:rsidR="00E16631">
        <w:rPr>
          <w:spacing w:val="-1"/>
          <w:lang w:val="es-ES"/>
        </w:rPr>
        <w:t xml:space="preserve"> de</w:t>
      </w:r>
      <w:r w:rsidR="00F209A9">
        <w:rPr>
          <w:spacing w:val="-1"/>
          <w:lang w:val="es-ES"/>
        </w:rPr>
        <w:t xml:space="preserve"> inversión</w:t>
      </w:r>
      <w:r w:rsidR="00E16631">
        <w:rPr>
          <w:spacing w:val="-1"/>
          <w:lang w:val="es-ES"/>
        </w:rPr>
        <w:t xml:space="preserve"> del fondo.</w:t>
      </w:r>
      <w:r w:rsidRPr="00B70F97">
        <w:rPr>
          <w:spacing w:val="-1"/>
          <w:lang w:val="es-ES"/>
        </w:rPr>
        <w:t xml:space="preserve"> Invertir en fondos </w:t>
      </w:r>
      <w:r>
        <w:rPr>
          <w:spacing w:val="-1"/>
          <w:lang w:val="es-ES"/>
        </w:rPr>
        <w:t>de índice</w:t>
      </w:r>
      <w:r w:rsidRPr="00B70F97">
        <w:rPr>
          <w:spacing w:val="-1"/>
          <w:lang w:val="es-ES"/>
        </w:rPr>
        <w:t xml:space="preserve"> (que existen tanto para fondos de acciones como de</w:t>
      </w:r>
      <w:r>
        <w:rPr>
          <w:spacing w:val="-1"/>
          <w:lang w:val="es-ES"/>
        </w:rPr>
        <w:t xml:space="preserve"> fondos de</w:t>
      </w:r>
      <w:r w:rsidRPr="00B70F97">
        <w:rPr>
          <w:spacing w:val="-1"/>
          <w:lang w:val="es-ES"/>
        </w:rPr>
        <w:t xml:space="preserve"> bonos) podría </w:t>
      </w:r>
      <w:r>
        <w:rPr>
          <w:spacing w:val="-1"/>
          <w:lang w:val="es-ES"/>
        </w:rPr>
        <w:t>derivar</w:t>
      </w:r>
      <w:r w:rsidRPr="00B70F97">
        <w:rPr>
          <w:spacing w:val="-1"/>
          <w:lang w:val="es-ES"/>
        </w:rPr>
        <w:t xml:space="preserve"> en niveles de </w:t>
      </w:r>
      <w:r w:rsidR="009E1324">
        <w:rPr>
          <w:spacing w:val="-1"/>
          <w:lang w:val="es-ES"/>
        </w:rPr>
        <w:t>comisión</w:t>
      </w:r>
      <w:r w:rsidRPr="00B70F97">
        <w:rPr>
          <w:spacing w:val="-1"/>
          <w:lang w:val="es-ES"/>
        </w:rPr>
        <w:t xml:space="preserve"> del 0,2% (dos décim</w:t>
      </w:r>
      <w:r>
        <w:rPr>
          <w:spacing w:val="-1"/>
          <w:lang w:val="es-ES"/>
        </w:rPr>
        <w:t>o</w:t>
      </w:r>
      <w:r w:rsidRPr="00B70F97">
        <w:rPr>
          <w:spacing w:val="-1"/>
          <w:lang w:val="es-ES"/>
        </w:rPr>
        <w:t>s del uno por ciento) por año. La inclusión de fondos gestionados activamente (como</w:t>
      </w:r>
      <w:r w:rsidR="002E0720">
        <w:rPr>
          <w:spacing w:val="-1"/>
          <w:lang w:val="es-ES"/>
        </w:rPr>
        <w:t xml:space="preserve"> lo hace</w:t>
      </w:r>
      <w:r w:rsidRPr="00B70F97">
        <w:rPr>
          <w:spacing w:val="-1"/>
          <w:lang w:val="es-ES"/>
        </w:rPr>
        <w:t xml:space="preserve">, por ejemplo, el </w:t>
      </w:r>
      <w:bookmarkStart w:id="0" w:name="_Hlk68519774"/>
      <w:r w:rsidRPr="00B70F97">
        <w:rPr>
          <w:spacing w:val="-1"/>
          <w:lang w:val="es-ES"/>
        </w:rPr>
        <w:t xml:space="preserve">Fondo Fiduciario de Beneficios Médicos </w:t>
      </w:r>
      <w:bookmarkEnd w:id="0"/>
      <w:r w:rsidRPr="00B70F97">
        <w:rPr>
          <w:spacing w:val="-1"/>
          <w:lang w:val="es-ES"/>
        </w:rPr>
        <w:t xml:space="preserve">para </w:t>
      </w:r>
      <w:r w:rsidR="00017593">
        <w:rPr>
          <w:spacing w:val="-1"/>
          <w:lang w:val="es-ES"/>
        </w:rPr>
        <w:t>invertir</w:t>
      </w:r>
      <w:r w:rsidR="0044634A">
        <w:rPr>
          <w:spacing w:val="-1"/>
          <w:lang w:val="es-ES"/>
        </w:rPr>
        <w:t xml:space="preserve"> en </w:t>
      </w:r>
      <w:r w:rsidRPr="00B70F97">
        <w:rPr>
          <w:spacing w:val="-1"/>
          <w:lang w:val="es-ES"/>
        </w:rPr>
        <w:t>acciones</w:t>
      </w:r>
      <w:r w:rsidR="0044634A">
        <w:rPr>
          <w:spacing w:val="-1"/>
          <w:lang w:val="es-ES"/>
        </w:rPr>
        <w:t xml:space="preserve"> en el mercado </w:t>
      </w:r>
      <w:proofErr w:type="spellStart"/>
      <w:r w:rsidR="0044634A">
        <w:rPr>
          <w:spacing w:val="-1"/>
          <w:lang w:val="es-ES"/>
        </w:rPr>
        <w:t>muncial</w:t>
      </w:r>
      <w:proofErr w:type="spellEnd"/>
      <w:r w:rsidRPr="00B70F97">
        <w:rPr>
          <w:spacing w:val="-1"/>
          <w:lang w:val="es-ES"/>
        </w:rPr>
        <w:t>) elevaría el nivel de gastos.</w:t>
      </w:r>
    </w:p>
    <w:p w14:paraId="33F87116" w14:textId="77777777" w:rsidR="00513189" w:rsidRPr="00EC26FC" w:rsidRDefault="00513189" w:rsidP="002E0720">
      <w:pPr>
        <w:pStyle w:val="BodyText"/>
        <w:tabs>
          <w:tab w:val="left" w:pos="763"/>
        </w:tabs>
        <w:rPr>
          <w:spacing w:val="-1"/>
          <w:lang w:val="es-ES"/>
        </w:rPr>
      </w:pPr>
    </w:p>
    <w:p w14:paraId="44E00486" w14:textId="053191B7" w:rsidR="00513189" w:rsidRPr="00B53A58" w:rsidRDefault="003D1064" w:rsidP="002E0720">
      <w:pPr>
        <w:pStyle w:val="BodyText"/>
        <w:jc w:val="both"/>
        <w:rPr>
          <w:spacing w:val="-1"/>
          <w:lang w:val="es-ES"/>
        </w:rPr>
      </w:pPr>
      <w:r>
        <w:rPr>
          <w:spacing w:val="-1"/>
          <w:lang w:val="es-ES"/>
        </w:rPr>
        <w:t>Teniendo en cuenta este conjunto de circunstancias,</w:t>
      </w:r>
      <w:r w:rsidR="00513189" w:rsidRPr="00B53A58">
        <w:rPr>
          <w:spacing w:val="-1"/>
          <w:lang w:val="es-ES"/>
        </w:rPr>
        <w:t xml:space="preserve"> </w:t>
      </w:r>
      <w:r w:rsidR="00513189">
        <w:rPr>
          <w:spacing w:val="-1"/>
          <w:lang w:val="es-ES"/>
        </w:rPr>
        <w:t>la Secretaría de Administración y Finanzas</w:t>
      </w:r>
      <w:r w:rsidR="00513189" w:rsidRPr="00B53A58">
        <w:rPr>
          <w:spacing w:val="-1"/>
          <w:lang w:val="es-ES"/>
        </w:rPr>
        <w:t xml:space="preserve"> recomienda un </w:t>
      </w:r>
      <w:r w:rsidR="00020EC7">
        <w:rPr>
          <w:spacing w:val="-1"/>
          <w:lang w:val="es-ES"/>
        </w:rPr>
        <w:t>equilibrio en las inversiones</w:t>
      </w:r>
      <w:r w:rsidR="00513189">
        <w:rPr>
          <w:spacing w:val="-1"/>
          <w:lang w:val="es-ES"/>
        </w:rPr>
        <w:t xml:space="preserve"> que esté de acuerdo con </w:t>
      </w:r>
      <w:r w:rsidR="00513189" w:rsidRPr="00B53A58">
        <w:rPr>
          <w:spacing w:val="-1"/>
          <w:lang w:val="es-ES"/>
        </w:rPr>
        <w:t xml:space="preserve">la política de inversión del </w:t>
      </w:r>
      <w:r w:rsidR="00513189">
        <w:rPr>
          <w:spacing w:val="-1"/>
          <w:lang w:val="es-ES"/>
        </w:rPr>
        <w:t>Fondo Fiduciario de Beneficios Médicos</w:t>
      </w:r>
      <w:r w:rsidR="00513189" w:rsidRPr="00B53A58">
        <w:rPr>
          <w:spacing w:val="-1"/>
          <w:lang w:val="es-ES"/>
        </w:rPr>
        <w:t xml:space="preserve"> (v</w:t>
      </w:r>
      <w:r w:rsidR="00513189">
        <w:rPr>
          <w:spacing w:val="-1"/>
          <w:lang w:val="es-ES"/>
        </w:rPr>
        <w:t>éase</w:t>
      </w:r>
      <w:r w:rsidR="00513189" w:rsidRPr="00B53A58">
        <w:rPr>
          <w:spacing w:val="-1"/>
          <w:lang w:val="es-ES"/>
        </w:rPr>
        <w:t xml:space="preserve"> Anexo 2).</w:t>
      </w:r>
    </w:p>
    <w:p w14:paraId="611A7027" w14:textId="77777777" w:rsidR="00513189" w:rsidRPr="00B53A58" w:rsidRDefault="00513189" w:rsidP="002E0720">
      <w:pPr>
        <w:pStyle w:val="BodyText"/>
        <w:jc w:val="both"/>
        <w:rPr>
          <w:spacing w:val="-1"/>
          <w:lang w:val="es-ES"/>
        </w:rPr>
      </w:pPr>
    </w:p>
    <w:p w14:paraId="2089151B" w14:textId="674BDC3B" w:rsidR="00513189" w:rsidRDefault="00513189" w:rsidP="002E0720">
      <w:pPr>
        <w:pStyle w:val="BodyText"/>
        <w:jc w:val="both"/>
        <w:rPr>
          <w:spacing w:val="-1"/>
          <w:lang w:val="es-ES"/>
        </w:rPr>
      </w:pPr>
      <w:r w:rsidRPr="00A42B48">
        <w:rPr>
          <w:spacing w:val="-1"/>
          <w:lang w:val="es-ES"/>
        </w:rPr>
        <w:t xml:space="preserve">La proporción de fondos invertidos en acciones </w:t>
      </w:r>
      <w:r w:rsidR="00EC322D">
        <w:rPr>
          <w:spacing w:val="-1"/>
          <w:lang w:val="es-ES"/>
        </w:rPr>
        <w:t>versus</w:t>
      </w:r>
      <w:r w:rsidRPr="00A42B48">
        <w:rPr>
          <w:spacing w:val="-1"/>
          <w:lang w:val="es-ES"/>
        </w:rPr>
        <w:t xml:space="preserve"> bonos debe determinarse en función de la orientación de los Estados </w:t>
      </w:r>
      <w:r>
        <w:rPr>
          <w:spacing w:val="-1"/>
          <w:lang w:val="es-ES"/>
        </w:rPr>
        <w:t>M</w:t>
      </w:r>
      <w:r w:rsidRPr="00A42B48">
        <w:rPr>
          <w:spacing w:val="-1"/>
          <w:lang w:val="es-ES"/>
        </w:rPr>
        <w:t xml:space="preserve">iembros en cuanto al resultado deseado, en </w:t>
      </w:r>
      <w:r>
        <w:rPr>
          <w:spacing w:val="-1"/>
          <w:lang w:val="es-ES"/>
        </w:rPr>
        <w:t>especial</w:t>
      </w:r>
      <w:r w:rsidRPr="00A42B48">
        <w:rPr>
          <w:spacing w:val="-1"/>
          <w:lang w:val="es-ES"/>
        </w:rPr>
        <w:t xml:space="preserve"> las expectativas </w:t>
      </w:r>
      <w:r>
        <w:rPr>
          <w:spacing w:val="-1"/>
          <w:lang w:val="es-ES"/>
        </w:rPr>
        <w:t xml:space="preserve">con respecto a </w:t>
      </w:r>
      <w:r w:rsidR="007B46BA">
        <w:rPr>
          <w:spacing w:val="-1"/>
          <w:lang w:val="es-ES"/>
        </w:rPr>
        <w:t xml:space="preserve">la estimación de </w:t>
      </w:r>
      <w:r>
        <w:rPr>
          <w:spacing w:val="-1"/>
          <w:lang w:val="es-ES"/>
        </w:rPr>
        <w:t xml:space="preserve">los </w:t>
      </w:r>
      <w:r w:rsidRPr="00A42B48">
        <w:rPr>
          <w:spacing w:val="-1"/>
          <w:lang w:val="es-ES"/>
        </w:rPr>
        <w:t>retiros anuales del fondo.</w:t>
      </w:r>
    </w:p>
    <w:p w14:paraId="45FB5D70" w14:textId="77777777" w:rsidR="00513189" w:rsidRDefault="00513189" w:rsidP="002E0720">
      <w:pPr>
        <w:pStyle w:val="BodyText"/>
        <w:jc w:val="both"/>
        <w:rPr>
          <w:spacing w:val="-1"/>
          <w:lang w:val="es-ES"/>
        </w:rPr>
      </w:pPr>
    </w:p>
    <w:p w14:paraId="62263D52" w14:textId="41D1663B" w:rsidR="00513189" w:rsidRPr="002620D3" w:rsidRDefault="00513189" w:rsidP="002E0720">
      <w:pPr>
        <w:pStyle w:val="BodyText"/>
        <w:spacing w:line="239" w:lineRule="auto"/>
        <w:jc w:val="both"/>
        <w:rPr>
          <w:spacing w:val="-1"/>
          <w:lang w:val="es-ES"/>
        </w:rPr>
      </w:pPr>
      <w:r w:rsidRPr="002620D3">
        <w:rPr>
          <w:spacing w:val="-1"/>
          <w:lang w:val="es-ES"/>
        </w:rPr>
        <w:t>- Si el objetivo es la revalorización del capital a largo plazo en un p</w:t>
      </w:r>
      <w:r>
        <w:rPr>
          <w:spacing w:val="-1"/>
          <w:lang w:val="es-ES"/>
        </w:rPr>
        <w:t xml:space="preserve">eríodo </w:t>
      </w:r>
      <w:r w:rsidRPr="002620D3">
        <w:rPr>
          <w:spacing w:val="-1"/>
          <w:lang w:val="es-ES"/>
        </w:rPr>
        <w:t>de</w:t>
      </w:r>
      <w:r>
        <w:rPr>
          <w:spacing w:val="-1"/>
          <w:lang w:val="es-ES"/>
        </w:rPr>
        <w:t xml:space="preserve"> diez</w:t>
      </w:r>
      <w:r w:rsidRPr="002620D3">
        <w:rPr>
          <w:spacing w:val="-1"/>
          <w:lang w:val="es-ES"/>
        </w:rPr>
        <w:t xml:space="preserve"> años</w:t>
      </w:r>
      <w:r>
        <w:rPr>
          <w:spacing w:val="-1"/>
          <w:lang w:val="es-ES"/>
        </w:rPr>
        <w:t xml:space="preserve"> o más</w:t>
      </w:r>
      <w:r w:rsidRPr="002620D3">
        <w:rPr>
          <w:spacing w:val="-1"/>
          <w:lang w:val="es-ES"/>
        </w:rPr>
        <w:t xml:space="preserve">, deberíamos invertir </w:t>
      </w:r>
      <w:r>
        <w:rPr>
          <w:spacing w:val="-1"/>
          <w:lang w:val="es-ES"/>
        </w:rPr>
        <w:t xml:space="preserve">más </w:t>
      </w:r>
      <w:r w:rsidRPr="002620D3">
        <w:rPr>
          <w:spacing w:val="-1"/>
          <w:lang w:val="es-ES"/>
        </w:rPr>
        <w:t xml:space="preserve">en acciones. El </w:t>
      </w:r>
      <w:r w:rsidRPr="00B70F97">
        <w:rPr>
          <w:spacing w:val="-1"/>
          <w:lang w:val="es-ES"/>
        </w:rPr>
        <w:t xml:space="preserve">Fondo Fiduciario de Beneficios Médicos </w:t>
      </w:r>
      <w:r>
        <w:rPr>
          <w:spacing w:val="-1"/>
          <w:lang w:val="es-ES"/>
        </w:rPr>
        <w:t>(</w:t>
      </w:r>
      <w:r w:rsidRPr="002620D3">
        <w:rPr>
          <w:spacing w:val="-1"/>
          <w:lang w:val="es-ES"/>
        </w:rPr>
        <w:t>MBTF</w:t>
      </w:r>
      <w:r>
        <w:rPr>
          <w:spacing w:val="-1"/>
          <w:lang w:val="es-ES"/>
        </w:rPr>
        <w:t>)</w:t>
      </w:r>
      <w:r w:rsidRPr="002620D3">
        <w:rPr>
          <w:spacing w:val="-1"/>
          <w:lang w:val="es-ES"/>
        </w:rPr>
        <w:t xml:space="preserve"> invierte el 70% de su cartera en acciones (50% de EE. UU., 20% a nivel mundial) y 30% en bonos, </w:t>
      </w:r>
      <w:r w:rsidR="006252C6">
        <w:rPr>
          <w:spacing w:val="-1"/>
          <w:lang w:val="es-ES"/>
        </w:rPr>
        <w:t xml:space="preserve">de acuerdo </w:t>
      </w:r>
      <w:r w:rsidRPr="002620D3">
        <w:rPr>
          <w:spacing w:val="-1"/>
          <w:lang w:val="es-ES"/>
        </w:rPr>
        <w:t>con su objetivo de obtener un crecimiento del capital a largo plazo.</w:t>
      </w:r>
    </w:p>
    <w:p w14:paraId="700B5145" w14:textId="404E087C" w:rsidR="00513189" w:rsidRDefault="00513189" w:rsidP="002E0720">
      <w:pPr>
        <w:pStyle w:val="BodyText"/>
        <w:spacing w:line="239" w:lineRule="auto"/>
        <w:jc w:val="both"/>
        <w:rPr>
          <w:spacing w:val="-1"/>
          <w:lang w:val="es-ES"/>
        </w:rPr>
      </w:pPr>
      <w:r w:rsidRPr="002620D3">
        <w:rPr>
          <w:spacing w:val="-1"/>
          <w:lang w:val="es-ES"/>
        </w:rPr>
        <w:t xml:space="preserve">- Si la Junta </w:t>
      </w:r>
      <w:r w:rsidR="007A264E">
        <w:rPr>
          <w:spacing w:val="-1"/>
          <w:lang w:val="es-ES"/>
        </w:rPr>
        <w:t>prevé</w:t>
      </w:r>
      <w:r w:rsidRPr="002620D3">
        <w:rPr>
          <w:spacing w:val="-1"/>
          <w:lang w:val="es-ES"/>
        </w:rPr>
        <w:t xml:space="preserve"> un gasto anual significativo del Fondo de Capital dentro de los próximos </w:t>
      </w:r>
      <w:r>
        <w:rPr>
          <w:spacing w:val="-1"/>
          <w:lang w:val="es-ES"/>
        </w:rPr>
        <w:t>cinco</w:t>
      </w:r>
      <w:r w:rsidRPr="002620D3">
        <w:rPr>
          <w:spacing w:val="-1"/>
          <w:lang w:val="es-ES"/>
        </w:rPr>
        <w:t xml:space="preserve"> años, </w:t>
      </w:r>
      <w:r>
        <w:rPr>
          <w:spacing w:val="-1"/>
          <w:lang w:val="es-ES"/>
        </w:rPr>
        <w:t xml:space="preserve">la Secretaría de Administración y Finanzas recomendaría </w:t>
      </w:r>
      <w:r w:rsidRPr="002620D3">
        <w:rPr>
          <w:spacing w:val="-1"/>
          <w:lang w:val="es-ES"/>
        </w:rPr>
        <w:t>una combinación de inversiones más</w:t>
      </w:r>
      <w:r>
        <w:rPr>
          <w:spacing w:val="-1"/>
          <w:lang w:val="es-ES"/>
        </w:rPr>
        <w:t xml:space="preserve"> fuertemente</w:t>
      </w:r>
      <w:r w:rsidRPr="002620D3">
        <w:rPr>
          <w:spacing w:val="-1"/>
          <w:lang w:val="es-ES"/>
        </w:rPr>
        <w:t xml:space="preserve"> ponderada en bonos, quizás 60% acciones / 40% bonos.</w:t>
      </w:r>
    </w:p>
    <w:p w14:paraId="61893667" w14:textId="77777777" w:rsidR="00E232B0" w:rsidRDefault="00E232B0" w:rsidP="002E0720">
      <w:pPr>
        <w:spacing w:before="1"/>
        <w:ind w:left="450"/>
        <w:rPr>
          <w:spacing w:val="-1"/>
          <w:lang w:val="es-ES"/>
        </w:rPr>
      </w:pPr>
    </w:p>
    <w:p w14:paraId="3CF9ADE3" w14:textId="1A02A7CF" w:rsidR="00513189" w:rsidRPr="002F70CF" w:rsidRDefault="00513189" w:rsidP="002E0720">
      <w:pPr>
        <w:spacing w:before="1"/>
        <w:ind w:left="450"/>
        <w:rPr>
          <w:snapToGrid w:val="0"/>
          <w:spacing w:val="-2"/>
          <w:lang w:val="es-US"/>
        </w:rPr>
      </w:pPr>
      <w:r w:rsidRPr="00363F75">
        <w:rPr>
          <w:spacing w:val="-1"/>
          <w:lang w:val="es-ES"/>
        </w:rPr>
        <w:t xml:space="preserve">No </w:t>
      </w:r>
      <w:r w:rsidR="00215FB1">
        <w:rPr>
          <w:spacing w:val="-1"/>
          <w:lang w:val="es-ES"/>
        </w:rPr>
        <w:t>existe ninguna disposición</w:t>
      </w:r>
      <w:r w:rsidRPr="00363F75">
        <w:rPr>
          <w:spacing w:val="-1"/>
          <w:lang w:val="es-ES"/>
        </w:rPr>
        <w:t xml:space="preserve"> en los instrumentos rectores aplicables que </w:t>
      </w:r>
      <w:r w:rsidR="001651E0">
        <w:rPr>
          <w:spacing w:val="-1"/>
          <w:lang w:val="es-ES"/>
        </w:rPr>
        <w:t>no permita</w:t>
      </w:r>
      <w:r w:rsidRPr="00363F75">
        <w:rPr>
          <w:spacing w:val="-1"/>
          <w:lang w:val="es-ES"/>
        </w:rPr>
        <w:t xml:space="preserve"> que </w:t>
      </w:r>
      <w:r>
        <w:rPr>
          <w:spacing w:val="-1"/>
          <w:lang w:val="es-ES"/>
        </w:rPr>
        <w:t>la Junta Directiva de la Agencia Interamericana para la Cooperación y el Desarrollo</w:t>
      </w:r>
      <w:r w:rsidRPr="00363F75">
        <w:rPr>
          <w:spacing w:val="-1"/>
          <w:lang w:val="es-ES"/>
        </w:rPr>
        <w:t xml:space="preserve"> tome la decisión señalada en esta opción. Además, la Junta </w:t>
      </w:r>
      <w:r>
        <w:rPr>
          <w:spacing w:val="-1"/>
          <w:lang w:val="es-ES"/>
        </w:rPr>
        <w:t>Directiva</w:t>
      </w:r>
      <w:r w:rsidRPr="00363F75">
        <w:rPr>
          <w:spacing w:val="-1"/>
          <w:lang w:val="es-ES"/>
        </w:rPr>
        <w:t xml:space="preserve"> </w:t>
      </w:r>
      <w:r w:rsidR="001B2B41">
        <w:rPr>
          <w:spacing w:val="-1"/>
          <w:lang w:val="es-ES"/>
        </w:rPr>
        <w:t>cuenta con la expresa auto</w:t>
      </w:r>
      <w:r w:rsidR="00F9606C">
        <w:rPr>
          <w:spacing w:val="-1"/>
          <w:lang w:val="es-ES"/>
        </w:rPr>
        <w:t>ridad</w:t>
      </w:r>
      <w:r w:rsidR="001B2B41">
        <w:rPr>
          <w:spacing w:val="-1"/>
          <w:lang w:val="es-ES"/>
        </w:rPr>
        <w:t xml:space="preserve"> para</w:t>
      </w:r>
      <w:r w:rsidRPr="00363F75">
        <w:rPr>
          <w:spacing w:val="-1"/>
          <w:lang w:val="es-ES"/>
        </w:rPr>
        <w:t xml:space="preserve"> </w:t>
      </w:r>
      <w:r w:rsidR="001B2B41">
        <w:rPr>
          <w:spacing w:val="-1"/>
          <w:lang w:val="es-ES"/>
        </w:rPr>
        <w:t>encomendar</w:t>
      </w:r>
      <w:r w:rsidRPr="00363F75">
        <w:rPr>
          <w:spacing w:val="-1"/>
          <w:lang w:val="es-ES"/>
        </w:rPr>
        <w:t xml:space="preserve"> al D</w:t>
      </w:r>
      <w:r>
        <w:rPr>
          <w:spacing w:val="-1"/>
          <w:lang w:val="es-ES"/>
        </w:rPr>
        <w:t xml:space="preserve">epartamento de Servicios Financieros </w:t>
      </w:r>
      <w:r w:rsidRPr="00363F75">
        <w:rPr>
          <w:spacing w:val="-1"/>
          <w:lang w:val="es-ES"/>
        </w:rPr>
        <w:t xml:space="preserve"> que invierta los fondos de conformidad con los </w:t>
      </w:r>
      <w:r w:rsidR="00E034D8">
        <w:rPr>
          <w:spacing w:val="-1"/>
          <w:lang w:val="es-ES"/>
        </w:rPr>
        <w:t>a</w:t>
      </w:r>
      <w:r w:rsidRPr="00363F75">
        <w:rPr>
          <w:spacing w:val="-1"/>
          <w:lang w:val="es-ES"/>
        </w:rPr>
        <w:t>rtículos 3.2 y 4.3 (a) y (b) de</w:t>
      </w:r>
      <w:r w:rsidR="00E034D8">
        <w:rPr>
          <w:spacing w:val="-1"/>
          <w:lang w:val="es-ES"/>
        </w:rPr>
        <w:t>l</w:t>
      </w:r>
      <w:r w:rsidRPr="00363F75">
        <w:rPr>
          <w:spacing w:val="-1"/>
          <w:lang w:val="es-ES"/>
        </w:rPr>
        <w:t xml:space="preserve"> Estatuto del Fondo de Capital, que establecen, respectivamente, que el Tesorero de la SG/OEA actuará como Tesorero del Fondo y </w:t>
      </w:r>
      <w:r>
        <w:rPr>
          <w:spacing w:val="-1"/>
          <w:lang w:val="es-ES"/>
        </w:rPr>
        <w:t xml:space="preserve"> </w:t>
      </w:r>
      <w:r>
        <w:rPr>
          <w:spacing w:val="-2"/>
          <w:lang w:val="es-ES"/>
        </w:rPr>
        <w:t>“</w:t>
      </w:r>
      <w:r w:rsidRPr="002555B6">
        <w:rPr>
          <w:spacing w:val="-2"/>
          <w:lang w:val="es-ES"/>
        </w:rPr>
        <w:t xml:space="preserve">será responsable del recibo, contabilidad y desembolsos de los recursos, así como de las inversiones, de acuerdo con el reglamento del Fondo y las decisiones e instrucciones que reciba de la </w:t>
      </w:r>
      <w:r w:rsidRPr="006A1DCE">
        <w:rPr>
          <w:spacing w:val="-2"/>
          <w:lang w:val="es-ES"/>
        </w:rPr>
        <w:t>Junta Directiva de la AICD</w:t>
      </w:r>
      <w:r>
        <w:rPr>
          <w:spacing w:val="-2"/>
          <w:lang w:val="es-ES"/>
        </w:rPr>
        <w:t xml:space="preserve">” </w:t>
      </w:r>
      <w:r w:rsidRPr="00363F75">
        <w:rPr>
          <w:spacing w:val="-1"/>
          <w:lang w:val="es-ES"/>
        </w:rPr>
        <w:t>y que</w:t>
      </w:r>
      <w:r>
        <w:rPr>
          <w:spacing w:val="-1"/>
          <w:lang w:val="es-ES"/>
        </w:rPr>
        <w:t xml:space="preserve"> la Junta Directiva cumplirá con las funciones específicas de </w:t>
      </w:r>
      <w:r>
        <w:rPr>
          <w:snapToGrid w:val="0"/>
          <w:spacing w:val="-2"/>
          <w:lang w:val="es-US"/>
        </w:rPr>
        <w:t>“</w:t>
      </w:r>
      <w:r>
        <w:rPr>
          <w:rFonts w:cstheme="minorHAnsi"/>
          <w:snapToGrid w:val="0"/>
          <w:spacing w:val="-2"/>
          <w:lang w:val="es-US"/>
        </w:rPr>
        <w:t>[</w:t>
      </w:r>
      <w:r>
        <w:rPr>
          <w:snapToGrid w:val="0"/>
          <w:spacing w:val="-2"/>
          <w:lang w:val="es-US"/>
        </w:rPr>
        <w:t>d</w:t>
      </w:r>
      <w:r>
        <w:rPr>
          <w:rFonts w:cstheme="minorHAnsi"/>
          <w:snapToGrid w:val="0"/>
          <w:spacing w:val="-2"/>
          <w:lang w:val="es-US"/>
        </w:rPr>
        <w:t>]</w:t>
      </w:r>
      <w:proofErr w:type="spellStart"/>
      <w:r w:rsidRPr="002F70CF">
        <w:rPr>
          <w:snapToGrid w:val="0"/>
          <w:spacing w:val="-2"/>
          <w:lang w:val="es-US"/>
        </w:rPr>
        <w:t>eterminar</w:t>
      </w:r>
      <w:proofErr w:type="spellEnd"/>
      <w:r w:rsidRPr="002F70CF">
        <w:rPr>
          <w:snapToGrid w:val="0"/>
          <w:spacing w:val="-2"/>
          <w:lang w:val="es-US"/>
        </w:rPr>
        <w:t xml:space="preserve"> la estrategia de inversión del Fondo dentro de los lineamientos establecidos en este Estatuto</w:t>
      </w:r>
      <w:r>
        <w:rPr>
          <w:snapToGrid w:val="0"/>
          <w:spacing w:val="-2"/>
          <w:lang w:val="es-US"/>
        </w:rPr>
        <w:t xml:space="preserve">…” </w:t>
      </w:r>
      <w:r w:rsidR="00B25661">
        <w:rPr>
          <w:snapToGrid w:val="0"/>
          <w:spacing w:val="-2"/>
          <w:lang w:val="es-US"/>
        </w:rPr>
        <w:t xml:space="preserve">y de </w:t>
      </w:r>
      <w:r>
        <w:rPr>
          <w:snapToGrid w:val="0"/>
          <w:spacing w:val="-2"/>
          <w:lang w:val="es-US"/>
        </w:rPr>
        <w:t>“r</w:t>
      </w:r>
      <w:r w:rsidRPr="002F70CF">
        <w:rPr>
          <w:snapToGrid w:val="0"/>
          <w:spacing w:val="-2"/>
          <w:lang w:val="es-US"/>
        </w:rPr>
        <w:t>evisar y supervisar las inversiones del Fondo en forma regular y modificar su cartera cuando sea necesario para lograr los objetivos del Fondo, dentro de la política de inversión que la Junta Directiva de la AICD haya establecido</w:t>
      </w:r>
      <w:r>
        <w:rPr>
          <w:snapToGrid w:val="0"/>
          <w:spacing w:val="-2"/>
          <w:lang w:val="es-US"/>
        </w:rPr>
        <w:t>.”</w:t>
      </w:r>
    </w:p>
    <w:p w14:paraId="601D9CEB" w14:textId="20EE9E26" w:rsidR="00513189" w:rsidRPr="00682E55" w:rsidRDefault="00513189" w:rsidP="002E0720">
      <w:pPr>
        <w:pStyle w:val="BodyText"/>
        <w:numPr>
          <w:ilvl w:val="0"/>
          <w:numId w:val="4"/>
        </w:numPr>
        <w:tabs>
          <w:tab w:val="left" w:pos="724"/>
        </w:tabs>
        <w:spacing w:line="239" w:lineRule="auto"/>
        <w:ind w:firstLine="0"/>
        <w:jc w:val="both"/>
        <w:rPr>
          <w:lang w:val="es-ES"/>
        </w:rPr>
      </w:pPr>
      <w:r w:rsidRPr="00682E55">
        <w:rPr>
          <w:lang w:val="es-ES"/>
        </w:rPr>
        <w:t>Inv</w:t>
      </w:r>
      <w:r>
        <w:rPr>
          <w:lang w:val="es-ES"/>
        </w:rPr>
        <w:t>ertir</w:t>
      </w:r>
      <w:r w:rsidR="0077734A">
        <w:rPr>
          <w:lang w:val="es-ES"/>
        </w:rPr>
        <w:t xml:space="preserve"> de la forma indicada</w:t>
      </w:r>
      <w:r w:rsidRPr="00682E55">
        <w:rPr>
          <w:lang w:val="es-ES"/>
        </w:rPr>
        <w:t xml:space="preserve"> </w:t>
      </w:r>
      <w:r>
        <w:rPr>
          <w:lang w:val="es-ES"/>
        </w:rPr>
        <w:t>anteriormente</w:t>
      </w:r>
      <w:r w:rsidRPr="00682E55">
        <w:rPr>
          <w:lang w:val="es-ES"/>
        </w:rPr>
        <w:t>, pero p</w:t>
      </w:r>
      <w:r>
        <w:rPr>
          <w:lang w:val="es-ES"/>
        </w:rPr>
        <w:t>agar</w:t>
      </w:r>
      <w:r w:rsidRPr="00682E55">
        <w:rPr>
          <w:lang w:val="es-ES"/>
        </w:rPr>
        <w:t xml:space="preserve"> una </w:t>
      </w:r>
      <w:r w:rsidR="0077734A">
        <w:rPr>
          <w:lang w:val="es-ES"/>
        </w:rPr>
        <w:t>comisión</w:t>
      </w:r>
      <w:r>
        <w:rPr>
          <w:lang w:val="es-ES"/>
        </w:rPr>
        <w:t xml:space="preserve"> por separado</w:t>
      </w:r>
      <w:r w:rsidRPr="00682E55">
        <w:rPr>
          <w:lang w:val="es-ES"/>
        </w:rPr>
        <w:t xml:space="preserve"> para obtener servicios de ases</w:t>
      </w:r>
      <w:r>
        <w:rPr>
          <w:lang w:val="es-ES"/>
        </w:rPr>
        <w:t>oramiento en inversiones.</w:t>
      </w:r>
      <w:r w:rsidRPr="00682E55">
        <w:rPr>
          <w:lang w:val="es-ES"/>
        </w:rPr>
        <w:t xml:space="preserve"> </w:t>
      </w:r>
      <w:r w:rsidR="00B45958">
        <w:rPr>
          <w:lang w:val="es-ES"/>
        </w:rPr>
        <w:t>Es probable que l</w:t>
      </w:r>
      <w:r w:rsidRPr="00682E55">
        <w:rPr>
          <w:lang w:val="es-ES"/>
        </w:rPr>
        <w:t xml:space="preserve">a </w:t>
      </w:r>
      <w:r w:rsidR="0077734A">
        <w:rPr>
          <w:lang w:val="es-ES"/>
        </w:rPr>
        <w:t>comisión por</w:t>
      </w:r>
      <w:r w:rsidRPr="00682E55">
        <w:rPr>
          <w:lang w:val="es-ES"/>
        </w:rPr>
        <w:t xml:space="preserve"> asesor</w:t>
      </w:r>
      <w:r>
        <w:rPr>
          <w:lang w:val="es-ES"/>
        </w:rPr>
        <w:t xml:space="preserve">amiento </w:t>
      </w:r>
      <w:r w:rsidR="00B45958">
        <w:rPr>
          <w:lang w:val="es-ES"/>
        </w:rPr>
        <w:t>sea</w:t>
      </w:r>
      <w:r w:rsidRPr="00682E55">
        <w:rPr>
          <w:lang w:val="es-ES"/>
        </w:rPr>
        <w:t xml:space="preserve"> aproximadamente la misma que la SG/OEA paga por sus otros fondos, quizás $ 17</w:t>
      </w:r>
      <w:r>
        <w:rPr>
          <w:lang w:val="es-ES"/>
        </w:rPr>
        <w:t>.</w:t>
      </w:r>
      <w:r w:rsidRPr="00682E55">
        <w:rPr>
          <w:lang w:val="es-ES"/>
        </w:rPr>
        <w:t xml:space="preserve">500 por año. Esto probablemente agregaría </w:t>
      </w:r>
      <w:r w:rsidR="00D643E7" w:rsidRPr="00682E55">
        <w:rPr>
          <w:lang w:val="es-ES"/>
        </w:rPr>
        <w:t>un costo adicional</w:t>
      </w:r>
      <w:r w:rsidRPr="00682E55">
        <w:rPr>
          <w:lang w:val="es-ES"/>
        </w:rPr>
        <w:t xml:space="preserve"> </w:t>
      </w:r>
      <w:r w:rsidR="00212780">
        <w:rPr>
          <w:lang w:val="es-ES"/>
        </w:rPr>
        <w:t>de 0</w:t>
      </w:r>
      <w:r w:rsidRPr="00682E55">
        <w:rPr>
          <w:lang w:val="es-ES"/>
        </w:rPr>
        <w:t xml:space="preserve">.45% </w:t>
      </w:r>
      <w:r w:rsidR="00212780">
        <w:rPr>
          <w:lang w:val="es-ES"/>
        </w:rPr>
        <w:t>sobre</w:t>
      </w:r>
      <w:r w:rsidRPr="00682E55">
        <w:rPr>
          <w:lang w:val="es-ES"/>
        </w:rPr>
        <w:t xml:space="preserve"> la</w:t>
      </w:r>
      <w:r w:rsidR="00A44CD5">
        <w:rPr>
          <w:lang w:val="es-ES"/>
        </w:rPr>
        <w:t xml:space="preserve"> comisión</w:t>
      </w:r>
      <w:r w:rsidR="00212780">
        <w:rPr>
          <w:lang w:val="es-ES"/>
        </w:rPr>
        <w:t xml:space="preserve"> que debe pagarse </w:t>
      </w:r>
      <w:r w:rsidR="00F9606C">
        <w:rPr>
          <w:lang w:val="es-ES"/>
        </w:rPr>
        <w:t>por</w:t>
      </w:r>
      <w:r w:rsidR="00212780">
        <w:rPr>
          <w:lang w:val="es-ES"/>
        </w:rPr>
        <w:t xml:space="preserve"> los fondos de inversión.</w:t>
      </w:r>
      <w:r w:rsidRPr="00682E55">
        <w:rPr>
          <w:lang w:val="es-ES"/>
        </w:rPr>
        <w:t xml:space="preserve"> Debido al valor relativamente pequeño de este fondo y a</w:t>
      </w:r>
      <w:r w:rsidR="00FE7421">
        <w:rPr>
          <w:lang w:val="es-ES"/>
        </w:rPr>
        <w:t>l hecho de</w:t>
      </w:r>
      <w:r w:rsidRPr="00682E55">
        <w:rPr>
          <w:lang w:val="es-ES"/>
        </w:rPr>
        <w:t xml:space="preserve"> que la SG/OEA ya tiene experiencia y familiaridad con la administración de fondos de inversión </w:t>
      </w:r>
      <w:r>
        <w:rPr>
          <w:lang w:val="es-ES"/>
        </w:rPr>
        <w:t>de mayor envergadura</w:t>
      </w:r>
      <w:r w:rsidRPr="00682E55">
        <w:rPr>
          <w:lang w:val="es-ES"/>
        </w:rPr>
        <w:t xml:space="preserve">, la SAF no </w:t>
      </w:r>
      <w:r w:rsidRPr="00682E55">
        <w:rPr>
          <w:lang w:val="es-ES"/>
        </w:rPr>
        <w:lastRenderedPageBreak/>
        <w:t xml:space="preserve">recomienda gastar esta </w:t>
      </w:r>
      <w:r>
        <w:rPr>
          <w:lang w:val="es-ES"/>
        </w:rPr>
        <w:t xml:space="preserve">considerable </w:t>
      </w:r>
      <w:r w:rsidR="003F346D">
        <w:rPr>
          <w:lang w:val="es-ES"/>
        </w:rPr>
        <w:t>comisión</w:t>
      </w:r>
      <w:r w:rsidRPr="00682E55">
        <w:rPr>
          <w:lang w:val="es-ES"/>
        </w:rPr>
        <w:t xml:space="preserve"> anual para contratar un asesor </w:t>
      </w:r>
      <w:r w:rsidR="003F346D">
        <w:rPr>
          <w:lang w:val="es-ES"/>
        </w:rPr>
        <w:t>en</w:t>
      </w:r>
      <w:r w:rsidRPr="00682E55">
        <w:rPr>
          <w:lang w:val="es-ES"/>
        </w:rPr>
        <w:t xml:space="preserve"> inversiones.</w:t>
      </w:r>
    </w:p>
    <w:p w14:paraId="6B19C72C" w14:textId="77777777" w:rsidR="00513189" w:rsidRPr="00682E55" w:rsidRDefault="00513189" w:rsidP="002E0720">
      <w:pPr>
        <w:pStyle w:val="BodyText"/>
        <w:tabs>
          <w:tab w:val="left" w:pos="724"/>
        </w:tabs>
        <w:spacing w:line="239" w:lineRule="auto"/>
        <w:jc w:val="both"/>
        <w:rPr>
          <w:lang w:val="es-ES"/>
        </w:rPr>
      </w:pPr>
    </w:p>
    <w:p w14:paraId="3BAAA87E" w14:textId="48637712" w:rsidR="00513189" w:rsidRDefault="00513189" w:rsidP="002E0720">
      <w:pPr>
        <w:pStyle w:val="BodyText"/>
        <w:numPr>
          <w:ilvl w:val="0"/>
          <w:numId w:val="4"/>
        </w:numPr>
        <w:tabs>
          <w:tab w:val="left" w:pos="717"/>
        </w:tabs>
        <w:ind w:firstLine="0"/>
        <w:jc w:val="both"/>
        <w:rPr>
          <w:lang w:val="es-ES"/>
        </w:rPr>
      </w:pPr>
      <w:r w:rsidRPr="00830F1E">
        <w:rPr>
          <w:lang w:val="es-ES"/>
        </w:rPr>
        <w:t xml:space="preserve">Incluir el Fondo de Capital en un arreglo mancomunado (manteniendo los fondos legalmente separados) con el MBTF y o el </w:t>
      </w:r>
      <w:r w:rsidR="00C32032">
        <w:rPr>
          <w:lang w:val="es-ES"/>
        </w:rPr>
        <w:t>F</w:t>
      </w:r>
      <w:r w:rsidRPr="00830F1E">
        <w:rPr>
          <w:lang w:val="es-ES"/>
        </w:rPr>
        <w:t xml:space="preserve">ondo Rowe. Esta opción es más complicada y no está disponible de </w:t>
      </w:r>
      <w:r w:rsidR="00C32032">
        <w:rPr>
          <w:lang w:val="es-ES"/>
        </w:rPr>
        <w:t xml:space="preserve">forma </w:t>
      </w:r>
      <w:r w:rsidRPr="00830F1E">
        <w:rPr>
          <w:lang w:val="es-ES"/>
        </w:rPr>
        <w:t>inmediat</w:t>
      </w:r>
      <w:r w:rsidR="00C32032">
        <w:rPr>
          <w:lang w:val="es-ES"/>
        </w:rPr>
        <w:t>a</w:t>
      </w:r>
      <w:r w:rsidR="00931D2F">
        <w:rPr>
          <w:lang w:val="es-ES"/>
        </w:rPr>
        <w:t>. Es</w:t>
      </w:r>
      <w:r w:rsidR="00A97984">
        <w:rPr>
          <w:lang w:val="es-ES"/>
        </w:rPr>
        <w:t xml:space="preserve"> necesario </w:t>
      </w:r>
      <w:r w:rsidR="0006257E">
        <w:rPr>
          <w:lang w:val="es-ES"/>
        </w:rPr>
        <w:t>que</w:t>
      </w:r>
      <w:r w:rsidR="00A97984">
        <w:rPr>
          <w:lang w:val="es-ES"/>
        </w:rPr>
        <w:t xml:space="preserve"> </w:t>
      </w:r>
      <w:r w:rsidR="00094FB7">
        <w:rPr>
          <w:lang w:val="es-ES"/>
        </w:rPr>
        <w:t>el tema se trate</w:t>
      </w:r>
      <w:r w:rsidR="00A97984">
        <w:rPr>
          <w:lang w:val="es-ES"/>
        </w:rPr>
        <w:t xml:space="preserve"> </w:t>
      </w:r>
      <w:r w:rsidRPr="00830F1E">
        <w:rPr>
          <w:lang w:val="es-ES"/>
        </w:rPr>
        <w:t>con los órganos rectores de los otros dos fondos. Sin embargo, si uno</w:t>
      </w:r>
      <w:r w:rsidR="00221B5D">
        <w:rPr>
          <w:lang w:val="es-ES"/>
        </w:rPr>
        <w:t xml:space="preserve"> de los otros dos fondos,</w:t>
      </w:r>
      <w:r w:rsidRPr="00830F1E">
        <w:rPr>
          <w:lang w:val="es-ES"/>
        </w:rPr>
        <w:t xml:space="preserve"> o ambos</w:t>
      </w:r>
      <w:r w:rsidR="00221B5D">
        <w:rPr>
          <w:lang w:val="es-ES"/>
        </w:rPr>
        <w:t>,</w:t>
      </w:r>
      <w:r w:rsidRPr="00830F1E">
        <w:rPr>
          <w:lang w:val="es-ES"/>
        </w:rPr>
        <w:t xml:space="preserve"> eligieran esta opción, podríamos simplificar nuestros procedimientos de administración de fondos, obtener </w:t>
      </w:r>
      <w:r w:rsidR="00931D2F">
        <w:rPr>
          <w:lang w:val="es-ES"/>
        </w:rPr>
        <w:t xml:space="preserve">mejor información </w:t>
      </w:r>
      <w:r w:rsidR="00A97984">
        <w:rPr>
          <w:lang w:val="es-ES"/>
        </w:rPr>
        <w:t>en tiempo cuasi real</w:t>
      </w:r>
      <w:r w:rsidRPr="00830F1E">
        <w:rPr>
          <w:lang w:val="es-ES"/>
        </w:rPr>
        <w:t xml:space="preserve"> y obtener servicios de asesoría y cofiduciarios, lo que podría reducir </w:t>
      </w:r>
      <w:r w:rsidR="004F5F76">
        <w:rPr>
          <w:lang w:val="es-ES"/>
        </w:rPr>
        <w:t xml:space="preserve">el total de </w:t>
      </w:r>
      <w:r w:rsidR="00094FB7">
        <w:rPr>
          <w:lang w:val="es-ES"/>
        </w:rPr>
        <w:t>comisiones</w:t>
      </w:r>
      <w:r w:rsidR="004F5F76">
        <w:rPr>
          <w:lang w:val="es-ES"/>
        </w:rPr>
        <w:t xml:space="preserve"> a pagar</w:t>
      </w:r>
      <w:r w:rsidRPr="00830F1E">
        <w:rPr>
          <w:lang w:val="es-ES"/>
        </w:rPr>
        <w:t xml:space="preserve"> por los fondos participantes</w:t>
      </w:r>
      <w:r w:rsidR="004F5F76">
        <w:rPr>
          <w:lang w:val="es-ES"/>
        </w:rPr>
        <w:t xml:space="preserve"> en vari</w:t>
      </w:r>
      <w:r w:rsidR="000D3585">
        <w:rPr>
          <w:lang w:val="es-ES"/>
        </w:rPr>
        <w:t>a</w:t>
      </w:r>
      <w:r w:rsidR="004F5F76">
        <w:rPr>
          <w:lang w:val="es-ES"/>
        </w:rPr>
        <w:t>s</w:t>
      </w:r>
      <w:r w:rsidR="000D3585">
        <w:rPr>
          <w:lang w:val="es-ES"/>
        </w:rPr>
        <w:t xml:space="preserve"> decenas</w:t>
      </w:r>
      <w:r w:rsidR="004F5F76">
        <w:rPr>
          <w:lang w:val="es-ES"/>
        </w:rPr>
        <w:t xml:space="preserve"> de miles de</w:t>
      </w:r>
      <w:r w:rsidRPr="00830F1E">
        <w:rPr>
          <w:lang w:val="es-ES"/>
        </w:rPr>
        <w:t xml:space="preserve"> dólares.</w:t>
      </w:r>
    </w:p>
    <w:p w14:paraId="1D0ECFE7" w14:textId="77777777" w:rsidR="00513189" w:rsidRPr="00830F1E" w:rsidRDefault="00513189" w:rsidP="002E0720">
      <w:pPr>
        <w:pStyle w:val="BodyText"/>
        <w:tabs>
          <w:tab w:val="left" w:pos="717"/>
        </w:tabs>
        <w:jc w:val="both"/>
        <w:rPr>
          <w:lang w:val="es-ES"/>
        </w:rPr>
      </w:pPr>
    </w:p>
    <w:p w14:paraId="239416EC" w14:textId="7133433E" w:rsidR="00513189" w:rsidRPr="00845967" w:rsidRDefault="00513189" w:rsidP="002E0720">
      <w:pPr>
        <w:pStyle w:val="BodyText"/>
        <w:jc w:val="both"/>
        <w:rPr>
          <w:lang w:val="es-ES"/>
        </w:rPr>
      </w:pPr>
      <w:r w:rsidRPr="00845967">
        <w:rPr>
          <w:lang w:val="es-ES"/>
        </w:rPr>
        <w:t xml:space="preserve">En este escenario, el Fondo de Capital y </w:t>
      </w:r>
      <w:r w:rsidR="002B28BA">
        <w:rPr>
          <w:lang w:val="es-ES"/>
        </w:rPr>
        <w:t xml:space="preserve">los </w:t>
      </w:r>
      <w:r w:rsidRPr="00845967">
        <w:rPr>
          <w:lang w:val="es-ES"/>
        </w:rPr>
        <w:t xml:space="preserve">otros fondos continuarían manteniendo carteras de inversión separadas. La "agrupación" solo sería </w:t>
      </w:r>
      <w:r w:rsidR="002B28BA">
        <w:rPr>
          <w:lang w:val="es-ES"/>
        </w:rPr>
        <w:t>pertinente</w:t>
      </w:r>
      <w:r w:rsidRPr="00845967">
        <w:rPr>
          <w:lang w:val="es-ES"/>
        </w:rPr>
        <w:t xml:space="preserve"> </w:t>
      </w:r>
      <w:r w:rsidR="002B28BA">
        <w:rPr>
          <w:lang w:val="es-ES"/>
        </w:rPr>
        <w:t>con fines</w:t>
      </w:r>
      <w:r w:rsidRPr="00845967">
        <w:rPr>
          <w:lang w:val="es-ES"/>
        </w:rPr>
        <w:t xml:space="preserve"> de determinar </w:t>
      </w:r>
      <w:r w:rsidR="00567080">
        <w:rPr>
          <w:lang w:val="es-ES"/>
        </w:rPr>
        <w:t>el pago por la</w:t>
      </w:r>
      <w:r w:rsidRPr="00845967">
        <w:rPr>
          <w:lang w:val="es-ES"/>
        </w:rPr>
        <w:t xml:space="preserve"> administración y</w:t>
      </w:r>
      <w:r w:rsidR="00567080">
        <w:rPr>
          <w:lang w:val="es-ES"/>
        </w:rPr>
        <w:t xml:space="preserve"> el asesoramiento</w:t>
      </w:r>
      <w:r w:rsidRPr="00845967">
        <w:rPr>
          <w:lang w:val="es-ES"/>
        </w:rPr>
        <w:t>, que disminuyen drásticamente con el aumento del valor combinado.</w:t>
      </w:r>
    </w:p>
    <w:p w14:paraId="03402565" w14:textId="77777777" w:rsidR="00513189" w:rsidRDefault="00513189" w:rsidP="002E0720">
      <w:pPr>
        <w:pStyle w:val="BodyText"/>
        <w:jc w:val="both"/>
        <w:rPr>
          <w:lang w:val="es-ES"/>
        </w:rPr>
      </w:pPr>
    </w:p>
    <w:p w14:paraId="540E8AAD" w14:textId="535787A2" w:rsidR="00513189" w:rsidRPr="000406A7" w:rsidRDefault="00513189" w:rsidP="002E0720">
      <w:pPr>
        <w:pStyle w:val="BodyText"/>
        <w:spacing w:before="56"/>
        <w:jc w:val="both"/>
        <w:rPr>
          <w:spacing w:val="-1"/>
          <w:lang w:val="es-ES"/>
        </w:rPr>
      </w:pPr>
      <w:r w:rsidRPr="00845967">
        <w:rPr>
          <w:spacing w:val="-1"/>
          <w:lang w:val="es-ES"/>
        </w:rPr>
        <w:t xml:space="preserve">Esta opción sería particularmente ventajosa para el Fondo de Capital porque tal arreglo podría permitirle al Fondo </w:t>
      </w:r>
      <w:r w:rsidR="00301319">
        <w:rPr>
          <w:spacing w:val="-1"/>
          <w:lang w:val="es-ES"/>
        </w:rPr>
        <w:t>contar con</w:t>
      </w:r>
      <w:r w:rsidRPr="00845967">
        <w:rPr>
          <w:spacing w:val="-1"/>
          <w:lang w:val="es-ES"/>
        </w:rPr>
        <w:t xml:space="preserve"> un asesor profesional con una responsabilidad </w:t>
      </w:r>
      <w:r w:rsidR="00523539" w:rsidRPr="00845967">
        <w:rPr>
          <w:spacing w:val="-1"/>
          <w:lang w:val="es-ES"/>
        </w:rPr>
        <w:t>cofiduciaria</w:t>
      </w:r>
      <w:r w:rsidRPr="00845967">
        <w:rPr>
          <w:spacing w:val="-1"/>
          <w:lang w:val="es-ES"/>
        </w:rPr>
        <w:t xml:space="preserve"> </w:t>
      </w:r>
      <w:r w:rsidR="00527CBF">
        <w:rPr>
          <w:spacing w:val="-1"/>
          <w:lang w:val="es-ES"/>
        </w:rPr>
        <w:t xml:space="preserve">explícita </w:t>
      </w:r>
      <w:r w:rsidRPr="00845967">
        <w:rPr>
          <w:spacing w:val="-1"/>
          <w:lang w:val="es-ES"/>
        </w:rPr>
        <w:t xml:space="preserve">por </w:t>
      </w:r>
      <w:r w:rsidR="00527CBF">
        <w:rPr>
          <w:spacing w:val="-1"/>
          <w:lang w:val="es-ES"/>
        </w:rPr>
        <w:t xml:space="preserve">una </w:t>
      </w:r>
      <w:r w:rsidR="00301319">
        <w:rPr>
          <w:spacing w:val="-1"/>
          <w:lang w:val="es-ES"/>
        </w:rPr>
        <w:t>comisión</w:t>
      </w:r>
      <w:r w:rsidR="00527CBF">
        <w:rPr>
          <w:spacing w:val="-1"/>
          <w:lang w:val="es-ES"/>
        </w:rPr>
        <w:t xml:space="preserve"> muy baj</w:t>
      </w:r>
      <w:r w:rsidR="00301319">
        <w:rPr>
          <w:spacing w:val="-1"/>
          <w:lang w:val="es-ES"/>
        </w:rPr>
        <w:t>a</w:t>
      </w:r>
      <w:r w:rsidRPr="00845967">
        <w:rPr>
          <w:spacing w:val="-1"/>
          <w:lang w:val="es-ES"/>
        </w:rPr>
        <w:t xml:space="preserve"> (alrededor del </w:t>
      </w:r>
      <w:r w:rsidR="000406A7">
        <w:rPr>
          <w:spacing w:val="-1"/>
          <w:lang w:val="es-ES"/>
        </w:rPr>
        <w:t>0,</w:t>
      </w:r>
      <w:r w:rsidRPr="00845967">
        <w:rPr>
          <w:spacing w:val="-1"/>
          <w:lang w:val="es-ES"/>
        </w:rPr>
        <w:t>15%),</w:t>
      </w:r>
      <w:r w:rsidR="000406A7">
        <w:rPr>
          <w:spacing w:val="-1"/>
          <w:lang w:val="es-ES"/>
        </w:rPr>
        <w:t xml:space="preserve"> la cual</w:t>
      </w:r>
      <w:r w:rsidR="000406A7" w:rsidRPr="00845967">
        <w:rPr>
          <w:spacing w:val="-1"/>
          <w:lang w:val="es-ES"/>
        </w:rPr>
        <w:t>, de</w:t>
      </w:r>
      <w:r w:rsidRPr="00845967">
        <w:rPr>
          <w:spacing w:val="-1"/>
          <w:lang w:val="es-ES"/>
        </w:rPr>
        <w:t xml:space="preserve"> lo contrario</w:t>
      </w:r>
      <w:r w:rsidR="000406A7">
        <w:rPr>
          <w:spacing w:val="-1"/>
          <w:lang w:val="es-ES"/>
        </w:rPr>
        <w:t>,</w:t>
      </w:r>
      <w:r w:rsidRPr="00845967">
        <w:rPr>
          <w:spacing w:val="-1"/>
          <w:lang w:val="es-ES"/>
        </w:rPr>
        <w:t xml:space="preserve"> solo estaría disponible </w:t>
      </w:r>
      <w:r w:rsidR="000406A7">
        <w:rPr>
          <w:spacing w:val="-1"/>
          <w:lang w:val="es-ES"/>
        </w:rPr>
        <w:t>para montos mucho mayores.</w:t>
      </w:r>
      <w:r w:rsidRPr="00845967">
        <w:rPr>
          <w:spacing w:val="-1"/>
          <w:lang w:val="es-ES"/>
        </w:rPr>
        <w:t xml:space="preserve"> </w:t>
      </w:r>
      <w:r w:rsidR="00740B48">
        <w:rPr>
          <w:spacing w:val="-1"/>
          <w:lang w:val="es-ES"/>
        </w:rPr>
        <w:t>Con</w:t>
      </w:r>
      <w:r w:rsidRPr="000406A7">
        <w:rPr>
          <w:spacing w:val="-1"/>
          <w:lang w:val="es-ES"/>
        </w:rPr>
        <w:t xml:space="preserve"> este nivel</w:t>
      </w:r>
      <w:r w:rsidR="00740B48">
        <w:rPr>
          <w:spacing w:val="-1"/>
          <w:lang w:val="es-ES"/>
        </w:rPr>
        <w:t xml:space="preserve"> de comisión</w:t>
      </w:r>
      <w:r w:rsidRPr="000406A7">
        <w:rPr>
          <w:spacing w:val="-1"/>
          <w:lang w:val="es-ES"/>
        </w:rPr>
        <w:t>,</w:t>
      </w:r>
      <w:r w:rsidR="00740B48">
        <w:rPr>
          <w:spacing w:val="-1"/>
          <w:lang w:val="es-ES"/>
        </w:rPr>
        <w:t xml:space="preserve"> la</w:t>
      </w:r>
      <w:r w:rsidRPr="000406A7">
        <w:rPr>
          <w:spacing w:val="-1"/>
          <w:lang w:val="es-ES"/>
        </w:rPr>
        <w:t xml:space="preserve"> SAF recomienda obtener dichos servicios.</w:t>
      </w:r>
    </w:p>
    <w:p w14:paraId="3D00C07D" w14:textId="77777777" w:rsidR="00513189" w:rsidRPr="00EC26FC" w:rsidRDefault="00513189" w:rsidP="002E0720">
      <w:pPr>
        <w:spacing w:before="10"/>
        <w:rPr>
          <w:rFonts w:ascii="Calibri" w:eastAsia="Calibri" w:hAnsi="Calibri" w:cs="Calibri"/>
          <w:sz w:val="21"/>
          <w:szCs w:val="21"/>
          <w:lang w:val="es-ES"/>
        </w:rPr>
      </w:pPr>
    </w:p>
    <w:p w14:paraId="60E54E5B" w14:textId="5EF73FFB" w:rsidR="00513189" w:rsidRPr="00275A8D" w:rsidRDefault="00513189" w:rsidP="002E0720">
      <w:pPr>
        <w:pStyle w:val="BodyText"/>
        <w:jc w:val="both"/>
        <w:rPr>
          <w:lang w:val="es-ES"/>
        </w:rPr>
      </w:pPr>
      <w:r w:rsidRPr="00275A8D">
        <w:rPr>
          <w:lang w:val="es-ES"/>
        </w:rPr>
        <w:t xml:space="preserve">En los tres escenarios anteriores, la inversión en fondos mutuos que </w:t>
      </w:r>
      <w:r w:rsidR="00FD4DDF">
        <w:rPr>
          <w:lang w:val="es-ES"/>
        </w:rPr>
        <w:t>contengan</w:t>
      </w:r>
      <w:r w:rsidRPr="00275A8D">
        <w:rPr>
          <w:lang w:val="es-ES"/>
        </w:rPr>
        <w:t xml:space="preserve"> acciones y </w:t>
      </w:r>
      <w:r w:rsidR="002D55A0" w:rsidRPr="00275A8D">
        <w:rPr>
          <w:lang w:val="es-ES"/>
        </w:rPr>
        <w:t xml:space="preserve">bonos </w:t>
      </w:r>
      <w:r w:rsidR="002D55A0">
        <w:rPr>
          <w:lang w:val="es-ES"/>
        </w:rPr>
        <w:t>podría</w:t>
      </w:r>
      <w:r w:rsidR="00FD4DDF">
        <w:rPr>
          <w:lang w:val="es-ES"/>
        </w:rPr>
        <w:t xml:space="preserve"> exponer </w:t>
      </w:r>
      <w:r w:rsidRPr="00275A8D">
        <w:rPr>
          <w:lang w:val="es-ES"/>
        </w:rPr>
        <w:t>al Fondo de Capital a mayores fluctuaciones en el valor del fondo y a pérdidas en</w:t>
      </w:r>
      <w:r w:rsidR="000A529B">
        <w:rPr>
          <w:lang w:val="es-ES"/>
        </w:rPr>
        <w:t xml:space="preserve"> determinados años.</w:t>
      </w:r>
      <w:r w:rsidRPr="00275A8D">
        <w:rPr>
          <w:lang w:val="es-ES"/>
        </w:rPr>
        <w:t xml:space="preserve"> Dicha estrategia se basa en la expectativa de que, durante un período prolongado, el valor del fondo aumentaría su</w:t>
      </w:r>
      <w:r w:rsidR="004D069E">
        <w:rPr>
          <w:lang w:val="es-ES"/>
        </w:rPr>
        <w:t>b</w:t>
      </w:r>
      <w:r w:rsidRPr="00275A8D">
        <w:rPr>
          <w:lang w:val="es-ES"/>
        </w:rPr>
        <w:t xml:space="preserve">stancialmente en comparación con la política actual de mantener el Fondo dentro del Fondo de Tesorería de la SG/OEA. </w:t>
      </w:r>
      <w:r w:rsidR="005E363E">
        <w:rPr>
          <w:lang w:val="es-ES"/>
        </w:rPr>
        <w:t xml:space="preserve"> El</w:t>
      </w:r>
      <w:r w:rsidRPr="00275A8D">
        <w:rPr>
          <w:lang w:val="es-ES"/>
        </w:rPr>
        <w:t xml:space="preserve"> Anexo </w:t>
      </w:r>
      <w:r w:rsidR="00785B87">
        <w:rPr>
          <w:lang w:val="es-ES"/>
        </w:rPr>
        <w:t>2</w:t>
      </w:r>
      <w:r w:rsidRPr="00275A8D">
        <w:rPr>
          <w:lang w:val="es-ES"/>
        </w:rPr>
        <w:t xml:space="preserve"> ilustra las posibles diferencias en </w:t>
      </w:r>
      <w:r w:rsidR="00785B87">
        <w:rPr>
          <w:lang w:val="es-ES"/>
        </w:rPr>
        <w:t>ganancias</w:t>
      </w:r>
      <w:r w:rsidRPr="00275A8D">
        <w:rPr>
          <w:lang w:val="es-ES"/>
        </w:rPr>
        <w:t xml:space="preserve"> durante un período prolongado de 18 años.</w:t>
      </w:r>
    </w:p>
    <w:p w14:paraId="57FBD5D2" w14:textId="77777777" w:rsidR="00513189" w:rsidRDefault="00513189" w:rsidP="002E0720">
      <w:pPr>
        <w:pStyle w:val="BodyText"/>
        <w:jc w:val="both"/>
        <w:rPr>
          <w:lang w:val="es-ES"/>
        </w:rPr>
      </w:pPr>
    </w:p>
    <w:p w14:paraId="670E4200" w14:textId="77777777" w:rsidR="00513189" w:rsidRDefault="00513189" w:rsidP="002E0720">
      <w:pPr>
        <w:pStyle w:val="Heading1"/>
        <w:jc w:val="both"/>
        <w:rPr>
          <w:b w:val="0"/>
          <w:bCs w:val="0"/>
        </w:rPr>
      </w:pPr>
      <w:proofErr w:type="spellStart"/>
      <w:r>
        <w:rPr>
          <w:spacing w:val="-1"/>
        </w:rPr>
        <w:t>Recomendaciones</w:t>
      </w:r>
      <w:proofErr w:type="spellEnd"/>
    </w:p>
    <w:p w14:paraId="2906D5F0" w14:textId="61B0583A" w:rsidR="00513189" w:rsidRPr="00EC26FC" w:rsidRDefault="00513189" w:rsidP="002E0720">
      <w:pPr>
        <w:pStyle w:val="BodyText"/>
        <w:numPr>
          <w:ilvl w:val="0"/>
          <w:numId w:val="3"/>
        </w:numPr>
        <w:tabs>
          <w:tab w:val="left" w:pos="817"/>
        </w:tabs>
        <w:spacing w:before="1" w:line="239" w:lineRule="auto"/>
        <w:ind w:firstLine="0"/>
        <w:jc w:val="both"/>
        <w:rPr>
          <w:lang w:val="es-ES"/>
        </w:rPr>
      </w:pPr>
      <w:r w:rsidRPr="00275A8D">
        <w:rPr>
          <w:spacing w:val="-1"/>
          <w:lang w:val="es-ES"/>
        </w:rPr>
        <w:t xml:space="preserve">Que la Junta Directiva de la Agencia Interamericana para la Cooperación y el Desarrollo apruebe de inmediato la Opción 1. En este caso, el Departamento de Servicios Financieros </w:t>
      </w:r>
      <w:r w:rsidR="00041FFB">
        <w:rPr>
          <w:spacing w:val="-1"/>
          <w:lang w:val="es-ES"/>
        </w:rPr>
        <w:t>deberá</w:t>
      </w:r>
      <w:r w:rsidRPr="00275A8D">
        <w:rPr>
          <w:spacing w:val="-1"/>
          <w:lang w:val="es-ES"/>
        </w:rPr>
        <w:t xml:space="preserve"> invertir los fondos de acuerdo con la política de inversión del Fondo Fiduciario de Beneficios Médicos.</w:t>
      </w:r>
    </w:p>
    <w:p w14:paraId="035D1C7B" w14:textId="77777777" w:rsidR="00513189" w:rsidRPr="00703703" w:rsidRDefault="00513189" w:rsidP="002E0720">
      <w:pPr>
        <w:spacing w:before="6"/>
        <w:rPr>
          <w:rFonts w:ascii="Calibri" w:eastAsia="Calibri" w:hAnsi="Calibri" w:cs="Calibri"/>
          <w:sz w:val="19"/>
          <w:szCs w:val="19"/>
          <w:lang w:val="es-ES"/>
        </w:rPr>
      </w:pPr>
    </w:p>
    <w:p w14:paraId="261A508F" w14:textId="77777777" w:rsidR="00513189" w:rsidRPr="00703703" w:rsidRDefault="00513189" w:rsidP="002E0720">
      <w:pPr>
        <w:rPr>
          <w:rFonts w:ascii="Calibri" w:eastAsia="Calibri" w:hAnsi="Calibri" w:cs="Calibri"/>
          <w:sz w:val="19"/>
          <w:szCs w:val="19"/>
          <w:lang w:val="es-ES"/>
        </w:rPr>
        <w:sectPr w:rsidR="00513189" w:rsidRPr="00703703" w:rsidSect="00703703">
          <w:headerReference w:type="default" r:id="rId10"/>
          <w:footerReference w:type="default" r:id="rId11"/>
          <w:headerReference w:type="first" r:id="rId12"/>
          <w:type w:val="oddPage"/>
          <w:pgSz w:w="12240" w:h="15840"/>
          <w:pgMar w:top="880" w:right="1040" w:bottom="900" w:left="1000" w:header="677" w:footer="703" w:gutter="0"/>
          <w:pgNumType w:start="1"/>
          <w:cols w:space="720"/>
          <w:titlePg/>
          <w:docGrid w:linePitch="299"/>
        </w:sectPr>
      </w:pPr>
    </w:p>
    <w:p w14:paraId="5A91486D" w14:textId="1EBCECCE" w:rsidR="00513189" w:rsidRPr="00041FFB" w:rsidRDefault="00041FFB" w:rsidP="002E0720">
      <w:pPr>
        <w:pStyle w:val="BodyText"/>
        <w:tabs>
          <w:tab w:val="left" w:pos="2543"/>
        </w:tabs>
        <w:spacing w:before="56"/>
        <w:rPr>
          <w:lang w:val="es-ES"/>
        </w:rPr>
      </w:pPr>
      <w:r w:rsidRPr="00041FFB">
        <w:rPr>
          <w:spacing w:val="-1"/>
          <w:lang w:val="es-ES"/>
        </w:rPr>
        <w:t>SE APRPUEBA</w:t>
      </w:r>
      <w:r w:rsidR="00513189" w:rsidRPr="00041FFB">
        <w:rPr>
          <w:spacing w:val="-1"/>
          <w:lang w:val="es-ES"/>
        </w:rPr>
        <w:t>:</w:t>
      </w:r>
      <w:r w:rsidR="00513189" w:rsidRPr="00041FFB">
        <w:rPr>
          <w:spacing w:val="-2"/>
          <w:lang w:val="es-ES"/>
        </w:rPr>
        <w:t xml:space="preserve"> </w:t>
      </w:r>
      <w:r w:rsidR="00513189" w:rsidRPr="00041FFB">
        <w:rPr>
          <w:u w:val="single" w:color="000000"/>
          <w:lang w:val="es-ES"/>
        </w:rPr>
        <w:t xml:space="preserve"> </w:t>
      </w:r>
      <w:r w:rsidR="00513189" w:rsidRPr="00041FFB">
        <w:rPr>
          <w:u w:val="single" w:color="000000"/>
          <w:lang w:val="es-ES"/>
        </w:rPr>
        <w:tab/>
      </w:r>
    </w:p>
    <w:p w14:paraId="12946C92" w14:textId="3E4264A5" w:rsidR="00513189" w:rsidRPr="00041FFB" w:rsidRDefault="00513189" w:rsidP="002E0720">
      <w:pPr>
        <w:pStyle w:val="BodyText"/>
        <w:tabs>
          <w:tab w:val="left" w:pos="2834"/>
        </w:tabs>
        <w:spacing w:before="56"/>
        <w:rPr>
          <w:lang w:val="es-ES"/>
        </w:rPr>
      </w:pPr>
      <w:r w:rsidRPr="00041FFB">
        <w:rPr>
          <w:lang w:val="es-ES"/>
        </w:rPr>
        <w:br w:type="column"/>
      </w:r>
      <w:r w:rsidR="00041FFB" w:rsidRPr="00041FFB">
        <w:rPr>
          <w:lang w:val="es-ES"/>
        </w:rPr>
        <w:t>NO SE APRUEBA</w:t>
      </w:r>
      <w:r w:rsidRPr="00041FFB">
        <w:rPr>
          <w:spacing w:val="-1"/>
          <w:lang w:val="es-ES"/>
        </w:rPr>
        <w:t>:</w:t>
      </w:r>
      <w:r w:rsidRPr="00041FFB">
        <w:rPr>
          <w:lang w:val="es-ES"/>
        </w:rPr>
        <w:t xml:space="preserve"> </w:t>
      </w:r>
      <w:r w:rsidRPr="00041FFB">
        <w:rPr>
          <w:u w:val="single" w:color="000000"/>
          <w:lang w:val="es-ES"/>
        </w:rPr>
        <w:t xml:space="preserve"> </w:t>
      </w:r>
      <w:r w:rsidRPr="00041FFB">
        <w:rPr>
          <w:u w:val="single" w:color="000000"/>
          <w:lang w:val="es-ES"/>
        </w:rPr>
        <w:tab/>
      </w:r>
    </w:p>
    <w:p w14:paraId="6315D0E3" w14:textId="77777777" w:rsidR="00513189" w:rsidRPr="00041FFB" w:rsidRDefault="00513189" w:rsidP="002E0720">
      <w:pPr>
        <w:pStyle w:val="BodyText"/>
        <w:tabs>
          <w:tab w:val="left" w:pos="2442"/>
        </w:tabs>
        <w:spacing w:before="56"/>
        <w:rPr>
          <w:lang w:val="es-ES"/>
        </w:rPr>
      </w:pPr>
      <w:r w:rsidRPr="00041FFB">
        <w:rPr>
          <w:lang w:val="es-ES"/>
        </w:rPr>
        <w:br w:type="column"/>
      </w:r>
      <w:r w:rsidRPr="00041FFB">
        <w:rPr>
          <w:spacing w:val="-1"/>
          <w:lang w:val="es-ES"/>
        </w:rPr>
        <w:t>DISCUTIR:</w:t>
      </w:r>
      <w:r w:rsidRPr="00041FFB">
        <w:rPr>
          <w:spacing w:val="-2"/>
          <w:lang w:val="es-ES"/>
        </w:rPr>
        <w:t xml:space="preserve"> </w:t>
      </w:r>
      <w:r w:rsidRPr="00041FFB">
        <w:rPr>
          <w:u w:val="single" w:color="000000"/>
          <w:lang w:val="es-ES"/>
        </w:rPr>
        <w:t xml:space="preserve"> </w:t>
      </w:r>
      <w:r w:rsidRPr="00041FFB">
        <w:rPr>
          <w:u w:val="single" w:color="000000"/>
          <w:lang w:val="es-ES"/>
        </w:rPr>
        <w:tab/>
      </w:r>
    </w:p>
    <w:p w14:paraId="56FB88FA" w14:textId="77777777" w:rsidR="00513189" w:rsidRPr="00041FFB" w:rsidRDefault="00513189" w:rsidP="002E0720">
      <w:pPr>
        <w:rPr>
          <w:lang w:val="es-ES"/>
        </w:rPr>
        <w:sectPr w:rsidR="00513189" w:rsidRPr="00041FFB">
          <w:type w:val="continuous"/>
          <w:pgSz w:w="12240" w:h="15840"/>
          <w:pgMar w:top="560" w:right="1040" w:bottom="280" w:left="1000" w:header="720" w:footer="720" w:gutter="0"/>
          <w:cols w:num="3" w:space="720" w:equalWidth="0">
            <w:col w:w="2544" w:space="337"/>
            <w:col w:w="2835" w:space="226"/>
            <w:col w:w="4258"/>
          </w:cols>
        </w:sectPr>
      </w:pPr>
    </w:p>
    <w:p w14:paraId="0AC2C9F9" w14:textId="77777777" w:rsidR="00513189" w:rsidRPr="00041FFB" w:rsidRDefault="00513189" w:rsidP="002E0720">
      <w:pPr>
        <w:spacing w:before="5"/>
        <w:rPr>
          <w:rFonts w:ascii="Calibri" w:eastAsia="Calibri" w:hAnsi="Calibri" w:cs="Calibri"/>
          <w:sz w:val="17"/>
          <w:szCs w:val="17"/>
          <w:lang w:val="es-ES"/>
        </w:rPr>
      </w:pPr>
    </w:p>
    <w:p w14:paraId="6DCAFF31" w14:textId="77777777" w:rsidR="00513189" w:rsidRPr="00041FFB" w:rsidRDefault="00513189" w:rsidP="002E0720">
      <w:pPr>
        <w:pStyle w:val="BodyText"/>
        <w:spacing w:before="56"/>
        <w:jc w:val="both"/>
        <w:rPr>
          <w:lang w:val="es-ES"/>
        </w:rPr>
      </w:pPr>
      <w:r w:rsidRPr="00041FFB">
        <w:rPr>
          <w:spacing w:val="-2"/>
          <w:lang w:val="es-ES"/>
        </w:rPr>
        <w:t>COMENTARIO:</w:t>
      </w:r>
    </w:p>
    <w:p w14:paraId="1FACDB50" w14:textId="77777777" w:rsidR="00513189" w:rsidRPr="00041FFB" w:rsidRDefault="00513189" w:rsidP="002E0720">
      <w:pPr>
        <w:rPr>
          <w:rFonts w:ascii="Calibri" w:eastAsia="Calibri" w:hAnsi="Calibri" w:cs="Calibri"/>
          <w:lang w:val="es-ES"/>
        </w:rPr>
      </w:pPr>
    </w:p>
    <w:p w14:paraId="45663DBD" w14:textId="77777777" w:rsidR="00513189" w:rsidRPr="00041FFB" w:rsidRDefault="00513189" w:rsidP="002E0720">
      <w:pPr>
        <w:spacing w:before="1"/>
        <w:rPr>
          <w:rFonts w:ascii="Calibri" w:eastAsia="Calibri" w:hAnsi="Calibri" w:cs="Calibri"/>
          <w:lang w:val="es-ES"/>
        </w:rPr>
      </w:pPr>
    </w:p>
    <w:p w14:paraId="7E5B65E8" w14:textId="6A866E7D" w:rsidR="00513189" w:rsidRDefault="00513189" w:rsidP="002E0720">
      <w:pPr>
        <w:pStyle w:val="BodyText"/>
        <w:numPr>
          <w:ilvl w:val="0"/>
          <w:numId w:val="3"/>
        </w:numPr>
        <w:tabs>
          <w:tab w:val="left" w:pos="724"/>
        </w:tabs>
        <w:spacing w:line="239" w:lineRule="auto"/>
        <w:ind w:firstLine="0"/>
        <w:jc w:val="both"/>
        <w:rPr>
          <w:lang w:val="es-ES"/>
        </w:rPr>
      </w:pPr>
      <w:r w:rsidRPr="00E65F18">
        <w:rPr>
          <w:lang w:val="es-ES"/>
        </w:rPr>
        <w:t>Si la Junta Directiva de la Agencia Interamericana para la Cooperación y el Desarrollo aprueba la Opción 1 o</w:t>
      </w:r>
      <w:r w:rsidR="00EC2DDF">
        <w:rPr>
          <w:lang w:val="es-ES"/>
        </w:rPr>
        <w:t xml:space="preserve"> la Opción</w:t>
      </w:r>
      <w:r w:rsidRPr="00E65F18">
        <w:rPr>
          <w:lang w:val="es-ES"/>
        </w:rPr>
        <w:t xml:space="preserve"> 2, </w:t>
      </w:r>
      <w:r w:rsidR="00EC2DDF">
        <w:rPr>
          <w:lang w:val="es-ES"/>
        </w:rPr>
        <w:t xml:space="preserve">que también </w:t>
      </w:r>
      <w:r w:rsidRPr="00E65F18">
        <w:rPr>
          <w:lang w:val="es-ES"/>
        </w:rPr>
        <w:t xml:space="preserve">apruebe en principio </w:t>
      </w:r>
      <w:r w:rsidR="00424FAB">
        <w:rPr>
          <w:lang w:val="es-ES"/>
        </w:rPr>
        <w:t>una medida posterior hacia</w:t>
      </w:r>
      <w:r w:rsidRPr="00E65F18">
        <w:rPr>
          <w:lang w:val="es-ES"/>
        </w:rPr>
        <w:t xml:space="preserve"> una cartera </w:t>
      </w:r>
      <w:r w:rsidR="0095240C">
        <w:rPr>
          <w:lang w:val="es-ES"/>
        </w:rPr>
        <w:t>gestionada activamente</w:t>
      </w:r>
      <w:r w:rsidRPr="00E65F18">
        <w:rPr>
          <w:lang w:val="es-ES"/>
        </w:rPr>
        <w:t xml:space="preserve"> si el Fondo Fiduciario de Beneficios Médicos </w:t>
      </w:r>
      <w:r w:rsidR="00424FAB">
        <w:rPr>
          <w:lang w:val="es-ES"/>
        </w:rPr>
        <w:t>o el</w:t>
      </w:r>
      <w:r w:rsidRPr="00E65F18">
        <w:rPr>
          <w:lang w:val="es-ES"/>
        </w:rPr>
        <w:t xml:space="preserve"> </w:t>
      </w:r>
      <w:r w:rsidR="00424FAB">
        <w:rPr>
          <w:lang w:val="es-ES"/>
        </w:rPr>
        <w:t xml:space="preserve">Fondo </w:t>
      </w:r>
      <w:r w:rsidRPr="00E65F18">
        <w:rPr>
          <w:lang w:val="es-ES"/>
        </w:rPr>
        <w:t>Leo S. Rowe</w:t>
      </w:r>
      <w:r w:rsidR="00424FAB">
        <w:rPr>
          <w:lang w:val="es-ES"/>
        </w:rPr>
        <w:t xml:space="preserve"> acepta dicho arreglo, o si ambos</w:t>
      </w:r>
      <w:r w:rsidRPr="00E65F18">
        <w:rPr>
          <w:lang w:val="es-ES"/>
        </w:rPr>
        <w:t xml:space="preserve"> </w:t>
      </w:r>
      <w:r w:rsidR="00424FAB">
        <w:rPr>
          <w:lang w:val="es-ES"/>
        </w:rPr>
        <w:t xml:space="preserve">lo </w:t>
      </w:r>
      <w:r w:rsidRPr="00E65F18">
        <w:rPr>
          <w:lang w:val="es-ES"/>
        </w:rPr>
        <w:t>acepta</w:t>
      </w:r>
      <w:r w:rsidR="00424FAB">
        <w:rPr>
          <w:lang w:val="es-ES"/>
        </w:rPr>
        <w:t>n</w:t>
      </w:r>
      <w:r w:rsidRPr="00E65F18">
        <w:rPr>
          <w:lang w:val="es-ES"/>
        </w:rPr>
        <w:t xml:space="preserve">. Si la Junta Directiva aprueba esta recomendación, </w:t>
      </w:r>
      <w:r w:rsidR="00211F22">
        <w:rPr>
          <w:lang w:val="es-ES"/>
        </w:rPr>
        <w:t xml:space="preserve">se </w:t>
      </w:r>
      <w:r w:rsidR="0095240C">
        <w:rPr>
          <w:lang w:val="es-ES"/>
        </w:rPr>
        <w:t>llevarán a cabo nuevas deliberaciones</w:t>
      </w:r>
      <w:r w:rsidRPr="00E65F18">
        <w:rPr>
          <w:lang w:val="es-ES"/>
        </w:rPr>
        <w:t xml:space="preserve"> si uno de los otros órganos rectores está de acuerdo.</w:t>
      </w:r>
    </w:p>
    <w:p w14:paraId="122A43E7" w14:textId="77777777" w:rsidR="00513189" w:rsidRPr="00703703" w:rsidRDefault="00513189" w:rsidP="002E0720">
      <w:pPr>
        <w:spacing w:before="6"/>
        <w:rPr>
          <w:rFonts w:ascii="Calibri" w:eastAsia="Calibri" w:hAnsi="Calibri" w:cs="Calibri"/>
          <w:sz w:val="19"/>
          <w:szCs w:val="19"/>
          <w:lang w:val="es-ES"/>
        </w:rPr>
      </w:pPr>
    </w:p>
    <w:p w14:paraId="7A7BA94A" w14:textId="77777777" w:rsidR="00513189" w:rsidRPr="00703703" w:rsidRDefault="00513189" w:rsidP="002E0720">
      <w:pPr>
        <w:rPr>
          <w:rFonts w:ascii="Calibri" w:eastAsia="Calibri" w:hAnsi="Calibri" w:cs="Calibri"/>
          <w:sz w:val="19"/>
          <w:szCs w:val="19"/>
          <w:lang w:val="es-ES"/>
        </w:rPr>
        <w:sectPr w:rsidR="00513189" w:rsidRPr="00703703">
          <w:type w:val="continuous"/>
          <w:pgSz w:w="12240" w:h="15840"/>
          <w:pgMar w:top="560" w:right="1040" w:bottom="280" w:left="1000" w:header="720" w:footer="720" w:gutter="0"/>
          <w:cols w:space="720"/>
        </w:sectPr>
      </w:pPr>
    </w:p>
    <w:p w14:paraId="751A7ACF" w14:textId="426A9E3E" w:rsidR="00513189" w:rsidRPr="009C69FB" w:rsidRDefault="009C69FB" w:rsidP="002E0720">
      <w:pPr>
        <w:pStyle w:val="BodyText"/>
        <w:tabs>
          <w:tab w:val="left" w:pos="2543"/>
        </w:tabs>
        <w:spacing w:before="56"/>
        <w:rPr>
          <w:lang w:val="es-ES"/>
        </w:rPr>
      </w:pPr>
      <w:r w:rsidRPr="009C69FB">
        <w:rPr>
          <w:spacing w:val="-1"/>
          <w:lang w:val="es-ES"/>
        </w:rPr>
        <w:t>SE APRUEBA</w:t>
      </w:r>
      <w:r w:rsidR="00513189" w:rsidRPr="009C69FB">
        <w:rPr>
          <w:spacing w:val="-1"/>
          <w:lang w:val="es-ES"/>
        </w:rPr>
        <w:t>:</w:t>
      </w:r>
      <w:r w:rsidR="00513189" w:rsidRPr="009C69FB">
        <w:rPr>
          <w:spacing w:val="-2"/>
          <w:lang w:val="es-ES"/>
        </w:rPr>
        <w:t xml:space="preserve"> </w:t>
      </w:r>
      <w:r w:rsidR="00513189" w:rsidRPr="009C69FB">
        <w:rPr>
          <w:u w:val="single" w:color="000000"/>
          <w:lang w:val="es-ES"/>
        </w:rPr>
        <w:t xml:space="preserve"> </w:t>
      </w:r>
      <w:r w:rsidR="00513189" w:rsidRPr="009C69FB">
        <w:rPr>
          <w:u w:val="single" w:color="000000"/>
          <w:lang w:val="es-ES"/>
        </w:rPr>
        <w:tab/>
      </w:r>
    </w:p>
    <w:p w14:paraId="13E64C04" w14:textId="66675133" w:rsidR="00513189" w:rsidRPr="009C69FB" w:rsidRDefault="00513189" w:rsidP="002E0720">
      <w:pPr>
        <w:pStyle w:val="BodyText"/>
        <w:tabs>
          <w:tab w:val="left" w:pos="2834"/>
        </w:tabs>
        <w:spacing w:before="56"/>
        <w:rPr>
          <w:lang w:val="es-ES"/>
        </w:rPr>
      </w:pPr>
      <w:r w:rsidRPr="009C69FB">
        <w:rPr>
          <w:lang w:val="es-ES"/>
        </w:rPr>
        <w:br w:type="column"/>
      </w:r>
      <w:r w:rsidR="009C69FB" w:rsidRPr="009C69FB">
        <w:rPr>
          <w:lang w:val="es-ES"/>
        </w:rPr>
        <w:t>NO SE APRUEBA</w:t>
      </w:r>
      <w:r w:rsidRPr="009C69FB">
        <w:rPr>
          <w:spacing w:val="-1"/>
          <w:lang w:val="es-ES"/>
        </w:rPr>
        <w:t>:</w:t>
      </w:r>
      <w:r w:rsidRPr="009C69FB">
        <w:rPr>
          <w:lang w:val="es-ES"/>
        </w:rPr>
        <w:t xml:space="preserve"> </w:t>
      </w:r>
      <w:r w:rsidRPr="009C69FB">
        <w:rPr>
          <w:u w:val="single" w:color="000000"/>
          <w:lang w:val="es-ES"/>
        </w:rPr>
        <w:t xml:space="preserve"> </w:t>
      </w:r>
      <w:r w:rsidRPr="009C69FB">
        <w:rPr>
          <w:u w:val="single" w:color="000000"/>
          <w:lang w:val="es-ES"/>
        </w:rPr>
        <w:tab/>
      </w:r>
    </w:p>
    <w:p w14:paraId="04FEEFD4" w14:textId="48F85A7A" w:rsidR="00513189" w:rsidRDefault="00513189" w:rsidP="002E0720">
      <w:pPr>
        <w:pStyle w:val="BodyText"/>
        <w:tabs>
          <w:tab w:val="left" w:pos="2442"/>
        </w:tabs>
        <w:spacing w:before="56"/>
      </w:pPr>
      <w:r w:rsidRPr="009C69FB">
        <w:rPr>
          <w:lang w:val="es-ES"/>
        </w:rPr>
        <w:br w:type="column"/>
      </w:r>
      <w:r w:rsidR="009C69FB">
        <w:rPr>
          <w:lang w:val="es-ES"/>
        </w:rPr>
        <w:t>SE DISCUTE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43383C" w14:textId="77777777" w:rsidR="00513189" w:rsidRDefault="00513189" w:rsidP="002E0720">
      <w:pPr>
        <w:sectPr w:rsidR="00513189">
          <w:type w:val="continuous"/>
          <w:pgSz w:w="12240" w:h="15840"/>
          <w:pgMar w:top="560" w:right="1040" w:bottom="280" w:left="1000" w:header="720" w:footer="720" w:gutter="0"/>
          <w:cols w:num="3" w:space="720" w:equalWidth="0">
            <w:col w:w="2544" w:space="337"/>
            <w:col w:w="2835" w:space="226"/>
            <w:col w:w="4258"/>
          </w:cols>
        </w:sectPr>
      </w:pPr>
    </w:p>
    <w:p w14:paraId="04D133B0" w14:textId="77777777" w:rsidR="00513189" w:rsidRDefault="00513189" w:rsidP="002E0720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8B88AE7" w14:textId="788579AF" w:rsidR="00513189" w:rsidRDefault="00513189" w:rsidP="002E0720">
      <w:pPr>
        <w:pStyle w:val="BodyText"/>
        <w:spacing w:before="56"/>
      </w:pPr>
      <w:r>
        <w:rPr>
          <w:spacing w:val="-2"/>
        </w:rPr>
        <w:t>COM</w:t>
      </w:r>
      <w:r w:rsidR="009C69FB">
        <w:rPr>
          <w:spacing w:val="-2"/>
        </w:rPr>
        <w:t>ENTARIO</w:t>
      </w:r>
      <w:r>
        <w:rPr>
          <w:spacing w:val="-2"/>
        </w:rPr>
        <w:t>:</w:t>
      </w:r>
    </w:p>
    <w:p w14:paraId="74EC6CBB" w14:textId="77777777" w:rsidR="00513189" w:rsidRDefault="00513189" w:rsidP="002E072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2D1435B3" w14:textId="177A19A2" w:rsidR="00513189" w:rsidRDefault="00DE6565" w:rsidP="002E0720">
      <w:pPr>
        <w:pStyle w:val="BodyText"/>
      </w:pPr>
      <w:proofErr w:type="spellStart"/>
      <w:r>
        <w:rPr>
          <w:spacing w:val="-1"/>
          <w:u w:val="single" w:color="000000"/>
        </w:rPr>
        <w:t>Anexos</w:t>
      </w:r>
      <w:proofErr w:type="spellEnd"/>
      <w:r w:rsidR="00513189">
        <w:rPr>
          <w:spacing w:val="-1"/>
          <w:u w:val="single" w:color="000000"/>
        </w:rPr>
        <w:t>:</w:t>
      </w:r>
    </w:p>
    <w:p w14:paraId="7B5CDFED" w14:textId="4869C805" w:rsidR="00513189" w:rsidRPr="008E1E4C" w:rsidRDefault="008E1E4C" w:rsidP="002E0720">
      <w:pPr>
        <w:pStyle w:val="BodyText"/>
        <w:numPr>
          <w:ilvl w:val="0"/>
          <w:numId w:val="2"/>
        </w:numPr>
        <w:tabs>
          <w:tab w:val="left" w:pos="810"/>
        </w:tabs>
        <w:ind w:left="720" w:hanging="280"/>
        <w:rPr>
          <w:lang w:val="es-ES"/>
        </w:rPr>
      </w:pPr>
      <w:r w:rsidRPr="008E1E4C">
        <w:rPr>
          <w:spacing w:val="-1"/>
          <w:lang w:val="es-ES"/>
        </w:rPr>
        <w:t>Fondo de capital</w:t>
      </w:r>
      <w:r w:rsidR="00513189" w:rsidRPr="008E1E4C">
        <w:rPr>
          <w:spacing w:val="-1"/>
          <w:lang w:val="es-ES"/>
        </w:rPr>
        <w:t xml:space="preserve"> </w:t>
      </w:r>
      <w:r w:rsidR="00513189" w:rsidRPr="008E1E4C">
        <w:rPr>
          <w:rFonts w:cs="Calibri"/>
          <w:lang w:val="es-ES"/>
        </w:rPr>
        <w:t>–</w:t>
      </w:r>
      <w:r w:rsidR="00513189" w:rsidRPr="008E1E4C">
        <w:rPr>
          <w:rFonts w:cs="Calibri"/>
          <w:spacing w:val="-2"/>
          <w:lang w:val="es-ES"/>
        </w:rPr>
        <w:t xml:space="preserve"> </w:t>
      </w:r>
      <w:r w:rsidR="00513189" w:rsidRPr="008E1E4C">
        <w:rPr>
          <w:spacing w:val="-1"/>
          <w:lang w:val="es-ES"/>
        </w:rPr>
        <w:t>Inter</w:t>
      </w:r>
      <w:r w:rsidRPr="008E1E4C">
        <w:rPr>
          <w:spacing w:val="-1"/>
          <w:lang w:val="es-ES"/>
        </w:rPr>
        <w:t>és versus rendimiento de la inversión</w:t>
      </w:r>
    </w:p>
    <w:p w14:paraId="35078760" w14:textId="1814007E" w:rsidR="00513189" w:rsidRPr="0095240C" w:rsidRDefault="0095240C" w:rsidP="002E0720">
      <w:pPr>
        <w:pStyle w:val="BodyText"/>
        <w:numPr>
          <w:ilvl w:val="0"/>
          <w:numId w:val="2"/>
        </w:numPr>
        <w:tabs>
          <w:tab w:val="left" w:pos="710"/>
        </w:tabs>
        <w:ind w:left="709" w:hanging="269"/>
        <w:rPr>
          <w:lang w:val="es-ES"/>
        </w:rPr>
      </w:pPr>
      <w:r w:rsidRPr="0095240C">
        <w:rPr>
          <w:spacing w:val="-1"/>
          <w:lang w:val="es-ES"/>
        </w:rPr>
        <w:t>Declaración de política de inversión, Fondo Fiduciario de Beneficios Médico</w:t>
      </w:r>
      <w:r>
        <w:rPr>
          <w:spacing w:val="-1"/>
          <w:lang w:val="es-ES"/>
        </w:rPr>
        <w:t>s</w:t>
      </w:r>
      <w:r w:rsidR="00513189" w:rsidRPr="0095240C">
        <w:rPr>
          <w:spacing w:val="-1"/>
          <w:lang w:val="es-ES"/>
        </w:rPr>
        <w:t xml:space="preserve"> (</w:t>
      </w:r>
      <w:r>
        <w:rPr>
          <w:spacing w:val="-1"/>
          <w:lang w:val="es-ES"/>
        </w:rPr>
        <w:t>tal como fue aprobada por la Junta del Fondo Fiduciario de Beneficios Médicos el 25 de marzo de 2021</w:t>
      </w:r>
      <w:r w:rsidR="00513189" w:rsidRPr="0095240C">
        <w:rPr>
          <w:spacing w:val="-1"/>
          <w:lang w:val="es-ES"/>
        </w:rPr>
        <w:t>)</w:t>
      </w:r>
    </w:p>
    <w:p w14:paraId="7CE14683" w14:textId="77777777" w:rsidR="00513189" w:rsidRPr="0095240C" w:rsidRDefault="00513189" w:rsidP="002E0720">
      <w:pPr>
        <w:rPr>
          <w:rFonts w:ascii="Calibri" w:eastAsia="Calibri" w:hAnsi="Calibri" w:cs="Calibri"/>
          <w:lang w:val="es-ES"/>
        </w:rPr>
      </w:pPr>
    </w:p>
    <w:p w14:paraId="695B0B38" w14:textId="77777777" w:rsidR="00513189" w:rsidRPr="0095240C" w:rsidRDefault="00513189" w:rsidP="002E0720">
      <w:pPr>
        <w:spacing w:before="1"/>
        <w:rPr>
          <w:rFonts w:ascii="Calibri" w:eastAsia="Calibri" w:hAnsi="Calibri" w:cs="Calibri"/>
          <w:lang w:val="es-ES"/>
        </w:rPr>
      </w:pPr>
    </w:p>
    <w:p w14:paraId="64CA5874" w14:textId="4C4C1A38" w:rsidR="00513189" w:rsidRPr="00703703" w:rsidRDefault="00E96F9F" w:rsidP="002E0720">
      <w:pPr>
        <w:pStyle w:val="Heading1"/>
        <w:rPr>
          <w:rFonts w:cs="Calibri"/>
          <w:b w:val="0"/>
          <w:bCs w:val="0"/>
          <w:lang w:val="es-ES"/>
        </w:rPr>
      </w:pPr>
      <w:r w:rsidRPr="00703703">
        <w:rPr>
          <w:spacing w:val="-1"/>
          <w:lang w:val="es-ES"/>
        </w:rPr>
        <w:t>Autorizado por</w:t>
      </w:r>
      <w:r w:rsidR="00513189" w:rsidRPr="00703703">
        <w:rPr>
          <w:b w:val="0"/>
          <w:spacing w:val="-1"/>
          <w:lang w:val="es-ES"/>
        </w:rPr>
        <w:t>:</w:t>
      </w:r>
    </w:p>
    <w:p w14:paraId="41B056AC" w14:textId="7477ED80" w:rsidR="00513189" w:rsidRPr="00703703" w:rsidRDefault="00513189" w:rsidP="002E0720">
      <w:pPr>
        <w:pStyle w:val="BodyText"/>
        <w:rPr>
          <w:lang w:val="es-ES"/>
        </w:rPr>
      </w:pPr>
      <w:r w:rsidRPr="00703703">
        <w:rPr>
          <w:spacing w:val="-1"/>
          <w:lang w:val="es-ES"/>
        </w:rPr>
        <w:t>SEDI</w:t>
      </w:r>
      <w:r w:rsidRPr="00703703">
        <w:rPr>
          <w:lang w:val="es-ES"/>
        </w:rPr>
        <w:t xml:space="preserve"> </w:t>
      </w:r>
      <w:r w:rsidRPr="00703703">
        <w:rPr>
          <w:rFonts w:cs="Calibri"/>
          <w:lang w:val="es-ES"/>
        </w:rPr>
        <w:t>–</w:t>
      </w:r>
      <w:r w:rsidRPr="00703703">
        <w:rPr>
          <w:rFonts w:cs="Calibri"/>
          <w:spacing w:val="-2"/>
          <w:lang w:val="es-ES"/>
        </w:rPr>
        <w:t xml:space="preserve"> </w:t>
      </w:r>
      <w:r w:rsidR="0095240C" w:rsidRPr="00703703">
        <w:rPr>
          <w:rFonts w:cs="Calibri"/>
          <w:spacing w:val="-2"/>
          <w:lang w:val="es-ES"/>
        </w:rPr>
        <w:t>Secretaria</w:t>
      </w:r>
      <w:r w:rsidRPr="00703703">
        <w:rPr>
          <w:spacing w:val="-2"/>
          <w:lang w:val="es-ES"/>
        </w:rPr>
        <w:t xml:space="preserve"> </w:t>
      </w:r>
      <w:r w:rsidRPr="00703703">
        <w:rPr>
          <w:spacing w:val="-1"/>
          <w:lang w:val="es-ES"/>
        </w:rPr>
        <w:t>Osborne</w:t>
      </w:r>
    </w:p>
    <w:p w14:paraId="55D99F5D" w14:textId="6F643D9A" w:rsidR="006E1946" w:rsidRPr="00703703" w:rsidRDefault="00513189" w:rsidP="002E0720">
      <w:pPr>
        <w:pStyle w:val="BodyText"/>
        <w:tabs>
          <w:tab w:val="left" w:pos="7650"/>
        </w:tabs>
        <w:rPr>
          <w:lang w:val="es-ES"/>
        </w:rPr>
      </w:pPr>
      <w:r w:rsidRPr="00703703">
        <w:rPr>
          <w:spacing w:val="-1"/>
          <w:lang w:val="es-ES"/>
        </w:rPr>
        <w:t>D</w:t>
      </w:r>
      <w:r w:rsidR="006E1946" w:rsidRPr="00703703">
        <w:rPr>
          <w:spacing w:val="-1"/>
          <w:lang w:val="es-ES"/>
        </w:rPr>
        <w:t>epartamento de Servicios Financieros SF</w:t>
      </w:r>
      <w:r w:rsidRPr="00703703">
        <w:rPr>
          <w:spacing w:val="-1"/>
          <w:lang w:val="es-ES"/>
        </w:rPr>
        <w:t>:</w:t>
      </w:r>
      <w:r w:rsidRPr="00703703">
        <w:rPr>
          <w:lang w:val="es-ES"/>
        </w:rPr>
        <w:t xml:space="preserve"> </w:t>
      </w:r>
      <w:proofErr w:type="spellStart"/>
      <w:r w:rsidRPr="00703703">
        <w:rPr>
          <w:spacing w:val="-1"/>
          <w:lang w:val="es-ES"/>
        </w:rPr>
        <w:t>JArnaiz</w:t>
      </w:r>
      <w:proofErr w:type="spellEnd"/>
      <w:r w:rsidRPr="00703703">
        <w:rPr>
          <w:spacing w:val="-1"/>
          <w:lang w:val="es-ES"/>
        </w:rPr>
        <w:t>,</w:t>
      </w:r>
      <w:r w:rsidRPr="00703703">
        <w:rPr>
          <w:lang w:val="es-ES"/>
        </w:rPr>
        <w:t xml:space="preserve"> </w:t>
      </w:r>
      <w:proofErr w:type="spellStart"/>
      <w:r w:rsidRPr="00703703">
        <w:rPr>
          <w:spacing w:val="-1"/>
          <w:lang w:val="es-ES"/>
        </w:rPr>
        <w:t>RChiappo</w:t>
      </w:r>
      <w:proofErr w:type="spellEnd"/>
      <w:r w:rsidRPr="00703703">
        <w:rPr>
          <w:spacing w:val="-1"/>
          <w:lang w:val="es-ES"/>
        </w:rPr>
        <w:t>,</w:t>
      </w:r>
      <w:r w:rsidRPr="00703703">
        <w:rPr>
          <w:lang w:val="es-ES"/>
        </w:rPr>
        <w:t xml:space="preserve"> </w:t>
      </w:r>
      <w:proofErr w:type="spellStart"/>
      <w:r w:rsidRPr="00703703">
        <w:rPr>
          <w:spacing w:val="-1"/>
          <w:lang w:val="es-ES"/>
        </w:rPr>
        <w:t>TMartin</w:t>
      </w:r>
      <w:proofErr w:type="spellEnd"/>
      <w:r w:rsidRPr="00703703">
        <w:rPr>
          <w:spacing w:val="25"/>
          <w:lang w:val="es-ES"/>
        </w:rPr>
        <w:t xml:space="preserve"> </w:t>
      </w:r>
      <w:r w:rsidRPr="00703703">
        <w:rPr>
          <w:spacing w:val="-1"/>
          <w:lang w:val="es-ES"/>
        </w:rPr>
        <w:t>D</w:t>
      </w:r>
      <w:r w:rsidR="006E1946" w:rsidRPr="00703703">
        <w:rPr>
          <w:spacing w:val="-1"/>
          <w:lang w:val="es-ES"/>
        </w:rPr>
        <w:t>epartamento de Asesoría Legal</w:t>
      </w:r>
      <w:r w:rsidRPr="00703703">
        <w:rPr>
          <w:spacing w:val="-1"/>
          <w:lang w:val="es-ES"/>
        </w:rPr>
        <w:t>:</w:t>
      </w:r>
      <w:r w:rsidR="006E1946" w:rsidRPr="00703703">
        <w:rPr>
          <w:spacing w:val="-1"/>
          <w:lang w:val="es-ES"/>
        </w:rPr>
        <w:t xml:space="preserve">  </w:t>
      </w:r>
      <w:proofErr w:type="spellStart"/>
      <w:r w:rsidR="006E1946" w:rsidRPr="00703703">
        <w:rPr>
          <w:spacing w:val="-1"/>
          <w:lang w:val="es-ES"/>
        </w:rPr>
        <w:t>SDavidson</w:t>
      </w:r>
      <w:proofErr w:type="spellEnd"/>
    </w:p>
    <w:p w14:paraId="202C2F54" w14:textId="77777777" w:rsidR="00513189" w:rsidRPr="00703703" w:rsidRDefault="00513189" w:rsidP="002E0720">
      <w:pPr>
        <w:rPr>
          <w:lang w:val="es-ES"/>
        </w:rPr>
        <w:sectPr w:rsidR="00513189" w:rsidRPr="00703703">
          <w:type w:val="continuous"/>
          <w:pgSz w:w="12240" w:h="15840"/>
          <w:pgMar w:top="560" w:right="1040" w:bottom="280" w:left="1000" w:header="720" w:footer="720" w:gutter="0"/>
          <w:cols w:space="720"/>
        </w:sectPr>
      </w:pPr>
    </w:p>
    <w:p w14:paraId="60329345" w14:textId="59FAE38E" w:rsidR="00513189" w:rsidRPr="00703703" w:rsidRDefault="00DE6565" w:rsidP="002E0720">
      <w:pPr>
        <w:pStyle w:val="BodyText"/>
        <w:spacing w:before="56"/>
        <w:ind w:left="0"/>
        <w:jc w:val="right"/>
        <w:rPr>
          <w:lang w:val="es-ES"/>
        </w:rPr>
      </w:pPr>
      <w:r w:rsidRPr="00703703">
        <w:rPr>
          <w:spacing w:val="-1"/>
          <w:lang w:val="es-ES"/>
        </w:rPr>
        <w:lastRenderedPageBreak/>
        <w:t>Anexo 2</w:t>
      </w:r>
    </w:p>
    <w:p w14:paraId="0F48A565" w14:textId="77777777" w:rsidR="00513189" w:rsidRPr="00703703" w:rsidRDefault="00513189" w:rsidP="002E0720">
      <w:pPr>
        <w:spacing w:before="5"/>
        <w:rPr>
          <w:rFonts w:ascii="Calibri" w:eastAsia="Calibri" w:hAnsi="Calibri" w:cs="Calibri"/>
          <w:sz w:val="17"/>
          <w:szCs w:val="17"/>
          <w:lang w:val="es-ES"/>
        </w:rPr>
      </w:pPr>
    </w:p>
    <w:p w14:paraId="2546EEC4" w14:textId="40F3A729" w:rsidR="008E1E4C" w:rsidRPr="008E1E4C" w:rsidRDefault="008E1E4C" w:rsidP="002E0720">
      <w:pPr>
        <w:pStyle w:val="Heading1"/>
        <w:spacing w:before="56"/>
        <w:ind w:left="0"/>
        <w:jc w:val="center"/>
        <w:rPr>
          <w:spacing w:val="-1"/>
          <w:lang w:val="es-ES"/>
        </w:rPr>
      </w:pPr>
      <w:r w:rsidRPr="008E1E4C">
        <w:rPr>
          <w:spacing w:val="-1"/>
          <w:lang w:val="es-ES"/>
        </w:rPr>
        <w:t>Interés versus rendimiento de l</w:t>
      </w:r>
      <w:r>
        <w:rPr>
          <w:spacing w:val="-1"/>
          <w:lang w:val="es-ES"/>
        </w:rPr>
        <w:t>a inversión</w:t>
      </w:r>
    </w:p>
    <w:p w14:paraId="29D0F965" w14:textId="77777777" w:rsidR="00513189" w:rsidRPr="00703703" w:rsidRDefault="00513189" w:rsidP="002E0720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es-ES"/>
        </w:rPr>
      </w:pPr>
    </w:p>
    <w:p w14:paraId="5B7000DD" w14:textId="665F877E" w:rsidR="00AF1C69" w:rsidRPr="008E1E4C" w:rsidRDefault="008E1E4C" w:rsidP="002E0720">
      <w:pPr>
        <w:pStyle w:val="BodyText"/>
        <w:jc w:val="both"/>
        <w:rPr>
          <w:spacing w:val="-1"/>
          <w:lang w:val="es-ES"/>
        </w:rPr>
      </w:pPr>
      <w:r w:rsidRPr="008E1E4C">
        <w:rPr>
          <w:spacing w:val="-1"/>
          <w:lang w:val="es-ES"/>
        </w:rPr>
        <w:t xml:space="preserve">El siguiente gráfico </w:t>
      </w:r>
      <w:r>
        <w:rPr>
          <w:spacing w:val="-1"/>
          <w:lang w:val="es-ES"/>
        </w:rPr>
        <w:t>presenta</w:t>
      </w:r>
      <w:r w:rsidRPr="008E1E4C">
        <w:rPr>
          <w:spacing w:val="-1"/>
          <w:lang w:val="es-ES"/>
        </w:rPr>
        <w:t xml:space="preserve"> una </w:t>
      </w:r>
      <w:r w:rsidRPr="008E1E4C">
        <w:rPr>
          <w:spacing w:val="-1"/>
          <w:u w:val="single"/>
          <w:lang w:val="es-ES"/>
        </w:rPr>
        <w:t>comparación hipotética</w:t>
      </w:r>
      <w:r w:rsidRPr="008E1E4C">
        <w:rPr>
          <w:spacing w:val="-1"/>
          <w:lang w:val="es-ES"/>
        </w:rPr>
        <w:t xml:space="preserve"> entre </w:t>
      </w:r>
      <w:r w:rsidR="001B739D">
        <w:rPr>
          <w:spacing w:val="-1"/>
          <w:lang w:val="es-ES"/>
        </w:rPr>
        <w:t>invertir</w:t>
      </w:r>
      <w:r>
        <w:rPr>
          <w:spacing w:val="-1"/>
          <w:lang w:val="es-ES"/>
        </w:rPr>
        <w:t xml:space="preserve"> </w:t>
      </w:r>
      <w:r w:rsidRPr="008E1E4C">
        <w:rPr>
          <w:spacing w:val="-1"/>
          <w:lang w:val="es-ES"/>
        </w:rPr>
        <w:t>la asignación original del</w:t>
      </w:r>
      <w:r w:rsidR="00F62F86">
        <w:rPr>
          <w:spacing w:val="-1"/>
          <w:lang w:val="es-ES"/>
        </w:rPr>
        <w:t xml:space="preserve"> Fondo de Capital de Becas</w:t>
      </w:r>
      <w:r w:rsidR="002141E8">
        <w:rPr>
          <w:spacing w:val="-1"/>
          <w:lang w:val="es-ES"/>
        </w:rPr>
        <w:t xml:space="preserve"> y Capacitación de US$5</w:t>
      </w:r>
      <w:r w:rsidR="00AF1C69">
        <w:rPr>
          <w:spacing w:val="-1"/>
          <w:lang w:val="es-ES"/>
        </w:rPr>
        <w:t>.000.000</w:t>
      </w:r>
      <w:r w:rsidR="002141E8">
        <w:rPr>
          <w:spacing w:val="-1"/>
          <w:lang w:val="es-ES"/>
        </w:rPr>
        <w:t xml:space="preserve"> millones</w:t>
      </w:r>
      <w:r w:rsidR="001B739D">
        <w:rPr>
          <w:spacing w:val="-1"/>
          <w:lang w:val="es-ES"/>
        </w:rPr>
        <w:t xml:space="preserve"> obteniendo la acreditación de intereses de la SG/OEA frente a una inversión de la misma cantidad de acuerdo con la estrategia de inversión </w:t>
      </w:r>
      <w:r w:rsidR="001B739D" w:rsidRPr="008E1E4C">
        <w:rPr>
          <w:spacing w:val="-1"/>
          <w:lang w:val="es-ES"/>
        </w:rPr>
        <w:t>del Fondo Fiduciario de Beneficios Médicos (MBTF).</w:t>
      </w:r>
      <w:r w:rsidR="001B739D">
        <w:rPr>
          <w:spacing w:val="-1"/>
          <w:lang w:val="es-ES"/>
        </w:rPr>
        <w:t xml:space="preserve"> </w:t>
      </w:r>
      <w:r w:rsidR="00AF1C69" w:rsidRPr="008E1E4C">
        <w:rPr>
          <w:spacing w:val="-1"/>
          <w:lang w:val="es-ES"/>
        </w:rPr>
        <w:t xml:space="preserve">El gráfico es solo para fines ilustrativos, </w:t>
      </w:r>
      <w:r w:rsidR="00AF1C69">
        <w:rPr>
          <w:spacing w:val="-1"/>
          <w:lang w:val="es-ES"/>
        </w:rPr>
        <w:t xml:space="preserve">para </w:t>
      </w:r>
      <w:r w:rsidR="00AF1C69" w:rsidRPr="008E1E4C">
        <w:rPr>
          <w:spacing w:val="-1"/>
          <w:lang w:val="es-ES"/>
        </w:rPr>
        <w:t>comparar los resultados que se habrían producido si se hubieran invertido US$5</w:t>
      </w:r>
      <w:r w:rsidR="00AF1C69">
        <w:rPr>
          <w:spacing w:val="-1"/>
          <w:lang w:val="es-ES"/>
        </w:rPr>
        <w:t>.000.000</w:t>
      </w:r>
      <w:r w:rsidR="00AF1C69" w:rsidRPr="008E1E4C">
        <w:rPr>
          <w:spacing w:val="-1"/>
          <w:lang w:val="es-ES"/>
        </w:rPr>
        <w:t xml:space="preserve"> millones de acuerdo con dos estrategias, sin adiciones </w:t>
      </w:r>
      <w:r w:rsidR="00AF1C69">
        <w:rPr>
          <w:spacing w:val="-1"/>
          <w:lang w:val="es-ES"/>
        </w:rPr>
        <w:t>ni</w:t>
      </w:r>
      <w:r w:rsidR="00AF1C69" w:rsidRPr="008E1E4C">
        <w:rPr>
          <w:spacing w:val="-1"/>
          <w:lang w:val="es-ES"/>
        </w:rPr>
        <w:t xml:space="preserve"> retiros </w:t>
      </w:r>
      <w:r w:rsidR="00AF1C69">
        <w:rPr>
          <w:spacing w:val="-1"/>
          <w:lang w:val="es-ES"/>
        </w:rPr>
        <w:t>fuera</w:t>
      </w:r>
      <w:r w:rsidR="00AF1C69" w:rsidRPr="008E1E4C">
        <w:rPr>
          <w:spacing w:val="-1"/>
          <w:lang w:val="es-ES"/>
        </w:rPr>
        <w:t xml:space="preserve"> de las ganancias y pérdidas de inversión.</w:t>
      </w:r>
    </w:p>
    <w:p w14:paraId="3BE68FEF" w14:textId="77777777" w:rsidR="008E1E4C" w:rsidRPr="008E1E4C" w:rsidRDefault="008E1E4C" w:rsidP="002E0720">
      <w:pPr>
        <w:pStyle w:val="BodyText"/>
        <w:jc w:val="both"/>
        <w:rPr>
          <w:spacing w:val="-1"/>
          <w:lang w:val="es-ES"/>
        </w:rPr>
      </w:pPr>
    </w:p>
    <w:p w14:paraId="63AAE223" w14:textId="7A373A2E" w:rsidR="002141E8" w:rsidRPr="002141E8" w:rsidRDefault="00ED6E8E" w:rsidP="002E0720">
      <w:pPr>
        <w:pStyle w:val="BodyText"/>
        <w:numPr>
          <w:ilvl w:val="0"/>
          <w:numId w:val="1"/>
        </w:numPr>
        <w:tabs>
          <w:tab w:val="left" w:pos="758"/>
        </w:tabs>
        <w:ind w:firstLine="0"/>
        <w:jc w:val="both"/>
        <w:rPr>
          <w:lang w:val="es-ES"/>
        </w:rPr>
      </w:pPr>
      <w:r>
        <w:rPr>
          <w:spacing w:val="-1"/>
          <w:lang w:val="es-ES"/>
        </w:rPr>
        <w:t>Al seguir</w:t>
      </w:r>
      <w:r w:rsidR="002141E8" w:rsidRPr="002141E8">
        <w:rPr>
          <w:spacing w:val="-1"/>
          <w:lang w:val="es-ES"/>
        </w:rPr>
        <w:t xml:space="preserve"> la estrategia de dejar el dinero del Fondo de Capital en el Fondo de</w:t>
      </w:r>
      <w:r w:rsidR="002141E8">
        <w:rPr>
          <w:spacing w:val="-1"/>
          <w:lang w:val="es-ES"/>
        </w:rPr>
        <w:t xml:space="preserve"> Tesorería</w:t>
      </w:r>
      <w:r w:rsidR="002141E8" w:rsidRPr="002141E8">
        <w:rPr>
          <w:spacing w:val="-1"/>
          <w:lang w:val="es-ES"/>
        </w:rPr>
        <w:t xml:space="preserve">, se habría producido un aumento </w:t>
      </w:r>
      <w:r>
        <w:rPr>
          <w:spacing w:val="-1"/>
          <w:lang w:val="es-ES"/>
        </w:rPr>
        <w:t>del</w:t>
      </w:r>
      <w:r w:rsidR="002141E8" w:rsidRPr="002141E8">
        <w:rPr>
          <w:spacing w:val="-1"/>
          <w:lang w:val="es-ES"/>
        </w:rPr>
        <w:t xml:space="preserve"> valor</w:t>
      </w:r>
      <w:r w:rsidR="002141E8">
        <w:rPr>
          <w:spacing w:val="-1"/>
          <w:lang w:val="es-ES"/>
        </w:rPr>
        <w:t xml:space="preserve"> de un</w:t>
      </w:r>
      <w:r w:rsidR="002141E8" w:rsidRPr="002141E8">
        <w:rPr>
          <w:spacing w:val="-1"/>
          <w:lang w:val="es-ES"/>
        </w:rPr>
        <w:t xml:space="preserve"> poco menos de </w:t>
      </w:r>
      <w:r w:rsidR="002141E8">
        <w:rPr>
          <w:spacing w:val="-1"/>
          <w:lang w:val="es-ES"/>
        </w:rPr>
        <w:t>US$</w:t>
      </w:r>
      <w:r w:rsidR="002141E8" w:rsidRPr="002141E8">
        <w:rPr>
          <w:spacing w:val="-1"/>
          <w:lang w:val="es-ES"/>
        </w:rPr>
        <w:t>2</w:t>
      </w:r>
      <w:r>
        <w:rPr>
          <w:spacing w:val="-1"/>
          <w:lang w:val="es-ES"/>
        </w:rPr>
        <w:t>.000.000</w:t>
      </w:r>
      <w:r w:rsidR="002141E8" w:rsidRPr="002141E8">
        <w:rPr>
          <w:spacing w:val="-1"/>
          <w:lang w:val="es-ES"/>
        </w:rPr>
        <w:t xml:space="preserve">s, </w:t>
      </w:r>
      <w:r>
        <w:rPr>
          <w:spacing w:val="-1"/>
          <w:lang w:val="es-ES"/>
        </w:rPr>
        <w:t>con un monto total de</w:t>
      </w:r>
      <w:r w:rsidR="002141E8" w:rsidRPr="002141E8">
        <w:rPr>
          <w:spacing w:val="-1"/>
          <w:lang w:val="es-ES"/>
        </w:rPr>
        <w:t xml:space="preserve"> US</w:t>
      </w:r>
      <w:r w:rsidR="002141E8">
        <w:rPr>
          <w:spacing w:val="-1"/>
          <w:lang w:val="es-ES"/>
        </w:rPr>
        <w:t>$</w:t>
      </w:r>
      <w:r w:rsidR="002141E8" w:rsidRPr="002141E8">
        <w:rPr>
          <w:spacing w:val="-1"/>
          <w:lang w:val="es-ES"/>
        </w:rPr>
        <w:t>6</w:t>
      </w:r>
      <w:r w:rsidR="002141E8">
        <w:rPr>
          <w:spacing w:val="-1"/>
          <w:lang w:val="es-ES"/>
        </w:rPr>
        <w:t>.</w:t>
      </w:r>
      <w:r w:rsidR="002141E8" w:rsidRPr="002141E8">
        <w:rPr>
          <w:spacing w:val="-1"/>
          <w:lang w:val="es-ES"/>
        </w:rPr>
        <w:t>95</w:t>
      </w:r>
      <w:r>
        <w:rPr>
          <w:spacing w:val="-1"/>
          <w:lang w:val="es-ES"/>
        </w:rPr>
        <w:t>0.000</w:t>
      </w:r>
      <w:r w:rsidR="002141E8" w:rsidRPr="002141E8">
        <w:rPr>
          <w:spacing w:val="-1"/>
          <w:lang w:val="es-ES"/>
        </w:rPr>
        <w:t xml:space="preserve"> millones. </w:t>
      </w:r>
    </w:p>
    <w:p w14:paraId="1C3DE3EC" w14:textId="77777777" w:rsidR="00513189" w:rsidRPr="00703703" w:rsidRDefault="00513189" w:rsidP="002E0720">
      <w:pPr>
        <w:rPr>
          <w:rFonts w:ascii="Calibri" w:eastAsia="Calibri" w:hAnsi="Calibri" w:cs="Calibri"/>
          <w:lang w:val="es-ES"/>
        </w:rPr>
      </w:pPr>
    </w:p>
    <w:p w14:paraId="5B5DDB51" w14:textId="69B9C024" w:rsidR="00FF20CB" w:rsidRPr="00FF20CB" w:rsidRDefault="00FF20CB" w:rsidP="002E0720">
      <w:pPr>
        <w:pStyle w:val="BodyText"/>
        <w:numPr>
          <w:ilvl w:val="0"/>
          <w:numId w:val="1"/>
        </w:numPr>
        <w:tabs>
          <w:tab w:val="left" w:pos="724"/>
        </w:tabs>
        <w:ind w:firstLine="0"/>
        <w:jc w:val="both"/>
        <w:rPr>
          <w:lang w:val="es-ES"/>
        </w:rPr>
      </w:pPr>
      <w:r w:rsidRPr="00FF20CB">
        <w:rPr>
          <w:lang w:val="es-ES"/>
        </w:rPr>
        <w:t>Una inversión de acuerdo con la estrategia</w:t>
      </w:r>
      <w:r>
        <w:rPr>
          <w:lang w:val="es-ES"/>
        </w:rPr>
        <w:t xml:space="preserve"> del Fondo Fiduciario de Beneficios Médicos (</w:t>
      </w:r>
      <w:r w:rsidRPr="00FF20CB">
        <w:rPr>
          <w:lang w:val="es-ES"/>
        </w:rPr>
        <w:t>MBTF</w:t>
      </w:r>
      <w:r>
        <w:rPr>
          <w:lang w:val="es-ES"/>
        </w:rPr>
        <w:t>)</w:t>
      </w:r>
      <w:r w:rsidRPr="00FF20CB">
        <w:rPr>
          <w:lang w:val="es-ES"/>
        </w:rPr>
        <w:t xml:space="preserve"> habría producido (</w:t>
      </w:r>
      <w:r>
        <w:rPr>
          <w:lang w:val="es-ES"/>
        </w:rPr>
        <w:t xml:space="preserve">una vez deducidas </w:t>
      </w:r>
      <w:r w:rsidR="007268E4">
        <w:rPr>
          <w:lang w:val="es-ES"/>
        </w:rPr>
        <w:t>l</w:t>
      </w:r>
      <w:r w:rsidR="00390670">
        <w:rPr>
          <w:lang w:val="es-ES"/>
        </w:rPr>
        <w:t>os pagos de tasas</w:t>
      </w:r>
      <w:r w:rsidRPr="00FF20CB">
        <w:rPr>
          <w:lang w:val="es-ES"/>
        </w:rPr>
        <w:t xml:space="preserve">) un aumento </w:t>
      </w:r>
      <w:r w:rsidR="00B76987">
        <w:rPr>
          <w:lang w:val="es-ES"/>
        </w:rPr>
        <w:t>por</w:t>
      </w:r>
      <w:r w:rsidRPr="00FF20CB">
        <w:rPr>
          <w:lang w:val="es-ES"/>
        </w:rPr>
        <w:t xml:space="preserve"> el valor de casi US</w:t>
      </w:r>
      <w:r w:rsidR="00B76987">
        <w:rPr>
          <w:lang w:val="es-ES"/>
        </w:rPr>
        <w:t>$</w:t>
      </w:r>
      <w:r w:rsidRPr="00FF20CB">
        <w:rPr>
          <w:lang w:val="es-ES"/>
        </w:rPr>
        <w:t>14</w:t>
      </w:r>
      <w:r w:rsidR="00297BBA">
        <w:rPr>
          <w:lang w:val="es-ES"/>
        </w:rPr>
        <w:t>.000.000</w:t>
      </w:r>
      <w:r w:rsidRPr="00FF20CB">
        <w:rPr>
          <w:lang w:val="es-ES"/>
        </w:rPr>
        <w:t xml:space="preserve"> millones, </w:t>
      </w:r>
      <w:r w:rsidR="00235E32">
        <w:rPr>
          <w:lang w:val="es-ES"/>
        </w:rPr>
        <w:t>con un monto total de US$</w:t>
      </w:r>
      <w:r w:rsidRPr="00FF20CB">
        <w:rPr>
          <w:lang w:val="es-ES"/>
        </w:rPr>
        <w:t xml:space="preserve"> 18</w:t>
      </w:r>
      <w:r w:rsidR="00297BBA">
        <w:rPr>
          <w:lang w:val="es-ES"/>
        </w:rPr>
        <w:t>.</w:t>
      </w:r>
      <w:r w:rsidRPr="00FF20CB">
        <w:rPr>
          <w:lang w:val="es-ES"/>
        </w:rPr>
        <w:t>71</w:t>
      </w:r>
      <w:r w:rsidR="00297BBA">
        <w:rPr>
          <w:lang w:val="es-ES"/>
        </w:rPr>
        <w:t>0.000</w:t>
      </w:r>
      <w:r w:rsidRPr="00FF20CB">
        <w:rPr>
          <w:lang w:val="es-ES"/>
        </w:rPr>
        <w:t xml:space="preserve"> millones, a pesar de</w:t>
      </w:r>
      <w:r w:rsidR="00722595">
        <w:rPr>
          <w:lang w:val="es-ES"/>
        </w:rPr>
        <w:t>l pronunciado descenso d</w:t>
      </w:r>
      <w:r w:rsidRPr="00FF20CB">
        <w:rPr>
          <w:lang w:val="es-ES"/>
        </w:rPr>
        <w:t>el valor en 2008 (que habría dejado el valor por debajo de</w:t>
      </w:r>
      <w:r w:rsidR="00390670">
        <w:rPr>
          <w:lang w:val="es-ES"/>
        </w:rPr>
        <w:t>l valor de</w:t>
      </w:r>
      <w:r w:rsidRPr="00FF20CB">
        <w:rPr>
          <w:lang w:val="es-ES"/>
        </w:rPr>
        <w:t xml:space="preserve"> los fondos invertidos en el Fondo de Tesorería) y otra </w:t>
      </w:r>
      <w:r w:rsidR="00722595">
        <w:rPr>
          <w:lang w:val="es-ES"/>
        </w:rPr>
        <w:t xml:space="preserve">importante </w:t>
      </w:r>
      <w:r w:rsidRPr="00FF20CB">
        <w:rPr>
          <w:lang w:val="es-ES"/>
        </w:rPr>
        <w:t>pérdida de valor en 2019, ambos debido a las caídas del mercado bursátil mundial. El valor</w:t>
      </w:r>
      <w:r w:rsidR="00297BBA">
        <w:rPr>
          <w:lang w:val="es-ES"/>
        </w:rPr>
        <w:t xml:space="preserve"> </w:t>
      </w:r>
      <w:r w:rsidRPr="00FF20CB">
        <w:rPr>
          <w:lang w:val="es-ES"/>
        </w:rPr>
        <w:t xml:space="preserve">en dólares de las ganancias </w:t>
      </w:r>
      <w:r w:rsidR="003A2AD9">
        <w:rPr>
          <w:lang w:val="es-ES"/>
        </w:rPr>
        <w:t xml:space="preserve">hubiera sido casi siete </w:t>
      </w:r>
      <w:r w:rsidRPr="00FF20CB">
        <w:rPr>
          <w:lang w:val="es-ES"/>
        </w:rPr>
        <w:t>veces mayor.</w:t>
      </w:r>
    </w:p>
    <w:p w14:paraId="15AB77C8" w14:textId="77777777" w:rsidR="00FF20CB" w:rsidRPr="00FF20CB" w:rsidRDefault="00FF20CB" w:rsidP="002E0720">
      <w:pPr>
        <w:pStyle w:val="BodyText"/>
        <w:tabs>
          <w:tab w:val="left" w:pos="724"/>
        </w:tabs>
        <w:jc w:val="both"/>
        <w:rPr>
          <w:lang w:val="es-ES"/>
        </w:rPr>
      </w:pPr>
    </w:p>
    <w:p w14:paraId="5E73E29D" w14:textId="00E9C9A2" w:rsidR="00F56C0B" w:rsidRPr="009F5C34" w:rsidRDefault="00F56C0B" w:rsidP="002E0720">
      <w:pPr>
        <w:pStyle w:val="BodyText"/>
        <w:numPr>
          <w:ilvl w:val="0"/>
          <w:numId w:val="1"/>
        </w:numPr>
        <w:tabs>
          <w:tab w:val="left" w:pos="740"/>
        </w:tabs>
        <w:spacing w:line="266" w:lineRule="exact"/>
        <w:ind w:firstLine="0"/>
        <w:jc w:val="both"/>
        <w:rPr>
          <w:lang w:val="es-ES"/>
        </w:rPr>
      </w:pPr>
      <w:r w:rsidRPr="009F5C34">
        <w:rPr>
          <w:spacing w:val="-1"/>
          <w:lang w:val="es-ES"/>
        </w:rPr>
        <w:t xml:space="preserve">El gráfico </w:t>
      </w:r>
      <w:r w:rsidR="009F5C34" w:rsidRPr="009F5C34">
        <w:rPr>
          <w:spacing w:val="-1"/>
          <w:lang w:val="es-ES"/>
        </w:rPr>
        <w:t>a con</w:t>
      </w:r>
      <w:r w:rsidR="009F5C34">
        <w:rPr>
          <w:spacing w:val="-1"/>
          <w:lang w:val="es-ES"/>
        </w:rPr>
        <w:t xml:space="preserve">tinuación presenta tanto la alta volatilidad </w:t>
      </w:r>
      <w:r w:rsidR="001F1B14">
        <w:rPr>
          <w:spacing w:val="-1"/>
          <w:lang w:val="es-ES"/>
        </w:rPr>
        <w:t>como</w:t>
      </w:r>
      <w:r w:rsidR="009F5C34">
        <w:rPr>
          <w:spacing w:val="-1"/>
          <w:lang w:val="es-ES"/>
        </w:rPr>
        <w:t xml:space="preserve"> el potencial de obtener mayores utilidades a largo plazo relacionados con la estrategia de inversión del Fondo Fiduciario de Beneficios Médicos. </w:t>
      </w:r>
    </w:p>
    <w:p w14:paraId="32F446FB" w14:textId="77777777" w:rsidR="00513189" w:rsidRPr="00703703" w:rsidRDefault="00513189" w:rsidP="002E0720">
      <w:pPr>
        <w:spacing w:before="6"/>
        <w:rPr>
          <w:rFonts w:ascii="Calibri" w:eastAsia="Calibri" w:hAnsi="Calibri" w:cs="Calibri"/>
          <w:lang w:val="es-ES"/>
        </w:rPr>
      </w:pPr>
    </w:p>
    <w:p w14:paraId="20628D8B" w14:textId="6E0BFB77" w:rsidR="00597D4C" w:rsidRPr="00703703" w:rsidRDefault="00513189" w:rsidP="00703703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5DEB5E0" wp14:editId="3BF413CA">
            <wp:extent cx="6364296" cy="2529173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296" cy="252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70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BAF931" wp14:editId="127D751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6938" cy="226771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6938" cy="2267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9B52C" w14:textId="113B1EEC" w:rsidR="00703703" w:rsidRPr="00703703" w:rsidRDefault="0070370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CIDRP03147S04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AF9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7pt;height:1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" filled="f" stroked="f">
                <v:stroke joinstyle="round"/>
                <v:textbox>
                  <w:txbxContent>
                    <w:p w14:paraId="6239B52C" w14:textId="113B1EEC" w:rsidR="00703703" w:rsidRPr="00703703" w:rsidRDefault="0070370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CIDRP03147S04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97D4C" w:rsidRPr="00703703" w:rsidSect="00485B07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B6EA" w14:textId="77777777" w:rsidR="00842DEA" w:rsidRDefault="00842DEA" w:rsidP="00842DEA">
      <w:pPr>
        <w:spacing w:after="0" w:line="240" w:lineRule="auto"/>
      </w:pPr>
      <w:r>
        <w:separator/>
      </w:r>
    </w:p>
  </w:endnote>
  <w:endnote w:type="continuationSeparator" w:id="0">
    <w:p w14:paraId="364999FA" w14:textId="77777777" w:rsidR="00842DEA" w:rsidRDefault="00842DEA" w:rsidP="0084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91FC" w14:textId="77777777" w:rsidR="0094361A" w:rsidRDefault="003906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8F77FC" wp14:editId="58FAF322">
              <wp:simplePos x="0" y="0"/>
              <wp:positionH relativeFrom="page">
                <wp:posOffset>687705</wp:posOffset>
              </wp:positionH>
              <wp:positionV relativeFrom="page">
                <wp:posOffset>9472295</wp:posOffset>
              </wp:positionV>
              <wp:extent cx="6364605" cy="140970"/>
              <wp:effectExtent l="190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60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3EE93" w14:textId="57C196C2" w:rsidR="0094361A" w:rsidRDefault="00390670">
                          <w:pPr>
                            <w:spacing w:line="205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7E7E7E"/>
                              <w:spacing w:val="-2"/>
                              <w:sz w:val="18"/>
                            </w:rPr>
                            <w:t>17th</w:t>
                          </w:r>
                          <w:r>
                            <w:rPr>
                              <w:rFonts w:ascii="Arial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pacing w:val="-3"/>
                              <w:sz w:val="18"/>
                            </w:rPr>
                            <w:t>St.</w:t>
                          </w:r>
                          <w:r>
                            <w:rPr>
                              <w:rFonts w:ascii="Arial"/>
                              <w:color w:val="7E7E7E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7E7E7E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>Constitution</w:t>
                          </w:r>
                          <w:r>
                            <w:rPr>
                              <w:rFonts w:ascii="Arial"/>
                              <w:color w:val="7E7E7E"/>
                              <w:spacing w:val="-5"/>
                              <w:sz w:val="18"/>
                            </w:rPr>
                            <w:t xml:space="preserve"> Avenue</w:t>
                          </w:r>
                          <w:r>
                            <w:rPr>
                              <w:rFonts w:ascii="Arial"/>
                              <w:color w:val="7E7E7E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pacing w:val="-5"/>
                              <w:sz w:val="18"/>
                            </w:rPr>
                            <w:t>N.W.</w:t>
                          </w:r>
                          <w:r>
                            <w:rPr>
                              <w:rFonts w:ascii="Arial"/>
                              <w:color w:val="7E7E7E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pacing w:val="-3"/>
                              <w:sz w:val="18"/>
                            </w:rPr>
                            <w:t>Washington</w:t>
                          </w:r>
                          <w:r>
                            <w:rPr>
                              <w:rFonts w:ascii="Arial"/>
                              <w:color w:val="7E7E7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pacing w:val="-8"/>
                              <w:sz w:val="18"/>
                            </w:rPr>
                            <w:t>D.C.</w:t>
                          </w:r>
                          <w:r>
                            <w:rPr>
                              <w:rFonts w:ascii="Arial"/>
                              <w:color w:val="7E7E7E"/>
                              <w:spacing w:val="-7"/>
                              <w:sz w:val="18"/>
                            </w:rPr>
                            <w:t xml:space="preserve"> 20006</w:t>
                          </w:r>
                          <w:r>
                            <w:rPr>
                              <w:rFonts w:ascii="Arial"/>
                              <w:color w:val="7E7E7E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>United</w:t>
                          </w:r>
                          <w:r>
                            <w:rPr>
                              <w:rFonts w:ascii="Arial"/>
                              <w:color w:val="7E7E7E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pacing w:val="-2"/>
                              <w:sz w:val="18"/>
                            </w:rPr>
                            <w:t>States</w:t>
                          </w:r>
                          <w:r>
                            <w:rPr>
                              <w:rFonts w:ascii="Arial"/>
                              <w:color w:val="7E7E7E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pacing w:val="-3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pacing w:val="1"/>
                              <w:sz w:val="18"/>
                            </w:rPr>
                            <w:t>America</w:t>
                          </w:r>
                          <w:r>
                            <w:rPr>
                              <w:rFonts w:ascii="Arial"/>
                              <w:color w:val="7E7E7E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>-   P</w:t>
                          </w:r>
                          <w:r>
                            <w:rPr>
                              <w:rFonts w:ascii="Arial"/>
                              <w:color w:val="7E7E7E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pacing w:val="-7"/>
                              <w:sz w:val="18"/>
                            </w:rPr>
                            <w:t>+1</w:t>
                          </w:r>
                          <w:r>
                            <w:rPr>
                              <w:rFonts w:ascii="Arial"/>
                              <w:color w:val="7E7E7E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pacing w:val="-7"/>
                              <w:sz w:val="18"/>
                            </w:rPr>
                            <w:t>(202)</w:t>
                          </w:r>
                          <w:r>
                            <w:rPr>
                              <w:rFonts w:ascii="Arial"/>
                              <w:color w:val="7E7E7E"/>
                              <w:spacing w:val="-12"/>
                              <w:sz w:val="18"/>
                            </w:rPr>
                            <w:t xml:space="preserve"> </w:t>
                          </w:r>
                          <w:r w:rsidR="00842DEA">
                            <w:rPr>
                              <w:rFonts w:ascii="Arial"/>
                              <w:color w:val="7E7E7E"/>
                              <w:spacing w:val="-6"/>
                              <w:sz w:val="18"/>
                            </w:rPr>
                            <w:t>370.5000</w:t>
                          </w:r>
                          <w:r w:rsidR="00842DEA">
                            <w:rPr>
                              <w:rFonts w:ascii="Arial"/>
                              <w:color w:val="7E7E7E"/>
                              <w:sz w:val="18"/>
                            </w:rPr>
                            <w:t xml:space="preserve"> </w:t>
                          </w:r>
                          <w:r w:rsidR="00842DEA">
                            <w:rPr>
                              <w:rFonts w:ascii="Arial"/>
                              <w:color w:val="7E7E7E"/>
                              <w:spacing w:val="29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color w:val="7E7E7E"/>
                              <w:spacing w:val="3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color w:val="E26C09"/>
                                <w:spacing w:val="-3"/>
                                <w:sz w:val="18"/>
                                <w:u w:val="single" w:color="E26C09"/>
                              </w:rPr>
                              <w:t>www.oas.or</w:t>
                            </w:r>
                          </w:hyperlink>
                          <w:r>
                            <w:rPr>
                              <w:rFonts w:ascii="Arial"/>
                              <w:color w:val="E26C09"/>
                              <w:spacing w:val="-35"/>
                              <w:sz w:val="18"/>
                              <w:u w:val="single" w:color="E26C0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E26C09"/>
                              <w:sz w:val="18"/>
                              <w:u w:val="single" w:color="E26C0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F7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.15pt;margin-top:745.85pt;width:501.1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" filled="f" stroked="f">
              <v:textbox inset="0,0,0,0">
                <w:txbxContent>
                  <w:p w14:paraId="16A3EE93" w14:textId="57C196C2" w:rsidR="0094361A" w:rsidRDefault="00390670">
                    <w:pPr>
                      <w:spacing w:line="205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7E7E7E"/>
                        <w:spacing w:val="-2"/>
                        <w:sz w:val="18"/>
                      </w:rPr>
                      <w:t>17th</w:t>
                    </w:r>
                    <w:r>
                      <w:rPr>
                        <w:rFonts w:ascii="Arial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pacing w:val="-3"/>
                        <w:sz w:val="18"/>
                      </w:rPr>
                      <w:t>St.</w:t>
                    </w:r>
                    <w:r>
                      <w:rPr>
                        <w:rFonts w:ascii="Arial"/>
                        <w:color w:val="7E7E7E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z w:val="18"/>
                      </w:rPr>
                      <w:t>&amp;</w:t>
                    </w:r>
                    <w:r>
                      <w:rPr>
                        <w:rFonts w:ascii="Arial"/>
                        <w:color w:val="7E7E7E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z w:val="18"/>
                      </w:rPr>
                      <w:t>Constitution</w:t>
                    </w:r>
                    <w:r>
                      <w:rPr>
                        <w:rFonts w:ascii="Arial"/>
                        <w:color w:val="7E7E7E"/>
                        <w:spacing w:val="-5"/>
                        <w:sz w:val="18"/>
                      </w:rPr>
                      <w:t xml:space="preserve"> Avenue</w:t>
                    </w:r>
                    <w:r>
                      <w:rPr>
                        <w:rFonts w:ascii="Arial"/>
                        <w:color w:val="7E7E7E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pacing w:val="-5"/>
                        <w:sz w:val="18"/>
                      </w:rPr>
                      <w:t>N.W.</w:t>
                    </w:r>
                    <w:r>
                      <w:rPr>
                        <w:rFonts w:ascii="Arial"/>
                        <w:color w:val="7E7E7E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pacing w:val="-3"/>
                        <w:sz w:val="18"/>
                      </w:rPr>
                      <w:t>Washington</w:t>
                    </w:r>
                    <w:r>
                      <w:rPr>
                        <w:rFonts w:ascii="Arial"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pacing w:val="-8"/>
                        <w:sz w:val="18"/>
                      </w:rPr>
                      <w:t>D.C.</w:t>
                    </w:r>
                    <w:r>
                      <w:rPr>
                        <w:rFonts w:ascii="Arial"/>
                        <w:color w:val="7E7E7E"/>
                        <w:spacing w:val="-7"/>
                        <w:sz w:val="18"/>
                      </w:rPr>
                      <w:t xml:space="preserve"> 20006</w:t>
                    </w:r>
                    <w:r>
                      <w:rPr>
                        <w:rFonts w:ascii="Arial"/>
                        <w:color w:val="7E7E7E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z w:val="18"/>
                      </w:rPr>
                      <w:t>United</w:t>
                    </w:r>
                    <w:r>
                      <w:rPr>
                        <w:rFonts w:ascii="Arial"/>
                        <w:color w:val="7E7E7E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pacing w:val="-2"/>
                        <w:sz w:val="18"/>
                      </w:rPr>
                      <w:t>States</w:t>
                    </w:r>
                    <w:r>
                      <w:rPr>
                        <w:rFonts w:ascii="Arial"/>
                        <w:color w:val="7E7E7E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pacing w:val="-3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7E7E7E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pacing w:val="1"/>
                        <w:sz w:val="18"/>
                      </w:rPr>
                      <w:t>America</w:t>
                    </w:r>
                    <w:r>
                      <w:rPr>
                        <w:rFonts w:ascii="Arial"/>
                        <w:color w:val="7E7E7E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z w:val="18"/>
                      </w:rPr>
                      <w:t>-   P</w:t>
                    </w:r>
                    <w:r>
                      <w:rPr>
                        <w:rFonts w:ascii="Arial"/>
                        <w:color w:val="7E7E7E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pacing w:val="-7"/>
                        <w:sz w:val="18"/>
                      </w:rPr>
                      <w:t>+1</w:t>
                    </w:r>
                    <w:r>
                      <w:rPr>
                        <w:rFonts w:ascii="Arial"/>
                        <w:color w:val="7E7E7E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pacing w:val="-7"/>
                        <w:sz w:val="18"/>
                      </w:rPr>
                      <w:t>(202)</w:t>
                    </w:r>
                    <w:r>
                      <w:rPr>
                        <w:rFonts w:ascii="Arial"/>
                        <w:color w:val="7E7E7E"/>
                        <w:spacing w:val="-12"/>
                        <w:sz w:val="18"/>
                      </w:rPr>
                      <w:t xml:space="preserve"> </w:t>
                    </w:r>
                    <w:r w:rsidR="00842DEA">
                      <w:rPr>
                        <w:rFonts w:ascii="Arial"/>
                        <w:color w:val="7E7E7E"/>
                        <w:spacing w:val="-6"/>
                        <w:sz w:val="18"/>
                      </w:rPr>
                      <w:t>370.5000</w:t>
                    </w:r>
                    <w:r w:rsidR="00842DEA">
                      <w:rPr>
                        <w:rFonts w:ascii="Arial"/>
                        <w:color w:val="7E7E7E"/>
                        <w:sz w:val="18"/>
                      </w:rPr>
                      <w:t xml:space="preserve"> </w:t>
                    </w:r>
                    <w:r w:rsidR="00842DEA">
                      <w:rPr>
                        <w:rFonts w:ascii="Arial"/>
                        <w:color w:val="7E7E7E"/>
                        <w:spacing w:val="29"/>
                        <w:sz w:val="18"/>
                      </w:rPr>
                      <w:t>-</w:t>
                    </w:r>
                    <w:r>
                      <w:rPr>
                        <w:rFonts w:ascii="Arial"/>
                        <w:color w:val="7E7E7E"/>
                        <w:sz w:val="18"/>
                      </w:rPr>
                      <w:t xml:space="preserve">  </w:t>
                    </w:r>
                    <w:r>
                      <w:rPr>
                        <w:rFonts w:ascii="Arial"/>
                        <w:color w:val="7E7E7E"/>
                        <w:spacing w:val="3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color w:val="E26C09"/>
                          <w:spacing w:val="-3"/>
                          <w:sz w:val="18"/>
                          <w:u w:val="single" w:color="E26C09"/>
                        </w:rPr>
                        <w:t>www.oas.or</w:t>
                      </w:r>
                    </w:hyperlink>
                    <w:r>
                      <w:rPr>
                        <w:rFonts w:ascii="Arial"/>
                        <w:color w:val="E26C09"/>
                        <w:spacing w:val="-35"/>
                        <w:sz w:val="18"/>
                        <w:u w:val="single" w:color="E26C09"/>
                      </w:rPr>
                      <w:t xml:space="preserve"> </w:t>
                    </w:r>
                    <w:r>
                      <w:rPr>
                        <w:rFonts w:ascii="Arial"/>
                        <w:color w:val="E26C09"/>
                        <w:sz w:val="18"/>
                        <w:u w:val="single" w:color="E26C0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BCD2" w14:textId="14CA7B80" w:rsidR="00703703" w:rsidRDefault="0070370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1FEE" w14:textId="77777777" w:rsidR="00842DEA" w:rsidRDefault="00842DEA" w:rsidP="00842DEA">
      <w:pPr>
        <w:spacing w:after="0" w:line="240" w:lineRule="auto"/>
      </w:pPr>
      <w:r>
        <w:separator/>
      </w:r>
    </w:p>
  </w:footnote>
  <w:footnote w:type="continuationSeparator" w:id="0">
    <w:p w14:paraId="46775F4B" w14:textId="77777777" w:rsidR="00842DEA" w:rsidRDefault="00842DEA" w:rsidP="0084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146D" w14:textId="746E9B21" w:rsidR="0094361A" w:rsidRDefault="00AF3BDE" w:rsidP="00703703">
    <w:pPr>
      <w:tabs>
        <w:tab w:val="right" w:pos="10200"/>
      </w:tabs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939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A97069" w14:textId="50BE3494" w:rsidR="00703703" w:rsidRPr="00703703" w:rsidRDefault="00703703" w:rsidP="007037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01209A" w14:textId="77777777" w:rsidR="00703703" w:rsidRDefault="007037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AE27" w14:textId="5FDBE87F" w:rsidR="00703703" w:rsidRDefault="00703703" w:rsidP="00703703">
    <w:pPr>
      <w:pStyle w:val="Header"/>
    </w:pPr>
  </w:p>
  <w:p w14:paraId="3B7280D9" w14:textId="77777777" w:rsidR="00703703" w:rsidRDefault="00703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4D9"/>
    <w:multiLevelType w:val="hybridMultilevel"/>
    <w:tmpl w:val="3CD04EBE"/>
    <w:lvl w:ilvl="0" w:tplc="50BA62E2">
      <w:start w:val="1"/>
      <w:numFmt w:val="decimal"/>
      <w:lvlText w:val="%1."/>
      <w:lvlJc w:val="left"/>
      <w:pPr>
        <w:ind w:left="658" w:hanging="219"/>
      </w:pPr>
      <w:rPr>
        <w:rFonts w:ascii="Calibri" w:eastAsia="Calibri" w:hAnsi="Calibri" w:hint="default"/>
        <w:sz w:val="22"/>
        <w:szCs w:val="22"/>
      </w:rPr>
    </w:lvl>
    <w:lvl w:ilvl="1" w:tplc="06BE25D6">
      <w:start w:val="1"/>
      <w:numFmt w:val="bullet"/>
      <w:lvlText w:val="•"/>
      <w:lvlJc w:val="left"/>
      <w:pPr>
        <w:ind w:left="1613" w:hanging="219"/>
      </w:pPr>
      <w:rPr>
        <w:rFonts w:hint="default"/>
      </w:rPr>
    </w:lvl>
    <w:lvl w:ilvl="2" w:tplc="D750B4E2">
      <w:start w:val="1"/>
      <w:numFmt w:val="bullet"/>
      <w:lvlText w:val="•"/>
      <w:lvlJc w:val="left"/>
      <w:pPr>
        <w:ind w:left="2567" w:hanging="219"/>
      </w:pPr>
      <w:rPr>
        <w:rFonts w:hint="default"/>
      </w:rPr>
    </w:lvl>
    <w:lvl w:ilvl="3" w:tplc="B5389CF8">
      <w:start w:val="1"/>
      <w:numFmt w:val="bullet"/>
      <w:lvlText w:val="•"/>
      <w:lvlJc w:val="left"/>
      <w:pPr>
        <w:ind w:left="3521" w:hanging="219"/>
      </w:pPr>
      <w:rPr>
        <w:rFonts w:hint="default"/>
      </w:rPr>
    </w:lvl>
    <w:lvl w:ilvl="4" w:tplc="3B6874A6">
      <w:start w:val="1"/>
      <w:numFmt w:val="bullet"/>
      <w:lvlText w:val="•"/>
      <w:lvlJc w:val="left"/>
      <w:pPr>
        <w:ind w:left="4475" w:hanging="219"/>
      </w:pPr>
      <w:rPr>
        <w:rFonts w:hint="default"/>
      </w:rPr>
    </w:lvl>
    <w:lvl w:ilvl="5" w:tplc="A3C8BAC0">
      <w:start w:val="1"/>
      <w:numFmt w:val="bullet"/>
      <w:lvlText w:val="•"/>
      <w:lvlJc w:val="left"/>
      <w:pPr>
        <w:ind w:left="5429" w:hanging="219"/>
      </w:pPr>
      <w:rPr>
        <w:rFonts w:hint="default"/>
      </w:rPr>
    </w:lvl>
    <w:lvl w:ilvl="6" w:tplc="FF14522A">
      <w:start w:val="1"/>
      <w:numFmt w:val="bullet"/>
      <w:lvlText w:val="•"/>
      <w:lvlJc w:val="left"/>
      <w:pPr>
        <w:ind w:left="6383" w:hanging="219"/>
      </w:pPr>
      <w:rPr>
        <w:rFonts w:hint="default"/>
      </w:rPr>
    </w:lvl>
    <w:lvl w:ilvl="7" w:tplc="86A4E218">
      <w:start w:val="1"/>
      <w:numFmt w:val="bullet"/>
      <w:lvlText w:val="•"/>
      <w:lvlJc w:val="left"/>
      <w:pPr>
        <w:ind w:left="7337" w:hanging="219"/>
      </w:pPr>
      <w:rPr>
        <w:rFonts w:hint="default"/>
      </w:rPr>
    </w:lvl>
    <w:lvl w:ilvl="8" w:tplc="7802532E">
      <w:start w:val="1"/>
      <w:numFmt w:val="bullet"/>
      <w:lvlText w:val="•"/>
      <w:lvlJc w:val="left"/>
      <w:pPr>
        <w:ind w:left="8291" w:hanging="219"/>
      </w:pPr>
      <w:rPr>
        <w:rFonts w:hint="default"/>
      </w:rPr>
    </w:lvl>
  </w:abstractNum>
  <w:abstractNum w:abstractNumId="1" w15:restartNumberingAfterBreak="0">
    <w:nsid w:val="1FCF090C"/>
    <w:multiLevelType w:val="singleLevel"/>
    <w:tmpl w:val="6A548066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2F550EBE"/>
    <w:multiLevelType w:val="hybridMultilevel"/>
    <w:tmpl w:val="2034D8B2"/>
    <w:lvl w:ilvl="0" w:tplc="B57CFD54">
      <w:start w:val="1"/>
      <w:numFmt w:val="decimal"/>
      <w:lvlText w:val="%1."/>
      <w:lvlJc w:val="left"/>
      <w:pPr>
        <w:ind w:left="440" w:hanging="322"/>
      </w:pPr>
      <w:rPr>
        <w:rFonts w:ascii="Calibri" w:eastAsia="Calibri" w:hAnsi="Calibri" w:hint="default"/>
        <w:sz w:val="22"/>
        <w:szCs w:val="22"/>
        <w:lang w:val="es-ES"/>
      </w:rPr>
    </w:lvl>
    <w:lvl w:ilvl="1" w:tplc="83749D0E">
      <w:start w:val="1"/>
      <w:numFmt w:val="bullet"/>
      <w:lvlText w:val="•"/>
      <w:lvlJc w:val="left"/>
      <w:pPr>
        <w:ind w:left="1416" w:hanging="322"/>
      </w:pPr>
      <w:rPr>
        <w:rFonts w:hint="default"/>
      </w:rPr>
    </w:lvl>
    <w:lvl w:ilvl="2" w:tplc="9C748FF4">
      <w:start w:val="1"/>
      <w:numFmt w:val="bullet"/>
      <w:lvlText w:val="•"/>
      <w:lvlJc w:val="left"/>
      <w:pPr>
        <w:ind w:left="2392" w:hanging="322"/>
      </w:pPr>
      <w:rPr>
        <w:rFonts w:hint="default"/>
      </w:rPr>
    </w:lvl>
    <w:lvl w:ilvl="3" w:tplc="1C847852">
      <w:start w:val="1"/>
      <w:numFmt w:val="bullet"/>
      <w:lvlText w:val="•"/>
      <w:lvlJc w:val="left"/>
      <w:pPr>
        <w:ind w:left="3368" w:hanging="322"/>
      </w:pPr>
      <w:rPr>
        <w:rFonts w:hint="default"/>
      </w:rPr>
    </w:lvl>
    <w:lvl w:ilvl="4" w:tplc="622EFB6E">
      <w:start w:val="1"/>
      <w:numFmt w:val="bullet"/>
      <w:lvlText w:val="•"/>
      <w:lvlJc w:val="left"/>
      <w:pPr>
        <w:ind w:left="4344" w:hanging="322"/>
      </w:pPr>
      <w:rPr>
        <w:rFonts w:hint="default"/>
      </w:rPr>
    </w:lvl>
    <w:lvl w:ilvl="5" w:tplc="3A08CE9A">
      <w:start w:val="1"/>
      <w:numFmt w:val="bullet"/>
      <w:lvlText w:val="•"/>
      <w:lvlJc w:val="left"/>
      <w:pPr>
        <w:ind w:left="5320" w:hanging="322"/>
      </w:pPr>
      <w:rPr>
        <w:rFonts w:hint="default"/>
      </w:rPr>
    </w:lvl>
    <w:lvl w:ilvl="6" w:tplc="9104E99C">
      <w:start w:val="1"/>
      <w:numFmt w:val="bullet"/>
      <w:lvlText w:val="•"/>
      <w:lvlJc w:val="left"/>
      <w:pPr>
        <w:ind w:left="6296" w:hanging="322"/>
      </w:pPr>
      <w:rPr>
        <w:rFonts w:hint="default"/>
      </w:rPr>
    </w:lvl>
    <w:lvl w:ilvl="7" w:tplc="A69414F4">
      <w:start w:val="1"/>
      <w:numFmt w:val="bullet"/>
      <w:lvlText w:val="•"/>
      <w:lvlJc w:val="left"/>
      <w:pPr>
        <w:ind w:left="7272" w:hanging="322"/>
      </w:pPr>
      <w:rPr>
        <w:rFonts w:hint="default"/>
      </w:rPr>
    </w:lvl>
    <w:lvl w:ilvl="8" w:tplc="18501236">
      <w:start w:val="1"/>
      <w:numFmt w:val="bullet"/>
      <w:lvlText w:val="•"/>
      <w:lvlJc w:val="left"/>
      <w:pPr>
        <w:ind w:left="8248" w:hanging="322"/>
      </w:pPr>
      <w:rPr>
        <w:rFonts w:hint="default"/>
      </w:rPr>
    </w:lvl>
  </w:abstractNum>
  <w:abstractNum w:abstractNumId="3" w15:restartNumberingAfterBreak="0">
    <w:nsid w:val="362149DE"/>
    <w:multiLevelType w:val="hybridMultilevel"/>
    <w:tmpl w:val="2AB24114"/>
    <w:lvl w:ilvl="0" w:tplc="FCF4E452">
      <w:start w:val="1"/>
      <w:numFmt w:val="decimal"/>
      <w:lvlText w:val="%1."/>
      <w:lvlJc w:val="left"/>
      <w:pPr>
        <w:ind w:left="440" w:hanging="377"/>
      </w:pPr>
      <w:rPr>
        <w:rFonts w:ascii="Calibri" w:eastAsia="Calibri" w:hAnsi="Calibri" w:hint="default"/>
        <w:sz w:val="22"/>
        <w:szCs w:val="22"/>
      </w:rPr>
    </w:lvl>
    <w:lvl w:ilvl="1" w:tplc="DEEEE96A">
      <w:start w:val="1"/>
      <w:numFmt w:val="bullet"/>
      <w:lvlText w:val="•"/>
      <w:lvlJc w:val="left"/>
      <w:pPr>
        <w:ind w:left="1416" w:hanging="377"/>
      </w:pPr>
      <w:rPr>
        <w:rFonts w:hint="default"/>
      </w:rPr>
    </w:lvl>
    <w:lvl w:ilvl="2" w:tplc="253CB918">
      <w:start w:val="1"/>
      <w:numFmt w:val="bullet"/>
      <w:lvlText w:val="•"/>
      <w:lvlJc w:val="left"/>
      <w:pPr>
        <w:ind w:left="2392" w:hanging="377"/>
      </w:pPr>
      <w:rPr>
        <w:rFonts w:hint="default"/>
      </w:rPr>
    </w:lvl>
    <w:lvl w:ilvl="3" w:tplc="54E6855A">
      <w:start w:val="1"/>
      <w:numFmt w:val="bullet"/>
      <w:lvlText w:val="•"/>
      <w:lvlJc w:val="left"/>
      <w:pPr>
        <w:ind w:left="3368" w:hanging="377"/>
      </w:pPr>
      <w:rPr>
        <w:rFonts w:hint="default"/>
      </w:rPr>
    </w:lvl>
    <w:lvl w:ilvl="4" w:tplc="4EA47366">
      <w:start w:val="1"/>
      <w:numFmt w:val="bullet"/>
      <w:lvlText w:val="•"/>
      <w:lvlJc w:val="left"/>
      <w:pPr>
        <w:ind w:left="4344" w:hanging="377"/>
      </w:pPr>
      <w:rPr>
        <w:rFonts w:hint="default"/>
      </w:rPr>
    </w:lvl>
    <w:lvl w:ilvl="5" w:tplc="983012BE">
      <w:start w:val="1"/>
      <w:numFmt w:val="bullet"/>
      <w:lvlText w:val="•"/>
      <w:lvlJc w:val="left"/>
      <w:pPr>
        <w:ind w:left="5320" w:hanging="377"/>
      </w:pPr>
      <w:rPr>
        <w:rFonts w:hint="default"/>
      </w:rPr>
    </w:lvl>
    <w:lvl w:ilvl="6" w:tplc="481E299C">
      <w:start w:val="1"/>
      <w:numFmt w:val="bullet"/>
      <w:lvlText w:val="•"/>
      <w:lvlJc w:val="left"/>
      <w:pPr>
        <w:ind w:left="6296" w:hanging="377"/>
      </w:pPr>
      <w:rPr>
        <w:rFonts w:hint="default"/>
      </w:rPr>
    </w:lvl>
    <w:lvl w:ilvl="7" w:tplc="A83815BE">
      <w:start w:val="1"/>
      <w:numFmt w:val="bullet"/>
      <w:lvlText w:val="•"/>
      <w:lvlJc w:val="left"/>
      <w:pPr>
        <w:ind w:left="7272" w:hanging="377"/>
      </w:pPr>
      <w:rPr>
        <w:rFonts w:hint="default"/>
      </w:rPr>
    </w:lvl>
    <w:lvl w:ilvl="8" w:tplc="732AAED2">
      <w:start w:val="1"/>
      <w:numFmt w:val="bullet"/>
      <w:lvlText w:val="•"/>
      <w:lvlJc w:val="left"/>
      <w:pPr>
        <w:ind w:left="8248" w:hanging="377"/>
      </w:pPr>
      <w:rPr>
        <w:rFonts w:hint="default"/>
      </w:rPr>
    </w:lvl>
  </w:abstractNum>
  <w:abstractNum w:abstractNumId="4" w15:restartNumberingAfterBreak="0">
    <w:nsid w:val="4ADB753C"/>
    <w:multiLevelType w:val="hybridMultilevel"/>
    <w:tmpl w:val="B420D580"/>
    <w:lvl w:ilvl="0" w:tplc="0F62634C">
      <w:start w:val="1"/>
      <w:numFmt w:val="decimal"/>
      <w:lvlText w:val="%1."/>
      <w:lvlJc w:val="left"/>
      <w:pPr>
        <w:ind w:left="440" w:hanging="317"/>
      </w:pPr>
      <w:rPr>
        <w:rFonts w:ascii="Calibri" w:eastAsia="Calibri" w:hAnsi="Calibri" w:hint="default"/>
        <w:sz w:val="22"/>
        <w:szCs w:val="22"/>
      </w:rPr>
    </w:lvl>
    <w:lvl w:ilvl="1" w:tplc="C6625690">
      <w:start w:val="1"/>
      <w:numFmt w:val="bullet"/>
      <w:lvlText w:val="•"/>
      <w:lvlJc w:val="left"/>
      <w:pPr>
        <w:ind w:left="1458" w:hanging="317"/>
      </w:pPr>
      <w:rPr>
        <w:rFonts w:hint="default"/>
      </w:rPr>
    </w:lvl>
    <w:lvl w:ilvl="2" w:tplc="2B6AFCF2">
      <w:start w:val="1"/>
      <w:numFmt w:val="bullet"/>
      <w:lvlText w:val="•"/>
      <w:lvlJc w:val="left"/>
      <w:pPr>
        <w:ind w:left="2476" w:hanging="317"/>
      </w:pPr>
      <w:rPr>
        <w:rFonts w:hint="default"/>
      </w:rPr>
    </w:lvl>
    <w:lvl w:ilvl="3" w:tplc="89E45AB2">
      <w:start w:val="1"/>
      <w:numFmt w:val="bullet"/>
      <w:lvlText w:val="•"/>
      <w:lvlJc w:val="left"/>
      <w:pPr>
        <w:ind w:left="3494" w:hanging="317"/>
      </w:pPr>
      <w:rPr>
        <w:rFonts w:hint="default"/>
      </w:rPr>
    </w:lvl>
    <w:lvl w:ilvl="4" w:tplc="BB1CC0F8">
      <w:start w:val="1"/>
      <w:numFmt w:val="bullet"/>
      <w:lvlText w:val="•"/>
      <w:lvlJc w:val="left"/>
      <w:pPr>
        <w:ind w:left="4512" w:hanging="317"/>
      </w:pPr>
      <w:rPr>
        <w:rFonts w:hint="default"/>
      </w:rPr>
    </w:lvl>
    <w:lvl w:ilvl="5" w:tplc="A0B2746A">
      <w:start w:val="1"/>
      <w:numFmt w:val="bullet"/>
      <w:lvlText w:val="•"/>
      <w:lvlJc w:val="left"/>
      <w:pPr>
        <w:ind w:left="5530" w:hanging="317"/>
      </w:pPr>
      <w:rPr>
        <w:rFonts w:hint="default"/>
      </w:rPr>
    </w:lvl>
    <w:lvl w:ilvl="6" w:tplc="9D4A99CE">
      <w:start w:val="1"/>
      <w:numFmt w:val="bullet"/>
      <w:lvlText w:val="•"/>
      <w:lvlJc w:val="left"/>
      <w:pPr>
        <w:ind w:left="6548" w:hanging="317"/>
      </w:pPr>
      <w:rPr>
        <w:rFonts w:hint="default"/>
      </w:rPr>
    </w:lvl>
    <w:lvl w:ilvl="7" w:tplc="F83004CE">
      <w:start w:val="1"/>
      <w:numFmt w:val="bullet"/>
      <w:lvlText w:val="•"/>
      <w:lvlJc w:val="left"/>
      <w:pPr>
        <w:ind w:left="7566" w:hanging="317"/>
      </w:pPr>
      <w:rPr>
        <w:rFonts w:hint="default"/>
      </w:rPr>
    </w:lvl>
    <w:lvl w:ilvl="8" w:tplc="CF94E344">
      <w:start w:val="1"/>
      <w:numFmt w:val="bullet"/>
      <w:lvlText w:val="•"/>
      <w:lvlJc w:val="left"/>
      <w:pPr>
        <w:ind w:left="8584" w:hanging="31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07"/>
    <w:rsid w:val="00002019"/>
    <w:rsid w:val="00017078"/>
    <w:rsid w:val="00017593"/>
    <w:rsid w:val="00020EC7"/>
    <w:rsid w:val="000406A7"/>
    <w:rsid w:val="00041FFB"/>
    <w:rsid w:val="0006257E"/>
    <w:rsid w:val="000853B9"/>
    <w:rsid w:val="00094FB7"/>
    <w:rsid w:val="000A40A3"/>
    <w:rsid w:val="000A529B"/>
    <w:rsid w:val="000B52A3"/>
    <w:rsid w:val="000B64F6"/>
    <w:rsid w:val="000D3585"/>
    <w:rsid w:val="000E31B7"/>
    <w:rsid w:val="000F130F"/>
    <w:rsid w:val="000F48E6"/>
    <w:rsid w:val="000F79F5"/>
    <w:rsid w:val="001651E0"/>
    <w:rsid w:val="0019454E"/>
    <w:rsid w:val="001B2B41"/>
    <w:rsid w:val="001B739D"/>
    <w:rsid w:val="001B7CA7"/>
    <w:rsid w:val="001C460F"/>
    <w:rsid w:val="001F088E"/>
    <w:rsid w:val="001F1B14"/>
    <w:rsid w:val="001F347C"/>
    <w:rsid w:val="00211F22"/>
    <w:rsid w:val="00212780"/>
    <w:rsid w:val="002141E8"/>
    <w:rsid w:val="0021584E"/>
    <w:rsid w:val="00215F4F"/>
    <w:rsid w:val="00215FB1"/>
    <w:rsid w:val="00221B5D"/>
    <w:rsid w:val="00227335"/>
    <w:rsid w:val="00235E32"/>
    <w:rsid w:val="002546FE"/>
    <w:rsid w:val="00254E97"/>
    <w:rsid w:val="00263A74"/>
    <w:rsid w:val="0027713B"/>
    <w:rsid w:val="00297BBA"/>
    <w:rsid w:val="002A41CA"/>
    <w:rsid w:val="002B28BA"/>
    <w:rsid w:val="002C5B93"/>
    <w:rsid w:val="002D2177"/>
    <w:rsid w:val="002D55A0"/>
    <w:rsid w:val="002E0720"/>
    <w:rsid w:val="002E1EDB"/>
    <w:rsid w:val="00300086"/>
    <w:rsid w:val="00301319"/>
    <w:rsid w:val="003165E8"/>
    <w:rsid w:val="00347F3C"/>
    <w:rsid w:val="00373F87"/>
    <w:rsid w:val="003863F5"/>
    <w:rsid w:val="00390670"/>
    <w:rsid w:val="00391A8F"/>
    <w:rsid w:val="003A2AD9"/>
    <w:rsid w:val="003D1064"/>
    <w:rsid w:val="003F346D"/>
    <w:rsid w:val="00407557"/>
    <w:rsid w:val="00424FAB"/>
    <w:rsid w:val="00440E26"/>
    <w:rsid w:val="0044634A"/>
    <w:rsid w:val="00485B07"/>
    <w:rsid w:val="004A5CE6"/>
    <w:rsid w:val="004C5B4B"/>
    <w:rsid w:val="004D069E"/>
    <w:rsid w:val="004F5F76"/>
    <w:rsid w:val="00513189"/>
    <w:rsid w:val="00523539"/>
    <w:rsid w:val="00527CBF"/>
    <w:rsid w:val="00567080"/>
    <w:rsid w:val="00597D4C"/>
    <w:rsid w:val="005E363E"/>
    <w:rsid w:val="006252C6"/>
    <w:rsid w:val="0066597F"/>
    <w:rsid w:val="00696E7E"/>
    <w:rsid w:val="006B3326"/>
    <w:rsid w:val="006C34F1"/>
    <w:rsid w:val="006E1946"/>
    <w:rsid w:val="006E219F"/>
    <w:rsid w:val="006F58DB"/>
    <w:rsid w:val="00703703"/>
    <w:rsid w:val="00721987"/>
    <w:rsid w:val="00722595"/>
    <w:rsid w:val="00723A5F"/>
    <w:rsid w:val="007268E4"/>
    <w:rsid w:val="00740B48"/>
    <w:rsid w:val="00747396"/>
    <w:rsid w:val="0077734A"/>
    <w:rsid w:val="00785B87"/>
    <w:rsid w:val="0079636D"/>
    <w:rsid w:val="007A264E"/>
    <w:rsid w:val="007B46BA"/>
    <w:rsid w:val="007D4D20"/>
    <w:rsid w:val="00834A5C"/>
    <w:rsid w:val="00842DEA"/>
    <w:rsid w:val="008B6406"/>
    <w:rsid w:val="008C78EA"/>
    <w:rsid w:val="008D1406"/>
    <w:rsid w:val="008E1E4C"/>
    <w:rsid w:val="00931D2F"/>
    <w:rsid w:val="009404C5"/>
    <w:rsid w:val="00951CFD"/>
    <w:rsid w:val="0095240C"/>
    <w:rsid w:val="009A502B"/>
    <w:rsid w:val="009C69FB"/>
    <w:rsid w:val="009D632A"/>
    <w:rsid w:val="009E1324"/>
    <w:rsid w:val="009E3C2B"/>
    <w:rsid w:val="009F5C34"/>
    <w:rsid w:val="00A44CD5"/>
    <w:rsid w:val="00A97984"/>
    <w:rsid w:val="00AB2123"/>
    <w:rsid w:val="00AB6679"/>
    <w:rsid w:val="00AE2295"/>
    <w:rsid w:val="00AF1C69"/>
    <w:rsid w:val="00AF3BDE"/>
    <w:rsid w:val="00B228ED"/>
    <w:rsid w:val="00B25661"/>
    <w:rsid w:val="00B45958"/>
    <w:rsid w:val="00B615B3"/>
    <w:rsid w:val="00B76987"/>
    <w:rsid w:val="00B77994"/>
    <w:rsid w:val="00C32032"/>
    <w:rsid w:val="00C35940"/>
    <w:rsid w:val="00C8555F"/>
    <w:rsid w:val="00CA4C27"/>
    <w:rsid w:val="00CC2091"/>
    <w:rsid w:val="00CD29AC"/>
    <w:rsid w:val="00D54EED"/>
    <w:rsid w:val="00D643E7"/>
    <w:rsid w:val="00D71E76"/>
    <w:rsid w:val="00DC61B8"/>
    <w:rsid w:val="00DE561F"/>
    <w:rsid w:val="00DE6565"/>
    <w:rsid w:val="00E00DDB"/>
    <w:rsid w:val="00E034D8"/>
    <w:rsid w:val="00E16631"/>
    <w:rsid w:val="00E17B49"/>
    <w:rsid w:val="00E232B0"/>
    <w:rsid w:val="00E408E9"/>
    <w:rsid w:val="00E96F9F"/>
    <w:rsid w:val="00EA42BA"/>
    <w:rsid w:val="00EB1F58"/>
    <w:rsid w:val="00EC2DDF"/>
    <w:rsid w:val="00EC322D"/>
    <w:rsid w:val="00EC61B8"/>
    <w:rsid w:val="00EC684C"/>
    <w:rsid w:val="00ED6E8E"/>
    <w:rsid w:val="00F14DC1"/>
    <w:rsid w:val="00F209A9"/>
    <w:rsid w:val="00F52B1A"/>
    <w:rsid w:val="00F56C0B"/>
    <w:rsid w:val="00F62F86"/>
    <w:rsid w:val="00F9606C"/>
    <w:rsid w:val="00FC044D"/>
    <w:rsid w:val="00FD4DDF"/>
    <w:rsid w:val="00FE7421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0B8E5B"/>
  <w15:docId w15:val="{62779269-10B7-439F-A4D4-841611AA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B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13189"/>
    <w:pPr>
      <w:widowControl w:val="0"/>
      <w:spacing w:after="0" w:line="240" w:lineRule="auto"/>
      <w:ind w:left="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B07"/>
    <w:rPr>
      <w:color w:val="0563C1"/>
      <w:u w:val="single"/>
    </w:rPr>
  </w:style>
  <w:style w:type="character" w:styleId="FollowedHyperlink">
    <w:name w:val="FollowedHyperlink"/>
    <w:basedOn w:val="DefaultParagraphFont"/>
    <w:rsid w:val="00E17B4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189"/>
    <w:rPr>
      <w:rFonts w:ascii="Calibri" w:eastAsia="Calibri" w:hAnsi="Calibr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13189"/>
    <w:pPr>
      <w:widowControl w:val="0"/>
      <w:spacing w:after="0" w:line="240" w:lineRule="auto"/>
      <w:ind w:left="4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3189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513189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13189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84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DE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84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2DE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0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370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s.or/" TargetMode="External"/><Relationship Id="rId1" Type="http://schemas.openxmlformats.org/officeDocument/2006/relationships/hyperlink" Target="http://www.oas.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1756</Words>
  <Characters>10015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2</cp:revision>
  <dcterms:created xsi:type="dcterms:W3CDTF">2021-06-09T21:16:00Z</dcterms:created>
  <dcterms:modified xsi:type="dcterms:W3CDTF">2021-06-09T21:16:00Z</dcterms:modified>
</cp:coreProperties>
</file>