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C" w:rsidRDefault="00003DEC" w:rsidP="00003DEC">
      <w:pPr>
        <w:tabs>
          <w:tab w:val="left" w:pos="7200"/>
          <w:tab w:val="left" w:pos="7380"/>
        </w:tabs>
        <w:suppressAutoHyphens/>
        <w:ind w:right="-900"/>
        <w:jc w:val="both"/>
        <w:rPr>
          <w:rFonts w:ascii="Times New Roman" w:eastAsia="Times New Roman" w:hAnsi="Times New Roman" w:cs="Times New Roman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lang w:val="es-ES"/>
        </w:rPr>
        <w:t xml:space="preserve">AGENCIA INTERAMERICANA PARA </w:t>
      </w:r>
      <w:r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>OEA/Ser. W</w:t>
      </w:r>
    </w:p>
    <w:p w:rsidR="00003DEC" w:rsidRDefault="00003DEC" w:rsidP="00003DEC">
      <w:pPr>
        <w:tabs>
          <w:tab w:val="left" w:pos="7200"/>
        </w:tabs>
        <w:suppressAutoHyphens/>
        <w:ind w:right="-900"/>
        <w:jc w:val="both"/>
        <w:rPr>
          <w:rFonts w:ascii="Times New Roman" w:eastAsia="Times New Roman" w:hAnsi="Times New Roman" w:cs="Times New Roman"/>
          <w:b/>
          <w:spacing w:val="-2"/>
          <w:lang w:val="es-ES"/>
        </w:rPr>
      </w:pPr>
      <w:r>
        <w:rPr>
          <w:rFonts w:ascii="Times New Roman" w:eastAsia="Times New Roman" w:hAnsi="Times New Roman" w:cs="Times New Roman"/>
          <w:b/>
          <w:spacing w:val="-2"/>
          <w:lang w:val="es-ES"/>
        </w:rPr>
        <w:t>LA COOPERACIÓN Y EL DESARROLLO</w:t>
      </w:r>
      <w:r>
        <w:rPr>
          <w:rFonts w:ascii="Times New Roman" w:eastAsia="Times New Roman" w:hAnsi="Times New Roman" w:cs="Times New Roman"/>
          <w:spacing w:val="-2"/>
          <w:lang w:val="es-ES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lang w:val="es-ES"/>
        </w:rPr>
        <w:t>AICD</w:t>
      </w:r>
      <w:proofErr w:type="spellEnd"/>
      <w:r>
        <w:rPr>
          <w:rFonts w:ascii="Times New Roman" w:eastAsia="Times New Roman" w:hAnsi="Times New Roman" w:cs="Times New Roman"/>
          <w:spacing w:val="-2"/>
          <w:lang w:val="es-ES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lang w:val="es-ES"/>
        </w:rPr>
        <w:t>JD</w:t>
      </w:r>
      <w:proofErr w:type="spellEnd"/>
      <w:r>
        <w:rPr>
          <w:rFonts w:ascii="Times New Roman" w:eastAsia="Times New Roman" w:hAnsi="Times New Roman" w:cs="Times New Roman"/>
          <w:spacing w:val="-2"/>
          <w:lang w:val="es-ES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lang w:val="es-ES"/>
        </w:rPr>
        <w:t>INF.75</w:t>
      </w:r>
      <w:proofErr w:type="spellEnd"/>
      <w:r>
        <w:rPr>
          <w:rFonts w:ascii="Times New Roman" w:eastAsia="Times New Roman" w:hAnsi="Times New Roman" w:cs="Times New Roman"/>
          <w:spacing w:val="-2"/>
          <w:lang w:val="es-ES"/>
        </w:rPr>
        <w:t xml:space="preserve">/21 </w:t>
      </w:r>
    </w:p>
    <w:p w:rsidR="00003DEC" w:rsidRDefault="00003DEC" w:rsidP="00003DEC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ind w:right="-900"/>
        <w:rPr>
          <w:rFonts w:ascii="Times New Roman" w:eastAsia="Times New Roman" w:hAnsi="Times New Roman" w:cs="Times New Roman"/>
          <w:spacing w:val="-2"/>
          <w:lang w:val="es-ES"/>
        </w:rPr>
      </w:pPr>
      <w:r>
        <w:rPr>
          <w:rFonts w:ascii="Times New Roman" w:eastAsia="Times New Roman" w:hAnsi="Times New Roman" w:cs="Times New Roman"/>
          <w:b/>
          <w:spacing w:val="-2"/>
          <w:lang w:val="es-ES"/>
        </w:rPr>
        <w:t>REUNIÓN DE LA JUNTA DIRECTIVA</w:t>
      </w:r>
      <w:r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>
        <w:rPr>
          <w:rFonts w:ascii="Times New Roman" w:eastAsia="Times New Roman" w:hAnsi="Times New Roman" w:cs="Times New Roman"/>
          <w:b/>
          <w:spacing w:val="-2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>31 marzo 2021</w:t>
      </w:r>
    </w:p>
    <w:p w:rsidR="00003DEC" w:rsidRDefault="00003DEC" w:rsidP="00003DEC">
      <w:pPr>
        <w:tabs>
          <w:tab w:val="left" w:pos="6120"/>
          <w:tab w:val="left" w:pos="7200"/>
          <w:tab w:val="right" w:pos="9360"/>
        </w:tabs>
        <w:suppressAutoHyphens/>
        <w:ind w:right="-900"/>
        <w:rPr>
          <w:rFonts w:ascii="Times New Roman" w:eastAsia="Times New Roman" w:hAnsi="Times New Roman" w:cs="Times New Roman"/>
          <w:snapToGrid w:val="0"/>
          <w:spacing w:val="-2"/>
          <w:lang w:val="es-ES"/>
        </w:rPr>
      </w:pPr>
      <w:r>
        <w:rPr>
          <w:rFonts w:ascii="Times New Roman" w:eastAsia="Times New Roman" w:hAnsi="Times New Roman" w:cs="Times New Roman"/>
          <w:spacing w:val="-2"/>
          <w:lang w:val="es-ES"/>
        </w:rPr>
        <w:tab/>
      </w:r>
      <w:r>
        <w:rPr>
          <w:rFonts w:ascii="Times New Roman" w:eastAsia="Times New Roman" w:hAnsi="Times New Roman" w:cs="Times New Roman"/>
          <w:spacing w:val="-2"/>
          <w:lang w:val="es-ES"/>
        </w:rPr>
        <w:tab/>
        <w:t>Original: inglés</w:t>
      </w:r>
    </w:p>
    <w:p w:rsidR="00003DEC" w:rsidRDefault="00003DEC" w:rsidP="00003DEC">
      <w:pPr>
        <w:tabs>
          <w:tab w:val="center" w:pos="4680"/>
          <w:tab w:val="left" w:pos="7200"/>
          <w:tab w:val="right" w:pos="9360"/>
        </w:tabs>
        <w:suppressAutoHyphens/>
        <w:ind w:right="-900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val="es-ES"/>
        </w:rPr>
      </w:pPr>
    </w:p>
    <w:p w:rsidR="00003DEC" w:rsidRDefault="00003DEC" w:rsidP="00003DE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ANEXO: DECLARACIÓN DE LA POLÍTICA DE INVERSIONES</w:t>
      </w:r>
    </w:p>
    <w:p w:rsidR="00003DEC" w:rsidRDefault="00003DEC" w:rsidP="00003DEC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JUNTA DIRECTIVA DEL FONDO FIDUCIARIO DE BENEFICIOS MÉDICOS</w:t>
      </w:r>
    </w:p>
    <w:p w:rsidR="00003DEC" w:rsidRDefault="00003DEC" w:rsidP="00003DEC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DE LA SECRETARÍA GENERAL DE LA OEA</w:t>
      </w: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03DEC" w:rsidRDefault="00003DEC" w:rsidP="00003DEC">
      <w:pPr>
        <w:ind w:left="720"/>
        <w:jc w:val="center"/>
        <w:rPr>
          <w:lang w:val="es-ES"/>
        </w:rPr>
      </w:pPr>
    </w:p>
    <w:p w:rsidR="00003DEC" w:rsidRDefault="00003DEC" w:rsidP="00003DEC">
      <w:pPr>
        <w:ind w:left="720"/>
        <w:jc w:val="center"/>
        <w:rPr>
          <w:lang w:val="es-ES"/>
        </w:rPr>
      </w:pPr>
    </w:p>
    <w:p w:rsidR="006B00BA" w:rsidRDefault="006B00BA" w:rsidP="00003DEC">
      <w:pPr>
        <w:ind w:left="720"/>
        <w:jc w:val="both"/>
        <w:rPr>
          <w:lang w:val="es-ES"/>
        </w:rPr>
        <w:sectPr w:rsidR="006B00BA">
          <w:footerReference w:type="default" r:id="rId8"/>
          <w:pgSz w:w="12240" w:h="15840"/>
          <w:pgMar w:top="1500" w:right="1300" w:bottom="1260" w:left="1300" w:header="0" w:footer="1069" w:gutter="0"/>
          <w:cols w:space="720"/>
        </w:sectPr>
      </w:pPr>
    </w:p>
    <w:p w:rsidR="00026122" w:rsidRPr="00BB25AE" w:rsidRDefault="0076725C" w:rsidP="00C57C4B">
      <w:pPr>
        <w:pStyle w:val="Heading1"/>
        <w:widowControl/>
        <w:spacing w:before="39"/>
        <w:ind w:left="0"/>
        <w:jc w:val="center"/>
        <w:rPr>
          <w:b w:val="0"/>
          <w:bCs w:val="0"/>
          <w:lang w:val="es-ES"/>
        </w:rPr>
      </w:pPr>
      <w:r w:rsidRPr="00BB25AE">
        <w:rPr>
          <w:u w:val="single" w:color="000000"/>
          <w:lang w:val="es-ES"/>
        </w:rPr>
        <w:lastRenderedPageBreak/>
        <w:t>DECLARACIÓN DE LA POLÍTICA DE INVERSIONES</w:t>
      </w:r>
    </w:p>
    <w:p w:rsidR="00026122" w:rsidRPr="00BB25AE" w:rsidRDefault="00026122" w:rsidP="00C57C4B">
      <w:pPr>
        <w:widowControl/>
        <w:spacing w:before="2"/>
        <w:jc w:val="center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:rsidR="00263A8E" w:rsidRPr="00BB25AE" w:rsidRDefault="00263A8E" w:rsidP="00C57C4B">
      <w:pPr>
        <w:widowControl/>
        <w:spacing w:before="55" w:line="454" w:lineRule="auto"/>
        <w:jc w:val="center"/>
        <w:rPr>
          <w:rFonts w:ascii="Calibri"/>
          <w:b/>
          <w:lang w:val="es-ES"/>
        </w:rPr>
      </w:pPr>
      <w:r w:rsidRPr="00BB25AE">
        <w:rPr>
          <w:rFonts w:ascii="Calibri"/>
          <w:b/>
          <w:lang w:val="es-ES"/>
        </w:rPr>
        <w:t>JUNTA DIRECTIVA DEL FONDO FIDUCIARIO DE BENEFICIOS MÉDICOS</w:t>
      </w:r>
    </w:p>
    <w:p w:rsidR="00026122" w:rsidRPr="00BB25AE" w:rsidRDefault="00263A8E" w:rsidP="00C57C4B">
      <w:pPr>
        <w:widowControl/>
        <w:spacing w:before="55" w:line="454" w:lineRule="auto"/>
        <w:jc w:val="center"/>
        <w:rPr>
          <w:rFonts w:ascii="Calibri" w:eastAsia="Calibri" w:hAnsi="Calibri" w:cs="Calibri"/>
          <w:lang w:val="es-ES"/>
        </w:rPr>
      </w:pPr>
      <w:r w:rsidRPr="00BB25AE">
        <w:rPr>
          <w:rFonts w:ascii="Calibri"/>
          <w:b/>
          <w:lang w:val="es-ES"/>
        </w:rPr>
        <w:t>DE LA SECRETARÍA GENERAL DE LA</w:t>
      </w:r>
      <w:r w:rsidR="006A06CA" w:rsidRPr="00BB25AE">
        <w:rPr>
          <w:rFonts w:ascii="Calibri"/>
          <w:b/>
          <w:lang w:val="es-ES"/>
        </w:rPr>
        <w:t xml:space="preserve"> </w:t>
      </w:r>
      <w:r w:rsidR="0048627E" w:rsidRPr="00BB25AE">
        <w:rPr>
          <w:rFonts w:ascii="Calibri"/>
          <w:b/>
          <w:lang w:val="es-ES"/>
        </w:rPr>
        <w:t>ORGANIZACIÓN DE LOS ESTADOS AMERICANOS</w:t>
      </w:r>
    </w:p>
    <w:p w:rsidR="00026122" w:rsidRPr="00BB25AE" w:rsidRDefault="006A06CA" w:rsidP="00C57C4B">
      <w:pPr>
        <w:widowControl/>
        <w:jc w:val="center"/>
        <w:rPr>
          <w:rFonts w:ascii="Calibri" w:eastAsia="Calibri" w:hAnsi="Calibri" w:cs="Calibri"/>
          <w:lang w:val="es-ES"/>
        </w:rPr>
      </w:pPr>
      <w:r w:rsidRPr="00BB25AE">
        <w:rPr>
          <w:rFonts w:ascii="Calibri"/>
          <w:b/>
          <w:lang w:val="es-ES"/>
        </w:rPr>
        <w:t>25</w:t>
      </w:r>
      <w:r w:rsidR="00263A8E" w:rsidRPr="00BB25AE">
        <w:rPr>
          <w:rFonts w:ascii="Calibri"/>
          <w:b/>
          <w:lang w:val="es-ES"/>
        </w:rPr>
        <w:t xml:space="preserve"> de marzo de</w:t>
      </w:r>
      <w:r w:rsidRPr="00BB25AE">
        <w:rPr>
          <w:rFonts w:ascii="Calibri"/>
          <w:b/>
          <w:lang w:val="es-ES"/>
        </w:rPr>
        <w:t xml:space="preserve"> 2021</w:t>
      </w:r>
    </w:p>
    <w:p w:rsidR="00026122" w:rsidRPr="00BB25AE" w:rsidRDefault="00026122" w:rsidP="00C57C4B">
      <w:pPr>
        <w:widowControl/>
        <w:rPr>
          <w:rFonts w:ascii="Calibri" w:eastAsia="Calibri" w:hAnsi="Calibri" w:cs="Calibri"/>
          <w:b/>
          <w:bCs/>
          <w:lang w:val="es-ES"/>
        </w:rPr>
      </w:pPr>
    </w:p>
    <w:p w:rsidR="00026122" w:rsidRPr="00BB25AE" w:rsidRDefault="00026122" w:rsidP="00C57C4B">
      <w:pPr>
        <w:widowControl/>
        <w:rPr>
          <w:rFonts w:ascii="Calibri" w:eastAsia="Calibri" w:hAnsi="Calibri" w:cs="Calibri"/>
          <w:b/>
          <w:bCs/>
          <w:lang w:val="es-ES"/>
        </w:rPr>
      </w:pP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026122" w:rsidRPr="00BB25AE" w:rsidRDefault="006A06CA" w:rsidP="00C57C4B">
      <w:pPr>
        <w:widowControl/>
        <w:ind w:left="140"/>
        <w:jc w:val="both"/>
        <w:rPr>
          <w:rFonts w:ascii="Calibri" w:eastAsia="Calibri" w:hAnsi="Calibri" w:cs="Calibri"/>
          <w:lang w:val="es-ES"/>
        </w:rPr>
      </w:pPr>
      <w:r w:rsidRPr="00BB25AE">
        <w:rPr>
          <w:rFonts w:ascii="Calibri"/>
          <w:b/>
          <w:lang w:val="es-ES"/>
        </w:rPr>
        <w:t>Part</w:t>
      </w:r>
      <w:r w:rsidR="003F230A" w:rsidRPr="00BB25AE">
        <w:rPr>
          <w:rFonts w:ascii="Calibri"/>
          <w:b/>
          <w:lang w:val="es-ES"/>
        </w:rPr>
        <w:t>e</w:t>
      </w:r>
      <w:r w:rsidRPr="00BB25AE">
        <w:rPr>
          <w:rFonts w:ascii="Calibri"/>
          <w:b/>
          <w:lang w:val="es-ES"/>
        </w:rPr>
        <w:t xml:space="preserve"> I. </w:t>
      </w:r>
      <w:r w:rsidR="003F230A" w:rsidRPr="00BB25AE">
        <w:rPr>
          <w:rFonts w:ascii="Calibri"/>
          <w:b/>
          <w:lang w:val="es-ES"/>
        </w:rPr>
        <w:t>El</w:t>
      </w:r>
      <w:r w:rsidRPr="00BB25AE">
        <w:rPr>
          <w:rFonts w:ascii="Calibri"/>
          <w:b/>
          <w:lang w:val="es-ES"/>
        </w:rPr>
        <w:t xml:space="preserve"> </w:t>
      </w:r>
      <w:r w:rsidR="00FD3DB2" w:rsidRPr="00BB25AE">
        <w:rPr>
          <w:rFonts w:ascii="Calibri"/>
          <w:b/>
          <w:lang w:val="es-ES"/>
        </w:rPr>
        <w:t>Fondo Fiduciario de Beneficios Médicos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3F230A" w:rsidP="00C57C4B">
      <w:pPr>
        <w:pStyle w:val="BodyText"/>
        <w:widowControl/>
        <w:spacing w:line="276" w:lineRule="auto"/>
        <w:ind w:left="140" w:right="137"/>
        <w:jc w:val="both"/>
        <w:rPr>
          <w:lang w:val="es-ES"/>
        </w:rPr>
      </w:pPr>
      <w:r w:rsidRPr="00BB25AE">
        <w:rPr>
          <w:lang w:val="es-ES"/>
        </w:rPr>
        <w:t>La</w:t>
      </w:r>
      <w:r w:rsidR="006A06CA" w:rsidRPr="00BB25AE">
        <w:rPr>
          <w:lang w:val="es-ES"/>
        </w:rPr>
        <w:t xml:space="preserve"> </w:t>
      </w:r>
      <w:r w:rsidR="00263A8E" w:rsidRPr="00BB25AE">
        <w:rPr>
          <w:lang w:val="es-ES"/>
        </w:rPr>
        <w:t>Secretaría General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 xml:space="preserve">de la </w:t>
      </w:r>
      <w:r w:rsidR="0048627E" w:rsidRPr="00BB25AE">
        <w:rPr>
          <w:lang w:val="es-ES"/>
        </w:rPr>
        <w:t>Organización de los Estados Americanos</w:t>
      </w:r>
      <w:r w:rsidR="006A06CA" w:rsidRPr="00BB25AE">
        <w:rPr>
          <w:lang w:val="es-ES"/>
        </w:rPr>
        <w:t xml:space="preserve"> (“</w:t>
      </w:r>
      <w:r w:rsidR="00FD3DB2" w:rsidRPr="00BB25AE">
        <w:rPr>
          <w:lang w:val="es-ES"/>
        </w:rPr>
        <w:t>SG/OEA</w:t>
      </w:r>
      <w:r w:rsidR="006A06CA" w:rsidRPr="00BB25AE">
        <w:rPr>
          <w:lang w:val="es-ES"/>
        </w:rPr>
        <w:t>”) ma</w:t>
      </w:r>
      <w:r w:rsidR="0076725C" w:rsidRPr="00BB25AE">
        <w:rPr>
          <w:lang w:val="es-ES"/>
        </w:rPr>
        <w:t xml:space="preserve">ntiene un </w:t>
      </w:r>
      <w:r w:rsidR="00FD3DB2" w:rsidRPr="00BB25AE">
        <w:rPr>
          <w:lang w:val="es-ES"/>
        </w:rPr>
        <w:t>Plan de Beneficios Médicos</w:t>
      </w:r>
      <w:r w:rsidR="006A06CA" w:rsidRPr="00BB25AE">
        <w:rPr>
          <w:lang w:val="es-ES"/>
        </w:rPr>
        <w:t xml:space="preserve"> (</w:t>
      </w:r>
      <w:r w:rsidR="0076725C" w:rsidRPr="00BB25AE">
        <w:rPr>
          <w:lang w:val="es-ES"/>
        </w:rPr>
        <w:t xml:space="preserve">el </w:t>
      </w:r>
      <w:r w:rsidR="006A06CA" w:rsidRPr="00BB25AE">
        <w:rPr>
          <w:lang w:val="es-ES"/>
        </w:rPr>
        <w:t xml:space="preserve">“Plan”) </w:t>
      </w:r>
      <w:r w:rsidR="0076725C" w:rsidRPr="00BB25AE">
        <w:rPr>
          <w:lang w:val="es-ES"/>
        </w:rPr>
        <w:t>para los empleados que cumplen los requisitos</w:t>
      </w:r>
      <w:r w:rsidR="006A06CA" w:rsidRPr="00BB25AE">
        <w:rPr>
          <w:lang w:val="es-ES"/>
        </w:rPr>
        <w:t xml:space="preserve">, </w:t>
      </w:r>
      <w:r w:rsidR="0076725C" w:rsidRPr="00BB25AE">
        <w:rPr>
          <w:lang w:val="es-ES"/>
        </w:rPr>
        <w:t xml:space="preserve">los jubilados y los familiares a cargo que </w:t>
      </w:r>
      <w:r w:rsidR="005A0636">
        <w:rPr>
          <w:lang w:val="es-ES"/>
        </w:rPr>
        <w:t xml:space="preserve">reúnen las condiciones exigidas </w:t>
      </w:r>
      <w:r w:rsidR="006A06CA" w:rsidRPr="00BB25AE">
        <w:rPr>
          <w:lang w:val="es-ES"/>
        </w:rPr>
        <w:t>(</w:t>
      </w:r>
      <w:r w:rsidR="0076725C" w:rsidRPr="00BB25AE">
        <w:rPr>
          <w:lang w:val="es-ES"/>
        </w:rPr>
        <w:t xml:space="preserve">colectivamente denominados </w:t>
      </w:r>
      <w:r w:rsidRPr="00BB25AE">
        <w:rPr>
          <w:lang w:val="es-ES"/>
        </w:rPr>
        <w:t xml:space="preserve">los </w:t>
      </w:r>
      <w:r w:rsidR="006A06CA" w:rsidRPr="00BB25AE">
        <w:rPr>
          <w:lang w:val="es-ES"/>
        </w:rPr>
        <w:t>“Participant</w:t>
      </w:r>
      <w:r w:rsidRPr="00BB25AE">
        <w:rPr>
          <w:lang w:val="es-ES"/>
        </w:rPr>
        <w:t>e</w:t>
      </w:r>
      <w:r w:rsidR="006A06CA" w:rsidRPr="00BB25AE">
        <w:rPr>
          <w:lang w:val="es-ES"/>
        </w:rPr>
        <w:t xml:space="preserve">s”). </w:t>
      </w:r>
      <w:r w:rsidR="00FD3DB2" w:rsidRPr="00BB25AE">
        <w:rPr>
          <w:lang w:val="es-ES"/>
        </w:rPr>
        <w:t>La SG/OEA</w:t>
      </w:r>
      <w:r w:rsidR="006A06CA" w:rsidRPr="00BB25AE">
        <w:rPr>
          <w:lang w:val="es-ES"/>
        </w:rPr>
        <w:t xml:space="preserve"> establ</w:t>
      </w:r>
      <w:r w:rsidR="0076725C" w:rsidRPr="00BB25AE">
        <w:rPr>
          <w:lang w:val="es-ES"/>
        </w:rPr>
        <w:t xml:space="preserve">eció el </w:t>
      </w:r>
      <w:r w:rsidR="00FD3DB2" w:rsidRPr="00BB25AE">
        <w:rPr>
          <w:lang w:val="es-ES"/>
        </w:rPr>
        <w:t xml:space="preserve">Fondo Fiduciario de Beneficios Médicos </w:t>
      </w:r>
      <w:r w:rsidR="006A06CA" w:rsidRPr="00BB25AE">
        <w:rPr>
          <w:lang w:val="es-ES"/>
        </w:rPr>
        <w:t>(</w:t>
      </w:r>
      <w:r w:rsidR="00FD3DB2" w:rsidRPr="00BB25AE">
        <w:rPr>
          <w:lang w:val="es-ES"/>
        </w:rPr>
        <w:t xml:space="preserve">el </w:t>
      </w:r>
      <w:r w:rsidR="006A06CA" w:rsidRPr="00BB25AE">
        <w:rPr>
          <w:lang w:val="es-ES"/>
        </w:rPr>
        <w:t>“</w:t>
      </w:r>
      <w:r w:rsidR="00FD3DB2" w:rsidRPr="00BB25AE">
        <w:rPr>
          <w:lang w:val="es-ES"/>
        </w:rPr>
        <w:t>Fondo Fiduciario</w:t>
      </w:r>
      <w:r w:rsidR="006A06CA" w:rsidRPr="00BB25AE">
        <w:rPr>
          <w:lang w:val="es-ES"/>
        </w:rPr>
        <w:t>”</w:t>
      </w:r>
      <w:r w:rsidRPr="00BB25AE">
        <w:rPr>
          <w:lang w:val="es-ES"/>
        </w:rPr>
        <w:t xml:space="preserve"> o el “Fondo”</w:t>
      </w:r>
      <w:r w:rsidR="006A06CA" w:rsidRPr="00BB25AE">
        <w:rPr>
          <w:lang w:val="es-ES"/>
        </w:rPr>
        <w:t xml:space="preserve">) </w:t>
      </w:r>
      <w:r w:rsidR="0076725C" w:rsidRPr="00BB25AE">
        <w:rPr>
          <w:lang w:val="es-ES"/>
        </w:rPr>
        <w:t xml:space="preserve">con el fin de administrar </w:t>
      </w:r>
      <w:r w:rsidR="00FD3DB2" w:rsidRPr="00BB25AE">
        <w:rPr>
          <w:lang w:val="es-ES"/>
        </w:rPr>
        <w:t xml:space="preserve">los activos </w:t>
      </w:r>
      <w:r w:rsidRPr="00BB25AE">
        <w:rPr>
          <w:lang w:val="es-ES"/>
        </w:rPr>
        <w:t xml:space="preserve">y los ingresos </w:t>
      </w:r>
      <w:r w:rsidR="00FD3DB2" w:rsidRPr="00BB25AE">
        <w:rPr>
          <w:lang w:val="es-ES"/>
        </w:rPr>
        <w:t xml:space="preserve">del Fondo </w:t>
      </w:r>
      <w:r w:rsidR="0076725C" w:rsidRPr="00BB25AE">
        <w:rPr>
          <w:lang w:val="es-ES"/>
        </w:rPr>
        <w:t xml:space="preserve">y pagar las prestaciones estipuladas en </w:t>
      </w:r>
      <w:r w:rsidRPr="00BB25AE">
        <w:rPr>
          <w:lang w:val="es-ES"/>
        </w:rPr>
        <w:t xml:space="preserve">el </w:t>
      </w:r>
      <w:r w:rsidR="006A06CA" w:rsidRPr="00BB25AE">
        <w:rPr>
          <w:lang w:val="es-ES"/>
        </w:rPr>
        <w:t xml:space="preserve">Plan. </w:t>
      </w:r>
      <w:r w:rsidR="00FD3DB2" w:rsidRPr="00BB25AE">
        <w:rPr>
          <w:lang w:val="es-ES"/>
        </w:rPr>
        <w:t>La SG/OEA</w:t>
      </w:r>
      <w:r w:rsidR="006A06CA" w:rsidRPr="00BB25AE">
        <w:rPr>
          <w:lang w:val="es-ES"/>
        </w:rPr>
        <w:t xml:space="preserve"> </w:t>
      </w:r>
      <w:r w:rsidR="0076725C" w:rsidRPr="00BB25AE">
        <w:rPr>
          <w:lang w:val="es-ES"/>
        </w:rPr>
        <w:t>es el propietario legal d</w:t>
      </w:r>
      <w:r w:rsidR="00FD3DB2"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</w:t>
      </w:r>
      <w:r w:rsidR="0076725C" w:rsidRPr="00BB25AE">
        <w:rPr>
          <w:lang w:val="es-ES"/>
        </w:rPr>
        <w:t>y</w:t>
      </w:r>
      <w:r w:rsidR="006A06CA" w:rsidRPr="00BB25AE">
        <w:rPr>
          <w:lang w:val="es-ES"/>
        </w:rPr>
        <w:t xml:space="preserve">, </w:t>
      </w:r>
      <w:r w:rsidR="0076725C" w:rsidRPr="00BB25AE">
        <w:rPr>
          <w:lang w:val="es-ES"/>
        </w:rPr>
        <w:t xml:space="preserve">en calidad de Fiduciario, </w:t>
      </w:r>
      <w:r w:rsidR="00452271" w:rsidRPr="00BB25AE">
        <w:rPr>
          <w:lang w:val="es-ES"/>
        </w:rPr>
        <w:t xml:space="preserve">mantiene </w:t>
      </w:r>
      <w:r w:rsidRPr="00BB25AE">
        <w:rPr>
          <w:lang w:val="es-ES"/>
        </w:rPr>
        <w:t>los activos del Fondo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>para beneficio</w:t>
      </w:r>
      <w:r w:rsidR="005A0636" w:rsidRPr="005A0636">
        <w:rPr>
          <w:lang w:val="es-ES"/>
        </w:rPr>
        <w:t xml:space="preserve"> único y exclusivo</w:t>
      </w:r>
      <w:r w:rsidR="00452271" w:rsidRPr="00BB25AE">
        <w:rPr>
          <w:lang w:val="es-ES"/>
        </w:rPr>
        <w:t xml:space="preserve"> de l</w:t>
      </w:r>
      <w:r w:rsidRPr="00BB25AE">
        <w:rPr>
          <w:lang w:val="es-ES"/>
        </w:rPr>
        <w:t>os Participantes en el Plan</w:t>
      </w:r>
      <w:r w:rsidR="006A06CA" w:rsidRPr="00BB25AE">
        <w:rPr>
          <w:lang w:val="es-ES"/>
        </w:rPr>
        <w:t xml:space="preserve">, </w:t>
      </w:r>
      <w:r w:rsidR="00452271" w:rsidRPr="00BB25AE">
        <w:rPr>
          <w:lang w:val="es-ES"/>
        </w:rPr>
        <w:t>que son los</w:t>
      </w:r>
      <w:r w:rsidR="006A06CA" w:rsidRPr="00BB25AE">
        <w:rPr>
          <w:lang w:val="es-ES"/>
        </w:rPr>
        <w:t xml:space="preserve"> </w:t>
      </w:r>
      <w:r w:rsidR="0076725C" w:rsidRPr="00BB25AE">
        <w:rPr>
          <w:lang w:val="es-ES"/>
        </w:rPr>
        <w:t>beneficiarios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>d</w:t>
      </w:r>
      <w:r w:rsidR="00FD3DB2"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. </w:t>
      </w:r>
      <w:r w:rsidR="00452271" w:rsidRPr="00BB25AE">
        <w:rPr>
          <w:lang w:val="es-ES"/>
        </w:rPr>
        <w:t xml:space="preserve">Con los </w:t>
      </w:r>
      <w:r w:rsidRPr="00BB25AE">
        <w:rPr>
          <w:lang w:val="es-ES"/>
        </w:rPr>
        <w:t xml:space="preserve">activos </w:t>
      </w:r>
      <w:r w:rsidR="00452271" w:rsidRPr="00BB25AE">
        <w:rPr>
          <w:lang w:val="es-ES"/>
        </w:rPr>
        <w:t xml:space="preserve">y los ingresos </w:t>
      </w:r>
      <w:r w:rsidRPr="00BB25AE">
        <w:rPr>
          <w:lang w:val="es-ES"/>
        </w:rPr>
        <w:t>del Fondo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>se pagan los reclamos del seguro médico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>de l</w:t>
      </w:r>
      <w:r w:rsidRPr="00BB25AE">
        <w:rPr>
          <w:lang w:val="es-ES"/>
        </w:rPr>
        <w:t>os Participantes en el Plan</w:t>
      </w:r>
      <w:r w:rsidR="006A06CA" w:rsidRPr="00BB25AE">
        <w:rPr>
          <w:lang w:val="es-ES"/>
        </w:rPr>
        <w:t xml:space="preserve">, </w:t>
      </w:r>
      <w:r w:rsidR="00452271" w:rsidRPr="00BB25AE">
        <w:rPr>
          <w:lang w:val="es-ES"/>
        </w:rPr>
        <w:t>así como los gastos necesarios para el buen funcionamiento d</w:t>
      </w:r>
      <w:r w:rsidR="00FD3DB2" w:rsidRPr="00BB25AE">
        <w:rPr>
          <w:lang w:val="es-ES"/>
        </w:rPr>
        <w:t xml:space="preserve">el Fondo </w:t>
      </w:r>
      <w:r w:rsidR="00452271" w:rsidRPr="00BB25AE">
        <w:rPr>
          <w:lang w:val="es-ES"/>
        </w:rPr>
        <w:t>y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>el Plan</w:t>
      </w:r>
      <w:r w:rsidR="006A06CA" w:rsidRPr="00BB25AE">
        <w:rPr>
          <w:lang w:val="es-ES"/>
        </w:rPr>
        <w:t xml:space="preserve">. </w:t>
      </w:r>
      <w:r w:rsidR="00452271" w:rsidRPr="00BB25AE">
        <w:rPr>
          <w:lang w:val="es-ES"/>
        </w:rPr>
        <w:t>Los recursos de</w:t>
      </w:r>
      <w:r w:rsidR="00FD3DB2" w:rsidRPr="00BB25AE">
        <w:rPr>
          <w:lang w:val="es-ES"/>
        </w:rPr>
        <w:t>l Fondo</w:t>
      </w:r>
      <w:r w:rsidR="00452271" w:rsidRPr="00BB25AE">
        <w:rPr>
          <w:lang w:val="es-ES"/>
        </w:rPr>
        <w:t xml:space="preserve"> consisten en activos acumulados </w:t>
      </w:r>
      <w:r w:rsidR="005A0636">
        <w:rPr>
          <w:lang w:val="es-ES"/>
        </w:rPr>
        <w:t xml:space="preserve">que provienen </w:t>
      </w:r>
      <w:r w:rsidR="00452271" w:rsidRPr="00BB25AE">
        <w:rPr>
          <w:lang w:val="es-ES"/>
        </w:rPr>
        <w:t xml:space="preserve">de una combinación de </w:t>
      </w:r>
      <w:r w:rsidR="0076725C" w:rsidRPr="00BB25AE">
        <w:rPr>
          <w:lang w:val="es-ES"/>
        </w:rPr>
        <w:t>contribuciones del empleador</w:t>
      </w:r>
      <w:r w:rsidR="006A06CA" w:rsidRPr="00BB25AE">
        <w:rPr>
          <w:lang w:val="es-ES"/>
        </w:rPr>
        <w:t xml:space="preserve">, </w:t>
      </w:r>
      <w:r w:rsidR="00452271" w:rsidRPr="00BB25AE">
        <w:rPr>
          <w:lang w:val="es-ES"/>
        </w:rPr>
        <w:t>primas de seguro de los empleados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 xml:space="preserve">(que se descuentan de la nómina en el caso de los </w:t>
      </w:r>
      <w:r w:rsidR="0076725C" w:rsidRPr="00BB25AE">
        <w:rPr>
          <w:lang w:val="es-ES"/>
        </w:rPr>
        <w:t>empleados</w:t>
      </w:r>
      <w:r w:rsidR="00452271" w:rsidRPr="00BB25AE">
        <w:rPr>
          <w:lang w:val="es-ES"/>
        </w:rPr>
        <w:t xml:space="preserve"> activos</w:t>
      </w:r>
      <w:r w:rsidR="006A06CA" w:rsidRPr="00BB25AE">
        <w:rPr>
          <w:lang w:val="es-ES"/>
        </w:rPr>
        <w:t xml:space="preserve"> o</w:t>
      </w:r>
      <w:r w:rsidR="00452271" w:rsidRPr="00BB25AE">
        <w:rPr>
          <w:lang w:val="es-ES"/>
        </w:rPr>
        <w:t xml:space="preserve"> que los jubilados pagan directamente cada semestre</w:t>
      </w:r>
      <w:r w:rsidR="006A06CA" w:rsidRPr="00BB25AE">
        <w:rPr>
          <w:lang w:val="es-ES"/>
        </w:rPr>
        <w:t>)</w:t>
      </w:r>
      <w:r w:rsidR="00452271" w:rsidRPr="00BB25AE">
        <w:rPr>
          <w:lang w:val="es-ES"/>
        </w:rPr>
        <w:t xml:space="preserve"> y las ganancias netas de las inversiones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spacing w:line="275" w:lineRule="auto"/>
        <w:ind w:left="140" w:right="139"/>
        <w:jc w:val="both"/>
        <w:rPr>
          <w:lang w:val="es-ES"/>
        </w:rPr>
      </w:pPr>
      <w:r w:rsidRPr="00BB25AE">
        <w:rPr>
          <w:lang w:val="es-ES"/>
        </w:rPr>
        <w:t>El Fondo Fiduciario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 xml:space="preserve">fue establecido en </w:t>
      </w:r>
      <w:r w:rsidR="006A06CA" w:rsidRPr="00BB25AE">
        <w:rPr>
          <w:lang w:val="es-ES"/>
        </w:rPr>
        <w:t xml:space="preserve">2000. </w:t>
      </w:r>
      <w:r w:rsidR="00452271" w:rsidRPr="00BB25AE">
        <w:rPr>
          <w:lang w:val="es-ES"/>
        </w:rPr>
        <w:t xml:space="preserve">La </w:t>
      </w:r>
      <w:r w:rsidR="003F230A" w:rsidRPr="00BB25AE">
        <w:rPr>
          <w:lang w:val="es-ES"/>
        </w:rPr>
        <w:t>Declaración del Fondo Fiduciario</w:t>
      </w:r>
      <w:r w:rsidR="006A06CA" w:rsidRPr="00BB25AE">
        <w:rPr>
          <w:lang w:val="es-ES"/>
        </w:rPr>
        <w:t xml:space="preserve"> </w:t>
      </w:r>
      <w:r w:rsidR="00452271" w:rsidRPr="00BB25AE">
        <w:rPr>
          <w:lang w:val="es-ES"/>
        </w:rPr>
        <w:t xml:space="preserve">del </w:t>
      </w:r>
      <w:r w:rsidR="006A06CA" w:rsidRPr="00BB25AE">
        <w:rPr>
          <w:lang w:val="es-ES"/>
        </w:rPr>
        <w:t>27</w:t>
      </w:r>
      <w:r w:rsidR="00452271" w:rsidRPr="00BB25AE">
        <w:rPr>
          <w:lang w:val="es-ES"/>
        </w:rPr>
        <w:t xml:space="preserve"> de junio de</w:t>
      </w:r>
      <w:r w:rsidR="006A06CA" w:rsidRPr="00BB25AE">
        <w:rPr>
          <w:lang w:val="es-ES"/>
        </w:rPr>
        <w:t xml:space="preserve"> 2000</w:t>
      </w:r>
      <w:r w:rsidR="00452271" w:rsidRPr="00BB25AE">
        <w:rPr>
          <w:lang w:val="es-ES"/>
        </w:rPr>
        <w:t xml:space="preserve">, con sus modificaciones subsiguientes, es el documento básico del </w:t>
      </w:r>
      <w:r w:rsidRPr="00BB25AE">
        <w:rPr>
          <w:lang w:val="es-ES"/>
        </w:rPr>
        <w:t>Fondo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t>Part</w:t>
      </w:r>
      <w:r w:rsidR="00C57C4B" w:rsidRPr="00BB25AE">
        <w:rPr>
          <w:lang w:val="es-ES"/>
        </w:rPr>
        <w:t>e</w:t>
      </w:r>
      <w:r w:rsidRPr="00BB25AE">
        <w:rPr>
          <w:lang w:val="es-ES"/>
        </w:rPr>
        <w:t xml:space="preserve"> II. </w:t>
      </w:r>
      <w:r w:rsidR="00C57C4B" w:rsidRPr="00BB25AE">
        <w:rPr>
          <w:lang w:val="es-ES"/>
        </w:rPr>
        <w:t>Objetivos de las inversiones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FD3DB2" w:rsidP="00C57C4B">
      <w:pPr>
        <w:pStyle w:val="BodyText"/>
        <w:widowControl/>
        <w:spacing w:line="276" w:lineRule="auto"/>
        <w:ind w:left="141" w:right="137" w:hanging="1"/>
        <w:jc w:val="both"/>
        <w:rPr>
          <w:lang w:val="es-ES"/>
        </w:rPr>
      </w:pPr>
      <w:r w:rsidRPr="00BB25AE">
        <w:rPr>
          <w:lang w:val="es-ES"/>
        </w:rPr>
        <w:t>El Plan</w:t>
      </w:r>
      <w:r w:rsidR="006A06CA" w:rsidRPr="00BB25AE">
        <w:rPr>
          <w:lang w:val="es-ES"/>
        </w:rPr>
        <w:t xml:space="preserve"> </w:t>
      </w:r>
      <w:r w:rsidR="0076725C" w:rsidRPr="00BB25AE">
        <w:rPr>
          <w:lang w:val="es-ES"/>
        </w:rPr>
        <w:t xml:space="preserve">se financia mediante el sistema de reparto. </w:t>
      </w:r>
      <w:r w:rsidR="00C57C4B" w:rsidRPr="00BB25AE">
        <w:rPr>
          <w:lang w:val="es-ES"/>
        </w:rPr>
        <w:t>Cuando se estableció el Fondo Fiduciario, no se constituyó una reserva para pagar los beneficios médicos de los f</w:t>
      </w:r>
      <w:r w:rsidR="006A06CA" w:rsidRPr="00BB25AE">
        <w:rPr>
          <w:lang w:val="es-ES"/>
        </w:rPr>
        <w:t>utur</w:t>
      </w:r>
      <w:r w:rsidR="00C57C4B" w:rsidRPr="00BB25AE">
        <w:rPr>
          <w:lang w:val="es-ES"/>
        </w:rPr>
        <w:t>os</w:t>
      </w:r>
      <w:r w:rsidR="006A06CA" w:rsidRPr="00BB25AE">
        <w:rPr>
          <w:lang w:val="es-ES"/>
        </w:rPr>
        <w:t xml:space="preserve"> </w:t>
      </w:r>
      <w:r w:rsidR="0076725C" w:rsidRPr="00BB25AE">
        <w:rPr>
          <w:lang w:val="es-ES"/>
        </w:rPr>
        <w:t>jubilados</w:t>
      </w:r>
      <w:r w:rsidR="00C57C4B" w:rsidRPr="00BB25AE">
        <w:rPr>
          <w:lang w:val="es-ES"/>
        </w:rPr>
        <w:t xml:space="preserve">. La finalidad de la </w:t>
      </w:r>
      <w:r w:rsidR="0076725C" w:rsidRPr="00BB25AE">
        <w:rPr>
          <w:lang w:val="es-ES"/>
        </w:rPr>
        <w:t>política de inversiones</w:t>
      </w:r>
      <w:r w:rsidR="006A06CA" w:rsidRPr="00BB25AE">
        <w:rPr>
          <w:lang w:val="es-ES"/>
        </w:rPr>
        <w:t xml:space="preserve"> </w:t>
      </w:r>
      <w:r w:rsidR="00C57C4B" w:rsidRPr="00BB25AE">
        <w:rPr>
          <w:lang w:val="es-ES"/>
        </w:rPr>
        <w:t>d</w:t>
      </w:r>
      <w:r w:rsidRPr="00BB25AE">
        <w:rPr>
          <w:lang w:val="es-ES"/>
        </w:rPr>
        <w:t xml:space="preserve">el Fondo </w:t>
      </w:r>
      <w:r w:rsidR="00C57C4B" w:rsidRPr="00BB25AE">
        <w:rPr>
          <w:lang w:val="es-ES"/>
        </w:rPr>
        <w:t>es abordar esta escasez de financiamiento para cubrir pasivos futuros mediante el crecimiento de los activos d</w:t>
      </w:r>
      <w:r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</w:t>
      </w:r>
      <w:r w:rsidR="00C57C4B" w:rsidRPr="00BB25AE">
        <w:rPr>
          <w:lang w:val="es-ES"/>
        </w:rPr>
        <w:t>a fin de reducir el monto de los posibles pasivos sin financiamiento previsto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C57C4B" w:rsidP="00C57C4B">
      <w:pPr>
        <w:pStyle w:val="BodyText"/>
        <w:widowControl/>
        <w:spacing w:line="276" w:lineRule="auto"/>
        <w:ind w:left="141" w:right="136"/>
        <w:jc w:val="both"/>
        <w:rPr>
          <w:lang w:val="es-ES"/>
        </w:rPr>
      </w:pPr>
      <w:r w:rsidRPr="00BB25AE">
        <w:rPr>
          <w:lang w:val="es-ES"/>
        </w:rPr>
        <w:t xml:space="preserve">La meta primordial del </w:t>
      </w:r>
      <w:r w:rsidR="00FD3DB2" w:rsidRPr="00BB25AE">
        <w:rPr>
          <w:lang w:val="es-ES"/>
        </w:rPr>
        <w:t>Fondo Fiduciario</w:t>
      </w:r>
      <w:r w:rsidR="006A06CA" w:rsidRPr="00BB25AE">
        <w:rPr>
          <w:lang w:val="es-ES"/>
        </w:rPr>
        <w:t xml:space="preserve"> </w:t>
      </w:r>
      <w:r w:rsidR="00BB25AE">
        <w:rPr>
          <w:lang w:val="es-ES"/>
        </w:rPr>
        <w:t xml:space="preserve">es invertir sus </w:t>
      </w:r>
      <w:r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 w:rsidR="00BB25AE">
        <w:rPr>
          <w:lang w:val="es-ES"/>
        </w:rPr>
        <w:t xml:space="preserve">para obtener plusvalías a largo plazo. </w:t>
      </w:r>
      <w:r w:rsidR="00921EE9">
        <w:rPr>
          <w:lang w:val="es-ES"/>
        </w:rPr>
        <w:t>Es necesario que u</w:t>
      </w:r>
      <w:r w:rsidR="00BB25AE">
        <w:rPr>
          <w:lang w:val="es-ES"/>
        </w:rPr>
        <w:t xml:space="preserve">na parte pequeña de la cartera </w:t>
      </w:r>
      <w:r w:rsidR="00921EE9">
        <w:rPr>
          <w:lang w:val="es-ES"/>
        </w:rPr>
        <w:t xml:space="preserve">sea líquida para atender las necesidades operacionales, en particular las necesidades imprevisibles de </w:t>
      </w:r>
      <w:r w:rsidR="009B274C">
        <w:rPr>
          <w:lang w:val="es-ES"/>
        </w:rPr>
        <w:t>flujo</w:t>
      </w:r>
      <w:r w:rsidR="005A0636">
        <w:rPr>
          <w:lang w:val="es-ES"/>
        </w:rPr>
        <w:t>s</w:t>
      </w:r>
      <w:r w:rsidR="009B274C">
        <w:rPr>
          <w:lang w:val="es-ES"/>
        </w:rPr>
        <w:t xml:space="preserve"> de efectivo</w:t>
      </w:r>
      <w:r w:rsidR="00921EE9">
        <w:rPr>
          <w:lang w:val="es-ES"/>
        </w:rPr>
        <w:t>. En algunos años podría haber salidas de efectivo si los reclamos son excepcionalmente elevado</w:t>
      </w:r>
      <w:r w:rsidR="00174708">
        <w:rPr>
          <w:lang w:val="es-ES"/>
        </w:rPr>
        <w:t>s</w:t>
      </w:r>
      <w:r w:rsidR="00921EE9">
        <w:rPr>
          <w:lang w:val="es-ES"/>
        </w:rPr>
        <w:t xml:space="preserve">, pero la política </w:t>
      </w:r>
      <w:r w:rsidR="006A06CA" w:rsidRPr="00BB25AE">
        <w:rPr>
          <w:lang w:val="es-ES"/>
        </w:rPr>
        <w:t xml:space="preserve">general </w:t>
      </w:r>
      <w:r w:rsidR="00921EE9">
        <w:rPr>
          <w:lang w:val="es-ES"/>
        </w:rPr>
        <w:t xml:space="preserve">del </w:t>
      </w:r>
      <w:r w:rsidR="006A06CA" w:rsidRPr="00BB25AE">
        <w:rPr>
          <w:lang w:val="es-ES"/>
        </w:rPr>
        <w:t xml:space="preserve">Plan </w:t>
      </w:r>
      <w:r w:rsidR="00921EE9">
        <w:rPr>
          <w:lang w:val="es-ES"/>
        </w:rPr>
        <w:t>consiste en ajustar el nivel de las prestaciones y las contribuciones para evitar que, con el tiempo, haya salidas netas relacionadas con el financiamiento d</w:t>
      </w:r>
      <w:r w:rsidR="00FD3DB2" w:rsidRPr="00BB25AE">
        <w:rPr>
          <w:lang w:val="es-ES"/>
        </w:rPr>
        <w:t>el Plan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921EE9">
      <w:pPr>
        <w:pStyle w:val="Heading1"/>
        <w:keepNext/>
        <w:widowControl/>
        <w:ind w:left="141"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lastRenderedPageBreak/>
        <w:t>Part</w:t>
      </w:r>
      <w:r w:rsidR="0076725C" w:rsidRPr="00BB25AE">
        <w:rPr>
          <w:lang w:val="es-ES"/>
        </w:rPr>
        <w:t>e</w:t>
      </w:r>
      <w:r w:rsidRPr="00BB25AE">
        <w:rPr>
          <w:lang w:val="es-ES"/>
        </w:rPr>
        <w:t xml:space="preserve"> III. </w:t>
      </w:r>
      <w:r w:rsidR="00921EE9">
        <w:rPr>
          <w:lang w:val="es-ES"/>
        </w:rPr>
        <w:t xml:space="preserve">Gestión y </w:t>
      </w:r>
      <w:r w:rsidR="00C57C4B" w:rsidRPr="00BB25AE">
        <w:rPr>
          <w:lang w:val="es-ES"/>
        </w:rPr>
        <w:t>Administración</w:t>
      </w:r>
      <w:r w:rsidRPr="00BB25AE">
        <w:rPr>
          <w:lang w:val="es-ES"/>
        </w:rPr>
        <w:t xml:space="preserve"> </w:t>
      </w:r>
      <w:r w:rsidR="00921EE9">
        <w:rPr>
          <w:lang w:val="es-ES"/>
        </w:rPr>
        <w:t>d</w:t>
      </w:r>
      <w:r w:rsidR="00FD3DB2" w:rsidRPr="00BB25AE">
        <w:rPr>
          <w:lang w:val="es-ES"/>
        </w:rPr>
        <w:t>el Fondo Fiduciario</w:t>
      </w:r>
    </w:p>
    <w:p w:rsidR="00026122" w:rsidRPr="00BB25AE" w:rsidRDefault="00026122" w:rsidP="00921EE9">
      <w:pPr>
        <w:keepNext/>
        <w:widowControl/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921EE9" w:rsidP="00921EE9">
      <w:pPr>
        <w:pStyle w:val="BodyText"/>
        <w:keepNext/>
        <w:widowControl/>
        <w:spacing w:line="275" w:lineRule="auto"/>
        <w:ind w:left="141" w:right="136"/>
        <w:jc w:val="both"/>
        <w:rPr>
          <w:lang w:val="es-ES"/>
        </w:rPr>
      </w:pPr>
      <w:r>
        <w:rPr>
          <w:lang w:val="es-ES"/>
        </w:rPr>
        <w:t>La administración de</w:t>
      </w:r>
      <w:r w:rsidR="00FD3DB2" w:rsidRPr="00BB25AE">
        <w:rPr>
          <w:lang w:val="es-ES"/>
        </w:rPr>
        <w:t>l Fondo Fiduciario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está a cargo de una </w:t>
      </w:r>
      <w:r w:rsidR="00FD3DB2" w:rsidRPr="00BB25AE">
        <w:rPr>
          <w:lang w:val="es-ES"/>
        </w:rPr>
        <w:t>Junta de Fideicomisarios Delegados</w:t>
      </w:r>
      <w:r w:rsidR="006A06CA" w:rsidRPr="00BB25AE">
        <w:rPr>
          <w:lang w:val="es-ES"/>
        </w:rPr>
        <w:t xml:space="preserve"> (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nombrados por el </w:t>
      </w:r>
      <w:r w:rsidR="00FD3DB2" w:rsidRPr="00BB25AE">
        <w:rPr>
          <w:lang w:val="es-ES"/>
        </w:rPr>
        <w:t>Secretario General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quien, en calidad de representante legal de </w:t>
      </w:r>
      <w:r w:rsidR="00FD3DB2" w:rsidRPr="00BB25AE">
        <w:rPr>
          <w:lang w:val="es-ES"/>
        </w:rPr>
        <w:t>la SG/OEA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es el único </w:t>
      </w:r>
      <w:r w:rsidR="003F230A" w:rsidRPr="00BB25AE">
        <w:rPr>
          <w:lang w:val="es-ES"/>
        </w:rPr>
        <w:t>Fiduciario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line="275" w:lineRule="auto"/>
        <w:jc w:val="both"/>
        <w:rPr>
          <w:lang w:val="es-ES"/>
        </w:rPr>
      </w:pPr>
    </w:p>
    <w:p w:rsidR="00026122" w:rsidRPr="00BB25AE" w:rsidRDefault="00921EE9" w:rsidP="00C57C4B">
      <w:pPr>
        <w:pStyle w:val="BodyText"/>
        <w:widowControl/>
        <w:spacing w:before="39" w:line="276" w:lineRule="auto"/>
        <w:ind w:right="158"/>
        <w:jc w:val="both"/>
        <w:rPr>
          <w:lang w:val="es-ES"/>
        </w:rPr>
      </w:pPr>
      <w:r>
        <w:rPr>
          <w:lang w:val="es-ES"/>
        </w:rPr>
        <w:t xml:space="preserve">Las funciones principales de la </w:t>
      </w:r>
      <w:r w:rsidR="00FD3DB2" w:rsidRPr="00BB25AE">
        <w:rPr>
          <w:lang w:val="es-ES"/>
        </w:rPr>
        <w:t>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son seleccionar objetivos de las inversiones y fondos, evaluar periódicamente el desempeño de las inversiones del Fondo</w:t>
      </w:r>
      <w:r w:rsidR="00D2554B" w:rsidRPr="00D2554B">
        <w:rPr>
          <w:lang w:val="es-ES"/>
        </w:rPr>
        <w:t xml:space="preserve"> Fiduciario</w:t>
      </w:r>
      <w:r>
        <w:rPr>
          <w:lang w:val="es-ES"/>
        </w:rPr>
        <w:t xml:space="preserve"> y ajustarlo si corresponde. Los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d</w:t>
      </w:r>
      <w:r w:rsidR="00FD3DB2"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pueden usarse para pagar a gerentes de inversiones y a consultores externos que </w:t>
      </w:r>
      <w:r w:rsidR="00F90F8C">
        <w:rPr>
          <w:lang w:val="es-ES"/>
        </w:rPr>
        <w:t xml:space="preserve">proporcionen servicios de gestión o asesoramiento con respecto a inversiones del </w:t>
      </w:r>
      <w:r w:rsidR="00FD3DB2" w:rsidRPr="00BB25AE">
        <w:rPr>
          <w:lang w:val="es-ES"/>
        </w:rPr>
        <w:t>Fondo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90F8C" w:rsidP="00C57C4B">
      <w:pPr>
        <w:pStyle w:val="BodyText"/>
        <w:widowControl/>
        <w:spacing w:line="276" w:lineRule="auto"/>
        <w:ind w:left="160" w:right="159" w:hanging="1"/>
        <w:jc w:val="both"/>
        <w:rPr>
          <w:lang w:val="es-ES"/>
        </w:rPr>
      </w:pPr>
      <w:r>
        <w:rPr>
          <w:lang w:val="es-ES"/>
        </w:rPr>
        <w:t>Para la correcta ejecución de estas decisiones relativas a</w:t>
      </w:r>
      <w:r w:rsidR="006A06CA" w:rsidRPr="00BB25AE">
        <w:rPr>
          <w:lang w:val="es-ES"/>
        </w:rPr>
        <w:t xml:space="preserve"> inve</w:t>
      </w:r>
      <w:r>
        <w:rPr>
          <w:lang w:val="es-ES"/>
        </w:rPr>
        <w:t xml:space="preserve">rsiones,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debe recurrir a un asesor financiero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 xml:space="preserve">que en la </w:t>
      </w:r>
      <w:r w:rsidR="003F230A" w:rsidRPr="00BB25AE">
        <w:rPr>
          <w:lang w:val="es-ES"/>
        </w:rPr>
        <w:t>Declaración del Fondo Fiduciario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se denomina</w:t>
      </w:r>
      <w:r w:rsidR="006A06CA" w:rsidRPr="00BB25AE">
        <w:rPr>
          <w:lang w:val="es-ES"/>
        </w:rPr>
        <w:t xml:space="preserve"> “</w:t>
      </w:r>
      <w:r>
        <w:rPr>
          <w:lang w:val="es-ES"/>
        </w:rPr>
        <w:t>gerente de inversiones</w:t>
      </w:r>
      <w:r w:rsidR="006A06CA" w:rsidRPr="00BB25AE">
        <w:rPr>
          <w:lang w:val="es-ES"/>
        </w:rPr>
        <w:t xml:space="preserve">”) </w:t>
      </w:r>
      <w:r>
        <w:rPr>
          <w:lang w:val="es-ES"/>
        </w:rPr>
        <w:t xml:space="preserve">y a un </w:t>
      </w:r>
      <w:r w:rsidR="00184449">
        <w:rPr>
          <w:lang w:val="es-ES"/>
        </w:rPr>
        <w:t>administrador del Fondo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que proporciona servicios de </w:t>
      </w:r>
      <w:r w:rsidR="006A06CA" w:rsidRPr="00BB25AE">
        <w:rPr>
          <w:lang w:val="es-ES"/>
        </w:rPr>
        <w:t>custodia</w:t>
      </w:r>
      <w:r>
        <w:rPr>
          <w:lang w:val="es-ES"/>
        </w:rPr>
        <w:t>. Estos servicios pueden obtenerse de una sola firma o de varias. En el desempeño de esta tarea, l</w:t>
      </w:r>
      <w:r w:rsidR="00FD3DB2" w:rsidRPr="00BB25AE">
        <w:rPr>
          <w:lang w:val="es-ES"/>
        </w:rPr>
        <w:t>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cuenta también con la asistencia del </w:t>
      </w:r>
      <w:r w:rsidR="006A06CA" w:rsidRPr="00BB25AE">
        <w:rPr>
          <w:lang w:val="es-ES"/>
        </w:rPr>
        <w:t>Depart</w:t>
      </w:r>
      <w:r>
        <w:rPr>
          <w:lang w:val="es-ES"/>
        </w:rPr>
        <w:t>a</w:t>
      </w:r>
      <w:r w:rsidR="006A06CA" w:rsidRPr="00BB25AE">
        <w:rPr>
          <w:lang w:val="es-ES"/>
        </w:rPr>
        <w:t>ment</w:t>
      </w:r>
      <w:r>
        <w:rPr>
          <w:lang w:val="es-ES"/>
        </w:rPr>
        <w:t>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de Servicios Financieros de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>la SG/OEA</w:t>
      </w:r>
      <w:r w:rsidR="00705401">
        <w:rPr>
          <w:lang w:val="es-ES"/>
        </w:rPr>
        <w:t xml:space="preserve">, que </w:t>
      </w:r>
      <w:r w:rsidR="00174708">
        <w:rPr>
          <w:lang w:val="es-ES"/>
        </w:rPr>
        <w:t xml:space="preserve">se encarga de </w:t>
      </w:r>
      <w:proofErr w:type="gramStart"/>
      <w:r w:rsidR="00174708">
        <w:rPr>
          <w:lang w:val="es-ES"/>
        </w:rPr>
        <w:t>recibir</w:t>
      </w:r>
      <w:proofErr w:type="gramEnd"/>
      <w:r w:rsidR="00174708">
        <w:rPr>
          <w:lang w:val="es-ES"/>
        </w:rPr>
        <w:t xml:space="preserve"> los pagos de primas y de desembolsar fondos para pagar reclamos del seguro médico y otros gastos del </w:t>
      </w:r>
      <w:r w:rsidR="00FD3DB2" w:rsidRPr="00BB25AE">
        <w:rPr>
          <w:lang w:val="es-ES"/>
        </w:rPr>
        <w:t>Fondo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74708" w:rsidP="00C57C4B">
      <w:pPr>
        <w:pStyle w:val="BodyText"/>
        <w:widowControl/>
        <w:spacing w:line="276" w:lineRule="auto"/>
        <w:ind w:left="160" w:right="158"/>
        <w:jc w:val="both"/>
        <w:rPr>
          <w:lang w:val="es-ES"/>
        </w:rPr>
      </w:pPr>
      <w:r>
        <w:rPr>
          <w:rFonts w:cs="Calibri"/>
          <w:b/>
          <w:bCs/>
          <w:lang w:val="es-ES"/>
        </w:rPr>
        <w:t>A</w:t>
      </w:r>
      <w:r w:rsidR="00F90F8C">
        <w:rPr>
          <w:rFonts w:cs="Calibri"/>
          <w:b/>
          <w:bCs/>
          <w:lang w:val="es-ES"/>
        </w:rPr>
        <w:t>sesor financiero</w:t>
      </w:r>
      <w:r>
        <w:rPr>
          <w:rFonts w:cs="Calibri"/>
          <w:b/>
          <w:bCs/>
          <w:lang w:val="es-ES"/>
        </w:rPr>
        <w:t>.</w:t>
      </w:r>
      <w:r w:rsidR="006A06CA" w:rsidRPr="00BB25AE">
        <w:rPr>
          <w:rFonts w:cs="Calibri"/>
          <w:b/>
          <w:bCs/>
          <w:lang w:val="es-ES"/>
        </w:rPr>
        <w:t xml:space="preserve"> </w:t>
      </w:r>
      <w:r>
        <w:rPr>
          <w:lang w:val="es-ES"/>
        </w:rPr>
        <w:t>El asesor</w:t>
      </w:r>
      <w:r w:rsidR="006A06CA" w:rsidRPr="00BB25AE">
        <w:rPr>
          <w:lang w:val="es-ES"/>
        </w:rPr>
        <w:t xml:space="preserve"> </w:t>
      </w:r>
      <w:r w:rsidR="0067119E">
        <w:rPr>
          <w:lang w:val="es-ES"/>
        </w:rPr>
        <w:t xml:space="preserve">aconseja a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67119E">
        <w:rPr>
          <w:lang w:val="es-ES"/>
        </w:rPr>
        <w:t>sobre todos los asuntos pertinentes relacionados con la selección de una estrategia de inversiones, así como las inversiones más apropiadas para la solvencia y el crecimiento a largo plazo d</w:t>
      </w:r>
      <w:r w:rsidR="00FD3DB2" w:rsidRPr="00BB25AE">
        <w:rPr>
          <w:lang w:val="es-ES"/>
        </w:rPr>
        <w:t>el Fondo Fiduciario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>El asesor</w:t>
      </w:r>
      <w:r w:rsidR="006A06CA" w:rsidRPr="00BB25AE">
        <w:rPr>
          <w:lang w:val="es-ES"/>
        </w:rPr>
        <w:t xml:space="preserve"> </w:t>
      </w:r>
      <w:r w:rsidR="0067119E">
        <w:rPr>
          <w:lang w:val="es-ES"/>
        </w:rPr>
        <w:t xml:space="preserve">debe ser una compañía de gestión de inversiones o un asesor de inversiones acreditado de conformidad con la Ley de Asesores de Inversiones Registrados de </w:t>
      </w:r>
      <w:r w:rsidR="006A06CA" w:rsidRPr="00BB25AE">
        <w:rPr>
          <w:lang w:val="es-ES"/>
        </w:rPr>
        <w:t>1940.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74708" w:rsidP="00C57C4B">
      <w:pPr>
        <w:pStyle w:val="BodyText"/>
        <w:widowControl/>
        <w:spacing w:line="276" w:lineRule="auto"/>
        <w:ind w:left="160" w:right="158"/>
        <w:jc w:val="both"/>
        <w:rPr>
          <w:lang w:val="es-ES"/>
        </w:rPr>
      </w:pPr>
      <w:r>
        <w:rPr>
          <w:lang w:val="es-ES"/>
        </w:rPr>
        <w:t>El asesor</w:t>
      </w:r>
      <w:r w:rsidR="006A06CA" w:rsidRPr="00BB25AE">
        <w:rPr>
          <w:lang w:val="es-ES"/>
        </w:rPr>
        <w:t xml:space="preserve"> </w:t>
      </w:r>
      <w:r w:rsidR="0067119E">
        <w:rPr>
          <w:lang w:val="es-ES"/>
        </w:rPr>
        <w:t>debe cobr</w:t>
      </w:r>
      <w:r w:rsidR="00D2554B">
        <w:rPr>
          <w:lang w:val="es-ES"/>
        </w:rPr>
        <w:t>ar</w:t>
      </w:r>
      <w:r w:rsidR="0067119E">
        <w:rPr>
          <w:lang w:val="es-ES"/>
        </w:rPr>
        <w:t xml:space="preserve"> honorarios y no </w:t>
      </w:r>
      <w:r w:rsidR="00D2554B">
        <w:rPr>
          <w:lang w:val="es-ES"/>
        </w:rPr>
        <w:t xml:space="preserve">puede </w:t>
      </w:r>
      <w:r w:rsidR="0067119E">
        <w:rPr>
          <w:lang w:val="es-ES"/>
        </w:rPr>
        <w:t>recib</w:t>
      </w:r>
      <w:r w:rsidR="00D2554B">
        <w:rPr>
          <w:lang w:val="es-ES"/>
        </w:rPr>
        <w:t>ir</w:t>
      </w:r>
      <w:r w:rsidR="0067119E">
        <w:rPr>
          <w:lang w:val="es-ES"/>
        </w:rPr>
        <w:t xml:space="preserve"> comisiones por las inversiones d</w:t>
      </w:r>
      <w:r w:rsidR="00FD3DB2" w:rsidRPr="00BB25AE">
        <w:rPr>
          <w:lang w:val="es-ES"/>
        </w:rPr>
        <w:t>el Fondo Fiduciario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>El asesor</w:t>
      </w:r>
      <w:r w:rsidR="006A06CA" w:rsidRPr="00BB25AE">
        <w:rPr>
          <w:lang w:val="es-ES"/>
        </w:rPr>
        <w:t xml:space="preserve"> </w:t>
      </w:r>
      <w:r w:rsidR="0067119E">
        <w:rPr>
          <w:lang w:val="es-ES"/>
        </w:rPr>
        <w:t xml:space="preserve">deberá presentar una revisión trimestral del desempeño de las inversiones, que deberá contener un análisis de la cartera, un análisis del desempeño, </w:t>
      </w:r>
      <w:r w:rsidR="003360B8">
        <w:rPr>
          <w:lang w:val="es-ES"/>
        </w:rPr>
        <w:t>la clasificación d</w:t>
      </w:r>
      <w:r w:rsidR="0067119E">
        <w:rPr>
          <w:lang w:val="es-ES"/>
        </w:rPr>
        <w:t>el rendimiento en función del riesgo</w:t>
      </w:r>
      <w:r w:rsidR="00EF5F8C">
        <w:rPr>
          <w:lang w:val="es-ES"/>
        </w:rPr>
        <w:t xml:space="preserve"> y en comparación con el parámetro de referencia,</w:t>
      </w:r>
      <w:r w:rsidR="0067119E">
        <w:rPr>
          <w:lang w:val="es-ES"/>
        </w:rPr>
        <w:t xml:space="preserve"> </w:t>
      </w:r>
      <w:r w:rsidR="003360B8">
        <w:rPr>
          <w:lang w:val="es-ES"/>
        </w:rPr>
        <w:t>y comentarios sobre el mercado. En los informes sobre el desempeño se deben proporcionar detalles sobre cada fondo de inversiones</w:t>
      </w:r>
      <w:r w:rsidR="006A06CA" w:rsidRPr="00BB25AE">
        <w:rPr>
          <w:lang w:val="es-ES"/>
        </w:rPr>
        <w:t xml:space="preserve">, </w:t>
      </w:r>
      <w:r w:rsidR="003360B8">
        <w:rPr>
          <w:lang w:val="es-ES"/>
        </w:rPr>
        <w:t>entre ellos el nombre, el símbolo de cotización en la bolsa y los gastos subyacentes. Una vez al año, e</w:t>
      </w:r>
      <w:r>
        <w:rPr>
          <w:lang w:val="es-ES"/>
        </w:rPr>
        <w:t>l asesor</w:t>
      </w:r>
      <w:r w:rsidR="006A06CA" w:rsidRPr="00BB25AE">
        <w:rPr>
          <w:lang w:val="es-ES"/>
        </w:rPr>
        <w:t xml:space="preserve"> </w:t>
      </w:r>
      <w:r w:rsidR="003360B8">
        <w:rPr>
          <w:lang w:val="es-ES"/>
        </w:rPr>
        <w:t xml:space="preserve">deberá presentar una revisión de la </w:t>
      </w:r>
      <w:r w:rsidR="0076725C" w:rsidRPr="00BB25AE">
        <w:rPr>
          <w:lang w:val="es-ES"/>
        </w:rPr>
        <w:t>política de inversiones</w:t>
      </w:r>
      <w:r w:rsidR="006A06CA" w:rsidRPr="00BB25AE">
        <w:rPr>
          <w:lang w:val="es-ES"/>
        </w:rPr>
        <w:t xml:space="preserve"> </w:t>
      </w:r>
      <w:r w:rsidR="003360B8">
        <w:rPr>
          <w:lang w:val="es-ES"/>
        </w:rPr>
        <w:t xml:space="preserve">y abordar asuntos particulares que puedan afectar al </w:t>
      </w:r>
      <w:r w:rsidR="00FD3DB2" w:rsidRPr="00BB25AE">
        <w:rPr>
          <w:lang w:val="es-ES"/>
        </w:rPr>
        <w:t>Fondo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84449" w:rsidP="00C57C4B">
      <w:pPr>
        <w:pStyle w:val="BodyText"/>
        <w:widowControl/>
        <w:spacing w:line="275" w:lineRule="auto"/>
        <w:ind w:right="159"/>
        <w:jc w:val="both"/>
        <w:rPr>
          <w:lang w:val="es-ES"/>
        </w:rPr>
      </w:pPr>
      <w:r>
        <w:rPr>
          <w:rFonts w:cs="Calibri"/>
          <w:b/>
          <w:bCs/>
          <w:lang w:val="es-ES"/>
        </w:rPr>
        <w:t>Administrador del Fondo</w:t>
      </w:r>
      <w:r w:rsidR="00174708">
        <w:rPr>
          <w:rFonts w:cs="Calibri"/>
          <w:b/>
          <w:bCs/>
          <w:lang w:val="es-ES"/>
        </w:rPr>
        <w:t xml:space="preserve"> o c</w:t>
      </w:r>
      <w:r w:rsidR="006A06CA" w:rsidRPr="00BB25AE">
        <w:rPr>
          <w:rFonts w:cs="Calibri"/>
          <w:b/>
          <w:bCs/>
          <w:lang w:val="es-ES"/>
        </w:rPr>
        <w:t>ustodi</w:t>
      </w:r>
      <w:r w:rsidR="00174708">
        <w:rPr>
          <w:rFonts w:cs="Calibri"/>
          <w:b/>
          <w:bCs/>
          <w:lang w:val="es-ES"/>
        </w:rPr>
        <w:t>o.</w:t>
      </w:r>
      <w:r w:rsidR="00174708">
        <w:rPr>
          <w:rFonts w:cs="Calibri"/>
          <w:bCs/>
          <w:lang w:val="es-ES"/>
        </w:rPr>
        <w:t xml:space="preserve"> </w:t>
      </w:r>
      <w:r w:rsidR="003360B8">
        <w:rPr>
          <w:rFonts w:cs="Calibri"/>
          <w:bCs/>
          <w:lang w:val="es-ES"/>
        </w:rPr>
        <w:t>A</w:t>
      </w:r>
      <w:r w:rsidR="00174708">
        <w:rPr>
          <w:rFonts w:cs="Calibri"/>
          <w:bCs/>
          <w:lang w:val="es-ES"/>
        </w:rPr>
        <w:t xml:space="preserve">l administrador o </w:t>
      </w:r>
      <w:r w:rsidR="006A06CA" w:rsidRPr="00BB25AE">
        <w:rPr>
          <w:lang w:val="es-ES"/>
        </w:rPr>
        <w:t>custodi</w:t>
      </w:r>
      <w:r w:rsidR="00174708">
        <w:rPr>
          <w:lang w:val="es-ES"/>
        </w:rPr>
        <w:t>o</w:t>
      </w:r>
      <w:r w:rsidR="006A06CA" w:rsidRPr="00BB25AE">
        <w:rPr>
          <w:lang w:val="es-ES"/>
        </w:rPr>
        <w:t xml:space="preserve"> </w:t>
      </w:r>
      <w:r w:rsidR="003360B8">
        <w:rPr>
          <w:lang w:val="es-ES"/>
        </w:rPr>
        <w:t>se le encomienda la tarea de mantener las inversiones d</w:t>
      </w:r>
      <w:r w:rsidR="00FD3DB2"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</w:t>
      </w:r>
      <w:r w:rsidR="00D2554B">
        <w:rPr>
          <w:lang w:val="es-ES"/>
        </w:rPr>
        <w:t xml:space="preserve">Fiduciario </w:t>
      </w:r>
      <w:r w:rsidR="003360B8">
        <w:rPr>
          <w:lang w:val="es-ES"/>
        </w:rPr>
        <w:t xml:space="preserve">siguiendo las prácticas de custodia establecidas. </w:t>
      </w:r>
      <w:r w:rsidR="0067119E">
        <w:rPr>
          <w:lang w:val="es-ES"/>
        </w:rPr>
        <w:t>El custodio</w:t>
      </w:r>
      <w:r w:rsidR="006A06CA" w:rsidRPr="00BB25AE">
        <w:rPr>
          <w:lang w:val="es-ES"/>
        </w:rPr>
        <w:t xml:space="preserve"> e</w:t>
      </w:r>
      <w:r w:rsidR="003360B8">
        <w:rPr>
          <w:lang w:val="es-ES"/>
        </w:rPr>
        <w:t>jecuta las órdenes de compra y venta de inversiones que recibe de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>la SG/OEA</w:t>
      </w:r>
      <w:r w:rsidR="00586529">
        <w:rPr>
          <w:lang w:val="es-ES"/>
        </w:rPr>
        <w:t xml:space="preserve">, de acuerdo con lo que </w:t>
      </w:r>
      <w:r w:rsidR="00FD3DB2" w:rsidRPr="00BB25AE">
        <w:rPr>
          <w:lang w:val="es-ES"/>
        </w:rPr>
        <w:t>la Junta Directiva</w:t>
      </w:r>
      <w:r w:rsidR="00586529">
        <w:rPr>
          <w:lang w:val="es-ES"/>
        </w:rPr>
        <w:t xml:space="preserve"> determine y de conformidad con la presente </w:t>
      </w:r>
      <w:r w:rsidR="0076725C" w:rsidRPr="00BB25AE">
        <w:rPr>
          <w:lang w:val="es-ES"/>
        </w:rPr>
        <w:t>Declaración de la Política de Inversiones</w:t>
      </w:r>
      <w:r w:rsidR="006A06CA" w:rsidRPr="00BB25AE">
        <w:rPr>
          <w:lang w:val="es-ES"/>
        </w:rPr>
        <w:t xml:space="preserve">. </w:t>
      </w:r>
      <w:r w:rsidR="0067119E">
        <w:rPr>
          <w:lang w:val="es-ES"/>
        </w:rPr>
        <w:t>El custodio</w:t>
      </w:r>
      <w:r w:rsidR="006A06CA" w:rsidRPr="00BB25AE">
        <w:rPr>
          <w:lang w:val="es-ES"/>
        </w:rPr>
        <w:t xml:space="preserve">, </w:t>
      </w:r>
      <w:r w:rsidR="00586529">
        <w:rPr>
          <w:lang w:val="es-ES"/>
        </w:rPr>
        <w:t xml:space="preserve">si es diferente del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, </w:t>
      </w:r>
      <w:r w:rsidR="00586529">
        <w:rPr>
          <w:lang w:val="es-ES"/>
        </w:rPr>
        <w:t xml:space="preserve">deberá informar también sobre el estado de las cuentas del </w:t>
      </w:r>
      <w:r w:rsidR="00FD3DB2" w:rsidRPr="00BB25AE">
        <w:rPr>
          <w:lang w:val="es-ES"/>
        </w:rPr>
        <w:t xml:space="preserve">Fondo </w:t>
      </w:r>
      <w:r w:rsidR="00586529">
        <w:rPr>
          <w:lang w:val="es-ES"/>
        </w:rPr>
        <w:t xml:space="preserve">con la frecuencia y el grado de detalle que la </w:t>
      </w:r>
      <w:r w:rsidR="00FD3DB2" w:rsidRPr="00BB25AE">
        <w:rPr>
          <w:lang w:val="es-ES"/>
        </w:rPr>
        <w:t>Junta Directiva</w:t>
      </w:r>
      <w:r w:rsidR="00586529">
        <w:rPr>
          <w:lang w:val="es-ES"/>
        </w:rPr>
        <w:t xml:space="preserve"> </w:t>
      </w:r>
      <w:r w:rsidR="00D2554B">
        <w:rPr>
          <w:lang w:val="es-ES"/>
        </w:rPr>
        <w:t>indique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spacing w:line="276" w:lineRule="auto"/>
        <w:ind w:right="159"/>
        <w:jc w:val="both"/>
        <w:rPr>
          <w:lang w:val="es-ES"/>
        </w:rPr>
      </w:pPr>
      <w:r w:rsidRPr="00BB25AE">
        <w:rPr>
          <w:lang w:val="es-ES"/>
        </w:rPr>
        <w:t xml:space="preserve">El </w:t>
      </w:r>
      <w:r w:rsidR="00184449">
        <w:rPr>
          <w:lang w:val="es-ES"/>
        </w:rPr>
        <w:t>fiduciario del Fondo</w:t>
      </w:r>
      <w:r w:rsidR="006A06CA" w:rsidRPr="00BB25AE">
        <w:rPr>
          <w:lang w:val="es-ES"/>
        </w:rPr>
        <w:t xml:space="preserve">, </w:t>
      </w:r>
      <w:r w:rsidRPr="00BB25AE">
        <w:rPr>
          <w:lang w:val="es-ES"/>
        </w:rPr>
        <w:t xml:space="preserve">la </w:t>
      </w:r>
      <w:r w:rsidR="00184449" w:rsidRPr="00184449">
        <w:rPr>
          <w:lang w:val="es-ES"/>
        </w:rPr>
        <w:t>Junta de Fideicomisarios Delegados</w:t>
      </w:r>
      <w:r w:rsidR="006A06CA" w:rsidRPr="00BB25AE">
        <w:rPr>
          <w:lang w:val="es-ES"/>
        </w:rPr>
        <w:t xml:space="preserve">, </w:t>
      </w:r>
      <w:r w:rsidR="00670815">
        <w:rPr>
          <w:lang w:val="es-ES"/>
        </w:rPr>
        <w:t xml:space="preserve">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, </w:t>
      </w:r>
      <w:r w:rsidRPr="00BB25AE">
        <w:rPr>
          <w:lang w:val="es-ES"/>
        </w:rPr>
        <w:t xml:space="preserve">el </w:t>
      </w:r>
      <w:r w:rsidR="00184449">
        <w:rPr>
          <w:lang w:val="es-ES"/>
        </w:rPr>
        <w:t>administrador del Fondo</w:t>
      </w:r>
      <w:r w:rsidR="006A06CA" w:rsidRPr="00BB25AE">
        <w:rPr>
          <w:lang w:val="es-ES"/>
        </w:rPr>
        <w:t xml:space="preserve"> </w:t>
      </w:r>
      <w:r w:rsidR="00184449">
        <w:rPr>
          <w:lang w:val="es-ES"/>
        </w:rPr>
        <w:t>o cu</w:t>
      </w:r>
      <w:r w:rsidR="006A06CA" w:rsidRPr="00BB25AE">
        <w:rPr>
          <w:lang w:val="es-ES"/>
        </w:rPr>
        <w:t>stodi</w:t>
      </w:r>
      <w:r w:rsidR="00184449">
        <w:rPr>
          <w:lang w:val="es-ES"/>
        </w:rPr>
        <w:t xml:space="preserve">o y el Tesorero de la </w:t>
      </w:r>
      <w:r w:rsidR="00263A8E" w:rsidRPr="00BB25AE">
        <w:rPr>
          <w:lang w:val="es-ES"/>
        </w:rPr>
        <w:t>Secretaría General</w:t>
      </w:r>
      <w:r w:rsidR="006A06CA" w:rsidRPr="00BB25AE">
        <w:rPr>
          <w:lang w:val="es-ES"/>
        </w:rPr>
        <w:t xml:space="preserve"> </w:t>
      </w:r>
      <w:r w:rsidR="00670815">
        <w:rPr>
          <w:lang w:val="es-ES"/>
        </w:rPr>
        <w:t>de</w:t>
      </w:r>
      <w:r w:rsidR="006A06CA" w:rsidRPr="00BB25AE">
        <w:rPr>
          <w:lang w:val="es-ES"/>
        </w:rPr>
        <w:t xml:space="preserve"> </w:t>
      </w:r>
      <w:r w:rsidR="00184449">
        <w:rPr>
          <w:lang w:val="es-ES"/>
        </w:rPr>
        <w:t>la OEA</w:t>
      </w:r>
      <w:r w:rsidR="006A06CA" w:rsidRPr="00BB25AE">
        <w:rPr>
          <w:lang w:val="es-ES"/>
        </w:rPr>
        <w:t xml:space="preserve"> </w:t>
      </w:r>
      <w:r w:rsidR="00670815">
        <w:rPr>
          <w:lang w:val="es-ES"/>
        </w:rPr>
        <w:t xml:space="preserve">tienen responsabilidades fiduciarias con respecto a los </w:t>
      </w:r>
      <w:r w:rsidR="0076725C" w:rsidRPr="00BB25AE">
        <w:rPr>
          <w:lang w:val="es-ES"/>
        </w:rPr>
        <w:t>beneficiarios</w:t>
      </w:r>
      <w:r w:rsidR="006A06CA" w:rsidRPr="00BB25AE">
        <w:rPr>
          <w:lang w:val="es-ES"/>
        </w:rPr>
        <w:t xml:space="preserve"> </w:t>
      </w:r>
      <w:r w:rsidR="00670815">
        <w:rPr>
          <w:lang w:val="es-ES"/>
        </w:rPr>
        <w:t>d</w:t>
      </w:r>
      <w:r w:rsidRPr="00BB25AE">
        <w:rPr>
          <w:lang w:val="es-ES"/>
        </w:rPr>
        <w:t>el Fondo Fiduciario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ind w:left="159"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t>Part</w:t>
      </w:r>
      <w:r w:rsidR="00174708">
        <w:rPr>
          <w:lang w:val="es-ES"/>
        </w:rPr>
        <w:t>e</w:t>
      </w:r>
      <w:r w:rsidRPr="00BB25AE">
        <w:rPr>
          <w:lang w:val="es-ES"/>
        </w:rPr>
        <w:t xml:space="preserve"> IV. </w:t>
      </w:r>
      <w:r w:rsidR="00174708">
        <w:rPr>
          <w:lang w:val="es-ES"/>
        </w:rPr>
        <w:t>Estrategia de inversiones</w:t>
      </w:r>
      <w:r w:rsidRPr="00BB25AE">
        <w:rPr>
          <w:lang w:val="es-ES"/>
        </w:rPr>
        <w:t xml:space="preserve"> </w:t>
      </w:r>
      <w:r w:rsidR="00184449">
        <w:rPr>
          <w:lang w:val="es-ES"/>
        </w:rPr>
        <w:t>y asignación de activos</w:t>
      </w:r>
    </w:p>
    <w:p w:rsidR="00026122" w:rsidRPr="00BB25AE" w:rsidRDefault="00026122" w:rsidP="00C57C4B">
      <w:pPr>
        <w:widowControl/>
        <w:rPr>
          <w:rFonts w:ascii="Calibri" w:eastAsia="Calibri" w:hAnsi="Calibri" w:cs="Calibri"/>
          <w:b/>
          <w:bCs/>
          <w:lang w:val="es-ES"/>
        </w:rPr>
      </w:pPr>
    </w:p>
    <w:p w:rsidR="00026122" w:rsidRPr="00BB25AE" w:rsidRDefault="00026122" w:rsidP="00C57C4B">
      <w:pPr>
        <w:widowControl/>
        <w:spacing w:before="10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174708" w:rsidRDefault="00174708" w:rsidP="00C57C4B">
      <w:pPr>
        <w:widowControl/>
        <w:numPr>
          <w:ilvl w:val="0"/>
          <w:numId w:val="5"/>
        </w:numPr>
        <w:tabs>
          <w:tab w:val="left" w:pos="416"/>
        </w:tabs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/>
          <w:b/>
          <w:lang w:val="es-ES"/>
        </w:rPr>
        <w:t>Política de asignación de activos</w:t>
      </w:r>
    </w:p>
    <w:p w:rsidR="00026122" w:rsidRPr="00BB25AE" w:rsidRDefault="00026122" w:rsidP="00C57C4B">
      <w:pPr>
        <w:widowControl/>
        <w:spacing w:before="3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19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ED52CC8" wp14:editId="4323BBD7">
                <wp:extent cx="5995670" cy="13970"/>
                <wp:effectExtent l="0" t="0" r="5080" b="508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3970"/>
                          <a:chOff x="0" y="0"/>
                          <a:chExt cx="9442" cy="2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20" cy="2"/>
                            <a:chOff x="11" y="11"/>
                            <a:chExt cx="942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20"/>
                                <a:gd name="T2" fmla="+- 0 9431 1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683FA0" id="Group 20" o:spid="_x0000_s1026" style="width:472.1pt;height:1.1pt;mso-position-horizontal-relative:char;mso-position-vertical-relative:line" coordsize="9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">
                <v:group id="Group 21" o:spid="_x0000_s1027" style="position:absolute;left:11;top:11;width:9420;height:2" coordorigin="11,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11;top: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" path="m,l9420,e" filled="f" strokecolor="#4f81bc" strokeweight="1.0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Default="00FD3DB2" w:rsidP="00C57C4B">
      <w:pPr>
        <w:pStyle w:val="BodyText"/>
        <w:widowControl/>
        <w:numPr>
          <w:ilvl w:val="1"/>
          <w:numId w:val="5"/>
        </w:numPr>
        <w:tabs>
          <w:tab w:val="left" w:pos="420"/>
        </w:tabs>
        <w:spacing w:before="55" w:line="275" w:lineRule="auto"/>
        <w:ind w:right="158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reco</w:t>
      </w:r>
      <w:r w:rsidR="00670815">
        <w:rPr>
          <w:lang w:val="es-ES"/>
        </w:rPr>
        <w:t xml:space="preserve">noce que la asignación estratégica de </w:t>
      </w:r>
      <w:r w:rsidR="00184449">
        <w:rPr>
          <w:lang w:val="es-ES"/>
        </w:rPr>
        <w:t>los activos en cartera del Fondo</w:t>
      </w:r>
      <w:r w:rsidR="006A06CA" w:rsidRPr="00BB25AE">
        <w:rPr>
          <w:lang w:val="es-ES"/>
        </w:rPr>
        <w:t xml:space="preserve"> </w:t>
      </w:r>
      <w:r w:rsidR="00670815">
        <w:rPr>
          <w:lang w:val="es-ES"/>
        </w:rPr>
        <w:t>entre categorías y subcategorías de activos financieros en sentido amplio</w:t>
      </w:r>
      <w:r w:rsidR="00B268EF">
        <w:rPr>
          <w:lang w:val="es-ES"/>
        </w:rPr>
        <w:t xml:space="preserve">, </w:t>
      </w:r>
      <w:r w:rsidR="00670815">
        <w:rPr>
          <w:lang w:val="es-ES"/>
        </w:rPr>
        <w:t>con distintos grados de riesgo, rendimiento y correlación del rendimiento</w:t>
      </w:r>
      <w:r w:rsidR="00B268EF">
        <w:rPr>
          <w:lang w:val="es-ES"/>
        </w:rPr>
        <w:t>,</w:t>
      </w:r>
      <w:r w:rsidR="00670815">
        <w:rPr>
          <w:lang w:val="es-ES"/>
        </w:rPr>
        <w:t xml:space="preserve"> será el principal determinante del rendimiento de las inversiones a largo plazo y de la estabilidad del valor de los activos en cartera</w:t>
      </w:r>
      <w:r w:rsidR="006A06CA" w:rsidRPr="00BB25AE">
        <w:rPr>
          <w:lang w:val="es-ES"/>
        </w:rPr>
        <w:t>.</w:t>
      </w:r>
    </w:p>
    <w:p w:rsidR="00174708" w:rsidRPr="00174708" w:rsidRDefault="00174708" w:rsidP="00174708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451"/>
        </w:tabs>
        <w:spacing w:before="39" w:line="275" w:lineRule="auto"/>
        <w:ind w:left="140" w:right="137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>reconoce que es posible que el rendimiento real y la volatilidad del rendimiento no concuerden con las expectativas y los objetivos del rendimiento. Aunque</w:t>
      </w:r>
      <w:r w:rsidR="006A06CA" w:rsidRPr="00BB25AE">
        <w:rPr>
          <w:lang w:val="es-ES"/>
        </w:rPr>
        <w:t xml:space="preserve"> </w:t>
      </w: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 xml:space="preserve">desea contar con </w:t>
      </w:r>
      <w:r w:rsidR="00F90F8C">
        <w:rPr>
          <w:lang w:val="es-ES"/>
        </w:rPr>
        <w:t>flexibilidad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 xml:space="preserve">para efectuar cambios periódicos en la </w:t>
      </w:r>
      <w:r w:rsidR="00184449">
        <w:rPr>
          <w:lang w:val="es-ES"/>
        </w:rPr>
        <w:t>asignación de activos</w:t>
      </w:r>
      <w:r w:rsidR="0090510E">
        <w:rPr>
          <w:lang w:val="es-ES"/>
        </w:rPr>
        <w:t xml:space="preserve"> de la cartera</w:t>
      </w:r>
      <w:r w:rsidR="006A06CA" w:rsidRPr="00BB25AE">
        <w:rPr>
          <w:lang w:val="es-ES"/>
        </w:rPr>
        <w:t xml:space="preserve">, </w:t>
      </w:r>
      <w:r w:rsidR="0090510E">
        <w:rPr>
          <w:lang w:val="es-ES"/>
        </w:rPr>
        <w:t>prevé que lo hará solo en caso de cambios sustanciales de las condiciones operativas de</w:t>
      </w:r>
      <w:r w:rsidRPr="00BB25AE">
        <w:rPr>
          <w:lang w:val="es-ES"/>
        </w:rPr>
        <w:t>l Fondo Fiduciario</w:t>
      </w:r>
      <w:r w:rsidR="0090510E">
        <w:rPr>
          <w:lang w:val="es-ES"/>
        </w:rPr>
        <w:t>, los supuestos en que se basan las políticas de gastos del Fondo o los mercados de capital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>y las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>clases de activos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 xml:space="preserve">en los cuales invierta la </w:t>
      </w:r>
      <w:r w:rsidR="009B274C">
        <w:rPr>
          <w:lang w:val="es-ES"/>
        </w:rPr>
        <w:t>cartera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74708" w:rsidP="00C57C4B">
      <w:pPr>
        <w:pStyle w:val="BodyText"/>
        <w:widowControl/>
        <w:numPr>
          <w:ilvl w:val="1"/>
          <w:numId w:val="5"/>
        </w:numPr>
        <w:tabs>
          <w:tab w:val="left" w:pos="440"/>
        </w:tabs>
        <w:spacing w:line="276" w:lineRule="auto"/>
        <w:ind w:left="139" w:right="138" w:firstLine="1"/>
        <w:jc w:val="both"/>
        <w:rPr>
          <w:lang w:val="es-ES"/>
        </w:rPr>
      </w:pPr>
      <w:r>
        <w:rPr>
          <w:lang w:val="es-ES"/>
        </w:rPr>
        <w:t>Las inversiones del Fondo</w:t>
      </w:r>
      <w:r w:rsidR="006A06CA" w:rsidRPr="00BB25AE">
        <w:rPr>
          <w:lang w:val="es-ES"/>
        </w:rPr>
        <w:t xml:space="preserve"> </w:t>
      </w:r>
      <w:r w:rsidR="0090510E">
        <w:rPr>
          <w:lang w:val="es-ES"/>
        </w:rPr>
        <w:t>se seleccionarán de manera tal que ofrezcan un rendimiento competitivo con niveles aceptables de riesgo y costo. Muchos f</w:t>
      </w:r>
      <w:r w:rsidR="00184449">
        <w:rPr>
          <w:lang w:val="es-ES"/>
        </w:rPr>
        <w:t>ondos comunes de inversión</w:t>
      </w:r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>y</w:t>
      </w:r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>fondos cotizados en bolsa</w:t>
      </w:r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>ofrecen niveles adecuados de diversificación</w:t>
      </w:r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 xml:space="preserve">y rendimiento. Al seleccionar estos fondos, se debe dar preferencia </w:t>
      </w:r>
      <w:r w:rsidR="006A06CA" w:rsidRPr="00BB25AE">
        <w:rPr>
          <w:lang w:val="es-ES"/>
        </w:rPr>
        <w:t>a</w:t>
      </w:r>
      <w:r w:rsidR="00BC0837">
        <w:rPr>
          <w:lang w:val="es-ES"/>
        </w:rPr>
        <w:t xml:space="preserve"> aquellos que tengan por lo menos un desempeño promedio</w:t>
      </w:r>
      <w:r w:rsidR="006A06CA" w:rsidRPr="00BB25AE">
        <w:rPr>
          <w:lang w:val="es-ES"/>
        </w:rPr>
        <w:t xml:space="preserve"> (</w:t>
      </w:r>
      <w:r w:rsidR="00BC0837">
        <w:rPr>
          <w:lang w:val="es-ES"/>
        </w:rPr>
        <w:t>porcentaje de rendimiento comparado con el parámetro de referencia</w:t>
      </w:r>
      <w:r w:rsidR="006A06CA" w:rsidRPr="00BB25AE">
        <w:rPr>
          <w:lang w:val="es-ES"/>
        </w:rPr>
        <w:t>)</w:t>
      </w:r>
      <w:r w:rsidR="00BC0837">
        <w:rPr>
          <w:lang w:val="es-ES"/>
        </w:rPr>
        <w:t xml:space="preserve">, honorarios competitivos </w:t>
      </w:r>
      <w:r w:rsidR="006A06CA" w:rsidRPr="00BB25AE">
        <w:rPr>
          <w:lang w:val="es-ES"/>
        </w:rPr>
        <w:t>(</w:t>
      </w:r>
      <w:r w:rsidR="00BC0837">
        <w:rPr>
          <w:lang w:val="es-ES"/>
        </w:rPr>
        <w:t xml:space="preserve">por ejemplo, de acuerdo con </w:t>
      </w:r>
      <w:proofErr w:type="spellStart"/>
      <w:r w:rsidR="006A06CA" w:rsidRPr="00BB25AE">
        <w:rPr>
          <w:lang w:val="es-ES"/>
        </w:rPr>
        <w:t>Morningstar</w:t>
      </w:r>
      <w:proofErr w:type="spellEnd"/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>u otras agencias calificadoras</w:t>
      </w:r>
      <w:r w:rsidR="006A06CA" w:rsidRPr="00BB25AE">
        <w:rPr>
          <w:lang w:val="es-ES"/>
        </w:rPr>
        <w:t xml:space="preserve">) </w:t>
      </w:r>
      <w:r w:rsidR="00BC0837">
        <w:rPr>
          <w:lang w:val="es-ES"/>
        </w:rPr>
        <w:t xml:space="preserve">y gastos de operación bajos </w:t>
      </w:r>
      <w:r w:rsidR="006A06CA" w:rsidRPr="00BB25AE">
        <w:rPr>
          <w:lang w:val="es-ES"/>
        </w:rPr>
        <w:t>(</w:t>
      </w:r>
      <w:r w:rsidR="00BC0837">
        <w:rPr>
          <w:lang w:val="es-ES"/>
        </w:rPr>
        <w:t xml:space="preserve">por lo general inferiores al </w:t>
      </w:r>
      <w:r w:rsidR="006A06CA" w:rsidRPr="00BB25AE">
        <w:rPr>
          <w:lang w:val="es-ES"/>
        </w:rPr>
        <w:t>0</w:t>
      </w:r>
      <w:r w:rsidR="00BC0837">
        <w:rPr>
          <w:lang w:val="es-ES"/>
        </w:rPr>
        <w:t>,</w:t>
      </w:r>
      <w:r w:rsidR="006A06CA" w:rsidRPr="00BB25AE">
        <w:rPr>
          <w:lang w:val="es-ES"/>
        </w:rPr>
        <w:t xml:space="preserve">10% </w:t>
      </w:r>
      <w:r w:rsidR="00BC0837">
        <w:rPr>
          <w:lang w:val="es-ES"/>
        </w:rPr>
        <w:t xml:space="preserve">en el caso de fondos índice y hasta un máximo del </w:t>
      </w:r>
      <w:r w:rsidR="006A06CA" w:rsidRPr="00BB25AE">
        <w:rPr>
          <w:lang w:val="es-ES"/>
        </w:rPr>
        <w:t xml:space="preserve">1% </w:t>
      </w:r>
      <w:r w:rsidR="00BC0837">
        <w:rPr>
          <w:lang w:val="es-ES"/>
        </w:rPr>
        <w:t xml:space="preserve">para </w:t>
      </w:r>
      <w:r w:rsidR="00C57C4B" w:rsidRPr="00BB25AE">
        <w:rPr>
          <w:lang w:val="es-ES"/>
        </w:rPr>
        <w:t>activos</w:t>
      </w:r>
      <w:r w:rsidR="00BC0837">
        <w:rPr>
          <w:lang w:val="es-ES"/>
        </w:rPr>
        <w:t xml:space="preserve"> nacionales y </w:t>
      </w:r>
      <w:r w:rsidR="006A06CA" w:rsidRPr="00BB25AE">
        <w:rPr>
          <w:lang w:val="es-ES"/>
        </w:rPr>
        <w:t>1</w:t>
      </w:r>
      <w:r w:rsidR="00BC0837">
        <w:rPr>
          <w:lang w:val="es-ES"/>
        </w:rPr>
        <w:t>,</w:t>
      </w:r>
      <w:r w:rsidR="006A06CA" w:rsidRPr="00BB25AE">
        <w:rPr>
          <w:lang w:val="es-ES"/>
        </w:rPr>
        <w:t xml:space="preserve">25% </w:t>
      </w:r>
      <w:r w:rsidR="00BC0837">
        <w:rPr>
          <w:lang w:val="es-ES"/>
        </w:rPr>
        <w:t>para activos internacionales</w:t>
      </w:r>
      <w:r w:rsidR="006A06CA" w:rsidRPr="00BB25AE">
        <w:rPr>
          <w:lang w:val="es-ES"/>
        </w:rPr>
        <w:t>).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90F8C" w:rsidP="00C57C4B">
      <w:pPr>
        <w:pStyle w:val="BodyText"/>
        <w:widowControl/>
        <w:numPr>
          <w:ilvl w:val="1"/>
          <w:numId w:val="5"/>
        </w:numPr>
        <w:tabs>
          <w:tab w:val="left" w:pos="425"/>
        </w:tabs>
        <w:spacing w:line="276" w:lineRule="auto"/>
        <w:ind w:left="140" w:right="138" w:firstLine="0"/>
        <w:jc w:val="both"/>
        <w:rPr>
          <w:lang w:val="es-ES"/>
        </w:rPr>
      </w:pPr>
      <w:r>
        <w:rPr>
          <w:lang w:val="es-ES"/>
        </w:rPr>
        <w:t>Los activos del Fondo</w:t>
      </w:r>
      <w:r w:rsidR="006A06CA" w:rsidRPr="00BB25AE">
        <w:rPr>
          <w:lang w:val="es-ES"/>
        </w:rPr>
        <w:t xml:space="preserve"> </w:t>
      </w:r>
      <w:r w:rsidR="00BC0837">
        <w:rPr>
          <w:lang w:val="es-ES"/>
        </w:rPr>
        <w:t xml:space="preserve">se administrarán en forma de </w:t>
      </w:r>
      <w:r w:rsidR="00174708">
        <w:rPr>
          <w:lang w:val="es-ES"/>
        </w:rPr>
        <w:t>cartera equilibrada</w:t>
      </w:r>
      <w:r w:rsidR="00BC0837">
        <w:rPr>
          <w:lang w:val="es-ES"/>
        </w:rPr>
        <w:t xml:space="preserve"> con dos componentes principales: un</w:t>
      </w:r>
      <w:r w:rsidR="00AB6856">
        <w:rPr>
          <w:lang w:val="es-ES"/>
        </w:rPr>
        <w:t xml:space="preserve">o </w:t>
      </w:r>
      <w:r w:rsidR="00436840">
        <w:rPr>
          <w:lang w:val="es-ES"/>
        </w:rPr>
        <w:t xml:space="preserve">de inversiones </w:t>
      </w:r>
      <w:r w:rsidR="00AB6856">
        <w:rPr>
          <w:lang w:val="es-ES"/>
        </w:rPr>
        <w:t xml:space="preserve">de renta variable </w:t>
      </w:r>
      <w:r w:rsidR="00436840">
        <w:rPr>
          <w:lang w:val="es-ES"/>
        </w:rPr>
        <w:t>y otr</w:t>
      </w:r>
      <w:r w:rsidR="00AB6856">
        <w:rPr>
          <w:lang w:val="es-ES"/>
        </w:rPr>
        <w:t>o</w:t>
      </w:r>
      <w:r w:rsidR="00436840">
        <w:rPr>
          <w:lang w:val="es-ES"/>
        </w:rPr>
        <w:t xml:space="preserve"> de </w:t>
      </w:r>
      <w:r w:rsidR="00AB6856">
        <w:rPr>
          <w:lang w:val="es-ES"/>
        </w:rPr>
        <w:t xml:space="preserve">inversiones de </w:t>
      </w:r>
      <w:r w:rsidR="00CD2647">
        <w:rPr>
          <w:lang w:val="es-ES"/>
        </w:rPr>
        <w:t>renta fija</w:t>
      </w:r>
      <w:r w:rsidR="00436840">
        <w:rPr>
          <w:lang w:val="es-ES"/>
        </w:rPr>
        <w:t xml:space="preserve">. El papel previsto de las inversiones de </w:t>
      </w:r>
      <w:r w:rsidR="00AB6856">
        <w:rPr>
          <w:lang w:val="es-ES"/>
        </w:rPr>
        <w:t xml:space="preserve">renta variable </w:t>
      </w:r>
      <w:r w:rsidR="00436840">
        <w:rPr>
          <w:lang w:val="es-ES"/>
        </w:rPr>
        <w:t>del Fondo será maximizar el crecimiento real a largo plazo de los a</w:t>
      </w:r>
      <w:r w:rsidR="00184449">
        <w:rPr>
          <w:lang w:val="es-ES"/>
        </w:rPr>
        <w:t>ctivos en cartera</w:t>
      </w:r>
      <w:r w:rsidR="006A06CA" w:rsidRPr="00BB25AE">
        <w:rPr>
          <w:lang w:val="es-ES"/>
        </w:rPr>
        <w:t xml:space="preserve">, </w:t>
      </w:r>
      <w:r w:rsidR="00436840">
        <w:rPr>
          <w:lang w:val="es-ES"/>
        </w:rPr>
        <w:t xml:space="preserve">en tanto que el papel de las inversiones </w:t>
      </w:r>
      <w:r w:rsidR="00AB6856">
        <w:rPr>
          <w:lang w:val="es-ES"/>
        </w:rPr>
        <w:t xml:space="preserve">de renta fija </w:t>
      </w:r>
      <w:r w:rsidR="00436840">
        <w:rPr>
          <w:lang w:val="es-ES"/>
        </w:rPr>
        <w:t xml:space="preserve">será generar ingresos corrientes, así como rendimientos periódicos más estables, y ofrecer cierto grado de protección contra un descenso prolongado del valor de mercado de las inversiones de </w:t>
      </w:r>
      <w:r w:rsidR="00AB6856">
        <w:rPr>
          <w:lang w:val="es-ES"/>
        </w:rPr>
        <w:t xml:space="preserve">renta variable </w:t>
      </w:r>
      <w:r w:rsidR="00436840">
        <w:rPr>
          <w:lang w:val="es-ES"/>
        </w:rPr>
        <w:t>de la cartera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CC7418" w:rsidP="00C57C4B">
      <w:pPr>
        <w:pStyle w:val="BodyText"/>
        <w:widowControl/>
        <w:numPr>
          <w:ilvl w:val="1"/>
          <w:numId w:val="5"/>
        </w:numPr>
        <w:tabs>
          <w:tab w:val="left" w:pos="446"/>
        </w:tabs>
        <w:spacing w:line="276" w:lineRule="auto"/>
        <w:ind w:left="140" w:right="138" w:firstLine="0"/>
        <w:jc w:val="both"/>
        <w:rPr>
          <w:lang w:val="es-ES"/>
        </w:rPr>
      </w:pPr>
      <w:r>
        <w:rPr>
          <w:lang w:val="es-ES"/>
        </w:rPr>
        <w:t>Las d</w:t>
      </w:r>
      <w:r w:rsidR="006A06CA" w:rsidRPr="00BB25AE">
        <w:rPr>
          <w:lang w:val="es-ES"/>
        </w:rPr>
        <w:t>istribu</w:t>
      </w:r>
      <w:r>
        <w:rPr>
          <w:lang w:val="es-ES"/>
        </w:rPr>
        <w:t>c</w:t>
      </w:r>
      <w:r w:rsidR="006A06CA" w:rsidRPr="00BB25AE">
        <w:rPr>
          <w:lang w:val="es-ES"/>
        </w:rPr>
        <w:t>ion</w:t>
      </w:r>
      <w:r>
        <w:rPr>
          <w:lang w:val="es-ES"/>
        </w:rPr>
        <w:t>e</w:t>
      </w:r>
      <w:r w:rsidR="006A06CA" w:rsidRPr="00BB25AE">
        <w:rPr>
          <w:lang w:val="es-ES"/>
        </w:rPr>
        <w:t xml:space="preserve">s </w:t>
      </w:r>
      <w:r>
        <w:rPr>
          <w:lang w:val="es-ES"/>
        </w:rPr>
        <w:t>de</w:t>
      </w:r>
      <w:r w:rsidR="006A06CA" w:rsidRPr="00BB25AE">
        <w:rPr>
          <w:lang w:val="es-ES"/>
        </w:rPr>
        <w:t xml:space="preserve"> </w:t>
      </w:r>
      <w:r w:rsidR="00174708">
        <w:rPr>
          <w:lang w:val="es-ES"/>
        </w:rPr>
        <w:t>dividendos</w:t>
      </w:r>
      <w:r w:rsidR="006A06CA" w:rsidRPr="00BB25AE">
        <w:rPr>
          <w:lang w:val="es-ES"/>
        </w:rPr>
        <w:t xml:space="preserve"> o </w:t>
      </w:r>
      <w:r w:rsidR="00BC0837">
        <w:rPr>
          <w:lang w:val="es-ES"/>
        </w:rPr>
        <w:t>ganancias de capital</w:t>
      </w:r>
      <w:r w:rsidR="006A06CA" w:rsidRPr="00BB25AE">
        <w:rPr>
          <w:lang w:val="es-ES"/>
        </w:rPr>
        <w:t xml:space="preserve"> genera</w:t>
      </w:r>
      <w:r>
        <w:rPr>
          <w:lang w:val="es-ES"/>
        </w:rPr>
        <w:t>dos por fondos de la cartera de inversiones administradas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se reinvertirán automáticamente en </w:t>
      </w:r>
      <w:r w:rsidR="00174708">
        <w:rPr>
          <w:lang w:val="es-ES"/>
        </w:rPr>
        <w:t>los fondos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que generen la distribución. El efectivo que no se reinvierta de esa manera se considerará como </w:t>
      </w:r>
      <w:r w:rsidR="00436840">
        <w:rPr>
          <w:lang w:val="es-ES"/>
        </w:rPr>
        <w:t xml:space="preserve">tenencia </w:t>
      </w:r>
      <w:r w:rsidR="006A06CA" w:rsidRPr="00BB25AE">
        <w:rPr>
          <w:lang w:val="es-ES"/>
        </w:rPr>
        <w:t>temporar</w:t>
      </w:r>
      <w:r w:rsidR="00436840">
        <w:rPr>
          <w:lang w:val="es-ES"/>
        </w:rPr>
        <w:t>ia en cartera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 xml:space="preserve">a </w:t>
      </w:r>
      <w:r w:rsidR="006A06CA" w:rsidRPr="00BB25AE">
        <w:rPr>
          <w:lang w:val="es-ES"/>
        </w:rPr>
        <w:t>30 d</w:t>
      </w:r>
      <w:r>
        <w:rPr>
          <w:lang w:val="es-ES"/>
        </w:rPr>
        <w:t>ías o menos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>y se usará para atender necesidades de liquidez del Fondo Fiduciario</w:t>
      </w:r>
      <w:r w:rsidR="006A06CA" w:rsidRPr="00BB25AE">
        <w:rPr>
          <w:lang w:val="es-ES"/>
        </w:rPr>
        <w:t xml:space="preserve"> (</w:t>
      </w:r>
      <w:r w:rsidR="00CD2647">
        <w:rPr>
          <w:lang w:val="es-ES"/>
        </w:rPr>
        <w:t xml:space="preserve">por medio de una transferencia inmediata a la cuenta bancaria del </w:t>
      </w:r>
      <w:r w:rsidR="00FD3DB2" w:rsidRPr="00BB25AE">
        <w:rPr>
          <w:lang w:val="es-ES"/>
        </w:rPr>
        <w:t xml:space="preserve">Fondo </w:t>
      </w:r>
      <w:r w:rsidR="00CD2647">
        <w:rPr>
          <w:lang w:val="es-ES"/>
        </w:rPr>
        <w:t>o inversiones a corto plazo</w:t>
      </w:r>
      <w:r w:rsidR="006A06CA" w:rsidRPr="00BB25AE">
        <w:rPr>
          <w:lang w:val="es-ES"/>
        </w:rPr>
        <w:t>) o</w:t>
      </w:r>
      <w:r w:rsidR="00CD2647">
        <w:rPr>
          <w:lang w:val="es-ES"/>
        </w:rPr>
        <w:t xml:space="preserve"> para facilitar un programa planeado de</w:t>
      </w:r>
      <w:r w:rsidR="006A06CA" w:rsidRPr="00BB25AE">
        <w:rPr>
          <w:lang w:val="es-ES"/>
        </w:rPr>
        <w:t xml:space="preserve">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 w:rsidR="00CD2647">
        <w:rPr>
          <w:lang w:val="es-ES"/>
        </w:rPr>
        <w:t xml:space="preserve">de las inversiones de renta variable </w:t>
      </w:r>
      <w:r w:rsidR="00AB6856">
        <w:rPr>
          <w:lang w:val="es-ES"/>
        </w:rPr>
        <w:t>o</w:t>
      </w:r>
      <w:r w:rsidR="00CD2647">
        <w:rPr>
          <w:lang w:val="es-ES"/>
        </w:rPr>
        <w:t xml:space="preserve"> </w:t>
      </w:r>
      <w:r w:rsidR="00AB6856">
        <w:rPr>
          <w:lang w:val="es-ES"/>
        </w:rPr>
        <w:t xml:space="preserve">de </w:t>
      </w:r>
      <w:r w:rsidR="00CD2647">
        <w:rPr>
          <w:lang w:val="es-ES"/>
        </w:rPr>
        <w:t>renta fija</w:t>
      </w:r>
      <w:r w:rsidR="006A06CA" w:rsidRPr="00BB25AE">
        <w:rPr>
          <w:lang w:val="es-ES"/>
        </w:rPr>
        <w:t xml:space="preserve"> (</w:t>
      </w:r>
      <w:r w:rsidR="006A01DB">
        <w:rPr>
          <w:lang w:val="es-ES"/>
        </w:rPr>
        <w:t xml:space="preserve">que abarque </w:t>
      </w:r>
      <w:r w:rsidR="00AB6856">
        <w:rPr>
          <w:lang w:val="es-ES"/>
        </w:rPr>
        <w:t xml:space="preserve">cualquiera de </w:t>
      </w:r>
      <w:r w:rsidR="006A01DB">
        <w:rPr>
          <w:lang w:val="es-ES"/>
        </w:rPr>
        <w:t xml:space="preserve">estas </w:t>
      </w:r>
      <w:r w:rsidR="00AB6856">
        <w:rPr>
          <w:lang w:val="es-ES"/>
        </w:rPr>
        <w:t>dos clases de activos o ambas</w:t>
      </w:r>
      <w:r w:rsidR="006A06CA" w:rsidRPr="00BB25AE">
        <w:rPr>
          <w:lang w:val="es-ES"/>
        </w:rPr>
        <w:t>).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405"/>
        </w:tabs>
        <w:spacing w:line="276" w:lineRule="auto"/>
        <w:ind w:left="140" w:right="136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adopt</w:t>
      </w:r>
      <w:r w:rsidR="00CD2647">
        <w:rPr>
          <w:lang w:val="es-ES"/>
        </w:rPr>
        <w:t xml:space="preserve">a una directriz estratégica a largo plazo para la </w:t>
      </w:r>
      <w:r w:rsidR="00184449">
        <w:rPr>
          <w:lang w:val="es-ES"/>
        </w:rPr>
        <w:t>asignación de activos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 xml:space="preserve">que concuerda en el objetivo de crecimiento del </w:t>
      </w:r>
      <w:r w:rsidRPr="00BB25AE">
        <w:rPr>
          <w:lang w:val="es-ES"/>
        </w:rPr>
        <w:t>Fondo</w:t>
      </w:r>
      <w:r w:rsidR="00B43A6B">
        <w:rPr>
          <w:lang w:val="es-ES"/>
        </w:rPr>
        <w:t xml:space="preserve"> principalmente a largo plazo, con salidas de efectivo </w:t>
      </w:r>
      <w:r w:rsidR="00B43A6B">
        <w:rPr>
          <w:lang w:val="es-ES"/>
        </w:rPr>
        <w:lastRenderedPageBreak/>
        <w:t>excepcionales y de poca cuantía. En circunstancias normales, los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>a</w:t>
      </w:r>
      <w:r w:rsidR="00184449">
        <w:rPr>
          <w:lang w:val="es-ES"/>
        </w:rPr>
        <w:t>ctivos en cartera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 xml:space="preserve">se repartirán entre amplias clases y subclases de </w:t>
      </w:r>
      <w:r w:rsidR="0090510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 xml:space="preserve">de acuerdo con las directrices que se presentan en el </w:t>
      </w:r>
      <w:r w:rsidR="006A01DB">
        <w:rPr>
          <w:lang w:val="es-ES"/>
        </w:rPr>
        <w:t>a</w:t>
      </w:r>
      <w:r w:rsidR="00B43A6B">
        <w:rPr>
          <w:lang w:val="es-ES"/>
        </w:rPr>
        <w:t xml:space="preserve">nexo </w:t>
      </w:r>
      <w:r w:rsidR="006A06CA" w:rsidRPr="00BB25AE">
        <w:rPr>
          <w:lang w:val="es-ES"/>
        </w:rPr>
        <w:t>A</w:t>
      </w:r>
      <w:r w:rsidR="00184449">
        <w:rPr>
          <w:lang w:val="es-ES"/>
        </w:rPr>
        <w:t xml:space="preserve">, </w:t>
      </w:r>
      <w:r w:rsidR="006A01DB">
        <w:rPr>
          <w:lang w:val="es-ES"/>
        </w:rPr>
        <w:t>“</w:t>
      </w:r>
      <w:r w:rsidR="00184449">
        <w:rPr>
          <w:lang w:val="es-ES"/>
        </w:rPr>
        <w:t xml:space="preserve">Asignación de inversiones aprobada del </w:t>
      </w:r>
      <w:r w:rsidRPr="00BB25AE">
        <w:rPr>
          <w:lang w:val="es-ES"/>
        </w:rPr>
        <w:t>Fondo Fiduciario de Beneficios Médicos</w:t>
      </w:r>
      <w:r w:rsidR="006A01DB">
        <w:rPr>
          <w:lang w:val="es-ES"/>
        </w:rPr>
        <w:t>”</w:t>
      </w:r>
      <w:r w:rsidR="006A06CA" w:rsidRPr="00BB25AE">
        <w:rPr>
          <w:lang w:val="es-ES"/>
        </w:rPr>
        <w:t xml:space="preserve">. </w:t>
      </w: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 xml:space="preserve">examinará y evaluará periódicamente este anexo teniendo en cuenta las recomendaciones y los consejos del </w:t>
      </w:r>
      <w:r w:rsidR="00F90F8C">
        <w:rPr>
          <w:lang w:val="es-ES"/>
        </w:rPr>
        <w:t>asesor financiero</w:t>
      </w:r>
      <w:r w:rsidR="00B43A6B">
        <w:rPr>
          <w:lang w:val="es-ES"/>
        </w:rPr>
        <w:t xml:space="preserve"> y lo actualizará según sea necesario.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346"/>
        </w:tabs>
        <w:spacing w:line="276" w:lineRule="auto"/>
        <w:ind w:left="140" w:right="137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B43A6B">
        <w:rPr>
          <w:lang w:val="es-ES"/>
        </w:rPr>
        <w:t xml:space="preserve">examinará, seleccionará y ajustará periódicamente inversiones específicas del Fondo de conformidad con la </w:t>
      </w:r>
      <w:r w:rsidR="00184449">
        <w:rPr>
          <w:lang w:val="es-ES"/>
        </w:rPr>
        <w:t xml:space="preserve">asignación </w:t>
      </w:r>
      <w:r w:rsidR="00B43A6B">
        <w:rPr>
          <w:lang w:val="es-ES"/>
        </w:rPr>
        <w:t xml:space="preserve">estratégica </w:t>
      </w:r>
      <w:r w:rsidR="00184449">
        <w:rPr>
          <w:lang w:val="es-ES"/>
        </w:rPr>
        <w:t>de activos</w:t>
      </w:r>
      <w:r w:rsidR="00B43A6B">
        <w:rPr>
          <w:lang w:val="es-ES"/>
        </w:rPr>
        <w:t xml:space="preserve"> antedicha</w:t>
      </w:r>
      <w:r w:rsidR="006A06CA" w:rsidRPr="00BB25AE">
        <w:rPr>
          <w:lang w:val="es-ES"/>
        </w:rPr>
        <w:t>, t</w:t>
      </w:r>
      <w:r w:rsidR="00B43A6B">
        <w:rPr>
          <w:lang w:val="es-ES"/>
        </w:rPr>
        <w:t xml:space="preserve">eniendo en cuenta las recomendaciones y los consejos del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F90F8C" w:rsidRDefault="00B43A6B" w:rsidP="00C57C4B">
      <w:pPr>
        <w:pStyle w:val="BodyText"/>
        <w:widowControl/>
        <w:numPr>
          <w:ilvl w:val="1"/>
          <w:numId w:val="5"/>
        </w:numPr>
        <w:tabs>
          <w:tab w:val="left" w:pos="416"/>
        </w:tabs>
        <w:spacing w:before="39" w:line="275" w:lineRule="auto"/>
        <w:ind w:right="158" w:firstLine="0"/>
        <w:jc w:val="both"/>
        <w:rPr>
          <w:lang w:val="es-ES"/>
        </w:rPr>
      </w:pPr>
      <w:r>
        <w:rPr>
          <w:lang w:val="es-ES"/>
        </w:rPr>
        <w:t>En la medida en que l</w:t>
      </w:r>
      <w:r w:rsidR="009B274C">
        <w:rPr>
          <w:lang w:val="es-ES"/>
        </w:rPr>
        <w:t>a cartera</w:t>
      </w:r>
      <w:r w:rsidR="006A06CA" w:rsidRPr="00F90F8C">
        <w:rPr>
          <w:lang w:val="es-ES"/>
        </w:rPr>
        <w:t xml:space="preserve"> </w:t>
      </w:r>
      <w:r>
        <w:rPr>
          <w:lang w:val="es-ES"/>
        </w:rPr>
        <w:t xml:space="preserve">incluya inversiones en valores no tradicionales, ilíquidos y no negociables, como capital de riesgo, fondos de cobertura e inversiones </w:t>
      </w:r>
      <w:r w:rsidR="00B9638A">
        <w:rPr>
          <w:lang w:val="es-ES"/>
        </w:rPr>
        <w:t>inmobiliarias</w:t>
      </w:r>
      <w:r w:rsidR="006A06CA" w:rsidRPr="00F90F8C">
        <w:rPr>
          <w:lang w:val="es-ES"/>
        </w:rPr>
        <w:t xml:space="preserve"> (exc</w:t>
      </w:r>
      <w:r w:rsidR="00B9638A">
        <w:rPr>
          <w:lang w:val="es-ES"/>
        </w:rPr>
        <w:t>epto las que formen parte de las tenencias en f</w:t>
      </w:r>
      <w:r w:rsidR="009B274C">
        <w:rPr>
          <w:lang w:val="es-ES"/>
        </w:rPr>
        <w:t>ondo</w:t>
      </w:r>
      <w:r w:rsidR="00B9638A">
        <w:rPr>
          <w:lang w:val="es-ES"/>
        </w:rPr>
        <w:t>s</w:t>
      </w:r>
      <w:r w:rsidR="009B274C">
        <w:rPr>
          <w:lang w:val="es-ES"/>
        </w:rPr>
        <w:t xml:space="preserve"> com</w:t>
      </w:r>
      <w:r w:rsidR="00B9638A">
        <w:rPr>
          <w:lang w:val="es-ES"/>
        </w:rPr>
        <w:t>unes</w:t>
      </w:r>
      <w:r w:rsidR="009B274C">
        <w:rPr>
          <w:lang w:val="es-ES"/>
        </w:rPr>
        <w:t xml:space="preserve"> de inversión</w:t>
      </w:r>
      <w:r w:rsidR="006A06CA" w:rsidRPr="00F90F8C">
        <w:rPr>
          <w:lang w:val="es-ES"/>
        </w:rPr>
        <w:t xml:space="preserve">), </w:t>
      </w:r>
      <w:r w:rsidR="00B9638A">
        <w:rPr>
          <w:lang w:val="es-ES"/>
        </w:rPr>
        <w:t xml:space="preserve">estos </w:t>
      </w:r>
      <w:r w:rsidR="00C57C4B" w:rsidRPr="00F90F8C">
        <w:rPr>
          <w:lang w:val="es-ES"/>
        </w:rPr>
        <w:t>activos</w:t>
      </w:r>
      <w:r w:rsidR="006A06CA" w:rsidRPr="00F90F8C">
        <w:rPr>
          <w:lang w:val="es-ES"/>
        </w:rPr>
        <w:t xml:space="preserve"> </w:t>
      </w:r>
      <w:r w:rsidR="00B9638A">
        <w:rPr>
          <w:lang w:val="es-ES"/>
        </w:rPr>
        <w:t>serán tratados colectivamente como inversiones alternativas a efectos de</w:t>
      </w:r>
      <w:r w:rsidR="005B0455">
        <w:rPr>
          <w:lang w:val="es-ES"/>
        </w:rPr>
        <w:t xml:space="preserve">l cálculo </w:t>
      </w:r>
      <w:r w:rsidR="00B9638A">
        <w:rPr>
          <w:lang w:val="es-ES"/>
        </w:rPr>
        <w:t xml:space="preserve">de la </w:t>
      </w:r>
      <w:r w:rsidR="00184449">
        <w:rPr>
          <w:lang w:val="es-ES"/>
        </w:rPr>
        <w:t>asignación de activos</w:t>
      </w:r>
      <w:r w:rsidR="00B9638A">
        <w:rPr>
          <w:lang w:val="es-ES"/>
        </w:rPr>
        <w:t xml:space="preserve"> de la cartera</w:t>
      </w:r>
      <w:r w:rsidR="006A06CA" w:rsidRPr="00F90F8C">
        <w:rPr>
          <w:lang w:val="es-ES"/>
        </w:rPr>
        <w:t>. S</w:t>
      </w:r>
      <w:r w:rsidR="00B9638A">
        <w:rPr>
          <w:lang w:val="es-ES"/>
        </w:rPr>
        <w:t xml:space="preserve">i se efectúan inversiones alternativas, no podrán representar más del </w:t>
      </w:r>
      <w:r w:rsidR="006A06CA" w:rsidRPr="00F90F8C">
        <w:rPr>
          <w:lang w:val="es-ES"/>
        </w:rPr>
        <w:t xml:space="preserve">5% </w:t>
      </w:r>
      <w:r w:rsidR="00B9638A">
        <w:rPr>
          <w:lang w:val="es-ES"/>
        </w:rPr>
        <w:t xml:space="preserve">del </w:t>
      </w:r>
      <w:r w:rsidR="006A06CA" w:rsidRPr="00F90F8C">
        <w:rPr>
          <w:lang w:val="es-ES"/>
        </w:rPr>
        <w:t xml:space="preserve">total </w:t>
      </w:r>
      <w:r w:rsidR="00B9638A">
        <w:rPr>
          <w:lang w:val="es-ES"/>
        </w:rPr>
        <w:t>de a</w:t>
      </w:r>
      <w:r w:rsidR="00184449">
        <w:rPr>
          <w:lang w:val="es-ES"/>
        </w:rPr>
        <w:t>ctivos en cartera</w:t>
      </w:r>
      <w:r w:rsidR="006A06CA" w:rsidRPr="00F90F8C">
        <w:rPr>
          <w:lang w:val="es-ES"/>
        </w:rPr>
        <w:t xml:space="preserve"> </w:t>
      </w:r>
      <w:r w:rsidR="00B9638A">
        <w:rPr>
          <w:lang w:val="es-ES"/>
        </w:rPr>
        <w:t xml:space="preserve">y, en la medida en que formen parte de las tenencias, reducirán proporcionalmente las asignaciones objetivo a las tres </w:t>
      </w:r>
      <w:r w:rsidR="0090510E">
        <w:rPr>
          <w:lang w:val="es-ES"/>
        </w:rPr>
        <w:t>clases de activos</w:t>
      </w:r>
      <w:r w:rsidR="006A06CA" w:rsidRPr="00F90F8C">
        <w:rPr>
          <w:lang w:val="es-ES"/>
        </w:rPr>
        <w:t xml:space="preserve"> </w:t>
      </w:r>
      <w:r w:rsidR="00B9638A">
        <w:rPr>
          <w:lang w:val="es-ES"/>
        </w:rPr>
        <w:t>principales indicadas anteriormente</w:t>
      </w:r>
      <w:r w:rsidR="006A06CA" w:rsidRPr="00F90F8C">
        <w:rPr>
          <w:lang w:val="es-ES"/>
        </w:rPr>
        <w:t>.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84449" w:rsidP="00C57C4B">
      <w:pPr>
        <w:pStyle w:val="Heading1"/>
        <w:widowControl/>
        <w:numPr>
          <w:ilvl w:val="0"/>
          <w:numId w:val="5"/>
        </w:numPr>
        <w:tabs>
          <w:tab w:val="left" w:pos="406"/>
        </w:tabs>
        <w:ind w:left="406" w:hanging="246"/>
        <w:rPr>
          <w:b w:val="0"/>
          <w:bCs w:val="0"/>
          <w:lang w:val="es-ES"/>
        </w:rPr>
      </w:pPr>
      <w:r>
        <w:rPr>
          <w:lang w:val="es-ES"/>
        </w:rPr>
        <w:t>Política de diversificación</w:t>
      </w:r>
    </w:p>
    <w:p w:rsidR="00026122" w:rsidRPr="00BB25AE" w:rsidRDefault="00026122" w:rsidP="00C57C4B">
      <w:pPr>
        <w:widowControl/>
        <w:spacing w:before="1"/>
        <w:rPr>
          <w:rFonts w:ascii="Calibri" w:eastAsia="Calibri" w:hAnsi="Calibri" w:cs="Calibri"/>
          <w:b/>
          <w:bCs/>
          <w:sz w:val="8"/>
          <w:szCs w:val="8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19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CE9F003" wp14:editId="45A972D0">
                <wp:extent cx="5995670" cy="13970"/>
                <wp:effectExtent l="0" t="0" r="5080" b="508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3970"/>
                          <a:chOff x="0" y="0"/>
                          <a:chExt cx="9442" cy="2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20" cy="2"/>
                            <a:chOff x="11" y="11"/>
                            <a:chExt cx="942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20"/>
                                <a:gd name="T2" fmla="+- 0 9431 1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01E5BF" id="Group 17" o:spid="_x0000_s1026" style="width:472.1pt;height:1.1pt;mso-position-horizontal-relative:char;mso-position-vertical-relative:line" coordsize="9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">
                <v:group id="Group 18" o:spid="_x0000_s1027" style="position:absolute;left:11;top:11;width:9420;height:2" coordorigin="11,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11;top: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" path="m,l9420,e" filled="f" strokecolor="#4f81bc" strokeweight="1.0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B9638A" w:rsidP="00C57C4B">
      <w:pPr>
        <w:pStyle w:val="BodyText"/>
        <w:widowControl/>
        <w:numPr>
          <w:ilvl w:val="1"/>
          <w:numId w:val="5"/>
        </w:numPr>
        <w:tabs>
          <w:tab w:val="left" w:pos="455"/>
        </w:tabs>
        <w:spacing w:before="55" w:line="276" w:lineRule="auto"/>
        <w:ind w:left="159" w:right="158" w:firstLine="1"/>
        <w:jc w:val="both"/>
        <w:rPr>
          <w:lang w:val="es-ES"/>
        </w:rPr>
      </w:pPr>
      <w:r>
        <w:rPr>
          <w:lang w:val="es-ES"/>
        </w:rPr>
        <w:t>La d</w:t>
      </w:r>
      <w:r w:rsidR="00BC0837">
        <w:rPr>
          <w:lang w:val="es-ES"/>
        </w:rPr>
        <w:t>iversificación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entre </w:t>
      </w:r>
      <w:r w:rsidR="0090510E">
        <w:rPr>
          <w:lang w:val="es-ES"/>
        </w:rPr>
        <w:t>clases de 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y dentro de </w:t>
      </w:r>
      <w:r w:rsidR="00A35D09">
        <w:rPr>
          <w:lang w:val="es-ES"/>
        </w:rPr>
        <w:t>cada clase</w:t>
      </w:r>
      <w:r>
        <w:rPr>
          <w:lang w:val="es-ES"/>
        </w:rPr>
        <w:t xml:space="preserve"> es el medio principal por el cual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e</w:t>
      </w:r>
      <w:r>
        <w:rPr>
          <w:lang w:val="es-ES"/>
        </w:rPr>
        <w:t xml:space="preserve">spera evitar que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corra un riesgo indebido de grandes pérdidas durante períodos prolongados. Para proteger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 w:rsidR="00A35D09">
        <w:rPr>
          <w:lang w:val="es-ES"/>
        </w:rPr>
        <w:t>frente a resu</w:t>
      </w:r>
      <w:r>
        <w:rPr>
          <w:lang w:val="es-ES"/>
        </w:rPr>
        <w:t xml:space="preserve">ltados desfavorables </w:t>
      </w:r>
      <w:r w:rsidR="00A35D09">
        <w:rPr>
          <w:lang w:val="es-ES"/>
        </w:rPr>
        <w:t xml:space="preserve">que puedan producirse </w:t>
      </w:r>
      <w:r>
        <w:rPr>
          <w:lang w:val="es-ES"/>
        </w:rPr>
        <w:t xml:space="preserve">en una clase de activos </w:t>
      </w:r>
      <w:r w:rsidR="00A35D09">
        <w:rPr>
          <w:lang w:val="es-ES"/>
        </w:rPr>
        <w:t xml:space="preserve">a raíz de </w:t>
      </w:r>
      <w:r>
        <w:rPr>
          <w:lang w:val="es-ES"/>
        </w:rPr>
        <w:t>la asunción de grandes riesgos</w:t>
      </w:r>
      <w:r w:rsidR="006A06CA" w:rsidRPr="00BB25AE">
        <w:rPr>
          <w:lang w:val="es-ES"/>
        </w:rPr>
        <w:t xml:space="preserve">,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tomará precauciones razonables para evitar concentraciones excesivas de inversiones. Específicamente, se aplicarán las siguientes directrices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B9638A" w:rsidP="00C57C4B">
      <w:pPr>
        <w:pStyle w:val="BodyText"/>
        <w:widowControl/>
        <w:numPr>
          <w:ilvl w:val="0"/>
          <w:numId w:val="4"/>
        </w:numPr>
        <w:tabs>
          <w:tab w:val="left" w:pos="409"/>
        </w:tabs>
        <w:spacing w:line="275" w:lineRule="auto"/>
        <w:ind w:right="158" w:firstLine="0"/>
        <w:jc w:val="both"/>
        <w:rPr>
          <w:lang w:val="es-ES"/>
        </w:rPr>
      </w:pPr>
      <w:r>
        <w:rPr>
          <w:lang w:val="es-ES"/>
        </w:rPr>
        <w:t>Excepto por las inversiones de renta fija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garantizadas explícitamente por el Gobierno de Estados Unidos</w:t>
      </w:r>
      <w:r w:rsidR="006A06CA" w:rsidRPr="00BB25AE">
        <w:rPr>
          <w:lang w:val="es-ES"/>
        </w:rPr>
        <w:t>, n</w:t>
      </w:r>
      <w:r>
        <w:rPr>
          <w:lang w:val="es-ES"/>
        </w:rPr>
        <w:t xml:space="preserve">ingún título de inversión </w:t>
      </w:r>
      <w:r w:rsidR="006A06CA" w:rsidRPr="00BB25AE">
        <w:rPr>
          <w:lang w:val="es-ES"/>
        </w:rPr>
        <w:t>(exclu</w:t>
      </w:r>
      <w:r w:rsidR="00066386">
        <w:rPr>
          <w:lang w:val="es-ES"/>
        </w:rPr>
        <w:t xml:space="preserve">idos los </w:t>
      </w:r>
      <w:r w:rsidR="00184449">
        <w:rPr>
          <w:lang w:val="es-ES"/>
        </w:rPr>
        <w:t>fondos comunes de inversión</w:t>
      </w:r>
      <w:r w:rsidR="00066386">
        <w:rPr>
          <w:lang w:val="es-ES"/>
        </w:rPr>
        <w:t xml:space="preserve"> diversificados</w:t>
      </w:r>
      <w:r w:rsidR="006A06CA" w:rsidRPr="00BB25AE">
        <w:rPr>
          <w:lang w:val="es-ES"/>
        </w:rPr>
        <w:t xml:space="preserve">) </w:t>
      </w:r>
      <w:r w:rsidR="00066386">
        <w:rPr>
          <w:lang w:val="es-ES"/>
        </w:rPr>
        <w:t xml:space="preserve">podrá representar más del </w:t>
      </w:r>
      <w:r w:rsidR="006A06CA" w:rsidRPr="00BB25AE">
        <w:rPr>
          <w:lang w:val="es-ES"/>
        </w:rPr>
        <w:t xml:space="preserve">5% </w:t>
      </w:r>
      <w:r w:rsidR="00066386">
        <w:rPr>
          <w:lang w:val="es-ES"/>
        </w:rPr>
        <w:t xml:space="preserve">del </w:t>
      </w:r>
      <w:r w:rsidR="006A06CA" w:rsidRPr="00BB25AE">
        <w:rPr>
          <w:lang w:val="es-ES"/>
        </w:rPr>
        <w:t xml:space="preserve">total </w:t>
      </w:r>
      <w:r w:rsidR="00066386">
        <w:rPr>
          <w:lang w:val="es-ES"/>
        </w:rPr>
        <w:t>de a</w:t>
      </w:r>
      <w:r w:rsidR="00184449">
        <w:rPr>
          <w:lang w:val="es-ES"/>
        </w:rPr>
        <w:t>ctivos en cartera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066386" w:rsidP="00C57C4B">
      <w:pPr>
        <w:pStyle w:val="BodyText"/>
        <w:widowControl/>
        <w:numPr>
          <w:ilvl w:val="0"/>
          <w:numId w:val="4"/>
        </w:numPr>
        <w:tabs>
          <w:tab w:val="left" w:pos="505"/>
        </w:tabs>
        <w:spacing w:line="276" w:lineRule="auto"/>
        <w:ind w:right="159" w:firstLine="0"/>
        <w:jc w:val="both"/>
        <w:rPr>
          <w:lang w:val="es-ES"/>
        </w:rPr>
      </w:pPr>
      <w:r>
        <w:rPr>
          <w:lang w:val="es-ES"/>
        </w:rPr>
        <w:t>Excepto por los vehículos de inversión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administrados de forma pasiva con el fin de obtener un rendimiento equivalente al de un índice de mercado ampliamente diversificado, ningún fondo de inversión</w:t>
      </w:r>
      <w:r w:rsidR="006A06CA" w:rsidRPr="00BB25AE">
        <w:rPr>
          <w:lang w:val="es-ES"/>
        </w:rPr>
        <w:t xml:space="preserve"> o </w:t>
      </w:r>
      <w:r w:rsidR="009B274C">
        <w:rPr>
          <w:lang w:val="es-ES"/>
        </w:rPr>
        <w:t>fondo común de inversión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podrá representar más del </w:t>
      </w:r>
      <w:r w:rsidR="006A06CA" w:rsidRPr="00BB25AE">
        <w:rPr>
          <w:lang w:val="es-ES"/>
        </w:rPr>
        <w:t xml:space="preserve">20% </w:t>
      </w:r>
      <w:r>
        <w:rPr>
          <w:lang w:val="es-ES"/>
        </w:rPr>
        <w:t>del</w:t>
      </w:r>
      <w:r w:rsidR="006A06CA" w:rsidRPr="00BB25AE">
        <w:rPr>
          <w:lang w:val="es-ES"/>
        </w:rPr>
        <w:t xml:space="preserve"> total </w:t>
      </w:r>
      <w:r>
        <w:rPr>
          <w:lang w:val="es-ES"/>
        </w:rPr>
        <w:t>de a</w:t>
      </w:r>
      <w:r w:rsidR="00184449">
        <w:rPr>
          <w:lang w:val="es-ES"/>
        </w:rPr>
        <w:t>ctivos en cartera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066386" w:rsidP="00C57C4B">
      <w:pPr>
        <w:pStyle w:val="BodyText"/>
        <w:widowControl/>
        <w:numPr>
          <w:ilvl w:val="0"/>
          <w:numId w:val="4"/>
        </w:numPr>
        <w:tabs>
          <w:tab w:val="left" w:pos="415"/>
        </w:tabs>
        <w:spacing w:line="276" w:lineRule="auto"/>
        <w:ind w:right="158" w:firstLine="0"/>
        <w:jc w:val="both"/>
        <w:rPr>
          <w:lang w:val="es-ES"/>
        </w:rPr>
      </w:pPr>
      <w:r>
        <w:rPr>
          <w:lang w:val="es-ES"/>
        </w:rPr>
        <w:t xml:space="preserve">Con respecto a las </w:t>
      </w:r>
      <w:r w:rsidR="00B9638A">
        <w:rPr>
          <w:lang w:val="es-ES"/>
        </w:rPr>
        <w:t>inversiones de renta fija</w:t>
      </w:r>
      <w:r>
        <w:rPr>
          <w:lang w:val="es-ES"/>
        </w:rPr>
        <w:t xml:space="preserve"> </w:t>
      </w:r>
      <w:r w:rsidR="0093529A">
        <w:rPr>
          <w:lang w:val="es-ES"/>
        </w:rPr>
        <w:t xml:space="preserve">de </w:t>
      </w:r>
      <w:r>
        <w:rPr>
          <w:lang w:val="es-ES"/>
        </w:rPr>
        <w:t xml:space="preserve">los </w:t>
      </w:r>
      <w:r w:rsidR="00184449">
        <w:rPr>
          <w:lang w:val="es-ES"/>
        </w:rPr>
        <w:t>fondos comunes de inversión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su clasificación crediticia deberá ser de grado apto para inversión </w:t>
      </w:r>
      <w:r w:rsidR="006A06CA" w:rsidRPr="00BB25AE">
        <w:rPr>
          <w:lang w:val="es-ES"/>
        </w:rPr>
        <w:t>(</w:t>
      </w:r>
      <w:proofErr w:type="spellStart"/>
      <w:r w:rsidR="0093529A">
        <w:rPr>
          <w:lang w:val="es-ES"/>
        </w:rPr>
        <w:t>BBB</w:t>
      </w:r>
      <w:proofErr w:type="spellEnd"/>
      <w:r w:rsidR="0093529A">
        <w:rPr>
          <w:lang w:val="es-ES"/>
        </w:rPr>
        <w:t xml:space="preserve"> de </w:t>
      </w:r>
      <w:r w:rsidR="006A06CA" w:rsidRPr="00BB25AE">
        <w:rPr>
          <w:lang w:val="es-ES"/>
        </w:rPr>
        <w:t xml:space="preserve">Standard &amp; </w:t>
      </w:r>
      <w:proofErr w:type="spellStart"/>
      <w:r w:rsidR="006A06CA" w:rsidRPr="00BB25AE">
        <w:rPr>
          <w:lang w:val="es-ES"/>
        </w:rPr>
        <w:t>Poor’s</w:t>
      </w:r>
      <w:proofErr w:type="spellEnd"/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o </w:t>
      </w:r>
      <w:proofErr w:type="spellStart"/>
      <w:r w:rsidR="0093529A">
        <w:rPr>
          <w:lang w:val="es-ES"/>
        </w:rPr>
        <w:t>Baa</w:t>
      </w:r>
      <w:proofErr w:type="spellEnd"/>
      <w:r w:rsidR="0093529A">
        <w:rPr>
          <w:lang w:val="es-ES"/>
        </w:rPr>
        <w:t xml:space="preserve"> o superior de </w:t>
      </w:r>
      <w:proofErr w:type="spellStart"/>
      <w:r w:rsidR="006A06CA" w:rsidRPr="00BB25AE">
        <w:rPr>
          <w:lang w:val="es-ES"/>
        </w:rPr>
        <w:t>Moody’s</w:t>
      </w:r>
      <w:proofErr w:type="spellEnd"/>
      <w:r w:rsidR="006A06CA" w:rsidRPr="00BB25AE">
        <w:rPr>
          <w:lang w:val="es-ES"/>
        </w:rPr>
        <w:t xml:space="preserve">). </w:t>
      </w:r>
      <w:r w:rsidR="0093529A">
        <w:rPr>
          <w:lang w:val="es-ES"/>
        </w:rPr>
        <w:t xml:space="preserve">Es aceptable que un </w:t>
      </w:r>
      <w:r w:rsidR="009B274C">
        <w:rPr>
          <w:lang w:val="es-ES"/>
        </w:rPr>
        <w:t>fondo común de inversión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tenga inversiones de menor grado solo si </w:t>
      </w:r>
      <w:r w:rsidR="00A35D09">
        <w:rPr>
          <w:lang w:val="es-ES"/>
        </w:rPr>
        <w:t>su</w:t>
      </w:r>
      <w:r w:rsidR="0093529A">
        <w:rPr>
          <w:lang w:val="es-ES"/>
        </w:rPr>
        <w:t xml:space="preserve"> política consist</w:t>
      </w:r>
      <w:r w:rsidR="00A35D09">
        <w:rPr>
          <w:lang w:val="es-ES"/>
        </w:rPr>
        <w:t>e</w:t>
      </w:r>
      <w:r w:rsidR="0093529A">
        <w:rPr>
          <w:lang w:val="es-ES"/>
        </w:rPr>
        <w:t xml:space="preserve"> en reducir al mínimo las tenencias de ese tipo con el tiempo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93529A" w:rsidP="00C57C4B">
      <w:pPr>
        <w:pStyle w:val="BodyText"/>
        <w:widowControl/>
        <w:numPr>
          <w:ilvl w:val="0"/>
          <w:numId w:val="4"/>
        </w:numPr>
        <w:tabs>
          <w:tab w:val="left" w:pos="458"/>
        </w:tabs>
        <w:spacing w:line="276" w:lineRule="auto"/>
        <w:ind w:right="159" w:firstLine="0"/>
        <w:jc w:val="both"/>
        <w:rPr>
          <w:lang w:val="es-ES"/>
        </w:rPr>
      </w:pPr>
      <w:r>
        <w:rPr>
          <w:lang w:val="es-ES"/>
        </w:rPr>
        <w:t xml:space="preserve">Con respecto a las </w:t>
      </w:r>
      <w:r w:rsidR="00B9638A">
        <w:rPr>
          <w:lang w:val="es-ES"/>
        </w:rPr>
        <w:t>inversiones de renta fija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todas las inversiones deberán efectuarse por medio de </w:t>
      </w:r>
      <w:r w:rsidR="00184449">
        <w:rPr>
          <w:lang w:val="es-ES"/>
        </w:rPr>
        <w:t>fondos comunes de inversión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 xml:space="preserve">Si </w:t>
      </w:r>
      <w:r w:rsidR="00FD3DB2" w:rsidRPr="00BB25AE">
        <w:rPr>
          <w:lang w:val="es-ES"/>
        </w:rPr>
        <w:t>el Fondo Fiduciario</w:t>
      </w:r>
      <w:r w:rsidR="006A06CA" w:rsidRPr="00BB25AE">
        <w:rPr>
          <w:lang w:val="es-ES"/>
        </w:rPr>
        <w:t xml:space="preserve"> a</w:t>
      </w:r>
      <w:r>
        <w:rPr>
          <w:lang w:val="es-ES"/>
        </w:rPr>
        <w:t xml:space="preserve">dquiere bonos </w:t>
      </w:r>
      <w:r w:rsidR="006A06CA" w:rsidRPr="00BB25AE">
        <w:rPr>
          <w:lang w:val="es-ES"/>
        </w:rPr>
        <w:t>individual</w:t>
      </w:r>
      <w:r>
        <w:rPr>
          <w:lang w:val="es-ES"/>
        </w:rPr>
        <w:t>es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>la clasificación crediticia promedio de estas inversiones deberá ser</w:t>
      </w:r>
      <w:r w:rsidR="00A35D09">
        <w:rPr>
          <w:lang w:val="es-ES"/>
        </w:rPr>
        <w:t>, como mínimo, d</w:t>
      </w:r>
      <w:r>
        <w:rPr>
          <w:lang w:val="es-ES"/>
        </w:rPr>
        <w:t xml:space="preserve">e grado apto para inversión </w:t>
      </w:r>
      <w:r w:rsidR="006A06CA" w:rsidRPr="00BB25AE">
        <w:rPr>
          <w:lang w:val="es-ES"/>
        </w:rPr>
        <w:t>(</w:t>
      </w:r>
      <w:proofErr w:type="spellStart"/>
      <w:r w:rsidRPr="0093529A">
        <w:rPr>
          <w:lang w:val="es-ES"/>
        </w:rPr>
        <w:t>BBB</w:t>
      </w:r>
      <w:proofErr w:type="spellEnd"/>
      <w:r w:rsidRPr="0093529A">
        <w:rPr>
          <w:lang w:val="es-ES"/>
        </w:rPr>
        <w:t xml:space="preserve"> de Standard &amp; </w:t>
      </w:r>
      <w:proofErr w:type="spellStart"/>
      <w:r w:rsidRPr="0093529A">
        <w:rPr>
          <w:lang w:val="es-ES"/>
        </w:rPr>
        <w:t>Poor’s</w:t>
      </w:r>
      <w:proofErr w:type="spellEnd"/>
      <w:r w:rsidRPr="0093529A">
        <w:rPr>
          <w:lang w:val="es-ES"/>
        </w:rPr>
        <w:t xml:space="preserve"> o </w:t>
      </w:r>
      <w:proofErr w:type="spellStart"/>
      <w:r w:rsidRPr="0093529A">
        <w:rPr>
          <w:lang w:val="es-ES"/>
        </w:rPr>
        <w:t>Baa</w:t>
      </w:r>
      <w:proofErr w:type="spellEnd"/>
      <w:r w:rsidRPr="0093529A">
        <w:rPr>
          <w:lang w:val="es-ES"/>
        </w:rPr>
        <w:t xml:space="preserve"> o superior de </w:t>
      </w:r>
      <w:proofErr w:type="spellStart"/>
      <w:r w:rsidRPr="0093529A">
        <w:rPr>
          <w:lang w:val="es-ES"/>
        </w:rPr>
        <w:t>Moody’s</w:t>
      </w:r>
      <w:proofErr w:type="spellEnd"/>
      <w:r w:rsidR="006A06CA" w:rsidRPr="00BB25AE">
        <w:rPr>
          <w:lang w:val="es-ES"/>
        </w:rPr>
        <w:t>).</w:t>
      </w:r>
    </w:p>
    <w:p w:rsidR="00026122" w:rsidRPr="00BB25AE" w:rsidRDefault="00026122" w:rsidP="00C57C4B">
      <w:pPr>
        <w:widowControl/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84449" w:rsidP="00C57C4B">
      <w:pPr>
        <w:pStyle w:val="Heading1"/>
        <w:widowControl/>
        <w:numPr>
          <w:ilvl w:val="0"/>
          <w:numId w:val="5"/>
        </w:numPr>
        <w:tabs>
          <w:tab w:val="left" w:pos="455"/>
        </w:tabs>
        <w:ind w:left="454" w:hanging="294"/>
        <w:jc w:val="both"/>
        <w:rPr>
          <w:b w:val="0"/>
          <w:bCs w:val="0"/>
          <w:lang w:val="es-ES"/>
        </w:rPr>
      </w:pPr>
      <w:r>
        <w:rPr>
          <w:lang w:val="es-ES"/>
        </w:rPr>
        <w:t>Reequilibrio</w:t>
      </w:r>
    </w:p>
    <w:p w:rsidR="00026122" w:rsidRPr="00BB25AE" w:rsidRDefault="00026122" w:rsidP="00C57C4B">
      <w:pPr>
        <w:widowControl/>
        <w:spacing w:before="1"/>
        <w:rPr>
          <w:rFonts w:ascii="Calibri" w:eastAsia="Calibri" w:hAnsi="Calibri" w:cs="Calibri"/>
          <w:b/>
          <w:bCs/>
          <w:sz w:val="8"/>
          <w:szCs w:val="8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19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A67998" wp14:editId="5D938280">
                <wp:extent cx="5995670" cy="13970"/>
                <wp:effectExtent l="0" t="0" r="5080" b="508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3970"/>
                          <a:chOff x="0" y="0"/>
                          <a:chExt cx="9442" cy="2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20" cy="2"/>
                            <a:chOff x="11" y="11"/>
                            <a:chExt cx="942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20"/>
                                <a:gd name="T2" fmla="+- 0 9431 1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AB983C" id="Group 14" o:spid="_x0000_s1026" style="width:472.1pt;height:1.1pt;mso-position-horizontal-relative:char;mso-position-vertical-relative:line" coordsize="9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">
                <v:group id="Group 15" o:spid="_x0000_s1027" style="position:absolute;left:11;top:11;width:9420;height:2" coordorigin="11,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11;top: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" path="m,l9420,e" filled="f" strokecolor="#4f81bc" strokeweight="1.0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FD3DB2" w:rsidP="00C57C4B">
      <w:pPr>
        <w:pStyle w:val="BodyText"/>
        <w:widowControl/>
        <w:spacing w:before="55" w:line="276" w:lineRule="auto"/>
        <w:ind w:right="158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reconoce que la </w:t>
      </w:r>
      <w:r w:rsidR="00184449">
        <w:rPr>
          <w:lang w:val="es-ES"/>
        </w:rPr>
        <w:t xml:space="preserve">asignación </w:t>
      </w:r>
      <w:r w:rsidR="0093529A">
        <w:rPr>
          <w:lang w:val="es-ES"/>
        </w:rPr>
        <w:t xml:space="preserve">real </w:t>
      </w:r>
      <w:r w:rsidR="00184449">
        <w:rPr>
          <w:lang w:val="es-ES"/>
        </w:rPr>
        <w:t>de activos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de la cartera posiblemente difiera de la </w:t>
      </w:r>
      <w:r w:rsidR="00184449">
        <w:rPr>
          <w:lang w:val="es-ES"/>
        </w:rPr>
        <w:t xml:space="preserve">asignación </w:t>
      </w:r>
      <w:r w:rsidR="0093529A">
        <w:rPr>
          <w:lang w:val="es-ES"/>
        </w:rPr>
        <w:t xml:space="preserve">objetivo como consecuencia </w:t>
      </w:r>
      <w:r w:rsidR="00184449">
        <w:rPr>
          <w:lang w:val="es-ES"/>
        </w:rPr>
        <w:t xml:space="preserve">de </w:t>
      </w:r>
      <w:r w:rsidR="0093529A">
        <w:rPr>
          <w:lang w:val="es-ES"/>
        </w:rPr>
        <w:t xml:space="preserve">las variaciones del rendimiento periódico de sus inversiones en diferentes clases y subclases de </w:t>
      </w:r>
      <w:r w:rsidR="0090510E">
        <w:rPr>
          <w:lang w:val="es-ES"/>
        </w:rPr>
        <w:t>activos</w:t>
      </w:r>
      <w:r w:rsidR="006A06CA" w:rsidRPr="00BB25AE">
        <w:rPr>
          <w:lang w:val="es-ES"/>
        </w:rPr>
        <w:t xml:space="preserve">. </w:t>
      </w:r>
      <w:r w:rsidR="0093529A">
        <w:rPr>
          <w:lang w:val="es-ES"/>
        </w:rPr>
        <w:t>La finalidad del</w:t>
      </w:r>
      <w:r w:rsidR="006A06CA" w:rsidRPr="00BB25AE">
        <w:rPr>
          <w:lang w:val="es-ES"/>
        </w:rPr>
        <w:t xml:space="preserve">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>e</w:t>
      </w:r>
      <w:r w:rsidR="006A06CA" w:rsidRPr="00BB25AE">
        <w:rPr>
          <w:lang w:val="es-ES"/>
        </w:rPr>
        <w:t xml:space="preserve">s </w:t>
      </w:r>
      <w:r w:rsidR="0093529A">
        <w:rPr>
          <w:lang w:val="es-ES"/>
        </w:rPr>
        <w:t>restablecer el valor de l</w:t>
      </w:r>
      <w:r w:rsidR="008C302D">
        <w:rPr>
          <w:lang w:val="es-ES"/>
        </w:rPr>
        <w:t>as inversiones de acuerdo con l</w:t>
      </w:r>
      <w:r w:rsidR="0093529A">
        <w:rPr>
          <w:lang w:val="es-ES"/>
        </w:rPr>
        <w:t xml:space="preserve">os objetivos seleccionados para la </w:t>
      </w:r>
      <w:r w:rsidR="00184449">
        <w:rPr>
          <w:lang w:val="es-ES"/>
        </w:rPr>
        <w:t>asignación de activos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>del Plan. El r</w:t>
      </w:r>
      <w:r w:rsidR="00184449">
        <w:rPr>
          <w:lang w:val="es-ES"/>
        </w:rPr>
        <w:t>eequilibrio</w:t>
      </w:r>
      <w:r w:rsidR="006A06CA" w:rsidRPr="00BB25AE">
        <w:rPr>
          <w:lang w:val="es-ES"/>
        </w:rPr>
        <w:t xml:space="preserve"> i</w:t>
      </w:r>
      <w:r w:rsidR="0093529A">
        <w:rPr>
          <w:lang w:val="es-ES"/>
        </w:rPr>
        <w:t xml:space="preserve">mplica la venta de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>que hayan tenido un desempeño superior al previsto y la compra de activos que hayan tenido un desempeño inferior al previsto. Para reequilibrar l</w:t>
      </w:r>
      <w:r w:rsidR="009B274C">
        <w:rPr>
          <w:lang w:val="es-ES"/>
        </w:rPr>
        <w:t>a cartera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a fin de que la </w:t>
      </w:r>
      <w:r w:rsidR="00184449">
        <w:rPr>
          <w:lang w:val="es-ES"/>
        </w:rPr>
        <w:t>asignación de activos</w:t>
      </w:r>
      <w:r w:rsidR="006A06CA" w:rsidRPr="00BB25AE">
        <w:rPr>
          <w:lang w:val="es-ES"/>
        </w:rPr>
        <w:t xml:space="preserve"> </w:t>
      </w:r>
      <w:r w:rsidR="008C302D">
        <w:rPr>
          <w:lang w:val="es-ES"/>
        </w:rPr>
        <w:t xml:space="preserve">concuerde </w:t>
      </w:r>
      <w:r w:rsidR="0093529A">
        <w:rPr>
          <w:lang w:val="es-ES"/>
        </w:rPr>
        <w:t xml:space="preserve">con los objetivos, se </w:t>
      </w:r>
      <w:proofErr w:type="gramStart"/>
      <w:r w:rsidR="008C302D">
        <w:rPr>
          <w:lang w:val="es-ES"/>
        </w:rPr>
        <w:t>seguir</w:t>
      </w:r>
      <w:r w:rsidR="0093529A">
        <w:rPr>
          <w:lang w:val="es-ES"/>
        </w:rPr>
        <w:t>án</w:t>
      </w:r>
      <w:proofErr w:type="gramEnd"/>
      <w:r w:rsidR="0093529A">
        <w:rPr>
          <w:lang w:val="es-ES"/>
        </w:rPr>
        <w:t xml:space="preserve"> los siguientes procedimientos: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400"/>
        </w:tabs>
        <w:spacing w:line="275" w:lineRule="auto"/>
        <w:ind w:left="159" w:right="157" w:firstLine="0"/>
        <w:jc w:val="both"/>
        <w:rPr>
          <w:lang w:val="es-ES"/>
        </w:rPr>
      </w:pPr>
      <w:r w:rsidRPr="00BB25AE">
        <w:rPr>
          <w:lang w:val="es-ES"/>
        </w:rPr>
        <w:t>La SG/OEA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>y</w:t>
      </w:r>
      <w:r w:rsidR="006A06CA" w:rsidRPr="00BB25AE">
        <w:rPr>
          <w:lang w:val="es-ES"/>
        </w:rPr>
        <w:t xml:space="preserve"> </w:t>
      </w:r>
      <w:r w:rsidR="009B274C">
        <w:rPr>
          <w:lang w:val="es-ES"/>
        </w:rPr>
        <w:t>el administrador del Fondo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usarán las entradas de efectivo </w:t>
      </w:r>
      <w:r w:rsidR="006A06CA" w:rsidRPr="00BB25AE">
        <w:rPr>
          <w:lang w:val="es-ES"/>
        </w:rPr>
        <w:t>(</w:t>
      </w:r>
      <w:r w:rsidR="0093529A">
        <w:rPr>
          <w:lang w:val="es-ES"/>
        </w:rPr>
        <w:t>contribuciones</w:t>
      </w:r>
      <w:r w:rsidR="006A06CA" w:rsidRPr="00BB25AE">
        <w:rPr>
          <w:lang w:val="es-ES"/>
        </w:rPr>
        <w:t>) o</w:t>
      </w:r>
      <w:r w:rsidR="0093529A">
        <w:rPr>
          <w:lang w:val="es-ES"/>
        </w:rPr>
        <w:t xml:space="preserve"> las salidas de dinero </w:t>
      </w:r>
      <w:r w:rsidR="006A06CA" w:rsidRPr="00BB25AE">
        <w:rPr>
          <w:lang w:val="es-ES"/>
        </w:rPr>
        <w:t>(d</w:t>
      </w:r>
      <w:r w:rsidR="0093529A">
        <w:rPr>
          <w:lang w:val="es-ES"/>
        </w:rPr>
        <w:t>esembolsos</w:t>
      </w:r>
      <w:r w:rsidR="006A06CA" w:rsidRPr="00BB25AE">
        <w:rPr>
          <w:lang w:val="es-ES"/>
        </w:rPr>
        <w:t xml:space="preserve">) </w:t>
      </w:r>
      <w:r w:rsidR="0093529A">
        <w:rPr>
          <w:lang w:val="es-ES"/>
        </w:rPr>
        <w:t>de</w:t>
      </w:r>
      <w:r w:rsidR="006A06CA" w:rsidRPr="00BB25AE">
        <w:rPr>
          <w:lang w:val="es-ES"/>
        </w:rPr>
        <w:t xml:space="preserve">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 w:rsidR="0093529A">
        <w:rPr>
          <w:lang w:val="es-ES"/>
        </w:rPr>
        <w:t xml:space="preserve">para realinear </w:t>
      </w:r>
      <w:r w:rsidR="001B0A15">
        <w:rPr>
          <w:lang w:val="es-ES"/>
        </w:rPr>
        <w:t xml:space="preserve">mejor </w:t>
      </w:r>
      <w:r w:rsidR="0093529A">
        <w:rPr>
          <w:lang w:val="es-ES"/>
        </w:rPr>
        <w:t>las ponderaciones</w:t>
      </w:r>
      <w:r w:rsidR="001B0A15">
        <w:rPr>
          <w:lang w:val="es-ES"/>
        </w:rPr>
        <w:t xml:space="preserve"> actuales con las ponderaciones objetivo para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6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Default="001B0A15" w:rsidP="00C57C4B">
      <w:pPr>
        <w:pStyle w:val="BodyText"/>
        <w:widowControl/>
        <w:numPr>
          <w:ilvl w:val="1"/>
          <w:numId w:val="5"/>
        </w:numPr>
        <w:tabs>
          <w:tab w:val="left" w:pos="375"/>
        </w:tabs>
        <w:spacing w:line="275" w:lineRule="auto"/>
        <w:ind w:left="159" w:right="159" w:firstLine="0"/>
        <w:jc w:val="both"/>
        <w:rPr>
          <w:lang w:val="es-ES"/>
        </w:rPr>
      </w:pPr>
      <w:r>
        <w:rPr>
          <w:lang w:val="es-ES"/>
        </w:rPr>
        <w:t>El</w:t>
      </w:r>
      <w:r w:rsidR="006A06CA" w:rsidRPr="00BB25AE">
        <w:rPr>
          <w:lang w:val="es-ES"/>
        </w:rPr>
        <w:t xml:space="preserve">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examinará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por lo menos trimestralmente</w:t>
      </w:r>
      <w:r w:rsidR="006A06CA" w:rsidRPr="00BB25AE">
        <w:rPr>
          <w:lang w:val="es-ES"/>
        </w:rPr>
        <w:t xml:space="preserve"> (</w:t>
      </w:r>
      <w:r w:rsidR="008C302D">
        <w:rPr>
          <w:lang w:val="es-ES"/>
        </w:rPr>
        <w:t xml:space="preserve">el </w:t>
      </w:r>
      <w:r w:rsidR="006A06CA" w:rsidRPr="00BB25AE">
        <w:rPr>
          <w:lang w:val="es-ES"/>
        </w:rPr>
        <w:t>31</w:t>
      </w:r>
      <w:r>
        <w:rPr>
          <w:lang w:val="es-ES"/>
        </w:rPr>
        <w:t xml:space="preserve"> de marzo</w:t>
      </w:r>
      <w:r w:rsidR="006A06CA" w:rsidRPr="00BB25AE">
        <w:rPr>
          <w:lang w:val="es-ES"/>
        </w:rPr>
        <w:t xml:space="preserve">, </w:t>
      </w:r>
      <w:r w:rsidR="008C302D">
        <w:rPr>
          <w:lang w:val="es-ES"/>
        </w:rPr>
        <w:t xml:space="preserve">el </w:t>
      </w:r>
      <w:r w:rsidR="006A06CA" w:rsidRPr="00BB25AE">
        <w:rPr>
          <w:lang w:val="es-ES"/>
        </w:rPr>
        <w:t>30</w:t>
      </w:r>
      <w:r>
        <w:rPr>
          <w:lang w:val="es-ES"/>
        </w:rPr>
        <w:t xml:space="preserve"> de junio</w:t>
      </w:r>
      <w:r w:rsidR="006A06CA" w:rsidRPr="00BB25AE">
        <w:rPr>
          <w:lang w:val="es-ES"/>
        </w:rPr>
        <w:t xml:space="preserve">, </w:t>
      </w:r>
      <w:r w:rsidR="008C302D">
        <w:rPr>
          <w:lang w:val="es-ES"/>
        </w:rPr>
        <w:t xml:space="preserve">el </w:t>
      </w:r>
      <w:r w:rsidR="006A06CA" w:rsidRPr="00BB25AE">
        <w:rPr>
          <w:lang w:val="es-ES"/>
        </w:rPr>
        <w:t xml:space="preserve">30 </w:t>
      </w:r>
      <w:r>
        <w:rPr>
          <w:lang w:val="es-ES"/>
        </w:rPr>
        <w:t xml:space="preserve">de septiembre y </w:t>
      </w:r>
      <w:r w:rsidR="008C302D">
        <w:rPr>
          <w:lang w:val="es-ES"/>
        </w:rPr>
        <w:t xml:space="preserve">el </w:t>
      </w:r>
      <w:r w:rsidR="006A06CA" w:rsidRPr="00BB25AE">
        <w:rPr>
          <w:lang w:val="es-ES"/>
        </w:rPr>
        <w:t>31</w:t>
      </w:r>
      <w:r>
        <w:rPr>
          <w:lang w:val="es-ES"/>
        </w:rPr>
        <w:t xml:space="preserve"> de diciembre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>para</w:t>
      </w:r>
      <w:r w:rsidR="006A06CA" w:rsidRPr="00BB25AE">
        <w:rPr>
          <w:lang w:val="es-ES"/>
        </w:rPr>
        <w:t xml:space="preserve"> determin</w:t>
      </w:r>
      <w:r>
        <w:rPr>
          <w:lang w:val="es-ES"/>
        </w:rPr>
        <w:t>ar las desviaciones respecto de las ponderaciones objetivo. En cada examen semestral se aplicarán los siguientes parámetros</w:t>
      </w:r>
      <w:r w:rsidR="006A06CA" w:rsidRPr="00BB25AE">
        <w:rPr>
          <w:lang w:val="es-ES"/>
        </w:rPr>
        <w:t>:</w:t>
      </w:r>
    </w:p>
    <w:p w:rsidR="00174708" w:rsidRPr="00174708" w:rsidRDefault="00174708" w:rsidP="00174708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72977" w:rsidP="00C57C4B">
      <w:pPr>
        <w:pStyle w:val="BodyText"/>
        <w:widowControl/>
        <w:numPr>
          <w:ilvl w:val="0"/>
          <w:numId w:val="3"/>
        </w:numPr>
        <w:tabs>
          <w:tab w:val="left" w:pos="429"/>
        </w:tabs>
        <w:spacing w:before="39" w:line="276" w:lineRule="auto"/>
        <w:ind w:right="157" w:firstLine="0"/>
        <w:jc w:val="both"/>
        <w:rPr>
          <w:lang w:val="es-ES"/>
        </w:rPr>
      </w:pPr>
      <w:r>
        <w:rPr>
          <w:lang w:val="es-ES"/>
        </w:rPr>
        <w:t xml:space="preserve">Si una clase de activos </w:t>
      </w:r>
      <w:r w:rsidR="006A06CA" w:rsidRPr="00BB25AE">
        <w:rPr>
          <w:lang w:val="es-ES"/>
        </w:rPr>
        <w:t>(</w:t>
      </w:r>
      <w:r>
        <w:rPr>
          <w:lang w:val="es-ES"/>
        </w:rPr>
        <w:t>de renta variable o de renta fija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de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está tres puntos porcentuales por encima o por debajo de su ponderación objetivo, se reequilibrará la </w:t>
      </w:r>
      <w:r w:rsidR="009B274C">
        <w:rPr>
          <w:lang w:val="es-ES"/>
        </w:rPr>
        <w:t>cartera</w:t>
      </w:r>
      <w:r w:rsidR="006A06CA" w:rsidRPr="00BB25AE">
        <w:rPr>
          <w:lang w:val="es-ES"/>
        </w:rPr>
        <w:t xml:space="preserve">. </w:t>
      </w:r>
      <w:r w:rsidR="00D85237">
        <w:rPr>
          <w:lang w:val="es-ES"/>
        </w:rPr>
        <w:t xml:space="preserve">Todo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 w:rsidR="00D85237">
        <w:rPr>
          <w:lang w:val="es-ES"/>
        </w:rPr>
        <w:t xml:space="preserve">abarcará también un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 w:rsidR="00E601CC">
        <w:rPr>
          <w:lang w:val="es-ES"/>
        </w:rPr>
        <w:t xml:space="preserve">de los fondos incluidos en la clase de activos </w:t>
      </w:r>
      <w:r w:rsidR="006A06CA" w:rsidRPr="00BB25AE">
        <w:rPr>
          <w:lang w:val="es-ES"/>
        </w:rPr>
        <w:t>(</w:t>
      </w:r>
      <w:r w:rsidR="00E601CC">
        <w:rPr>
          <w:lang w:val="es-ES"/>
        </w:rPr>
        <w:t xml:space="preserve">por ejemplo, si el objetivo para una categoría de inversiones es el </w:t>
      </w:r>
      <w:r w:rsidR="006A06CA" w:rsidRPr="00BB25AE">
        <w:rPr>
          <w:lang w:val="es-ES"/>
        </w:rPr>
        <w:t xml:space="preserve">50% </w:t>
      </w:r>
      <w:r w:rsidR="00E601CC">
        <w:rPr>
          <w:lang w:val="es-ES"/>
        </w:rPr>
        <w:t xml:space="preserve">del </w:t>
      </w:r>
      <w:r w:rsidR="006A06CA" w:rsidRPr="00BB25AE">
        <w:rPr>
          <w:lang w:val="es-ES"/>
        </w:rPr>
        <w:t xml:space="preserve">total </w:t>
      </w:r>
      <w:r w:rsidR="00E601CC">
        <w:rPr>
          <w:lang w:val="es-ES"/>
        </w:rPr>
        <w:t xml:space="preserve">de </w:t>
      </w:r>
      <w:r w:rsidR="009B274C">
        <w:rPr>
          <w:lang w:val="es-ES"/>
        </w:rPr>
        <w:t>activos del Fondo</w:t>
      </w:r>
      <w:r w:rsidR="006A06CA" w:rsidRPr="00BB25AE">
        <w:rPr>
          <w:lang w:val="es-ES"/>
        </w:rPr>
        <w:t xml:space="preserve"> </w:t>
      </w:r>
      <w:r w:rsidR="00E601CC">
        <w:rPr>
          <w:lang w:val="es-ES"/>
        </w:rPr>
        <w:t xml:space="preserve">y el valor de esta categoría de inversiones cae por debajo del </w:t>
      </w:r>
      <w:r w:rsidR="006A06CA" w:rsidRPr="00BB25AE">
        <w:rPr>
          <w:lang w:val="es-ES"/>
        </w:rPr>
        <w:t>47% o</w:t>
      </w:r>
      <w:r w:rsidR="00E601CC">
        <w:rPr>
          <w:lang w:val="es-ES"/>
        </w:rPr>
        <w:t xml:space="preserve"> sube por encima del </w:t>
      </w:r>
      <w:r w:rsidR="006A06CA" w:rsidRPr="00BB25AE">
        <w:rPr>
          <w:lang w:val="es-ES"/>
        </w:rPr>
        <w:t>53%)</w:t>
      </w:r>
      <w:r w:rsidR="00E601CC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E601CC" w:rsidP="00C57C4B">
      <w:pPr>
        <w:pStyle w:val="BodyText"/>
        <w:widowControl/>
        <w:numPr>
          <w:ilvl w:val="0"/>
          <w:numId w:val="3"/>
        </w:numPr>
        <w:tabs>
          <w:tab w:val="left" w:pos="433"/>
        </w:tabs>
        <w:spacing w:line="276" w:lineRule="auto"/>
        <w:ind w:left="159" w:right="158" w:firstLine="0"/>
        <w:jc w:val="both"/>
        <w:rPr>
          <w:lang w:val="es-ES"/>
        </w:rPr>
      </w:pPr>
      <w:r>
        <w:rPr>
          <w:lang w:val="es-ES"/>
        </w:rPr>
        <w:t xml:space="preserve">Si un fondo que forma parte de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ha</w:t>
      </w:r>
      <w:r>
        <w:rPr>
          <w:lang w:val="es-ES"/>
        </w:rPr>
        <w:t xml:space="preserve"> subido o bajado más del </w:t>
      </w:r>
      <w:r w:rsidR="006A06CA" w:rsidRPr="00BB25AE">
        <w:rPr>
          <w:lang w:val="es-ES"/>
        </w:rPr>
        <w:t xml:space="preserve">20% </w:t>
      </w:r>
      <w:r>
        <w:rPr>
          <w:lang w:val="es-ES"/>
        </w:rPr>
        <w:t>respecto de su ponderación objetivo</w:t>
      </w:r>
      <w:r w:rsidR="006A06CA" w:rsidRPr="00BB25AE">
        <w:rPr>
          <w:lang w:val="es-ES"/>
        </w:rPr>
        <w:t xml:space="preserve">, </w:t>
      </w:r>
      <w:r w:rsidR="00FD3DB2" w:rsidRPr="00BB25AE">
        <w:rPr>
          <w:lang w:val="es-ES"/>
        </w:rPr>
        <w:t xml:space="preserve">el </w:t>
      </w:r>
      <w:r>
        <w:rPr>
          <w:lang w:val="es-ES"/>
        </w:rPr>
        <w:t>f</w:t>
      </w:r>
      <w:r w:rsidR="00FD3DB2" w:rsidRPr="00BB25AE">
        <w:rPr>
          <w:lang w:val="es-ES"/>
        </w:rPr>
        <w:t>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se reequilibrará dentro de su clase de activos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 xml:space="preserve">por ejemplo, si el objetivo para el nivel de inversiones de un </w:t>
      </w:r>
      <w:r w:rsidR="003360B8">
        <w:rPr>
          <w:lang w:val="es-ES"/>
        </w:rPr>
        <w:t>fondo de inversiones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es el </w:t>
      </w:r>
      <w:r w:rsidR="006A06CA" w:rsidRPr="00BB25AE">
        <w:rPr>
          <w:lang w:val="es-ES"/>
        </w:rPr>
        <w:t xml:space="preserve">10% </w:t>
      </w:r>
      <w:r>
        <w:rPr>
          <w:lang w:val="es-ES"/>
        </w:rPr>
        <w:t xml:space="preserve">del </w:t>
      </w:r>
      <w:r w:rsidR="006A06CA" w:rsidRPr="00BB25AE">
        <w:rPr>
          <w:lang w:val="es-ES"/>
        </w:rPr>
        <w:t xml:space="preserve">total </w:t>
      </w:r>
      <w:r>
        <w:rPr>
          <w:lang w:val="es-ES"/>
        </w:rPr>
        <w:t xml:space="preserve">de </w:t>
      </w:r>
      <w:r w:rsidR="009B274C">
        <w:rPr>
          <w:lang w:val="es-ES"/>
        </w:rPr>
        <w:t xml:space="preserve">activos del </w:t>
      </w:r>
      <w:r w:rsidR="008C302D">
        <w:rPr>
          <w:lang w:val="es-ES"/>
        </w:rPr>
        <w:t>F</w:t>
      </w:r>
      <w:r w:rsidR="009B274C">
        <w:rPr>
          <w:lang w:val="es-ES"/>
        </w:rPr>
        <w:t>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y el valor de esta </w:t>
      </w:r>
      <w:r w:rsidRPr="00E601CC">
        <w:rPr>
          <w:lang w:val="es-ES"/>
        </w:rPr>
        <w:t>categoría de inversiones cae por debajo del</w:t>
      </w:r>
      <w:r w:rsidR="006A06CA" w:rsidRPr="00BB25AE">
        <w:rPr>
          <w:lang w:val="es-ES"/>
        </w:rPr>
        <w:t xml:space="preserve"> 8% o</w:t>
      </w:r>
      <w:r>
        <w:rPr>
          <w:lang w:val="es-ES"/>
        </w:rPr>
        <w:t xml:space="preserve"> sube por encima del </w:t>
      </w:r>
      <w:r w:rsidR="006A06CA" w:rsidRPr="00BB25AE">
        <w:rPr>
          <w:lang w:val="es-ES"/>
        </w:rPr>
        <w:t xml:space="preserve">12%, </w:t>
      </w:r>
      <w:r>
        <w:rPr>
          <w:lang w:val="es-ES"/>
        </w:rPr>
        <w:t>se reequilibrará la clase de activos</w:t>
      </w:r>
      <w:r w:rsidR="006A06CA" w:rsidRPr="00BB25AE">
        <w:rPr>
          <w:lang w:val="es-ES"/>
        </w:rPr>
        <w:t>)</w:t>
      </w:r>
      <w:r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145E73" w:rsidP="00C57C4B">
      <w:pPr>
        <w:pStyle w:val="BodyText"/>
        <w:widowControl/>
        <w:numPr>
          <w:ilvl w:val="1"/>
          <w:numId w:val="5"/>
        </w:numPr>
        <w:tabs>
          <w:tab w:val="left" w:pos="428"/>
        </w:tabs>
        <w:spacing w:line="276" w:lineRule="auto"/>
        <w:ind w:right="158" w:firstLine="0"/>
        <w:jc w:val="both"/>
        <w:rPr>
          <w:lang w:val="es-ES"/>
        </w:rPr>
      </w:pPr>
      <w:r>
        <w:rPr>
          <w:lang w:val="es-ES"/>
        </w:rPr>
        <w:t xml:space="preserve">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podrá recomendar un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o</w:t>
      </w:r>
      <w:r>
        <w:rPr>
          <w:lang w:val="es-ES"/>
        </w:rPr>
        <w:t xml:space="preserve"> una</w:t>
      </w:r>
      <w:r w:rsidR="006A06CA" w:rsidRPr="00BB25AE">
        <w:rPr>
          <w:lang w:val="es-ES"/>
        </w:rPr>
        <w:t xml:space="preserve"> </w:t>
      </w:r>
      <w:r w:rsidR="00184449">
        <w:rPr>
          <w:lang w:val="es-ES"/>
        </w:rPr>
        <w:t>asignación de 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en cualquier momento, en particular </w:t>
      </w:r>
      <w:r w:rsidR="00E20F98">
        <w:rPr>
          <w:lang w:val="es-ES"/>
        </w:rPr>
        <w:t>tras rápidos cambios de la</w:t>
      </w:r>
      <w:r>
        <w:rPr>
          <w:lang w:val="es-ES"/>
        </w:rPr>
        <w:t xml:space="preserve"> valoración </w:t>
      </w:r>
      <w:r w:rsidR="00E20F98">
        <w:rPr>
          <w:lang w:val="es-ES"/>
        </w:rPr>
        <w:t>e</w:t>
      </w:r>
      <w:r>
        <w:rPr>
          <w:lang w:val="es-ES"/>
        </w:rPr>
        <w:t xml:space="preserve">n los mercados financieros </w:t>
      </w:r>
      <w:r w:rsidR="00E20F98">
        <w:rPr>
          <w:lang w:val="es-ES"/>
        </w:rPr>
        <w:t xml:space="preserve">debido a los cuales el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o</w:t>
      </w:r>
      <w:r w:rsidR="00E20F98">
        <w:rPr>
          <w:lang w:val="es-ES"/>
        </w:rPr>
        <w:t xml:space="preserve"> la reasignación sean ventajosos.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428"/>
        </w:tabs>
        <w:spacing w:line="275" w:lineRule="auto"/>
        <w:ind w:right="157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E20F98">
        <w:rPr>
          <w:lang w:val="es-ES"/>
        </w:rPr>
        <w:t xml:space="preserve"> deberá actuar dentro de un plazo razonable para evaluar las desviaciones respecto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>de estas gamas y reequilibrar la cartera de manera apropiada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705401" w:rsidP="00C57C4B">
      <w:pPr>
        <w:pStyle w:val="BodyText"/>
        <w:widowControl/>
        <w:numPr>
          <w:ilvl w:val="1"/>
          <w:numId w:val="5"/>
        </w:numPr>
        <w:tabs>
          <w:tab w:val="left" w:pos="428"/>
        </w:tabs>
        <w:spacing w:line="276" w:lineRule="auto"/>
        <w:ind w:right="157" w:firstLine="0"/>
        <w:jc w:val="both"/>
        <w:rPr>
          <w:lang w:val="es-ES"/>
        </w:rPr>
      </w:pPr>
      <w:r>
        <w:rPr>
          <w:lang w:val="es-ES"/>
        </w:rPr>
        <w:t xml:space="preserve">El </w:t>
      </w:r>
      <w:r w:rsidR="006A06CA" w:rsidRPr="00BB25AE">
        <w:rPr>
          <w:lang w:val="es-ES"/>
        </w:rPr>
        <w:t>Depart</w:t>
      </w:r>
      <w:r w:rsidR="00F90F8C">
        <w:rPr>
          <w:lang w:val="es-ES"/>
        </w:rPr>
        <w:t>a</w:t>
      </w:r>
      <w:r w:rsidR="006A06CA" w:rsidRPr="00BB25AE">
        <w:rPr>
          <w:lang w:val="es-ES"/>
        </w:rPr>
        <w:t>ment</w:t>
      </w:r>
      <w:r w:rsidR="00F90F8C">
        <w:rPr>
          <w:lang w:val="es-ES"/>
        </w:rPr>
        <w:t>o de Servicios Financieros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de l</w:t>
      </w:r>
      <w:r w:rsidRPr="00BB25AE">
        <w:rPr>
          <w:lang w:val="es-ES"/>
        </w:rPr>
        <w:t xml:space="preserve">a SG/OEA </w:t>
      </w:r>
      <w:r w:rsidR="00E20F98">
        <w:rPr>
          <w:lang w:val="es-ES"/>
        </w:rPr>
        <w:t xml:space="preserve">está autorizado </w:t>
      </w:r>
      <w:r w:rsidR="008C302D">
        <w:rPr>
          <w:lang w:val="es-ES"/>
        </w:rPr>
        <w:t>par</w:t>
      </w:r>
      <w:r w:rsidR="00E20F98">
        <w:rPr>
          <w:lang w:val="es-ES"/>
        </w:rPr>
        <w:t xml:space="preserve">a reequilibrar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 xml:space="preserve">de acuerdo con las directrices precedentes y la </w:t>
      </w:r>
      <w:r w:rsidR="009B274C">
        <w:rPr>
          <w:lang w:val="es-ES"/>
        </w:rPr>
        <w:t>asignación de inversiones aprobada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 xml:space="preserve">que se adjunta al presente en el anexo </w:t>
      </w:r>
      <w:r w:rsidR="006A06CA" w:rsidRPr="00BB25AE">
        <w:rPr>
          <w:lang w:val="es-ES"/>
        </w:rPr>
        <w:t>A</w:t>
      </w:r>
      <w:r w:rsidR="00E20F98">
        <w:rPr>
          <w:lang w:val="es-ES"/>
        </w:rPr>
        <w:t xml:space="preserve">, para lo cual deberá avisar al presidente de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 xml:space="preserve">con un día </w:t>
      </w:r>
      <w:r w:rsidR="00DF7CA1">
        <w:rPr>
          <w:lang w:val="es-ES"/>
        </w:rPr>
        <w:t>hábil</w:t>
      </w:r>
      <w:r w:rsidR="00E20F98">
        <w:rPr>
          <w:lang w:val="es-ES"/>
        </w:rPr>
        <w:t xml:space="preserve"> de anticipación</w:t>
      </w:r>
      <w:r w:rsidR="006A06CA" w:rsidRPr="00BB25AE">
        <w:rPr>
          <w:lang w:val="es-ES"/>
        </w:rPr>
        <w:t xml:space="preserve">. </w:t>
      </w:r>
      <w:r w:rsidR="00883441" w:rsidRPr="00883441">
        <w:rPr>
          <w:lang w:val="es-ES"/>
        </w:rPr>
        <w:t xml:space="preserve">El Departamento </w:t>
      </w:r>
      <w:r w:rsidR="00E20F98">
        <w:rPr>
          <w:lang w:val="es-ES"/>
        </w:rPr>
        <w:t xml:space="preserve">podrá consultar a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o</w:t>
      </w:r>
      <w:r w:rsidR="00E20F98">
        <w:rPr>
          <w:lang w:val="es-ES"/>
        </w:rPr>
        <w:t xml:space="preserve"> a su presidente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 xml:space="preserve">en circunstancias excepcionales, pero el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 w:rsidR="00E20F98">
        <w:rPr>
          <w:lang w:val="es-ES"/>
        </w:rPr>
        <w:t xml:space="preserve">deberá efectuarse automáticamente si concuerda con las condiciones establecidas en la presente </w:t>
      </w:r>
      <w:r w:rsidR="0076725C" w:rsidRPr="00BB25AE">
        <w:rPr>
          <w:lang w:val="es-ES"/>
        </w:rPr>
        <w:t>Declaración de la Política de Inversiones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E20F98" w:rsidP="00C57C4B">
      <w:pPr>
        <w:pStyle w:val="BodyText"/>
        <w:widowControl/>
        <w:numPr>
          <w:ilvl w:val="1"/>
          <w:numId w:val="5"/>
        </w:numPr>
        <w:tabs>
          <w:tab w:val="left" w:pos="419"/>
        </w:tabs>
        <w:spacing w:line="276" w:lineRule="auto"/>
        <w:ind w:right="157" w:firstLine="0"/>
        <w:jc w:val="both"/>
        <w:rPr>
          <w:lang w:val="es-ES"/>
        </w:rPr>
      </w:pPr>
      <w:r>
        <w:rPr>
          <w:lang w:val="es-ES"/>
        </w:rPr>
        <w:lastRenderedPageBreak/>
        <w:t xml:space="preserve">Si 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 recom</w:t>
      </w:r>
      <w:r>
        <w:rPr>
          <w:lang w:val="es-ES"/>
        </w:rPr>
        <w:t xml:space="preserve">ienda un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inmediato el mismo día </w:t>
      </w:r>
      <w:r w:rsidR="00DF7CA1">
        <w:rPr>
          <w:lang w:val="es-ES"/>
        </w:rPr>
        <w:t>hábil</w:t>
      </w:r>
      <w:r>
        <w:rPr>
          <w:lang w:val="es-ES"/>
        </w:rPr>
        <w:t xml:space="preserve">, deberá comunicarse con el presidente de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por teléfono para avisarle verbalmente sobre el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recomendado y no podrá proceder con el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ese mismo día </w:t>
      </w:r>
      <w:r w:rsidR="00DF7CA1">
        <w:rPr>
          <w:lang w:val="es-ES"/>
        </w:rPr>
        <w:t>hábil</w:t>
      </w:r>
      <w:r>
        <w:rPr>
          <w:lang w:val="es-ES"/>
        </w:rPr>
        <w:t xml:space="preserve"> a menos que el presidente de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exprese </w:t>
      </w:r>
      <w:r w:rsidR="00DF7CA1">
        <w:rPr>
          <w:lang w:val="es-ES"/>
        </w:rPr>
        <w:t xml:space="preserve">de manera </w:t>
      </w:r>
      <w:r>
        <w:rPr>
          <w:lang w:val="es-ES"/>
        </w:rPr>
        <w:t>explícita su acuerdo con la acción recomendada. No es necesario que el presidente de l</w:t>
      </w:r>
      <w:r w:rsidR="00FD3DB2" w:rsidRPr="00BB25AE">
        <w:rPr>
          <w:lang w:val="es-ES"/>
        </w:rPr>
        <w:t>a Junta Directiva</w:t>
      </w:r>
      <w:r w:rsidR="006A06CA" w:rsidRPr="00BB25AE">
        <w:rPr>
          <w:lang w:val="es-ES"/>
        </w:rPr>
        <w:t xml:space="preserve"> consult</w:t>
      </w:r>
      <w:r>
        <w:rPr>
          <w:lang w:val="es-ES"/>
        </w:rPr>
        <w:t>e a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sobre el </w:t>
      </w:r>
      <w:r w:rsidR="00184449">
        <w:rPr>
          <w:lang w:val="es-ES"/>
        </w:rPr>
        <w:t>reequilibrio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de la cartera si esta medida concuerda con las condiciones establecidas en la presente </w:t>
      </w:r>
      <w:r w:rsidR="0076725C" w:rsidRPr="00BB25AE">
        <w:rPr>
          <w:lang w:val="es-ES"/>
        </w:rPr>
        <w:t>Declaración de la Política de Inversiones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y con la </w:t>
      </w:r>
      <w:r w:rsidR="009B274C">
        <w:rPr>
          <w:lang w:val="es-ES"/>
        </w:rPr>
        <w:t>asignación de inversiones aprobada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numPr>
          <w:ilvl w:val="0"/>
          <w:numId w:val="5"/>
        </w:numPr>
        <w:tabs>
          <w:tab w:val="left" w:pos="476"/>
        </w:tabs>
        <w:ind w:left="475" w:hanging="315"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t>Ot</w:t>
      </w:r>
      <w:r w:rsidR="009B274C">
        <w:rPr>
          <w:lang w:val="es-ES"/>
        </w:rPr>
        <w:t>ras políticas de inversiones</w:t>
      </w:r>
    </w:p>
    <w:p w:rsidR="00026122" w:rsidRPr="00BB25AE" w:rsidRDefault="00026122" w:rsidP="00C57C4B">
      <w:pPr>
        <w:widowControl/>
        <w:spacing w:before="1"/>
        <w:rPr>
          <w:rFonts w:ascii="Calibri" w:eastAsia="Calibri" w:hAnsi="Calibri" w:cs="Calibri"/>
          <w:b/>
          <w:bCs/>
          <w:sz w:val="8"/>
          <w:szCs w:val="8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19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F0250DF" wp14:editId="16E57C31">
                <wp:extent cx="5995670" cy="13970"/>
                <wp:effectExtent l="0" t="0" r="5080" b="508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3970"/>
                          <a:chOff x="0" y="0"/>
                          <a:chExt cx="9442" cy="2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20" cy="2"/>
                            <a:chOff x="11" y="11"/>
                            <a:chExt cx="942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20"/>
                                <a:gd name="T2" fmla="+- 0 9431 1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898B14" id="Group 11" o:spid="_x0000_s1026" style="width:472.1pt;height:1.1pt;mso-position-horizontal-relative:char;mso-position-vertical-relative:line" coordsize="9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">
                <v:group id="Group 12" o:spid="_x0000_s1027" style="position:absolute;left:11;top:11;width:9420;height:2" coordorigin="11,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11;top: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" path="m,l9420,e" filled="f" strokecolor="#4f81bc" strokeweight="1.0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472DD2" w:rsidP="00C57C4B">
      <w:pPr>
        <w:pStyle w:val="BodyText"/>
        <w:widowControl/>
        <w:spacing w:before="55"/>
        <w:ind w:left="160"/>
        <w:rPr>
          <w:lang w:val="es-ES"/>
        </w:rPr>
      </w:pPr>
      <w:r>
        <w:rPr>
          <w:lang w:val="es-ES"/>
        </w:rPr>
        <w:t xml:space="preserve">Salvo que </w:t>
      </w:r>
      <w:r w:rsidR="00FD3DB2" w:rsidRPr="00BB25AE">
        <w:rPr>
          <w:lang w:val="es-ES"/>
        </w:rPr>
        <w:t>la Junta Directiva</w:t>
      </w:r>
      <w:r>
        <w:rPr>
          <w:lang w:val="es-ES"/>
        </w:rPr>
        <w:t xml:space="preserve"> lo autorice expresamente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se prohíbe que </w:t>
      </w:r>
      <w:r w:rsidR="00FD3DB2" w:rsidRPr="00BB25AE">
        <w:rPr>
          <w:lang w:val="es-ES"/>
        </w:rPr>
        <w:t>la SG/OEA</w:t>
      </w:r>
      <w:r w:rsidR="006A06CA" w:rsidRPr="00BB25AE">
        <w:rPr>
          <w:lang w:val="es-ES"/>
        </w:rPr>
        <w:t xml:space="preserve"> </w:t>
      </w:r>
      <w:r w:rsidR="009B274C">
        <w:rPr>
          <w:lang w:val="es-ES"/>
        </w:rPr>
        <w:t>y</w:t>
      </w:r>
      <w:r w:rsidR="006A06CA" w:rsidRPr="00BB25AE">
        <w:rPr>
          <w:lang w:val="es-ES"/>
        </w:rPr>
        <w:t xml:space="preserve"> </w:t>
      </w:r>
      <w:r w:rsidR="009B274C">
        <w:rPr>
          <w:lang w:val="es-ES"/>
        </w:rPr>
        <w:t>el administrador del Fondo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hagan lo siguiente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472DD2" w:rsidP="00C57C4B">
      <w:pPr>
        <w:pStyle w:val="BodyText"/>
        <w:widowControl/>
        <w:numPr>
          <w:ilvl w:val="1"/>
          <w:numId w:val="5"/>
        </w:numPr>
        <w:tabs>
          <w:tab w:val="left" w:pos="476"/>
        </w:tabs>
        <w:ind w:firstLine="0"/>
        <w:rPr>
          <w:lang w:val="es-ES"/>
        </w:rPr>
      </w:pPr>
      <w:r>
        <w:rPr>
          <w:lang w:val="es-ES"/>
        </w:rPr>
        <w:t>comprar valores a crédito o vender al descubierto;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472DD2" w:rsidP="00C57C4B">
      <w:pPr>
        <w:pStyle w:val="BodyText"/>
        <w:widowControl/>
        <w:numPr>
          <w:ilvl w:val="1"/>
          <w:numId w:val="5"/>
        </w:numPr>
        <w:tabs>
          <w:tab w:val="left" w:pos="476"/>
        </w:tabs>
        <w:ind w:left="475" w:hanging="315"/>
        <w:rPr>
          <w:lang w:val="es-ES"/>
        </w:rPr>
      </w:pPr>
      <w:r>
        <w:rPr>
          <w:lang w:val="es-ES"/>
        </w:rPr>
        <w:t>prendar o hipotecar valores, excepto por préstamos de valores que estén plenamente garantizados;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472DD2" w:rsidP="00C57C4B">
      <w:pPr>
        <w:pStyle w:val="BodyText"/>
        <w:widowControl/>
        <w:numPr>
          <w:ilvl w:val="1"/>
          <w:numId w:val="5"/>
        </w:numPr>
        <w:tabs>
          <w:tab w:val="left" w:pos="476"/>
        </w:tabs>
        <w:ind w:left="475" w:hanging="315"/>
        <w:rPr>
          <w:lang w:val="es-ES"/>
        </w:rPr>
      </w:pPr>
      <w:r>
        <w:rPr>
          <w:lang w:val="es-ES"/>
        </w:rPr>
        <w:t>comprar o vender derivados con fines de especulación o apalancamiento;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Default="00472DD2" w:rsidP="00C57C4B">
      <w:pPr>
        <w:pStyle w:val="BodyText"/>
        <w:widowControl/>
        <w:numPr>
          <w:ilvl w:val="1"/>
          <w:numId w:val="5"/>
        </w:numPr>
        <w:tabs>
          <w:tab w:val="left" w:pos="437"/>
        </w:tabs>
        <w:spacing w:line="275" w:lineRule="auto"/>
        <w:ind w:right="158" w:firstLine="0"/>
        <w:rPr>
          <w:lang w:val="es-ES"/>
        </w:rPr>
      </w:pPr>
      <w:r>
        <w:rPr>
          <w:lang w:val="es-ES"/>
        </w:rPr>
        <w:t>aplicar estrategias de inversiones que puedan amplificar o distorsionar el riesgo de pérdida por encima de un nivel que quepa prever razonablemente en vista de los objetivos de la cartera.</w:t>
      </w:r>
    </w:p>
    <w:p w:rsidR="00174708" w:rsidRPr="00174708" w:rsidRDefault="00174708" w:rsidP="00174708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numPr>
          <w:ilvl w:val="0"/>
          <w:numId w:val="5"/>
        </w:numPr>
        <w:tabs>
          <w:tab w:val="left" w:pos="445"/>
        </w:tabs>
        <w:spacing w:before="41"/>
        <w:ind w:left="444" w:hanging="284"/>
        <w:rPr>
          <w:b w:val="0"/>
          <w:bCs w:val="0"/>
          <w:lang w:val="es-ES"/>
        </w:rPr>
      </w:pPr>
      <w:r w:rsidRPr="00BB25AE">
        <w:rPr>
          <w:lang w:val="es-ES"/>
        </w:rPr>
        <w:t>Revi</w:t>
      </w:r>
      <w:r w:rsidR="009B274C">
        <w:rPr>
          <w:lang w:val="es-ES"/>
        </w:rPr>
        <w:t>sión del desempeño y la asignación de inversiones</w:t>
      </w:r>
    </w:p>
    <w:p w:rsidR="00026122" w:rsidRPr="00BB25AE" w:rsidRDefault="00026122" w:rsidP="00C57C4B">
      <w:pPr>
        <w:widowControl/>
        <w:spacing w:before="1"/>
        <w:rPr>
          <w:rFonts w:ascii="Calibri" w:eastAsia="Calibri" w:hAnsi="Calibri" w:cs="Calibri"/>
          <w:b/>
          <w:bCs/>
          <w:sz w:val="8"/>
          <w:szCs w:val="8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19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DA1CF8" wp14:editId="569646A3">
                <wp:extent cx="5995670" cy="13970"/>
                <wp:effectExtent l="0" t="0" r="508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13970"/>
                          <a:chOff x="0" y="0"/>
                          <a:chExt cx="9442" cy="2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20" cy="2"/>
                            <a:chOff x="11" y="11"/>
                            <a:chExt cx="942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20"/>
                                <a:gd name="T2" fmla="+- 0 9431 1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26BEB3" id="Group 8" o:spid="_x0000_s1026" style="width:472.1pt;height:1.1pt;mso-position-horizontal-relative:char;mso-position-vertical-relative:line" coordsize="9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">
                <v:group id="Group 9" o:spid="_x0000_s1027" style="position:absolute;left:11;top:11;width:9420;height:2" coordorigin="11,1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11;top:1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" path="m,l9420,e" filled="f" strokecolor="#4f81bc" strokeweight="1.06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1"/>
          <w:numId w:val="5"/>
        </w:numPr>
        <w:tabs>
          <w:tab w:val="left" w:pos="430"/>
        </w:tabs>
        <w:spacing w:before="55" w:line="276" w:lineRule="auto"/>
        <w:ind w:right="159" w:firstLine="0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472DD2">
        <w:rPr>
          <w:lang w:val="es-ES"/>
        </w:rPr>
        <w:t>realizará revisiones semestrales de la cartera de inversiones</w:t>
      </w:r>
      <w:r w:rsidR="006A06CA" w:rsidRPr="00BB25AE">
        <w:rPr>
          <w:lang w:val="es-ES"/>
        </w:rPr>
        <w:t xml:space="preserve"> </w:t>
      </w:r>
      <w:r w:rsidR="00261534">
        <w:rPr>
          <w:lang w:val="es-ES"/>
        </w:rPr>
        <w:t xml:space="preserve">y su desempeño junto con 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. </w:t>
      </w:r>
      <w:r w:rsidR="00261534">
        <w:rPr>
          <w:lang w:val="es-ES"/>
        </w:rPr>
        <w:t xml:space="preserve">Asimismo, considerará la </w:t>
      </w:r>
      <w:r w:rsidR="00184449">
        <w:rPr>
          <w:lang w:val="es-ES"/>
        </w:rPr>
        <w:t>asignación de activos</w:t>
      </w:r>
      <w:r w:rsidR="006A06CA" w:rsidRPr="00BB25AE">
        <w:rPr>
          <w:lang w:val="es-ES"/>
        </w:rPr>
        <w:t xml:space="preserve"> </w:t>
      </w:r>
      <w:r w:rsidR="00261534">
        <w:rPr>
          <w:lang w:val="es-ES"/>
        </w:rPr>
        <w:t>de su plan de inversiones, determinará si es apropiada para los objetivos d</w:t>
      </w:r>
      <w:r w:rsidRPr="00BB25AE">
        <w:rPr>
          <w:lang w:val="es-ES"/>
        </w:rPr>
        <w:t>el Fondo</w:t>
      </w:r>
      <w:r w:rsidR="00261534">
        <w:rPr>
          <w:lang w:val="es-ES"/>
        </w:rPr>
        <w:t xml:space="preserve"> y efectuará los ajustes que considere necesarios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261534" w:rsidP="00C57C4B">
      <w:pPr>
        <w:pStyle w:val="BodyText"/>
        <w:widowControl/>
        <w:numPr>
          <w:ilvl w:val="1"/>
          <w:numId w:val="5"/>
        </w:numPr>
        <w:tabs>
          <w:tab w:val="left" w:pos="392"/>
        </w:tabs>
        <w:spacing w:line="275" w:lineRule="auto"/>
        <w:ind w:right="159" w:firstLine="0"/>
        <w:jc w:val="both"/>
        <w:rPr>
          <w:lang w:val="es-ES"/>
        </w:rPr>
      </w:pPr>
      <w:r>
        <w:rPr>
          <w:lang w:val="es-ES"/>
        </w:rPr>
        <w:t>En vista de la amplia gama de especialización de los fondos</w:t>
      </w:r>
      <w:r w:rsidR="006A06CA" w:rsidRPr="00BB25AE">
        <w:rPr>
          <w:lang w:val="es-ES"/>
        </w:rPr>
        <w:t xml:space="preserve">, </w:t>
      </w:r>
      <w:r w:rsidR="00FD3DB2"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podrá invertir en fondos especializados en las siguientes </w:t>
      </w:r>
      <w:r w:rsidR="0090510E">
        <w:rPr>
          <w:lang w:val="es-ES"/>
        </w:rPr>
        <w:t>clases de activos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BodyText"/>
        <w:widowControl/>
        <w:spacing w:line="275" w:lineRule="auto"/>
        <w:ind w:right="159"/>
        <w:jc w:val="both"/>
        <w:rPr>
          <w:lang w:val="es-ES"/>
        </w:rPr>
      </w:pPr>
      <w:r w:rsidRPr="00BB25AE">
        <w:rPr>
          <w:lang w:val="es-ES"/>
        </w:rPr>
        <w:t xml:space="preserve">-- </w:t>
      </w:r>
      <w:r w:rsidR="00261534">
        <w:rPr>
          <w:lang w:val="es-ES"/>
        </w:rPr>
        <w:t xml:space="preserve">acciones nacionales o internacionales, </w:t>
      </w:r>
      <w:r w:rsidRPr="00BB25AE">
        <w:rPr>
          <w:lang w:val="es-ES"/>
        </w:rPr>
        <w:t>pri</w:t>
      </w:r>
      <w:r w:rsidR="00261534">
        <w:rPr>
          <w:lang w:val="es-ES"/>
        </w:rPr>
        <w:t>ncipalmente</w:t>
      </w:r>
      <w:r w:rsidR="003C29F1">
        <w:rPr>
          <w:lang w:val="es-ES"/>
        </w:rPr>
        <w:t xml:space="preserve"> de mediana a gran capitalización, con un porcentaje minoritario invertido en acciones de valor o de crecimiento y en acciones de pequeña capitalización;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BodyText"/>
        <w:widowControl/>
        <w:spacing w:line="276" w:lineRule="auto"/>
        <w:ind w:right="160"/>
        <w:jc w:val="both"/>
        <w:rPr>
          <w:lang w:val="es-ES"/>
        </w:rPr>
      </w:pPr>
      <w:r w:rsidRPr="00BB25AE">
        <w:rPr>
          <w:lang w:val="es-ES"/>
        </w:rPr>
        <w:t xml:space="preserve">-- </w:t>
      </w:r>
      <w:r w:rsidR="00261534">
        <w:rPr>
          <w:lang w:val="es-ES"/>
        </w:rPr>
        <w:t>instrumentos de renta fija</w:t>
      </w:r>
      <w:r w:rsidRPr="00BB25AE">
        <w:rPr>
          <w:lang w:val="es-ES"/>
        </w:rPr>
        <w:t xml:space="preserve">, </w:t>
      </w:r>
      <w:r w:rsidR="003C29F1">
        <w:rPr>
          <w:lang w:val="es-ES"/>
        </w:rPr>
        <w:t xml:space="preserve">que podrían consistir en deuda estadounidense e internacional de renta fija de grado apto para inversión, como </w:t>
      </w:r>
      <w:r w:rsidR="00EF7AF8">
        <w:rPr>
          <w:lang w:val="es-ES"/>
        </w:rPr>
        <w:t>valores</w:t>
      </w:r>
      <w:r w:rsidR="003C29F1">
        <w:rPr>
          <w:lang w:val="es-ES"/>
        </w:rPr>
        <w:t xml:space="preserve"> del Tesoro de Estados Unidos;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BodyText"/>
        <w:widowControl/>
        <w:jc w:val="both"/>
        <w:rPr>
          <w:lang w:val="es-ES"/>
        </w:rPr>
      </w:pPr>
      <w:r w:rsidRPr="00BB25AE">
        <w:rPr>
          <w:lang w:val="es-ES"/>
        </w:rPr>
        <w:t xml:space="preserve">-- </w:t>
      </w:r>
      <w:r w:rsidR="00184449">
        <w:rPr>
          <w:lang w:val="es-ES"/>
        </w:rPr>
        <w:t>fondos comunes de inversión</w:t>
      </w:r>
      <w:r w:rsidRPr="00BB25AE">
        <w:rPr>
          <w:lang w:val="es-ES"/>
        </w:rPr>
        <w:t xml:space="preserve"> </w:t>
      </w:r>
      <w:r w:rsidR="00261534">
        <w:rPr>
          <w:lang w:val="es-ES"/>
        </w:rPr>
        <w:t>del mercado de dinero, a fin de proveer la liquidez que se necesite a corto plazo;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6A06CA" w:rsidP="00C57C4B">
      <w:pPr>
        <w:pStyle w:val="BodyText"/>
        <w:widowControl/>
        <w:jc w:val="both"/>
        <w:rPr>
          <w:lang w:val="es-ES"/>
        </w:rPr>
      </w:pPr>
      <w:r w:rsidRPr="00BB25AE">
        <w:rPr>
          <w:lang w:val="es-ES"/>
        </w:rPr>
        <w:t xml:space="preserve">-- </w:t>
      </w:r>
      <w:r w:rsidR="00EF7AF8">
        <w:rPr>
          <w:lang w:val="es-ES"/>
        </w:rPr>
        <w:t>fideicomisos de inversiones inmobiliarias</w:t>
      </w:r>
      <w:r w:rsidR="00DF7CA1">
        <w:rPr>
          <w:lang w:val="es-ES"/>
        </w:rPr>
        <w:t xml:space="preserve"> y</w:t>
      </w:r>
      <w:r w:rsidRPr="00BB25AE">
        <w:rPr>
          <w:lang w:val="es-ES"/>
        </w:rPr>
        <w:t xml:space="preserve"> </w:t>
      </w:r>
      <w:r w:rsidR="00EF7AF8" w:rsidRPr="00EF7AF8">
        <w:rPr>
          <w:lang w:val="es-ES"/>
        </w:rPr>
        <w:t>valores del Tesoro protegidos contra la inflación</w:t>
      </w:r>
      <w:r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360452" w:rsidP="00C57C4B">
      <w:pPr>
        <w:pStyle w:val="BodyText"/>
        <w:widowControl/>
        <w:numPr>
          <w:ilvl w:val="1"/>
          <w:numId w:val="5"/>
        </w:numPr>
        <w:tabs>
          <w:tab w:val="left" w:pos="429"/>
        </w:tabs>
        <w:spacing w:line="276" w:lineRule="auto"/>
        <w:ind w:left="159" w:right="158" w:firstLine="0"/>
        <w:jc w:val="both"/>
        <w:rPr>
          <w:lang w:val="es-ES"/>
        </w:rPr>
      </w:pPr>
      <w:r>
        <w:rPr>
          <w:lang w:val="es-ES"/>
        </w:rPr>
        <w:lastRenderedPageBreak/>
        <w:t xml:space="preserve">El desempeño de cada una de las </w:t>
      </w:r>
      <w:r w:rsidR="0090510E">
        <w:rPr>
          <w:lang w:val="es-ES"/>
        </w:rPr>
        <w:t>clases de activos</w:t>
      </w:r>
      <w:r>
        <w:rPr>
          <w:lang w:val="es-ES"/>
        </w:rPr>
        <w:t xml:space="preserve"> antedichas deberá ponderarse con los </w:t>
      </w:r>
      <w:r w:rsidR="00BC0837">
        <w:rPr>
          <w:lang w:val="es-ES"/>
        </w:rPr>
        <w:t>parámetro</w:t>
      </w:r>
      <w:r>
        <w:rPr>
          <w:lang w:val="es-ES"/>
        </w:rPr>
        <w:t>s</w:t>
      </w:r>
      <w:r w:rsidR="00BC0837">
        <w:rPr>
          <w:lang w:val="es-ES"/>
        </w:rPr>
        <w:t xml:space="preserve"> de referencia</w:t>
      </w:r>
      <w:r>
        <w:rPr>
          <w:lang w:val="es-ES"/>
        </w:rPr>
        <w:t xml:space="preserve"> apropiados, seleccionados en consulta con 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 xml:space="preserve">A continuación se presenta una muestra de </w:t>
      </w:r>
      <w:r w:rsidR="0090510E">
        <w:rPr>
          <w:lang w:val="es-ES"/>
        </w:rPr>
        <w:t>clases de 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con sus respectivos </w:t>
      </w:r>
      <w:r w:rsidR="00BC0837">
        <w:rPr>
          <w:lang w:val="es-ES"/>
        </w:rPr>
        <w:t>parámetro</w:t>
      </w:r>
      <w:r>
        <w:rPr>
          <w:lang w:val="es-ES"/>
        </w:rPr>
        <w:t>s</w:t>
      </w:r>
      <w:r w:rsidR="00BC0837">
        <w:rPr>
          <w:lang w:val="es-ES"/>
        </w:rPr>
        <w:t xml:space="preserve"> de referencia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146"/>
      </w:tblGrid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90510E" w:rsidP="003C29F1">
            <w:pPr>
              <w:pStyle w:val="TableParagraph"/>
              <w:widowControl/>
              <w:spacing w:line="267" w:lineRule="exact"/>
              <w:ind w:left="100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Clases de activos</w:t>
            </w:r>
            <w:r w:rsidR="003C29F1">
              <w:rPr>
                <w:rFonts w:ascii="Calibri"/>
                <w:b/>
                <w:lang w:val="es-ES"/>
              </w:rPr>
              <w:t xml:space="preserve"> básicos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BC0837" w:rsidP="003C29F1">
            <w:pPr>
              <w:pStyle w:val="TableParagraph"/>
              <w:widowControl/>
              <w:spacing w:line="267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Parámetro</w:t>
            </w:r>
            <w:r w:rsidR="003C29F1">
              <w:rPr>
                <w:rFonts w:ascii="Calibri"/>
                <w:b/>
                <w:lang w:val="es-ES"/>
              </w:rPr>
              <w:t xml:space="preserve">s </w:t>
            </w:r>
            <w:r>
              <w:rPr>
                <w:rFonts w:ascii="Calibri"/>
                <w:b/>
                <w:lang w:val="es-ES"/>
              </w:rPr>
              <w:t>de referencia</w:t>
            </w:r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C29F1" w:rsidP="003C29F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Bolsa de valores de Estados Unidos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DF7CA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03DEC">
              <w:rPr>
                <w:rFonts w:ascii="Calibri"/>
              </w:rPr>
              <w:t>S&amp;P Total Market Index (</w:t>
            </w:r>
            <w:proofErr w:type="spellStart"/>
            <w:r w:rsidRPr="00003DEC">
              <w:rPr>
                <w:rFonts w:ascii="Calibri"/>
              </w:rPr>
              <w:t>TMI</w:t>
            </w:r>
            <w:proofErr w:type="spellEnd"/>
            <w:r w:rsidRPr="00003DEC">
              <w:rPr>
                <w:rFonts w:ascii="Calibri"/>
              </w:rPr>
              <w:t>)</w:t>
            </w:r>
          </w:p>
        </w:tc>
      </w:tr>
      <w:tr w:rsidR="00026122" w:rsidRPr="00003DEC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C29F1" w:rsidP="00EF7AF8">
            <w:pPr>
              <w:pStyle w:val="TableParagraph"/>
              <w:widowControl/>
              <w:ind w:left="101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estadounidenses de gran capitalización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6A06CA" w:rsidP="00DF7CA1">
            <w:pPr>
              <w:pStyle w:val="TableParagraph"/>
              <w:widowControl/>
              <w:spacing w:line="268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BB25AE">
              <w:rPr>
                <w:rFonts w:ascii="Calibri"/>
                <w:lang w:val="es-ES"/>
              </w:rPr>
              <w:t>S&amp;P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500 /</w:t>
            </w:r>
            <w:r w:rsidR="003C29F1">
              <w:rPr>
                <w:rFonts w:ascii="Calibri"/>
                <w:lang w:val="es-ES"/>
              </w:rPr>
              <w:t xml:space="preserve"> </w:t>
            </w:r>
            <w:r w:rsidRPr="00BB25AE">
              <w:rPr>
                <w:rFonts w:ascii="Calibri"/>
                <w:lang w:val="es-ES"/>
              </w:rPr>
              <w:t>Russell 1000 (</w:t>
            </w:r>
            <w:r w:rsidR="00705401">
              <w:rPr>
                <w:rFonts w:ascii="Calibri"/>
                <w:lang w:val="es-ES"/>
              </w:rPr>
              <w:t>crecimiento, valor</w:t>
            </w:r>
            <w:r w:rsidRPr="00BB25AE">
              <w:rPr>
                <w:rFonts w:ascii="Calibri"/>
                <w:lang w:val="es-ES"/>
              </w:rPr>
              <w:t>)</w:t>
            </w:r>
          </w:p>
        </w:tc>
      </w:tr>
      <w:tr w:rsidR="00026122" w:rsidRPr="00BB25AE" w:rsidTr="00DF7CA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C29F1" w:rsidP="00DF7CA1">
            <w:pPr>
              <w:pStyle w:val="TableParagraph"/>
              <w:widowControl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estadounidenses de mediana capitalización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DF7CA1">
            <w:pPr>
              <w:pStyle w:val="TableParagraph"/>
              <w:widowControl/>
              <w:ind w:left="102"/>
              <w:rPr>
                <w:rFonts w:ascii="Calibri" w:eastAsia="Calibri" w:hAnsi="Calibri" w:cs="Calibri"/>
              </w:rPr>
            </w:pPr>
            <w:r w:rsidRPr="00003DEC">
              <w:rPr>
                <w:rFonts w:ascii="Calibri"/>
              </w:rPr>
              <w:t>S&amp;P 400 / Morningstar Mid Cap Index (</w:t>
            </w:r>
            <w:proofErr w:type="spellStart"/>
            <w:r w:rsidRPr="00003DEC">
              <w:rPr>
                <w:rFonts w:ascii="Calibri"/>
              </w:rPr>
              <w:t>MMCP</w:t>
            </w:r>
            <w:proofErr w:type="spellEnd"/>
            <w:r w:rsidRPr="00003DEC">
              <w:rPr>
                <w:rFonts w:ascii="Calibri"/>
              </w:rPr>
              <w:t>) /</w:t>
            </w:r>
            <w:r w:rsidR="00EF7AF8" w:rsidRPr="00003DEC">
              <w:rPr>
                <w:rFonts w:ascii="Calibri"/>
              </w:rPr>
              <w:t xml:space="preserve"> </w:t>
            </w:r>
            <w:r w:rsidRPr="00003DEC">
              <w:rPr>
                <w:rFonts w:ascii="Calibri"/>
              </w:rPr>
              <w:t>Russell Mid-cap (</w:t>
            </w:r>
            <w:proofErr w:type="spellStart"/>
            <w:r w:rsidR="00705401" w:rsidRPr="00003DEC">
              <w:rPr>
                <w:rFonts w:ascii="Calibri"/>
              </w:rPr>
              <w:t>crecimiento</w:t>
            </w:r>
            <w:proofErr w:type="spellEnd"/>
            <w:r w:rsidR="00705401" w:rsidRPr="00003DEC">
              <w:rPr>
                <w:rFonts w:ascii="Calibri"/>
              </w:rPr>
              <w:t>, valor</w:t>
            </w:r>
            <w:r w:rsidRPr="00003DEC">
              <w:rPr>
                <w:rFonts w:ascii="Calibri"/>
              </w:rPr>
              <w:t>)</w:t>
            </w:r>
          </w:p>
        </w:tc>
      </w:tr>
      <w:tr w:rsidR="00026122" w:rsidRPr="00BB25AE" w:rsidTr="00DF7CA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CF7C1B" w:rsidP="00DF7CA1">
            <w:pPr>
              <w:pStyle w:val="TableParagraph"/>
              <w:widowControl/>
              <w:ind w:left="101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de mercados internacionales desarrollados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DF7CA1">
            <w:pPr>
              <w:pStyle w:val="TableParagraph"/>
              <w:widowControl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03DEC">
              <w:rPr>
                <w:rFonts w:ascii="Calibri"/>
              </w:rPr>
              <w:t>MSCI</w:t>
            </w:r>
            <w:proofErr w:type="spellEnd"/>
            <w:r w:rsidRPr="00003DEC">
              <w:rPr>
                <w:rFonts w:ascii="Calibri"/>
              </w:rPr>
              <w:t xml:space="preserve"> Europe, Australia &amp; Far East Index (</w:t>
            </w:r>
            <w:proofErr w:type="spellStart"/>
            <w:r w:rsidRPr="00003DEC">
              <w:rPr>
                <w:rFonts w:ascii="Calibri"/>
              </w:rPr>
              <w:t>EAFE</w:t>
            </w:r>
            <w:proofErr w:type="spellEnd"/>
            <w:r w:rsidRPr="00003DEC">
              <w:rPr>
                <w:rFonts w:ascii="Calibri"/>
              </w:rPr>
              <w:t>)</w:t>
            </w:r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C29F1" w:rsidP="00C57C4B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de mercados emergentes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6A06CA" w:rsidP="00DF7CA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BB25AE">
              <w:rPr>
                <w:rFonts w:ascii="Calibri"/>
                <w:lang w:val="es-ES"/>
              </w:rPr>
              <w:t>MSCI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</w:t>
            </w:r>
            <w:proofErr w:type="spellStart"/>
            <w:r w:rsidRPr="00BB25AE">
              <w:rPr>
                <w:rFonts w:ascii="Calibri"/>
                <w:lang w:val="es-ES"/>
              </w:rPr>
              <w:t>Emerging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</w:t>
            </w:r>
            <w:proofErr w:type="spellStart"/>
            <w:r w:rsidRPr="00BB25AE">
              <w:rPr>
                <w:rFonts w:ascii="Calibri"/>
                <w:lang w:val="es-ES"/>
              </w:rPr>
              <w:t>Markets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</w:t>
            </w:r>
            <w:proofErr w:type="spellStart"/>
            <w:r w:rsidRPr="00BB25AE">
              <w:rPr>
                <w:rFonts w:ascii="Calibri"/>
                <w:lang w:val="es-ES"/>
              </w:rPr>
              <w:t>Index</w:t>
            </w:r>
            <w:proofErr w:type="spellEnd"/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60452" w:rsidP="00360452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Bonos intermedios de grado apto para inversión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DF7CA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03DEC">
              <w:rPr>
                <w:rFonts w:ascii="Calibri" w:eastAsia="Calibri" w:hAnsi="Calibri" w:cs="Calibri"/>
              </w:rPr>
              <w:t>Barclay’s Capital Aggregate Bond Index</w:t>
            </w:r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705401" w:rsidP="0070540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Bonos de alto rendimiento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DF7CA1">
            <w:pPr>
              <w:pStyle w:val="TableParagraph"/>
              <w:widowControl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03DEC">
              <w:rPr>
                <w:rFonts w:ascii="Calibri" w:eastAsia="Calibri" w:hAnsi="Calibri" w:cs="Calibri"/>
              </w:rPr>
              <w:t>Barclay’s Capital High Yield Bond Index</w:t>
            </w:r>
          </w:p>
        </w:tc>
      </w:tr>
    </w:tbl>
    <w:p w:rsidR="00026122" w:rsidRPr="00003DEC" w:rsidRDefault="00026122" w:rsidP="00C57C4B">
      <w:pPr>
        <w:widowControl/>
        <w:rPr>
          <w:rFonts w:ascii="Calibri" w:eastAsia="Calibri" w:hAnsi="Calibri" w:cs="Calibri"/>
          <w:sz w:val="20"/>
          <w:szCs w:val="20"/>
        </w:rPr>
      </w:pPr>
    </w:p>
    <w:p w:rsidR="00026122" w:rsidRPr="00003DEC" w:rsidRDefault="00026122" w:rsidP="00C57C4B">
      <w:pPr>
        <w:widowControl/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146"/>
      </w:tblGrid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90510E" w:rsidP="00705401">
            <w:pPr>
              <w:pStyle w:val="TableParagraph"/>
              <w:widowControl/>
              <w:spacing w:line="267" w:lineRule="exact"/>
              <w:ind w:left="100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Clases de activos</w:t>
            </w:r>
            <w:r w:rsidR="00705401">
              <w:rPr>
                <w:rFonts w:ascii="Calibri"/>
                <w:b/>
                <w:lang w:val="es-ES"/>
              </w:rPr>
              <w:t xml:space="preserve"> opcionales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BC0837" w:rsidP="00705401">
            <w:pPr>
              <w:pStyle w:val="TableParagraph"/>
              <w:widowControl/>
              <w:spacing w:line="267" w:lineRule="exact"/>
              <w:ind w:left="100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Parámetro</w:t>
            </w:r>
            <w:r w:rsidR="00705401">
              <w:rPr>
                <w:rFonts w:ascii="Calibri"/>
                <w:b/>
                <w:lang w:val="es-ES"/>
              </w:rPr>
              <w:t>s</w:t>
            </w:r>
            <w:r>
              <w:rPr>
                <w:rFonts w:ascii="Calibri"/>
                <w:b/>
                <w:lang w:val="es-ES"/>
              </w:rPr>
              <w:t xml:space="preserve"> de referencia</w:t>
            </w:r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3C29F1" w:rsidP="003C29F1">
            <w:pPr>
              <w:pStyle w:val="TableParagraph"/>
              <w:widowControl/>
              <w:spacing w:before="134"/>
              <w:ind w:left="100"/>
              <w:rPr>
                <w:rFonts w:ascii="Calibri" w:eastAsia="Calibri" w:hAnsi="Calibri" w:cs="Calibri"/>
                <w:lang w:val="es-ES"/>
              </w:rPr>
            </w:pPr>
            <w:r w:rsidRPr="003C29F1">
              <w:rPr>
                <w:rFonts w:ascii="Calibri"/>
                <w:lang w:val="es-ES"/>
              </w:rPr>
              <w:t xml:space="preserve">Acciones estadounidenses de </w:t>
            </w:r>
            <w:r>
              <w:rPr>
                <w:rFonts w:ascii="Calibri"/>
                <w:lang w:val="es-ES"/>
              </w:rPr>
              <w:t>pequeña</w:t>
            </w:r>
            <w:r w:rsidRPr="003C29F1">
              <w:rPr>
                <w:rFonts w:ascii="Calibri"/>
                <w:lang w:val="es-ES"/>
              </w:rPr>
              <w:t xml:space="preserve"> capitalización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705401">
            <w:pPr>
              <w:pStyle w:val="TableParagraph"/>
              <w:widowControl/>
              <w:ind w:left="100" w:right="157"/>
              <w:rPr>
                <w:rFonts w:ascii="Calibri" w:eastAsia="Calibri" w:hAnsi="Calibri" w:cs="Calibri"/>
              </w:rPr>
            </w:pPr>
            <w:r w:rsidRPr="00003DEC">
              <w:rPr>
                <w:rFonts w:ascii="Calibri"/>
              </w:rPr>
              <w:t>S&amp;P 600 / Russell 2000 / Morningstar Small Cap Index (</w:t>
            </w:r>
            <w:proofErr w:type="spellStart"/>
            <w:r w:rsidRPr="00003DEC">
              <w:rPr>
                <w:rFonts w:ascii="Calibri"/>
              </w:rPr>
              <w:t>MSCP</w:t>
            </w:r>
            <w:proofErr w:type="spellEnd"/>
            <w:r w:rsidRPr="00003DEC">
              <w:rPr>
                <w:rFonts w:ascii="Calibri"/>
              </w:rPr>
              <w:t>)</w:t>
            </w:r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EF7AF8" w:rsidP="00EF7AF8">
            <w:pPr>
              <w:pStyle w:val="TableParagraph"/>
              <w:widowControl/>
              <w:spacing w:line="267" w:lineRule="exact"/>
              <w:ind w:left="10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F</w:t>
            </w:r>
            <w:r w:rsidRPr="00EF7AF8">
              <w:rPr>
                <w:rFonts w:ascii="Calibri"/>
                <w:lang w:val="es-ES"/>
              </w:rPr>
              <w:t>ideicomisos de inversiones inmobiliarias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6A06CA" w:rsidP="00705401">
            <w:pPr>
              <w:pStyle w:val="TableParagraph"/>
              <w:widowControl/>
              <w:spacing w:line="267" w:lineRule="exact"/>
              <w:ind w:left="100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BB25AE">
              <w:rPr>
                <w:rFonts w:ascii="Calibri"/>
                <w:lang w:val="es-ES"/>
              </w:rPr>
              <w:t>MSCI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</w:t>
            </w:r>
            <w:proofErr w:type="spellStart"/>
            <w:r w:rsidRPr="00BB25AE">
              <w:rPr>
                <w:rFonts w:ascii="Calibri"/>
                <w:lang w:val="es-ES"/>
              </w:rPr>
              <w:t>REIT</w:t>
            </w:r>
            <w:proofErr w:type="spellEnd"/>
            <w:r w:rsidRPr="00BB25AE">
              <w:rPr>
                <w:rFonts w:ascii="Calibri"/>
                <w:lang w:val="es-ES"/>
              </w:rPr>
              <w:t xml:space="preserve"> </w:t>
            </w:r>
            <w:proofErr w:type="spellStart"/>
            <w:r w:rsidRPr="00BB25AE">
              <w:rPr>
                <w:rFonts w:ascii="Calibri"/>
                <w:lang w:val="es-ES"/>
              </w:rPr>
              <w:t>Index</w:t>
            </w:r>
            <w:proofErr w:type="spellEnd"/>
          </w:p>
        </w:tc>
      </w:tr>
      <w:tr w:rsidR="00026122" w:rsidRPr="00BB25AE" w:rsidTr="003C29F1"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BB25AE" w:rsidRDefault="00EF7AF8" w:rsidP="00EF7AF8">
            <w:pPr>
              <w:pStyle w:val="TableParagraph"/>
              <w:widowControl/>
              <w:spacing w:line="267" w:lineRule="exact"/>
              <w:ind w:left="100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Bonos protegidos contra la inflación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122" w:rsidRPr="00003DEC" w:rsidRDefault="006A06CA" w:rsidP="00705401">
            <w:pPr>
              <w:pStyle w:val="TableParagraph"/>
              <w:widowControl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 w:rsidRPr="00003DEC">
              <w:rPr>
                <w:rFonts w:ascii="Calibri" w:eastAsia="Calibri" w:hAnsi="Calibri" w:cs="Calibri"/>
              </w:rPr>
              <w:t>Barclay’s Capital U.S. TIPS Index</w:t>
            </w:r>
          </w:p>
        </w:tc>
      </w:tr>
    </w:tbl>
    <w:p w:rsidR="00026122" w:rsidRPr="00003DEC" w:rsidRDefault="00026122" w:rsidP="00C57C4B">
      <w:pPr>
        <w:widowControl/>
        <w:rPr>
          <w:rFonts w:ascii="Calibri" w:eastAsia="Calibri" w:hAnsi="Calibri" w:cs="Calibri"/>
          <w:sz w:val="20"/>
          <w:szCs w:val="20"/>
        </w:rPr>
      </w:pPr>
    </w:p>
    <w:p w:rsidR="00026122" w:rsidRDefault="00174708" w:rsidP="00AA2D38">
      <w:pPr>
        <w:pStyle w:val="BodyText"/>
        <w:widowControl/>
        <w:numPr>
          <w:ilvl w:val="1"/>
          <w:numId w:val="5"/>
        </w:numPr>
        <w:tabs>
          <w:tab w:val="left" w:pos="377"/>
        </w:tabs>
        <w:spacing w:before="39" w:line="276" w:lineRule="auto"/>
        <w:ind w:left="139" w:right="137" w:firstLine="1"/>
        <w:jc w:val="both"/>
        <w:rPr>
          <w:lang w:val="es-ES"/>
        </w:rPr>
      </w:pPr>
      <w:r>
        <w:rPr>
          <w:lang w:val="es-ES"/>
        </w:rPr>
        <w:t>Los fondos</w:t>
      </w:r>
      <w:r w:rsidR="006A06CA" w:rsidRPr="00BB25AE">
        <w:rPr>
          <w:lang w:val="es-ES"/>
        </w:rPr>
        <w:t xml:space="preserve"> selec</w:t>
      </w:r>
      <w:r w:rsidR="00AA2D38">
        <w:rPr>
          <w:lang w:val="es-ES"/>
        </w:rPr>
        <w:t xml:space="preserve">cionados pueden estar administrados de forma </w:t>
      </w:r>
      <w:r w:rsidR="006A06CA" w:rsidRPr="00BB25AE">
        <w:rPr>
          <w:lang w:val="es-ES"/>
        </w:rPr>
        <w:t>activ</w:t>
      </w:r>
      <w:r w:rsidR="00AA2D38">
        <w:rPr>
          <w:lang w:val="es-ES"/>
        </w:rPr>
        <w:t xml:space="preserve">a </w:t>
      </w:r>
      <w:r w:rsidR="006A06CA" w:rsidRPr="00BB25AE">
        <w:rPr>
          <w:lang w:val="es-ES"/>
        </w:rPr>
        <w:t>o pasiv</w:t>
      </w:r>
      <w:r w:rsidR="00AA2D38">
        <w:rPr>
          <w:lang w:val="es-ES"/>
        </w:rPr>
        <w:t>a y deben ser de capital variable</w:t>
      </w:r>
      <w:r w:rsidR="006A06CA" w:rsidRPr="00BB25AE">
        <w:rPr>
          <w:lang w:val="es-ES"/>
        </w:rPr>
        <w:t>.</w:t>
      </w:r>
    </w:p>
    <w:p w:rsidR="00174708" w:rsidRPr="00174708" w:rsidRDefault="00174708" w:rsidP="00174708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E15B4A" w:rsidP="00C57C4B">
      <w:pPr>
        <w:pStyle w:val="BodyText"/>
        <w:widowControl/>
        <w:numPr>
          <w:ilvl w:val="1"/>
          <w:numId w:val="5"/>
        </w:numPr>
        <w:tabs>
          <w:tab w:val="left" w:pos="355"/>
        </w:tabs>
        <w:spacing w:before="39" w:line="276" w:lineRule="auto"/>
        <w:ind w:left="139" w:right="137" w:firstLine="1"/>
        <w:jc w:val="both"/>
        <w:rPr>
          <w:lang w:val="es-ES"/>
        </w:rPr>
      </w:pPr>
      <w:r>
        <w:rPr>
          <w:lang w:val="es-ES"/>
        </w:rPr>
        <w:t xml:space="preserve">Los fondos </w:t>
      </w:r>
      <w:proofErr w:type="gramStart"/>
      <w:r>
        <w:rPr>
          <w:lang w:val="es-ES"/>
        </w:rPr>
        <w:t>índice</w:t>
      </w:r>
      <w:proofErr w:type="gramEnd"/>
      <w:r>
        <w:rPr>
          <w:lang w:val="es-ES"/>
        </w:rPr>
        <w:t xml:space="preserve"> deben constituir la mayor</w:t>
      </w:r>
      <w:r w:rsidR="00DF7CA1">
        <w:rPr>
          <w:lang w:val="es-ES"/>
        </w:rPr>
        <w:t xml:space="preserve"> parte </w:t>
      </w:r>
      <w:r>
        <w:rPr>
          <w:lang w:val="es-ES"/>
        </w:rPr>
        <w:t xml:space="preserve">de </w:t>
      </w:r>
      <w:r w:rsidR="00174708">
        <w:rPr>
          <w:lang w:val="es-ES"/>
        </w:rPr>
        <w:t>las inversiones del Fondo</w:t>
      </w:r>
      <w:r w:rsidR="006A06CA" w:rsidRPr="00BB25AE">
        <w:rPr>
          <w:lang w:val="es-ES"/>
        </w:rPr>
        <w:t xml:space="preserve"> </w:t>
      </w:r>
      <w:r w:rsidR="00DF7CA1">
        <w:rPr>
          <w:lang w:val="es-ES"/>
        </w:rPr>
        <w:t xml:space="preserve">Fiduciario </w:t>
      </w:r>
      <w:r w:rsidR="006A06CA" w:rsidRPr="00BB25AE">
        <w:rPr>
          <w:lang w:val="es-ES"/>
        </w:rPr>
        <w:t>d</w:t>
      </w:r>
      <w:r>
        <w:rPr>
          <w:lang w:val="es-ES"/>
        </w:rPr>
        <w:t xml:space="preserve">ebido a su gran </w:t>
      </w:r>
      <w:r w:rsidR="00BC0837">
        <w:rPr>
          <w:lang w:val="es-ES"/>
        </w:rPr>
        <w:t>diversificación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y bajo costo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 xml:space="preserve">Se pueden seleccionar </w:t>
      </w:r>
      <w:r w:rsidR="00184449">
        <w:rPr>
          <w:lang w:val="es-ES"/>
        </w:rPr>
        <w:t>fondos comunes de inversión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con gestión activa si se comprueba que su rendimiento neto con el tiempo excede los </w:t>
      </w:r>
      <w:r w:rsidR="00BC0837">
        <w:rPr>
          <w:lang w:val="es-ES"/>
        </w:rPr>
        <w:t>parámetro</w:t>
      </w:r>
      <w:r>
        <w:rPr>
          <w:lang w:val="es-ES"/>
        </w:rPr>
        <w:t>s</w:t>
      </w:r>
      <w:r w:rsidR="00BC0837">
        <w:rPr>
          <w:lang w:val="es-ES"/>
        </w:rPr>
        <w:t xml:space="preserve"> de referencia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>Los fondos administrados de forma activa probablemente sean más interesantes en los mercados internacionales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E15B4A" w:rsidP="00C57C4B">
      <w:pPr>
        <w:pStyle w:val="BodyText"/>
        <w:widowControl/>
        <w:numPr>
          <w:ilvl w:val="1"/>
          <w:numId w:val="5"/>
        </w:numPr>
        <w:tabs>
          <w:tab w:val="left" w:pos="356"/>
        </w:tabs>
        <w:spacing w:line="276" w:lineRule="auto"/>
        <w:ind w:left="139" w:right="140" w:firstLine="0"/>
        <w:jc w:val="both"/>
        <w:rPr>
          <w:lang w:val="es-ES"/>
        </w:rPr>
      </w:pPr>
      <w:r>
        <w:rPr>
          <w:lang w:val="es-ES"/>
        </w:rPr>
        <w:t xml:space="preserve">Se deberán retirar fondos del plan de inversiones cuando las razones de su inclusión dejen de existir o cuando haya otros fondos con un desempeño superior. El factor más importante en la decisión de retirar un fondo es el desempeño deficiente </w:t>
      </w:r>
      <w:r w:rsidR="006A06CA" w:rsidRPr="00BB25AE">
        <w:rPr>
          <w:lang w:val="es-ES"/>
        </w:rPr>
        <w:t>(</w:t>
      </w:r>
      <w:r>
        <w:rPr>
          <w:lang w:val="es-ES"/>
        </w:rPr>
        <w:t xml:space="preserve">el desempeño </w:t>
      </w:r>
      <w:r w:rsidR="006A06CA" w:rsidRPr="00BB25AE">
        <w:rPr>
          <w:lang w:val="es-ES"/>
        </w:rPr>
        <w:t>net</w:t>
      </w:r>
      <w:r>
        <w:rPr>
          <w:lang w:val="es-ES"/>
        </w:rPr>
        <w:t>o, que incluye los honorarios de administración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con respecto al </w:t>
      </w:r>
      <w:r w:rsidR="00BC0837">
        <w:rPr>
          <w:lang w:val="es-ES"/>
        </w:rPr>
        <w:t>parámetro de referencia</w:t>
      </w:r>
      <w:r w:rsidR="006A06CA" w:rsidRPr="00BB25AE">
        <w:rPr>
          <w:lang w:val="es-ES"/>
        </w:rPr>
        <w:t xml:space="preserve"> </w:t>
      </w:r>
      <w:r w:rsidR="00DF7CA1">
        <w:rPr>
          <w:lang w:val="es-ES"/>
        </w:rPr>
        <w:t>y a fondos del mismo ti</w:t>
      </w:r>
      <w:r>
        <w:rPr>
          <w:lang w:val="es-ES"/>
        </w:rPr>
        <w:t>po durante un período suficientemente prolongado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>varios años</w:t>
      </w:r>
      <w:r w:rsidR="006A06CA" w:rsidRPr="00BB25AE">
        <w:rPr>
          <w:lang w:val="es-ES"/>
        </w:rPr>
        <w:t>)</w:t>
      </w:r>
      <w:r>
        <w:rPr>
          <w:lang w:val="es-ES"/>
        </w:rPr>
        <w:t xml:space="preserve">, </w:t>
      </w:r>
      <w:r w:rsidR="00AC4BF4">
        <w:rPr>
          <w:lang w:val="es-ES"/>
        </w:rPr>
        <w:t xml:space="preserve">así como </w:t>
      </w:r>
      <w:r>
        <w:rPr>
          <w:lang w:val="es-ES"/>
        </w:rPr>
        <w:t>cambios en la administración que puedan modificar considerablemente el desempeño y el estilo del f</w:t>
      </w:r>
      <w:r w:rsidR="00FD3DB2" w:rsidRPr="00BB25AE">
        <w:rPr>
          <w:lang w:val="es-ES"/>
        </w:rPr>
        <w:t>ondo</w:t>
      </w:r>
      <w:r>
        <w:rPr>
          <w:lang w:val="es-ES"/>
        </w:rPr>
        <w:t xml:space="preserve"> y cambios en la selección de inversiones que no concuerden con las directrices o los objetivos </w:t>
      </w:r>
      <w:r w:rsidR="006A06CA" w:rsidRPr="00BB25AE">
        <w:rPr>
          <w:lang w:val="es-ES"/>
        </w:rPr>
        <w:t>original</w:t>
      </w:r>
      <w:r>
        <w:rPr>
          <w:lang w:val="es-ES"/>
        </w:rPr>
        <w:t>es d</w:t>
      </w:r>
      <w:r w:rsidR="00FD3DB2" w:rsidRPr="00BB25AE">
        <w:rPr>
          <w:lang w:val="es-ES"/>
        </w:rPr>
        <w:t xml:space="preserve">el </w:t>
      </w:r>
      <w:r>
        <w:rPr>
          <w:lang w:val="es-ES"/>
        </w:rPr>
        <w:t>f</w:t>
      </w:r>
      <w:r w:rsidR="00FD3DB2" w:rsidRPr="00BB25AE">
        <w:rPr>
          <w:lang w:val="es-ES"/>
        </w:rPr>
        <w:t>ondo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B66049" w:rsidP="00C57C4B">
      <w:pPr>
        <w:pStyle w:val="BodyText"/>
        <w:widowControl/>
        <w:numPr>
          <w:ilvl w:val="1"/>
          <w:numId w:val="5"/>
        </w:numPr>
        <w:tabs>
          <w:tab w:val="left" w:pos="369"/>
        </w:tabs>
        <w:spacing w:line="276" w:lineRule="auto"/>
        <w:ind w:left="139" w:right="140" w:firstLine="0"/>
        <w:jc w:val="both"/>
        <w:rPr>
          <w:lang w:val="es-ES"/>
        </w:rPr>
      </w:pPr>
      <w:r>
        <w:rPr>
          <w:lang w:val="es-ES"/>
        </w:rPr>
        <w:t xml:space="preserve">A continuación se presenta una lista de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="00AC4BF4">
        <w:rPr>
          <w:lang w:val="es-ES"/>
        </w:rPr>
        <w:t xml:space="preserve">suelen </w:t>
      </w:r>
      <w:r>
        <w:rPr>
          <w:lang w:val="es-ES"/>
        </w:rPr>
        <w:t xml:space="preserve">tener gastos operativos más altos o una exposición </w:t>
      </w:r>
      <w:r w:rsidR="006A06CA" w:rsidRPr="00BB25AE">
        <w:rPr>
          <w:lang w:val="es-ES"/>
        </w:rPr>
        <w:t xml:space="preserve">considerable </w:t>
      </w:r>
      <w:r>
        <w:rPr>
          <w:lang w:val="es-ES"/>
        </w:rPr>
        <w:t xml:space="preserve">a riesgos. Deben excluirse de la </w:t>
      </w:r>
      <w:r w:rsidR="009B274C">
        <w:rPr>
          <w:lang w:val="es-ES"/>
        </w:rPr>
        <w:t>cartera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salvo que</w:t>
      </w:r>
      <w:r w:rsidR="006A06CA" w:rsidRPr="00BB25AE">
        <w:rPr>
          <w:lang w:val="es-ES"/>
        </w:rPr>
        <w:t xml:space="preserve">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tenga </w:t>
      </w:r>
      <w:r>
        <w:rPr>
          <w:lang w:val="es-ES"/>
        </w:rPr>
        <w:lastRenderedPageBreak/>
        <w:t xml:space="preserve">razones </w:t>
      </w:r>
      <w:r w:rsidR="009F142E">
        <w:rPr>
          <w:lang w:val="es-ES"/>
        </w:rPr>
        <w:t xml:space="preserve">convincentes en contrario. No se puede aducir una tasa de rendimiento elevada por sí sola como justificación suficiente para incluir estos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 w:rsidR="009F142E">
        <w:rPr>
          <w:lang w:val="es-ES"/>
        </w:rPr>
        <w:t>e</w:t>
      </w:r>
      <w:r w:rsidR="006A06CA" w:rsidRPr="00BB25AE">
        <w:rPr>
          <w:lang w:val="es-ES"/>
        </w:rPr>
        <w:t xml:space="preserve">n </w:t>
      </w:r>
      <w:r w:rsidR="009B274C">
        <w:rPr>
          <w:lang w:val="es-ES"/>
        </w:rPr>
        <w:t>la cartera</w:t>
      </w:r>
      <w:r w:rsidR="009F142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6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9F142E" w:rsidP="00C57C4B">
      <w:pPr>
        <w:pStyle w:val="BodyText"/>
        <w:widowControl/>
        <w:numPr>
          <w:ilvl w:val="2"/>
          <w:numId w:val="5"/>
        </w:numPr>
        <w:tabs>
          <w:tab w:val="left" w:pos="860"/>
        </w:tabs>
        <w:ind w:hanging="359"/>
        <w:rPr>
          <w:lang w:val="es-ES"/>
        </w:rPr>
      </w:pPr>
      <w:r>
        <w:rPr>
          <w:lang w:val="es-ES"/>
        </w:rPr>
        <w:t>fondos de cobertura;</w:t>
      </w:r>
    </w:p>
    <w:p w:rsidR="00026122" w:rsidRPr="00BB25AE" w:rsidRDefault="00184449" w:rsidP="00C57C4B">
      <w:pPr>
        <w:pStyle w:val="BodyText"/>
        <w:widowControl/>
        <w:numPr>
          <w:ilvl w:val="2"/>
          <w:numId w:val="5"/>
        </w:numPr>
        <w:tabs>
          <w:tab w:val="left" w:pos="860"/>
        </w:tabs>
        <w:spacing w:line="268" w:lineRule="exact"/>
        <w:ind w:left="859"/>
        <w:rPr>
          <w:lang w:val="es-ES"/>
        </w:rPr>
      </w:pPr>
      <w:r>
        <w:rPr>
          <w:lang w:val="es-ES"/>
        </w:rPr>
        <w:t>fondos comunes de inversión</w:t>
      </w:r>
      <w:r w:rsidR="006A06CA" w:rsidRPr="00BB25AE">
        <w:rPr>
          <w:lang w:val="es-ES"/>
        </w:rPr>
        <w:t xml:space="preserve"> </w:t>
      </w:r>
      <w:r w:rsidR="009F142E">
        <w:rPr>
          <w:lang w:val="es-ES"/>
        </w:rPr>
        <w:t>de capital fijo y fondos de inversión unitarios;</w:t>
      </w:r>
    </w:p>
    <w:p w:rsidR="00026122" w:rsidRPr="00BB25AE" w:rsidRDefault="009F142E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ind w:right="138" w:hanging="359"/>
        <w:rPr>
          <w:lang w:val="es-ES"/>
        </w:rPr>
      </w:pPr>
      <w:r>
        <w:rPr>
          <w:lang w:val="es-ES"/>
        </w:rPr>
        <w:t>f</w:t>
      </w:r>
      <w:r w:rsidR="00184449">
        <w:rPr>
          <w:lang w:val="es-ES"/>
        </w:rPr>
        <w:t>ondos comunes de inversión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centrados en un sector </w:t>
      </w:r>
      <w:r w:rsidR="006A06CA" w:rsidRPr="00BB25AE">
        <w:rPr>
          <w:lang w:val="es-ES"/>
        </w:rPr>
        <w:t xml:space="preserve">industrial </w:t>
      </w:r>
      <w:r>
        <w:rPr>
          <w:lang w:val="es-ES"/>
        </w:rPr>
        <w:t xml:space="preserve">particular, como </w:t>
      </w:r>
      <w:r w:rsidR="00705401" w:rsidRPr="00BB25AE">
        <w:rPr>
          <w:lang w:val="es-ES"/>
        </w:rPr>
        <w:t>telecomunicaciones</w:t>
      </w:r>
      <w:r w:rsidR="006A06CA" w:rsidRPr="00BB25AE">
        <w:rPr>
          <w:lang w:val="es-ES"/>
        </w:rPr>
        <w:t>, energ</w:t>
      </w:r>
      <w:r w:rsidR="00705401">
        <w:rPr>
          <w:lang w:val="es-ES"/>
        </w:rPr>
        <w:t>ía o tecnología</w:t>
      </w:r>
      <w:r>
        <w:rPr>
          <w:lang w:val="es-ES"/>
        </w:rPr>
        <w:t>;</w:t>
      </w:r>
    </w:p>
    <w:p w:rsidR="00026122" w:rsidRPr="00BB25AE" w:rsidRDefault="009F142E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ind w:hanging="359"/>
        <w:rPr>
          <w:lang w:val="es-ES"/>
        </w:rPr>
      </w:pPr>
      <w:r>
        <w:rPr>
          <w:lang w:val="es-ES"/>
        </w:rPr>
        <w:t>f</w:t>
      </w:r>
      <w:r w:rsidR="00184449">
        <w:rPr>
          <w:lang w:val="es-ES"/>
        </w:rPr>
        <w:t>ondos comunes de inversión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que recurren al apalancamiento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>préstamos de efectivo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como parte de su </w:t>
      </w:r>
      <w:r w:rsidR="00174708">
        <w:rPr>
          <w:lang w:val="es-ES"/>
        </w:rPr>
        <w:t>estrategia de inversiones</w:t>
      </w:r>
      <w:r>
        <w:rPr>
          <w:lang w:val="es-ES"/>
        </w:rPr>
        <w:t>.</w:t>
      </w:r>
    </w:p>
    <w:p w:rsidR="00026122" w:rsidRPr="00BB25AE" w:rsidRDefault="00026122" w:rsidP="00C57C4B">
      <w:pPr>
        <w:widowControl/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:rsidR="00026122" w:rsidRPr="00BB25AE" w:rsidRDefault="00E21956" w:rsidP="00C57C4B">
      <w:pPr>
        <w:pStyle w:val="BodyText"/>
        <w:widowControl/>
        <w:numPr>
          <w:ilvl w:val="1"/>
          <w:numId w:val="5"/>
        </w:numPr>
        <w:tabs>
          <w:tab w:val="left" w:pos="364"/>
        </w:tabs>
        <w:spacing w:line="276" w:lineRule="auto"/>
        <w:ind w:left="139" w:right="140" w:firstLine="0"/>
        <w:jc w:val="both"/>
        <w:rPr>
          <w:lang w:val="es-ES"/>
        </w:rPr>
      </w:pPr>
      <w:r>
        <w:rPr>
          <w:lang w:val="es-ES"/>
        </w:rPr>
        <w:t xml:space="preserve">Los siguientes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requi</w:t>
      </w:r>
      <w:r>
        <w:rPr>
          <w:lang w:val="es-ES"/>
        </w:rPr>
        <w:t>e</w:t>
      </w:r>
      <w:r w:rsidR="006A06CA" w:rsidRPr="00BB25AE">
        <w:rPr>
          <w:lang w:val="es-ES"/>
        </w:rPr>
        <w:t>re</w:t>
      </w:r>
      <w:r>
        <w:rPr>
          <w:lang w:val="es-ES"/>
        </w:rPr>
        <w:t>n un grado extraordinario de pericia para administrarlos de manera rentable y prudente. Por lo tanto, también deben excluirse salvo que formen parte de una cartera diversificada de</w:t>
      </w:r>
      <w:r w:rsidR="006A06CA" w:rsidRPr="00BB25AE">
        <w:rPr>
          <w:lang w:val="es-ES"/>
        </w:rPr>
        <w:t xml:space="preserve"> </w:t>
      </w:r>
      <w:r w:rsidR="009B274C">
        <w:rPr>
          <w:lang w:val="es-ES"/>
        </w:rPr>
        <w:t>fondo</w:t>
      </w:r>
      <w:r>
        <w:rPr>
          <w:lang w:val="es-ES"/>
        </w:rPr>
        <w:t>s</w:t>
      </w:r>
      <w:r w:rsidR="009B274C">
        <w:rPr>
          <w:lang w:val="es-ES"/>
        </w:rPr>
        <w:t xml:space="preserve"> com</w:t>
      </w:r>
      <w:r>
        <w:rPr>
          <w:lang w:val="es-ES"/>
        </w:rPr>
        <w:t>unes</w:t>
      </w:r>
      <w:r w:rsidR="009B274C">
        <w:rPr>
          <w:lang w:val="es-ES"/>
        </w:rPr>
        <w:t xml:space="preserve"> de inversión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60"/>
        </w:tabs>
        <w:ind w:left="859"/>
        <w:rPr>
          <w:lang w:val="es-ES"/>
        </w:rPr>
      </w:pPr>
      <w:r>
        <w:rPr>
          <w:lang w:val="es-ES"/>
        </w:rPr>
        <w:t>acciones i</w:t>
      </w:r>
      <w:r w:rsidR="006A06CA" w:rsidRPr="00BB25AE">
        <w:rPr>
          <w:lang w:val="es-ES"/>
        </w:rPr>
        <w:t>ndividual (</w:t>
      </w:r>
      <w:r>
        <w:rPr>
          <w:lang w:val="es-ES"/>
        </w:rPr>
        <w:t>de una compañía en particular</w:t>
      </w:r>
      <w:r w:rsidR="006A06CA" w:rsidRPr="00BB25AE">
        <w:rPr>
          <w:lang w:val="es-ES"/>
        </w:rPr>
        <w:t>)</w:t>
      </w:r>
      <w:r>
        <w:rPr>
          <w:lang w:val="es-ES"/>
        </w:rPr>
        <w:t>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60"/>
        </w:tabs>
        <w:ind w:left="859"/>
        <w:rPr>
          <w:lang w:val="es-ES"/>
        </w:rPr>
      </w:pPr>
      <w:r>
        <w:rPr>
          <w:lang w:val="es-ES"/>
        </w:rPr>
        <w:t>bonos i</w:t>
      </w:r>
      <w:r w:rsidR="006A06CA" w:rsidRPr="00BB25AE">
        <w:rPr>
          <w:lang w:val="es-ES"/>
        </w:rPr>
        <w:t>ndividual</w:t>
      </w:r>
      <w:r w:rsidR="00AC4BF4">
        <w:rPr>
          <w:lang w:val="es-ES"/>
        </w:rPr>
        <w:t>es</w:t>
      </w:r>
      <w:r w:rsidR="006A06CA" w:rsidRPr="00BB25AE">
        <w:rPr>
          <w:lang w:val="es-ES"/>
        </w:rPr>
        <w:t xml:space="preserve"> (</w:t>
      </w:r>
      <w:r w:rsidRPr="006A278A">
        <w:rPr>
          <w:lang w:val="es-ES"/>
        </w:rPr>
        <w:t>de una compañía en particular</w:t>
      </w:r>
      <w:r w:rsidR="006A06CA" w:rsidRPr="00BB25AE">
        <w:rPr>
          <w:lang w:val="es-ES"/>
        </w:rPr>
        <w:t xml:space="preserve">), </w:t>
      </w:r>
      <w:r>
        <w:rPr>
          <w:lang w:val="es-ES"/>
        </w:rPr>
        <w:t>exigibles o no exigibles;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rPr>
          <w:lang w:val="es-ES"/>
        </w:rPr>
      </w:pPr>
      <w:r>
        <w:rPr>
          <w:lang w:val="es-ES"/>
        </w:rPr>
        <w:t>obligaciones hipotecarias garantizadas o valores con respaldo hipotecario.</w:t>
      </w:r>
    </w:p>
    <w:p w:rsidR="00026122" w:rsidRPr="00BB25AE" w:rsidRDefault="00026122" w:rsidP="00C57C4B">
      <w:pPr>
        <w:widowControl/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:rsidR="00026122" w:rsidRPr="00BB25AE" w:rsidRDefault="006A278A" w:rsidP="00C57C4B">
      <w:pPr>
        <w:pStyle w:val="BodyText"/>
        <w:widowControl/>
        <w:numPr>
          <w:ilvl w:val="1"/>
          <w:numId w:val="5"/>
        </w:numPr>
        <w:tabs>
          <w:tab w:val="left" w:pos="367"/>
        </w:tabs>
        <w:spacing w:line="275" w:lineRule="auto"/>
        <w:ind w:left="138" w:right="140" w:firstLine="0"/>
        <w:jc w:val="both"/>
        <w:rPr>
          <w:lang w:val="es-ES"/>
        </w:rPr>
      </w:pPr>
      <w:r>
        <w:rPr>
          <w:lang w:val="es-ES"/>
        </w:rPr>
        <w:t xml:space="preserve">Se considera que los siguientes </w:t>
      </w:r>
      <w:r w:rsidR="00C57C4B" w:rsidRPr="00BB25AE">
        <w:rPr>
          <w:lang w:val="es-ES"/>
        </w:rPr>
        <w:t>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plantean un riesgo inaceptable y no deben formar parte de </w:t>
      </w:r>
      <w:r w:rsidR="009B274C">
        <w:rPr>
          <w:lang w:val="es-ES"/>
        </w:rPr>
        <w:t>la cartera</w:t>
      </w:r>
      <w:r w:rsidR="006A06CA"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6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rPr>
          <w:lang w:val="es-ES"/>
        </w:rPr>
      </w:pPr>
      <w:r>
        <w:rPr>
          <w:lang w:val="es-ES"/>
        </w:rPr>
        <w:t>d</w:t>
      </w:r>
      <w:r w:rsidR="006A06CA" w:rsidRPr="00BB25AE">
        <w:rPr>
          <w:lang w:val="es-ES"/>
        </w:rPr>
        <w:t>eriva</w:t>
      </w:r>
      <w:r>
        <w:rPr>
          <w:lang w:val="es-ES"/>
        </w:rPr>
        <w:t>dos, como</w:t>
      </w:r>
      <w:r w:rsidR="008C302D">
        <w:rPr>
          <w:lang w:val="es-ES"/>
        </w:rPr>
        <w:t xml:space="preserve"> </w:t>
      </w:r>
      <w:r w:rsidR="006A06CA" w:rsidRPr="00BB25AE">
        <w:rPr>
          <w:lang w:val="es-ES"/>
        </w:rPr>
        <w:t>futur</w:t>
      </w:r>
      <w:r>
        <w:rPr>
          <w:lang w:val="es-ES"/>
        </w:rPr>
        <w:t>os y contratos de futuros;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rPr>
          <w:lang w:val="es-ES"/>
        </w:rPr>
      </w:pPr>
      <w:r>
        <w:rPr>
          <w:lang w:val="es-ES"/>
        </w:rPr>
        <w:t>opciones;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spacing w:line="268" w:lineRule="exact"/>
        <w:rPr>
          <w:lang w:val="es-ES"/>
        </w:rPr>
      </w:pPr>
      <w:r>
        <w:rPr>
          <w:lang w:val="es-ES"/>
        </w:rPr>
        <w:t>divisas;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spacing w:line="268" w:lineRule="exact"/>
        <w:rPr>
          <w:lang w:val="es-ES"/>
        </w:rPr>
      </w:pPr>
      <w:r>
        <w:rPr>
          <w:lang w:val="es-ES"/>
        </w:rPr>
        <w:t>metales preciosos;</w:t>
      </w:r>
    </w:p>
    <w:p w:rsidR="00026122" w:rsidRPr="00BB25AE" w:rsidRDefault="006A278A" w:rsidP="00C57C4B">
      <w:pPr>
        <w:pStyle w:val="BodyText"/>
        <w:widowControl/>
        <w:numPr>
          <w:ilvl w:val="2"/>
          <w:numId w:val="5"/>
        </w:numPr>
        <w:tabs>
          <w:tab w:val="left" w:pos="859"/>
        </w:tabs>
        <w:rPr>
          <w:lang w:val="es-ES"/>
        </w:rPr>
      </w:pPr>
      <w:r>
        <w:rPr>
          <w:lang w:val="es-ES"/>
        </w:rPr>
        <w:t>bienes inmuebles.</w:t>
      </w:r>
    </w:p>
    <w:p w:rsidR="00026122" w:rsidRPr="00BB25AE" w:rsidRDefault="00026122" w:rsidP="00C57C4B">
      <w:pPr>
        <w:widowControl/>
        <w:rPr>
          <w:rFonts w:ascii="Calibri" w:eastAsia="Calibri" w:hAnsi="Calibri" w:cs="Calibri"/>
          <w:lang w:val="es-ES"/>
        </w:rPr>
      </w:pPr>
    </w:p>
    <w:p w:rsidR="00026122" w:rsidRPr="00BB25AE" w:rsidRDefault="006A278A" w:rsidP="00C57C4B">
      <w:pPr>
        <w:pStyle w:val="BodyText"/>
        <w:widowControl/>
        <w:numPr>
          <w:ilvl w:val="1"/>
          <w:numId w:val="5"/>
        </w:numPr>
        <w:tabs>
          <w:tab w:val="left" w:pos="517"/>
        </w:tabs>
        <w:spacing w:line="276" w:lineRule="auto"/>
        <w:ind w:left="138" w:right="140" w:firstLine="0"/>
        <w:jc w:val="both"/>
        <w:rPr>
          <w:lang w:val="es-ES"/>
        </w:rPr>
      </w:pPr>
      <w:r>
        <w:rPr>
          <w:lang w:val="es-ES"/>
        </w:rPr>
        <w:t xml:space="preserve">El </w:t>
      </w:r>
      <w:r w:rsidR="00F90F8C">
        <w:rPr>
          <w:lang w:val="es-ES"/>
        </w:rPr>
        <w:t>asesor financiero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podrá recomendar que el Fondo Fiduciario mantenga un monto apropiado en efectivo o en </w:t>
      </w:r>
      <w:r w:rsidRPr="006A278A">
        <w:rPr>
          <w:lang w:val="es-ES"/>
        </w:rPr>
        <w:t>inversiones similares al efectivo</w:t>
      </w:r>
      <w:r>
        <w:rPr>
          <w:lang w:val="es-ES"/>
        </w:rPr>
        <w:t xml:space="preserve"> para requisitos opera</w:t>
      </w:r>
      <w:r w:rsidR="00AC4BF4">
        <w:rPr>
          <w:lang w:val="es-ES"/>
        </w:rPr>
        <w:t>cionales</w:t>
      </w:r>
      <w:r>
        <w:rPr>
          <w:lang w:val="es-ES"/>
        </w:rPr>
        <w:t xml:space="preserve">. Estos fondos no podrán considerarse como parte de las </w:t>
      </w:r>
      <w:r w:rsidR="0090510E">
        <w:rPr>
          <w:lang w:val="es-ES"/>
        </w:rPr>
        <w:t>clases de activos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para inversiones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rPr>
          <w:rFonts w:ascii="Calibri" w:eastAsia="Calibri" w:hAnsi="Calibri" w:cs="Calibri"/>
          <w:sz w:val="20"/>
          <w:szCs w:val="20"/>
          <w:lang w:val="es-ES"/>
        </w:rPr>
      </w:pPr>
    </w:p>
    <w:p w:rsidR="00026122" w:rsidRPr="00BB25AE" w:rsidRDefault="00026122" w:rsidP="00C57C4B">
      <w:pPr>
        <w:widowControl/>
        <w:spacing w:before="9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t>Part</w:t>
      </w:r>
      <w:r w:rsidR="009B274C">
        <w:rPr>
          <w:lang w:val="es-ES"/>
        </w:rPr>
        <w:t>e</w:t>
      </w:r>
      <w:r w:rsidRPr="00BB25AE">
        <w:rPr>
          <w:lang w:val="es-ES"/>
        </w:rPr>
        <w:t xml:space="preserve"> V. </w:t>
      </w:r>
      <w:r w:rsidR="006A278A">
        <w:rPr>
          <w:lang w:val="es-ES"/>
        </w:rPr>
        <w:t>Política en materia de gastos y liquidez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FD3DB2" w:rsidP="00C57C4B">
      <w:pPr>
        <w:pStyle w:val="BodyText"/>
        <w:widowControl/>
        <w:numPr>
          <w:ilvl w:val="0"/>
          <w:numId w:val="2"/>
        </w:numPr>
        <w:tabs>
          <w:tab w:val="left" w:pos="348"/>
        </w:tabs>
        <w:spacing w:line="275" w:lineRule="auto"/>
        <w:ind w:right="137" w:firstLine="1"/>
        <w:jc w:val="both"/>
        <w:rPr>
          <w:lang w:val="es-ES"/>
        </w:rPr>
      </w:pPr>
      <w:r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</w:t>
      </w:r>
      <w:r w:rsidR="006A278A">
        <w:rPr>
          <w:lang w:val="es-ES"/>
        </w:rPr>
        <w:t xml:space="preserve">dará seguimiento a los </w:t>
      </w:r>
      <w:r w:rsidR="006A278A" w:rsidRPr="006A278A">
        <w:rPr>
          <w:lang w:val="es-ES"/>
        </w:rPr>
        <w:t>flujos de efectivo de operaciones</w:t>
      </w:r>
      <w:r w:rsidR="006A06CA" w:rsidRPr="00BB25AE">
        <w:rPr>
          <w:lang w:val="es-ES"/>
        </w:rPr>
        <w:t xml:space="preserve"> </w:t>
      </w:r>
      <w:r w:rsidR="006A278A">
        <w:rPr>
          <w:lang w:val="es-ES"/>
        </w:rPr>
        <w:t>d</w:t>
      </w:r>
      <w:r w:rsidRPr="00BB25AE">
        <w:rPr>
          <w:lang w:val="es-ES"/>
        </w:rPr>
        <w:t>el Fondo</w:t>
      </w:r>
      <w:r w:rsidR="006A06CA" w:rsidRPr="00BB25AE">
        <w:rPr>
          <w:lang w:val="es-ES"/>
        </w:rPr>
        <w:t xml:space="preserve"> (exclu</w:t>
      </w:r>
      <w:r w:rsidR="008027D6">
        <w:rPr>
          <w:lang w:val="es-ES"/>
        </w:rPr>
        <w:t>idas las compras y ventas de inversiones</w:t>
      </w:r>
      <w:r w:rsidR="006A06CA" w:rsidRPr="00BB25AE">
        <w:rPr>
          <w:lang w:val="es-ES"/>
        </w:rPr>
        <w:t xml:space="preserve">) </w:t>
      </w:r>
      <w:r w:rsidR="008027D6">
        <w:rPr>
          <w:lang w:val="es-ES"/>
        </w:rPr>
        <w:t>para guiar sus decisiones sobre inversiones a largo plazo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8027D6" w:rsidP="00C57C4B">
      <w:pPr>
        <w:pStyle w:val="BodyText"/>
        <w:widowControl/>
        <w:numPr>
          <w:ilvl w:val="0"/>
          <w:numId w:val="2"/>
        </w:numPr>
        <w:tabs>
          <w:tab w:val="left" w:pos="350"/>
        </w:tabs>
        <w:spacing w:line="276" w:lineRule="auto"/>
        <w:ind w:right="137" w:firstLine="0"/>
        <w:jc w:val="both"/>
        <w:rPr>
          <w:lang w:val="es-ES"/>
        </w:rPr>
      </w:pPr>
      <w:r>
        <w:rPr>
          <w:lang w:val="es-ES"/>
        </w:rPr>
        <w:t xml:space="preserve">Con respecto a la </w:t>
      </w:r>
      <w:r w:rsidR="009B274C">
        <w:rPr>
          <w:lang w:val="es-ES"/>
        </w:rPr>
        <w:t>política de flujo de efectivo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y el monto que debe mantenerse con fines opera</w:t>
      </w:r>
      <w:r w:rsidR="00AC4BF4">
        <w:rPr>
          <w:lang w:val="es-ES"/>
        </w:rPr>
        <w:t>cionales</w:t>
      </w:r>
      <w:r>
        <w:rPr>
          <w:lang w:val="es-ES"/>
        </w:rPr>
        <w:t xml:space="preserve">,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limit</w:t>
      </w:r>
      <w:r>
        <w:rPr>
          <w:lang w:val="es-ES"/>
        </w:rPr>
        <w:t xml:space="preserve">a el monto de efectivo </w:t>
      </w:r>
      <w:r w:rsidR="006A06CA" w:rsidRPr="00BB25AE">
        <w:rPr>
          <w:lang w:val="es-ES"/>
        </w:rPr>
        <w:t>(</w:t>
      </w:r>
      <w:r>
        <w:rPr>
          <w:lang w:val="es-ES"/>
        </w:rPr>
        <w:t xml:space="preserve">u otras tenencias a corto plazo fuera de la </w:t>
      </w:r>
      <w:r w:rsidR="00CC7418">
        <w:rPr>
          <w:lang w:val="es-ES"/>
        </w:rPr>
        <w:t>cartera de inversiones administradas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a </w:t>
      </w:r>
      <w:r w:rsidR="006A06CA" w:rsidRPr="00BB25AE">
        <w:rPr>
          <w:lang w:val="es-ES"/>
        </w:rPr>
        <w:t>$2</w:t>
      </w:r>
      <w:r>
        <w:rPr>
          <w:lang w:val="es-ES"/>
        </w:rPr>
        <w:t>,</w:t>
      </w:r>
      <w:r w:rsidR="006A06CA" w:rsidRPr="00BB25AE">
        <w:rPr>
          <w:lang w:val="es-ES"/>
        </w:rPr>
        <w:t xml:space="preserve">0 </w:t>
      </w:r>
      <w:r w:rsidR="00E21956">
        <w:rPr>
          <w:lang w:val="es-ES"/>
        </w:rPr>
        <w:t>millones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en vez de un porcentaje que fluctúe según el valor total del Fondo. Por lo general, </w:t>
      </w:r>
      <w:r w:rsidR="00FD3DB2" w:rsidRPr="00BB25AE">
        <w:rPr>
          <w:lang w:val="es-ES"/>
        </w:rPr>
        <w:t>la Junta Directiva</w:t>
      </w:r>
      <w:r w:rsidR="006A06CA" w:rsidRPr="00BB25AE">
        <w:rPr>
          <w:lang w:val="es-ES"/>
        </w:rPr>
        <w:t xml:space="preserve"> e</w:t>
      </w:r>
      <w:r>
        <w:rPr>
          <w:lang w:val="es-ES"/>
        </w:rPr>
        <w:t>spera que el Departamento de Servicios Financieros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mantenga montos de efectivo </w:t>
      </w:r>
      <w:r w:rsidR="006A06CA" w:rsidRPr="00BB25AE">
        <w:rPr>
          <w:lang w:val="es-ES"/>
        </w:rPr>
        <w:t>(</w:t>
      </w:r>
      <w:r w:rsidRPr="008027D6">
        <w:rPr>
          <w:lang w:val="es-ES"/>
        </w:rPr>
        <w:t>u otras tenencias a corto plazo fuera de la</w:t>
      </w:r>
      <w:r w:rsidR="006A06CA" w:rsidRPr="00BB25AE">
        <w:rPr>
          <w:lang w:val="es-ES"/>
        </w:rPr>
        <w:t xml:space="preserve"> </w:t>
      </w:r>
      <w:r w:rsidR="00CC7418">
        <w:rPr>
          <w:lang w:val="es-ES"/>
        </w:rPr>
        <w:t>cartera de inversiones administradas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en la gama de </w:t>
      </w:r>
      <w:r w:rsidR="006A06CA" w:rsidRPr="00BB25AE">
        <w:rPr>
          <w:lang w:val="es-ES"/>
        </w:rPr>
        <w:t>$500</w:t>
      </w:r>
      <w:r>
        <w:rPr>
          <w:lang w:val="es-ES"/>
        </w:rPr>
        <w:t>.</w:t>
      </w:r>
      <w:r w:rsidR="006A06CA" w:rsidRPr="00BB25AE">
        <w:rPr>
          <w:lang w:val="es-ES"/>
        </w:rPr>
        <w:t xml:space="preserve">000 </w:t>
      </w:r>
      <w:r>
        <w:rPr>
          <w:lang w:val="es-ES"/>
        </w:rPr>
        <w:t>a</w:t>
      </w:r>
      <w:r w:rsidR="006A06CA" w:rsidRPr="00BB25AE">
        <w:rPr>
          <w:lang w:val="es-ES"/>
        </w:rPr>
        <w:t xml:space="preserve"> $2 </w:t>
      </w:r>
      <w:r w:rsidR="00E21956">
        <w:rPr>
          <w:lang w:val="es-ES"/>
        </w:rPr>
        <w:t>millones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E64718" w:rsidP="00C57C4B">
      <w:pPr>
        <w:pStyle w:val="BodyText"/>
        <w:widowControl/>
        <w:numPr>
          <w:ilvl w:val="0"/>
          <w:numId w:val="2"/>
        </w:numPr>
        <w:tabs>
          <w:tab w:val="left" w:pos="381"/>
        </w:tabs>
        <w:spacing w:line="276" w:lineRule="auto"/>
        <w:ind w:left="140" w:right="138" w:firstLine="0"/>
        <w:jc w:val="both"/>
        <w:rPr>
          <w:lang w:val="es-ES"/>
        </w:rPr>
      </w:pPr>
      <w:r>
        <w:rPr>
          <w:lang w:val="es-ES"/>
        </w:rPr>
        <w:t>Si el efectivo supera ese nivel</w:t>
      </w:r>
      <w:r w:rsidR="006A06CA" w:rsidRPr="00BB25AE">
        <w:rPr>
          <w:lang w:val="es-ES"/>
        </w:rPr>
        <w:t xml:space="preserve">, </w:t>
      </w:r>
      <w:r w:rsidR="00E21956">
        <w:rPr>
          <w:lang w:val="es-ES"/>
        </w:rPr>
        <w:t xml:space="preserve">el </w:t>
      </w:r>
      <w:r w:rsidR="00E21956" w:rsidRPr="00E21956">
        <w:rPr>
          <w:lang w:val="es-ES"/>
        </w:rPr>
        <w:t>Departamento de Servicios Financieros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distribuirá el excedente de efectivo entre las inversiones del F</w:t>
      </w:r>
      <w:r w:rsidR="00FD3DB2" w:rsidRPr="00BB25AE">
        <w:rPr>
          <w:lang w:val="es-ES"/>
        </w:rPr>
        <w:t>ondo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para generar ganancias. Esas inversiones se efectuarán </w:t>
      </w:r>
      <w:r w:rsidR="006A06CA" w:rsidRPr="00BB25AE">
        <w:rPr>
          <w:lang w:val="es-ES"/>
        </w:rPr>
        <w:t>(</w:t>
      </w:r>
      <w:r>
        <w:rPr>
          <w:lang w:val="es-ES"/>
        </w:rPr>
        <w:t>de acuerdo con la p</w:t>
      </w:r>
      <w:r w:rsidR="006A06CA" w:rsidRPr="00BB25AE">
        <w:rPr>
          <w:lang w:val="es-ES"/>
        </w:rPr>
        <w:t>art</w:t>
      </w:r>
      <w:r>
        <w:rPr>
          <w:lang w:val="es-ES"/>
        </w:rPr>
        <w:t>e</w:t>
      </w:r>
      <w:r w:rsidR="006A06CA" w:rsidRPr="00BB25AE">
        <w:rPr>
          <w:lang w:val="es-ES"/>
        </w:rPr>
        <w:t xml:space="preserve"> IV, </w:t>
      </w:r>
      <w:r>
        <w:rPr>
          <w:lang w:val="es-ES"/>
        </w:rPr>
        <w:t xml:space="preserve">apartado </w:t>
      </w:r>
      <w:r w:rsidR="006A06CA" w:rsidRPr="00BB25AE">
        <w:rPr>
          <w:lang w:val="es-ES"/>
        </w:rPr>
        <w:t>C</w:t>
      </w:r>
      <w:r>
        <w:rPr>
          <w:lang w:val="es-ES"/>
        </w:rPr>
        <w:t>,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“</w:t>
      </w:r>
      <w:r w:rsidR="00184449">
        <w:rPr>
          <w:lang w:val="es-ES"/>
        </w:rPr>
        <w:t>Reequilibrio</w:t>
      </w:r>
      <w:r>
        <w:rPr>
          <w:lang w:val="es-ES"/>
        </w:rPr>
        <w:t>”</w:t>
      </w:r>
      <w:r w:rsidR="006A06CA" w:rsidRPr="00BB25AE">
        <w:rPr>
          <w:lang w:val="es-ES"/>
        </w:rPr>
        <w:t xml:space="preserve">) </w:t>
      </w:r>
      <w:r>
        <w:rPr>
          <w:lang w:val="es-ES"/>
        </w:rPr>
        <w:t xml:space="preserve">con el fin de mantener una </w:t>
      </w:r>
      <w:r w:rsidR="00174708">
        <w:rPr>
          <w:lang w:val="es-ES"/>
        </w:rPr>
        <w:t>cartera equilibrada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de </w:t>
      </w:r>
      <w:r>
        <w:rPr>
          <w:lang w:val="es-ES"/>
        </w:rPr>
        <w:lastRenderedPageBreak/>
        <w:t xml:space="preserve">conformidad con el </w:t>
      </w:r>
      <w:r w:rsidR="00E21956">
        <w:rPr>
          <w:lang w:val="es-ES"/>
        </w:rPr>
        <w:t>plan de inversiones</w:t>
      </w:r>
      <w:r w:rsidR="006A06CA" w:rsidRPr="00BB25AE">
        <w:rPr>
          <w:lang w:val="es-ES"/>
        </w:rPr>
        <w:t xml:space="preserve"> (</w:t>
      </w:r>
      <w:r>
        <w:rPr>
          <w:lang w:val="es-ES"/>
        </w:rPr>
        <w:t>por ejemplo, si el efectivo aumenta a</w:t>
      </w:r>
      <w:r w:rsidR="006A06CA" w:rsidRPr="00BB25AE">
        <w:rPr>
          <w:lang w:val="es-ES"/>
        </w:rPr>
        <w:t xml:space="preserve"> $2</w:t>
      </w:r>
      <w:r>
        <w:rPr>
          <w:lang w:val="es-ES"/>
        </w:rPr>
        <w:t>,</w:t>
      </w:r>
      <w:r w:rsidR="006A06CA" w:rsidRPr="00BB25AE">
        <w:rPr>
          <w:lang w:val="es-ES"/>
        </w:rPr>
        <w:t xml:space="preserve">2 </w:t>
      </w:r>
      <w:r w:rsidR="00E21956">
        <w:rPr>
          <w:lang w:val="es-ES"/>
        </w:rPr>
        <w:t>millones</w:t>
      </w:r>
      <w:r w:rsidR="006A06CA" w:rsidRPr="00BB25AE">
        <w:rPr>
          <w:lang w:val="es-ES"/>
        </w:rPr>
        <w:t xml:space="preserve">, </w:t>
      </w:r>
      <w:r w:rsidR="00E21956" w:rsidRPr="00E21956">
        <w:rPr>
          <w:lang w:val="es-ES"/>
        </w:rPr>
        <w:t>el Departamento de Servicios Financieros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>invertiría por lo menos</w:t>
      </w:r>
      <w:r w:rsidR="006A06CA" w:rsidRPr="00BB25AE">
        <w:rPr>
          <w:lang w:val="es-ES"/>
        </w:rPr>
        <w:t xml:space="preserve"> $200</w:t>
      </w:r>
      <w:r>
        <w:rPr>
          <w:lang w:val="es-ES"/>
        </w:rPr>
        <w:t>.</w:t>
      </w:r>
      <w:r w:rsidR="006A06CA" w:rsidRPr="00BB25AE">
        <w:rPr>
          <w:lang w:val="es-ES"/>
        </w:rPr>
        <w:t>000</w:t>
      </w:r>
      <w:r>
        <w:rPr>
          <w:lang w:val="es-ES"/>
        </w:rPr>
        <w:t xml:space="preserve"> y colocaría estos fondos en </w:t>
      </w:r>
      <w:r w:rsidR="00E21956">
        <w:rPr>
          <w:lang w:val="es-ES"/>
        </w:rPr>
        <w:t>categorías de inversiones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cuyo valor esté por debajo del porcentaje objetivo de las inversiones o compraría acciones en varios fondos para mantener una </w:t>
      </w:r>
      <w:r w:rsidR="00174708">
        <w:rPr>
          <w:lang w:val="es-ES"/>
        </w:rPr>
        <w:t>cartera equilibrada</w:t>
      </w:r>
      <w:r w:rsidR="006A06CA" w:rsidRPr="00BB25AE">
        <w:rPr>
          <w:lang w:val="es-ES"/>
        </w:rPr>
        <w:t>)</w:t>
      </w:r>
      <w:r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705401" w:rsidP="00C57C4B">
      <w:pPr>
        <w:pStyle w:val="BodyText"/>
        <w:widowControl/>
        <w:numPr>
          <w:ilvl w:val="0"/>
          <w:numId w:val="2"/>
        </w:numPr>
        <w:tabs>
          <w:tab w:val="left" w:pos="364"/>
        </w:tabs>
        <w:spacing w:line="276" w:lineRule="auto"/>
        <w:ind w:left="140" w:right="137" w:firstLine="0"/>
        <w:jc w:val="both"/>
        <w:rPr>
          <w:lang w:val="es-ES"/>
        </w:rPr>
      </w:pPr>
      <w:r>
        <w:rPr>
          <w:lang w:val="es-ES"/>
        </w:rPr>
        <w:t xml:space="preserve">El Departamento de Servicios Financieros </w:t>
      </w:r>
      <w:r w:rsidR="003F6E7C">
        <w:rPr>
          <w:lang w:val="es-ES"/>
        </w:rPr>
        <w:t xml:space="preserve">dará seguimiento a los flujos de efectivo reales y proyectados y está autorizado a vender </w:t>
      </w:r>
      <w:r w:rsidR="00FE3708">
        <w:rPr>
          <w:lang w:val="es-ES"/>
        </w:rPr>
        <w:t>inversiones</w:t>
      </w:r>
      <w:r w:rsidR="003F6E7C">
        <w:rPr>
          <w:lang w:val="es-ES"/>
        </w:rPr>
        <w:t xml:space="preserve"> en cualquier </w:t>
      </w:r>
      <w:r w:rsidR="00FE3708">
        <w:rPr>
          <w:lang w:val="es-ES"/>
        </w:rPr>
        <w:t>momento</w:t>
      </w:r>
      <w:r w:rsidR="003F6E7C">
        <w:rPr>
          <w:lang w:val="es-ES"/>
        </w:rPr>
        <w:t xml:space="preserve"> para </w:t>
      </w:r>
      <w:r w:rsidR="00FE3708">
        <w:rPr>
          <w:lang w:val="es-ES"/>
        </w:rPr>
        <w:t xml:space="preserve">atender las necesidades proyectadas de flujo de efectivo, siempre que el monto total de efectivo </w:t>
      </w:r>
      <w:r w:rsidR="006A06CA" w:rsidRPr="00BB25AE">
        <w:rPr>
          <w:lang w:val="es-ES"/>
        </w:rPr>
        <w:t>(</w:t>
      </w:r>
      <w:r w:rsidR="00FE3708">
        <w:rPr>
          <w:lang w:val="es-ES"/>
        </w:rPr>
        <w:t>u otras tenencias a corto plazo fuera de la</w:t>
      </w:r>
      <w:r w:rsidR="006A06CA" w:rsidRPr="00BB25AE">
        <w:rPr>
          <w:lang w:val="es-ES"/>
        </w:rPr>
        <w:t xml:space="preserve"> </w:t>
      </w:r>
      <w:r w:rsidR="00CC7418">
        <w:rPr>
          <w:lang w:val="es-ES"/>
        </w:rPr>
        <w:t>cartera de inversiones administradas</w:t>
      </w:r>
      <w:r w:rsidR="006A06CA" w:rsidRPr="00BB25AE">
        <w:rPr>
          <w:lang w:val="es-ES"/>
        </w:rPr>
        <w:t xml:space="preserve">) </w:t>
      </w:r>
      <w:r w:rsidR="00FE3708">
        <w:rPr>
          <w:lang w:val="es-ES"/>
        </w:rPr>
        <w:t xml:space="preserve">no exceda de </w:t>
      </w:r>
      <w:r w:rsidR="006A06CA" w:rsidRPr="00BB25AE">
        <w:rPr>
          <w:lang w:val="es-ES"/>
        </w:rPr>
        <w:t xml:space="preserve">$2 </w:t>
      </w:r>
      <w:r w:rsidR="00E21956">
        <w:rPr>
          <w:lang w:val="es-ES"/>
        </w:rPr>
        <w:t>millones</w:t>
      </w:r>
      <w:r w:rsidR="006A06CA" w:rsidRPr="00BB25AE">
        <w:rPr>
          <w:lang w:val="es-ES"/>
        </w:rPr>
        <w:t xml:space="preserve">. </w:t>
      </w:r>
      <w:r w:rsidR="00FE3708">
        <w:rPr>
          <w:lang w:val="es-ES"/>
        </w:rPr>
        <w:t xml:space="preserve">Estas ventas se efectuarán </w:t>
      </w:r>
      <w:r w:rsidR="006A06CA" w:rsidRPr="00BB25AE">
        <w:rPr>
          <w:lang w:val="es-ES"/>
        </w:rPr>
        <w:t>(</w:t>
      </w:r>
      <w:r w:rsidR="00FE3708" w:rsidRPr="00FE3708">
        <w:rPr>
          <w:lang w:val="es-ES"/>
        </w:rPr>
        <w:t>de acuerdo con la parte IV, apartado C, “Reequilibrio”) con el fin de mantener una cartera equilibrada de conformidad con el plan de inversiones</w:t>
      </w:r>
      <w:r w:rsidR="006A06CA" w:rsidRPr="00BB25AE">
        <w:rPr>
          <w:lang w:val="es-ES"/>
        </w:rPr>
        <w:t xml:space="preserve">. </w:t>
      </w:r>
      <w:r w:rsidR="00883441" w:rsidRPr="00883441">
        <w:rPr>
          <w:lang w:val="es-ES"/>
        </w:rPr>
        <w:t>El Departamento de Servicios Financieros</w:t>
      </w:r>
      <w:r w:rsidR="006A06CA" w:rsidRPr="00BB25AE">
        <w:rPr>
          <w:lang w:val="es-ES"/>
        </w:rPr>
        <w:t xml:space="preserve"> </w:t>
      </w:r>
      <w:r w:rsidR="00FE3708">
        <w:rPr>
          <w:lang w:val="es-ES"/>
        </w:rPr>
        <w:t xml:space="preserve">debe tratar de vender acciones de </w:t>
      </w:r>
      <w:r w:rsidR="00E21956">
        <w:rPr>
          <w:lang w:val="es-ES"/>
        </w:rPr>
        <w:t>categorías de inversiones</w:t>
      </w:r>
      <w:r w:rsidR="006A06CA" w:rsidRPr="00BB25AE">
        <w:rPr>
          <w:lang w:val="es-ES"/>
        </w:rPr>
        <w:t xml:space="preserve"> </w:t>
      </w:r>
      <w:r w:rsidR="00FE3708">
        <w:rPr>
          <w:lang w:val="es-ES"/>
        </w:rPr>
        <w:t>o fondos cuyo valor sea superior al porcentaje objetivo de las inversiones</w:t>
      </w:r>
      <w:r w:rsidR="006A06CA" w:rsidRPr="00BB25AE">
        <w:rPr>
          <w:lang w:val="es-ES"/>
        </w:rPr>
        <w:t xml:space="preserve"> o</w:t>
      </w:r>
      <w:r w:rsidR="00FE3708">
        <w:rPr>
          <w:lang w:val="es-ES"/>
        </w:rPr>
        <w:t xml:space="preserve"> vender acciones de varios fondos para mantener una </w:t>
      </w:r>
      <w:r w:rsidR="00174708">
        <w:rPr>
          <w:lang w:val="es-ES"/>
        </w:rPr>
        <w:t>cartera equilibrada</w:t>
      </w:r>
      <w:r w:rsidR="006A06CA" w:rsidRPr="00BB25AE">
        <w:rPr>
          <w:lang w:val="es-ES"/>
        </w:rPr>
        <w:t xml:space="preserve"> (</w:t>
      </w:r>
      <w:r w:rsidR="00FE3708">
        <w:rPr>
          <w:lang w:val="es-ES"/>
        </w:rPr>
        <w:t xml:space="preserve">por ejemplo, si el efectivo se reduce a menos de </w:t>
      </w:r>
      <w:r w:rsidR="006A06CA" w:rsidRPr="00BB25AE">
        <w:rPr>
          <w:lang w:val="es-ES"/>
        </w:rPr>
        <w:t>$200</w:t>
      </w:r>
      <w:r w:rsidR="00FE3708">
        <w:rPr>
          <w:lang w:val="es-ES"/>
        </w:rPr>
        <w:t>.</w:t>
      </w:r>
      <w:r w:rsidR="006A06CA" w:rsidRPr="00BB25AE">
        <w:rPr>
          <w:lang w:val="es-ES"/>
        </w:rPr>
        <w:t xml:space="preserve">000 </w:t>
      </w:r>
      <w:r w:rsidR="00FE3708">
        <w:rPr>
          <w:lang w:val="es-ES"/>
        </w:rPr>
        <w:t>y</w:t>
      </w:r>
      <w:r w:rsidR="006A06CA" w:rsidRPr="00BB25AE">
        <w:rPr>
          <w:lang w:val="es-ES"/>
        </w:rPr>
        <w:t xml:space="preserve"> </w:t>
      </w:r>
      <w:r w:rsidR="00FE3708">
        <w:rPr>
          <w:lang w:val="es-ES"/>
        </w:rPr>
        <w:t xml:space="preserve">se </w:t>
      </w:r>
      <w:r w:rsidR="006A06CA" w:rsidRPr="00BB25AE">
        <w:rPr>
          <w:lang w:val="es-ES"/>
        </w:rPr>
        <w:t>pr</w:t>
      </w:r>
      <w:r w:rsidR="00FE3708">
        <w:rPr>
          <w:lang w:val="es-ES"/>
        </w:rPr>
        <w:t xml:space="preserve">evé una salida de efectivo de </w:t>
      </w:r>
      <w:r w:rsidR="006A06CA" w:rsidRPr="00BB25AE">
        <w:rPr>
          <w:lang w:val="es-ES"/>
        </w:rPr>
        <w:t>$500</w:t>
      </w:r>
      <w:r w:rsidR="00FE3708">
        <w:rPr>
          <w:lang w:val="es-ES"/>
        </w:rPr>
        <w:t>.</w:t>
      </w:r>
      <w:r w:rsidR="006A06CA" w:rsidRPr="00BB25AE">
        <w:rPr>
          <w:lang w:val="es-ES"/>
        </w:rPr>
        <w:t xml:space="preserve">000, </w:t>
      </w:r>
      <w:r w:rsidR="00E64718">
        <w:rPr>
          <w:lang w:val="es-ES"/>
        </w:rPr>
        <w:t xml:space="preserve">el Departamento </w:t>
      </w:r>
      <w:r w:rsidR="00FE3708">
        <w:rPr>
          <w:lang w:val="es-ES"/>
        </w:rPr>
        <w:t xml:space="preserve">estará autorizado a vender inversiones por un valor de hasta </w:t>
      </w:r>
      <w:r w:rsidR="006A06CA" w:rsidRPr="00BB25AE">
        <w:rPr>
          <w:lang w:val="es-ES"/>
        </w:rPr>
        <w:t>$2</w:t>
      </w:r>
      <w:r w:rsidR="00FE3708">
        <w:rPr>
          <w:lang w:val="es-ES"/>
        </w:rPr>
        <w:t>,</w:t>
      </w:r>
      <w:r w:rsidR="006A06CA" w:rsidRPr="00BB25AE">
        <w:rPr>
          <w:lang w:val="es-ES"/>
        </w:rPr>
        <w:t xml:space="preserve">3 </w:t>
      </w:r>
      <w:r w:rsidR="00E21956">
        <w:rPr>
          <w:lang w:val="es-ES"/>
        </w:rPr>
        <w:t>millones</w:t>
      </w:r>
      <w:r w:rsidR="006A06CA" w:rsidRPr="00BB25AE">
        <w:rPr>
          <w:lang w:val="es-ES"/>
        </w:rPr>
        <w:t>)</w:t>
      </w:r>
      <w:r w:rsidR="00AC4BF4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Heading1"/>
        <w:widowControl/>
        <w:jc w:val="both"/>
        <w:rPr>
          <w:b w:val="0"/>
          <w:bCs w:val="0"/>
          <w:lang w:val="es-ES"/>
        </w:rPr>
      </w:pPr>
      <w:r w:rsidRPr="00BB25AE">
        <w:rPr>
          <w:lang w:val="es-ES"/>
        </w:rPr>
        <w:t>Part</w:t>
      </w:r>
      <w:r w:rsidR="009B274C">
        <w:rPr>
          <w:lang w:val="es-ES"/>
        </w:rPr>
        <w:t>e</w:t>
      </w:r>
      <w:r w:rsidRPr="00BB25AE">
        <w:rPr>
          <w:lang w:val="es-ES"/>
        </w:rPr>
        <w:t xml:space="preserve"> VI. </w:t>
      </w:r>
      <w:r w:rsidR="009B274C" w:rsidRPr="00BB25AE">
        <w:rPr>
          <w:lang w:val="es-ES"/>
        </w:rPr>
        <w:t>Coordinación</w:t>
      </w:r>
      <w:r w:rsidRPr="00BB25AE">
        <w:rPr>
          <w:lang w:val="es-ES"/>
        </w:rPr>
        <w:t xml:space="preserve"> </w:t>
      </w:r>
      <w:r w:rsidR="009B274C">
        <w:rPr>
          <w:lang w:val="es-ES"/>
        </w:rPr>
        <w:t xml:space="preserve">con la </w:t>
      </w:r>
      <w:r w:rsidR="003F230A" w:rsidRPr="00BB25AE">
        <w:rPr>
          <w:lang w:val="es-ES"/>
        </w:rPr>
        <w:t>Declaración del Fondo Fiduciario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026122" w:rsidRPr="00BB25AE" w:rsidRDefault="00B531D1" w:rsidP="00C57C4B">
      <w:pPr>
        <w:pStyle w:val="BodyText"/>
        <w:widowControl/>
        <w:spacing w:line="275" w:lineRule="auto"/>
        <w:ind w:left="139" w:right="140"/>
        <w:jc w:val="both"/>
        <w:rPr>
          <w:lang w:val="es-ES"/>
        </w:rPr>
      </w:pPr>
      <w:r>
        <w:rPr>
          <w:lang w:val="es-ES"/>
        </w:rPr>
        <w:t>Sin perjuicio de lo que antecede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si cualquier término o condición de la presente </w:t>
      </w:r>
      <w:r w:rsidR="0076725C" w:rsidRPr="00BB25AE">
        <w:rPr>
          <w:lang w:val="es-ES"/>
        </w:rPr>
        <w:t>política de inversiones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contradice </w:t>
      </w:r>
      <w:r w:rsidRPr="00B531D1">
        <w:rPr>
          <w:lang w:val="es-ES"/>
        </w:rPr>
        <w:t xml:space="preserve">cualquier </w:t>
      </w:r>
      <w:r>
        <w:rPr>
          <w:lang w:val="es-ES"/>
        </w:rPr>
        <w:t>término</w:t>
      </w:r>
      <w:r w:rsidRPr="00B531D1">
        <w:rPr>
          <w:lang w:val="es-ES"/>
        </w:rPr>
        <w:t xml:space="preserve"> o condición de</w:t>
      </w:r>
      <w:r w:rsidR="00FD3DB2" w:rsidRPr="00BB25AE">
        <w:rPr>
          <w:lang w:val="es-ES"/>
        </w:rPr>
        <w:t>l Fondo Fiduciario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regirán los términos y las condiciones de la </w:t>
      </w:r>
      <w:r w:rsidR="003F230A" w:rsidRPr="00BB25AE">
        <w:rPr>
          <w:lang w:val="es-ES"/>
        </w:rPr>
        <w:t>Declaración del Fondo Fiduciario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B531D1" w:rsidP="00C57C4B">
      <w:pPr>
        <w:pStyle w:val="BodyText"/>
        <w:widowControl/>
        <w:spacing w:line="276" w:lineRule="auto"/>
        <w:ind w:left="139" w:right="138"/>
        <w:jc w:val="both"/>
        <w:rPr>
          <w:lang w:val="es-ES"/>
        </w:rPr>
      </w:pPr>
      <w:r>
        <w:rPr>
          <w:lang w:val="es-ES"/>
        </w:rPr>
        <w:t xml:space="preserve">La presente </w:t>
      </w:r>
      <w:r w:rsidR="0076725C" w:rsidRPr="00BB25AE">
        <w:rPr>
          <w:lang w:val="es-ES"/>
        </w:rPr>
        <w:t>Declaración de la Política de Inversiones</w:t>
      </w:r>
      <w:r w:rsidR="006A06CA" w:rsidRPr="00BB25AE">
        <w:rPr>
          <w:lang w:val="es-ES"/>
        </w:rPr>
        <w:t xml:space="preserve"> </w:t>
      </w:r>
      <w:r>
        <w:rPr>
          <w:lang w:val="es-ES"/>
        </w:rPr>
        <w:t xml:space="preserve">se revisará anualmente, según sea necesario. Si es procedente, podrá enmendarse a fin de que refleje los cambios en los </w:t>
      </w:r>
      <w:r w:rsidR="0090510E">
        <w:rPr>
          <w:lang w:val="es-ES"/>
        </w:rPr>
        <w:t>mercados de capital</w:t>
      </w:r>
      <w:r w:rsidR="006A06CA" w:rsidRPr="00BB25AE">
        <w:rPr>
          <w:lang w:val="es-ES"/>
        </w:rPr>
        <w:t xml:space="preserve">, </w:t>
      </w:r>
      <w:r>
        <w:rPr>
          <w:lang w:val="es-ES"/>
        </w:rPr>
        <w:t xml:space="preserve">los objetivos del Fondo Fiduciario u otros </w:t>
      </w:r>
      <w:r w:rsidR="006A06CA" w:rsidRPr="00BB25AE">
        <w:rPr>
          <w:lang w:val="es-ES"/>
        </w:rPr>
        <w:t>factor</w:t>
      </w:r>
      <w:r>
        <w:rPr>
          <w:lang w:val="es-ES"/>
        </w:rPr>
        <w:t>e</w:t>
      </w:r>
      <w:r w:rsidR="006A06CA" w:rsidRPr="00BB25AE">
        <w:rPr>
          <w:lang w:val="es-ES"/>
        </w:rPr>
        <w:t xml:space="preserve">s </w:t>
      </w:r>
      <w:r>
        <w:rPr>
          <w:lang w:val="es-ES"/>
        </w:rPr>
        <w:t>pertinentes para el Fondo</w:t>
      </w:r>
      <w:r w:rsidR="006A06CA" w:rsidRPr="00BB25AE">
        <w:rPr>
          <w:lang w:val="es-ES"/>
        </w:rPr>
        <w:t xml:space="preserve">. </w:t>
      </w:r>
      <w:r>
        <w:rPr>
          <w:lang w:val="es-ES"/>
        </w:rPr>
        <w:t xml:space="preserve">Esta </w:t>
      </w:r>
      <w:r w:rsidR="0076725C" w:rsidRPr="00BB25AE">
        <w:rPr>
          <w:lang w:val="es-ES"/>
        </w:rPr>
        <w:t xml:space="preserve">Declaración </w:t>
      </w:r>
      <w:r>
        <w:rPr>
          <w:lang w:val="es-ES"/>
        </w:rPr>
        <w:t xml:space="preserve">no podrá modificarse sin la aprobación previa por escrito de la </w:t>
      </w:r>
      <w:r w:rsidR="00883441" w:rsidRPr="00883441">
        <w:rPr>
          <w:lang w:val="es-ES"/>
        </w:rPr>
        <w:t>Junta de Fideicomisarios Delegados</w:t>
      </w:r>
      <w:r w:rsidR="006A06CA" w:rsidRPr="00BB25AE">
        <w:rPr>
          <w:lang w:val="es-ES"/>
        </w:rPr>
        <w:t>.</w:t>
      </w:r>
    </w:p>
    <w:p w:rsidR="00026122" w:rsidRPr="00BB25AE" w:rsidRDefault="00026122" w:rsidP="00C57C4B">
      <w:pPr>
        <w:widowControl/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6A06CA" w:rsidP="00C57C4B">
      <w:pPr>
        <w:pStyle w:val="BodyText"/>
        <w:widowControl/>
        <w:ind w:left="139"/>
        <w:jc w:val="both"/>
        <w:rPr>
          <w:lang w:val="es-ES"/>
        </w:rPr>
      </w:pPr>
      <w:r w:rsidRPr="00BB25AE">
        <w:rPr>
          <w:lang w:val="es-ES"/>
        </w:rPr>
        <w:t>Anex</w:t>
      </w:r>
      <w:r w:rsidR="00883441">
        <w:rPr>
          <w:lang w:val="es-ES"/>
        </w:rPr>
        <w:t>o</w:t>
      </w:r>
      <w:r w:rsidRPr="00BB25AE">
        <w:rPr>
          <w:lang w:val="es-ES"/>
        </w:rPr>
        <w:t>s:</w:t>
      </w:r>
    </w:p>
    <w:p w:rsidR="00026122" w:rsidRPr="00BB25AE" w:rsidRDefault="00026122" w:rsidP="00C57C4B">
      <w:pPr>
        <w:widowControl/>
        <w:spacing w:before="9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6A06CA" w:rsidP="00C57C4B">
      <w:pPr>
        <w:pStyle w:val="BodyText"/>
        <w:widowControl/>
        <w:numPr>
          <w:ilvl w:val="1"/>
          <w:numId w:val="2"/>
        </w:numPr>
        <w:tabs>
          <w:tab w:val="left" w:pos="860"/>
        </w:tabs>
        <w:rPr>
          <w:lang w:val="es-ES"/>
        </w:rPr>
      </w:pPr>
      <w:r w:rsidRPr="00BB25AE">
        <w:rPr>
          <w:lang w:val="es-ES"/>
        </w:rPr>
        <w:t>Anex</w:t>
      </w:r>
      <w:r w:rsidR="00883441">
        <w:rPr>
          <w:lang w:val="es-ES"/>
        </w:rPr>
        <w:t>o</w:t>
      </w:r>
      <w:r w:rsidRPr="00BB25AE">
        <w:rPr>
          <w:lang w:val="es-ES"/>
        </w:rPr>
        <w:t xml:space="preserve"> A</w:t>
      </w:r>
      <w:r w:rsidR="00883441">
        <w:rPr>
          <w:lang w:val="es-ES"/>
        </w:rPr>
        <w:t>. A</w:t>
      </w:r>
      <w:r w:rsidR="00883441" w:rsidRPr="00883441">
        <w:rPr>
          <w:lang w:val="es-ES"/>
        </w:rPr>
        <w:t xml:space="preserve">signación de inversiones aprobada </w:t>
      </w:r>
      <w:r w:rsidR="00883441">
        <w:rPr>
          <w:lang w:val="es-ES"/>
        </w:rPr>
        <w:t xml:space="preserve">del </w:t>
      </w:r>
      <w:r w:rsidR="00FD3DB2" w:rsidRPr="00BB25AE">
        <w:rPr>
          <w:lang w:val="es-ES"/>
        </w:rPr>
        <w:t>Fondo Fiduciario de Beneficios Médicos</w:t>
      </w:r>
      <w:r w:rsidRPr="00BB25AE">
        <w:rPr>
          <w:lang w:val="es-ES"/>
        </w:rPr>
        <w:t xml:space="preserve"> </w:t>
      </w:r>
    </w:p>
    <w:p w:rsidR="00026122" w:rsidRPr="00BB25AE" w:rsidRDefault="00026122" w:rsidP="00C57C4B">
      <w:pPr>
        <w:widowControl/>
        <w:rPr>
          <w:lang w:val="es-ES"/>
        </w:rPr>
        <w:sectPr w:rsidR="00026122" w:rsidRPr="00BB25AE" w:rsidSect="006B00BA">
          <w:type w:val="oddPage"/>
          <w:pgSz w:w="12240" w:h="15840"/>
          <w:pgMar w:top="1500" w:right="1300" w:bottom="1260" w:left="1300" w:header="0" w:footer="1069" w:gutter="0"/>
          <w:cols w:space="720"/>
        </w:sectPr>
      </w:pPr>
    </w:p>
    <w:p w:rsidR="00026122" w:rsidRPr="00BB25AE" w:rsidRDefault="006A06CA" w:rsidP="00C57C4B">
      <w:pPr>
        <w:pStyle w:val="BodyText"/>
        <w:widowControl/>
        <w:spacing w:before="39"/>
        <w:ind w:left="140"/>
        <w:rPr>
          <w:lang w:val="es-ES"/>
        </w:rPr>
      </w:pPr>
      <w:r w:rsidRPr="00BB25AE">
        <w:rPr>
          <w:lang w:val="es-ES"/>
        </w:rPr>
        <w:lastRenderedPageBreak/>
        <w:t>Referenc</w:t>
      </w:r>
      <w:r w:rsidR="009B274C">
        <w:rPr>
          <w:lang w:val="es-ES"/>
        </w:rPr>
        <w:t>ias</w:t>
      </w:r>
      <w:r w:rsidRPr="00BB25AE">
        <w:rPr>
          <w:lang w:val="es-ES"/>
        </w:rPr>
        <w:t>:</w:t>
      </w:r>
    </w:p>
    <w:p w:rsidR="00026122" w:rsidRPr="00BB25AE" w:rsidRDefault="00026122" w:rsidP="00C57C4B">
      <w:pPr>
        <w:widowControl/>
        <w:spacing w:before="8"/>
        <w:rPr>
          <w:rFonts w:ascii="Calibri" w:eastAsia="Calibri" w:hAnsi="Calibri" w:cs="Calibri"/>
          <w:sz w:val="19"/>
          <w:szCs w:val="19"/>
          <w:lang w:val="es-ES"/>
        </w:rPr>
      </w:pPr>
    </w:p>
    <w:p w:rsidR="00026122" w:rsidRPr="00BB25AE" w:rsidRDefault="009B274C" w:rsidP="00AC4BF4">
      <w:pPr>
        <w:pStyle w:val="BodyText"/>
        <w:widowControl/>
        <w:numPr>
          <w:ilvl w:val="0"/>
          <w:numId w:val="1"/>
        </w:numPr>
        <w:tabs>
          <w:tab w:val="left" w:pos="1092"/>
        </w:tabs>
        <w:spacing w:before="55" w:line="276" w:lineRule="auto"/>
        <w:ind w:right="139"/>
        <w:jc w:val="both"/>
        <w:rPr>
          <w:lang w:val="es-ES"/>
        </w:rPr>
      </w:pPr>
      <w:r>
        <w:rPr>
          <w:lang w:val="es-ES"/>
        </w:rPr>
        <w:t>Declaración del Fondo Fiduciario</w:t>
      </w:r>
      <w:r w:rsidR="006A06CA" w:rsidRPr="00BB25AE">
        <w:rPr>
          <w:lang w:val="es-ES"/>
        </w:rPr>
        <w:t xml:space="preserve">: </w:t>
      </w:r>
      <w:hyperlink r:id="rId9">
        <w:r w:rsidR="006A06CA" w:rsidRPr="00BB25AE">
          <w:rPr>
            <w:color w:val="800080"/>
            <w:u w:val="single" w:color="800080"/>
            <w:lang w:val="es-ES"/>
          </w:rPr>
          <w:t xml:space="preserve">Trust </w:t>
        </w:r>
        <w:proofErr w:type="spellStart"/>
        <w:r w:rsidR="006A06CA" w:rsidRPr="00BB25AE">
          <w:rPr>
            <w:color w:val="800080"/>
            <w:u w:val="single" w:color="800080"/>
            <w:lang w:val="es-ES"/>
          </w:rPr>
          <w:t>Declaration.pdf</w:t>
        </w:r>
        <w:proofErr w:type="spellEnd"/>
      </w:hyperlink>
    </w:p>
    <w:p w:rsidR="00026122" w:rsidRPr="00BB25AE" w:rsidRDefault="00026122" w:rsidP="00C57C4B">
      <w:pPr>
        <w:widowControl/>
        <w:spacing w:before="2"/>
        <w:rPr>
          <w:rFonts w:ascii="Calibri" w:eastAsia="Calibri" w:hAnsi="Calibri" w:cs="Calibri"/>
          <w:sz w:val="15"/>
          <w:szCs w:val="15"/>
          <w:lang w:val="es-ES"/>
        </w:rPr>
      </w:pPr>
    </w:p>
    <w:p w:rsidR="00026122" w:rsidRPr="00003DEC" w:rsidRDefault="009B274C" w:rsidP="00AC4BF4">
      <w:pPr>
        <w:pStyle w:val="BodyText"/>
        <w:widowControl/>
        <w:numPr>
          <w:ilvl w:val="0"/>
          <w:numId w:val="1"/>
        </w:numPr>
        <w:tabs>
          <w:tab w:val="left" w:pos="1092"/>
        </w:tabs>
        <w:spacing w:before="55" w:line="276" w:lineRule="auto"/>
        <w:ind w:right="139"/>
        <w:jc w:val="both"/>
      </w:pPr>
      <w:r w:rsidRPr="00003DEC">
        <w:t xml:space="preserve">Plan de </w:t>
      </w:r>
      <w:proofErr w:type="spellStart"/>
      <w:r w:rsidRPr="00003DEC">
        <w:t>Seguro</w:t>
      </w:r>
      <w:proofErr w:type="spellEnd"/>
      <w:r w:rsidRPr="00003DEC">
        <w:t xml:space="preserve"> </w:t>
      </w:r>
      <w:proofErr w:type="spellStart"/>
      <w:r w:rsidRPr="00003DEC">
        <w:t>Médico</w:t>
      </w:r>
      <w:proofErr w:type="spellEnd"/>
      <w:r w:rsidRPr="00003DEC">
        <w:t xml:space="preserve"> de la </w:t>
      </w:r>
      <w:proofErr w:type="spellStart"/>
      <w:r w:rsidRPr="00003DEC">
        <w:t>S</w:t>
      </w:r>
      <w:r w:rsidR="006A06CA" w:rsidRPr="00003DEC">
        <w:t>G</w:t>
      </w:r>
      <w:proofErr w:type="spellEnd"/>
      <w:r w:rsidR="006A06CA" w:rsidRPr="00003DEC">
        <w:t>/</w:t>
      </w:r>
      <w:proofErr w:type="spellStart"/>
      <w:r w:rsidR="006A06CA" w:rsidRPr="00003DEC">
        <w:t>O</w:t>
      </w:r>
      <w:r w:rsidRPr="00003DEC">
        <w:t>EA</w:t>
      </w:r>
      <w:proofErr w:type="spellEnd"/>
      <w:r w:rsidRPr="00003DEC">
        <w:t xml:space="preserve"> </w:t>
      </w:r>
      <w:proofErr w:type="spellStart"/>
      <w:r w:rsidRPr="00003DEC">
        <w:t>para</w:t>
      </w:r>
      <w:proofErr w:type="spellEnd"/>
      <w:r w:rsidRPr="00003DEC">
        <w:t xml:space="preserve"> </w:t>
      </w:r>
      <w:r w:rsidR="006A06CA" w:rsidRPr="00003DEC">
        <w:t xml:space="preserve">2021: </w:t>
      </w:r>
      <w:hyperlink r:id="rId10">
        <w:r w:rsidR="006A06CA" w:rsidRPr="00003DEC">
          <w:rPr>
            <w:color w:val="800080"/>
            <w:u w:val="single" w:color="800080"/>
          </w:rPr>
          <w:t xml:space="preserve">OAS Connect &gt; </w:t>
        </w:r>
        <w:proofErr w:type="spellStart"/>
        <w:r w:rsidR="006A06CA" w:rsidRPr="00003DEC">
          <w:rPr>
            <w:color w:val="800080"/>
            <w:u w:val="single" w:color="800080"/>
          </w:rPr>
          <w:t>HR</w:t>
        </w:r>
        <w:proofErr w:type="spellEnd"/>
        <w:r w:rsidR="006A06CA" w:rsidRPr="00003DEC">
          <w:rPr>
            <w:color w:val="800080"/>
            <w:u w:val="single" w:color="800080"/>
          </w:rPr>
          <w:t xml:space="preserve"> &amp; Benefits &gt; </w:t>
        </w:r>
        <w:r w:rsidRPr="00003DEC">
          <w:rPr>
            <w:color w:val="800080"/>
            <w:u w:val="single" w:color="800080"/>
          </w:rPr>
          <w:t>B</w:t>
        </w:r>
        <w:r w:rsidR="006A06CA" w:rsidRPr="00003DEC">
          <w:rPr>
            <w:color w:val="800080"/>
            <w:u w:val="single" w:color="800080"/>
          </w:rPr>
          <w:t xml:space="preserve">enefits &gt; My Benefits </w:t>
        </w:r>
        <w:proofErr w:type="gramStart"/>
        <w:r w:rsidR="006A06CA" w:rsidRPr="00003DEC">
          <w:rPr>
            <w:color w:val="800080"/>
            <w:u w:val="single" w:color="800080"/>
          </w:rPr>
          <w:t>&gt; .</w:t>
        </w:r>
        <w:proofErr w:type="gramEnd"/>
        <w:r w:rsidR="006A06CA" w:rsidRPr="00003DEC">
          <w:rPr>
            <w:color w:val="800080"/>
            <w:u w:val="single" w:color="800080"/>
          </w:rPr>
          <w:t xml:space="preserve"> &gt; Health</w:t>
        </w:r>
      </w:hyperlink>
      <w:r w:rsidR="006A06CA" w:rsidRPr="00003DEC">
        <w:rPr>
          <w:color w:val="800080"/>
        </w:rPr>
        <w:t xml:space="preserve"> </w:t>
      </w:r>
      <w:hyperlink r:id="rId11">
        <w:r w:rsidR="006A06CA" w:rsidRPr="00003DEC">
          <w:rPr>
            <w:color w:val="800080"/>
          </w:rPr>
          <w:t xml:space="preserve"> </w:t>
        </w:r>
        <w:r w:rsidR="006A06CA" w:rsidRPr="00003DEC">
          <w:rPr>
            <w:color w:val="800080"/>
            <w:u w:val="single" w:color="800080"/>
          </w:rPr>
          <w:t xml:space="preserve">Insurance Information &gt; Cigna &gt; </w:t>
        </w:r>
        <w:proofErr w:type="spellStart"/>
        <w:r w:rsidR="00AC4BF4" w:rsidRPr="00003DEC">
          <w:rPr>
            <w:color w:val="800080"/>
            <w:u w:val="single" w:color="800080"/>
          </w:rPr>
          <w:t>G</w:t>
        </w:r>
        <w:r w:rsidR="00FD3DB2" w:rsidRPr="00003DEC">
          <w:rPr>
            <w:color w:val="800080"/>
            <w:u w:val="single" w:color="800080"/>
          </w:rPr>
          <w:t>S</w:t>
        </w:r>
        <w:proofErr w:type="spellEnd"/>
        <w:r w:rsidR="00FD3DB2" w:rsidRPr="00003DEC">
          <w:rPr>
            <w:color w:val="800080"/>
            <w:u w:val="single" w:color="800080"/>
          </w:rPr>
          <w:t>/OA</w:t>
        </w:r>
        <w:r w:rsidR="00AC4BF4" w:rsidRPr="00003DEC">
          <w:rPr>
            <w:color w:val="800080"/>
            <w:u w:val="single" w:color="800080"/>
          </w:rPr>
          <w:t>S</w:t>
        </w:r>
        <w:r w:rsidR="006A06CA" w:rsidRPr="00003DEC">
          <w:rPr>
            <w:color w:val="800080"/>
            <w:u w:val="single" w:color="800080"/>
          </w:rPr>
          <w:t xml:space="preserve"> Health Insurance Plans &gt; </w:t>
        </w:r>
        <w:proofErr w:type="spellStart"/>
        <w:r w:rsidR="00AC4BF4" w:rsidRPr="00003DEC">
          <w:rPr>
            <w:color w:val="800080"/>
            <w:u w:val="single" w:color="800080"/>
          </w:rPr>
          <w:t>GS</w:t>
        </w:r>
        <w:proofErr w:type="spellEnd"/>
        <w:r w:rsidR="00AC4BF4" w:rsidRPr="00003DEC">
          <w:rPr>
            <w:color w:val="800080"/>
            <w:u w:val="single" w:color="800080"/>
          </w:rPr>
          <w:t>/OAS</w:t>
        </w:r>
        <w:r w:rsidR="006A06CA" w:rsidRPr="00003DEC">
          <w:rPr>
            <w:color w:val="800080"/>
            <w:u w:val="single" w:color="800080"/>
          </w:rPr>
          <w:t xml:space="preserve"> Health Insurance Plans</w:t>
        </w:r>
      </w:hyperlink>
      <w:hyperlink r:id="rId12">
        <w:r w:rsidR="006A06CA" w:rsidRPr="00003DEC">
          <w:rPr>
            <w:color w:val="800080"/>
            <w:u w:val="single"/>
          </w:rPr>
          <w:t xml:space="preserve"> </w:t>
        </w:r>
        <w:r w:rsidR="006A06CA" w:rsidRPr="00003DEC">
          <w:rPr>
            <w:color w:val="800080"/>
            <w:u w:val="single" w:color="800080"/>
          </w:rPr>
          <w:t>2021</w:t>
        </w:r>
      </w:hyperlink>
    </w:p>
    <w:p w:rsidR="00026122" w:rsidRPr="00003DEC" w:rsidRDefault="00026122" w:rsidP="00C57C4B">
      <w:pPr>
        <w:widowControl/>
        <w:spacing w:line="276" w:lineRule="auto"/>
        <w:jc w:val="both"/>
        <w:sectPr w:rsidR="00026122" w:rsidRPr="00003DEC">
          <w:pgSz w:w="12240" w:h="15840"/>
          <w:pgMar w:top="1400" w:right="1300" w:bottom="1260" w:left="1300" w:header="0" w:footer="1069" w:gutter="0"/>
          <w:cols w:space="720"/>
        </w:sectPr>
      </w:pPr>
    </w:p>
    <w:p w:rsidR="00026122" w:rsidRPr="00BB25AE" w:rsidRDefault="006A06CA" w:rsidP="00C57C4B">
      <w:pPr>
        <w:pStyle w:val="BodyText"/>
        <w:widowControl/>
        <w:spacing w:before="28"/>
        <w:ind w:left="0" w:right="139"/>
        <w:jc w:val="right"/>
        <w:rPr>
          <w:lang w:val="es-ES"/>
        </w:rPr>
      </w:pPr>
      <w:r w:rsidRPr="00BB25AE">
        <w:rPr>
          <w:lang w:val="es-ES"/>
        </w:rPr>
        <w:lastRenderedPageBreak/>
        <w:t>Anex</w:t>
      </w:r>
      <w:r w:rsidR="009B274C">
        <w:rPr>
          <w:lang w:val="es-ES"/>
        </w:rPr>
        <w:t>o</w:t>
      </w:r>
      <w:r w:rsidRPr="00BB25AE">
        <w:rPr>
          <w:lang w:val="es-ES"/>
        </w:rPr>
        <w:t xml:space="preserve"> A</w:t>
      </w:r>
    </w:p>
    <w:p w:rsidR="00026122" w:rsidRPr="00BB25AE" w:rsidRDefault="00026122" w:rsidP="00C57C4B">
      <w:pPr>
        <w:widowControl/>
        <w:spacing w:before="1"/>
        <w:rPr>
          <w:rFonts w:ascii="Calibri" w:eastAsia="Calibri" w:hAnsi="Calibri" w:cs="Calibri"/>
          <w:sz w:val="16"/>
          <w:szCs w:val="16"/>
          <w:lang w:val="es-ES"/>
        </w:rPr>
      </w:pPr>
    </w:p>
    <w:p w:rsidR="00026122" w:rsidRPr="00BB25AE" w:rsidRDefault="009B274C" w:rsidP="009B274C">
      <w:pPr>
        <w:widowControl/>
        <w:spacing w:before="43" w:line="416" w:lineRule="auto"/>
        <w:ind w:right="1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/>
          <w:b/>
          <w:sz w:val="28"/>
          <w:lang w:val="es-ES"/>
        </w:rPr>
        <w:t xml:space="preserve">Asignación de inversiones aprobada del </w:t>
      </w:r>
      <w:r w:rsidRPr="009B274C">
        <w:rPr>
          <w:rFonts w:ascii="Calibri"/>
          <w:b/>
          <w:sz w:val="28"/>
          <w:lang w:val="es-ES"/>
        </w:rPr>
        <w:t>Fondo Fiduciario de Beneficios Médicos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854"/>
        <w:gridCol w:w="2603"/>
      </w:tblGrid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026122" w:rsidRPr="00CF0D44" w:rsidRDefault="009B274C" w:rsidP="009B274C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Clase de activo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026122" w:rsidRPr="00CF0D44" w:rsidRDefault="006A06CA" w:rsidP="00C57C4B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Sub</w:t>
            </w:r>
            <w:r w:rsidR="009B274C" w:rsidRPr="00CF0D44">
              <w:rPr>
                <w:rFonts w:ascii="Calibri"/>
                <w:b/>
                <w:sz w:val="24"/>
                <w:szCs w:val="24"/>
                <w:lang w:val="es-ES"/>
              </w:rPr>
              <w:t>clase de activo</w:t>
            </w:r>
          </w:p>
          <w:p w:rsidR="00026122" w:rsidRPr="00CF0D44" w:rsidRDefault="006A06CA" w:rsidP="009B274C">
            <w:pPr>
              <w:pStyle w:val="TableParagraph"/>
              <w:widowControl/>
              <w:spacing w:before="199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 xml:space="preserve">-- </w:t>
            </w:r>
            <w:r w:rsidR="009B274C" w:rsidRPr="00CF0D44">
              <w:rPr>
                <w:rFonts w:ascii="Calibri"/>
                <w:b/>
                <w:sz w:val="24"/>
                <w:szCs w:val="24"/>
                <w:lang w:val="es-ES"/>
              </w:rPr>
              <w:t>Fondos de inversiones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026122" w:rsidRPr="00CF0D44" w:rsidRDefault="00883441" w:rsidP="00883441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Asignación objetivo</w:t>
            </w: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165B1E" w:rsidP="00C57C4B">
            <w:pPr>
              <w:pStyle w:val="TableParagraph"/>
              <w:widowControl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/>
                <w:b/>
                <w:sz w:val="24"/>
                <w:lang w:val="es-ES"/>
              </w:rPr>
              <w:t>De renta variable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b/>
                <w:lang w:val="es-ES"/>
              </w:rPr>
              <w:t>70%</w:t>
            </w: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165B1E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estadounidenses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6A06CA" w:rsidP="00C57C4B">
            <w:pPr>
              <w:pStyle w:val="TableParagraph"/>
              <w:widowControl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 xml:space="preserve">-- </w:t>
            </w:r>
            <w:r w:rsidR="00DD2498">
              <w:rPr>
                <w:rFonts w:ascii="Calibri"/>
                <w:lang w:val="es-ES"/>
              </w:rPr>
              <w:t>Acciones estadounidenses de todos los niveles de capitalización</w:t>
            </w:r>
            <w:r w:rsidRPr="00BB25AE">
              <w:rPr>
                <w:rFonts w:ascii="Calibri"/>
                <w:lang w:val="es-ES"/>
              </w:rPr>
              <w:t>: 50%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-- 50%</w:t>
            </w: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165B1E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Acciones no estadounidenses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6A06CA" w:rsidP="00DD2498">
            <w:pPr>
              <w:pStyle w:val="TableParagraph"/>
              <w:widowControl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 xml:space="preserve">-- </w:t>
            </w:r>
            <w:r w:rsidR="00DD2498">
              <w:rPr>
                <w:rFonts w:ascii="Calibri"/>
                <w:lang w:val="es-ES"/>
              </w:rPr>
              <w:t>Acciones no estadounidenses globales</w:t>
            </w:r>
            <w:r w:rsidRPr="00BB25AE">
              <w:rPr>
                <w:rFonts w:ascii="Calibri"/>
                <w:lang w:val="es-ES"/>
              </w:rPr>
              <w:t>: 20%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-- 20%</w:t>
            </w: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165B1E" w:rsidP="00C57C4B">
            <w:pPr>
              <w:pStyle w:val="TableParagraph"/>
              <w:widowControl/>
              <w:spacing w:line="29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/>
                <w:b/>
                <w:sz w:val="24"/>
                <w:lang w:val="es-ES"/>
              </w:rPr>
              <w:t>De renta fija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b/>
                <w:lang w:val="es-ES"/>
              </w:rPr>
              <w:t>30%</w:t>
            </w:r>
          </w:p>
        </w:tc>
      </w:tr>
      <w:tr w:rsidR="00026122" w:rsidRPr="006B00BA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DD2498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Estadounidenses de grado apto para inversión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F75039" w:rsidP="00C57C4B">
            <w:pPr>
              <w:pStyle w:val="TableParagraph"/>
              <w:widowControl/>
              <w:ind w:left="104" w:right="12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En vista de que la curva de rendimiento es casi plana, las tenencias deberán </w:t>
            </w:r>
            <w:proofErr w:type="spellStart"/>
            <w:r>
              <w:rPr>
                <w:rFonts w:ascii="Calibri"/>
                <w:lang w:val="es-ES"/>
              </w:rPr>
              <w:t>sobreponderarse</w:t>
            </w:r>
            <w:proofErr w:type="spellEnd"/>
            <w:r>
              <w:rPr>
                <w:rFonts w:ascii="Calibri"/>
                <w:lang w:val="es-ES"/>
              </w:rPr>
              <w:t xml:space="preserve"> para dar preferencia a valores con plazos más cortos que los del mercado general de bonos</w:t>
            </w:r>
            <w:r w:rsidR="006A06CA" w:rsidRPr="00BB25AE">
              <w:rPr>
                <w:rFonts w:ascii="Calibri"/>
                <w:lang w:val="es-ES"/>
              </w:rPr>
              <w:t xml:space="preserve">. </w:t>
            </w:r>
            <w:r>
              <w:rPr>
                <w:rFonts w:ascii="Calibri"/>
                <w:lang w:val="es-ES"/>
              </w:rPr>
              <w:t xml:space="preserve">Los valores a largo plazo ofrecen una prima de rendimiento </w:t>
            </w:r>
            <w:r w:rsidR="00CF0D44">
              <w:rPr>
                <w:rFonts w:ascii="Calibri"/>
                <w:lang w:val="es-ES"/>
              </w:rPr>
              <w:t xml:space="preserve">muy </w:t>
            </w:r>
            <w:r>
              <w:rPr>
                <w:rFonts w:ascii="Calibri"/>
                <w:lang w:val="es-ES"/>
              </w:rPr>
              <w:t xml:space="preserve">pequeña </w:t>
            </w:r>
            <w:r w:rsidR="00CF0D44">
              <w:rPr>
                <w:rFonts w:ascii="Calibri"/>
                <w:lang w:val="es-ES"/>
              </w:rPr>
              <w:t xml:space="preserve">que no </w:t>
            </w:r>
            <w:r>
              <w:rPr>
                <w:rFonts w:ascii="Calibri"/>
                <w:lang w:val="es-ES"/>
              </w:rPr>
              <w:t>compensa su riesgo mucho mayor de perder valor si las tasas de interés suben</w:t>
            </w:r>
            <w:r w:rsidR="006A06CA" w:rsidRPr="00BB25AE">
              <w:rPr>
                <w:rFonts w:ascii="Calibri"/>
                <w:lang w:val="es-ES"/>
              </w:rPr>
              <w:t>.</w:t>
            </w:r>
            <w:r w:rsidR="008C302D">
              <w:rPr>
                <w:rFonts w:ascii="Calibri"/>
                <w:lang w:val="es-ES"/>
              </w:rPr>
              <w:t xml:space="preserve"> </w:t>
            </w:r>
            <w:r w:rsidR="00FD3DB2" w:rsidRPr="00BB25AE">
              <w:rPr>
                <w:rFonts w:ascii="Calibri"/>
                <w:lang w:val="es-ES"/>
              </w:rPr>
              <w:t>La Junta Directiva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>debe considerar cuidadosamente la modificación de las asignaciones a activos de renta fija durante las revisiones periódicas.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6A06CA" w:rsidP="00C57C4B">
            <w:pPr>
              <w:pStyle w:val="TableParagraph"/>
              <w:widowControl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 xml:space="preserve">-- </w:t>
            </w:r>
            <w:r w:rsidR="00DD2498">
              <w:rPr>
                <w:rFonts w:ascii="Calibri"/>
                <w:lang w:val="es-ES"/>
              </w:rPr>
              <w:t>Estadounidenses a mediano plazo</w:t>
            </w:r>
            <w:r w:rsidRPr="00BB25AE">
              <w:rPr>
                <w:rFonts w:ascii="Calibri"/>
                <w:lang w:val="es-ES"/>
              </w:rPr>
              <w:t>:</w:t>
            </w:r>
            <w:r w:rsidR="008C302D">
              <w:rPr>
                <w:rFonts w:ascii="Calibri"/>
                <w:lang w:val="es-ES"/>
              </w:rPr>
              <w:t xml:space="preserve"> </w:t>
            </w:r>
            <w:r w:rsidRPr="00BB25AE">
              <w:rPr>
                <w:rFonts w:ascii="Calibri"/>
                <w:lang w:val="es-ES"/>
              </w:rPr>
              <w:t>20%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es-ES"/>
              </w:rPr>
            </w:pPr>
          </w:p>
          <w:p w:rsidR="00026122" w:rsidRPr="00BB25AE" w:rsidRDefault="006A06CA" w:rsidP="00DD2498">
            <w:pPr>
              <w:pStyle w:val="TableParagraph"/>
              <w:widowControl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 xml:space="preserve">-- </w:t>
            </w:r>
            <w:r w:rsidR="00DD2498">
              <w:rPr>
                <w:rFonts w:ascii="Calibri"/>
                <w:lang w:val="es-ES"/>
              </w:rPr>
              <w:t>Estadounidenses a corto plazo</w:t>
            </w:r>
            <w:r w:rsidRPr="00BB25AE">
              <w:rPr>
                <w:rFonts w:ascii="Calibri"/>
                <w:lang w:val="es-ES"/>
              </w:rPr>
              <w:t>:</w:t>
            </w:r>
            <w:r w:rsidR="008C302D">
              <w:rPr>
                <w:rFonts w:ascii="Calibri"/>
                <w:lang w:val="es-ES"/>
              </w:rPr>
              <w:t xml:space="preserve"> </w:t>
            </w:r>
            <w:r w:rsidRPr="00BB25AE">
              <w:rPr>
                <w:rFonts w:ascii="Calibri"/>
                <w:lang w:val="es-ES"/>
              </w:rPr>
              <w:t>10%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DD2498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No e</w:t>
            </w:r>
            <w:r w:rsidRPr="00DD2498">
              <w:rPr>
                <w:rFonts w:ascii="Calibri"/>
                <w:b/>
                <w:lang w:val="es-ES"/>
              </w:rPr>
              <w:t>stadounidenses de grado apto para inversión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FD3DB2" w:rsidP="00F75039">
            <w:pPr>
              <w:pStyle w:val="TableParagraph"/>
              <w:widowControl/>
              <w:ind w:left="104" w:right="808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El Fondo Fiduciario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 w:rsidR="00F75039">
              <w:rPr>
                <w:rFonts w:ascii="Calibri"/>
                <w:lang w:val="es-ES"/>
              </w:rPr>
              <w:t>no invertirá en tenencias no estadounidenses de renta fija, en vista del bajo rendimiento que tienen en este momento los valores de grado apto para inversión.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-- 0%</w:t>
            </w:r>
          </w:p>
        </w:tc>
      </w:tr>
      <w:tr w:rsidR="00026122" w:rsidRPr="00BB25AE" w:rsidTr="00DD2498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026122" w:rsidP="00C57C4B">
            <w:pPr>
              <w:widowControl/>
              <w:rPr>
                <w:lang w:val="es-ES"/>
              </w:rPr>
            </w:pP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DD2498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b/>
                <w:lang w:val="es-ES"/>
              </w:rPr>
              <w:t>De grado inferior al apto para inversión</w:t>
            </w:r>
          </w:p>
          <w:p w:rsidR="00026122" w:rsidRPr="00BB25AE" w:rsidRDefault="00026122" w:rsidP="00C57C4B">
            <w:pPr>
              <w:pStyle w:val="TableParagraph"/>
              <w:widowControl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</w:p>
          <w:p w:rsidR="00026122" w:rsidRPr="00BB25AE" w:rsidRDefault="00FD3DB2" w:rsidP="00F75039">
            <w:pPr>
              <w:pStyle w:val="TableParagraph"/>
              <w:widowControl/>
              <w:ind w:left="104" w:right="641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El Fondo Fiduciario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 w:rsidR="00F75039">
              <w:rPr>
                <w:rFonts w:ascii="Calibri"/>
                <w:lang w:val="es-ES"/>
              </w:rPr>
              <w:t>no invertirá en valores o fondos de renta fija de grado inferior al apto para inversión</w:t>
            </w:r>
            <w:r w:rsidR="006A06CA" w:rsidRPr="00BB25AE">
              <w:rPr>
                <w:rFonts w:ascii="Calibri"/>
                <w:lang w:val="es-ES"/>
              </w:rPr>
              <w:t>.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-- 0%</w:t>
            </w:r>
          </w:p>
        </w:tc>
      </w:tr>
    </w:tbl>
    <w:p w:rsidR="00026122" w:rsidRPr="00BB25AE" w:rsidRDefault="00026122" w:rsidP="00C57C4B">
      <w:pPr>
        <w:widowControl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04"/>
        <w:rPr>
          <w:rFonts w:ascii="Calibri" w:eastAsia="Calibri" w:hAnsi="Calibri" w:cs="Calibri"/>
          <w:sz w:val="2"/>
          <w:szCs w:val="2"/>
          <w:lang w:val="es-ES"/>
        </w:rPr>
      </w:pPr>
      <w:r w:rsidRPr="00BB25AE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AA3C0C7" wp14:editId="47273C67">
                <wp:extent cx="5989320" cy="7620"/>
                <wp:effectExtent l="9525" t="9525" r="1905" b="190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591BA6" id="Group 5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">
                <v:group id="Group 6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" path="m,l9420,e" filled="f" strokecolor="#d9d9d9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026122" w:rsidRPr="00BB25AE" w:rsidRDefault="00026122" w:rsidP="00C57C4B">
      <w:pPr>
        <w:widowControl/>
        <w:spacing w:line="20" w:lineRule="atLeast"/>
        <w:rPr>
          <w:rFonts w:ascii="Calibri" w:eastAsia="Calibri" w:hAnsi="Calibri" w:cs="Calibri"/>
          <w:sz w:val="2"/>
          <w:szCs w:val="2"/>
          <w:lang w:val="es-ES"/>
        </w:rPr>
        <w:sectPr w:rsidR="00026122" w:rsidRPr="00BB25AE">
          <w:footerReference w:type="default" r:id="rId13"/>
          <w:pgSz w:w="12240" w:h="15840"/>
          <w:pgMar w:top="960" w:right="1300" w:bottom="1180" w:left="1300" w:header="0" w:footer="992" w:gutter="0"/>
          <w:cols w:space="720"/>
        </w:sectPr>
      </w:pPr>
    </w:p>
    <w:p w:rsidR="00026122" w:rsidRPr="00BB25AE" w:rsidRDefault="00026122" w:rsidP="00C57C4B">
      <w:pPr>
        <w:widowControl/>
        <w:spacing w:before="1"/>
        <w:rPr>
          <w:rFonts w:ascii="Times New Roman" w:eastAsia="Times New Roman" w:hAnsi="Times New Roman" w:cs="Times New Roman"/>
          <w:sz w:val="5"/>
          <w:szCs w:val="5"/>
          <w:lang w:val="es-ES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854"/>
        <w:gridCol w:w="2603"/>
      </w:tblGrid>
      <w:tr w:rsidR="00883441" w:rsidRPr="00BB25AE">
        <w:trPr>
          <w:trHeight w:hRule="exact" w:val="1103"/>
        </w:trPr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883441" w:rsidRPr="00CF0D44" w:rsidRDefault="00883441" w:rsidP="00B43A6B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Clase de activo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883441" w:rsidRPr="00CF0D44" w:rsidRDefault="00883441" w:rsidP="00B43A6B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Subclase de activo</w:t>
            </w:r>
          </w:p>
          <w:p w:rsidR="00883441" w:rsidRPr="00CF0D44" w:rsidRDefault="00883441" w:rsidP="00B43A6B">
            <w:pPr>
              <w:pStyle w:val="TableParagraph"/>
              <w:widowControl/>
              <w:spacing w:before="199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-- Fondos de inversiones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9D9D9"/>
          </w:tcPr>
          <w:p w:rsidR="00883441" w:rsidRPr="00CF0D44" w:rsidRDefault="00883441" w:rsidP="00B43A6B">
            <w:pPr>
              <w:pStyle w:val="TableParagraph"/>
              <w:widowControl/>
              <w:spacing w:line="339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CF0D44">
              <w:rPr>
                <w:rFonts w:ascii="Calibri"/>
                <w:b/>
                <w:sz w:val="24"/>
                <w:szCs w:val="24"/>
                <w:lang w:val="es-ES"/>
              </w:rPr>
              <w:t>Asignación objetivo</w:t>
            </w:r>
          </w:p>
        </w:tc>
      </w:tr>
      <w:tr w:rsidR="00026122" w:rsidRPr="00BB25AE" w:rsidTr="009B274C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D32E8">
            <w:pPr>
              <w:pStyle w:val="TableParagraph"/>
              <w:widowControl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B25AE">
              <w:rPr>
                <w:rFonts w:ascii="Calibri"/>
                <w:b/>
                <w:sz w:val="24"/>
                <w:lang w:val="es-ES"/>
              </w:rPr>
              <w:t>Alternativ</w:t>
            </w:r>
            <w:r w:rsidR="00870E0F">
              <w:rPr>
                <w:rFonts w:ascii="Calibri"/>
                <w:b/>
                <w:sz w:val="24"/>
                <w:lang w:val="es-ES"/>
              </w:rPr>
              <w:t>o</w:t>
            </w:r>
            <w:r w:rsidR="005B0455">
              <w:rPr>
                <w:rFonts w:ascii="Calibri"/>
                <w:b/>
                <w:sz w:val="24"/>
                <w:lang w:val="es-ES"/>
              </w:rPr>
              <w:t>s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FD3DB2" w:rsidP="00CD32E8">
            <w:pPr>
              <w:pStyle w:val="TableParagraph"/>
              <w:widowControl/>
              <w:ind w:left="104" w:right="550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lang w:val="es-ES"/>
              </w:rPr>
              <w:t>El Fondo Fiduciario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 w:rsidR="00CD32E8">
              <w:rPr>
                <w:rFonts w:ascii="Calibri"/>
                <w:lang w:val="es-ES"/>
              </w:rPr>
              <w:t xml:space="preserve">no podrá invertir en activos alternativos, como capital de riesgo, fondos de cobertura, futuros administrados, obras de arte y antigüedades, productos básicos o contratos de derivados </w:t>
            </w:r>
            <w:r w:rsidR="006A06CA" w:rsidRPr="00BB25AE">
              <w:rPr>
                <w:rFonts w:ascii="Calibri"/>
                <w:lang w:val="es-ES"/>
              </w:rPr>
              <w:t>(</w:t>
            </w:r>
            <w:r w:rsidR="00CD32E8">
              <w:rPr>
                <w:rFonts w:ascii="Calibri"/>
                <w:lang w:val="es-ES"/>
              </w:rPr>
              <w:t>l</w:t>
            </w:r>
            <w:r w:rsidRPr="00BB25AE">
              <w:rPr>
                <w:rFonts w:ascii="Calibri"/>
                <w:lang w:val="es-ES"/>
              </w:rPr>
              <w:t>a Junta Directiva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 w:rsidR="00CD32E8">
              <w:rPr>
                <w:rFonts w:ascii="Calibri"/>
                <w:lang w:val="es-ES"/>
              </w:rPr>
              <w:t xml:space="preserve">no incluye las </w:t>
            </w:r>
            <w:r w:rsidR="00B9638A">
              <w:rPr>
                <w:rFonts w:ascii="Calibri"/>
                <w:lang w:val="es-ES"/>
              </w:rPr>
              <w:t>inversiones inmobiliarias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 w:rsidR="00CD32E8">
              <w:rPr>
                <w:rFonts w:ascii="Calibri"/>
                <w:lang w:val="es-ES"/>
              </w:rPr>
              <w:t>en esta categoría</w:t>
            </w:r>
            <w:r w:rsidR="006A06CA" w:rsidRPr="00BB25AE">
              <w:rPr>
                <w:rFonts w:ascii="Calibri"/>
                <w:lang w:val="es-ES"/>
              </w:rPr>
              <w:t>)</w:t>
            </w:r>
            <w:r w:rsidR="00CD32E8">
              <w:rPr>
                <w:rFonts w:ascii="Calibri"/>
                <w:lang w:val="es-ES"/>
              </w:rPr>
              <w:t>.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7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b/>
                <w:lang w:val="es-ES"/>
              </w:rPr>
              <w:t>0%</w:t>
            </w:r>
          </w:p>
        </w:tc>
      </w:tr>
      <w:tr w:rsidR="00026122" w:rsidRPr="00BB25AE" w:rsidTr="009B274C">
        <w:tc>
          <w:tcPr>
            <w:tcW w:w="188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CD32E8" w:rsidP="00CD32E8">
            <w:pPr>
              <w:pStyle w:val="TableParagraph"/>
              <w:widowControl/>
              <w:spacing w:line="290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/>
                <w:b/>
                <w:sz w:val="24"/>
                <w:lang w:val="es-ES"/>
              </w:rPr>
              <w:t>Efectivo</w:t>
            </w:r>
          </w:p>
        </w:tc>
        <w:tc>
          <w:tcPr>
            <w:tcW w:w="48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CD32E8" w:rsidP="00CD32E8">
            <w:pPr>
              <w:pStyle w:val="TableParagraph"/>
              <w:widowControl/>
              <w:ind w:left="104" w:right="15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De acuerdo con la parte </w:t>
            </w:r>
            <w:r w:rsidR="006A06CA" w:rsidRPr="00BB25AE">
              <w:rPr>
                <w:rFonts w:ascii="Calibri"/>
                <w:lang w:val="es-ES"/>
              </w:rPr>
              <w:t xml:space="preserve">V </w:t>
            </w:r>
            <w:r>
              <w:rPr>
                <w:rFonts w:ascii="Calibri"/>
                <w:lang w:val="es-ES"/>
              </w:rPr>
              <w:t xml:space="preserve">de la presente </w:t>
            </w:r>
            <w:r w:rsidR="0076725C" w:rsidRPr="00BB25AE">
              <w:rPr>
                <w:rFonts w:ascii="Calibri"/>
                <w:lang w:val="es-ES"/>
              </w:rPr>
              <w:t>Declaración de la Política de Inversiones</w:t>
            </w:r>
            <w:r w:rsidR="006A06CA" w:rsidRPr="00BB25AE">
              <w:rPr>
                <w:rFonts w:ascii="Calibri"/>
                <w:lang w:val="es-ES"/>
              </w:rPr>
              <w:t xml:space="preserve">, </w:t>
            </w:r>
            <w:r w:rsidR="00FD3DB2" w:rsidRPr="00BB25AE">
              <w:rPr>
                <w:rFonts w:ascii="Calibri"/>
                <w:lang w:val="es-ES"/>
              </w:rPr>
              <w:t>el Fondo Fiduciario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 xml:space="preserve">administrará el efectivo por separado de la </w:t>
            </w:r>
            <w:r w:rsidR="00472DD2">
              <w:rPr>
                <w:rFonts w:ascii="Calibri"/>
                <w:lang w:val="es-ES"/>
              </w:rPr>
              <w:t>cartera de inversiones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 xml:space="preserve">para evitar que se apliquen honorarios de administración a la </w:t>
            </w:r>
            <w:r w:rsidR="00CC7418">
              <w:rPr>
                <w:rFonts w:ascii="Calibri"/>
                <w:lang w:val="es-ES"/>
              </w:rPr>
              <w:t>cartera de inversiones administradas</w:t>
            </w:r>
            <w:r w:rsidR="006A06CA" w:rsidRPr="00BB25AE">
              <w:rPr>
                <w:rFonts w:ascii="Calibri"/>
                <w:lang w:val="es-ES"/>
              </w:rPr>
              <w:t xml:space="preserve">. </w:t>
            </w:r>
            <w:r>
              <w:rPr>
                <w:rFonts w:ascii="Calibri"/>
                <w:lang w:val="es-ES"/>
              </w:rPr>
              <w:t xml:space="preserve">Todo efectivo generado por la </w:t>
            </w:r>
            <w:r w:rsidR="00CC7418">
              <w:rPr>
                <w:rFonts w:ascii="Calibri"/>
                <w:lang w:val="es-ES"/>
              </w:rPr>
              <w:t>cartera de inversiones administradas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 xml:space="preserve">debería reinvertirse, dentro de un plazo de </w:t>
            </w:r>
            <w:r w:rsidR="006A06CA" w:rsidRPr="00BB25AE">
              <w:rPr>
                <w:rFonts w:ascii="Calibri"/>
                <w:lang w:val="es-ES"/>
              </w:rPr>
              <w:t>30 d</w:t>
            </w:r>
            <w:r>
              <w:rPr>
                <w:rFonts w:ascii="Calibri"/>
                <w:lang w:val="es-ES"/>
              </w:rPr>
              <w:t xml:space="preserve">ías como máximo, en consonancia con el </w:t>
            </w:r>
            <w:r w:rsidR="00184449">
              <w:rPr>
                <w:rFonts w:ascii="Calibri"/>
                <w:lang w:val="es-ES"/>
              </w:rPr>
              <w:t>reequilibrio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 xml:space="preserve">de la cartera o distribuirse al </w:t>
            </w:r>
            <w:r w:rsidR="00FD3DB2" w:rsidRPr="00BB25AE">
              <w:rPr>
                <w:rFonts w:ascii="Calibri"/>
                <w:lang w:val="es-ES"/>
              </w:rPr>
              <w:t>Fondo Fiduciario</w:t>
            </w:r>
            <w:r w:rsidR="006A06CA" w:rsidRPr="00BB25AE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lang w:val="es-ES"/>
              </w:rPr>
              <w:t>para atender las necesidades de flujo de efectivo</w:t>
            </w:r>
            <w:r w:rsidR="006A06CA" w:rsidRPr="00BB25AE">
              <w:rPr>
                <w:rFonts w:ascii="Calibri"/>
                <w:lang w:val="es-ES"/>
              </w:rPr>
              <w:t>.</w:t>
            </w:r>
          </w:p>
        </w:tc>
        <w:tc>
          <w:tcPr>
            <w:tcW w:w="26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22" w:rsidRPr="00BB25AE" w:rsidRDefault="006A06CA" w:rsidP="00C57C4B">
            <w:pPr>
              <w:pStyle w:val="TableParagraph"/>
              <w:widowControl/>
              <w:spacing w:line="266" w:lineRule="exact"/>
              <w:ind w:left="104"/>
              <w:rPr>
                <w:rFonts w:ascii="Calibri" w:eastAsia="Calibri" w:hAnsi="Calibri" w:cs="Calibri"/>
                <w:lang w:val="es-ES"/>
              </w:rPr>
            </w:pPr>
            <w:r w:rsidRPr="00BB25AE">
              <w:rPr>
                <w:rFonts w:ascii="Calibri"/>
                <w:b/>
                <w:lang w:val="es-ES"/>
              </w:rPr>
              <w:t>0%</w:t>
            </w:r>
          </w:p>
        </w:tc>
      </w:tr>
    </w:tbl>
    <w:p w:rsidR="00026122" w:rsidRPr="00BB25AE" w:rsidRDefault="00026122" w:rsidP="00C57C4B">
      <w:pPr>
        <w:widowControl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026122" w:rsidRPr="00BB25AE" w:rsidRDefault="0048627E" w:rsidP="00C57C4B">
      <w:pPr>
        <w:widowControl/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BB25A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778834" wp14:editId="23B10AEF">
                <wp:extent cx="5989320" cy="7620"/>
                <wp:effectExtent l="9525" t="9525" r="190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041C0C" id="Group 2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">
                <v:group id="Group 3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" path="m,l9420,e" filled="f" strokecolor="#d9d9d9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  <w:r w:rsidR="006B00BA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0BA" w:rsidRPr="006B00BA" w:rsidRDefault="006B00B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CIDRP03148S04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" filled="f" stroked="f">
                <v:stroke joinstyle="round"/>
                <v:path arrowok="t"/>
                <v:textbox>
                  <w:txbxContent>
                    <w:p w:rsidR="006B00BA" w:rsidRPr="006B00BA" w:rsidRDefault="006B00B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CIDRP03148S04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6122" w:rsidRPr="00BB25AE">
      <w:pgSz w:w="12240" w:h="15840"/>
      <w:pgMar w:top="940" w:right="1300" w:bottom="1180" w:left="13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8" w:rsidRDefault="00DE6708">
      <w:r>
        <w:separator/>
      </w:r>
    </w:p>
  </w:endnote>
  <w:endnote w:type="continuationSeparator" w:id="0">
    <w:p w:rsidR="00DE6708" w:rsidRDefault="00D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1E" w:rsidRPr="00184449" w:rsidRDefault="00165B1E">
    <w:pPr>
      <w:spacing w:line="14" w:lineRule="auto"/>
      <w:rPr>
        <w:sz w:val="20"/>
        <w:szCs w:val="20"/>
        <w:lang w:val="es-ES"/>
      </w:rPr>
    </w:pPr>
    <w:r w:rsidRPr="00184449">
      <w:rPr>
        <w:noProof/>
      </w:rPr>
      <mc:AlternateContent>
        <mc:Choice Requires="wpg">
          <w:drawing>
            <wp:anchor distT="0" distB="0" distL="114300" distR="114300" simplePos="0" relativeHeight="503303288" behindDoc="1" locked="0" layoutInCell="1" allowOverlap="1" wp14:anchorId="302A5576" wp14:editId="631D6895">
              <wp:simplePos x="0" y="0"/>
              <wp:positionH relativeFrom="page">
                <wp:posOffset>895350</wp:posOffset>
              </wp:positionH>
              <wp:positionV relativeFrom="page">
                <wp:posOffset>9243695</wp:posOffset>
              </wp:positionV>
              <wp:extent cx="5981700" cy="1270"/>
              <wp:effectExtent l="9525" t="13970" r="952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557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455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CE5375" id="Group 3" o:spid="_x0000_s1026" style="position:absolute;margin-left:70.5pt;margin-top:727.85pt;width:471pt;height:.1pt;z-index:-13192;mso-position-horizontal-relative:page;mso-position-vertical-relative:page" coordorigin="1410,1455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">
              <v:shape id="Freeform 4" o:spid="_x0000_s1027" style="position:absolute;left:1410;top:1455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" path="m,l9420,e" filled="f" strokecolor="#d9d9d9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 w:rsidRPr="00184449"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7A41F85D" wp14:editId="4FE1F8A0">
              <wp:simplePos x="0" y="0"/>
              <wp:positionH relativeFrom="page">
                <wp:posOffset>5420995</wp:posOffset>
              </wp:positionH>
              <wp:positionV relativeFrom="page">
                <wp:posOffset>9276080</wp:posOffset>
              </wp:positionV>
              <wp:extent cx="1411605" cy="33591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B1E" w:rsidRPr="00184449" w:rsidRDefault="00165B1E" w:rsidP="00184449">
                          <w:pPr>
                            <w:pStyle w:val="BodyText"/>
                            <w:spacing w:line="244" w:lineRule="exact"/>
                            <w:ind w:left="20" w:firstLine="1258"/>
                            <w:jc w:val="right"/>
                            <w:rPr>
                              <w:lang w:val="es-ES"/>
                            </w:rPr>
                          </w:pPr>
                          <w:r w:rsidRPr="00184449">
                            <w:rPr>
                              <w:color w:val="7E7E7E"/>
                              <w:spacing w:val="9"/>
                              <w:lang w:val="es-ES"/>
                            </w:rPr>
                            <w:t>Página</w:t>
                          </w:r>
                          <w:r w:rsidRPr="00184449">
                            <w:rPr>
                              <w:lang w:val="es-ES"/>
                            </w:rPr>
                            <w:t xml:space="preserve"> </w:t>
                          </w:r>
                          <w:r w:rsidRPr="00184449">
                            <w:rPr>
                              <w:lang w:val="es-ES"/>
                            </w:rPr>
                            <w:fldChar w:fldCharType="begin"/>
                          </w:r>
                          <w:r w:rsidRPr="00184449">
                            <w:rPr>
                              <w:lang w:val="es-ES"/>
                            </w:rPr>
                            <w:instrText xml:space="preserve"> PAGE </w:instrText>
                          </w:r>
                          <w:r w:rsidRPr="00184449">
                            <w:rPr>
                              <w:lang w:val="es-ES"/>
                            </w:rPr>
                            <w:fldChar w:fldCharType="separate"/>
                          </w:r>
                          <w:r w:rsidR="006B00BA">
                            <w:rPr>
                              <w:noProof/>
                              <w:lang w:val="es-ES"/>
                            </w:rPr>
                            <w:t>12</w:t>
                          </w:r>
                          <w:r w:rsidRPr="00184449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:rsidR="00165B1E" w:rsidRPr="00184449" w:rsidRDefault="00165B1E" w:rsidP="00184449">
                          <w:pPr>
                            <w:pStyle w:val="BodyText"/>
                            <w:ind w:left="20"/>
                            <w:jc w:val="right"/>
                            <w:rPr>
                              <w:lang w:val="es-ES"/>
                            </w:rPr>
                          </w:pPr>
                          <w:r w:rsidRPr="00184449">
                            <w:rPr>
                              <w:color w:val="7E7E7E"/>
                              <w:lang w:val="es-ES"/>
                            </w:rPr>
                            <w:t>25</w:t>
                          </w:r>
                          <w:r w:rsidRPr="00184449">
                            <w:rPr>
                              <w:color w:val="7E7E7E"/>
                              <w:spacing w:val="9"/>
                              <w:lang w:val="es-ES"/>
                            </w:rPr>
                            <w:t xml:space="preserve"> de marzo de</w:t>
                          </w:r>
                          <w:r w:rsidRPr="00184449">
                            <w:rPr>
                              <w:color w:val="7E7E7E"/>
                              <w:spacing w:val="17"/>
                              <w:lang w:val="es-ES"/>
                            </w:rPr>
                            <w:t xml:space="preserve"> </w:t>
                          </w:r>
                          <w:r w:rsidRPr="00184449">
                            <w:rPr>
                              <w:color w:val="7E7E7E"/>
                              <w:lang w:val="es-E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6.85pt;margin-top:730.4pt;width:111.15pt;height:26.4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W4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JmTo+3MvwqiAs9ksiv3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" filled="f" stroked="f">
              <v:textbox inset="0,0,0,0">
                <w:txbxContent>
                  <w:p w:rsidR="00165B1E" w:rsidRPr="00184449" w:rsidRDefault="00165B1E" w:rsidP="00184449">
                    <w:pPr>
                      <w:pStyle w:val="BodyText"/>
                      <w:spacing w:line="244" w:lineRule="exact"/>
                      <w:ind w:left="20" w:firstLine="1258"/>
                      <w:jc w:val="right"/>
                      <w:rPr>
                        <w:lang w:val="es-ES"/>
                      </w:rPr>
                    </w:pPr>
                    <w:r w:rsidRPr="00184449">
                      <w:rPr>
                        <w:color w:val="7E7E7E"/>
                        <w:spacing w:val="9"/>
                        <w:lang w:val="es-ES"/>
                      </w:rPr>
                      <w:t>Página</w:t>
                    </w:r>
                    <w:r w:rsidRPr="00184449">
                      <w:rPr>
                        <w:lang w:val="es-ES"/>
                      </w:rPr>
                      <w:t xml:space="preserve"> </w:t>
                    </w:r>
                    <w:r w:rsidRPr="00184449">
                      <w:rPr>
                        <w:lang w:val="es-ES"/>
                      </w:rPr>
                      <w:fldChar w:fldCharType="begin"/>
                    </w:r>
                    <w:r w:rsidRPr="00184449">
                      <w:rPr>
                        <w:lang w:val="es-ES"/>
                      </w:rPr>
                      <w:instrText xml:space="preserve"> PAGE </w:instrText>
                    </w:r>
                    <w:r w:rsidRPr="00184449">
                      <w:rPr>
                        <w:lang w:val="es-ES"/>
                      </w:rPr>
                      <w:fldChar w:fldCharType="separate"/>
                    </w:r>
                    <w:r w:rsidR="006B00BA">
                      <w:rPr>
                        <w:noProof/>
                        <w:lang w:val="es-ES"/>
                      </w:rPr>
                      <w:t>12</w:t>
                    </w:r>
                    <w:r w:rsidRPr="00184449">
                      <w:rPr>
                        <w:lang w:val="es-ES"/>
                      </w:rPr>
                      <w:fldChar w:fldCharType="end"/>
                    </w:r>
                  </w:p>
                  <w:p w:rsidR="00165B1E" w:rsidRPr="00184449" w:rsidRDefault="00165B1E" w:rsidP="00184449">
                    <w:pPr>
                      <w:pStyle w:val="BodyText"/>
                      <w:ind w:left="20"/>
                      <w:jc w:val="right"/>
                      <w:rPr>
                        <w:lang w:val="es-ES"/>
                      </w:rPr>
                    </w:pPr>
                    <w:r w:rsidRPr="00184449">
                      <w:rPr>
                        <w:color w:val="7E7E7E"/>
                        <w:lang w:val="es-ES"/>
                      </w:rPr>
                      <w:t>25</w:t>
                    </w:r>
                    <w:r w:rsidRPr="00184449">
                      <w:rPr>
                        <w:color w:val="7E7E7E"/>
                        <w:spacing w:val="9"/>
                        <w:lang w:val="es-ES"/>
                      </w:rPr>
                      <w:t xml:space="preserve"> de marzo de</w:t>
                    </w:r>
                    <w:r w:rsidRPr="00184449">
                      <w:rPr>
                        <w:color w:val="7E7E7E"/>
                        <w:spacing w:val="17"/>
                        <w:lang w:val="es-ES"/>
                      </w:rPr>
                      <w:t xml:space="preserve"> </w:t>
                    </w:r>
                    <w:r w:rsidRPr="00184449">
                      <w:rPr>
                        <w:color w:val="7E7E7E"/>
                        <w:lang w:val="es-ES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1E" w:rsidRDefault="00165B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2420438E" wp14:editId="04CC7189">
              <wp:simplePos x="0" y="0"/>
              <wp:positionH relativeFrom="page">
                <wp:posOffset>4434576</wp:posOffset>
              </wp:positionH>
              <wp:positionV relativeFrom="page">
                <wp:posOffset>9276139</wp:posOffset>
              </wp:positionV>
              <wp:extent cx="2663916" cy="335915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916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B1E" w:rsidRPr="00184449" w:rsidRDefault="00165B1E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lang w:val="es-ES"/>
                            </w:rPr>
                          </w:pPr>
                          <w:r w:rsidRPr="00184449">
                            <w:rPr>
                              <w:spacing w:val="-1"/>
                              <w:lang w:val="es-ES"/>
                            </w:rPr>
                            <w:t>Anexo</w:t>
                          </w:r>
                          <w:r w:rsidRPr="00184449">
                            <w:rPr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184449">
                            <w:rPr>
                              <w:lang w:val="es-ES"/>
                            </w:rPr>
                            <w:t>A. Asignación de inversiones aprobada</w:t>
                          </w:r>
                        </w:p>
                        <w:p w:rsidR="00165B1E" w:rsidRPr="00184449" w:rsidRDefault="00165B1E" w:rsidP="00184449">
                          <w:pPr>
                            <w:pStyle w:val="BodyText"/>
                            <w:ind w:left="2160"/>
                            <w:rPr>
                              <w:lang w:val="es-ES"/>
                            </w:rPr>
                          </w:pPr>
                          <w:r w:rsidRPr="00184449">
                            <w:rPr>
                              <w:lang w:val="es-ES"/>
                            </w:rPr>
                            <w:t>25 de marzo de</w:t>
                          </w:r>
                          <w:r w:rsidRPr="00184449">
                            <w:rPr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184449">
                            <w:rPr>
                              <w:lang w:val="es-E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204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2pt;margin-top:730.4pt;width:209.75pt;height:26.4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/rgIAALA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" filled="f" stroked="f">
              <v:textbox inset="0,0,0,0">
                <w:txbxContent>
                  <w:p w:rsidR="00165B1E" w:rsidRPr="00184449" w:rsidRDefault="00165B1E">
                    <w:pPr>
                      <w:pStyle w:val="BodyText"/>
                      <w:spacing w:line="244" w:lineRule="exact"/>
                      <w:ind w:left="20"/>
                      <w:rPr>
                        <w:lang w:val="es-ES"/>
                      </w:rPr>
                    </w:pPr>
                    <w:r w:rsidRPr="00184449">
                      <w:rPr>
                        <w:spacing w:val="-1"/>
                        <w:lang w:val="es-ES"/>
                      </w:rPr>
                      <w:t>Anexo</w:t>
                    </w:r>
                    <w:r w:rsidRPr="00184449">
                      <w:rPr>
                        <w:spacing w:val="-7"/>
                        <w:lang w:val="es-ES"/>
                      </w:rPr>
                      <w:t xml:space="preserve"> </w:t>
                    </w:r>
                    <w:r w:rsidRPr="00184449">
                      <w:rPr>
                        <w:lang w:val="es-ES"/>
                      </w:rPr>
                      <w:t>A. Asignación de inversiones aprobada</w:t>
                    </w:r>
                  </w:p>
                  <w:p w:rsidR="00165B1E" w:rsidRPr="00184449" w:rsidRDefault="00165B1E" w:rsidP="00184449">
                    <w:pPr>
                      <w:pStyle w:val="BodyText"/>
                      <w:ind w:left="2160"/>
                      <w:rPr>
                        <w:lang w:val="es-ES"/>
                      </w:rPr>
                    </w:pPr>
                    <w:r w:rsidRPr="00184449">
                      <w:rPr>
                        <w:lang w:val="es-ES"/>
                      </w:rPr>
                      <w:t>25 de marzo de</w:t>
                    </w:r>
                    <w:r w:rsidRPr="00184449">
                      <w:rPr>
                        <w:spacing w:val="-8"/>
                        <w:lang w:val="es-ES"/>
                      </w:rPr>
                      <w:t xml:space="preserve"> </w:t>
                    </w:r>
                    <w:r w:rsidRPr="00184449">
                      <w:rPr>
                        <w:lang w:val="es-ES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8" w:rsidRDefault="00DE6708">
      <w:r>
        <w:separator/>
      </w:r>
    </w:p>
  </w:footnote>
  <w:footnote w:type="continuationSeparator" w:id="0">
    <w:p w:rsidR="00DE6708" w:rsidRDefault="00DE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C4"/>
    <w:multiLevelType w:val="hybridMultilevel"/>
    <w:tmpl w:val="580073D8"/>
    <w:lvl w:ilvl="0" w:tplc="A3A21644">
      <w:start w:val="1"/>
      <w:numFmt w:val="lowerLetter"/>
      <w:lvlText w:val="%1)"/>
      <w:lvlJc w:val="left"/>
      <w:pPr>
        <w:ind w:left="159" w:hanging="249"/>
      </w:pPr>
      <w:rPr>
        <w:rFonts w:ascii="Calibri" w:eastAsia="Calibri" w:hAnsi="Calibri" w:hint="default"/>
        <w:w w:val="99"/>
        <w:sz w:val="22"/>
        <w:szCs w:val="22"/>
      </w:rPr>
    </w:lvl>
    <w:lvl w:ilvl="1" w:tplc="9A264C0A">
      <w:start w:val="1"/>
      <w:numFmt w:val="bullet"/>
      <w:lvlText w:val="•"/>
      <w:lvlJc w:val="left"/>
      <w:pPr>
        <w:ind w:left="1111" w:hanging="249"/>
      </w:pPr>
      <w:rPr>
        <w:rFonts w:hint="default"/>
      </w:rPr>
    </w:lvl>
    <w:lvl w:ilvl="2" w:tplc="7DCA48B0">
      <w:start w:val="1"/>
      <w:numFmt w:val="bullet"/>
      <w:lvlText w:val="•"/>
      <w:lvlJc w:val="left"/>
      <w:pPr>
        <w:ind w:left="2063" w:hanging="249"/>
      </w:pPr>
      <w:rPr>
        <w:rFonts w:hint="default"/>
      </w:rPr>
    </w:lvl>
    <w:lvl w:ilvl="3" w:tplc="FEF20F8E">
      <w:start w:val="1"/>
      <w:numFmt w:val="bullet"/>
      <w:lvlText w:val="•"/>
      <w:lvlJc w:val="left"/>
      <w:pPr>
        <w:ind w:left="3015" w:hanging="249"/>
      </w:pPr>
      <w:rPr>
        <w:rFonts w:hint="default"/>
      </w:rPr>
    </w:lvl>
    <w:lvl w:ilvl="4" w:tplc="0DCCC26A">
      <w:start w:val="1"/>
      <w:numFmt w:val="bullet"/>
      <w:lvlText w:val="•"/>
      <w:lvlJc w:val="left"/>
      <w:pPr>
        <w:ind w:left="3967" w:hanging="249"/>
      </w:pPr>
      <w:rPr>
        <w:rFonts w:hint="default"/>
      </w:rPr>
    </w:lvl>
    <w:lvl w:ilvl="5" w:tplc="D2DA959A">
      <w:start w:val="1"/>
      <w:numFmt w:val="bullet"/>
      <w:lvlText w:val="•"/>
      <w:lvlJc w:val="left"/>
      <w:pPr>
        <w:ind w:left="4919" w:hanging="249"/>
      </w:pPr>
      <w:rPr>
        <w:rFonts w:hint="default"/>
      </w:rPr>
    </w:lvl>
    <w:lvl w:ilvl="6" w:tplc="AD2AD792">
      <w:start w:val="1"/>
      <w:numFmt w:val="bullet"/>
      <w:lvlText w:val="•"/>
      <w:lvlJc w:val="left"/>
      <w:pPr>
        <w:ind w:left="5871" w:hanging="249"/>
      </w:pPr>
      <w:rPr>
        <w:rFonts w:hint="default"/>
      </w:rPr>
    </w:lvl>
    <w:lvl w:ilvl="7" w:tplc="7AD84C3E">
      <w:start w:val="1"/>
      <w:numFmt w:val="bullet"/>
      <w:lvlText w:val="•"/>
      <w:lvlJc w:val="left"/>
      <w:pPr>
        <w:ind w:left="6823" w:hanging="249"/>
      </w:pPr>
      <w:rPr>
        <w:rFonts w:hint="default"/>
      </w:rPr>
    </w:lvl>
    <w:lvl w:ilvl="8" w:tplc="79B80430">
      <w:start w:val="1"/>
      <w:numFmt w:val="bullet"/>
      <w:lvlText w:val="•"/>
      <w:lvlJc w:val="left"/>
      <w:pPr>
        <w:ind w:left="7775" w:hanging="249"/>
      </w:pPr>
      <w:rPr>
        <w:rFonts w:hint="default"/>
      </w:rPr>
    </w:lvl>
  </w:abstractNum>
  <w:abstractNum w:abstractNumId="1">
    <w:nsid w:val="47513434"/>
    <w:multiLevelType w:val="hybridMultilevel"/>
    <w:tmpl w:val="BC2A1B9A"/>
    <w:lvl w:ilvl="0" w:tplc="3F16AB36">
      <w:start w:val="1"/>
      <w:numFmt w:val="decimal"/>
      <w:lvlText w:val="%1."/>
      <w:lvlJc w:val="left"/>
      <w:pPr>
        <w:ind w:left="139" w:hanging="208"/>
      </w:pPr>
      <w:rPr>
        <w:rFonts w:ascii="Calibri" w:eastAsia="Calibri" w:hAnsi="Calibri" w:hint="default"/>
        <w:w w:val="99"/>
        <w:sz w:val="22"/>
        <w:szCs w:val="22"/>
      </w:rPr>
    </w:lvl>
    <w:lvl w:ilvl="1" w:tplc="A9442750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1E228E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E10E768E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80CCAFE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D76E2764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7EA03250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8410C82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12A6A76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>
    <w:nsid w:val="4E5012AD"/>
    <w:multiLevelType w:val="hybridMultilevel"/>
    <w:tmpl w:val="43EAD3BE"/>
    <w:lvl w:ilvl="0" w:tplc="A9B4130E">
      <w:start w:val="1"/>
      <w:numFmt w:val="decimal"/>
      <w:lvlText w:val="%1)"/>
      <w:lvlJc w:val="left"/>
      <w:pPr>
        <w:ind w:left="860" w:hanging="278"/>
      </w:pPr>
      <w:rPr>
        <w:rFonts w:ascii="Calibri" w:eastAsia="Calibri" w:hAnsi="Calibri" w:hint="default"/>
        <w:w w:val="99"/>
        <w:sz w:val="22"/>
        <w:szCs w:val="22"/>
      </w:rPr>
    </w:lvl>
    <w:lvl w:ilvl="1" w:tplc="881AE50C">
      <w:start w:val="1"/>
      <w:numFmt w:val="bullet"/>
      <w:lvlText w:val="•"/>
      <w:lvlJc w:val="left"/>
      <w:pPr>
        <w:ind w:left="1738" w:hanging="278"/>
      </w:pPr>
      <w:rPr>
        <w:rFonts w:hint="default"/>
      </w:rPr>
    </w:lvl>
    <w:lvl w:ilvl="2" w:tplc="88824B6E">
      <w:start w:val="1"/>
      <w:numFmt w:val="bullet"/>
      <w:lvlText w:val="•"/>
      <w:lvlJc w:val="left"/>
      <w:pPr>
        <w:ind w:left="2616" w:hanging="278"/>
      </w:pPr>
      <w:rPr>
        <w:rFonts w:hint="default"/>
      </w:rPr>
    </w:lvl>
    <w:lvl w:ilvl="3" w:tplc="2E84D474">
      <w:start w:val="1"/>
      <w:numFmt w:val="bullet"/>
      <w:lvlText w:val="•"/>
      <w:lvlJc w:val="left"/>
      <w:pPr>
        <w:ind w:left="3494" w:hanging="278"/>
      </w:pPr>
      <w:rPr>
        <w:rFonts w:hint="default"/>
      </w:rPr>
    </w:lvl>
    <w:lvl w:ilvl="4" w:tplc="289E920A">
      <w:start w:val="1"/>
      <w:numFmt w:val="bullet"/>
      <w:lvlText w:val="•"/>
      <w:lvlJc w:val="left"/>
      <w:pPr>
        <w:ind w:left="4372" w:hanging="278"/>
      </w:pPr>
      <w:rPr>
        <w:rFonts w:hint="default"/>
      </w:rPr>
    </w:lvl>
    <w:lvl w:ilvl="5" w:tplc="2DFA1CC8">
      <w:start w:val="1"/>
      <w:numFmt w:val="bullet"/>
      <w:lvlText w:val="•"/>
      <w:lvlJc w:val="left"/>
      <w:pPr>
        <w:ind w:left="5250" w:hanging="278"/>
      </w:pPr>
      <w:rPr>
        <w:rFonts w:hint="default"/>
      </w:rPr>
    </w:lvl>
    <w:lvl w:ilvl="6" w:tplc="90BC1CC0">
      <w:start w:val="1"/>
      <w:numFmt w:val="bullet"/>
      <w:lvlText w:val="•"/>
      <w:lvlJc w:val="left"/>
      <w:pPr>
        <w:ind w:left="6128" w:hanging="278"/>
      </w:pPr>
      <w:rPr>
        <w:rFonts w:hint="default"/>
      </w:rPr>
    </w:lvl>
    <w:lvl w:ilvl="7" w:tplc="36B87E46">
      <w:start w:val="1"/>
      <w:numFmt w:val="bullet"/>
      <w:lvlText w:val="•"/>
      <w:lvlJc w:val="left"/>
      <w:pPr>
        <w:ind w:left="7006" w:hanging="278"/>
      </w:pPr>
      <w:rPr>
        <w:rFonts w:hint="default"/>
      </w:rPr>
    </w:lvl>
    <w:lvl w:ilvl="8" w:tplc="D1486574">
      <w:start w:val="1"/>
      <w:numFmt w:val="bullet"/>
      <w:lvlText w:val="•"/>
      <w:lvlJc w:val="left"/>
      <w:pPr>
        <w:ind w:left="7884" w:hanging="278"/>
      </w:pPr>
      <w:rPr>
        <w:rFonts w:hint="default"/>
      </w:rPr>
    </w:lvl>
  </w:abstractNum>
  <w:abstractNum w:abstractNumId="3">
    <w:nsid w:val="5B980FEF"/>
    <w:multiLevelType w:val="hybridMultilevel"/>
    <w:tmpl w:val="FC54A69E"/>
    <w:lvl w:ilvl="0" w:tplc="AEFA35A8">
      <w:start w:val="1"/>
      <w:numFmt w:val="lowerLetter"/>
      <w:lvlText w:val="%1)"/>
      <w:lvlJc w:val="left"/>
      <w:pPr>
        <w:ind w:left="160" w:hanging="269"/>
      </w:pPr>
      <w:rPr>
        <w:rFonts w:ascii="Calibri" w:eastAsia="Calibri" w:hAnsi="Calibri" w:hint="default"/>
        <w:w w:val="99"/>
        <w:sz w:val="22"/>
        <w:szCs w:val="22"/>
      </w:rPr>
    </w:lvl>
    <w:lvl w:ilvl="1" w:tplc="F3FA7298">
      <w:start w:val="1"/>
      <w:numFmt w:val="bullet"/>
      <w:lvlText w:val="•"/>
      <w:lvlJc w:val="left"/>
      <w:pPr>
        <w:ind w:left="1112" w:hanging="269"/>
      </w:pPr>
      <w:rPr>
        <w:rFonts w:hint="default"/>
      </w:rPr>
    </w:lvl>
    <w:lvl w:ilvl="2" w:tplc="CE341AEA">
      <w:start w:val="1"/>
      <w:numFmt w:val="bullet"/>
      <w:lvlText w:val="•"/>
      <w:lvlJc w:val="left"/>
      <w:pPr>
        <w:ind w:left="2064" w:hanging="269"/>
      </w:pPr>
      <w:rPr>
        <w:rFonts w:hint="default"/>
      </w:rPr>
    </w:lvl>
    <w:lvl w:ilvl="3" w:tplc="DBD2BC40">
      <w:start w:val="1"/>
      <w:numFmt w:val="bullet"/>
      <w:lvlText w:val="•"/>
      <w:lvlJc w:val="left"/>
      <w:pPr>
        <w:ind w:left="3016" w:hanging="269"/>
      </w:pPr>
      <w:rPr>
        <w:rFonts w:hint="default"/>
      </w:rPr>
    </w:lvl>
    <w:lvl w:ilvl="4" w:tplc="5F4E9F4E">
      <w:start w:val="1"/>
      <w:numFmt w:val="bullet"/>
      <w:lvlText w:val="•"/>
      <w:lvlJc w:val="left"/>
      <w:pPr>
        <w:ind w:left="3968" w:hanging="269"/>
      </w:pPr>
      <w:rPr>
        <w:rFonts w:hint="default"/>
      </w:rPr>
    </w:lvl>
    <w:lvl w:ilvl="5" w:tplc="10283986">
      <w:start w:val="1"/>
      <w:numFmt w:val="bullet"/>
      <w:lvlText w:val="•"/>
      <w:lvlJc w:val="left"/>
      <w:pPr>
        <w:ind w:left="4920" w:hanging="269"/>
      </w:pPr>
      <w:rPr>
        <w:rFonts w:hint="default"/>
      </w:rPr>
    </w:lvl>
    <w:lvl w:ilvl="6" w:tplc="15C48366">
      <w:start w:val="1"/>
      <w:numFmt w:val="bullet"/>
      <w:lvlText w:val="•"/>
      <w:lvlJc w:val="left"/>
      <w:pPr>
        <w:ind w:left="5872" w:hanging="269"/>
      </w:pPr>
      <w:rPr>
        <w:rFonts w:hint="default"/>
      </w:rPr>
    </w:lvl>
    <w:lvl w:ilvl="7" w:tplc="5D54BD1E">
      <w:start w:val="1"/>
      <w:numFmt w:val="bullet"/>
      <w:lvlText w:val="•"/>
      <w:lvlJc w:val="left"/>
      <w:pPr>
        <w:ind w:left="6824" w:hanging="269"/>
      </w:pPr>
      <w:rPr>
        <w:rFonts w:hint="default"/>
      </w:rPr>
    </w:lvl>
    <w:lvl w:ilvl="8" w:tplc="DD1AD754">
      <w:start w:val="1"/>
      <w:numFmt w:val="bullet"/>
      <w:lvlText w:val="•"/>
      <w:lvlJc w:val="left"/>
      <w:pPr>
        <w:ind w:left="7776" w:hanging="269"/>
      </w:pPr>
      <w:rPr>
        <w:rFonts w:hint="default"/>
      </w:rPr>
    </w:lvl>
  </w:abstractNum>
  <w:abstractNum w:abstractNumId="4">
    <w:nsid w:val="75587623"/>
    <w:multiLevelType w:val="hybridMultilevel"/>
    <w:tmpl w:val="005E86C8"/>
    <w:lvl w:ilvl="0" w:tplc="41F6F7C0">
      <w:start w:val="1"/>
      <w:numFmt w:val="upperLetter"/>
      <w:lvlText w:val="%1."/>
      <w:lvlJc w:val="left"/>
      <w:pPr>
        <w:ind w:left="415" w:hanging="256"/>
      </w:pPr>
      <w:rPr>
        <w:rFonts w:ascii="Calibri" w:eastAsia="Calibri" w:hAnsi="Calibri" w:hint="default"/>
        <w:b/>
        <w:bCs/>
        <w:spacing w:val="4"/>
        <w:w w:val="99"/>
        <w:sz w:val="22"/>
        <w:szCs w:val="22"/>
      </w:rPr>
    </w:lvl>
    <w:lvl w:ilvl="1" w:tplc="48649C38">
      <w:start w:val="1"/>
      <w:numFmt w:val="decimal"/>
      <w:lvlText w:val="%2."/>
      <w:lvlJc w:val="left"/>
      <w:pPr>
        <w:ind w:left="160" w:hanging="260"/>
      </w:pPr>
      <w:rPr>
        <w:rFonts w:ascii="Calibri" w:eastAsia="Calibri" w:hAnsi="Calibri" w:hint="default"/>
        <w:w w:val="99"/>
        <w:sz w:val="22"/>
        <w:szCs w:val="22"/>
      </w:rPr>
    </w:lvl>
    <w:lvl w:ilvl="2" w:tplc="7B829EAA">
      <w:start w:val="1"/>
      <w:numFmt w:val="bullet"/>
      <w:lvlText w:val="-"/>
      <w:lvlJc w:val="left"/>
      <w:pPr>
        <w:ind w:left="858" w:hanging="360"/>
      </w:pPr>
      <w:rPr>
        <w:rFonts w:ascii="Arial Narrow" w:eastAsia="Arial Narrow" w:hAnsi="Arial Narrow" w:hint="default"/>
        <w:w w:val="99"/>
        <w:sz w:val="22"/>
        <w:szCs w:val="22"/>
      </w:rPr>
    </w:lvl>
    <w:lvl w:ilvl="3" w:tplc="59022EF2">
      <w:start w:val="1"/>
      <w:numFmt w:val="bullet"/>
      <w:lvlText w:val="•"/>
      <w:lvlJc w:val="left"/>
      <w:pPr>
        <w:ind w:left="160" w:hanging="360"/>
      </w:pPr>
      <w:rPr>
        <w:rFonts w:hint="default"/>
      </w:rPr>
    </w:lvl>
    <w:lvl w:ilvl="4" w:tplc="8446D8E6">
      <w:start w:val="1"/>
      <w:numFmt w:val="bullet"/>
      <w:lvlText w:val="•"/>
      <w:lvlJc w:val="left"/>
      <w:pPr>
        <w:ind w:left="160" w:hanging="360"/>
      </w:pPr>
      <w:rPr>
        <w:rFonts w:hint="default"/>
      </w:rPr>
    </w:lvl>
    <w:lvl w:ilvl="5" w:tplc="AD449F86">
      <w:start w:val="1"/>
      <w:numFmt w:val="bullet"/>
      <w:lvlText w:val="•"/>
      <w:lvlJc w:val="left"/>
      <w:pPr>
        <w:ind w:left="415" w:hanging="360"/>
      </w:pPr>
      <w:rPr>
        <w:rFonts w:hint="default"/>
      </w:rPr>
    </w:lvl>
    <w:lvl w:ilvl="6" w:tplc="8174CAD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7" w:tplc="EE024A9A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8" w:tplc="4CA0E9EE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22"/>
    <w:rsid w:val="00003DEC"/>
    <w:rsid w:val="00026122"/>
    <w:rsid w:val="00066386"/>
    <w:rsid w:val="00145E73"/>
    <w:rsid w:val="00165B1E"/>
    <w:rsid w:val="00174708"/>
    <w:rsid w:val="00184449"/>
    <w:rsid w:val="001B0A15"/>
    <w:rsid w:val="00261534"/>
    <w:rsid w:val="00263A8E"/>
    <w:rsid w:val="002900B1"/>
    <w:rsid w:val="003360B8"/>
    <w:rsid w:val="00360452"/>
    <w:rsid w:val="003C29F1"/>
    <w:rsid w:val="003F230A"/>
    <w:rsid w:val="003F6E7C"/>
    <w:rsid w:val="00436840"/>
    <w:rsid w:val="00452271"/>
    <w:rsid w:val="00472DD2"/>
    <w:rsid w:val="0048627E"/>
    <w:rsid w:val="00586529"/>
    <w:rsid w:val="005A0636"/>
    <w:rsid w:val="005B0455"/>
    <w:rsid w:val="006608D4"/>
    <w:rsid w:val="00670815"/>
    <w:rsid w:val="0067119E"/>
    <w:rsid w:val="006A01DB"/>
    <w:rsid w:val="006A06CA"/>
    <w:rsid w:val="006A278A"/>
    <w:rsid w:val="006B00BA"/>
    <w:rsid w:val="00705401"/>
    <w:rsid w:val="0076725C"/>
    <w:rsid w:val="008027D6"/>
    <w:rsid w:val="00870E0F"/>
    <w:rsid w:val="00883441"/>
    <w:rsid w:val="008C302D"/>
    <w:rsid w:val="0090510E"/>
    <w:rsid w:val="00921EE9"/>
    <w:rsid w:val="0093529A"/>
    <w:rsid w:val="009B274C"/>
    <w:rsid w:val="009F142E"/>
    <w:rsid w:val="00A16242"/>
    <w:rsid w:val="00A35D09"/>
    <w:rsid w:val="00AA2D38"/>
    <w:rsid w:val="00AA6A08"/>
    <w:rsid w:val="00AB6856"/>
    <w:rsid w:val="00AC4BF4"/>
    <w:rsid w:val="00B268EF"/>
    <w:rsid w:val="00B43A6B"/>
    <w:rsid w:val="00B531D1"/>
    <w:rsid w:val="00B66049"/>
    <w:rsid w:val="00B9638A"/>
    <w:rsid w:val="00BB25AE"/>
    <w:rsid w:val="00BC0837"/>
    <w:rsid w:val="00C57C4B"/>
    <w:rsid w:val="00CC7418"/>
    <w:rsid w:val="00CD2647"/>
    <w:rsid w:val="00CD32E8"/>
    <w:rsid w:val="00CF0D44"/>
    <w:rsid w:val="00CF680B"/>
    <w:rsid w:val="00CF7C1B"/>
    <w:rsid w:val="00D2554B"/>
    <w:rsid w:val="00D85237"/>
    <w:rsid w:val="00DD2498"/>
    <w:rsid w:val="00DE6708"/>
    <w:rsid w:val="00DF7CA1"/>
    <w:rsid w:val="00E15B4A"/>
    <w:rsid w:val="00E20F98"/>
    <w:rsid w:val="00E21956"/>
    <w:rsid w:val="00E601CC"/>
    <w:rsid w:val="00E64718"/>
    <w:rsid w:val="00EF5F8C"/>
    <w:rsid w:val="00EF7AF8"/>
    <w:rsid w:val="00F72977"/>
    <w:rsid w:val="00F75039"/>
    <w:rsid w:val="00F90F8C"/>
    <w:rsid w:val="00FD3DB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49"/>
  </w:style>
  <w:style w:type="paragraph" w:styleId="Footer">
    <w:name w:val="footer"/>
    <w:basedOn w:val="Normal"/>
    <w:link w:val="FooterChar"/>
    <w:uiPriority w:val="99"/>
    <w:unhideWhenUsed/>
    <w:rsid w:val="0018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49"/>
  </w:style>
  <w:style w:type="character" w:styleId="Hyperlink">
    <w:name w:val="Hyperlink"/>
    <w:basedOn w:val="DefaultParagraphFont"/>
    <w:uiPriority w:val="99"/>
    <w:unhideWhenUsed/>
    <w:rsid w:val="00AC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49"/>
  </w:style>
  <w:style w:type="paragraph" w:styleId="Footer">
    <w:name w:val="footer"/>
    <w:basedOn w:val="Normal"/>
    <w:link w:val="FooterChar"/>
    <w:uiPriority w:val="99"/>
    <w:unhideWhenUsed/>
    <w:rsid w:val="00184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49"/>
  </w:style>
  <w:style w:type="character" w:styleId="Hyperlink">
    <w:name w:val="Hyperlink"/>
    <w:basedOn w:val="DefaultParagraphFont"/>
    <w:uiPriority w:val="99"/>
    <w:unhideWhenUsed/>
    <w:rsid w:val="00AC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asconnect/HRBenefits/Benefits/MyBenefits/HealthInsuranceInformation/Cigna/GSOASHealthInsurancePlans/GSOASHealthInsurancePlans2021/tabid/1851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asconnect/HRBenefits/Benefits/MyBenefits/HealthInsuranceInformation/Cigna/GSOASHealthInsurancePlans/GSOASHealthInsurancePlans2021/tabid/1851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asconnect/HRBenefits/Benefits/MyBenefits/HealthInsuranceInformation/Cigna/GSOASHealthInsurancePlans/GSOASHealthInsurancePlans2021/tabid/1851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asconnect/Portals/0/HR/Benefits/Trust%20Declar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Santos, Ada</cp:lastModifiedBy>
  <cp:revision>34</cp:revision>
  <dcterms:created xsi:type="dcterms:W3CDTF">2021-04-05T20:34:00Z</dcterms:created>
  <dcterms:modified xsi:type="dcterms:W3CDTF">2021-04-06T20:29:00Z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2021-04-02T00:00:00Z</vt:filetime>
  </property>
</Properties>
</file>