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6F80E" w14:textId="77777777" w:rsidR="008D0A04" w:rsidRDefault="008D0A04" w:rsidP="008D0A04">
      <w:pPr>
        <w:tabs>
          <w:tab w:val="center" w:pos="2880"/>
          <w:tab w:val="left" w:pos="7200"/>
        </w:tabs>
        <w:jc w:val="both"/>
        <w:rPr>
          <w:color w:val="000000"/>
          <w:sz w:val="22"/>
          <w:szCs w:val="22"/>
          <w:lang w:val="fr-CA" w:eastAsia="es-ES"/>
        </w:rPr>
      </w:pPr>
      <w:r>
        <w:rPr>
          <w:color w:val="000000"/>
          <w:sz w:val="22"/>
          <w:szCs w:val="22"/>
          <w:lang w:val="fr-CA" w:eastAsia="es-ES"/>
        </w:rPr>
        <w:tab/>
        <w:t xml:space="preserve">CONSEIL PERMANENT DE </w:t>
      </w:r>
      <w:r>
        <w:rPr>
          <w:color w:val="000000"/>
          <w:sz w:val="22"/>
          <w:szCs w:val="22"/>
          <w:lang w:val="fr-CA" w:eastAsia="es-ES"/>
        </w:rPr>
        <w:tab/>
        <w:t>OEA/</w:t>
      </w:r>
      <w:proofErr w:type="spellStart"/>
      <w:r>
        <w:rPr>
          <w:color w:val="000000"/>
          <w:sz w:val="22"/>
          <w:szCs w:val="22"/>
          <w:lang w:val="fr-CA" w:eastAsia="es-ES"/>
        </w:rPr>
        <w:t>Ser.G</w:t>
      </w:r>
      <w:proofErr w:type="spellEnd"/>
    </w:p>
    <w:p w14:paraId="6BC7199C" w14:textId="3FF64AE1" w:rsidR="008D0A04" w:rsidRDefault="008D0A04" w:rsidP="008D0A04">
      <w:pPr>
        <w:tabs>
          <w:tab w:val="center" w:pos="2880"/>
          <w:tab w:val="left" w:pos="7200"/>
        </w:tabs>
        <w:ind w:right="-749"/>
        <w:jc w:val="both"/>
        <w:rPr>
          <w:color w:val="000000"/>
          <w:sz w:val="22"/>
          <w:szCs w:val="22"/>
          <w:lang w:val="fr-CA" w:eastAsia="es-ES"/>
        </w:rPr>
      </w:pPr>
      <w:r>
        <w:rPr>
          <w:color w:val="000000"/>
          <w:sz w:val="22"/>
          <w:szCs w:val="22"/>
          <w:lang w:val="fr-CA" w:eastAsia="es-ES"/>
        </w:rPr>
        <w:tab/>
        <w:t>L’ORGANISATION DES ÉTATS AMÉRICAINS</w:t>
      </w:r>
      <w:r>
        <w:rPr>
          <w:color w:val="000000"/>
          <w:sz w:val="22"/>
          <w:szCs w:val="22"/>
          <w:lang w:val="fr-CA" w:eastAsia="es-ES"/>
        </w:rPr>
        <w:tab/>
        <w:t>CP/</w:t>
      </w:r>
      <w:proofErr w:type="spellStart"/>
      <w:r>
        <w:rPr>
          <w:color w:val="000000"/>
          <w:sz w:val="22"/>
          <w:szCs w:val="22"/>
          <w:lang w:val="fr-CA" w:eastAsia="es-ES"/>
        </w:rPr>
        <w:t>CAJP</w:t>
      </w:r>
      <w:proofErr w:type="spellEnd"/>
      <w:r>
        <w:rPr>
          <w:color w:val="000000"/>
          <w:sz w:val="22"/>
          <w:szCs w:val="22"/>
          <w:lang w:val="fr-CA" w:eastAsia="es-ES"/>
        </w:rPr>
        <w:t xml:space="preserve">-3518/19 </w:t>
      </w:r>
      <w:proofErr w:type="spellStart"/>
      <w:r>
        <w:rPr>
          <w:color w:val="000000"/>
          <w:sz w:val="22"/>
          <w:szCs w:val="22"/>
          <w:lang w:val="fr-CA" w:eastAsia="es-ES"/>
        </w:rPr>
        <w:t>rev</w:t>
      </w:r>
      <w:proofErr w:type="spellEnd"/>
      <w:r>
        <w:rPr>
          <w:color w:val="000000"/>
          <w:sz w:val="22"/>
          <w:szCs w:val="22"/>
          <w:lang w:val="fr-CA" w:eastAsia="es-ES"/>
        </w:rPr>
        <w:t xml:space="preserve">. </w:t>
      </w:r>
      <w:r w:rsidR="00623057">
        <w:rPr>
          <w:color w:val="000000"/>
          <w:sz w:val="22"/>
          <w:szCs w:val="22"/>
          <w:lang w:val="fr-CA" w:eastAsia="es-ES"/>
        </w:rPr>
        <w:t>5</w:t>
      </w:r>
    </w:p>
    <w:p w14:paraId="502E5E6C" w14:textId="6F450E2B" w:rsidR="008D0A04" w:rsidRDefault="008D0A04" w:rsidP="008D0A04">
      <w:pPr>
        <w:tabs>
          <w:tab w:val="center" w:pos="2880"/>
          <w:tab w:val="left" w:pos="7200"/>
        </w:tabs>
        <w:jc w:val="both"/>
        <w:rPr>
          <w:color w:val="000000"/>
          <w:sz w:val="22"/>
          <w:szCs w:val="22"/>
          <w:lang w:val="fr-CA" w:eastAsia="es-ES"/>
        </w:rPr>
      </w:pPr>
      <w:r>
        <w:rPr>
          <w:color w:val="000000"/>
          <w:sz w:val="22"/>
          <w:szCs w:val="22"/>
          <w:lang w:val="fr-CA" w:eastAsia="es-ES"/>
        </w:rPr>
        <w:tab/>
      </w:r>
      <w:r>
        <w:rPr>
          <w:color w:val="000000"/>
          <w:sz w:val="22"/>
          <w:szCs w:val="22"/>
          <w:lang w:val="fr-CA" w:eastAsia="es-ES"/>
        </w:rPr>
        <w:tab/>
        <w:t>2</w:t>
      </w:r>
      <w:r w:rsidR="00623057">
        <w:rPr>
          <w:color w:val="000000"/>
          <w:sz w:val="22"/>
          <w:szCs w:val="22"/>
          <w:lang w:val="fr-CA" w:eastAsia="es-ES"/>
        </w:rPr>
        <w:t xml:space="preserve">4 juillet </w:t>
      </w:r>
      <w:r>
        <w:rPr>
          <w:color w:val="000000"/>
          <w:sz w:val="22"/>
          <w:szCs w:val="22"/>
          <w:lang w:val="fr-CA" w:eastAsia="es-ES"/>
        </w:rPr>
        <w:t>2020</w:t>
      </w:r>
    </w:p>
    <w:p w14:paraId="1DE92CAE" w14:textId="77777777" w:rsidR="008D0A04" w:rsidRDefault="008D0A04" w:rsidP="008D0A04">
      <w:pPr>
        <w:tabs>
          <w:tab w:val="center" w:pos="2880"/>
          <w:tab w:val="left" w:pos="7200"/>
        </w:tabs>
        <w:ind w:right="-569"/>
        <w:jc w:val="both"/>
        <w:rPr>
          <w:color w:val="000000"/>
          <w:sz w:val="22"/>
          <w:szCs w:val="22"/>
          <w:lang w:val="fr-CA" w:eastAsia="es-ES"/>
        </w:rPr>
      </w:pPr>
      <w:r>
        <w:rPr>
          <w:color w:val="000000"/>
          <w:sz w:val="22"/>
          <w:szCs w:val="22"/>
          <w:lang w:val="fr-CA" w:eastAsia="es-ES"/>
        </w:rPr>
        <w:tab/>
        <w:t>COMMISSION DES QUESTIONS JURIDIQUES</w:t>
      </w:r>
      <w:r>
        <w:rPr>
          <w:color w:val="000000"/>
          <w:sz w:val="22"/>
          <w:szCs w:val="22"/>
          <w:lang w:val="fr-CA" w:eastAsia="es-ES"/>
        </w:rPr>
        <w:tab/>
        <w:t>Original: espagnol</w:t>
      </w:r>
    </w:p>
    <w:p w14:paraId="1563C1B7" w14:textId="77777777" w:rsidR="008D0A04" w:rsidRDefault="008D0A04" w:rsidP="008D0A04">
      <w:pPr>
        <w:tabs>
          <w:tab w:val="center" w:pos="2880"/>
          <w:tab w:val="left" w:pos="7200"/>
        </w:tabs>
        <w:ind w:right="-569"/>
        <w:jc w:val="both"/>
        <w:rPr>
          <w:color w:val="000000"/>
          <w:sz w:val="22"/>
          <w:szCs w:val="22"/>
          <w:lang w:val="fr-CA" w:eastAsia="es-ES"/>
        </w:rPr>
      </w:pPr>
      <w:r>
        <w:rPr>
          <w:color w:val="000000"/>
          <w:sz w:val="22"/>
          <w:szCs w:val="22"/>
          <w:lang w:val="fr-CA" w:eastAsia="es-ES"/>
        </w:rPr>
        <w:tab/>
        <w:t>ET POLITIQUES</w:t>
      </w:r>
    </w:p>
    <w:p w14:paraId="2F0B4D4B" w14:textId="77777777" w:rsidR="008D0A04" w:rsidRDefault="008D0A04" w:rsidP="008D0A04">
      <w:pPr>
        <w:rPr>
          <w:color w:val="000000"/>
          <w:sz w:val="22"/>
          <w:szCs w:val="22"/>
          <w:lang w:val="fr-CA" w:eastAsia="es-ES"/>
        </w:rPr>
      </w:pPr>
    </w:p>
    <w:p w14:paraId="5FA0F87B" w14:textId="77777777" w:rsidR="008D0A04" w:rsidRDefault="008D0A04" w:rsidP="00302458">
      <w:pPr>
        <w:rPr>
          <w:color w:val="000000"/>
          <w:sz w:val="22"/>
          <w:szCs w:val="22"/>
          <w:lang w:val="fr-CA" w:eastAsia="es-ES"/>
        </w:rPr>
      </w:pPr>
    </w:p>
    <w:p w14:paraId="3D697667" w14:textId="77777777" w:rsidR="008D0A04" w:rsidRDefault="008D0A04" w:rsidP="008D0A04">
      <w:pPr>
        <w:jc w:val="center"/>
        <w:rPr>
          <w:color w:val="000000"/>
          <w:sz w:val="22"/>
          <w:szCs w:val="22"/>
          <w:lang w:val="fr-CA" w:eastAsia="es-ES"/>
        </w:rPr>
      </w:pPr>
      <w:r>
        <w:rPr>
          <w:color w:val="000000"/>
          <w:sz w:val="22"/>
          <w:szCs w:val="22"/>
          <w:lang w:val="fr-CA" w:eastAsia="es-ES"/>
        </w:rPr>
        <w:t xml:space="preserve">PLAN DE TRAVAIL </w:t>
      </w:r>
      <w:r>
        <w:rPr>
          <w:color w:val="000000"/>
          <w:sz w:val="22"/>
          <w:szCs w:val="22"/>
          <w:lang w:val="fr-CA" w:eastAsia="es-ES"/>
        </w:rPr>
        <w:br/>
        <w:t>DE LA COMMISSION DES QUESTIONS JURIDIQUES ET POLITIQUES</w:t>
      </w:r>
      <w:r>
        <w:rPr>
          <w:color w:val="000000"/>
          <w:sz w:val="22"/>
          <w:szCs w:val="22"/>
          <w:lang w:val="fr-CA" w:eastAsia="es-ES"/>
        </w:rPr>
        <w:br/>
        <w:t>POUR LA PÉRIODE 2019-2020</w:t>
      </w:r>
    </w:p>
    <w:p w14:paraId="11F02097" w14:textId="77777777" w:rsidR="008D0A04" w:rsidRDefault="008D0A04" w:rsidP="008D0A04">
      <w:pPr>
        <w:rPr>
          <w:color w:val="000000"/>
          <w:sz w:val="22"/>
          <w:szCs w:val="22"/>
          <w:lang w:val="fr-CA" w:eastAsia="es-ES"/>
        </w:rPr>
      </w:pPr>
    </w:p>
    <w:p w14:paraId="441F0C29" w14:textId="77777777" w:rsidR="008D0A04" w:rsidRDefault="008D0A04" w:rsidP="008D0A04">
      <w:pPr>
        <w:jc w:val="center"/>
        <w:rPr>
          <w:color w:val="000000"/>
          <w:sz w:val="22"/>
          <w:szCs w:val="22"/>
          <w:lang w:val="fr-CA" w:eastAsia="es-ES"/>
        </w:rPr>
      </w:pPr>
      <w:r>
        <w:rPr>
          <w:color w:val="000000"/>
          <w:sz w:val="22"/>
          <w:szCs w:val="22"/>
          <w:lang w:val="fr-CA" w:eastAsia="es-ES"/>
        </w:rPr>
        <w:t>(Approuvé par la Commission à sa réunion du 17 octobre 2019)</w:t>
      </w:r>
    </w:p>
    <w:p w14:paraId="7622496C" w14:textId="77777777" w:rsidR="008D0A04" w:rsidRDefault="008D0A04" w:rsidP="008D0A04">
      <w:pPr>
        <w:rPr>
          <w:color w:val="000000"/>
          <w:sz w:val="22"/>
          <w:szCs w:val="22"/>
          <w:lang w:val="fr-CA" w:eastAsia="es-ES"/>
        </w:rPr>
      </w:pPr>
    </w:p>
    <w:p w14:paraId="1C67ADD8" w14:textId="77777777" w:rsidR="008D0A04" w:rsidRDefault="008D0A04" w:rsidP="008D0A04">
      <w:pPr>
        <w:numPr>
          <w:ilvl w:val="0"/>
          <w:numId w:val="2"/>
        </w:numPr>
        <w:jc w:val="center"/>
        <w:rPr>
          <w:caps/>
          <w:color w:val="000000"/>
          <w:sz w:val="22"/>
          <w:szCs w:val="22"/>
          <w:lang w:val="fr-CA" w:eastAsia="es-ES"/>
        </w:rPr>
      </w:pPr>
      <w:r>
        <w:rPr>
          <w:caps/>
          <w:color w:val="000000"/>
          <w:sz w:val="22"/>
          <w:szCs w:val="22"/>
          <w:lang w:val="fr-CA" w:eastAsia="es-ES"/>
        </w:rPr>
        <w:t>INSTALLATION ET BUREAU</w:t>
      </w:r>
    </w:p>
    <w:p w14:paraId="508509D0" w14:textId="77777777" w:rsidR="008D0A04" w:rsidRDefault="008D0A04" w:rsidP="008D0A04">
      <w:pPr>
        <w:tabs>
          <w:tab w:val="left" w:pos="5040"/>
          <w:tab w:val="left" w:pos="6540"/>
          <w:tab w:val="left" w:pos="7194"/>
        </w:tabs>
        <w:suppressAutoHyphens/>
        <w:rPr>
          <w:color w:val="000000"/>
          <w:sz w:val="22"/>
          <w:szCs w:val="22"/>
          <w:lang w:val="fr-CA" w:eastAsia="es-ES"/>
        </w:rPr>
      </w:pPr>
    </w:p>
    <w:p w14:paraId="1AD6624E" w14:textId="77777777" w:rsidR="008D0A04" w:rsidRDefault="008D0A04" w:rsidP="008D0A04">
      <w:pPr>
        <w:tabs>
          <w:tab w:val="left" w:pos="720"/>
          <w:tab w:val="left" w:pos="3960"/>
        </w:tabs>
        <w:ind w:right="11"/>
        <w:jc w:val="both"/>
        <w:rPr>
          <w:color w:val="000000"/>
          <w:sz w:val="22"/>
          <w:szCs w:val="22"/>
          <w:lang w:val="fr-CA" w:eastAsia="fr-CA"/>
        </w:rPr>
      </w:pPr>
      <w:r>
        <w:rPr>
          <w:color w:val="000000"/>
          <w:sz w:val="22"/>
          <w:szCs w:val="22"/>
          <w:lang w:val="fr-CA" w:eastAsia="es-ES"/>
        </w:rPr>
        <w:tab/>
      </w:r>
      <w:r>
        <w:rPr>
          <w:color w:val="000000"/>
          <w:sz w:val="22"/>
          <w:szCs w:val="22"/>
          <w:lang w:val="fr-CA" w:eastAsia="fr-CA"/>
        </w:rPr>
        <w:t xml:space="preserve">Le Conseil permanent a installé la Commission des questions juridiques et politiques (CAJP) pour la période 2019-2020 lors de la séance ordinaire du 17 juillet 2019, conformément aux dispositions de l’article 28 du Règlement du Conseil permanent. Sur la base des dispositions de l’article susmentionné, à la séance ordinaire du Conseil permanent du 27 septembre 2019, l’Ambassadeur </w:t>
      </w:r>
      <w:r>
        <w:rPr>
          <w:color w:val="000000"/>
          <w:sz w:val="22"/>
          <w:szCs w:val="22"/>
          <w:lang w:val="fr-CA" w:eastAsia="es-ES"/>
        </w:rPr>
        <w:t xml:space="preserve">Carlos Alberto </w:t>
      </w:r>
      <w:proofErr w:type="spellStart"/>
      <w:r>
        <w:rPr>
          <w:color w:val="000000"/>
          <w:sz w:val="22"/>
          <w:szCs w:val="22"/>
          <w:lang w:val="fr-CA" w:eastAsia="es-ES"/>
        </w:rPr>
        <w:t>Játiva</w:t>
      </w:r>
      <w:proofErr w:type="spellEnd"/>
      <w:r>
        <w:rPr>
          <w:color w:val="000000"/>
          <w:sz w:val="22"/>
          <w:szCs w:val="22"/>
          <w:lang w:val="fr-CA" w:eastAsia="es-ES"/>
        </w:rPr>
        <w:t xml:space="preserve"> </w:t>
      </w:r>
      <w:proofErr w:type="spellStart"/>
      <w:r>
        <w:rPr>
          <w:color w:val="000000"/>
          <w:sz w:val="22"/>
          <w:szCs w:val="22"/>
          <w:lang w:val="fr-CA" w:eastAsia="es-ES"/>
        </w:rPr>
        <w:t>Naranjo</w:t>
      </w:r>
      <w:proofErr w:type="spellEnd"/>
      <w:r>
        <w:rPr>
          <w:color w:val="000000"/>
          <w:sz w:val="22"/>
          <w:szCs w:val="22"/>
          <w:lang w:val="fr-CA" w:eastAsia="fr-CA"/>
        </w:rPr>
        <w:t>, Représentant permanent de l’Équateur, a été élu Président de la CAJP pour cette même période.</w:t>
      </w:r>
    </w:p>
    <w:p w14:paraId="2D8619D6" w14:textId="77777777" w:rsidR="008D0A04" w:rsidRDefault="008D0A04" w:rsidP="008D0A04">
      <w:pPr>
        <w:tabs>
          <w:tab w:val="left" w:pos="720"/>
          <w:tab w:val="left" w:pos="3960"/>
        </w:tabs>
        <w:ind w:right="11"/>
        <w:jc w:val="both"/>
        <w:rPr>
          <w:color w:val="000000"/>
          <w:sz w:val="22"/>
          <w:szCs w:val="22"/>
          <w:lang w:val="fr-CA" w:eastAsia="fr-CA"/>
        </w:rPr>
      </w:pPr>
    </w:p>
    <w:p w14:paraId="0C99F5DF" w14:textId="77777777" w:rsidR="008D0A04" w:rsidRDefault="008D0A04" w:rsidP="008D0A04">
      <w:pPr>
        <w:tabs>
          <w:tab w:val="left" w:pos="720"/>
          <w:tab w:val="left" w:pos="3960"/>
        </w:tabs>
        <w:ind w:right="11"/>
        <w:jc w:val="both"/>
        <w:rPr>
          <w:sz w:val="22"/>
          <w:szCs w:val="22"/>
          <w:lang w:val="fr-CA" w:eastAsia="es-ES"/>
        </w:rPr>
      </w:pPr>
      <w:r>
        <w:rPr>
          <w:color w:val="000000"/>
          <w:sz w:val="22"/>
          <w:szCs w:val="22"/>
          <w:lang w:val="fr-CA" w:eastAsia="fr-CA"/>
        </w:rPr>
        <w:tab/>
        <w:t xml:space="preserve">À la réunion de la CAJP du 9 octobre 2019, l’Ambassadeur Luis Fernando Cordero Montoya, Représentant par intérim du Honduras, a été élu Vice-président de la CAJP pour l’exercice en </w:t>
      </w:r>
      <w:r>
        <w:rPr>
          <w:sz w:val="22"/>
          <w:szCs w:val="22"/>
          <w:lang w:val="fr-CA" w:eastAsia="fr-CA"/>
        </w:rPr>
        <w:t>cours.</w:t>
      </w:r>
    </w:p>
    <w:p w14:paraId="097A184C" w14:textId="77777777" w:rsidR="008D0A04" w:rsidRDefault="008D0A04" w:rsidP="008D0A04">
      <w:pPr>
        <w:tabs>
          <w:tab w:val="left" w:pos="720"/>
          <w:tab w:val="left" w:pos="3960"/>
        </w:tabs>
        <w:ind w:right="11"/>
        <w:jc w:val="both"/>
        <w:rPr>
          <w:sz w:val="22"/>
          <w:szCs w:val="22"/>
          <w:lang w:val="fr-CA" w:eastAsia="es-ES"/>
        </w:rPr>
      </w:pPr>
    </w:p>
    <w:p w14:paraId="2C02DC80" w14:textId="77777777" w:rsidR="008D0A04" w:rsidRDefault="008D0A04" w:rsidP="008D0A04">
      <w:pPr>
        <w:numPr>
          <w:ilvl w:val="0"/>
          <w:numId w:val="2"/>
        </w:numPr>
        <w:jc w:val="center"/>
        <w:rPr>
          <w:caps/>
          <w:color w:val="000000"/>
          <w:sz w:val="22"/>
          <w:szCs w:val="22"/>
          <w:lang w:val="fr-CA" w:eastAsia="es-ES"/>
        </w:rPr>
      </w:pPr>
      <w:r>
        <w:rPr>
          <w:caps/>
          <w:color w:val="000000"/>
          <w:sz w:val="22"/>
          <w:szCs w:val="22"/>
          <w:lang w:val="fr-CA" w:eastAsia="es-ES"/>
        </w:rPr>
        <w:t>MANDATS</w:t>
      </w:r>
    </w:p>
    <w:p w14:paraId="04D1D985" w14:textId="77777777" w:rsidR="008D0A04" w:rsidRDefault="008D0A04" w:rsidP="008D0A04">
      <w:pPr>
        <w:ind w:right="-29"/>
        <w:rPr>
          <w:color w:val="000000"/>
          <w:sz w:val="22"/>
          <w:szCs w:val="22"/>
          <w:lang w:val="fr-CA" w:eastAsia="es-ES"/>
        </w:rPr>
      </w:pPr>
    </w:p>
    <w:p w14:paraId="01926D95" w14:textId="77777777" w:rsidR="008D0A04" w:rsidRDefault="008D0A04" w:rsidP="008D0A04">
      <w:pPr>
        <w:tabs>
          <w:tab w:val="left" w:pos="5040"/>
          <w:tab w:val="left" w:pos="6540"/>
          <w:tab w:val="left" w:pos="7194"/>
        </w:tabs>
        <w:suppressAutoHyphens/>
        <w:ind w:right="11" w:firstLine="720"/>
        <w:jc w:val="both"/>
        <w:rPr>
          <w:color w:val="000000"/>
          <w:sz w:val="22"/>
          <w:szCs w:val="22"/>
          <w:lang w:val="fr-CA" w:eastAsia="es-ES"/>
        </w:rPr>
      </w:pPr>
      <w:r>
        <w:rPr>
          <w:color w:val="000000"/>
          <w:sz w:val="22"/>
          <w:szCs w:val="22"/>
          <w:lang w:val="fr-CA" w:eastAsia="es-ES"/>
        </w:rPr>
        <w:t>Conformément aux dispositions des articles 17 et 18 du Règlement du Conseil permanent, la CAJP a pour attributions :</w:t>
      </w:r>
    </w:p>
    <w:p w14:paraId="69828B53" w14:textId="77777777" w:rsidR="008D0A04" w:rsidRDefault="008D0A04" w:rsidP="008D0A04">
      <w:pPr>
        <w:tabs>
          <w:tab w:val="left" w:pos="5040"/>
          <w:tab w:val="left" w:pos="6540"/>
          <w:tab w:val="left" w:pos="7194"/>
        </w:tabs>
        <w:suppressAutoHyphens/>
        <w:jc w:val="both"/>
        <w:rPr>
          <w:color w:val="000000"/>
          <w:sz w:val="22"/>
          <w:szCs w:val="22"/>
          <w:u w:val="single"/>
          <w:lang w:val="fr-CA" w:eastAsia="es-ES"/>
        </w:rPr>
      </w:pPr>
    </w:p>
    <w:p w14:paraId="5027D0B6" w14:textId="77777777" w:rsidR="008D0A04" w:rsidRDefault="008D0A04" w:rsidP="008D0A04">
      <w:pPr>
        <w:numPr>
          <w:ilvl w:val="0"/>
          <w:numId w:val="3"/>
        </w:numPr>
        <w:tabs>
          <w:tab w:val="clear" w:pos="1080"/>
          <w:tab w:val="num" w:pos="1440"/>
          <w:tab w:val="left" w:pos="5040"/>
          <w:tab w:val="left" w:pos="6540"/>
          <w:tab w:val="left" w:pos="7194"/>
        </w:tabs>
        <w:suppressAutoHyphens/>
        <w:ind w:left="1440" w:hanging="720"/>
        <w:jc w:val="both"/>
        <w:rPr>
          <w:color w:val="000000"/>
          <w:sz w:val="22"/>
          <w:szCs w:val="22"/>
          <w:lang w:val="fr-CA" w:eastAsia="es-ES"/>
        </w:rPr>
      </w:pPr>
      <w:r>
        <w:rPr>
          <w:color w:val="000000"/>
          <w:spacing w:val="-2"/>
          <w:sz w:val="22"/>
          <w:szCs w:val="22"/>
          <w:lang w:val="fr-CA" w:eastAsia="fr-CA"/>
        </w:rPr>
        <w:t>D’étudier les questions juridiques et politiques que lui confie le Conseil permanent</w:t>
      </w:r>
      <w:r>
        <w:rPr>
          <w:color w:val="000000"/>
          <w:sz w:val="22"/>
          <w:szCs w:val="22"/>
          <w:lang w:val="fr-CA" w:eastAsia="es-ES"/>
        </w:rPr>
        <w:t xml:space="preserve">. </w:t>
      </w:r>
    </w:p>
    <w:p w14:paraId="227EA817" w14:textId="77777777" w:rsidR="008D0A04" w:rsidRDefault="008D0A04" w:rsidP="008D0A04">
      <w:pPr>
        <w:tabs>
          <w:tab w:val="left" w:pos="0"/>
          <w:tab w:val="num" w:pos="1440"/>
          <w:tab w:val="left" w:pos="5040"/>
          <w:tab w:val="left" w:pos="6540"/>
          <w:tab w:val="left" w:pos="7194"/>
        </w:tabs>
        <w:suppressAutoHyphens/>
        <w:jc w:val="both"/>
        <w:rPr>
          <w:color w:val="000000"/>
          <w:sz w:val="22"/>
          <w:szCs w:val="22"/>
          <w:lang w:val="fr-CA" w:eastAsia="es-ES"/>
        </w:rPr>
      </w:pPr>
    </w:p>
    <w:p w14:paraId="70034941" w14:textId="77777777" w:rsidR="008D0A04" w:rsidRDefault="008D0A04" w:rsidP="008D0A04">
      <w:pPr>
        <w:numPr>
          <w:ilvl w:val="0"/>
          <w:numId w:val="3"/>
        </w:numPr>
        <w:tabs>
          <w:tab w:val="clear" w:pos="1080"/>
          <w:tab w:val="num" w:pos="1440"/>
          <w:tab w:val="left" w:pos="5040"/>
          <w:tab w:val="left" w:pos="6540"/>
          <w:tab w:val="left" w:pos="7194"/>
        </w:tabs>
        <w:suppressAutoHyphens/>
        <w:ind w:left="1440" w:hanging="720"/>
        <w:jc w:val="both"/>
        <w:rPr>
          <w:color w:val="000000"/>
          <w:sz w:val="22"/>
          <w:szCs w:val="22"/>
          <w:lang w:val="fr-CA" w:eastAsia="es-ES"/>
        </w:rPr>
      </w:pPr>
      <w:r>
        <w:rPr>
          <w:color w:val="000000"/>
          <w:spacing w:val="-2"/>
          <w:sz w:val="22"/>
          <w:szCs w:val="22"/>
          <w:lang w:val="fr-CA" w:eastAsia="fr-CA"/>
        </w:rPr>
        <w:t>D’examiner les rapports du Comité juridique interaméricain, de la Commission interaméricaine des droits de l’homme et de la Cour interaméricaine des droits de l’homme visés à l’article 91 f de la Charte. Il soumettra aussi au Conseil permanent ses rapports assortis de ses observations et recommandations ainsi que des projets de résolution s’y rapportant</w:t>
      </w:r>
      <w:r>
        <w:rPr>
          <w:color w:val="000000"/>
          <w:sz w:val="22"/>
          <w:szCs w:val="22"/>
          <w:lang w:val="fr-CA" w:eastAsia="es-ES"/>
        </w:rPr>
        <w:t>.</w:t>
      </w:r>
    </w:p>
    <w:p w14:paraId="491E26B8" w14:textId="77777777" w:rsidR="008D0A04" w:rsidRDefault="008D0A04" w:rsidP="008D0A04">
      <w:pPr>
        <w:ind w:right="-29"/>
        <w:jc w:val="both"/>
        <w:rPr>
          <w:sz w:val="22"/>
          <w:szCs w:val="22"/>
          <w:lang w:val="fr-CA" w:eastAsia="es-ES"/>
        </w:rPr>
      </w:pPr>
    </w:p>
    <w:p w14:paraId="24C02E19" w14:textId="77777777" w:rsidR="008D0A04" w:rsidRDefault="008D0A04" w:rsidP="008D0A04">
      <w:pPr>
        <w:tabs>
          <w:tab w:val="left" w:pos="5040"/>
          <w:tab w:val="left" w:pos="6540"/>
          <w:tab w:val="left" w:pos="7194"/>
        </w:tabs>
        <w:suppressAutoHyphens/>
        <w:ind w:right="11" w:firstLine="720"/>
        <w:jc w:val="both"/>
        <w:rPr>
          <w:color w:val="000000"/>
          <w:sz w:val="22"/>
          <w:szCs w:val="22"/>
          <w:lang w:val="fr-CA" w:eastAsia="es-ES"/>
        </w:rPr>
      </w:pPr>
      <w:r>
        <w:rPr>
          <w:color w:val="000000"/>
          <w:sz w:val="22"/>
          <w:szCs w:val="22"/>
          <w:lang w:val="fr-CA" w:eastAsia="es-ES"/>
        </w:rPr>
        <w:t>De même, en vertu de l’article 30 du Règlement du Conseil permanent, à la séance ordinaire du 8 août 2019 du Conseil permanent, cet organe a approuvé la « Proposition concernant la répartition des mandats issus de la quarante-neuvième session ordinaire de l'Assemblée générale et de sessions antérieures » (document portant la cote</w:t>
      </w:r>
      <w:r>
        <w:rPr>
          <w:sz w:val="22"/>
          <w:szCs w:val="22"/>
          <w:lang w:val="fr-CA" w:eastAsia="es-ES"/>
        </w:rPr>
        <w:t xml:space="preserve"> </w:t>
      </w:r>
      <w:hyperlink r:id="rId9" w:history="1">
        <w:r>
          <w:rPr>
            <w:rStyle w:val="Hyperlink"/>
            <w:sz w:val="22"/>
            <w:szCs w:val="22"/>
            <w:lang w:val="fr-CA" w:eastAsia="es-ES"/>
          </w:rPr>
          <w:t>CP/</w:t>
        </w:r>
        <w:proofErr w:type="spellStart"/>
        <w:r>
          <w:rPr>
            <w:rStyle w:val="Hyperlink"/>
            <w:sz w:val="22"/>
            <w:szCs w:val="22"/>
            <w:lang w:val="fr-CA" w:eastAsia="es-ES"/>
          </w:rPr>
          <w:t>doc.5545</w:t>
        </w:r>
        <w:proofErr w:type="spellEnd"/>
        <w:r>
          <w:rPr>
            <w:rStyle w:val="Hyperlink"/>
            <w:sz w:val="22"/>
            <w:szCs w:val="22"/>
            <w:lang w:val="fr-CA" w:eastAsia="es-ES"/>
          </w:rPr>
          <w:t>/19</w:t>
        </w:r>
      </w:hyperlink>
      <w:r>
        <w:rPr>
          <w:sz w:val="22"/>
          <w:szCs w:val="22"/>
          <w:lang w:val="fr-CA" w:eastAsia="es-ES"/>
        </w:rPr>
        <w:t xml:space="preserve"> </w:t>
      </w:r>
      <w:proofErr w:type="spellStart"/>
      <w:r>
        <w:rPr>
          <w:color w:val="000000"/>
          <w:sz w:val="22"/>
          <w:szCs w:val="22"/>
          <w:lang w:val="fr-CA" w:eastAsia="es-ES"/>
        </w:rPr>
        <w:t>rev</w:t>
      </w:r>
      <w:proofErr w:type="spellEnd"/>
      <w:r>
        <w:rPr>
          <w:color w:val="000000"/>
          <w:sz w:val="22"/>
          <w:szCs w:val="22"/>
          <w:lang w:val="fr-CA" w:eastAsia="es-ES"/>
        </w:rPr>
        <w:t>. 1), et a chargé la CAJP d’effectuer le suivi des mandats suivants au cours de la période 2019-2020 :</w:t>
      </w:r>
    </w:p>
    <w:p w14:paraId="7BB532F8" w14:textId="77777777" w:rsidR="008D0A04" w:rsidRDefault="008D0A04" w:rsidP="008D0A04">
      <w:pPr>
        <w:tabs>
          <w:tab w:val="left" w:pos="5040"/>
          <w:tab w:val="left" w:pos="6540"/>
          <w:tab w:val="left" w:pos="7194"/>
        </w:tabs>
        <w:suppressAutoHyphens/>
        <w:ind w:right="11"/>
        <w:jc w:val="both"/>
        <w:rPr>
          <w:color w:val="000000"/>
          <w:sz w:val="22"/>
          <w:szCs w:val="22"/>
          <w:lang w:val="fr-CA" w:eastAsia="es-ES"/>
        </w:rPr>
      </w:pPr>
    </w:p>
    <w:p w14:paraId="717155A4" w14:textId="77777777" w:rsidR="008D0A04" w:rsidRDefault="008D0A04" w:rsidP="008D0A04">
      <w:pPr>
        <w:numPr>
          <w:ilvl w:val="0"/>
          <w:numId w:val="1"/>
        </w:numPr>
        <w:ind w:left="3600" w:hanging="3600"/>
        <w:jc w:val="both"/>
        <w:rPr>
          <w:color w:val="000000"/>
          <w:sz w:val="22"/>
          <w:szCs w:val="22"/>
          <w:lang w:val="fr-CA"/>
        </w:rPr>
      </w:pPr>
      <w:r>
        <w:rPr>
          <w:color w:val="000000"/>
          <w:sz w:val="22"/>
          <w:szCs w:val="22"/>
          <w:lang w:val="fr-CA"/>
        </w:rPr>
        <w:t>AG/DEC. 99 (XLIX-O/19)</w:t>
      </w:r>
      <w:r>
        <w:rPr>
          <w:color w:val="000000"/>
          <w:sz w:val="22"/>
          <w:szCs w:val="22"/>
          <w:lang w:val="fr-CA"/>
        </w:rPr>
        <w:tab/>
        <w:t xml:space="preserve">Soixantième anniversaire de la création et installation de la Commission interaméricaine des droits de l’homme, du cinquantième anniversaire de l’adoption de la Convention </w:t>
      </w:r>
      <w:r>
        <w:rPr>
          <w:color w:val="000000"/>
          <w:sz w:val="22"/>
          <w:szCs w:val="22"/>
          <w:lang w:val="fr-CA"/>
        </w:rPr>
        <w:lastRenderedPageBreak/>
        <w:t>américaine relative aux droits de l’homme (Pacte de San José du Costa Rica) et du quarantième anniversaire de l’installation de la Cour interaméricaine des droits de l’homme à San José (sauf le paragraphe 2) </w:t>
      </w:r>
    </w:p>
    <w:p w14:paraId="23EF7708" w14:textId="77777777" w:rsidR="008D0A04" w:rsidRDefault="008D0A04" w:rsidP="008D0A04">
      <w:pPr>
        <w:jc w:val="both"/>
        <w:rPr>
          <w:color w:val="000000"/>
          <w:sz w:val="22"/>
          <w:szCs w:val="22"/>
          <w:lang w:val="fr-CA"/>
        </w:rPr>
      </w:pPr>
    </w:p>
    <w:p w14:paraId="34B62A86" w14:textId="77777777" w:rsidR="008D0A04" w:rsidRDefault="008D0A04" w:rsidP="008D0A04">
      <w:pPr>
        <w:numPr>
          <w:ilvl w:val="0"/>
          <w:numId w:val="1"/>
        </w:numPr>
        <w:ind w:left="3600" w:hanging="3600"/>
        <w:jc w:val="both"/>
        <w:rPr>
          <w:color w:val="000000"/>
          <w:sz w:val="22"/>
          <w:szCs w:val="22"/>
          <w:lang w:val="fr-CA"/>
        </w:rPr>
      </w:pPr>
      <w:r>
        <w:rPr>
          <w:color w:val="000000"/>
          <w:sz w:val="22"/>
          <w:szCs w:val="22"/>
          <w:lang w:val="fr-CA"/>
        </w:rPr>
        <w:t>AG/RES. 2930 (XLIX-O/19)</w:t>
      </w:r>
      <w:r>
        <w:rPr>
          <w:color w:val="000000"/>
          <w:sz w:val="22"/>
          <w:szCs w:val="22"/>
          <w:lang w:val="fr-CA"/>
        </w:rPr>
        <w:tab/>
        <w:t>Droit international.</w:t>
      </w:r>
    </w:p>
    <w:p w14:paraId="4B8A2E7F" w14:textId="77777777" w:rsidR="008D0A04" w:rsidRDefault="008D0A04" w:rsidP="008D0A04">
      <w:pPr>
        <w:ind w:hanging="3600"/>
        <w:jc w:val="both"/>
        <w:rPr>
          <w:color w:val="000000"/>
          <w:sz w:val="22"/>
          <w:szCs w:val="22"/>
          <w:lang w:val="fr-CA"/>
        </w:rPr>
      </w:pPr>
    </w:p>
    <w:p w14:paraId="0F26937C" w14:textId="77777777" w:rsidR="008D0A04" w:rsidRDefault="008D0A04" w:rsidP="008D0A04">
      <w:pPr>
        <w:numPr>
          <w:ilvl w:val="0"/>
          <w:numId w:val="1"/>
        </w:numPr>
        <w:ind w:left="3600" w:hanging="3600"/>
        <w:jc w:val="both"/>
        <w:rPr>
          <w:color w:val="000000"/>
          <w:sz w:val="22"/>
          <w:szCs w:val="22"/>
          <w:lang w:val="fr-CA"/>
        </w:rPr>
      </w:pPr>
      <w:r>
        <w:rPr>
          <w:color w:val="000000"/>
          <w:sz w:val="22"/>
          <w:szCs w:val="22"/>
          <w:lang w:val="fr-CA"/>
        </w:rPr>
        <w:t>AG/RES. 2931 (XLIX-O/19)</w:t>
      </w:r>
      <w:r>
        <w:rPr>
          <w:color w:val="000000"/>
          <w:sz w:val="22"/>
          <w:szCs w:val="22"/>
          <w:lang w:val="fr-CA"/>
        </w:rPr>
        <w:tab/>
        <w:t>Renforcement de la démocratie (sauf le paragraphe 4 de la section i).</w:t>
      </w:r>
    </w:p>
    <w:p w14:paraId="55F4AB40" w14:textId="77777777" w:rsidR="008D0A04" w:rsidRDefault="008D0A04" w:rsidP="008D0A04">
      <w:pPr>
        <w:ind w:hanging="3600"/>
        <w:jc w:val="both"/>
        <w:rPr>
          <w:color w:val="000000"/>
          <w:sz w:val="22"/>
          <w:szCs w:val="22"/>
          <w:lang w:val="fr-CA"/>
        </w:rPr>
      </w:pPr>
    </w:p>
    <w:p w14:paraId="265AA0BA" w14:textId="77777777" w:rsidR="008D0A04" w:rsidRDefault="008D0A04" w:rsidP="008D0A04">
      <w:pPr>
        <w:numPr>
          <w:ilvl w:val="0"/>
          <w:numId w:val="1"/>
        </w:numPr>
        <w:ind w:left="3600" w:hanging="3600"/>
        <w:jc w:val="both"/>
        <w:rPr>
          <w:color w:val="000000"/>
          <w:sz w:val="22"/>
          <w:szCs w:val="22"/>
          <w:lang w:val="fr-CA"/>
        </w:rPr>
      </w:pPr>
      <w:r>
        <w:rPr>
          <w:color w:val="000000"/>
          <w:sz w:val="22"/>
          <w:szCs w:val="22"/>
          <w:lang w:val="fr-CA"/>
        </w:rPr>
        <w:t>AG/RES. 2941 (XLIX-O/19)</w:t>
      </w:r>
      <w:r>
        <w:rPr>
          <w:color w:val="000000"/>
          <w:sz w:val="22"/>
          <w:szCs w:val="22"/>
          <w:lang w:val="fr-CA"/>
        </w:rPr>
        <w:tab/>
        <w:t>Promotion et protection des droits de la personne (sauf le paragraphe 2 de la section vii, le paragraphe 4 de la section xiii et le paragraphe 3 de la section xix)</w:t>
      </w:r>
    </w:p>
    <w:p w14:paraId="7DD4B750" w14:textId="77777777" w:rsidR="008D0A04" w:rsidRDefault="008D0A04" w:rsidP="008D0A04">
      <w:pPr>
        <w:pStyle w:val="ListParagraph"/>
        <w:ind w:left="0"/>
        <w:jc w:val="both"/>
        <w:rPr>
          <w:color w:val="000000"/>
          <w:sz w:val="22"/>
          <w:szCs w:val="22"/>
          <w:lang w:val="fr-CA"/>
        </w:rPr>
      </w:pPr>
    </w:p>
    <w:p w14:paraId="64897DA8" w14:textId="77777777" w:rsidR="008D0A04" w:rsidRDefault="008D0A04" w:rsidP="008D0A04">
      <w:pPr>
        <w:numPr>
          <w:ilvl w:val="0"/>
          <w:numId w:val="1"/>
        </w:numPr>
        <w:ind w:hanging="720"/>
        <w:jc w:val="both"/>
        <w:rPr>
          <w:color w:val="000000"/>
          <w:sz w:val="22"/>
          <w:szCs w:val="22"/>
          <w:lang w:val="fr-CA"/>
        </w:rPr>
      </w:pPr>
      <w:r>
        <w:rPr>
          <w:color w:val="000000"/>
          <w:sz w:val="22"/>
          <w:szCs w:val="22"/>
          <w:lang w:val="fr-CA"/>
        </w:rPr>
        <w:t xml:space="preserve">Observations et recommandations sur les rapports annuels des organes, organismes et entités ci-après de l’Organisation (article 91 f de la Charte de l’OEA) : </w:t>
      </w:r>
    </w:p>
    <w:p w14:paraId="09A69124" w14:textId="77777777" w:rsidR="008D0A04" w:rsidRDefault="008D0A04" w:rsidP="008D0A04">
      <w:pPr>
        <w:tabs>
          <w:tab w:val="left" w:pos="540"/>
          <w:tab w:val="left" w:pos="3780"/>
        </w:tabs>
        <w:autoSpaceDE w:val="0"/>
        <w:autoSpaceDN w:val="0"/>
        <w:adjustRightInd w:val="0"/>
        <w:ind w:left="3780" w:hanging="3780"/>
        <w:jc w:val="both"/>
        <w:rPr>
          <w:color w:val="000000"/>
          <w:sz w:val="22"/>
          <w:szCs w:val="22"/>
          <w:lang w:val="fr-CA"/>
        </w:rPr>
      </w:pPr>
    </w:p>
    <w:p w14:paraId="561AD643" w14:textId="77777777" w:rsidR="008D0A04" w:rsidRDefault="008D0A04" w:rsidP="008D0A04">
      <w:pPr>
        <w:autoSpaceDE w:val="0"/>
        <w:autoSpaceDN w:val="0"/>
        <w:adjustRightInd w:val="0"/>
        <w:ind w:left="1440" w:hanging="720"/>
        <w:jc w:val="both"/>
        <w:rPr>
          <w:color w:val="000000"/>
          <w:sz w:val="22"/>
          <w:szCs w:val="22"/>
          <w:lang w:val="fr-CA"/>
        </w:rPr>
      </w:pPr>
      <w:r>
        <w:rPr>
          <w:color w:val="000000"/>
          <w:sz w:val="22"/>
          <w:szCs w:val="22"/>
          <w:lang w:val="fr-CA"/>
        </w:rPr>
        <w:t>a)</w:t>
      </w:r>
      <w:r>
        <w:rPr>
          <w:color w:val="000000"/>
          <w:sz w:val="22"/>
          <w:szCs w:val="22"/>
          <w:lang w:val="fr-CA"/>
        </w:rPr>
        <w:tab/>
        <w:t>Comité juridique interaméricain (CJI).</w:t>
      </w:r>
    </w:p>
    <w:p w14:paraId="5E9AAD6B" w14:textId="77777777" w:rsidR="008D0A04" w:rsidRDefault="008D0A04" w:rsidP="008D0A04">
      <w:pPr>
        <w:autoSpaceDE w:val="0"/>
        <w:autoSpaceDN w:val="0"/>
        <w:adjustRightInd w:val="0"/>
        <w:ind w:left="1440" w:hanging="720"/>
        <w:jc w:val="both"/>
        <w:rPr>
          <w:color w:val="000000"/>
          <w:sz w:val="22"/>
          <w:szCs w:val="22"/>
          <w:lang w:val="fr-CA"/>
        </w:rPr>
      </w:pPr>
      <w:r>
        <w:rPr>
          <w:color w:val="000000"/>
          <w:sz w:val="22"/>
          <w:szCs w:val="22"/>
          <w:lang w:val="fr-CA"/>
        </w:rPr>
        <w:t>b)</w:t>
      </w:r>
      <w:r>
        <w:rPr>
          <w:color w:val="000000"/>
          <w:sz w:val="22"/>
          <w:szCs w:val="22"/>
          <w:lang w:val="fr-CA"/>
        </w:rPr>
        <w:tab/>
        <w:t>Commission interaméricaine des droits de l’homme (CIDH).</w:t>
      </w:r>
    </w:p>
    <w:p w14:paraId="6EFBBCFB" w14:textId="77777777" w:rsidR="008D0A04" w:rsidRDefault="008D0A04" w:rsidP="008D0A04">
      <w:pPr>
        <w:keepNext/>
        <w:autoSpaceDE w:val="0"/>
        <w:autoSpaceDN w:val="0"/>
        <w:adjustRightInd w:val="0"/>
        <w:ind w:left="1440" w:hanging="720"/>
        <w:jc w:val="both"/>
        <w:rPr>
          <w:color w:val="000000"/>
          <w:sz w:val="22"/>
          <w:szCs w:val="22"/>
          <w:lang w:val="fr-CA"/>
        </w:rPr>
      </w:pPr>
      <w:r>
        <w:rPr>
          <w:color w:val="000000"/>
          <w:sz w:val="22"/>
          <w:szCs w:val="22"/>
          <w:lang w:val="fr-CA"/>
        </w:rPr>
        <w:t>c)</w:t>
      </w:r>
      <w:r>
        <w:rPr>
          <w:color w:val="000000"/>
          <w:sz w:val="22"/>
          <w:szCs w:val="22"/>
          <w:lang w:val="fr-CA"/>
        </w:rPr>
        <w:tab/>
        <w:t>Cour interaméricaine des droits de l’homme (</w:t>
      </w:r>
      <w:proofErr w:type="spellStart"/>
      <w:r>
        <w:rPr>
          <w:color w:val="000000"/>
          <w:sz w:val="22"/>
          <w:szCs w:val="22"/>
          <w:lang w:val="fr-CA"/>
        </w:rPr>
        <w:t>CoIDH</w:t>
      </w:r>
      <w:proofErr w:type="spellEnd"/>
      <w:r>
        <w:rPr>
          <w:color w:val="000000"/>
          <w:sz w:val="22"/>
          <w:szCs w:val="22"/>
          <w:lang w:val="fr-CA"/>
        </w:rPr>
        <w:t>)</w:t>
      </w:r>
    </w:p>
    <w:p w14:paraId="4A8DE497" w14:textId="77777777" w:rsidR="008D0A04" w:rsidRDefault="008D0A04" w:rsidP="008D0A04">
      <w:pPr>
        <w:keepNext/>
        <w:autoSpaceDE w:val="0"/>
        <w:autoSpaceDN w:val="0"/>
        <w:adjustRightInd w:val="0"/>
        <w:ind w:left="1440" w:hanging="720"/>
        <w:jc w:val="both"/>
        <w:rPr>
          <w:color w:val="000000"/>
          <w:sz w:val="22"/>
          <w:szCs w:val="22"/>
          <w:lang w:val="fr-CA"/>
        </w:rPr>
      </w:pPr>
      <w:r>
        <w:rPr>
          <w:color w:val="000000"/>
          <w:sz w:val="22"/>
          <w:szCs w:val="22"/>
          <w:lang w:val="fr-CA"/>
        </w:rPr>
        <w:t>d)</w:t>
      </w:r>
      <w:r>
        <w:rPr>
          <w:color w:val="000000"/>
          <w:sz w:val="22"/>
          <w:szCs w:val="22"/>
          <w:lang w:val="fr-CA"/>
        </w:rPr>
        <w:tab/>
        <w:t>Centre d’études de la justice des Amériques (CEJA).</w:t>
      </w:r>
    </w:p>
    <w:p w14:paraId="408754FD" w14:textId="77777777" w:rsidR="008D0A04" w:rsidRDefault="008D0A04" w:rsidP="008D0A04">
      <w:pPr>
        <w:rPr>
          <w:color w:val="2F5496"/>
          <w:sz w:val="22"/>
          <w:szCs w:val="22"/>
          <w:lang w:val="fr-CA" w:eastAsia="es-ES"/>
        </w:rPr>
      </w:pPr>
    </w:p>
    <w:p w14:paraId="22D4497A" w14:textId="77777777" w:rsidR="008D0A04" w:rsidRDefault="008D0A04" w:rsidP="008D0A04">
      <w:pPr>
        <w:numPr>
          <w:ilvl w:val="0"/>
          <w:numId w:val="2"/>
        </w:numPr>
        <w:jc w:val="center"/>
        <w:rPr>
          <w:caps/>
          <w:color w:val="000000"/>
          <w:sz w:val="22"/>
          <w:szCs w:val="22"/>
          <w:lang w:val="fr-CA" w:eastAsia="es-ES"/>
        </w:rPr>
      </w:pPr>
      <w:r>
        <w:rPr>
          <w:caps/>
          <w:color w:val="000000"/>
          <w:sz w:val="22"/>
          <w:szCs w:val="22"/>
          <w:lang w:val="fr-CA" w:eastAsia="es-ES"/>
        </w:rPr>
        <w:t>RESSOURCES FINANCIÈRES</w:t>
      </w:r>
    </w:p>
    <w:p w14:paraId="45137F73" w14:textId="77777777" w:rsidR="008D0A04" w:rsidRDefault="008D0A04" w:rsidP="008D0A04">
      <w:pPr>
        <w:jc w:val="both"/>
        <w:outlineLvl w:val="5"/>
        <w:rPr>
          <w:color w:val="000000"/>
          <w:sz w:val="22"/>
          <w:szCs w:val="22"/>
          <w:lang w:val="fr-CA" w:eastAsia="es-ES"/>
        </w:rPr>
      </w:pPr>
    </w:p>
    <w:p w14:paraId="180D261D" w14:textId="77777777" w:rsidR="008D0A04" w:rsidRDefault="008D0A04" w:rsidP="008D0A04">
      <w:pPr>
        <w:ind w:firstLine="720"/>
        <w:jc w:val="both"/>
        <w:outlineLvl w:val="5"/>
        <w:rPr>
          <w:color w:val="000000"/>
          <w:sz w:val="22"/>
          <w:szCs w:val="22"/>
          <w:lang w:val="fr-CA"/>
        </w:rPr>
      </w:pPr>
      <w:r>
        <w:rPr>
          <w:color w:val="000000"/>
          <w:sz w:val="22"/>
          <w:szCs w:val="22"/>
          <w:lang w:val="fr-CA"/>
        </w:rPr>
        <w:t xml:space="preserve">L’Assemblée générale, lors de sa cinquante-troisième session extraordinaire, a approuvé, au moyen de la résolution AG/RES. 1 (LIII-E/18) </w:t>
      </w:r>
      <w:proofErr w:type="spellStart"/>
      <w:r>
        <w:rPr>
          <w:color w:val="000000"/>
          <w:sz w:val="22"/>
          <w:szCs w:val="22"/>
          <w:lang w:val="fr-CA"/>
        </w:rPr>
        <w:t>rev</w:t>
      </w:r>
      <w:proofErr w:type="spellEnd"/>
      <w:r>
        <w:rPr>
          <w:color w:val="000000"/>
          <w:sz w:val="22"/>
          <w:szCs w:val="22"/>
          <w:lang w:val="fr-CA"/>
        </w:rPr>
        <w:t>. 1, « Programme-budget 2019 de l’Organisation », 126 200 USD (cent-vingt-six-mille-deux-cents dollars) pour le financement des réunions de la CAJP en 2019. À cet égard, du 1</w:t>
      </w:r>
      <w:r>
        <w:rPr>
          <w:color w:val="000000"/>
          <w:sz w:val="22"/>
          <w:szCs w:val="22"/>
          <w:vertAlign w:val="superscript"/>
          <w:lang w:val="fr-CA"/>
        </w:rPr>
        <w:t>er</w:t>
      </w:r>
      <w:r>
        <w:rPr>
          <w:color w:val="000000"/>
          <w:sz w:val="22"/>
          <w:szCs w:val="22"/>
          <w:lang w:val="fr-CA"/>
        </w:rPr>
        <w:t xml:space="preserve"> janvier au 30 septembre 2019, un montant de 103 524,55 USD (cent-trois-mille-cinq-cent-vingt-quatre virgule cinquante-cinq dollars) a été exécuté, laissant un reliquat de 22 675,45 (vingt-deux-mille-six-cent-soixante-quinze virgule quarante-cinq dollars) de disponible pour le restant de l’année.</w:t>
      </w:r>
    </w:p>
    <w:p w14:paraId="4B7BD703" w14:textId="77777777" w:rsidR="008D0A04" w:rsidRDefault="008D0A04" w:rsidP="008D0A04">
      <w:pPr>
        <w:jc w:val="both"/>
        <w:outlineLvl w:val="5"/>
        <w:rPr>
          <w:color w:val="000000"/>
          <w:sz w:val="22"/>
          <w:szCs w:val="22"/>
          <w:lang w:val="fr-CA"/>
        </w:rPr>
      </w:pPr>
    </w:p>
    <w:p w14:paraId="68F47BEF" w14:textId="77777777" w:rsidR="008D0A04" w:rsidRDefault="008D0A04" w:rsidP="008D0A04">
      <w:pPr>
        <w:ind w:firstLine="720"/>
        <w:jc w:val="both"/>
        <w:outlineLvl w:val="5"/>
        <w:rPr>
          <w:color w:val="000000"/>
          <w:sz w:val="22"/>
          <w:szCs w:val="22"/>
          <w:lang w:val="fr-CA"/>
        </w:rPr>
      </w:pPr>
      <w:r>
        <w:rPr>
          <w:color w:val="000000"/>
          <w:sz w:val="22"/>
          <w:szCs w:val="22"/>
          <w:lang w:val="fr-CA"/>
        </w:rPr>
        <w:t xml:space="preserve">De même, en vertu de la résolution AG/RES. 2949 (XLIX-O/19) intitulée « Programme-budget 2020 de l’Organisation », le Conseil permanent a approuvé, par la résolution CP/RES. 1138 (2247/19), « Approbation de la répartition des ressources par sous-programmes pour 2020 », un montant de 105 000 USD (cent-cinq-mille dollars) pour le financement des réunions de la CAJP en 2020, soit 21 200 USD (vingt-et-un-mille-deux-cents dollars) de moins qu’en 2019. </w:t>
      </w:r>
    </w:p>
    <w:p w14:paraId="0643649B" w14:textId="77777777" w:rsidR="008D0A04" w:rsidRDefault="008D0A04" w:rsidP="008D0A04">
      <w:pPr>
        <w:jc w:val="both"/>
        <w:outlineLvl w:val="5"/>
        <w:rPr>
          <w:color w:val="000000"/>
          <w:sz w:val="22"/>
          <w:szCs w:val="22"/>
          <w:lang w:val="fr-CA"/>
        </w:rPr>
      </w:pPr>
    </w:p>
    <w:p w14:paraId="62774D8C" w14:textId="77777777" w:rsidR="008D0A04" w:rsidRDefault="008D0A04" w:rsidP="008D0A04">
      <w:pPr>
        <w:ind w:firstLine="720"/>
        <w:jc w:val="both"/>
        <w:outlineLvl w:val="5"/>
        <w:rPr>
          <w:color w:val="000000"/>
          <w:sz w:val="22"/>
          <w:szCs w:val="22"/>
          <w:lang w:val="fr-CA"/>
        </w:rPr>
      </w:pPr>
      <w:r>
        <w:rPr>
          <w:color w:val="000000"/>
          <w:sz w:val="22"/>
          <w:szCs w:val="22"/>
          <w:lang w:val="fr-CA"/>
        </w:rPr>
        <w:t>Afin de respecter le budget approuvé par la Commission, les invités et les fonctionnaires du Secrétariat auront sept (7) minutes pour faire leur exposé oral devant la Commission. La Présidence encourage vivement tous les exposants à remettre une version complète de leur intervention par écrit au Secrétariat de la Commission au moins trois (3) jours avant l’exposé afin qu’il soit diffusé dans la langue originale aux États membres pour examen avant la réunion.</w:t>
      </w:r>
    </w:p>
    <w:p w14:paraId="15E6D964" w14:textId="77777777" w:rsidR="008D0A04" w:rsidRDefault="008D0A04" w:rsidP="008D0A04">
      <w:pPr>
        <w:ind w:firstLine="720"/>
        <w:jc w:val="both"/>
        <w:outlineLvl w:val="5"/>
        <w:rPr>
          <w:color w:val="000000"/>
          <w:sz w:val="22"/>
          <w:szCs w:val="22"/>
          <w:lang w:val="fr-CA"/>
        </w:rPr>
      </w:pPr>
    </w:p>
    <w:p w14:paraId="542E8986" w14:textId="77777777" w:rsidR="008D0A04" w:rsidRDefault="008D0A04" w:rsidP="008D0A04">
      <w:pPr>
        <w:ind w:firstLine="720"/>
        <w:jc w:val="both"/>
        <w:outlineLvl w:val="5"/>
        <w:rPr>
          <w:color w:val="000000"/>
          <w:sz w:val="22"/>
          <w:szCs w:val="22"/>
          <w:lang w:val="fr-CA"/>
        </w:rPr>
      </w:pPr>
    </w:p>
    <w:p w14:paraId="185EBC5D" w14:textId="77777777" w:rsidR="008D0A04" w:rsidRDefault="008D0A04" w:rsidP="008D0A04">
      <w:pPr>
        <w:ind w:firstLine="720"/>
        <w:jc w:val="both"/>
        <w:outlineLvl w:val="5"/>
        <w:rPr>
          <w:color w:val="000000"/>
          <w:sz w:val="22"/>
          <w:szCs w:val="22"/>
          <w:lang w:val="fr-CA"/>
        </w:rPr>
      </w:pPr>
    </w:p>
    <w:p w14:paraId="056CF7BB" w14:textId="77777777" w:rsidR="008D0A04" w:rsidRDefault="008D0A04" w:rsidP="008D0A04">
      <w:pPr>
        <w:ind w:firstLine="720"/>
        <w:jc w:val="both"/>
        <w:outlineLvl w:val="5"/>
        <w:rPr>
          <w:color w:val="000000"/>
          <w:sz w:val="22"/>
          <w:szCs w:val="22"/>
          <w:lang w:val="fr-CA"/>
        </w:rPr>
      </w:pPr>
    </w:p>
    <w:p w14:paraId="40688066" w14:textId="77777777" w:rsidR="008D0A04" w:rsidRDefault="008D0A04" w:rsidP="008D0A04">
      <w:pPr>
        <w:ind w:firstLine="720"/>
        <w:jc w:val="both"/>
        <w:outlineLvl w:val="5"/>
        <w:rPr>
          <w:color w:val="000000"/>
          <w:sz w:val="22"/>
          <w:szCs w:val="22"/>
          <w:lang w:val="fr-CA"/>
        </w:rPr>
      </w:pPr>
    </w:p>
    <w:p w14:paraId="04129D21" w14:textId="77777777" w:rsidR="008D0A04" w:rsidRDefault="008D0A04" w:rsidP="008D0A04">
      <w:pPr>
        <w:numPr>
          <w:ilvl w:val="0"/>
          <w:numId w:val="2"/>
        </w:numPr>
        <w:jc w:val="center"/>
        <w:rPr>
          <w:caps/>
          <w:color w:val="000000"/>
          <w:sz w:val="22"/>
          <w:szCs w:val="22"/>
          <w:lang w:val="fr-CA" w:eastAsia="es-ES"/>
        </w:rPr>
      </w:pPr>
      <w:r>
        <w:rPr>
          <w:caps/>
          <w:color w:val="000000"/>
          <w:sz w:val="22"/>
          <w:szCs w:val="22"/>
          <w:lang w:val="fr-CA" w:eastAsia="es-ES"/>
        </w:rPr>
        <w:lastRenderedPageBreak/>
        <w:t>RECOMENDATIONS</w:t>
      </w:r>
    </w:p>
    <w:p w14:paraId="5922A6D2" w14:textId="77777777" w:rsidR="008D0A04" w:rsidRDefault="008D0A04" w:rsidP="008D0A04">
      <w:pPr>
        <w:widowControl w:val="0"/>
        <w:tabs>
          <w:tab w:val="left" w:pos="720"/>
          <w:tab w:val="left" w:pos="2160"/>
          <w:tab w:val="left" w:pos="2880"/>
          <w:tab w:val="left" w:pos="3600"/>
          <w:tab w:val="left" w:pos="4320"/>
          <w:tab w:val="left" w:pos="5760"/>
          <w:tab w:val="left" w:pos="6480"/>
          <w:tab w:val="left" w:pos="7200"/>
          <w:tab w:val="left" w:pos="7920"/>
        </w:tabs>
        <w:jc w:val="both"/>
        <w:rPr>
          <w:color w:val="000000"/>
          <w:sz w:val="22"/>
          <w:szCs w:val="22"/>
          <w:lang w:val="fr-CA" w:eastAsia="es-ES"/>
        </w:rPr>
      </w:pPr>
    </w:p>
    <w:p w14:paraId="2166AA19" w14:textId="77777777" w:rsidR="008D0A04" w:rsidRDefault="008D0A04" w:rsidP="008D0A04">
      <w:pPr>
        <w:widowControl w:val="0"/>
        <w:tabs>
          <w:tab w:val="left" w:pos="720"/>
          <w:tab w:val="left" w:pos="2160"/>
          <w:tab w:val="left" w:pos="2880"/>
          <w:tab w:val="left" w:pos="3600"/>
          <w:tab w:val="left" w:pos="4320"/>
          <w:tab w:val="left" w:pos="5760"/>
          <w:tab w:val="left" w:pos="6480"/>
          <w:tab w:val="left" w:pos="7200"/>
          <w:tab w:val="left" w:pos="7920"/>
        </w:tabs>
        <w:jc w:val="both"/>
        <w:rPr>
          <w:color w:val="000000"/>
          <w:sz w:val="22"/>
          <w:szCs w:val="22"/>
          <w:lang w:val="fr-CA" w:eastAsia="es-ES"/>
        </w:rPr>
      </w:pPr>
      <w:r>
        <w:rPr>
          <w:color w:val="000000"/>
          <w:sz w:val="22"/>
          <w:szCs w:val="22"/>
          <w:lang w:val="fr-CA" w:eastAsia="es-ES"/>
        </w:rPr>
        <w:tab/>
        <w:t>Dans le but de faciliter le déroulement des travaux de la Commission au cours de la période 2019-2020, la présidence propose les outils de gestion ci-après pour qu’ils fassent partie intégrante du plan de travail :</w:t>
      </w:r>
    </w:p>
    <w:p w14:paraId="7A983275" w14:textId="77777777" w:rsidR="008D0A04" w:rsidRDefault="008D0A04" w:rsidP="008D0A04">
      <w:pPr>
        <w:widowControl w:val="0"/>
        <w:tabs>
          <w:tab w:val="left" w:pos="720"/>
          <w:tab w:val="left" w:pos="2160"/>
          <w:tab w:val="left" w:pos="2880"/>
          <w:tab w:val="left" w:pos="3600"/>
          <w:tab w:val="left" w:pos="4320"/>
          <w:tab w:val="left" w:pos="5760"/>
          <w:tab w:val="left" w:pos="6480"/>
          <w:tab w:val="left" w:pos="7200"/>
          <w:tab w:val="left" w:pos="7920"/>
        </w:tabs>
        <w:jc w:val="both"/>
        <w:rPr>
          <w:color w:val="000000"/>
          <w:sz w:val="22"/>
          <w:szCs w:val="22"/>
          <w:lang w:val="fr-CA" w:eastAsia="es-ES"/>
        </w:rPr>
      </w:pPr>
    </w:p>
    <w:p w14:paraId="3BD4A73E" w14:textId="77777777" w:rsidR="008D0A04" w:rsidRDefault="008D0A04" w:rsidP="008D0A04">
      <w:pPr>
        <w:widowControl w:val="0"/>
        <w:numPr>
          <w:ilvl w:val="0"/>
          <w:numId w:val="4"/>
        </w:numPr>
        <w:ind w:left="1440" w:hanging="720"/>
        <w:jc w:val="both"/>
        <w:rPr>
          <w:color w:val="000000"/>
          <w:sz w:val="22"/>
          <w:szCs w:val="22"/>
          <w:lang w:val="fr-CA" w:eastAsia="es-ES"/>
        </w:rPr>
      </w:pPr>
      <w:r>
        <w:rPr>
          <w:color w:val="000000"/>
          <w:sz w:val="22"/>
          <w:szCs w:val="22"/>
          <w:u w:val="single"/>
          <w:lang w:val="fr-CA" w:eastAsia="es-ES"/>
        </w:rPr>
        <w:t>Annexe I</w:t>
      </w:r>
      <w:r>
        <w:rPr>
          <w:color w:val="000000"/>
          <w:sz w:val="22"/>
          <w:szCs w:val="22"/>
          <w:lang w:val="fr-CA" w:eastAsia="es-ES"/>
        </w:rPr>
        <w:t>: Thèmes et mandats émanés de la quarante-neuvième séance de l’Assemblée générale ainsi que d’autres sessions antérieures devant être examinés par la CAJP.</w:t>
      </w:r>
    </w:p>
    <w:p w14:paraId="6820CF5C" w14:textId="77777777" w:rsidR="008D0A04" w:rsidRDefault="008D0A04" w:rsidP="008D0A04">
      <w:pPr>
        <w:widowControl w:val="0"/>
        <w:jc w:val="both"/>
        <w:rPr>
          <w:color w:val="2F5496"/>
          <w:sz w:val="22"/>
          <w:szCs w:val="22"/>
          <w:lang w:val="fr-CA" w:eastAsia="es-ES"/>
        </w:rPr>
      </w:pPr>
    </w:p>
    <w:p w14:paraId="4DBFF475" w14:textId="77777777" w:rsidR="008D0A04" w:rsidRDefault="008D0A04" w:rsidP="008D0A04">
      <w:pPr>
        <w:widowControl w:val="0"/>
        <w:numPr>
          <w:ilvl w:val="0"/>
          <w:numId w:val="4"/>
        </w:numPr>
        <w:ind w:left="1440" w:hanging="720"/>
        <w:jc w:val="both"/>
        <w:rPr>
          <w:color w:val="000000"/>
          <w:sz w:val="22"/>
          <w:szCs w:val="22"/>
          <w:lang w:val="fr-CA" w:eastAsia="es-ES"/>
        </w:rPr>
      </w:pPr>
      <w:r>
        <w:rPr>
          <w:color w:val="000000"/>
          <w:sz w:val="22"/>
          <w:szCs w:val="22"/>
          <w:u w:val="single"/>
          <w:lang w:val="fr-CA" w:eastAsia="es-ES"/>
        </w:rPr>
        <w:t>Annexe II</w:t>
      </w:r>
      <w:r>
        <w:rPr>
          <w:color w:val="000000"/>
          <w:sz w:val="22"/>
          <w:szCs w:val="22"/>
          <w:lang w:val="fr-CA" w:eastAsia="es-ES"/>
        </w:rPr>
        <w:t>: Calendrier des réunions de la CAJP pour la période 2019-2020.</w:t>
      </w:r>
    </w:p>
    <w:p w14:paraId="581205E4" w14:textId="77777777" w:rsidR="008D0A04" w:rsidRDefault="008D0A04" w:rsidP="008D0A04">
      <w:pPr>
        <w:widowControl w:val="0"/>
        <w:jc w:val="both"/>
        <w:rPr>
          <w:color w:val="000000"/>
          <w:sz w:val="22"/>
          <w:szCs w:val="22"/>
          <w:lang w:val="fr-CA" w:eastAsia="es-ES"/>
        </w:rPr>
      </w:pPr>
    </w:p>
    <w:p w14:paraId="4678F06B" w14:textId="77777777" w:rsidR="008D0A04" w:rsidRDefault="008D0A04" w:rsidP="008D0A04">
      <w:pPr>
        <w:widowControl w:val="0"/>
        <w:tabs>
          <w:tab w:val="left" w:pos="720"/>
          <w:tab w:val="left" w:pos="2160"/>
          <w:tab w:val="left" w:pos="2880"/>
          <w:tab w:val="left" w:pos="3600"/>
          <w:tab w:val="left" w:pos="4320"/>
          <w:tab w:val="left" w:pos="5760"/>
          <w:tab w:val="left" w:pos="6480"/>
          <w:tab w:val="left" w:pos="7200"/>
          <w:tab w:val="left" w:pos="7920"/>
        </w:tabs>
        <w:jc w:val="both"/>
        <w:rPr>
          <w:color w:val="000000"/>
          <w:sz w:val="22"/>
          <w:szCs w:val="22"/>
          <w:lang w:val="fr-CA" w:eastAsia="es-ES"/>
        </w:rPr>
      </w:pPr>
      <w:r>
        <w:rPr>
          <w:color w:val="000000"/>
          <w:sz w:val="22"/>
          <w:szCs w:val="22"/>
          <w:lang w:val="fr-CA" w:eastAsia="es-ES"/>
        </w:rPr>
        <w:tab/>
        <w:t>Le présent projet de Plan de travail servira de cadre général pour les travaux de la CAJP durant la période 2019-2020. Il s’agit d’un document adaptable, auquel pourront être incorporées les modifications arrêtées par la Commission ou qui s’avèrent nécessaires pour actualiser le plan de travail en fonction de la réalisation des mandats conférés à la Commission ou qui résultent de propositions ponctuelles visant à aborder une question importante mais imprévue, et/ou dont le traitement s’avère incontournable en raison de son caractère éminemment juridique et/ou politique.</w:t>
      </w:r>
    </w:p>
    <w:p w14:paraId="28AC04A0" w14:textId="77777777" w:rsidR="008D0A04" w:rsidRDefault="008D0A04" w:rsidP="008D0A04">
      <w:pPr>
        <w:widowControl w:val="0"/>
        <w:tabs>
          <w:tab w:val="left" w:pos="720"/>
          <w:tab w:val="left" w:pos="2160"/>
          <w:tab w:val="left" w:pos="2880"/>
          <w:tab w:val="left" w:pos="3600"/>
          <w:tab w:val="left" w:pos="4320"/>
          <w:tab w:val="left" w:pos="5760"/>
          <w:tab w:val="left" w:pos="6480"/>
          <w:tab w:val="left" w:pos="7200"/>
          <w:tab w:val="left" w:pos="7920"/>
        </w:tabs>
        <w:jc w:val="both"/>
        <w:rPr>
          <w:color w:val="000000"/>
          <w:sz w:val="22"/>
          <w:szCs w:val="22"/>
          <w:lang w:val="fr-CA" w:eastAsia="es-ES"/>
        </w:rPr>
      </w:pPr>
    </w:p>
    <w:p w14:paraId="6A3A3A1A" w14:textId="77777777" w:rsidR="008D0A04" w:rsidRDefault="008D0A04" w:rsidP="008D0A04">
      <w:pPr>
        <w:widowControl w:val="0"/>
        <w:tabs>
          <w:tab w:val="left" w:pos="720"/>
          <w:tab w:val="left" w:pos="2160"/>
          <w:tab w:val="left" w:pos="2880"/>
          <w:tab w:val="left" w:pos="3600"/>
          <w:tab w:val="left" w:pos="4320"/>
          <w:tab w:val="left" w:pos="5760"/>
          <w:tab w:val="left" w:pos="6480"/>
          <w:tab w:val="left" w:pos="7200"/>
          <w:tab w:val="left" w:pos="7920"/>
        </w:tabs>
        <w:jc w:val="both"/>
        <w:rPr>
          <w:color w:val="000000"/>
          <w:sz w:val="22"/>
          <w:szCs w:val="22"/>
          <w:lang w:val="fr-CA" w:eastAsia="es-ES"/>
        </w:rPr>
      </w:pPr>
      <w:r>
        <w:rPr>
          <w:color w:val="000000"/>
          <w:sz w:val="22"/>
          <w:szCs w:val="22"/>
          <w:lang w:val="fr-CA" w:eastAsia="es-ES"/>
        </w:rPr>
        <w:tab/>
        <w:t>La Présidence remercie les États membres pour leurs suggestions et remercie d’avance les délégations pour leur soutien dans l’accomplissement des tâches confiées à la Commission par l’Assemblée générale et le Conseil permanent.</w:t>
      </w:r>
    </w:p>
    <w:p w14:paraId="56D3D854" w14:textId="77777777" w:rsidR="008D0A04" w:rsidRDefault="008D0A04" w:rsidP="008D0A04">
      <w:pPr>
        <w:widowControl w:val="0"/>
        <w:tabs>
          <w:tab w:val="left" w:pos="720"/>
          <w:tab w:val="left" w:pos="2160"/>
          <w:tab w:val="left" w:pos="2880"/>
          <w:tab w:val="left" w:pos="3600"/>
          <w:tab w:val="left" w:pos="4320"/>
          <w:tab w:val="left" w:pos="5760"/>
          <w:tab w:val="left" w:pos="6480"/>
          <w:tab w:val="left" w:pos="7200"/>
          <w:tab w:val="left" w:pos="7920"/>
        </w:tabs>
        <w:jc w:val="both"/>
        <w:rPr>
          <w:color w:val="000000"/>
          <w:sz w:val="22"/>
          <w:szCs w:val="22"/>
          <w:lang w:val="fr-CA" w:eastAsia="es-ES"/>
        </w:rPr>
      </w:pPr>
    </w:p>
    <w:p w14:paraId="181EE30A" w14:textId="77777777" w:rsidR="008D0A04" w:rsidRDefault="008D0A04" w:rsidP="008D0A04">
      <w:pPr>
        <w:tabs>
          <w:tab w:val="center" w:pos="5040"/>
        </w:tabs>
        <w:ind w:right="-29"/>
        <w:rPr>
          <w:color w:val="000000"/>
          <w:sz w:val="22"/>
          <w:szCs w:val="22"/>
          <w:lang w:val="fr-CA" w:eastAsia="es-ES"/>
        </w:rPr>
      </w:pPr>
    </w:p>
    <w:p w14:paraId="73F8A5E9" w14:textId="77777777" w:rsidR="008D0A04" w:rsidRDefault="008D0A04" w:rsidP="008D0A04">
      <w:pPr>
        <w:tabs>
          <w:tab w:val="center" w:pos="5040"/>
        </w:tabs>
        <w:ind w:right="-29"/>
        <w:rPr>
          <w:color w:val="000000"/>
          <w:sz w:val="22"/>
          <w:szCs w:val="22"/>
          <w:lang w:val="fr-CA" w:eastAsia="es-ES"/>
        </w:rPr>
      </w:pPr>
    </w:p>
    <w:p w14:paraId="2501CD17" w14:textId="77777777" w:rsidR="008D0A04" w:rsidRDefault="008D0A04" w:rsidP="008D0A04">
      <w:pPr>
        <w:tabs>
          <w:tab w:val="left" w:pos="4860"/>
        </w:tabs>
        <w:ind w:right="-29"/>
        <w:jc w:val="center"/>
        <w:rPr>
          <w:color w:val="000000"/>
          <w:sz w:val="22"/>
          <w:szCs w:val="22"/>
          <w:lang w:val="fr-CA" w:eastAsia="fr-CA"/>
        </w:rPr>
      </w:pPr>
      <w:r>
        <w:rPr>
          <w:color w:val="000000"/>
          <w:sz w:val="22"/>
          <w:szCs w:val="22"/>
          <w:lang w:val="fr-CA" w:eastAsia="fr-CA"/>
        </w:rPr>
        <w:t xml:space="preserve">Ambassadeur </w:t>
      </w:r>
      <w:r>
        <w:rPr>
          <w:color w:val="000000"/>
          <w:sz w:val="22"/>
          <w:szCs w:val="22"/>
          <w:lang w:val="fr-CA" w:eastAsia="es-ES"/>
        </w:rPr>
        <w:t xml:space="preserve">Carlos Alberto </w:t>
      </w:r>
      <w:proofErr w:type="spellStart"/>
      <w:r>
        <w:rPr>
          <w:color w:val="000000"/>
          <w:sz w:val="22"/>
          <w:szCs w:val="22"/>
          <w:lang w:val="fr-CA" w:eastAsia="es-ES"/>
        </w:rPr>
        <w:t>Játiva</w:t>
      </w:r>
      <w:proofErr w:type="spellEnd"/>
      <w:r>
        <w:rPr>
          <w:color w:val="000000"/>
          <w:sz w:val="22"/>
          <w:szCs w:val="22"/>
          <w:lang w:val="fr-CA" w:eastAsia="es-ES"/>
        </w:rPr>
        <w:t xml:space="preserve"> </w:t>
      </w:r>
      <w:proofErr w:type="spellStart"/>
      <w:r>
        <w:rPr>
          <w:color w:val="000000"/>
          <w:sz w:val="22"/>
          <w:szCs w:val="22"/>
          <w:lang w:val="fr-CA" w:eastAsia="es-ES"/>
        </w:rPr>
        <w:t>Naranjo</w:t>
      </w:r>
      <w:proofErr w:type="spellEnd"/>
      <w:r>
        <w:rPr>
          <w:color w:val="000000"/>
          <w:sz w:val="22"/>
          <w:szCs w:val="22"/>
          <w:lang w:val="fr-CA" w:eastAsia="fr-CA"/>
        </w:rPr>
        <w:t xml:space="preserve"> </w:t>
      </w:r>
    </w:p>
    <w:p w14:paraId="51259F21" w14:textId="77777777" w:rsidR="008D0A04" w:rsidRDefault="008D0A04" w:rsidP="008D0A04">
      <w:pPr>
        <w:tabs>
          <w:tab w:val="left" w:pos="4860"/>
        </w:tabs>
        <w:ind w:right="-29"/>
        <w:jc w:val="center"/>
        <w:rPr>
          <w:color w:val="000000"/>
          <w:sz w:val="22"/>
          <w:szCs w:val="22"/>
          <w:lang w:val="fr-CA" w:eastAsia="fr-CA"/>
        </w:rPr>
      </w:pPr>
      <w:r>
        <w:rPr>
          <w:color w:val="000000"/>
          <w:sz w:val="22"/>
          <w:szCs w:val="22"/>
          <w:lang w:val="fr-CA" w:eastAsia="fr-CA"/>
        </w:rPr>
        <w:t xml:space="preserve">Représentant permanent de l’Équateur </w:t>
      </w:r>
    </w:p>
    <w:p w14:paraId="2B56A289" w14:textId="77777777" w:rsidR="008D0A04" w:rsidRDefault="008D0A04" w:rsidP="008D0A04">
      <w:pPr>
        <w:tabs>
          <w:tab w:val="left" w:pos="4860"/>
        </w:tabs>
        <w:ind w:right="-29"/>
        <w:jc w:val="center"/>
        <w:rPr>
          <w:color w:val="000000"/>
          <w:sz w:val="22"/>
          <w:szCs w:val="22"/>
          <w:lang w:val="fr-CA" w:eastAsia="fr-CA"/>
        </w:rPr>
      </w:pPr>
      <w:r>
        <w:rPr>
          <w:color w:val="000000"/>
          <w:sz w:val="22"/>
          <w:szCs w:val="22"/>
          <w:lang w:val="fr-CA" w:eastAsia="fr-CA"/>
        </w:rPr>
        <w:t>Président de la Commission des questions juridiques et politiques</w:t>
      </w:r>
    </w:p>
    <w:p w14:paraId="35A62AAD" w14:textId="77777777" w:rsidR="008D0A04" w:rsidRDefault="008D0A04" w:rsidP="008D0A04">
      <w:pPr>
        <w:tabs>
          <w:tab w:val="left" w:pos="4860"/>
        </w:tabs>
        <w:ind w:right="-29"/>
        <w:jc w:val="center"/>
        <w:rPr>
          <w:color w:val="000000"/>
          <w:sz w:val="22"/>
          <w:szCs w:val="22"/>
          <w:lang w:val="fr-CA" w:eastAsia="es-ES"/>
        </w:rPr>
      </w:pPr>
    </w:p>
    <w:p w14:paraId="42BFFE92" w14:textId="77777777" w:rsidR="008D0A04" w:rsidRDefault="008D0A04" w:rsidP="008D0A04">
      <w:pPr>
        <w:rPr>
          <w:sz w:val="22"/>
          <w:szCs w:val="22"/>
          <w:lang w:val="fr-CA" w:eastAsia="es-ES"/>
        </w:rPr>
        <w:sectPr w:rsidR="008D0A04" w:rsidSect="00C2432A">
          <w:headerReference w:type="default" r:id="rId10"/>
          <w:type w:val="oddPage"/>
          <w:pgSz w:w="12240" w:h="15840"/>
          <w:pgMar w:top="2160" w:right="1570" w:bottom="1296" w:left="1699" w:header="1296" w:footer="1008" w:gutter="0"/>
          <w:pgNumType w:fmt="numberInDash" w:start="1" w:chapSep="emDash"/>
          <w:cols w:space="720"/>
          <w:titlePg/>
          <w:docGrid w:linePitch="326"/>
        </w:sectPr>
      </w:pPr>
    </w:p>
    <w:p w14:paraId="5A960B11" w14:textId="77777777" w:rsidR="008D0A04" w:rsidRDefault="008D0A04" w:rsidP="008D0A04">
      <w:pPr>
        <w:jc w:val="right"/>
        <w:rPr>
          <w:b/>
          <w:bCs/>
          <w:color w:val="000000"/>
          <w:sz w:val="22"/>
          <w:szCs w:val="22"/>
          <w:u w:val="single"/>
          <w:lang w:val="fr-CA" w:eastAsia="es-ES"/>
        </w:rPr>
      </w:pPr>
      <w:r>
        <w:rPr>
          <w:b/>
          <w:color w:val="000000"/>
          <w:sz w:val="22"/>
          <w:szCs w:val="22"/>
          <w:u w:val="single"/>
          <w:lang w:val="fr-CA" w:eastAsia="es-ES"/>
        </w:rPr>
        <w:lastRenderedPageBreak/>
        <w:t>ANNEXE I</w:t>
      </w:r>
    </w:p>
    <w:p w14:paraId="493377D2" w14:textId="77777777" w:rsidR="008D0A04" w:rsidRDefault="008D0A04" w:rsidP="008D0A04">
      <w:pPr>
        <w:rPr>
          <w:color w:val="000000"/>
          <w:sz w:val="22"/>
          <w:szCs w:val="22"/>
          <w:lang w:val="fr-CA" w:eastAsia="es-ES"/>
        </w:rPr>
      </w:pPr>
    </w:p>
    <w:p w14:paraId="56889BAA" w14:textId="77777777" w:rsidR="008D0A04" w:rsidRDefault="008D0A04" w:rsidP="008D0A04">
      <w:pPr>
        <w:jc w:val="center"/>
        <w:rPr>
          <w:b/>
          <w:color w:val="000000"/>
          <w:sz w:val="22"/>
          <w:szCs w:val="22"/>
          <w:lang w:val="fr-CA" w:eastAsia="es-ES"/>
        </w:rPr>
      </w:pPr>
      <w:r>
        <w:rPr>
          <w:b/>
          <w:color w:val="000000"/>
          <w:sz w:val="22"/>
          <w:szCs w:val="22"/>
          <w:lang w:val="fr-CA" w:eastAsia="es-ES"/>
        </w:rPr>
        <w:t>MANDATS ÉMANÉS DE LA QUARANTE-NEUVIÈME SESSION ORDINAIRE DE L’ASSEMBLÉE GÉNÉRALE AINSI QUE D’AUTRES SESSIONS ANTÉRIEURES DEVANT ÊTRE EXAMINÉS PAR LA COMMISSION DES QUESTIONS JURIDIQUES ET POLITIQUES DURANT LA PÉRIODE 2019-2020</w:t>
      </w:r>
    </w:p>
    <w:p w14:paraId="51C8A392" w14:textId="77777777" w:rsidR="008D0A04" w:rsidRDefault="008D0A04" w:rsidP="008D0A04">
      <w:pPr>
        <w:rPr>
          <w:color w:val="000000"/>
          <w:sz w:val="22"/>
          <w:szCs w:val="22"/>
          <w:lang w:val="fr-CA" w:eastAsia="es-ES"/>
        </w:rPr>
      </w:pPr>
    </w:p>
    <w:p w14:paraId="1937F793" w14:textId="77777777" w:rsidR="008D0A04" w:rsidRDefault="008D0A04" w:rsidP="008D0A04">
      <w:pPr>
        <w:rPr>
          <w:color w:val="000000"/>
          <w:sz w:val="22"/>
          <w:szCs w:val="22"/>
          <w:lang w:val="fr-CA" w:eastAsia="es-ES"/>
        </w:rPr>
      </w:pPr>
    </w:p>
    <w:tbl>
      <w:tblPr>
        <w:tblW w:w="12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3"/>
        <w:gridCol w:w="5062"/>
      </w:tblGrid>
      <w:tr w:rsidR="008D0A04" w:rsidRPr="00302458" w14:paraId="091B033A" w14:textId="77777777" w:rsidTr="008D0A04">
        <w:trPr>
          <w:trHeight w:val="70"/>
          <w:jc w:val="center"/>
        </w:trPr>
        <w:tc>
          <w:tcPr>
            <w:tcW w:w="12492" w:type="dxa"/>
            <w:gridSpan w:val="2"/>
            <w:tcBorders>
              <w:top w:val="nil"/>
              <w:left w:val="nil"/>
              <w:bottom w:val="single" w:sz="4" w:space="0" w:color="000000"/>
              <w:right w:val="nil"/>
            </w:tcBorders>
            <w:shd w:val="clear" w:color="auto" w:fill="FFFFFF"/>
            <w:vAlign w:val="center"/>
            <w:hideMark/>
          </w:tcPr>
          <w:p w14:paraId="13218C96" w14:textId="77777777" w:rsidR="008D0A04" w:rsidRDefault="008D0A04">
            <w:pPr>
              <w:spacing w:after="40"/>
              <w:rPr>
                <w:color w:val="000000"/>
                <w:sz w:val="22"/>
                <w:szCs w:val="22"/>
                <w:lang w:val="fr-CA"/>
              </w:rPr>
            </w:pPr>
            <w:r>
              <w:rPr>
                <w:color w:val="000000"/>
                <w:sz w:val="22"/>
                <w:szCs w:val="22"/>
                <w:lang w:val="fr-CA"/>
              </w:rPr>
              <w:t>De la résolution AG/RES. 2930 (XLIX-O/19) « Droit international »</w:t>
            </w:r>
          </w:p>
        </w:tc>
      </w:tr>
      <w:tr w:rsidR="008D0A04" w14:paraId="5211FB45" w14:textId="77777777" w:rsidTr="008D0A04">
        <w:trPr>
          <w:trHeight w:val="70"/>
          <w:jc w:val="center"/>
        </w:trPr>
        <w:tc>
          <w:tcPr>
            <w:tcW w:w="743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C578C67" w14:textId="77777777" w:rsidR="008D0A04" w:rsidRDefault="008D0A04">
            <w:pPr>
              <w:spacing w:after="40"/>
              <w:jc w:val="center"/>
              <w:rPr>
                <w:b/>
                <w:color w:val="000000"/>
                <w:sz w:val="22"/>
                <w:szCs w:val="22"/>
                <w:lang w:val="fr-CA"/>
              </w:rPr>
            </w:pPr>
            <w:r>
              <w:rPr>
                <w:b/>
                <w:color w:val="000000"/>
                <w:sz w:val="22"/>
                <w:szCs w:val="22"/>
                <w:lang w:val="fr-CA"/>
              </w:rPr>
              <w:t>Sections du chapitre I</w:t>
            </w:r>
          </w:p>
        </w:tc>
        <w:tc>
          <w:tcPr>
            <w:tcW w:w="506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5B23E6E" w14:textId="77777777" w:rsidR="008D0A04" w:rsidRDefault="008D0A04">
            <w:pPr>
              <w:tabs>
                <w:tab w:val="left" w:pos="720"/>
                <w:tab w:val="left" w:pos="1440"/>
                <w:tab w:val="left" w:pos="2160"/>
                <w:tab w:val="left" w:pos="2880"/>
                <w:tab w:val="left" w:pos="3600"/>
              </w:tabs>
              <w:spacing w:after="40"/>
              <w:jc w:val="center"/>
              <w:rPr>
                <w:b/>
                <w:color w:val="000000"/>
                <w:sz w:val="22"/>
                <w:szCs w:val="22"/>
                <w:lang w:val="fr-CA"/>
              </w:rPr>
            </w:pPr>
            <w:r>
              <w:rPr>
                <w:b/>
                <w:color w:val="000000"/>
                <w:sz w:val="22"/>
                <w:szCs w:val="22"/>
                <w:lang w:val="fr-CA"/>
              </w:rPr>
              <w:t>Mandats</w:t>
            </w:r>
          </w:p>
        </w:tc>
      </w:tr>
      <w:tr w:rsidR="008D0A04" w:rsidRPr="00302458" w14:paraId="01AFADA9" w14:textId="77777777" w:rsidTr="008D0A04">
        <w:trPr>
          <w:trHeight w:val="70"/>
          <w:jc w:val="center"/>
        </w:trPr>
        <w:tc>
          <w:tcPr>
            <w:tcW w:w="7431" w:type="dxa"/>
            <w:tcBorders>
              <w:top w:val="single" w:sz="4" w:space="0" w:color="000000"/>
              <w:left w:val="single" w:sz="4" w:space="0" w:color="000000"/>
              <w:bottom w:val="single" w:sz="4" w:space="0" w:color="000000"/>
              <w:right w:val="single" w:sz="4" w:space="0" w:color="000000"/>
            </w:tcBorders>
            <w:hideMark/>
          </w:tcPr>
          <w:p w14:paraId="16E162E8" w14:textId="77777777" w:rsidR="008D0A04" w:rsidRDefault="008D0A04" w:rsidP="008D0A04">
            <w:pPr>
              <w:widowControl w:val="0"/>
              <w:numPr>
                <w:ilvl w:val="0"/>
                <w:numId w:val="5"/>
              </w:numPr>
              <w:spacing w:after="40"/>
              <w:ind w:left="573" w:hanging="540"/>
              <w:rPr>
                <w:b/>
                <w:color w:val="000000"/>
                <w:sz w:val="22"/>
                <w:szCs w:val="22"/>
                <w:lang w:val="fr-CA" w:eastAsia="es-ES"/>
              </w:rPr>
            </w:pPr>
            <w:r>
              <w:rPr>
                <w:color w:val="000000"/>
                <w:sz w:val="22"/>
                <w:szCs w:val="22"/>
                <w:lang w:val="fr-CA"/>
              </w:rPr>
              <w:t xml:space="preserve">Observations et recommandations relatives au Rapport annuel du CJI. </w:t>
            </w:r>
          </w:p>
        </w:tc>
        <w:tc>
          <w:tcPr>
            <w:tcW w:w="5061" w:type="dxa"/>
            <w:tcBorders>
              <w:top w:val="single" w:sz="4" w:space="0" w:color="000000"/>
              <w:left w:val="single" w:sz="4" w:space="0" w:color="000000"/>
              <w:bottom w:val="single" w:sz="4" w:space="0" w:color="000000"/>
              <w:right w:val="single" w:sz="4" w:space="0" w:color="000000"/>
            </w:tcBorders>
            <w:hideMark/>
          </w:tcPr>
          <w:p w14:paraId="5F9C13C7" w14:textId="77777777" w:rsidR="008D0A04" w:rsidRDefault="008D0A04">
            <w:pPr>
              <w:tabs>
                <w:tab w:val="left" w:pos="720"/>
                <w:tab w:val="left" w:pos="1440"/>
                <w:tab w:val="left" w:pos="2160"/>
                <w:tab w:val="left" w:pos="2880"/>
                <w:tab w:val="left" w:pos="3600"/>
              </w:tabs>
              <w:spacing w:after="40"/>
              <w:jc w:val="both"/>
              <w:rPr>
                <w:color w:val="000000"/>
                <w:sz w:val="22"/>
                <w:szCs w:val="22"/>
                <w:lang w:val="fr-CA"/>
              </w:rPr>
            </w:pPr>
            <w:r>
              <w:rPr>
                <w:b/>
                <w:color w:val="000000"/>
                <w:sz w:val="22"/>
                <w:szCs w:val="22"/>
                <w:u w:val="single"/>
                <w:lang w:val="fr-CA"/>
              </w:rPr>
              <w:t>Paragraphe 2 du dispositif :</w:t>
            </w:r>
            <w:r>
              <w:rPr>
                <w:b/>
                <w:color w:val="000000"/>
                <w:sz w:val="22"/>
                <w:szCs w:val="22"/>
                <w:lang w:val="fr-CA"/>
              </w:rPr>
              <w:t xml:space="preserve"> </w:t>
            </w:r>
            <w:r>
              <w:rPr>
                <w:color w:val="000000"/>
                <w:sz w:val="22"/>
                <w:szCs w:val="22"/>
                <w:lang w:val="fr-CA"/>
              </w:rPr>
              <w:t xml:space="preserve">« De demander au CJI de faire rapport en permanence sur les progrès réalisés au titre des questions inscrites à son programme d’action, dont celles concernant les accords contraignants et non contraignants, </w:t>
            </w:r>
            <w:r>
              <w:rPr>
                <w:bCs/>
                <w:color w:val="000000"/>
                <w:sz w:val="22"/>
                <w:szCs w:val="22"/>
                <w:lang w:val="fr-CA"/>
              </w:rPr>
              <w:t>la cybersécurité</w:t>
            </w:r>
            <w:r>
              <w:rPr>
                <w:color w:val="000000"/>
                <w:sz w:val="22"/>
                <w:szCs w:val="22"/>
                <w:lang w:val="fr-CA"/>
              </w:rPr>
              <w:t>, en tenant compte des activités du Groupe de travail chargé des mesures d'encouragement de la confiance et de la sécurité dans le cyberespace du Comité interaméricain contre le terrorisme (CICTE) ainsi que des travaux réalisés en la matière par d’autres services et entités compétents de l'Organisation des États Américains, et l’efficacité des décisions judiciaires rendues à l’étranger à la lumière de la Convention interaméricaine sur l'efficacité extraterritoriale des décisions et sentences arbitrales étrangères et de la Loi-type interaméricaine sur l’accès à l’information, et de lui demander de continuer de mettre à jour les Principes relatifs à la protection des données personnelles en tenant compte de l’évolution de ceux-ci. »</w:t>
            </w:r>
          </w:p>
        </w:tc>
      </w:tr>
      <w:tr w:rsidR="008D0A04" w:rsidRPr="00302458" w14:paraId="761AAA0B" w14:textId="77777777" w:rsidTr="008D0A04">
        <w:trPr>
          <w:trHeight w:val="70"/>
          <w:jc w:val="center"/>
        </w:trPr>
        <w:tc>
          <w:tcPr>
            <w:tcW w:w="7431" w:type="dxa"/>
            <w:tcBorders>
              <w:top w:val="single" w:sz="4" w:space="0" w:color="000000"/>
              <w:left w:val="single" w:sz="4" w:space="0" w:color="000000"/>
              <w:bottom w:val="single" w:sz="4" w:space="0" w:color="000000"/>
              <w:right w:val="single" w:sz="4" w:space="0" w:color="000000"/>
            </w:tcBorders>
            <w:hideMark/>
          </w:tcPr>
          <w:p w14:paraId="4BA5E33E" w14:textId="77777777" w:rsidR="008D0A04" w:rsidRDefault="008D0A04" w:rsidP="008D0A04">
            <w:pPr>
              <w:widowControl w:val="0"/>
              <w:numPr>
                <w:ilvl w:val="0"/>
                <w:numId w:val="5"/>
              </w:numPr>
              <w:spacing w:after="40"/>
              <w:ind w:left="573" w:hanging="540"/>
              <w:rPr>
                <w:color w:val="000000"/>
                <w:sz w:val="22"/>
                <w:szCs w:val="22"/>
                <w:lang w:val="fr-CA" w:eastAsia="es-ES"/>
              </w:rPr>
            </w:pPr>
            <w:r>
              <w:rPr>
                <w:color w:val="000000"/>
                <w:sz w:val="22"/>
                <w:szCs w:val="22"/>
                <w:lang w:val="fr-CA"/>
              </w:rPr>
              <w:t>Programme interaméricain de développement du droit international.</w:t>
            </w:r>
          </w:p>
        </w:tc>
        <w:tc>
          <w:tcPr>
            <w:tcW w:w="5061" w:type="dxa"/>
            <w:tcBorders>
              <w:top w:val="single" w:sz="4" w:space="0" w:color="000000"/>
              <w:left w:val="single" w:sz="4" w:space="0" w:color="000000"/>
              <w:bottom w:val="single" w:sz="4" w:space="0" w:color="000000"/>
              <w:right w:val="single" w:sz="4" w:space="0" w:color="000000"/>
            </w:tcBorders>
          </w:tcPr>
          <w:p w14:paraId="360B99DE" w14:textId="77777777" w:rsidR="008D0A04" w:rsidRDefault="008D0A04">
            <w:pPr>
              <w:tabs>
                <w:tab w:val="left" w:pos="720"/>
                <w:tab w:val="left" w:pos="1440"/>
                <w:tab w:val="left" w:pos="2160"/>
                <w:tab w:val="left" w:pos="2880"/>
                <w:tab w:val="left" w:pos="3600"/>
              </w:tabs>
              <w:spacing w:after="40"/>
              <w:jc w:val="both"/>
              <w:rPr>
                <w:bCs/>
                <w:color w:val="000000"/>
                <w:sz w:val="22"/>
                <w:szCs w:val="22"/>
                <w:lang w:val="fr-CA"/>
              </w:rPr>
            </w:pPr>
          </w:p>
        </w:tc>
      </w:tr>
      <w:tr w:rsidR="008D0A04" w:rsidRPr="00302458" w14:paraId="2D63EB92" w14:textId="77777777" w:rsidTr="008D0A04">
        <w:trPr>
          <w:trHeight w:val="70"/>
          <w:jc w:val="center"/>
        </w:trPr>
        <w:tc>
          <w:tcPr>
            <w:tcW w:w="7431" w:type="dxa"/>
            <w:tcBorders>
              <w:top w:val="single" w:sz="4" w:space="0" w:color="000000"/>
              <w:left w:val="single" w:sz="4" w:space="0" w:color="000000"/>
              <w:bottom w:val="single" w:sz="4" w:space="0" w:color="000000"/>
              <w:right w:val="single" w:sz="4" w:space="0" w:color="000000"/>
            </w:tcBorders>
            <w:hideMark/>
          </w:tcPr>
          <w:p w14:paraId="77FA6460" w14:textId="77777777" w:rsidR="008D0A04" w:rsidRDefault="008D0A04" w:rsidP="008D0A04">
            <w:pPr>
              <w:widowControl w:val="0"/>
              <w:numPr>
                <w:ilvl w:val="0"/>
                <w:numId w:val="5"/>
              </w:numPr>
              <w:spacing w:after="40"/>
              <w:ind w:left="573" w:hanging="540"/>
              <w:rPr>
                <w:color w:val="000000"/>
                <w:sz w:val="22"/>
                <w:szCs w:val="22"/>
                <w:lang w:val="fr-CA"/>
              </w:rPr>
            </w:pPr>
            <w:r>
              <w:rPr>
                <w:color w:val="000000"/>
                <w:sz w:val="22"/>
                <w:szCs w:val="22"/>
                <w:lang w:val="fr-CA"/>
              </w:rPr>
              <w:t>Élaboration d’une loi-type sur l’utilisation des feux d’artifice.</w:t>
            </w:r>
          </w:p>
        </w:tc>
        <w:tc>
          <w:tcPr>
            <w:tcW w:w="5061" w:type="dxa"/>
            <w:tcBorders>
              <w:top w:val="single" w:sz="4" w:space="0" w:color="000000"/>
              <w:left w:val="single" w:sz="4" w:space="0" w:color="000000"/>
              <w:bottom w:val="single" w:sz="4" w:space="0" w:color="000000"/>
              <w:right w:val="single" w:sz="4" w:space="0" w:color="000000"/>
            </w:tcBorders>
          </w:tcPr>
          <w:p w14:paraId="5BE9A4CB" w14:textId="77777777" w:rsidR="008D0A04" w:rsidRDefault="008D0A04">
            <w:pPr>
              <w:tabs>
                <w:tab w:val="left" w:pos="720"/>
                <w:tab w:val="left" w:pos="1440"/>
                <w:tab w:val="left" w:pos="2160"/>
                <w:tab w:val="left" w:pos="2880"/>
                <w:tab w:val="left" w:pos="3600"/>
              </w:tabs>
              <w:spacing w:after="40"/>
              <w:jc w:val="both"/>
              <w:rPr>
                <w:b/>
                <w:color w:val="000000"/>
                <w:sz w:val="22"/>
                <w:szCs w:val="22"/>
                <w:u w:val="single"/>
                <w:lang w:val="fr-CA"/>
              </w:rPr>
            </w:pPr>
          </w:p>
        </w:tc>
      </w:tr>
      <w:tr w:rsidR="008D0A04" w:rsidRPr="00302458" w14:paraId="314ADC45" w14:textId="77777777" w:rsidTr="008D0A04">
        <w:trPr>
          <w:trHeight w:val="70"/>
          <w:jc w:val="center"/>
        </w:trPr>
        <w:tc>
          <w:tcPr>
            <w:tcW w:w="7431" w:type="dxa"/>
            <w:tcBorders>
              <w:top w:val="single" w:sz="4" w:space="0" w:color="000000"/>
              <w:left w:val="single" w:sz="4" w:space="0" w:color="000000"/>
              <w:bottom w:val="single" w:sz="4" w:space="0" w:color="000000"/>
              <w:right w:val="single" w:sz="4" w:space="0" w:color="000000"/>
            </w:tcBorders>
            <w:hideMark/>
          </w:tcPr>
          <w:p w14:paraId="6D510220" w14:textId="77777777" w:rsidR="008D0A04" w:rsidRDefault="008D0A04" w:rsidP="008D0A04">
            <w:pPr>
              <w:widowControl w:val="0"/>
              <w:numPr>
                <w:ilvl w:val="0"/>
                <w:numId w:val="5"/>
              </w:numPr>
              <w:spacing w:after="40"/>
              <w:ind w:left="573" w:hanging="540"/>
              <w:rPr>
                <w:color w:val="000000"/>
                <w:sz w:val="22"/>
                <w:szCs w:val="22"/>
                <w:lang w:val="fr-CA"/>
              </w:rPr>
            </w:pPr>
            <w:r>
              <w:rPr>
                <w:color w:val="000000"/>
                <w:sz w:val="22"/>
                <w:szCs w:val="22"/>
                <w:lang w:val="fr-CA"/>
              </w:rPr>
              <w:t>Promotion de la Cour pénale internationale.</w:t>
            </w:r>
          </w:p>
        </w:tc>
        <w:tc>
          <w:tcPr>
            <w:tcW w:w="5061" w:type="dxa"/>
            <w:tcBorders>
              <w:top w:val="single" w:sz="4" w:space="0" w:color="000000"/>
              <w:left w:val="single" w:sz="4" w:space="0" w:color="000000"/>
              <w:bottom w:val="single" w:sz="4" w:space="0" w:color="000000"/>
              <w:right w:val="single" w:sz="4" w:space="0" w:color="000000"/>
            </w:tcBorders>
          </w:tcPr>
          <w:p w14:paraId="57CB6768" w14:textId="77777777" w:rsidR="008D0A04" w:rsidRDefault="008D0A04">
            <w:pPr>
              <w:tabs>
                <w:tab w:val="left" w:pos="720"/>
                <w:tab w:val="left" w:pos="1440"/>
                <w:tab w:val="left" w:pos="2160"/>
                <w:tab w:val="left" w:pos="2880"/>
                <w:tab w:val="left" w:pos="3600"/>
              </w:tabs>
              <w:spacing w:after="40"/>
              <w:jc w:val="both"/>
              <w:rPr>
                <w:b/>
                <w:color w:val="000000"/>
                <w:sz w:val="22"/>
                <w:szCs w:val="22"/>
                <w:u w:val="single"/>
                <w:lang w:val="fr-CA"/>
              </w:rPr>
            </w:pPr>
          </w:p>
        </w:tc>
      </w:tr>
    </w:tbl>
    <w:p w14:paraId="1FF11497" w14:textId="77777777" w:rsidR="008D0A04" w:rsidRDefault="008D0A04" w:rsidP="008D0A04">
      <w:pPr>
        <w:rPr>
          <w:sz w:val="22"/>
          <w:szCs w:val="22"/>
          <w:lang w:val="fr-CA"/>
        </w:rPr>
      </w:pPr>
      <w:r>
        <w:rPr>
          <w:sz w:val="22"/>
          <w:szCs w:val="22"/>
          <w:lang w:val="fr-CA"/>
        </w:rPr>
        <w:br w:type="page"/>
      </w:r>
    </w:p>
    <w:tbl>
      <w:tblPr>
        <w:tblW w:w="12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3"/>
        <w:gridCol w:w="5062"/>
      </w:tblGrid>
      <w:tr w:rsidR="008D0A04" w14:paraId="199945C7" w14:textId="77777777" w:rsidTr="008D0A04">
        <w:trPr>
          <w:trHeight w:val="70"/>
          <w:jc w:val="center"/>
        </w:trPr>
        <w:tc>
          <w:tcPr>
            <w:tcW w:w="743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EAFB04E" w14:textId="77777777" w:rsidR="008D0A04" w:rsidRDefault="008D0A04">
            <w:pPr>
              <w:spacing w:after="40"/>
              <w:jc w:val="center"/>
              <w:rPr>
                <w:b/>
                <w:color w:val="000000"/>
                <w:sz w:val="22"/>
                <w:szCs w:val="22"/>
                <w:lang w:val="fr-CA"/>
              </w:rPr>
            </w:pPr>
            <w:r>
              <w:rPr>
                <w:b/>
                <w:color w:val="000000"/>
                <w:sz w:val="22"/>
                <w:szCs w:val="22"/>
                <w:lang w:val="fr-CA"/>
              </w:rPr>
              <w:lastRenderedPageBreak/>
              <w:t>Chapitre II</w:t>
            </w:r>
          </w:p>
        </w:tc>
        <w:tc>
          <w:tcPr>
            <w:tcW w:w="506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50B9D2B" w14:textId="77777777" w:rsidR="008D0A04" w:rsidRDefault="008D0A04">
            <w:pPr>
              <w:tabs>
                <w:tab w:val="left" w:pos="720"/>
                <w:tab w:val="left" w:pos="1440"/>
                <w:tab w:val="left" w:pos="2160"/>
                <w:tab w:val="left" w:pos="2880"/>
                <w:tab w:val="left" w:pos="3600"/>
              </w:tabs>
              <w:spacing w:after="40"/>
              <w:jc w:val="center"/>
              <w:rPr>
                <w:b/>
                <w:color w:val="000000"/>
                <w:sz w:val="22"/>
                <w:szCs w:val="22"/>
                <w:lang w:val="fr-CA"/>
              </w:rPr>
            </w:pPr>
            <w:r>
              <w:rPr>
                <w:b/>
                <w:color w:val="000000"/>
                <w:sz w:val="22"/>
                <w:szCs w:val="22"/>
                <w:lang w:val="fr-CA"/>
              </w:rPr>
              <w:t>Mandats</w:t>
            </w:r>
          </w:p>
        </w:tc>
      </w:tr>
      <w:tr w:rsidR="008D0A04" w:rsidRPr="00302458" w14:paraId="3EFCAA2A" w14:textId="77777777" w:rsidTr="008D0A04">
        <w:trPr>
          <w:trHeight w:val="70"/>
          <w:jc w:val="center"/>
        </w:trPr>
        <w:tc>
          <w:tcPr>
            <w:tcW w:w="7431" w:type="dxa"/>
            <w:tcBorders>
              <w:top w:val="single" w:sz="4" w:space="0" w:color="000000"/>
              <w:left w:val="single" w:sz="4" w:space="0" w:color="000000"/>
              <w:bottom w:val="single" w:sz="4" w:space="0" w:color="000000"/>
              <w:right w:val="single" w:sz="4" w:space="0" w:color="000000"/>
            </w:tcBorders>
            <w:hideMark/>
          </w:tcPr>
          <w:p w14:paraId="28169DE4" w14:textId="77777777" w:rsidR="008D0A04" w:rsidRDefault="008D0A04">
            <w:pPr>
              <w:widowControl w:val="0"/>
              <w:tabs>
                <w:tab w:val="left" w:pos="573"/>
              </w:tabs>
              <w:spacing w:after="40"/>
              <w:ind w:left="33"/>
              <w:rPr>
                <w:bCs/>
                <w:color w:val="000000"/>
                <w:sz w:val="22"/>
                <w:szCs w:val="22"/>
                <w:lang w:val="fr-CA"/>
              </w:rPr>
            </w:pPr>
            <w:r>
              <w:rPr>
                <w:bCs/>
                <w:color w:val="000000"/>
                <w:sz w:val="22"/>
                <w:szCs w:val="22"/>
                <w:lang w:val="fr-CA"/>
              </w:rPr>
              <w:t>Suivi et rapports</w:t>
            </w:r>
          </w:p>
        </w:tc>
        <w:tc>
          <w:tcPr>
            <w:tcW w:w="5061" w:type="dxa"/>
            <w:tcBorders>
              <w:top w:val="single" w:sz="4" w:space="0" w:color="000000"/>
              <w:left w:val="single" w:sz="4" w:space="0" w:color="000000"/>
              <w:bottom w:val="single" w:sz="4" w:space="0" w:color="000000"/>
              <w:right w:val="single" w:sz="4" w:space="0" w:color="000000"/>
            </w:tcBorders>
            <w:hideMark/>
          </w:tcPr>
          <w:p w14:paraId="06B3E8F5" w14:textId="77777777" w:rsidR="008D0A04" w:rsidRDefault="008D0A04">
            <w:pPr>
              <w:tabs>
                <w:tab w:val="left" w:pos="720"/>
                <w:tab w:val="left" w:pos="1440"/>
                <w:tab w:val="left" w:pos="2160"/>
                <w:tab w:val="left" w:pos="2880"/>
                <w:tab w:val="left" w:pos="3600"/>
              </w:tabs>
              <w:spacing w:after="40"/>
              <w:jc w:val="both"/>
              <w:rPr>
                <w:color w:val="000000"/>
                <w:sz w:val="22"/>
                <w:szCs w:val="22"/>
                <w:lang w:val="fr-CA"/>
              </w:rPr>
            </w:pPr>
            <w:r>
              <w:rPr>
                <w:b/>
                <w:color w:val="000000"/>
                <w:sz w:val="22"/>
                <w:szCs w:val="22"/>
                <w:u w:val="single"/>
                <w:lang w:val="fr-CA"/>
              </w:rPr>
              <w:t>Paragraphe unique du dispositif :</w:t>
            </w:r>
            <w:r>
              <w:rPr>
                <w:b/>
                <w:color w:val="000000"/>
                <w:sz w:val="22"/>
                <w:szCs w:val="22"/>
                <w:lang w:val="fr-CA"/>
              </w:rPr>
              <w:t xml:space="preserve"> </w:t>
            </w:r>
            <w:r>
              <w:rPr>
                <w:color w:val="000000"/>
                <w:sz w:val="22"/>
                <w:szCs w:val="22"/>
                <w:lang w:val="fr-CA"/>
              </w:rPr>
              <w:t xml:space="preserve">« De demander au Conseil permanent de faire rapport à l’Assemblée générale, lors de sa </w:t>
            </w:r>
            <w:r>
              <w:rPr>
                <w:bCs/>
                <w:color w:val="000000"/>
                <w:sz w:val="22"/>
                <w:szCs w:val="22"/>
                <w:lang w:val="fr-CA"/>
              </w:rPr>
              <w:t>cinquantième</w:t>
            </w:r>
            <w:r>
              <w:rPr>
                <w:color w:val="000000"/>
                <w:sz w:val="22"/>
                <w:szCs w:val="22"/>
                <w:lang w:val="fr-CA"/>
              </w:rPr>
              <w:t xml:space="preserve"> session ordinaire, sur la mise en œuvre de la présente résolution, et d’établir que la mise en œuvre des activités qui y sont prévues dépendra de la disponibilité des ressources financières inscrites à ce titre dans le programme-budget de l’Organisation, ainsi que d’autres ressources. »</w:t>
            </w:r>
          </w:p>
        </w:tc>
      </w:tr>
    </w:tbl>
    <w:p w14:paraId="7E18D8B5" w14:textId="77777777" w:rsidR="008D0A04" w:rsidRDefault="008D0A04" w:rsidP="008D0A04">
      <w:pPr>
        <w:widowControl w:val="0"/>
        <w:tabs>
          <w:tab w:val="left" w:pos="900"/>
        </w:tabs>
        <w:ind w:left="900" w:hanging="540"/>
        <w:jc w:val="both"/>
        <w:rPr>
          <w:color w:val="000000"/>
          <w:sz w:val="22"/>
          <w:szCs w:val="22"/>
          <w:lang w:val="fr-CA" w:eastAsia="es-ES"/>
        </w:rPr>
      </w:pPr>
    </w:p>
    <w:tbl>
      <w:tblPr>
        <w:tblW w:w="12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01"/>
        <w:gridCol w:w="5034"/>
      </w:tblGrid>
      <w:tr w:rsidR="008D0A04" w:rsidRPr="00302458" w14:paraId="6DD709A5" w14:textId="77777777" w:rsidTr="008D0A04">
        <w:trPr>
          <w:trHeight w:val="70"/>
          <w:jc w:val="center"/>
        </w:trPr>
        <w:tc>
          <w:tcPr>
            <w:tcW w:w="12435" w:type="dxa"/>
            <w:gridSpan w:val="2"/>
            <w:tcBorders>
              <w:top w:val="nil"/>
              <w:left w:val="nil"/>
              <w:bottom w:val="single" w:sz="4" w:space="0" w:color="000000"/>
              <w:right w:val="nil"/>
            </w:tcBorders>
            <w:shd w:val="clear" w:color="auto" w:fill="FFFFFF"/>
            <w:vAlign w:val="center"/>
            <w:hideMark/>
          </w:tcPr>
          <w:p w14:paraId="1A3E9496" w14:textId="77777777" w:rsidR="008D0A04" w:rsidRDefault="008D0A04">
            <w:pPr>
              <w:tabs>
                <w:tab w:val="left" w:pos="720"/>
                <w:tab w:val="left" w:pos="1440"/>
                <w:tab w:val="left" w:pos="2160"/>
                <w:tab w:val="left" w:pos="2880"/>
                <w:tab w:val="left" w:pos="3600"/>
              </w:tabs>
              <w:spacing w:after="40"/>
              <w:rPr>
                <w:color w:val="000000"/>
                <w:sz w:val="22"/>
                <w:szCs w:val="22"/>
                <w:lang w:val="fr-CA"/>
              </w:rPr>
            </w:pPr>
            <w:r>
              <w:rPr>
                <w:color w:val="000000"/>
                <w:sz w:val="22"/>
                <w:szCs w:val="22"/>
                <w:lang w:val="fr-CA"/>
              </w:rPr>
              <w:t>De la résolution AG/RES. 2931 (XLIX-O/19) « Renforcement de la démocratie » :</w:t>
            </w:r>
          </w:p>
        </w:tc>
      </w:tr>
      <w:tr w:rsidR="008D0A04" w14:paraId="0A0A7557" w14:textId="77777777" w:rsidTr="008D0A04">
        <w:trPr>
          <w:trHeight w:val="70"/>
          <w:jc w:val="center"/>
        </w:trPr>
        <w:tc>
          <w:tcPr>
            <w:tcW w:w="740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D99DFE5" w14:textId="77777777" w:rsidR="008D0A04" w:rsidRDefault="008D0A04">
            <w:pPr>
              <w:spacing w:after="40"/>
              <w:jc w:val="center"/>
              <w:rPr>
                <w:b/>
                <w:color w:val="000000"/>
                <w:sz w:val="22"/>
                <w:szCs w:val="22"/>
                <w:lang w:val="fr-CA"/>
              </w:rPr>
            </w:pPr>
            <w:r>
              <w:rPr>
                <w:b/>
                <w:color w:val="000000"/>
                <w:sz w:val="22"/>
                <w:szCs w:val="22"/>
                <w:lang w:val="fr-CA"/>
              </w:rPr>
              <w:t>Sections du chapitre I</w:t>
            </w:r>
          </w:p>
        </w:tc>
        <w:tc>
          <w:tcPr>
            <w:tcW w:w="503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32F5631" w14:textId="77777777" w:rsidR="008D0A04" w:rsidRDefault="008D0A04">
            <w:pPr>
              <w:tabs>
                <w:tab w:val="left" w:pos="720"/>
                <w:tab w:val="left" w:pos="1440"/>
                <w:tab w:val="left" w:pos="2160"/>
                <w:tab w:val="left" w:pos="2880"/>
                <w:tab w:val="left" w:pos="3600"/>
              </w:tabs>
              <w:spacing w:after="40"/>
              <w:jc w:val="center"/>
              <w:rPr>
                <w:b/>
                <w:color w:val="000000"/>
                <w:sz w:val="22"/>
                <w:szCs w:val="22"/>
                <w:lang w:val="fr-CA"/>
              </w:rPr>
            </w:pPr>
            <w:r>
              <w:rPr>
                <w:b/>
                <w:color w:val="000000"/>
                <w:sz w:val="22"/>
                <w:szCs w:val="22"/>
                <w:lang w:val="fr-CA"/>
              </w:rPr>
              <w:t>Mandats</w:t>
            </w:r>
          </w:p>
        </w:tc>
      </w:tr>
      <w:tr w:rsidR="008D0A04" w:rsidRPr="00302458" w14:paraId="5E6D5936" w14:textId="77777777" w:rsidTr="008D0A04">
        <w:trPr>
          <w:trHeight w:val="70"/>
          <w:jc w:val="center"/>
        </w:trPr>
        <w:tc>
          <w:tcPr>
            <w:tcW w:w="7401" w:type="dxa"/>
            <w:tcBorders>
              <w:top w:val="single" w:sz="4" w:space="0" w:color="000000"/>
              <w:left w:val="single" w:sz="4" w:space="0" w:color="000000"/>
              <w:bottom w:val="single" w:sz="4" w:space="0" w:color="000000"/>
              <w:right w:val="single" w:sz="4" w:space="0" w:color="000000"/>
            </w:tcBorders>
            <w:vAlign w:val="center"/>
            <w:hideMark/>
          </w:tcPr>
          <w:p w14:paraId="4E442E6C" w14:textId="77777777" w:rsidR="008D0A04" w:rsidRDefault="008D0A04" w:rsidP="008D0A04">
            <w:pPr>
              <w:widowControl w:val="0"/>
              <w:numPr>
                <w:ilvl w:val="0"/>
                <w:numId w:val="6"/>
              </w:numPr>
              <w:tabs>
                <w:tab w:val="left" w:pos="396"/>
              </w:tabs>
              <w:spacing w:after="40"/>
              <w:ind w:hanging="263"/>
              <w:rPr>
                <w:color w:val="000000"/>
                <w:sz w:val="22"/>
                <w:szCs w:val="22"/>
                <w:u w:val="single"/>
                <w:lang w:val="fr-CA" w:eastAsia="es-ES"/>
              </w:rPr>
            </w:pPr>
            <w:r>
              <w:rPr>
                <w:color w:val="000000"/>
                <w:sz w:val="22"/>
                <w:szCs w:val="22"/>
                <w:lang w:val="fr-CA"/>
              </w:rPr>
              <w:t>Suivi de la Charte démocratique interaméricaine</w:t>
            </w:r>
            <w:r>
              <w:rPr>
                <w:color w:val="000000"/>
                <w:sz w:val="22"/>
                <w:szCs w:val="22"/>
                <w:lang w:val="fr-CA" w:eastAsia="es-ES"/>
              </w:rPr>
              <w:t xml:space="preserve">. </w:t>
            </w:r>
          </w:p>
        </w:tc>
        <w:tc>
          <w:tcPr>
            <w:tcW w:w="5034" w:type="dxa"/>
            <w:tcBorders>
              <w:top w:val="single" w:sz="4" w:space="0" w:color="000000"/>
              <w:left w:val="single" w:sz="4" w:space="0" w:color="000000"/>
              <w:bottom w:val="single" w:sz="4" w:space="0" w:color="000000"/>
              <w:right w:val="single" w:sz="4" w:space="0" w:color="000000"/>
            </w:tcBorders>
            <w:vAlign w:val="center"/>
          </w:tcPr>
          <w:p w14:paraId="28B5B855" w14:textId="77777777" w:rsidR="008D0A04" w:rsidRDefault="008D0A04">
            <w:pPr>
              <w:tabs>
                <w:tab w:val="left" w:pos="720"/>
                <w:tab w:val="left" w:pos="1440"/>
                <w:tab w:val="left" w:pos="2160"/>
                <w:tab w:val="left" w:pos="2880"/>
                <w:tab w:val="left" w:pos="3600"/>
              </w:tabs>
              <w:spacing w:after="40"/>
              <w:jc w:val="center"/>
              <w:rPr>
                <w:b/>
                <w:color w:val="000000"/>
                <w:sz w:val="22"/>
                <w:szCs w:val="22"/>
                <w:lang w:val="fr-CA"/>
              </w:rPr>
            </w:pPr>
          </w:p>
        </w:tc>
      </w:tr>
      <w:tr w:rsidR="008D0A04" w:rsidRPr="00302458" w14:paraId="5BEA3B00" w14:textId="77777777" w:rsidTr="008D0A04">
        <w:trPr>
          <w:trHeight w:val="70"/>
          <w:jc w:val="center"/>
        </w:trPr>
        <w:tc>
          <w:tcPr>
            <w:tcW w:w="7401" w:type="dxa"/>
            <w:tcBorders>
              <w:top w:val="single" w:sz="4" w:space="0" w:color="000000"/>
              <w:left w:val="single" w:sz="4" w:space="0" w:color="000000"/>
              <w:bottom w:val="single" w:sz="4" w:space="0" w:color="000000"/>
              <w:right w:val="single" w:sz="4" w:space="0" w:color="000000"/>
            </w:tcBorders>
            <w:vAlign w:val="center"/>
            <w:hideMark/>
          </w:tcPr>
          <w:p w14:paraId="24045FA2" w14:textId="77777777" w:rsidR="008D0A04" w:rsidRDefault="008D0A04" w:rsidP="008D0A04">
            <w:pPr>
              <w:numPr>
                <w:ilvl w:val="0"/>
                <w:numId w:val="6"/>
              </w:numPr>
              <w:spacing w:after="40"/>
              <w:ind w:hanging="263"/>
              <w:rPr>
                <w:b/>
                <w:color w:val="000000"/>
                <w:sz w:val="22"/>
                <w:szCs w:val="22"/>
                <w:u w:val="single"/>
                <w:lang w:val="fr-CA" w:eastAsia="es-ES"/>
              </w:rPr>
            </w:pPr>
            <w:r>
              <w:rPr>
                <w:color w:val="000000"/>
                <w:sz w:val="22"/>
                <w:szCs w:val="22"/>
                <w:lang w:val="fr-CA"/>
              </w:rPr>
              <w:t>Suivi de la Convention interaméricaine contre la corruption et du Programme interaméricain de coopération pour la lutte contre la corruption.</w:t>
            </w:r>
          </w:p>
        </w:tc>
        <w:tc>
          <w:tcPr>
            <w:tcW w:w="5034" w:type="dxa"/>
            <w:tcBorders>
              <w:top w:val="single" w:sz="4" w:space="0" w:color="000000"/>
              <w:left w:val="single" w:sz="4" w:space="0" w:color="000000"/>
              <w:bottom w:val="single" w:sz="4" w:space="0" w:color="000000"/>
              <w:right w:val="single" w:sz="4" w:space="0" w:color="000000"/>
            </w:tcBorders>
            <w:vAlign w:val="center"/>
          </w:tcPr>
          <w:p w14:paraId="56D59CB9" w14:textId="77777777" w:rsidR="008D0A04" w:rsidRDefault="008D0A04">
            <w:pPr>
              <w:tabs>
                <w:tab w:val="left" w:pos="720"/>
                <w:tab w:val="left" w:pos="1440"/>
                <w:tab w:val="left" w:pos="2160"/>
                <w:tab w:val="left" w:pos="2880"/>
                <w:tab w:val="left" w:pos="3600"/>
              </w:tabs>
              <w:spacing w:after="40"/>
              <w:jc w:val="center"/>
              <w:rPr>
                <w:b/>
                <w:color w:val="000000"/>
                <w:sz w:val="22"/>
                <w:szCs w:val="22"/>
                <w:lang w:val="fr-CA"/>
              </w:rPr>
            </w:pPr>
          </w:p>
        </w:tc>
      </w:tr>
      <w:tr w:rsidR="008D0A04" w:rsidRPr="00302458" w14:paraId="77CCEBE2" w14:textId="77777777" w:rsidTr="008D0A04">
        <w:trPr>
          <w:trHeight w:val="70"/>
          <w:jc w:val="center"/>
        </w:trPr>
        <w:tc>
          <w:tcPr>
            <w:tcW w:w="7401" w:type="dxa"/>
            <w:tcBorders>
              <w:top w:val="single" w:sz="4" w:space="0" w:color="000000"/>
              <w:left w:val="single" w:sz="4" w:space="0" w:color="000000"/>
              <w:bottom w:val="single" w:sz="4" w:space="0" w:color="000000"/>
              <w:right w:val="single" w:sz="4" w:space="0" w:color="000000"/>
            </w:tcBorders>
            <w:vAlign w:val="center"/>
            <w:hideMark/>
          </w:tcPr>
          <w:p w14:paraId="43E64804" w14:textId="77777777" w:rsidR="008D0A04" w:rsidRDefault="008D0A04" w:rsidP="008D0A04">
            <w:pPr>
              <w:widowControl w:val="0"/>
              <w:numPr>
                <w:ilvl w:val="0"/>
                <w:numId w:val="6"/>
              </w:numPr>
              <w:tabs>
                <w:tab w:val="left" w:pos="396"/>
              </w:tabs>
              <w:spacing w:after="40"/>
              <w:rPr>
                <w:color w:val="000000"/>
                <w:sz w:val="22"/>
                <w:szCs w:val="22"/>
                <w:lang w:val="fr-CA" w:eastAsia="es-ES"/>
              </w:rPr>
            </w:pPr>
            <w:r>
              <w:rPr>
                <w:color w:val="000000"/>
                <w:sz w:val="22"/>
                <w:szCs w:val="22"/>
                <w:lang w:val="fr-CA"/>
              </w:rPr>
              <w:t>Renforcement du cadastre et des registres fonciers dans les Amériques.</w:t>
            </w:r>
          </w:p>
        </w:tc>
        <w:tc>
          <w:tcPr>
            <w:tcW w:w="5034" w:type="dxa"/>
            <w:tcBorders>
              <w:top w:val="single" w:sz="4" w:space="0" w:color="000000"/>
              <w:left w:val="single" w:sz="4" w:space="0" w:color="000000"/>
              <w:bottom w:val="single" w:sz="4" w:space="0" w:color="000000"/>
              <w:right w:val="single" w:sz="4" w:space="0" w:color="000000"/>
            </w:tcBorders>
            <w:vAlign w:val="center"/>
          </w:tcPr>
          <w:p w14:paraId="74659332" w14:textId="77777777" w:rsidR="008D0A04" w:rsidRDefault="008D0A04">
            <w:pPr>
              <w:tabs>
                <w:tab w:val="left" w:pos="720"/>
                <w:tab w:val="left" w:pos="1440"/>
                <w:tab w:val="left" w:pos="2160"/>
                <w:tab w:val="left" w:pos="2880"/>
                <w:tab w:val="left" w:pos="3600"/>
              </w:tabs>
              <w:spacing w:after="40"/>
              <w:jc w:val="center"/>
              <w:rPr>
                <w:b/>
                <w:color w:val="000000"/>
                <w:sz w:val="22"/>
                <w:szCs w:val="22"/>
                <w:lang w:val="fr-CA"/>
              </w:rPr>
            </w:pPr>
          </w:p>
        </w:tc>
      </w:tr>
      <w:tr w:rsidR="008D0A04" w:rsidRPr="00302458" w14:paraId="30581BBB" w14:textId="77777777" w:rsidTr="008D0A04">
        <w:trPr>
          <w:trHeight w:val="70"/>
          <w:jc w:val="center"/>
        </w:trPr>
        <w:tc>
          <w:tcPr>
            <w:tcW w:w="7401" w:type="dxa"/>
            <w:tcBorders>
              <w:top w:val="single" w:sz="4" w:space="0" w:color="000000"/>
              <w:left w:val="single" w:sz="4" w:space="0" w:color="000000"/>
              <w:bottom w:val="single" w:sz="4" w:space="0" w:color="000000"/>
              <w:right w:val="single" w:sz="4" w:space="0" w:color="000000"/>
            </w:tcBorders>
            <w:vAlign w:val="center"/>
            <w:hideMark/>
          </w:tcPr>
          <w:p w14:paraId="0B822DB9" w14:textId="77777777" w:rsidR="008D0A04" w:rsidRDefault="008D0A04" w:rsidP="008D0A04">
            <w:pPr>
              <w:widowControl w:val="0"/>
              <w:numPr>
                <w:ilvl w:val="0"/>
                <w:numId w:val="6"/>
              </w:numPr>
              <w:tabs>
                <w:tab w:val="left" w:pos="396"/>
              </w:tabs>
              <w:spacing w:after="40"/>
              <w:rPr>
                <w:color w:val="000000"/>
                <w:sz w:val="22"/>
                <w:szCs w:val="22"/>
                <w:lang w:val="fr-CA"/>
              </w:rPr>
            </w:pPr>
            <w:r>
              <w:rPr>
                <w:color w:val="000000"/>
                <w:sz w:val="22"/>
                <w:szCs w:val="22"/>
                <w:lang w:val="fr-CA"/>
              </w:rPr>
              <w:t>Droits de l’enfant et de l’adolescent.</w:t>
            </w:r>
          </w:p>
        </w:tc>
        <w:tc>
          <w:tcPr>
            <w:tcW w:w="5034" w:type="dxa"/>
            <w:tcBorders>
              <w:top w:val="single" w:sz="4" w:space="0" w:color="000000"/>
              <w:left w:val="single" w:sz="4" w:space="0" w:color="000000"/>
              <w:bottom w:val="single" w:sz="4" w:space="0" w:color="000000"/>
              <w:right w:val="single" w:sz="4" w:space="0" w:color="000000"/>
            </w:tcBorders>
            <w:vAlign w:val="center"/>
          </w:tcPr>
          <w:p w14:paraId="1C20C5FC" w14:textId="77777777" w:rsidR="008D0A04" w:rsidRDefault="008D0A04">
            <w:pPr>
              <w:tabs>
                <w:tab w:val="left" w:pos="720"/>
                <w:tab w:val="left" w:pos="1440"/>
                <w:tab w:val="left" w:pos="2160"/>
                <w:tab w:val="left" w:pos="2880"/>
                <w:tab w:val="left" w:pos="3600"/>
              </w:tabs>
              <w:spacing w:after="40"/>
              <w:jc w:val="center"/>
              <w:rPr>
                <w:b/>
                <w:color w:val="000000"/>
                <w:sz w:val="22"/>
                <w:szCs w:val="22"/>
                <w:lang w:val="fr-CA"/>
              </w:rPr>
            </w:pPr>
          </w:p>
        </w:tc>
      </w:tr>
      <w:tr w:rsidR="008D0A04" w:rsidRPr="00302458" w14:paraId="5682790B" w14:textId="77777777" w:rsidTr="008D0A04">
        <w:trPr>
          <w:trHeight w:val="70"/>
          <w:jc w:val="center"/>
        </w:trPr>
        <w:tc>
          <w:tcPr>
            <w:tcW w:w="7401" w:type="dxa"/>
            <w:tcBorders>
              <w:top w:val="single" w:sz="4" w:space="0" w:color="000000"/>
              <w:left w:val="single" w:sz="4" w:space="0" w:color="000000"/>
              <w:bottom w:val="single" w:sz="4" w:space="0" w:color="000000"/>
              <w:right w:val="single" w:sz="4" w:space="0" w:color="000000"/>
            </w:tcBorders>
            <w:hideMark/>
          </w:tcPr>
          <w:p w14:paraId="3F2C9DD7" w14:textId="77777777" w:rsidR="008D0A04" w:rsidRDefault="008D0A04" w:rsidP="008D0A04">
            <w:pPr>
              <w:widowControl w:val="0"/>
              <w:numPr>
                <w:ilvl w:val="0"/>
                <w:numId w:val="6"/>
              </w:numPr>
              <w:tabs>
                <w:tab w:val="left" w:pos="396"/>
              </w:tabs>
              <w:spacing w:after="40"/>
              <w:rPr>
                <w:color w:val="000000"/>
                <w:sz w:val="22"/>
                <w:szCs w:val="22"/>
                <w:u w:val="single"/>
                <w:lang w:val="fr-CA" w:eastAsia="es-ES"/>
              </w:rPr>
            </w:pPr>
            <w:r>
              <w:rPr>
                <w:sz w:val="22"/>
                <w:szCs w:val="22"/>
                <w:lang w:val="fr-CA"/>
              </w:rPr>
              <w:t>Dialogue inclusif pour la prévention, le traitement efficace ainsi que le règlement</w:t>
            </w:r>
            <w:r>
              <w:rPr>
                <w:b/>
                <w:sz w:val="22"/>
                <w:szCs w:val="22"/>
                <w:lang w:val="fr-CA"/>
              </w:rPr>
              <w:t xml:space="preserve"> </w:t>
            </w:r>
            <w:r>
              <w:rPr>
                <w:sz w:val="22"/>
                <w:szCs w:val="22"/>
                <w:lang w:val="fr-CA"/>
              </w:rPr>
              <w:t>intégral des conflits sociaux dans l’investissement en faveur du développement intégré</w:t>
            </w:r>
            <w:r>
              <w:rPr>
                <w:color w:val="000000"/>
                <w:sz w:val="22"/>
                <w:szCs w:val="22"/>
                <w:lang w:val="fr-CA"/>
              </w:rPr>
              <w:t>.</w:t>
            </w:r>
          </w:p>
        </w:tc>
        <w:tc>
          <w:tcPr>
            <w:tcW w:w="5034" w:type="dxa"/>
            <w:tcBorders>
              <w:top w:val="single" w:sz="4" w:space="0" w:color="000000"/>
              <w:left w:val="single" w:sz="4" w:space="0" w:color="000000"/>
              <w:bottom w:val="single" w:sz="4" w:space="0" w:color="000000"/>
              <w:right w:val="single" w:sz="4" w:space="0" w:color="000000"/>
            </w:tcBorders>
            <w:hideMark/>
          </w:tcPr>
          <w:p w14:paraId="2DB010D5" w14:textId="77777777" w:rsidR="008D0A04" w:rsidRDefault="008D0A04">
            <w:pPr>
              <w:tabs>
                <w:tab w:val="left" w:pos="720"/>
                <w:tab w:val="left" w:pos="1440"/>
                <w:tab w:val="left" w:pos="2160"/>
                <w:tab w:val="left" w:pos="2880"/>
                <w:tab w:val="left" w:pos="3600"/>
              </w:tabs>
              <w:jc w:val="both"/>
              <w:rPr>
                <w:color w:val="000000"/>
                <w:sz w:val="22"/>
                <w:szCs w:val="22"/>
                <w:lang w:val="fr-CA"/>
              </w:rPr>
            </w:pPr>
            <w:r>
              <w:rPr>
                <w:b/>
                <w:color w:val="000000"/>
                <w:sz w:val="22"/>
                <w:szCs w:val="22"/>
                <w:u w:val="single"/>
                <w:lang w:val="fr-CA"/>
              </w:rPr>
              <w:t>Paragraphe 3 du dispositif :</w:t>
            </w:r>
            <w:r>
              <w:rPr>
                <w:b/>
                <w:color w:val="000000"/>
                <w:sz w:val="22"/>
                <w:szCs w:val="22"/>
                <w:lang w:val="fr-CA"/>
              </w:rPr>
              <w:t xml:space="preserve"> </w:t>
            </w:r>
            <w:r>
              <w:rPr>
                <w:color w:val="000000"/>
                <w:sz w:val="22"/>
                <w:szCs w:val="22"/>
                <w:lang w:val="fr-CA"/>
              </w:rPr>
              <w:t>« De demander au Conseil permanent de promouvoir, dans la limite des ressources disponibles, la tenue d’une réunion extraordinaire de la CAJP afin de tenir des échanges de données d’expériences et d’information en la matière. »</w:t>
            </w:r>
          </w:p>
        </w:tc>
      </w:tr>
      <w:tr w:rsidR="008D0A04" w:rsidRPr="00302458" w14:paraId="50601974" w14:textId="77777777" w:rsidTr="008D0A04">
        <w:trPr>
          <w:trHeight w:val="70"/>
          <w:jc w:val="center"/>
        </w:trPr>
        <w:tc>
          <w:tcPr>
            <w:tcW w:w="7401" w:type="dxa"/>
            <w:tcBorders>
              <w:top w:val="single" w:sz="4" w:space="0" w:color="000000"/>
              <w:left w:val="single" w:sz="4" w:space="0" w:color="000000"/>
              <w:bottom w:val="single" w:sz="4" w:space="0" w:color="000000"/>
              <w:right w:val="single" w:sz="4" w:space="0" w:color="000000"/>
            </w:tcBorders>
            <w:hideMark/>
          </w:tcPr>
          <w:p w14:paraId="666A87A4" w14:textId="77777777" w:rsidR="008D0A04" w:rsidRDefault="008D0A04" w:rsidP="008D0A04">
            <w:pPr>
              <w:widowControl w:val="0"/>
              <w:numPr>
                <w:ilvl w:val="0"/>
                <w:numId w:val="6"/>
              </w:numPr>
              <w:tabs>
                <w:tab w:val="left" w:pos="396"/>
              </w:tabs>
              <w:spacing w:after="40"/>
              <w:rPr>
                <w:color w:val="000000"/>
                <w:sz w:val="22"/>
                <w:szCs w:val="22"/>
                <w:lang w:val="fr-CA" w:eastAsia="es-ES"/>
              </w:rPr>
            </w:pPr>
            <w:r>
              <w:rPr>
                <w:color w:val="000000"/>
                <w:sz w:val="22"/>
                <w:szCs w:val="22"/>
                <w:lang w:val="fr-CA"/>
              </w:rPr>
              <w:t xml:space="preserve">Mission d'appui à la lutte contre la corruption et l'impunité au </w:t>
            </w:r>
            <w:r>
              <w:rPr>
                <w:color w:val="000000"/>
                <w:sz w:val="22"/>
                <w:szCs w:val="22"/>
                <w:lang w:val="fr-CA" w:eastAsia="es-ES"/>
              </w:rPr>
              <w:t>Honduras</w:t>
            </w:r>
            <w:r>
              <w:rPr>
                <w:color w:val="000000"/>
                <w:sz w:val="22"/>
                <w:szCs w:val="22"/>
                <w:lang w:val="fr-CA"/>
              </w:rPr>
              <w:t>.</w:t>
            </w:r>
          </w:p>
        </w:tc>
        <w:tc>
          <w:tcPr>
            <w:tcW w:w="5034" w:type="dxa"/>
            <w:tcBorders>
              <w:top w:val="single" w:sz="4" w:space="0" w:color="000000"/>
              <w:left w:val="single" w:sz="4" w:space="0" w:color="000000"/>
              <w:bottom w:val="single" w:sz="4" w:space="0" w:color="000000"/>
              <w:right w:val="single" w:sz="4" w:space="0" w:color="000000"/>
            </w:tcBorders>
          </w:tcPr>
          <w:p w14:paraId="1FE286F5" w14:textId="77777777" w:rsidR="008D0A04" w:rsidRDefault="008D0A04">
            <w:pPr>
              <w:tabs>
                <w:tab w:val="left" w:pos="720"/>
                <w:tab w:val="left" w:pos="1440"/>
                <w:tab w:val="left" w:pos="2160"/>
                <w:tab w:val="left" w:pos="2880"/>
                <w:tab w:val="left" w:pos="3600"/>
              </w:tabs>
              <w:spacing w:after="40"/>
              <w:jc w:val="both"/>
              <w:rPr>
                <w:bCs/>
                <w:color w:val="000000"/>
                <w:sz w:val="22"/>
                <w:szCs w:val="22"/>
                <w:lang w:val="fr-CA"/>
              </w:rPr>
            </w:pPr>
          </w:p>
        </w:tc>
      </w:tr>
      <w:tr w:rsidR="008D0A04" w:rsidRPr="00302458" w14:paraId="176EE0A4" w14:textId="77777777" w:rsidTr="008D0A04">
        <w:trPr>
          <w:trHeight w:val="70"/>
          <w:jc w:val="center"/>
        </w:trPr>
        <w:tc>
          <w:tcPr>
            <w:tcW w:w="7401" w:type="dxa"/>
            <w:tcBorders>
              <w:top w:val="single" w:sz="4" w:space="0" w:color="000000"/>
              <w:left w:val="single" w:sz="4" w:space="0" w:color="000000"/>
              <w:bottom w:val="single" w:sz="4" w:space="0" w:color="000000"/>
              <w:right w:val="single" w:sz="4" w:space="0" w:color="000000"/>
            </w:tcBorders>
            <w:hideMark/>
          </w:tcPr>
          <w:p w14:paraId="11BD56AD" w14:textId="77777777" w:rsidR="008D0A04" w:rsidRDefault="008D0A04" w:rsidP="008D0A04">
            <w:pPr>
              <w:widowControl w:val="0"/>
              <w:numPr>
                <w:ilvl w:val="0"/>
                <w:numId w:val="6"/>
              </w:numPr>
              <w:tabs>
                <w:tab w:val="left" w:pos="396"/>
              </w:tabs>
              <w:spacing w:after="40"/>
              <w:jc w:val="both"/>
              <w:rPr>
                <w:b/>
                <w:color w:val="000000"/>
                <w:sz w:val="22"/>
                <w:szCs w:val="22"/>
                <w:u w:val="single"/>
                <w:lang w:val="fr-CA" w:eastAsia="es-ES"/>
              </w:rPr>
            </w:pPr>
            <w:r>
              <w:rPr>
                <w:color w:val="000000"/>
                <w:sz w:val="22"/>
                <w:szCs w:val="22"/>
                <w:lang w:val="fr-CA"/>
              </w:rPr>
              <w:t>Gouvernement numérique, ouvert et transparent.</w:t>
            </w:r>
          </w:p>
        </w:tc>
        <w:tc>
          <w:tcPr>
            <w:tcW w:w="5034" w:type="dxa"/>
            <w:tcBorders>
              <w:top w:val="single" w:sz="4" w:space="0" w:color="000000"/>
              <w:left w:val="single" w:sz="4" w:space="0" w:color="000000"/>
              <w:bottom w:val="single" w:sz="4" w:space="0" w:color="000000"/>
              <w:right w:val="single" w:sz="4" w:space="0" w:color="000000"/>
            </w:tcBorders>
          </w:tcPr>
          <w:p w14:paraId="27B2F507" w14:textId="77777777" w:rsidR="008D0A04" w:rsidRDefault="008D0A04">
            <w:pPr>
              <w:widowControl w:val="0"/>
              <w:tabs>
                <w:tab w:val="left" w:pos="900"/>
              </w:tabs>
              <w:spacing w:after="40"/>
              <w:jc w:val="both"/>
              <w:rPr>
                <w:bCs/>
                <w:color w:val="000000"/>
                <w:sz w:val="22"/>
                <w:szCs w:val="22"/>
                <w:lang w:val="fr-CA"/>
              </w:rPr>
            </w:pPr>
          </w:p>
        </w:tc>
      </w:tr>
      <w:tr w:rsidR="008D0A04" w:rsidRPr="00302458" w14:paraId="150E1E45" w14:textId="77777777" w:rsidTr="008D0A04">
        <w:trPr>
          <w:trHeight w:val="70"/>
          <w:jc w:val="center"/>
        </w:trPr>
        <w:tc>
          <w:tcPr>
            <w:tcW w:w="7401" w:type="dxa"/>
            <w:tcBorders>
              <w:top w:val="single" w:sz="4" w:space="0" w:color="000000"/>
              <w:left w:val="single" w:sz="4" w:space="0" w:color="000000"/>
              <w:bottom w:val="single" w:sz="4" w:space="0" w:color="000000"/>
              <w:right w:val="single" w:sz="4" w:space="0" w:color="000000"/>
            </w:tcBorders>
            <w:hideMark/>
          </w:tcPr>
          <w:p w14:paraId="13ACB7EA" w14:textId="77777777" w:rsidR="008D0A04" w:rsidRDefault="008D0A04" w:rsidP="008D0A04">
            <w:pPr>
              <w:widowControl w:val="0"/>
              <w:numPr>
                <w:ilvl w:val="0"/>
                <w:numId w:val="6"/>
              </w:numPr>
              <w:tabs>
                <w:tab w:val="left" w:pos="396"/>
              </w:tabs>
              <w:spacing w:after="40"/>
              <w:rPr>
                <w:color w:val="000000"/>
                <w:sz w:val="22"/>
                <w:szCs w:val="22"/>
                <w:lang w:val="fr-CA" w:eastAsia="es-ES"/>
              </w:rPr>
            </w:pPr>
            <w:r>
              <w:rPr>
                <w:color w:val="000000"/>
                <w:sz w:val="22"/>
                <w:szCs w:val="22"/>
                <w:lang w:val="fr-CA"/>
              </w:rPr>
              <w:t>Renforcement des activités du Programme interaméricain des facilitateurs judiciaires.</w:t>
            </w:r>
          </w:p>
        </w:tc>
        <w:tc>
          <w:tcPr>
            <w:tcW w:w="5034" w:type="dxa"/>
            <w:tcBorders>
              <w:top w:val="single" w:sz="4" w:space="0" w:color="000000"/>
              <w:left w:val="single" w:sz="4" w:space="0" w:color="000000"/>
              <w:bottom w:val="single" w:sz="4" w:space="0" w:color="000000"/>
              <w:right w:val="single" w:sz="4" w:space="0" w:color="000000"/>
            </w:tcBorders>
          </w:tcPr>
          <w:p w14:paraId="641858A8" w14:textId="77777777" w:rsidR="008D0A04" w:rsidRDefault="008D0A04">
            <w:pPr>
              <w:widowControl w:val="0"/>
              <w:tabs>
                <w:tab w:val="left" w:pos="900"/>
              </w:tabs>
              <w:spacing w:after="40"/>
              <w:jc w:val="both"/>
              <w:rPr>
                <w:color w:val="000000"/>
                <w:sz w:val="22"/>
                <w:szCs w:val="22"/>
                <w:lang w:val="fr-CA" w:eastAsia="es-ES"/>
              </w:rPr>
            </w:pPr>
          </w:p>
        </w:tc>
      </w:tr>
      <w:tr w:rsidR="008D0A04" w:rsidRPr="00302458" w14:paraId="1A45B2EB" w14:textId="77777777" w:rsidTr="008D0A04">
        <w:trPr>
          <w:trHeight w:val="70"/>
          <w:jc w:val="center"/>
        </w:trPr>
        <w:tc>
          <w:tcPr>
            <w:tcW w:w="7401" w:type="dxa"/>
            <w:tcBorders>
              <w:top w:val="single" w:sz="4" w:space="0" w:color="000000"/>
              <w:left w:val="single" w:sz="4" w:space="0" w:color="000000"/>
              <w:bottom w:val="single" w:sz="4" w:space="0" w:color="000000"/>
              <w:right w:val="single" w:sz="4" w:space="0" w:color="000000"/>
            </w:tcBorders>
            <w:vAlign w:val="center"/>
            <w:hideMark/>
          </w:tcPr>
          <w:p w14:paraId="59ABEC7F" w14:textId="77777777" w:rsidR="008D0A04" w:rsidRDefault="008D0A04" w:rsidP="008D0A04">
            <w:pPr>
              <w:widowControl w:val="0"/>
              <w:numPr>
                <w:ilvl w:val="0"/>
                <w:numId w:val="6"/>
              </w:numPr>
              <w:tabs>
                <w:tab w:val="left" w:pos="396"/>
              </w:tabs>
              <w:spacing w:after="40"/>
              <w:rPr>
                <w:b/>
                <w:color w:val="000000"/>
                <w:sz w:val="22"/>
                <w:szCs w:val="22"/>
                <w:u w:val="single"/>
                <w:lang w:val="fr-CA" w:eastAsia="es-ES"/>
              </w:rPr>
            </w:pPr>
            <w:r>
              <w:rPr>
                <w:color w:val="000000"/>
                <w:sz w:val="22"/>
                <w:szCs w:val="22"/>
                <w:lang w:val="fr-CA"/>
              </w:rPr>
              <w:t>Réunion des ministres de la justice des Amériques.</w:t>
            </w:r>
          </w:p>
        </w:tc>
        <w:tc>
          <w:tcPr>
            <w:tcW w:w="5034" w:type="dxa"/>
            <w:tcBorders>
              <w:top w:val="single" w:sz="4" w:space="0" w:color="000000"/>
              <w:left w:val="single" w:sz="4" w:space="0" w:color="000000"/>
              <w:bottom w:val="single" w:sz="4" w:space="0" w:color="000000"/>
              <w:right w:val="single" w:sz="4" w:space="0" w:color="000000"/>
            </w:tcBorders>
            <w:vAlign w:val="center"/>
          </w:tcPr>
          <w:p w14:paraId="339C9D27" w14:textId="77777777" w:rsidR="008D0A04" w:rsidRDefault="008D0A04">
            <w:pPr>
              <w:tabs>
                <w:tab w:val="left" w:pos="720"/>
                <w:tab w:val="left" w:pos="1440"/>
                <w:tab w:val="left" w:pos="2160"/>
                <w:tab w:val="left" w:pos="2880"/>
                <w:tab w:val="left" w:pos="3600"/>
              </w:tabs>
              <w:spacing w:after="40"/>
              <w:jc w:val="center"/>
              <w:rPr>
                <w:b/>
                <w:color w:val="000000"/>
                <w:sz w:val="22"/>
                <w:szCs w:val="22"/>
                <w:lang w:val="fr-CA"/>
              </w:rPr>
            </w:pPr>
          </w:p>
        </w:tc>
      </w:tr>
      <w:tr w:rsidR="008D0A04" w:rsidRPr="00302458" w14:paraId="2A179CD1" w14:textId="77777777" w:rsidTr="008D0A04">
        <w:trPr>
          <w:trHeight w:val="70"/>
          <w:jc w:val="center"/>
        </w:trPr>
        <w:tc>
          <w:tcPr>
            <w:tcW w:w="7401" w:type="dxa"/>
            <w:tcBorders>
              <w:top w:val="single" w:sz="4" w:space="0" w:color="000000"/>
              <w:left w:val="single" w:sz="4" w:space="0" w:color="000000"/>
              <w:bottom w:val="single" w:sz="4" w:space="0" w:color="000000"/>
              <w:right w:val="single" w:sz="4" w:space="0" w:color="000000"/>
            </w:tcBorders>
            <w:hideMark/>
          </w:tcPr>
          <w:p w14:paraId="7EED9B5D" w14:textId="77777777" w:rsidR="008D0A04" w:rsidRDefault="008D0A04" w:rsidP="008D0A04">
            <w:pPr>
              <w:widowControl w:val="0"/>
              <w:numPr>
                <w:ilvl w:val="0"/>
                <w:numId w:val="6"/>
              </w:numPr>
              <w:tabs>
                <w:tab w:val="left" w:pos="371"/>
              </w:tabs>
              <w:spacing w:after="40"/>
              <w:rPr>
                <w:color w:val="000000"/>
                <w:sz w:val="22"/>
                <w:szCs w:val="22"/>
                <w:lang w:val="fr-CA" w:eastAsia="es-ES"/>
              </w:rPr>
            </w:pPr>
            <w:r>
              <w:rPr>
                <w:color w:val="000000"/>
                <w:sz w:val="22"/>
                <w:szCs w:val="22"/>
                <w:lang w:val="fr-CA"/>
              </w:rPr>
              <w:t>Renforcement et innovation de la gestion publique dans les Amériques.</w:t>
            </w:r>
          </w:p>
        </w:tc>
        <w:tc>
          <w:tcPr>
            <w:tcW w:w="5034" w:type="dxa"/>
            <w:tcBorders>
              <w:top w:val="single" w:sz="4" w:space="0" w:color="000000"/>
              <w:left w:val="single" w:sz="4" w:space="0" w:color="000000"/>
              <w:bottom w:val="single" w:sz="4" w:space="0" w:color="000000"/>
              <w:right w:val="single" w:sz="4" w:space="0" w:color="000000"/>
            </w:tcBorders>
            <w:hideMark/>
          </w:tcPr>
          <w:p w14:paraId="7C6E2F40" w14:textId="77777777" w:rsidR="008D0A04" w:rsidRDefault="008D0A04">
            <w:pPr>
              <w:tabs>
                <w:tab w:val="left" w:pos="720"/>
                <w:tab w:val="left" w:pos="1440"/>
                <w:tab w:val="left" w:pos="2160"/>
                <w:tab w:val="left" w:pos="2880"/>
                <w:tab w:val="left" w:pos="3600"/>
              </w:tabs>
              <w:jc w:val="both"/>
              <w:rPr>
                <w:color w:val="000000"/>
                <w:sz w:val="22"/>
                <w:szCs w:val="22"/>
                <w:lang w:val="fr-CA"/>
              </w:rPr>
            </w:pPr>
            <w:r>
              <w:rPr>
                <w:b/>
                <w:color w:val="000000"/>
                <w:sz w:val="22"/>
                <w:szCs w:val="22"/>
                <w:u w:val="single"/>
                <w:lang w:val="fr-CA"/>
              </w:rPr>
              <w:t>Paragraphe 5 du dispositif :</w:t>
            </w:r>
            <w:r>
              <w:rPr>
                <w:b/>
                <w:color w:val="000000"/>
                <w:sz w:val="22"/>
                <w:szCs w:val="22"/>
                <w:lang w:val="fr-CA"/>
              </w:rPr>
              <w:t xml:space="preserve"> </w:t>
            </w:r>
            <w:r>
              <w:rPr>
                <w:color w:val="000000"/>
                <w:sz w:val="22"/>
                <w:szCs w:val="22"/>
                <w:lang w:val="fr-CA"/>
              </w:rPr>
              <w:t>« </w:t>
            </w:r>
            <w:r>
              <w:rPr>
                <w:sz w:val="22"/>
                <w:szCs w:val="22"/>
                <w:lang w:val="fr-CA"/>
              </w:rPr>
              <w:t>De reconnaître les progrès accomplis par le Réseau interaméricain des marchés publics (RICG) dans l’élaboration d’une proposition d’initiative continentale sur les marchés publics ouverts en coordination avec les autorités nationales compétentes et la société civile et d’inviter le RICG à présenter les résultats obtenus à la CAJP</w:t>
            </w:r>
            <w:r>
              <w:rPr>
                <w:color w:val="000000"/>
                <w:sz w:val="22"/>
                <w:szCs w:val="22"/>
                <w:lang w:val="fr-CA"/>
              </w:rPr>
              <w:t>. »</w:t>
            </w:r>
          </w:p>
        </w:tc>
      </w:tr>
      <w:tr w:rsidR="008D0A04" w:rsidRPr="00302458" w14:paraId="296F94DB" w14:textId="77777777" w:rsidTr="008D0A04">
        <w:trPr>
          <w:trHeight w:val="70"/>
          <w:jc w:val="center"/>
        </w:trPr>
        <w:tc>
          <w:tcPr>
            <w:tcW w:w="7401" w:type="dxa"/>
            <w:tcBorders>
              <w:top w:val="single" w:sz="4" w:space="0" w:color="000000"/>
              <w:left w:val="single" w:sz="4" w:space="0" w:color="000000"/>
              <w:bottom w:val="single" w:sz="4" w:space="0" w:color="000000"/>
              <w:right w:val="single" w:sz="4" w:space="0" w:color="000000"/>
            </w:tcBorders>
            <w:hideMark/>
          </w:tcPr>
          <w:p w14:paraId="66E7CD6C" w14:textId="77777777" w:rsidR="008D0A04" w:rsidRDefault="008D0A04" w:rsidP="008D0A04">
            <w:pPr>
              <w:widowControl w:val="0"/>
              <w:numPr>
                <w:ilvl w:val="0"/>
                <w:numId w:val="6"/>
              </w:numPr>
              <w:tabs>
                <w:tab w:val="left" w:pos="396"/>
              </w:tabs>
              <w:spacing w:after="40"/>
              <w:rPr>
                <w:color w:val="000000"/>
                <w:sz w:val="22"/>
                <w:szCs w:val="22"/>
                <w:u w:val="single"/>
                <w:lang w:val="fr-CA" w:eastAsia="es-ES"/>
              </w:rPr>
            </w:pPr>
            <w:r>
              <w:rPr>
                <w:color w:val="000000"/>
                <w:sz w:val="22"/>
                <w:szCs w:val="22"/>
                <w:lang w:val="fr-CA"/>
              </w:rPr>
              <w:t>Coopération technique et missions d’observation des élections.</w:t>
            </w:r>
          </w:p>
        </w:tc>
        <w:tc>
          <w:tcPr>
            <w:tcW w:w="5034" w:type="dxa"/>
            <w:tcBorders>
              <w:top w:val="single" w:sz="4" w:space="0" w:color="000000"/>
              <w:left w:val="single" w:sz="4" w:space="0" w:color="000000"/>
              <w:bottom w:val="single" w:sz="4" w:space="0" w:color="000000"/>
              <w:right w:val="single" w:sz="4" w:space="0" w:color="000000"/>
            </w:tcBorders>
          </w:tcPr>
          <w:p w14:paraId="65C09DB8" w14:textId="77777777" w:rsidR="008D0A04" w:rsidRDefault="008D0A04">
            <w:pPr>
              <w:widowControl w:val="0"/>
              <w:tabs>
                <w:tab w:val="left" w:pos="900"/>
              </w:tabs>
              <w:spacing w:after="40"/>
              <w:jc w:val="both"/>
              <w:rPr>
                <w:color w:val="000000"/>
                <w:sz w:val="22"/>
                <w:szCs w:val="22"/>
                <w:lang w:val="fr-CA"/>
              </w:rPr>
            </w:pPr>
          </w:p>
        </w:tc>
      </w:tr>
      <w:tr w:rsidR="008D0A04" w:rsidRPr="00302458" w14:paraId="26172519" w14:textId="77777777" w:rsidTr="008D0A04">
        <w:trPr>
          <w:trHeight w:val="70"/>
          <w:jc w:val="center"/>
        </w:trPr>
        <w:tc>
          <w:tcPr>
            <w:tcW w:w="7401" w:type="dxa"/>
            <w:tcBorders>
              <w:top w:val="single" w:sz="4" w:space="0" w:color="000000"/>
              <w:left w:val="single" w:sz="4" w:space="0" w:color="000000"/>
              <w:bottom w:val="single" w:sz="4" w:space="0" w:color="000000"/>
              <w:right w:val="single" w:sz="4" w:space="0" w:color="000000"/>
            </w:tcBorders>
            <w:hideMark/>
          </w:tcPr>
          <w:p w14:paraId="38AE5673" w14:textId="77777777" w:rsidR="008D0A04" w:rsidRDefault="008D0A04" w:rsidP="008D0A04">
            <w:pPr>
              <w:widowControl w:val="0"/>
              <w:numPr>
                <w:ilvl w:val="0"/>
                <w:numId w:val="6"/>
              </w:numPr>
              <w:tabs>
                <w:tab w:val="left" w:pos="396"/>
              </w:tabs>
              <w:spacing w:after="40"/>
              <w:rPr>
                <w:color w:val="000000"/>
                <w:sz w:val="22"/>
                <w:szCs w:val="22"/>
                <w:u w:val="single"/>
                <w:lang w:val="fr-CA" w:eastAsia="es-ES"/>
              </w:rPr>
            </w:pPr>
            <w:r>
              <w:rPr>
                <w:color w:val="000000"/>
                <w:sz w:val="22"/>
                <w:szCs w:val="22"/>
                <w:lang w:val="fr-CA"/>
              </w:rPr>
              <w:t>Accès à l’information et protection des données personnelles.</w:t>
            </w:r>
          </w:p>
        </w:tc>
        <w:tc>
          <w:tcPr>
            <w:tcW w:w="5034" w:type="dxa"/>
            <w:tcBorders>
              <w:top w:val="single" w:sz="4" w:space="0" w:color="000000"/>
              <w:left w:val="single" w:sz="4" w:space="0" w:color="000000"/>
              <w:bottom w:val="single" w:sz="4" w:space="0" w:color="000000"/>
              <w:right w:val="single" w:sz="4" w:space="0" w:color="000000"/>
            </w:tcBorders>
          </w:tcPr>
          <w:p w14:paraId="133738CC" w14:textId="77777777" w:rsidR="008D0A04" w:rsidRDefault="008D0A04">
            <w:pPr>
              <w:tabs>
                <w:tab w:val="left" w:pos="720"/>
                <w:tab w:val="left" w:pos="1440"/>
                <w:tab w:val="left" w:pos="2160"/>
                <w:tab w:val="left" w:pos="2880"/>
                <w:tab w:val="left" w:pos="3600"/>
              </w:tabs>
              <w:jc w:val="both"/>
              <w:rPr>
                <w:color w:val="000000"/>
                <w:sz w:val="22"/>
                <w:szCs w:val="22"/>
                <w:lang w:val="fr-CA"/>
              </w:rPr>
            </w:pPr>
            <w:r>
              <w:rPr>
                <w:b/>
                <w:color w:val="000000"/>
                <w:sz w:val="22"/>
                <w:szCs w:val="22"/>
                <w:u w:val="single"/>
                <w:lang w:val="fr-CA"/>
              </w:rPr>
              <w:t>Paragraphe 2 du dispositif :</w:t>
            </w:r>
            <w:r>
              <w:rPr>
                <w:b/>
                <w:color w:val="000000"/>
                <w:sz w:val="22"/>
                <w:szCs w:val="22"/>
                <w:lang w:val="fr-CA"/>
              </w:rPr>
              <w:t xml:space="preserve"> </w:t>
            </w:r>
            <w:r>
              <w:rPr>
                <w:color w:val="000000"/>
                <w:sz w:val="22"/>
                <w:szCs w:val="22"/>
                <w:lang w:val="fr-CA"/>
              </w:rPr>
              <w:t xml:space="preserve">« De demander aux États membres de présenter volontairement chaque </w:t>
            </w:r>
            <w:r>
              <w:rPr>
                <w:color w:val="000000"/>
                <w:sz w:val="22"/>
                <w:szCs w:val="22"/>
                <w:lang w:val="fr-CA"/>
              </w:rPr>
              <w:lastRenderedPageBreak/>
              <w:t>année, au sein de la CAJP, leurs réalisations en la matière et d’échanger de bonnes pratiques dans la mise en œuvre du Programme interaméricain sur l’accès à l’information; de demander à la CAJP d’envisager la possibilité que ces rapports soient présentés progressivement par services spécifiques contenus dans ce Programme. »</w:t>
            </w:r>
          </w:p>
          <w:p w14:paraId="488A945E" w14:textId="77777777" w:rsidR="008D0A04" w:rsidRDefault="008D0A04">
            <w:pPr>
              <w:tabs>
                <w:tab w:val="left" w:pos="720"/>
                <w:tab w:val="left" w:pos="1440"/>
                <w:tab w:val="left" w:pos="2160"/>
                <w:tab w:val="left" w:pos="2880"/>
                <w:tab w:val="left" w:pos="3600"/>
              </w:tabs>
              <w:spacing w:after="40"/>
              <w:rPr>
                <w:color w:val="000000"/>
                <w:sz w:val="22"/>
                <w:szCs w:val="22"/>
                <w:lang w:val="fr-CA"/>
              </w:rPr>
            </w:pPr>
          </w:p>
          <w:p w14:paraId="076AC513" w14:textId="77777777" w:rsidR="008D0A04" w:rsidRDefault="008D0A04">
            <w:pPr>
              <w:widowControl w:val="0"/>
              <w:tabs>
                <w:tab w:val="left" w:pos="900"/>
              </w:tabs>
              <w:spacing w:after="40"/>
              <w:jc w:val="both"/>
              <w:rPr>
                <w:color w:val="000000"/>
                <w:sz w:val="22"/>
                <w:szCs w:val="22"/>
                <w:lang w:val="fr-CA"/>
              </w:rPr>
            </w:pPr>
            <w:r>
              <w:rPr>
                <w:b/>
                <w:color w:val="000000"/>
                <w:sz w:val="22"/>
                <w:szCs w:val="22"/>
                <w:u w:val="single"/>
                <w:lang w:val="fr-CA"/>
              </w:rPr>
              <w:t>Paragraphe 3 du dispositif :</w:t>
            </w:r>
            <w:r>
              <w:rPr>
                <w:b/>
                <w:color w:val="000000"/>
                <w:sz w:val="22"/>
                <w:szCs w:val="22"/>
                <w:lang w:val="fr-CA"/>
              </w:rPr>
              <w:t xml:space="preserve"> </w:t>
            </w:r>
            <w:r>
              <w:rPr>
                <w:color w:val="000000"/>
                <w:sz w:val="22"/>
                <w:szCs w:val="22"/>
                <w:lang w:val="fr-CA"/>
              </w:rPr>
              <w:t>« De demander au Département du droit international de présenter à la CAJP une proposition assortie d’indicateurs de progrès pour faciliter la rédaction des rapports et d’organiser parallèlement, en tirant parti de la présence des points focaux à la réunion de la CAJP portant sur le traitement de cette question, une réunion de travail avec eux afin de progresser collectivement dans la mise en œuvre du Programme et d’explorer des occasions de coopération réciproque. »</w:t>
            </w:r>
          </w:p>
        </w:tc>
      </w:tr>
      <w:tr w:rsidR="008D0A04" w:rsidRPr="00302458" w14:paraId="3A3BDB61" w14:textId="77777777" w:rsidTr="008D0A04">
        <w:trPr>
          <w:trHeight w:val="70"/>
          <w:jc w:val="center"/>
        </w:trPr>
        <w:tc>
          <w:tcPr>
            <w:tcW w:w="7401" w:type="dxa"/>
            <w:tcBorders>
              <w:top w:val="single" w:sz="4" w:space="0" w:color="000000"/>
              <w:left w:val="single" w:sz="4" w:space="0" w:color="000000"/>
              <w:bottom w:val="single" w:sz="4" w:space="0" w:color="000000"/>
              <w:right w:val="single" w:sz="4" w:space="0" w:color="000000"/>
            </w:tcBorders>
            <w:vAlign w:val="center"/>
            <w:hideMark/>
          </w:tcPr>
          <w:p w14:paraId="60F6F696" w14:textId="77777777" w:rsidR="008D0A04" w:rsidRDefault="008D0A04" w:rsidP="008D0A04">
            <w:pPr>
              <w:numPr>
                <w:ilvl w:val="0"/>
                <w:numId w:val="6"/>
              </w:numPr>
              <w:spacing w:after="40"/>
              <w:jc w:val="both"/>
              <w:rPr>
                <w:color w:val="000000"/>
                <w:sz w:val="22"/>
                <w:szCs w:val="22"/>
                <w:lang w:val="fr-CA"/>
              </w:rPr>
            </w:pPr>
            <w:r>
              <w:rPr>
                <w:color w:val="000000"/>
                <w:sz w:val="22"/>
                <w:szCs w:val="22"/>
                <w:lang w:val="fr-CA"/>
              </w:rPr>
              <w:lastRenderedPageBreak/>
              <w:t>Contribution de la région au processus préparatoire de la Session extraordinaire de l’Assemblée générale des Nations contre la corruption (UNGASS 2021)</w:t>
            </w:r>
          </w:p>
        </w:tc>
        <w:tc>
          <w:tcPr>
            <w:tcW w:w="5034" w:type="dxa"/>
            <w:tcBorders>
              <w:top w:val="single" w:sz="4" w:space="0" w:color="000000"/>
              <w:left w:val="single" w:sz="4" w:space="0" w:color="000000"/>
              <w:bottom w:val="single" w:sz="4" w:space="0" w:color="000000"/>
              <w:right w:val="single" w:sz="4" w:space="0" w:color="000000"/>
            </w:tcBorders>
            <w:vAlign w:val="center"/>
          </w:tcPr>
          <w:p w14:paraId="7D5ED5C5" w14:textId="77777777" w:rsidR="008D0A04" w:rsidRDefault="008D0A04">
            <w:pPr>
              <w:tabs>
                <w:tab w:val="left" w:pos="720"/>
                <w:tab w:val="left" w:pos="1440"/>
                <w:tab w:val="left" w:pos="2160"/>
                <w:tab w:val="left" w:pos="2880"/>
                <w:tab w:val="left" w:pos="3600"/>
              </w:tabs>
              <w:spacing w:after="40"/>
              <w:rPr>
                <w:color w:val="000000"/>
                <w:sz w:val="22"/>
                <w:szCs w:val="22"/>
                <w:lang w:val="fr-CA"/>
              </w:rPr>
            </w:pPr>
          </w:p>
        </w:tc>
      </w:tr>
    </w:tbl>
    <w:p w14:paraId="255BF8F9" w14:textId="77777777" w:rsidR="008D0A04" w:rsidRDefault="008D0A04" w:rsidP="008D0A04">
      <w:pPr>
        <w:rPr>
          <w:sz w:val="22"/>
          <w:szCs w:val="22"/>
          <w:lang w:val="fr-CA"/>
        </w:rPr>
      </w:pPr>
      <w:r>
        <w:rPr>
          <w:sz w:val="22"/>
          <w:szCs w:val="22"/>
          <w:lang w:val="fr-CA"/>
        </w:rPr>
        <w:br w:type="page"/>
      </w:r>
    </w:p>
    <w:tbl>
      <w:tblPr>
        <w:tblW w:w="12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01"/>
        <w:gridCol w:w="5034"/>
      </w:tblGrid>
      <w:tr w:rsidR="008D0A04" w14:paraId="0C0168A6" w14:textId="77777777" w:rsidTr="008D0A04">
        <w:trPr>
          <w:trHeight w:val="70"/>
          <w:jc w:val="center"/>
        </w:trPr>
        <w:tc>
          <w:tcPr>
            <w:tcW w:w="740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46B2F0A" w14:textId="77777777" w:rsidR="008D0A04" w:rsidRDefault="008D0A04">
            <w:pPr>
              <w:spacing w:after="40"/>
              <w:jc w:val="center"/>
              <w:rPr>
                <w:b/>
                <w:color w:val="000000"/>
                <w:sz w:val="22"/>
                <w:szCs w:val="22"/>
                <w:lang w:val="fr-CA"/>
              </w:rPr>
            </w:pPr>
            <w:r>
              <w:rPr>
                <w:b/>
                <w:color w:val="000000"/>
                <w:sz w:val="22"/>
                <w:szCs w:val="22"/>
                <w:lang w:val="fr-CA"/>
              </w:rPr>
              <w:lastRenderedPageBreak/>
              <w:t>Chapitre II</w:t>
            </w:r>
          </w:p>
        </w:tc>
        <w:tc>
          <w:tcPr>
            <w:tcW w:w="503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EF87085" w14:textId="77777777" w:rsidR="008D0A04" w:rsidRDefault="008D0A04">
            <w:pPr>
              <w:tabs>
                <w:tab w:val="left" w:pos="720"/>
                <w:tab w:val="left" w:pos="1440"/>
                <w:tab w:val="left" w:pos="2160"/>
                <w:tab w:val="left" w:pos="2880"/>
                <w:tab w:val="left" w:pos="3600"/>
              </w:tabs>
              <w:spacing w:after="40"/>
              <w:jc w:val="center"/>
              <w:rPr>
                <w:b/>
                <w:color w:val="000000"/>
                <w:sz w:val="22"/>
                <w:szCs w:val="22"/>
                <w:lang w:val="fr-CA"/>
              </w:rPr>
            </w:pPr>
            <w:r>
              <w:rPr>
                <w:b/>
                <w:color w:val="000000"/>
                <w:sz w:val="22"/>
                <w:szCs w:val="22"/>
                <w:lang w:val="fr-CA"/>
              </w:rPr>
              <w:t>Mandats</w:t>
            </w:r>
          </w:p>
        </w:tc>
      </w:tr>
      <w:tr w:rsidR="008D0A04" w14:paraId="7656FA68" w14:textId="77777777" w:rsidTr="008D0A04">
        <w:trPr>
          <w:trHeight w:val="70"/>
          <w:jc w:val="center"/>
        </w:trPr>
        <w:tc>
          <w:tcPr>
            <w:tcW w:w="7405" w:type="dxa"/>
            <w:tcBorders>
              <w:top w:val="single" w:sz="4" w:space="0" w:color="000000"/>
              <w:left w:val="single" w:sz="4" w:space="0" w:color="000000"/>
              <w:bottom w:val="single" w:sz="4" w:space="0" w:color="000000"/>
              <w:right w:val="single" w:sz="4" w:space="0" w:color="000000"/>
            </w:tcBorders>
          </w:tcPr>
          <w:p w14:paraId="2D1862FA" w14:textId="77777777" w:rsidR="008D0A04" w:rsidRDefault="008D0A04">
            <w:pPr>
              <w:widowControl w:val="0"/>
              <w:spacing w:after="40"/>
              <w:rPr>
                <w:color w:val="000000"/>
                <w:sz w:val="22"/>
                <w:szCs w:val="22"/>
                <w:lang w:val="fr-CA" w:eastAsia="es-ES"/>
              </w:rPr>
            </w:pPr>
          </w:p>
        </w:tc>
        <w:tc>
          <w:tcPr>
            <w:tcW w:w="5036" w:type="dxa"/>
            <w:tcBorders>
              <w:top w:val="single" w:sz="4" w:space="0" w:color="000000"/>
              <w:left w:val="single" w:sz="4" w:space="0" w:color="000000"/>
              <w:bottom w:val="single" w:sz="4" w:space="0" w:color="000000"/>
              <w:right w:val="single" w:sz="4" w:space="0" w:color="000000"/>
            </w:tcBorders>
          </w:tcPr>
          <w:p w14:paraId="1B99CCEA" w14:textId="77777777" w:rsidR="008D0A04" w:rsidRDefault="008D0A04">
            <w:pPr>
              <w:tabs>
                <w:tab w:val="left" w:pos="720"/>
                <w:tab w:val="left" w:pos="1440"/>
                <w:tab w:val="left" w:pos="2160"/>
                <w:tab w:val="left" w:pos="2880"/>
                <w:tab w:val="left" w:pos="3600"/>
              </w:tabs>
              <w:spacing w:after="40"/>
              <w:jc w:val="both"/>
              <w:rPr>
                <w:b/>
                <w:color w:val="000000"/>
                <w:sz w:val="22"/>
                <w:szCs w:val="22"/>
                <w:u w:val="single"/>
                <w:lang w:val="fr-CA"/>
              </w:rPr>
            </w:pPr>
          </w:p>
        </w:tc>
      </w:tr>
      <w:tr w:rsidR="008D0A04" w:rsidRPr="00302458" w14:paraId="2695BDBB" w14:textId="77777777" w:rsidTr="008D0A04">
        <w:trPr>
          <w:trHeight w:val="70"/>
          <w:jc w:val="center"/>
        </w:trPr>
        <w:tc>
          <w:tcPr>
            <w:tcW w:w="7405" w:type="dxa"/>
            <w:tcBorders>
              <w:top w:val="single" w:sz="4" w:space="0" w:color="000000"/>
              <w:left w:val="single" w:sz="4" w:space="0" w:color="000000"/>
              <w:bottom w:val="single" w:sz="4" w:space="0" w:color="000000"/>
              <w:right w:val="single" w:sz="4" w:space="0" w:color="000000"/>
            </w:tcBorders>
            <w:hideMark/>
          </w:tcPr>
          <w:p w14:paraId="01D159FA" w14:textId="77777777" w:rsidR="008D0A04" w:rsidRDefault="008D0A04">
            <w:pPr>
              <w:widowControl w:val="0"/>
              <w:tabs>
                <w:tab w:val="left" w:pos="396"/>
              </w:tabs>
              <w:spacing w:after="40"/>
              <w:rPr>
                <w:color w:val="000000"/>
                <w:sz w:val="22"/>
                <w:szCs w:val="22"/>
                <w:u w:val="single"/>
                <w:lang w:val="fr-CA" w:eastAsia="es-ES"/>
              </w:rPr>
            </w:pPr>
            <w:r>
              <w:rPr>
                <w:color w:val="000000"/>
                <w:sz w:val="22"/>
                <w:szCs w:val="22"/>
                <w:lang w:val="fr-CA"/>
              </w:rPr>
              <w:t>Suivi et rapports</w:t>
            </w:r>
          </w:p>
        </w:tc>
        <w:tc>
          <w:tcPr>
            <w:tcW w:w="5036" w:type="dxa"/>
            <w:tcBorders>
              <w:top w:val="single" w:sz="4" w:space="0" w:color="000000"/>
              <w:left w:val="single" w:sz="4" w:space="0" w:color="000000"/>
              <w:bottom w:val="single" w:sz="4" w:space="0" w:color="000000"/>
              <w:right w:val="single" w:sz="4" w:space="0" w:color="000000"/>
            </w:tcBorders>
          </w:tcPr>
          <w:p w14:paraId="57757867" w14:textId="77777777" w:rsidR="008D0A04" w:rsidRDefault="008D0A04">
            <w:pPr>
              <w:tabs>
                <w:tab w:val="left" w:pos="720"/>
                <w:tab w:val="left" w:pos="1440"/>
                <w:tab w:val="left" w:pos="2160"/>
                <w:tab w:val="left" w:pos="2880"/>
                <w:tab w:val="left" w:pos="3600"/>
              </w:tabs>
              <w:jc w:val="both"/>
              <w:rPr>
                <w:color w:val="000000"/>
                <w:sz w:val="22"/>
                <w:szCs w:val="22"/>
                <w:lang w:val="fr-CA"/>
              </w:rPr>
            </w:pPr>
            <w:r>
              <w:rPr>
                <w:b/>
                <w:color w:val="000000"/>
                <w:sz w:val="22"/>
                <w:szCs w:val="22"/>
                <w:u w:val="single"/>
                <w:lang w:val="fr-CA"/>
              </w:rPr>
              <w:t>Paragraphe 1 du dispositif :</w:t>
            </w:r>
            <w:r>
              <w:rPr>
                <w:b/>
                <w:color w:val="000000"/>
                <w:sz w:val="22"/>
                <w:szCs w:val="22"/>
                <w:lang w:val="fr-CA"/>
              </w:rPr>
              <w:t xml:space="preserve"> </w:t>
            </w:r>
            <w:r>
              <w:rPr>
                <w:color w:val="000000"/>
                <w:sz w:val="22"/>
                <w:szCs w:val="22"/>
                <w:lang w:val="fr-CA"/>
              </w:rPr>
              <w:t>« De charger le Conseil permanent d’assurer le suivi des thèmes faisant l’objet de la présente résolution en les inscrivant à l’ordre du jour des travaux de la CAJP, et le Secrétariat général de faire rapport à l’Assemblée générale lors de sa cinquantième session ordinaire. »</w:t>
            </w:r>
          </w:p>
          <w:p w14:paraId="5098E42E" w14:textId="77777777" w:rsidR="008D0A04" w:rsidRDefault="008D0A04">
            <w:pPr>
              <w:tabs>
                <w:tab w:val="left" w:pos="720"/>
                <w:tab w:val="left" w:pos="1440"/>
                <w:tab w:val="left" w:pos="2160"/>
                <w:tab w:val="left" w:pos="2880"/>
                <w:tab w:val="left" w:pos="3600"/>
              </w:tabs>
              <w:spacing w:after="40"/>
              <w:rPr>
                <w:color w:val="000000"/>
                <w:sz w:val="22"/>
                <w:szCs w:val="22"/>
                <w:lang w:val="fr-CA"/>
              </w:rPr>
            </w:pPr>
          </w:p>
          <w:p w14:paraId="1476A49C" w14:textId="77777777" w:rsidR="008D0A04" w:rsidRDefault="008D0A04">
            <w:pPr>
              <w:widowControl w:val="0"/>
              <w:tabs>
                <w:tab w:val="left" w:pos="900"/>
              </w:tabs>
              <w:spacing w:after="40"/>
              <w:jc w:val="both"/>
              <w:rPr>
                <w:color w:val="000000"/>
                <w:sz w:val="22"/>
                <w:szCs w:val="22"/>
                <w:lang w:val="fr-CA"/>
              </w:rPr>
            </w:pPr>
            <w:r>
              <w:rPr>
                <w:b/>
                <w:color w:val="000000"/>
                <w:sz w:val="22"/>
                <w:szCs w:val="22"/>
                <w:u w:val="single"/>
                <w:lang w:val="fr-CA"/>
              </w:rPr>
              <w:t>Paragraphe 3 du dispositif :</w:t>
            </w:r>
            <w:r>
              <w:rPr>
                <w:b/>
                <w:color w:val="000000"/>
                <w:sz w:val="22"/>
                <w:szCs w:val="22"/>
                <w:lang w:val="fr-CA"/>
              </w:rPr>
              <w:t xml:space="preserve"> </w:t>
            </w:r>
            <w:r>
              <w:rPr>
                <w:color w:val="000000"/>
                <w:sz w:val="22"/>
                <w:szCs w:val="22"/>
                <w:lang w:val="fr-CA"/>
              </w:rPr>
              <w:t>« De demander au Conseil permanent de soumettre un rapport à l’Assemblée générale, lors de sa cinquantième session ordinaire, sur les suites données à la présente résolution, et d’établir que la mise en œuvre des activités prévues dans la présente résolution dépendra de la disponibilité des ressources financières inscrites à ce titre dans le programme-budget de l’Organisation, ainsi que d’autres ressources. »</w:t>
            </w:r>
          </w:p>
        </w:tc>
      </w:tr>
    </w:tbl>
    <w:p w14:paraId="599C663B" w14:textId="77777777" w:rsidR="008D0A04" w:rsidRDefault="008D0A04" w:rsidP="008D0A04">
      <w:pPr>
        <w:rPr>
          <w:sz w:val="22"/>
          <w:szCs w:val="22"/>
          <w:lang w:val="fr-CA"/>
        </w:rPr>
      </w:pPr>
    </w:p>
    <w:tbl>
      <w:tblPr>
        <w:tblW w:w="12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3"/>
        <w:gridCol w:w="5062"/>
      </w:tblGrid>
      <w:tr w:rsidR="008D0A04" w:rsidRPr="00302458" w14:paraId="17A36EBE" w14:textId="77777777" w:rsidTr="008D0A04">
        <w:trPr>
          <w:trHeight w:val="70"/>
          <w:jc w:val="center"/>
        </w:trPr>
        <w:tc>
          <w:tcPr>
            <w:tcW w:w="12495" w:type="dxa"/>
            <w:gridSpan w:val="2"/>
            <w:tcBorders>
              <w:top w:val="nil"/>
              <w:left w:val="nil"/>
              <w:bottom w:val="single" w:sz="4" w:space="0" w:color="000000"/>
              <w:right w:val="nil"/>
            </w:tcBorders>
            <w:shd w:val="clear" w:color="auto" w:fill="FFFFFF"/>
            <w:vAlign w:val="center"/>
            <w:hideMark/>
          </w:tcPr>
          <w:p w14:paraId="600AC138" w14:textId="77777777" w:rsidR="008D0A04" w:rsidRDefault="008D0A04">
            <w:pPr>
              <w:spacing w:after="40"/>
              <w:rPr>
                <w:color w:val="000000"/>
                <w:sz w:val="22"/>
                <w:szCs w:val="22"/>
                <w:lang w:val="fr-CA"/>
              </w:rPr>
            </w:pPr>
            <w:r>
              <w:rPr>
                <w:color w:val="000000"/>
                <w:sz w:val="22"/>
                <w:szCs w:val="22"/>
                <w:lang w:val="fr-CA"/>
              </w:rPr>
              <w:t>De la résolution AG/RES. 2941 (XLIX-O/19) « Promotion et protection des droits de la personne » :</w:t>
            </w:r>
          </w:p>
        </w:tc>
      </w:tr>
      <w:tr w:rsidR="008D0A04" w14:paraId="24258098"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3DC29FD" w14:textId="77777777" w:rsidR="008D0A04" w:rsidRDefault="008D0A04">
            <w:pPr>
              <w:spacing w:after="40"/>
              <w:jc w:val="center"/>
              <w:rPr>
                <w:b/>
                <w:color w:val="000000"/>
                <w:sz w:val="22"/>
                <w:szCs w:val="22"/>
                <w:lang w:val="fr-CA"/>
              </w:rPr>
            </w:pPr>
            <w:r>
              <w:rPr>
                <w:b/>
                <w:color w:val="000000"/>
                <w:sz w:val="22"/>
                <w:szCs w:val="22"/>
                <w:lang w:val="fr-CA"/>
              </w:rPr>
              <w:t>Sections</w:t>
            </w:r>
          </w:p>
        </w:tc>
        <w:tc>
          <w:tcPr>
            <w:tcW w:w="506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043CD3D" w14:textId="77777777" w:rsidR="008D0A04" w:rsidRDefault="008D0A04">
            <w:pPr>
              <w:tabs>
                <w:tab w:val="left" w:pos="720"/>
                <w:tab w:val="left" w:pos="1440"/>
                <w:tab w:val="left" w:pos="2160"/>
                <w:tab w:val="left" w:pos="2880"/>
                <w:tab w:val="left" w:pos="3600"/>
              </w:tabs>
              <w:spacing w:after="40"/>
              <w:jc w:val="center"/>
              <w:rPr>
                <w:b/>
                <w:color w:val="000000"/>
                <w:sz w:val="22"/>
                <w:szCs w:val="22"/>
                <w:lang w:val="fr-CA"/>
              </w:rPr>
            </w:pPr>
            <w:r>
              <w:rPr>
                <w:b/>
                <w:color w:val="000000"/>
                <w:sz w:val="22"/>
                <w:szCs w:val="22"/>
                <w:lang w:val="fr-CA"/>
              </w:rPr>
              <w:t>Mandats</w:t>
            </w:r>
          </w:p>
        </w:tc>
      </w:tr>
      <w:tr w:rsidR="008D0A04" w:rsidRPr="00302458" w14:paraId="0B08A88F"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vAlign w:val="center"/>
            <w:hideMark/>
          </w:tcPr>
          <w:p w14:paraId="4DC2FC1E" w14:textId="77777777" w:rsidR="008D0A04" w:rsidRDefault="008D0A04" w:rsidP="008D0A04">
            <w:pPr>
              <w:widowControl w:val="0"/>
              <w:numPr>
                <w:ilvl w:val="0"/>
                <w:numId w:val="7"/>
              </w:numPr>
              <w:spacing w:after="40"/>
              <w:ind w:left="483" w:hanging="450"/>
              <w:rPr>
                <w:b/>
                <w:i/>
                <w:color w:val="000000"/>
                <w:sz w:val="22"/>
                <w:szCs w:val="22"/>
                <w:lang w:val="fr-CA" w:eastAsia="es-ES"/>
              </w:rPr>
            </w:pPr>
            <w:r>
              <w:rPr>
                <w:color w:val="000000"/>
                <w:sz w:val="22"/>
                <w:szCs w:val="22"/>
                <w:lang w:val="fr-CA"/>
              </w:rPr>
              <w:t>Élimination de l’apatridie dans les Amériques</w:t>
            </w:r>
            <w:r>
              <w:rPr>
                <w:color w:val="000000"/>
                <w:sz w:val="22"/>
                <w:szCs w:val="22"/>
                <w:lang w:val="fr-CA" w:eastAsia="es-ES"/>
              </w:rPr>
              <w:t>.</w:t>
            </w:r>
          </w:p>
        </w:tc>
        <w:tc>
          <w:tcPr>
            <w:tcW w:w="5062" w:type="dxa"/>
            <w:tcBorders>
              <w:top w:val="single" w:sz="4" w:space="0" w:color="000000"/>
              <w:left w:val="single" w:sz="4" w:space="0" w:color="000000"/>
              <w:bottom w:val="single" w:sz="4" w:space="0" w:color="000000"/>
              <w:right w:val="single" w:sz="4" w:space="0" w:color="000000"/>
            </w:tcBorders>
            <w:vAlign w:val="center"/>
          </w:tcPr>
          <w:p w14:paraId="4C4EEDE1" w14:textId="77777777" w:rsidR="008D0A04" w:rsidRDefault="008D0A04">
            <w:pPr>
              <w:widowControl w:val="0"/>
              <w:tabs>
                <w:tab w:val="left" w:pos="396"/>
              </w:tabs>
              <w:spacing w:after="40"/>
              <w:rPr>
                <w:color w:val="000000"/>
                <w:sz w:val="22"/>
                <w:szCs w:val="22"/>
                <w:lang w:val="fr-CA" w:eastAsia="es-ES"/>
              </w:rPr>
            </w:pPr>
          </w:p>
        </w:tc>
      </w:tr>
      <w:tr w:rsidR="008D0A04" w:rsidRPr="00302458" w14:paraId="018BBB05"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663724ED" w14:textId="77777777" w:rsidR="008D0A04" w:rsidRDefault="008D0A04" w:rsidP="008D0A04">
            <w:pPr>
              <w:widowControl w:val="0"/>
              <w:numPr>
                <w:ilvl w:val="0"/>
                <w:numId w:val="7"/>
              </w:numPr>
              <w:spacing w:after="40"/>
              <w:ind w:left="483" w:hanging="450"/>
              <w:rPr>
                <w:b/>
                <w:color w:val="000000"/>
                <w:sz w:val="22"/>
                <w:szCs w:val="22"/>
                <w:lang w:val="fr-CA"/>
              </w:rPr>
            </w:pPr>
            <w:r>
              <w:rPr>
                <w:color w:val="000000"/>
                <w:sz w:val="22"/>
                <w:szCs w:val="22"/>
                <w:lang w:val="fr-CA"/>
              </w:rPr>
              <w:t>Femmes et hommes défenseurs des droits de la personne.</w:t>
            </w:r>
          </w:p>
        </w:tc>
        <w:tc>
          <w:tcPr>
            <w:tcW w:w="5062" w:type="dxa"/>
            <w:tcBorders>
              <w:top w:val="single" w:sz="4" w:space="0" w:color="000000"/>
              <w:left w:val="single" w:sz="4" w:space="0" w:color="000000"/>
              <w:bottom w:val="single" w:sz="4" w:space="0" w:color="000000"/>
              <w:right w:val="single" w:sz="4" w:space="0" w:color="000000"/>
            </w:tcBorders>
          </w:tcPr>
          <w:p w14:paraId="6C909407" w14:textId="77777777" w:rsidR="008D0A04" w:rsidRDefault="008D0A04">
            <w:pPr>
              <w:widowControl w:val="0"/>
              <w:tabs>
                <w:tab w:val="left" w:pos="900"/>
              </w:tabs>
              <w:spacing w:after="40"/>
              <w:ind w:right="-29"/>
              <w:jc w:val="both"/>
              <w:rPr>
                <w:b/>
                <w:color w:val="000000"/>
                <w:sz w:val="22"/>
                <w:szCs w:val="22"/>
                <w:lang w:val="fr-CA"/>
              </w:rPr>
            </w:pPr>
          </w:p>
        </w:tc>
      </w:tr>
      <w:tr w:rsidR="008D0A04" w:rsidRPr="00302458" w14:paraId="4C3E21E2"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689266A3" w14:textId="77777777" w:rsidR="008D0A04" w:rsidRDefault="008D0A04" w:rsidP="008D0A04">
            <w:pPr>
              <w:widowControl w:val="0"/>
              <w:numPr>
                <w:ilvl w:val="0"/>
                <w:numId w:val="7"/>
              </w:numPr>
              <w:spacing w:after="40"/>
              <w:ind w:left="483" w:hanging="450"/>
              <w:jc w:val="both"/>
              <w:rPr>
                <w:color w:val="000000"/>
                <w:sz w:val="22"/>
                <w:szCs w:val="22"/>
                <w:u w:val="single"/>
                <w:lang w:val="fr-CA" w:eastAsia="es-ES"/>
              </w:rPr>
            </w:pPr>
            <w:r>
              <w:rPr>
                <w:color w:val="000000"/>
                <w:sz w:val="22"/>
                <w:szCs w:val="22"/>
                <w:lang w:val="fr-CA"/>
              </w:rPr>
              <w:t>Protection des demandeurs du statut de réfugié et des réfugiés dans les Amériques.</w:t>
            </w:r>
          </w:p>
        </w:tc>
        <w:tc>
          <w:tcPr>
            <w:tcW w:w="5062" w:type="dxa"/>
            <w:tcBorders>
              <w:top w:val="single" w:sz="4" w:space="0" w:color="000000"/>
              <w:left w:val="single" w:sz="4" w:space="0" w:color="000000"/>
              <w:bottom w:val="single" w:sz="4" w:space="0" w:color="000000"/>
              <w:right w:val="single" w:sz="4" w:space="0" w:color="000000"/>
            </w:tcBorders>
            <w:hideMark/>
          </w:tcPr>
          <w:p w14:paraId="5378616B" w14:textId="77777777" w:rsidR="008D0A04" w:rsidRDefault="008D0A04">
            <w:pPr>
              <w:tabs>
                <w:tab w:val="left" w:pos="720"/>
                <w:tab w:val="left" w:pos="1440"/>
                <w:tab w:val="left" w:pos="2160"/>
                <w:tab w:val="left" w:pos="2880"/>
                <w:tab w:val="left" w:pos="3600"/>
              </w:tabs>
              <w:jc w:val="both"/>
              <w:rPr>
                <w:color w:val="000000"/>
                <w:sz w:val="22"/>
                <w:szCs w:val="22"/>
                <w:lang w:val="fr-CA"/>
              </w:rPr>
            </w:pPr>
            <w:r>
              <w:rPr>
                <w:b/>
                <w:color w:val="000000"/>
                <w:sz w:val="22"/>
                <w:szCs w:val="22"/>
                <w:u w:val="single"/>
                <w:lang w:val="fr-CA"/>
              </w:rPr>
              <w:t>Paragraphe 5 du dispositif :</w:t>
            </w:r>
            <w:r>
              <w:rPr>
                <w:b/>
                <w:color w:val="000000"/>
                <w:sz w:val="22"/>
                <w:szCs w:val="22"/>
                <w:lang w:val="fr-CA"/>
              </w:rPr>
              <w:t xml:space="preserve"> </w:t>
            </w:r>
            <w:r>
              <w:rPr>
                <w:color w:val="000000"/>
                <w:sz w:val="22"/>
                <w:szCs w:val="22"/>
                <w:lang w:val="fr-CA"/>
              </w:rPr>
              <w:t>« </w:t>
            </w:r>
            <w:r>
              <w:rPr>
                <w:bCs/>
                <w:color w:val="000000"/>
                <w:sz w:val="22"/>
                <w:szCs w:val="22"/>
                <w:lang w:val="fr-CA"/>
              </w:rPr>
              <w:t xml:space="preserve">D’inviter les États membres, s’inspirant de l’expérience tirée du Cadre intégral régional pour la protection et les solutions (MIRPS) et d’autres initiatives similaires, de mettre au point et d’actualiser leurs propres cadres en matière de prévention, de protection et de solutions pour les personnes qui sollicitent la condition de réfugiés, de personnes déplacées à l’intérieur des pays, de personnes refoulées ayant besoin de protection; de les inviter également à œuvrer de concert au développement de mécanismes de coopération régionale et de responsabilité partagée, avec la participation de tous les acteurs pertinents; de charger la Commission des questions juridiques et politiques d’effectuer le suivi de la présente résolution et de soumettre un rapport annuel en encourageant </w:t>
            </w:r>
            <w:r>
              <w:rPr>
                <w:bCs/>
                <w:color w:val="000000"/>
                <w:sz w:val="22"/>
                <w:szCs w:val="22"/>
                <w:lang w:val="fr-CA"/>
              </w:rPr>
              <w:lastRenderedPageBreak/>
              <w:t>l’échange de données d’expériences et de pratiques optimales utilisées par les États membres, avec l’appui et la collaboration technique du Secrétariat général de l’OEA et du Haut-Commissariat des Nations Unies pour les réfugiés</w:t>
            </w:r>
            <w:r>
              <w:rPr>
                <w:color w:val="000000"/>
                <w:sz w:val="22"/>
                <w:szCs w:val="22"/>
                <w:lang w:val="fr-CA"/>
              </w:rPr>
              <w:t>. »</w:t>
            </w:r>
          </w:p>
        </w:tc>
      </w:tr>
      <w:tr w:rsidR="008D0A04" w:rsidRPr="00302458" w14:paraId="66D12008"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06A6B70B" w14:textId="77777777" w:rsidR="008D0A04" w:rsidRDefault="008D0A04" w:rsidP="008D0A04">
            <w:pPr>
              <w:widowControl w:val="0"/>
              <w:numPr>
                <w:ilvl w:val="0"/>
                <w:numId w:val="7"/>
              </w:numPr>
              <w:spacing w:after="40"/>
              <w:ind w:left="483" w:hanging="450"/>
              <w:jc w:val="both"/>
              <w:rPr>
                <w:color w:val="000000"/>
                <w:sz w:val="22"/>
                <w:szCs w:val="22"/>
                <w:lang w:val="fr-CA" w:eastAsia="es-ES"/>
              </w:rPr>
            </w:pPr>
            <w:r>
              <w:rPr>
                <w:color w:val="000000"/>
                <w:sz w:val="22"/>
                <w:szCs w:val="22"/>
                <w:lang w:val="fr-CA"/>
              </w:rPr>
              <w:lastRenderedPageBreak/>
              <w:t xml:space="preserve">La défense publique officielle autonome en tant que sauvegarde de l’intégrité </w:t>
            </w:r>
            <w:r>
              <w:rPr>
                <w:bCs/>
                <w:color w:val="000000"/>
                <w:sz w:val="22"/>
                <w:szCs w:val="22"/>
                <w:lang w:val="fr-CA"/>
              </w:rPr>
              <w:t>personnelle de tous les êtres humains sans aucune autre forme de discrimination</w:t>
            </w:r>
            <w:r>
              <w:rPr>
                <w:color w:val="000000"/>
                <w:sz w:val="22"/>
                <w:szCs w:val="22"/>
                <w:lang w:val="fr-CA"/>
              </w:rPr>
              <w:t>.</w:t>
            </w:r>
          </w:p>
        </w:tc>
        <w:tc>
          <w:tcPr>
            <w:tcW w:w="5062" w:type="dxa"/>
            <w:tcBorders>
              <w:top w:val="single" w:sz="4" w:space="0" w:color="000000"/>
              <w:left w:val="single" w:sz="4" w:space="0" w:color="000000"/>
              <w:bottom w:val="single" w:sz="4" w:space="0" w:color="000000"/>
              <w:right w:val="single" w:sz="4" w:space="0" w:color="000000"/>
            </w:tcBorders>
          </w:tcPr>
          <w:p w14:paraId="44C8CF9A" w14:textId="77777777" w:rsidR="008D0A04" w:rsidRDefault="008D0A04">
            <w:pPr>
              <w:spacing w:after="40"/>
              <w:jc w:val="both"/>
              <w:rPr>
                <w:bCs/>
                <w:color w:val="000000"/>
                <w:sz w:val="22"/>
                <w:szCs w:val="22"/>
                <w:lang w:val="fr-CA" w:eastAsia="es-ES"/>
              </w:rPr>
            </w:pPr>
          </w:p>
        </w:tc>
      </w:tr>
      <w:tr w:rsidR="008D0A04" w:rsidRPr="00302458" w14:paraId="0A8FC594"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7FC6D1FB" w14:textId="77777777" w:rsidR="008D0A04" w:rsidRDefault="008D0A04" w:rsidP="008D0A04">
            <w:pPr>
              <w:widowControl w:val="0"/>
              <w:numPr>
                <w:ilvl w:val="0"/>
                <w:numId w:val="7"/>
              </w:numPr>
              <w:spacing w:after="40"/>
              <w:ind w:left="483" w:hanging="450"/>
              <w:rPr>
                <w:color w:val="000000"/>
                <w:sz w:val="22"/>
                <w:szCs w:val="22"/>
                <w:lang w:val="fr-CA"/>
              </w:rPr>
            </w:pPr>
            <w:r>
              <w:rPr>
                <w:color w:val="000000"/>
                <w:sz w:val="22"/>
                <w:szCs w:val="22"/>
                <w:lang w:val="fr-CA"/>
              </w:rPr>
              <w:t>Droits de l’enfance et de l’adolescence.</w:t>
            </w:r>
          </w:p>
        </w:tc>
        <w:tc>
          <w:tcPr>
            <w:tcW w:w="5062" w:type="dxa"/>
            <w:tcBorders>
              <w:top w:val="single" w:sz="4" w:space="0" w:color="000000"/>
              <w:left w:val="single" w:sz="4" w:space="0" w:color="000000"/>
              <w:bottom w:val="single" w:sz="4" w:space="0" w:color="000000"/>
              <w:right w:val="single" w:sz="4" w:space="0" w:color="000000"/>
            </w:tcBorders>
          </w:tcPr>
          <w:p w14:paraId="09728CCA" w14:textId="77777777" w:rsidR="008D0A04" w:rsidRDefault="008D0A04">
            <w:pPr>
              <w:widowControl w:val="0"/>
              <w:tabs>
                <w:tab w:val="left" w:pos="900"/>
              </w:tabs>
              <w:spacing w:after="40"/>
              <w:ind w:right="-29"/>
              <w:jc w:val="both"/>
              <w:rPr>
                <w:b/>
                <w:color w:val="000000"/>
                <w:sz w:val="22"/>
                <w:szCs w:val="22"/>
                <w:lang w:val="fr-CA" w:eastAsia="es-ES"/>
              </w:rPr>
            </w:pPr>
          </w:p>
        </w:tc>
      </w:tr>
      <w:tr w:rsidR="008D0A04" w:rsidRPr="00302458" w14:paraId="09CC5A89"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489B67FA" w14:textId="77777777" w:rsidR="008D0A04" w:rsidRDefault="008D0A04" w:rsidP="008D0A04">
            <w:pPr>
              <w:widowControl w:val="0"/>
              <w:numPr>
                <w:ilvl w:val="0"/>
                <w:numId w:val="7"/>
              </w:numPr>
              <w:spacing w:after="40"/>
              <w:ind w:left="483" w:hanging="450"/>
              <w:rPr>
                <w:color w:val="000000"/>
                <w:sz w:val="22"/>
                <w:szCs w:val="22"/>
                <w:lang w:val="fr-CA"/>
              </w:rPr>
            </w:pPr>
            <w:r>
              <w:rPr>
                <w:color w:val="000000"/>
                <w:sz w:val="22"/>
                <w:szCs w:val="22"/>
                <w:lang w:val="fr-CA"/>
              </w:rPr>
              <w:t>Renforcement du Mécanisme de suivi de la mise en œuvre du Protocole de San Salvador.</w:t>
            </w:r>
          </w:p>
        </w:tc>
        <w:tc>
          <w:tcPr>
            <w:tcW w:w="5062" w:type="dxa"/>
            <w:tcBorders>
              <w:top w:val="single" w:sz="4" w:space="0" w:color="000000"/>
              <w:left w:val="single" w:sz="4" w:space="0" w:color="000000"/>
              <w:bottom w:val="single" w:sz="4" w:space="0" w:color="000000"/>
              <w:right w:val="single" w:sz="4" w:space="0" w:color="000000"/>
            </w:tcBorders>
          </w:tcPr>
          <w:p w14:paraId="0CF0B7EB" w14:textId="77777777" w:rsidR="008D0A04" w:rsidRDefault="008D0A04">
            <w:pPr>
              <w:widowControl w:val="0"/>
              <w:tabs>
                <w:tab w:val="left" w:pos="900"/>
              </w:tabs>
              <w:spacing w:after="40"/>
              <w:ind w:right="-29"/>
              <w:jc w:val="both"/>
              <w:rPr>
                <w:b/>
                <w:color w:val="000000"/>
                <w:sz w:val="22"/>
                <w:szCs w:val="22"/>
                <w:lang w:val="fr-CA" w:eastAsia="es-ES"/>
              </w:rPr>
            </w:pPr>
          </w:p>
        </w:tc>
      </w:tr>
      <w:tr w:rsidR="008D0A04" w:rsidRPr="00302458" w14:paraId="6294725E"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7FB9FB07" w14:textId="77777777" w:rsidR="008D0A04" w:rsidRDefault="008D0A04" w:rsidP="008D0A04">
            <w:pPr>
              <w:widowControl w:val="0"/>
              <w:numPr>
                <w:ilvl w:val="0"/>
                <w:numId w:val="7"/>
              </w:numPr>
              <w:spacing w:after="40"/>
              <w:ind w:left="573" w:hanging="573"/>
              <w:rPr>
                <w:color w:val="000000"/>
                <w:sz w:val="22"/>
                <w:szCs w:val="22"/>
                <w:lang w:val="fr-CA"/>
              </w:rPr>
            </w:pPr>
            <w:r>
              <w:rPr>
                <w:color w:val="000000"/>
                <w:sz w:val="22"/>
                <w:szCs w:val="22"/>
                <w:lang w:val="fr-CA"/>
              </w:rPr>
              <w:t>Droits de la personne et environnement.</w:t>
            </w:r>
          </w:p>
        </w:tc>
        <w:tc>
          <w:tcPr>
            <w:tcW w:w="5062" w:type="dxa"/>
            <w:tcBorders>
              <w:top w:val="single" w:sz="4" w:space="0" w:color="000000"/>
              <w:left w:val="single" w:sz="4" w:space="0" w:color="000000"/>
              <w:bottom w:val="single" w:sz="4" w:space="0" w:color="000000"/>
              <w:right w:val="single" w:sz="4" w:space="0" w:color="000000"/>
            </w:tcBorders>
          </w:tcPr>
          <w:p w14:paraId="1CE043C4" w14:textId="77777777" w:rsidR="008D0A04" w:rsidRDefault="008D0A04">
            <w:pPr>
              <w:widowControl w:val="0"/>
              <w:tabs>
                <w:tab w:val="left" w:pos="900"/>
              </w:tabs>
              <w:spacing w:after="40"/>
              <w:ind w:right="-29"/>
              <w:jc w:val="both"/>
              <w:rPr>
                <w:b/>
                <w:color w:val="000000"/>
                <w:sz w:val="22"/>
                <w:szCs w:val="22"/>
                <w:lang w:val="fr-CA" w:eastAsia="es-ES"/>
              </w:rPr>
            </w:pPr>
          </w:p>
        </w:tc>
      </w:tr>
      <w:tr w:rsidR="008D0A04" w:rsidRPr="00302458" w14:paraId="76A19397"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73F47AE1" w14:textId="77777777" w:rsidR="008D0A04" w:rsidRDefault="008D0A04" w:rsidP="008D0A04">
            <w:pPr>
              <w:widowControl w:val="0"/>
              <w:numPr>
                <w:ilvl w:val="0"/>
                <w:numId w:val="7"/>
              </w:numPr>
              <w:spacing w:after="40"/>
              <w:ind w:left="573" w:hanging="540"/>
              <w:jc w:val="both"/>
              <w:rPr>
                <w:color w:val="000000"/>
                <w:sz w:val="22"/>
                <w:szCs w:val="22"/>
                <w:u w:val="single"/>
                <w:lang w:val="fr-CA" w:eastAsia="es-ES"/>
              </w:rPr>
            </w:pPr>
            <w:r>
              <w:rPr>
                <w:color w:val="000000"/>
                <w:sz w:val="22"/>
                <w:szCs w:val="22"/>
                <w:lang w:val="fr-CA"/>
              </w:rPr>
              <w:t>Administration de la justice et droits de la personne.</w:t>
            </w:r>
          </w:p>
        </w:tc>
        <w:tc>
          <w:tcPr>
            <w:tcW w:w="5062" w:type="dxa"/>
            <w:tcBorders>
              <w:top w:val="single" w:sz="4" w:space="0" w:color="000000"/>
              <w:left w:val="single" w:sz="4" w:space="0" w:color="000000"/>
              <w:bottom w:val="single" w:sz="4" w:space="0" w:color="000000"/>
              <w:right w:val="single" w:sz="4" w:space="0" w:color="000000"/>
            </w:tcBorders>
            <w:hideMark/>
          </w:tcPr>
          <w:p w14:paraId="051AF7D0" w14:textId="77777777" w:rsidR="008D0A04" w:rsidRDefault="008D0A04">
            <w:pPr>
              <w:tabs>
                <w:tab w:val="left" w:pos="720"/>
                <w:tab w:val="left" w:pos="1440"/>
                <w:tab w:val="left" w:pos="2160"/>
                <w:tab w:val="left" w:pos="2880"/>
                <w:tab w:val="left" w:pos="3600"/>
              </w:tabs>
              <w:jc w:val="both"/>
              <w:rPr>
                <w:color w:val="000000"/>
                <w:sz w:val="22"/>
                <w:szCs w:val="22"/>
                <w:lang w:val="fr-CA"/>
              </w:rPr>
            </w:pPr>
            <w:r>
              <w:rPr>
                <w:b/>
                <w:color w:val="000000"/>
                <w:sz w:val="22"/>
                <w:szCs w:val="22"/>
                <w:u w:val="single"/>
                <w:lang w:val="fr-CA"/>
              </w:rPr>
              <w:t>Paragraphe 1 du dispositif :</w:t>
            </w:r>
            <w:r>
              <w:rPr>
                <w:b/>
                <w:color w:val="000000"/>
                <w:sz w:val="22"/>
                <w:szCs w:val="22"/>
                <w:lang w:val="fr-CA"/>
              </w:rPr>
              <w:t xml:space="preserve"> </w:t>
            </w:r>
            <w:r>
              <w:rPr>
                <w:color w:val="000000"/>
                <w:sz w:val="22"/>
                <w:szCs w:val="22"/>
                <w:lang w:val="fr-CA"/>
              </w:rPr>
              <w:t>« De poursuivre, au sein de la CAJP, l'échange sur les données d’expériences, les bonnes pratiques et les défis rencontrés en matière d’administration de la justice dans une perspective des droits de la personne. »</w:t>
            </w:r>
          </w:p>
        </w:tc>
      </w:tr>
      <w:tr w:rsidR="008D0A04" w:rsidRPr="00302458" w14:paraId="3A481C5C"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2FA80E6E" w14:textId="77777777" w:rsidR="008D0A04" w:rsidRDefault="008D0A04" w:rsidP="008D0A04">
            <w:pPr>
              <w:widowControl w:val="0"/>
              <w:numPr>
                <w:ilvl w:val="0"/>
                <w:numId w:val="7"/>
              </w:numPr>
              <w:spacing w:after="40"/>
              <w:ind w:left="483" w:hanging="483"/>
              <w:rPr>
                <w:b/>
                <w:i/>
                <w:color w:val="000000"/>
                <w:sz w:val="22"/>
                <w:szCs w:val="22"/>
                <w:lang w:val="fr-CA"/>
              </w:rPr>
            </w:pPr>
            <w:r>
              <w:rPr>
                <w:color w:val="000000"/>
                <w:sz w:val="22"/>
                <w:szCs w:val="22"/>
                <w:lang w:val="fr-CA"/>
              </w:rPr>
              <w:t>Droits des personnes privées de liberté.</w:t>
            </w:r>
          </w:p>
        </w:tc>
        <w:tc>
          <w:tcPr>
            <w:tcW w:w="5062" w:type="dxa"/>
            <w:tcBorders>
              <w:top w:val="single" w:sz="4" w:space="0" w:color="000000"/>
              <w:left w:val="single" w:sz="4" w:space="0" w:color="000000"/>
              <w:bottom w:val="single" w:sz="4" w:space="0" w:color="000000"/>
              <w:right w:val="single" w:sz="4" w:space="0" w:color="000000"/>
            </w:tcBorders>
          </w:tcPr>
          <w:p w14:paraId="5D3E4E20" w14:textId="77777777" w:rsidR="008D0A04" w:rsidRDefault="008D0A04">
            <w:pPr>
              <w:widowControl w:val="0"/>
              <w:tabs>
                <w:tab w:val="left" w:pos="900"/>
              </w:tabs>
              <w:spacing w:after="40"/>
              <w:ind w:right="-29"/>
              <w:jc w:val="both"/>
              <w:rPr>
                <w:b/>
                <w:color w:val="000000"/>
                <w:sz w:val="22"/>
                <w:szCs w:val="22"/>
                <w:lang w:val="fr-CA" w:eastAsia="es-ES"/>
              </w:rPr>
            </w:pPr>
          </w:p>
        </w:tc>
      </w:tr>
      <w:tr w:rsidR="008D0A04" w:rsidRPr="00302458" w14:paraId="34FCA5F1"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7B74BD20" w14:textId="77777777" w:rsidR="008D0A04" w:rsidRDefault="008D0A04" w:rsidP="008D0A04">
            <w:pPr>
              <w:widowControl w:val="0"/>
              <w:numPr>
                <w:ilvl w:val="0"/>
                <w:numId w:val="7"/>
              </w:numPr>
              <w:spacing w:after="40"/>
              <w:ind w:left="573" w:hanging="573"/>
              <w:rPr>
                <w:color w:val="000000"/>
                <w:sz w:val="22"/>
                <w:szCs w:val="22"/>
                <w:lang w:val="fr-CA"/>
              </w:rPr>
            </w:pPr>
            <w:r>
              <w:rPr>
                <w:color w:val="000000"/>
                <w:sz w:val="22"/>
                <w:szCs w:val="22"/>
                <w:lang w:val="fr-CA"/>
              </w:rPr>
              <w:t>Observations et recommandations relatives au rapport annuel 2018 de la Commission interaméricaine des droits de l’homme.</w:t>
            </w:r>
          </w:p>
        </w:tc>
        <w:tc>
          <w:tcPr>
            <w:tcW w:w="5062" w:type="dxa"/>
            <w:tcBorders>
              <w:top w:val="single" w:sz="4" w:space="0" w:color="000000"/>
              <w:left w:val="single" w:sz="4" w:space="0" w:color="000000"/>
              <w:bottom w:val="single" w:sz="4" w:space="0" w:color="000000"/>
              <w:right w:val="single" w:sz="4" w:space="0" w:color="000000"/>
            </w:tcBorders>
          </w:tcPr>
          <w:p w14:paraId="48886E4F" w14:textId="77777777" w:rsidR="008D0A04" w:rsidRDefault="008D0A04">
            <w:pPr>
              <w:widowControl w:val="0"/>
              <w:tabs>
                <w:tab w:val="left" w:pos="900"/>
              </w:tabs>
              <w:spacing w:after="40"/>
              <w:ind w:right="-29"/>
              <w:jc w:val="both"/>
              <w:rPr>
                <w:b/>
                <w:color w:val="000000"/>
                <w:sz w:val="22"/>
                <w:szCs w:val="22"/>
                <w:lang w:val="fr-CA" w:eastAsia="es-ES"/>
              </w:rPr>
            </w:pPr>
          </w:p>
        </w:tc>
      </w:tr>
      <w:tr w:rsidR="008D0A04" w:rsidRPr="00302458" w14:paraId="6293CAAC"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5B76CED7" w14:textId="77777777" w:rsidR="008D0A04" w:rsidRDefault="008D0A04" w:rsidP="008D0A04">
            <w:pPr>
              <w:widowControl w:val="0"/>
              <w:numPr>
                <w:ilvl w:val="0"/>
                <w:numId w:val="7"/>
              </w:numPr>
              <w:spacing w:after="40"/>
              <w:ind w:left="573" w:hanging="573"/>
              <w:rPr>
                <w:color w:val="000000"/>
                <w:sz w:val="22"/>
                <w:szCs w:val="22"/>
                <w:lang w:val="fr-CA" w:eastAsia="es-ES"/>
              </w:rPr>
            </w:pPr>
            <w:r>
              <w:rPr>
                <w:color w:val="000000"/>
                <w:sz w:val="22"/>
                <w:szCs w:val="22"/>
                <w:lang w:val="fr-CA"/>
              </w:rPr>
              <w:t>Le pouvoir de l’inclusion et les avantages de la diversité.</w:t>
            </w:r>
          </w:p>
        </w:tc>
        <w:tc>
          <w:tcPr>
            <w:tcW w:w="5062" w:type="dxa"/>
            <w:tcBorders>
              <w:top w:val="single" w:sz="4" w:space="0" w:color="000000"/>
              <w:left w:val="single" w:sz="4" w:space="0" w:color="000000"/>
              <w:bottom w:val="single" w:sz="4" w:space="0" w:color="000000"/>
              <w:right w:val="single" w:sz="4" w:space="0" w:color="000000"/>
            </w:tcBorders>
            <w:hideMark/>
          </w:tcPr>
          <w:p w14:paraId="77E9E219" w14:textId="77777777" w:rsidR="008D0A04" w:rsidRDefault="008D0A04">
            <w:pPr>
              <w:tabs>
                <w:tab w:val="left" w:pos="720"/>
                <w:tab w:val="left" w:pos="1440"/>
                <w:tab w:val="left" w:pos="2160"/>
                <w:tab w:val="left" w:pos="2880"/>
                <w:tab w:val="left" w:pos="3600"/>
              </w:tabs>
              <w:jc w:val="both"/>
              <w:rPr>
                <w:color w:val="000000"/>
                <w:sz w:val="22"/>
                <w:szCs w:val="22"/>
                <w:lang w:val="fr-CA"/>
              </w:rPr>
            </w:pPr>
            <w:r>
              <w:rPr>
                <w:b/>
                <w:color w:val="000000"/>
                <w:sz w:val="22"/>
                <w:szCs w:val="22"/>
                <w:u w:val="single"/>
                <w:lang w:val="fr-CA"/>
              </w:rPr>
              <w:t>Paragraphe 4 du dispositif :</w:t>
            </w:r>
            <w:r>
              <w:rPr>
                <w:b/>
                <w:color w:val="000000"/>
                <w:sz w:val="22"/>
                <w:szCs w:val="22"/>
                <w:lang w:val="fr-CA"/>
              </w:rPr>
              <w:t xml:space="preserve"> </w:t>
            </w:r>
            <w:r>
              <w:rPr>
                <w:color w:val="000000"/>
                <w:sz w:val="22"/>
                <w:szCs w:val="22"/>
                <w:lang w:val="fr-CA"/>
              </w:rPr>
              <w:t>« De demander à la Commission des questions juridiques et politiques d’organiser, dans les limites des ressources existantes et en coordination avec le Secrétariat à l’accès aux droits et à l’équité, une séance extraordinaire qui permettra aux États membres de tenir des échanges sur les leçons retenues et les pratiques exemplaires en vue d’atteindre les objectifs de la présente résolution, en accordant une attention particulière aux aspects énoncés sous le point 3(b) qui renforcent nos démocraties, et de présenter les résultats de ladite réunion au Conseil permanent avant la tenue de la cinquantième session ordinaire de l’Assemblée générale. »</w:t>
            </w:r>
            <w:r>
              <w:rPr>
                <w:rStyle w:val="FootnoteReference"/>
                <w:sz w:val="22"/>
                <w:szCs w:val="22"/>
                <w:lang w:val="fr-CA"/>
              </w:rPr>
              <w:footnoteReference w:id="1"/>
            </w:r>
          </w:p>
        </w:tc>
      </w:tr>
      <w:tr w:rsidR="008D0A04" w:rsidRPr="00302458" w14:paraId="44DB6A7D"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5AD31069" w14:textId="77777777" w:rsidR="008D0A04" w:rsidRDefault="008D0A04" w:rsidP="008D0A04">
            <w:pPr>
              <w:widowControl w:val="0"/>
              <w:numPr>
                <w:ilvl w:val="0"/>
                <w:numId w:val="7"/>
              </w:numPr>
              <w:spacing w:after="40"/>
              <w:ind w:left="573" w:hanging="573"/>
              <w:rPr>
                <w:color w:val="000000"/>
                <w:sz w:val="22"/>
                <w:szCs w:val="22"/>
                <w:u w:val="single"/>
                <w:lang w:val="fr-CA" w:eastAsia="es-ES"/>
              </w:rPr>
            </w:pPr>
            <w:r>
              <w:rPr>
                <w:color w:val="000000"/>
                <w:sz w:val="22"/>
                <w:szCs w:val="22"/>
                <w:lang w:val="fr-CA"/>
              </w:rPr>
              <w:t>Reconnaissance et promotion des droits des personnes d’ascendance africaine dans les Amériques.</w:t>
            </w:r>
          </w:p>
        </w:tc>
        <w:tc>
          <w:tcPr>
            <w:tcW w:w="5062" w:type="dxa"/>
            <w:tcBorders>
              <w:top w:val="single" w:sz="4" w:space="0" w:color="000000"/>
              <w:left w:val="single" w:sz="4" w:space="0" w:color="000000"/>
              <w:bottom w:val="single" w:sz="4" w:space="0" w:color="000000"/>
              <w:right w:val="single" w:sz="4" w:space="0" w:color="000000"/>
            </w:tcBorders>
            <w:hideMark/>
          </w:tcPr>
          <w:p w14:paraId="6E296382" w14:textId="77777777" w:rsidR="008D0A04" w:rsidRDefault="008D0A04">
            <w:pPr>
              <w:tabs>
                <w:tab w:val="left" w:pos="720"/>
                <w:tab w:val="left" w:pos="1440"/>
                <w:tab w:val="left" w:pos="2160"/>
                <w:tab w:val="left" w:pos="2880"/>
                <w:tab w:val="left" w:pos="3600"/>
              </w:tabs>
              <w:jc w:val="both"/>
              <w:rPr>
                <w:color w:val="000000"/>
                <w:sz w:val="22"/>
                <w:szCs w:val="22"/>
                <w:lang w:val="fr-CA"/>
              </w:rPr>
            </w:pPr>
            <w:r>
              <w:rPr>
                <w:b/>
                <w:color w:val="000000"/>
                <w:sz w:val="22"/>
                <w:szCs w:val="22"/>
                <w:u w:val="single"/>
                <w:lang w:val="fr-CA"/>
              </w:rPr>
              <w:t>Paragraphe 1 du dispositif :</w:t>
            </w:r>
            <w:r>
              <w:rPr>
                <w:b/>
                <w:color w:val="000000"/>
                <w:sz w:val="22"/>
                <w:szCs w:val="22"/>
                <w:lang w:val="fr-CA"/>
              </w:rPr>
              <w:t xml:space="preserve"> </w:t>
            </w:r>
            <w:r>
              <w:rPr>
                <w:color w:val="000000"/>
                <w:sz w:val="22"/>
                <w:szCs w:val="22"/>
                <w:lang w:val="fr-CA"/>
              </w:rPr>
              <w:t xml:space="preserve">« D’exhorter les États membres, le Secrétariat général et les institutions de </w:t>
            </w:r>
            <w:r>
              <w:rPr>
                <w:color w:val="000000"/>
                <w:sz w:val="22"/>
                <w:szCs w:val="22"/>
                <w:lang w:val="fr-CA"/>
              </w:rPr>
              <w:lastRenderedPageBreak/>
              <w:t>l’OEA à prendre toutes les mesures nécessaires pour la mise en œuvre du Plan d’action de la Décennie des personnes d’ascendance africaine dans les Amériques (2016-2025) et à commémorer la Semaine interaméricaine des personnes d’ascendance africaine dans les Amériques. »</w:t>
            </w:r>
          </w:p>
        </w:tc>
      </w:tr>
      <w:tr w:rsidR="008D0A04" w:rsidRPr="00302458" w14:paraId="29339C26"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3091056B" w14:textId="77777777" w:rsidR="008D0A04" w:rsidRDefault="008D0A04" w:rsidP="008D0A04">
            <w:pPr>
              <w:widowControl w:val="0"/>
              <w:numPr>
                <w:ilvl w:val="0"/>
                <w:numId w:val="7"/>
              </w:numPr>
              <w:spacing w:after="40"/>
              <w:ind w:left="573" w:hanging="573"/>
              <w:rPr>
                <w:color w:val="000000"/>
                <w:sz w:val="22"/>
                <w:szCs w:val="22"/>
                <w:u w:val="single"/>
                <w:lang w:val="fr-CA" w:eastAsia="es-ES"/>
              </w:rPr>
            </w:pPr>
            <w:r>
              <w:rPr>
                <w:color w:val="000000"/>
                <w:sz w:val="22"/>
                <w:szCs w:val="22"/>
                <w:lang w:val="fr-CA"/>
              </w:rPr>
              <w:lastRenderedPageBreak/>
              <w:t>Composition équilibrée de la Commission interaméricaine des droits de l’homme et de la Cour interaméricaine des droits de l’homme du point de vue de la parité hommes-femmes, de la représentation géographique et des différents systèmes juridiques.</w:t>
            </w:r>
          </w:p>
        </w:tc>
        <w:tc>
          <w:tcPr>
            <w:tcW w:w="5062" w:type="dxa"/>
            <w:tcBorders>
              <w:top w:val="single" w:sz="4" w:space="0" w:color="000000"/>
              <w:left w:val="single" w:sz="4" w:space="0" w:color="000000"/>
              <w:bottom w:val="single" w:sz="4" w:space="0" w:color="000000"/>
              <w:right w:val="single" w:sz="4" w:space="0" w:color="000000"/>
            </w:tcBorders>
            <w:hideMark/>
          </w:tcPr>
          <w:p w14:paraId="4689A2B4" w14:textId="77777777" w:rsidR="008D0A04" w:rsidRDefault="008D0A04">
            <w:pPr>
              <w:tabs>
                <w:tab w:val="left" w:pos="720"/>
                <w:tab w:val="left" w:pos="1440"/>
                <w:tab w:val="left" w:pos="2160"/>
                <w:tab w:val="left" w:pos="2880"/>
                <w:tab w:val="left" w:pos="3600"/>
              </w:tabs>
              <w:jc w:val="both"/>
              <w:rPr>
                <w:color w:val="000000"/>
                <w:sz w:val="22"/>
                <w:szCs w:val="22"/>
                <w:lang w:val="fr-CA"/>
              </w:rPr>
            </w:pPr>
            <w:r>
              <w:rPr>
                <w:b/>
                <w:color w:val="000000"/>
                <w:sz w:val="22"/>
                <w:szCs w:val="22"/>
                <w:u w:val="single"/>
                <w:lang w:val="fr-CA"/>
              </w:rPr>
              <w:t>Paragraphe 3 du dispositif :</w:t>
            </w:r>
            <w:r>
              <w:rPr>
                <w:b/>
                <w:color w:val="000000"/>
                <w:sz w:val="22"/>
                <w:szCs w:val="22"/>
                <w:lang w:val="fr-CA"/>
              </w:rPr>
              <w:t xml:space="preserve"> </w:t>
            </w:r>
            <w:r>
              <w:rPr>
                <w:color w:val="000000"/>
                <w:sz w:val="22"/>
                <w:szCs w:val="22"/>
                <w:lang w:val="fr-CA"/>
              </w:rPr>
              <w:t>« De charger la CAJP d’approfondir son travail dans ce domaine, en inscrivant dans son programme de travail 2019-2020 le suivi de cette question au moyen de la tenue d’une réunion, au cours de laquelle les États membres, des experts et la société civile pourront échanger des bonnes pratiques en matière de nomination et de sélection de candidats et candidates aux Organes du Système interaméricain de droits de la personne, y compris par des informations sur les procédures, politiques et pratiques existant à l’échelle nationale, en vue de promouvoir la parité hommes-femmes, la non-discrimination et l’équilibre entre les différentes régions et différents systèmes juridiques du continent américain à la CIDH et à la Cour interaméricaine des droits de l’homme. »</w:t>
            </w:r>
          </w:p>
        </w:tc>
      </w:tr>
      <w:tr w:rsidR="008D0A04" w:rsidRPr="00302458" w14:paraId="1F2F4786"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3BFA1F98" w14:textId="77777777" w:rsidR="008D0A04" w:rsidRDefault="008D0A04" w:rsidP="008D0A04">
            <w:pPr>
              <w:widowControl w:val="0"/>
              <w:numPr>
                <w:ilvl w:val="0"/>
                <w:numId w:val="7"/>
              </w:numPr>
              <w:spacing w:after="40"/>
              <w:ind w:left="573" w:hanging="573"/>
              <w:rPr>
                <w:color w:val="000000"/>
                <w:sz w:val="22"/>
                <w:szCs w:val="22"/>
                <w:lang w:val="fr-CA"/>
              </w:rPr>
            </w:pPr>
            <w:r>
              <w:rPr>
                <w:color w:val="000000"/>
                <w:sz w:val="22"/>
                <w:szCs w:val="22"/>
                <w:lang w:val="fr-CA"/>
              </w:rPr>
              <w:t>Renforcement du Mécanisme de suivi de la mise en œuvre de la Convention interaméricaine sur la prévention, la sanction et l’élimination de la violence contre la femme (MESECVI).</w:t>
            </w:r>
          </w:p>
        </w:tc>
        <w:tc>
          <w:tcPr>
            <w:tcW w:w="5062" w:type="dxa"/>
            <w:tcBorders>
              <w:top w:val="single" w:sz="4" w:space="0" w:color="000000"/>
              <w:left w:val="single" w:sz="4" w:space="0" w:color="000000"/>
              <w:bottom w:val="single" w:sz="4" w:space="0" w:color="000000"/>
              <w:right w:val="single" w:sz="4" w:space="0" w:color="000000"/>
            </w:tcBorders>
          </w:tcPr>
          <w:p w14:paraId="059AD021" w14:textId="77777777" w:rsidR="008D0A04" w:rsidRDefault="008D0A04">
            <w:pPr>
              <w:tabs>
                <w:tab w:val="left" w:pos="720"/>
                <w:tab w:val="left" w:pos="1440"/>
                <w:tab w:val="left" w:pos="2160"/>
                <w:tab w:val="left" w:pos="2880"/>
                <w:tab w:val="left" w:pos="3600"/>
              </w:tabs>
              <w:jc w:val="both"/>
              <w:rPr>
                <w:b/>
                <w:color w:val="000000"/>
                <w:sz w:val="22"/>
                <w:szCs w:val="22"/>
                <w:u w:val="single"/>
                <w:lang w:val="fr-CA"/>
              </w:rPr>
            </w:pPr>
          </w:p>
        </w:tc>
      </w:tr>
      <w:tr w:rsidR="008D0A04" w:rsidRPr="00302458" w14:paraId="13CABFF2"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73D7A8BB" w14:textId="77777777" w:rsidR="008D0A04" w:rsidRDefault="008D0A04" w:rsidP="008D0A04">
            <w:pPr>
              <w:widowControl w:val="0"/>
              <w:numPr>
                <w:ilvl w:val="0"/>
                <w:numId w:val="7"/>
              </w:numPr>
              <w:spacing w:after="40"/>
              <w:ind w:left="573" w:hanging="573"/>
              <w:rPr>
                <w:color w:val="000000"/>
                <w:sz w:val="22"/>
                <w:szCs w:val="22"/>
                <w:lang w:val="fr-CA"/>
              </w:rPr>
            </w:pPr>
            <w:r>
              <w:rPr>
                <w:color w:val="000000"/>
                <w:sz w:val="22"/>
                <w:szCs w:val="22"/>
                <w:lang w:val="fr-CA"/>
              </w:rPr>
              <w:t>Suivi des recommandations de la Commission interaméricaine des droits de l'homme.</w:t>
            </w:r>
          </w:p>
        </w:tc>
        <w:tc>
          <w:tcPr>
            <w:tcW w:w="5062" w:type="dxa"/>
            <w:tcBorders>
              <w:top w:val="single" w:sz="4" w:space="0" w:color="000000"/>
              <w:left w:val="single" w:sz="4" w:space="0" w:color="000000"/>
              <w:bottom w:val="single" w:sz="4" w:space="0" w:color="000000"/>
              <w:right w:val="single" w:sz="4" w:space="0" w:color="000000"/>
            </w:tcBorders>
          </w:tcPr>
          <w:p w14:paraId="337111F5" w14:textId="77777777" w:rsidR="008D0A04" w:rsidRDefault="008D0A04">
            <w:pPr>
              <w:tabs>
                <w:tab w:val="left" w:pos="720"/>
                <w:tab w:val="left" w:pos="1440"/>
                <w:tab w:val="left" w:pos="2160"/>
                <w:tab w:val="left" w:pos="2880"/>
                <w:tab w:val="left" w:pos="3600"/>
              </w:tabs>
              <w:jc w:val="both"/>
              <w:rPr>
                <w:b/>
                <w:color w:val="000000"/>
                <w:sz w:val="22"/>
                <w:szCs w:val="22"/>
                <w:u w:val="single"/>
                <w:lang w:val="fr-CA"/>
              </w:rPr>
            </w:pPr>
          </w:p>
        </w:tc>
      </w:tr>
      <w:tr w:rsidR="008D0A04" w:rsidRPr="00302458" w14:paraId="12D47680"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64325585" w14:textId="77777777" w:rsidR="008D0A04" w:rsidRDefault="008D0A04" w:rsidP="008D0A04">
            <w:pPr>
              <w:widowControl w:val="0"/>
              <w:numPr>
                <w:ilvl w:val="0"/>
                <w:numId w:val="7"/>
              </w:numPr>
              <w:spacing w:after="40"/>
              <w:ind w:left="573" w:hanging="573"/>
              <w:jc w:val="both"/>
              <w:rPr>
                <w:color w:val="000000"/>
                <w:sz w:val="22"/>
                <w:szCs w:val="22"/>
                <w:lang w:val="fr-CA"/>
              </w:rPr>
            </w:pPr>
            <w:r>
              <w:rPr>
                <w:color w:val="000000"/>
                <w:sz w:val="22"/>
                <w:szCs w:val="22"/>
                <w:lang w:val="fr-CA"/>
              </w:rPr>
              <w:t>Renforcement de la Commission interaméricaine des femmes en vue de la promotion de l’équité et de la parité hommes-femmes, des droits humains des femmes et des fillettes et l’élimination de la discrimination et de toutes les formes de violence à leur égard.</w:t>
            </w:r>
          </w:p>
        </w:tc>
        <w:tc>
          <w:tcPr>
            <w:tcW w:w="5062" w:type="dxa"/>
            <w:tcBorders>
              <w:top w:val="single" w:sz="4" w:space="0" w:color="000000"/>
              <w:left w:val="single" w:sz="4" w:space="0" w:color="000000"/>
              <w:bottom w:val="single" w:sz="4" w:space="0" w:color="000000"/>
              <w:right w:val="single" w:sz="4" w:space="0" w:color="000000"/>
            </w:tcBorders>
          </w:tcPr>
          <w:p w14:paraId="7A07A867" w14:textId="77777777" w:rsidR="008D0A04" w:rsidRDefault="008D0A04">
            <w:pPr>
              <w:tabs>
                <w:tab w:val="left" w:pos="720"/>
                <w:tab w:val="left" w:pos="1440"/>
                <w:tab w:val="left" w:pos="2160"/>
                <w:tab w:val="left" w:pos="2880"/>
                <w:tab w:val="left" w:pos="3600"/>
              </w:tabs>
              <w:jc w:val="both"/>
              <w:rPr>
                <w:b/>
                <w:color w:val="000000"/>
                <w:sz w:val="22"/>
                <w:szCs w:val="22"/>
                <w:u w:val="single"/>
                <w:lang w:val="fr-CA"/>
              </w:rPr>
            </w:pPr>
          </w:p>
        </w:tc>
      </w:tr>
      <w:tr w:rsidR="008D0A04" w:rsidRPr="00302458" w14:paraId="0C5C16D1"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7BD2C25F" w14:textId="77777777" w:rsidR="008D0A04" w:rsidRDefault="008D0A04" w:rsidP="008D0A04">
            <w:pPr>
              <w:widowControl w:val="0"/>
              <w:numPr>
                <w:ilvl w:val="0"/>
                <w:numId w:val="7"/>
              </w:numPr>
              <w:spacing w:after="40"/>
              <w:ind w:left="573" w:hanging="573"/>
              <w:jc w:val="both"/>
              <w:rPr>
                <w:color w:val="000000"/>
                <w:sz w:val="22"/>
                <w:szCs w:val="22"/>
                <w:lang w:val="fr-CA"/>
              </w:rPr>
            </w:pPr>
            <w:r>
              <w:rPr>
                <w:bCs/>
                <w:color w:val="000000"/>
                <w:sz w:val="22"/>
                <w:szCs w:val="22"/>
                <w:lang w:val="fr-CA"/>
              </w:rPr>
              <w:t>Droits de la personne et prévention de la discrimination et de la violence contre les personnes LGBTI</w:t>
            </w:r>
            <w:r>
              <w:rPr>
                <w:color w:val="000000"/>
                <w:sz w:val="22"/>
                <w:szCs w:val="22"/>
                <w:lang w:val="fr-CA"/>
              </w:rPr>
              <w:t>.</w:t>
            </w:r>
          </w:p>
        </w:tc>
        <w:tc>
          <w:tcPr>
            <w:tcW w:w="5062" w:type="dxa"/>
            <w:tcBorders>
              <w:top w:val="single" w:sz="4" w:space="0" w:color="000000"/>
              <w:left w:val="single" w:sz="4" w:space="0" w:color="000000"/>
              <w:bottom w:val="single" w:sz="4" w:space="0" w:color="000000"/>
              <w:right w:val="single" w:sz="4" w:space="0" w:color="000000"/>
            </w:tcBorders>
          </w:tcPr>
          <w:p w14:paraId="5F77A75A" w14:textId="77777777" w:rsidR="008D0A04" w:rsidRDefault="008D0A04">
            <w:pPr>
              <w:tabs>
                <w:tab w:val="left" w:pos="720"/>
                <w:tab w:val="left" w:pos="1440"/>
                <w:tab w:val="left" w:pos="2160"/>
                <w:tab w:val="left" w:pos="2880"/>
                <w:tab w:val="left" w:pos="3600"/>
              </w:tabs>
              <w:jc w:val="both"/>
              <w:rPr>
                <w:b/>
                <w:color w:val="000000"/>
                <w:sz w:val="22"/>
                <w:szCs w:val="22"/>
                <w:u w:val="single"/>
                <w:lang w:val="fr-CA"/>
              </w:rPr>
            </w:pPr>
          </w:p>
        </w:tc>
      </w:tr>
      <w:tr w:rsidR="008D0A04" w:rsidRPr="00302458" w14:paraId="4DC044DC"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43E411B7" w14:textId="77777777" w:rsidR="008D0A04" w:rsidRDefault="008D0A04" w:rsidP="008D0A04">
            <w:pPr>
              <w:widowControl w:val="0"/>
              <w:numPr>
                <w:ilvl w:val="0"/>
                <w:numId w:val="7"/>
              </w:numPr>
              <w:spacing w:after="40"/>
              <w:ind w:left="573" w:hanging="573"/>
              <w:rPr>
                <w:color w:val="000000"/>
                <w:sz w:val="22"/>
                <w:szCs w:val="22"/>
                <w:u w:val="single"/>
                <w:lang w:val="fr-CA" w:eastAsia="es-ES"/>
              </w:rPr>
            </w:pPr>
            <w:r>
              <w:rPr>
                <w:bCs/>
                <w:color w:val="000000"/>
                <w:sz w:val="22"/>
                <w:szCs w:val="22"/>
                <w:lang w:val="fr-CA"/>
              </w:rPr>
              <w:t>Droit à la liberté de religion ou de croyance</w:t>
            </w:r>
            <w:r>
              <w:rPr>
                <w:color w:val="000000"/>
                <w:sz w:val="22"/>
                <w:szCs w:val="22"/>
                <w:lang w:val="fr-CA"/>
              </w:rPr>
              <w:t>.</w:t>
            </w:r>
          </w:p>
        </w:tc>
        <w:tc>
          <w:tcPr>
            <w:tcW w:w="5062" w:type="dxa"/>
            <w:tcBorders>
              <w:top w:val="single" w:sz="4" w:space="0" w:color="000000"/>
              <w:left w:val="single" w:sz="4" w:space="0" w:color="000000"/>
              <w:bottom w:val="single" w:sz="4" w:space="0" w:color="000000"/>
              <w:right w:val="single" w:sz="4" w:space="0" w:color="000000"/>
            </w:tcBorders>
            <w:hideMark/>
          </w:tcPr>
          <w:p w14:paraId="1F885F64" w14:textId="77777777" w:rsidR="008D0A04" w:rsidRDefault="008D0A04">
            <w:pPr>
              <w:tabs>
                <w:tab w:val="left" w:pos="720"/>
                <w:tab w:val="left" w:pos="1440"/>
                <w:tab w:val="left" w:pos="2160"/>
                <w:tab w:val="left" w:pos="2880"/>
                <w:tab w:val="left" w:pos="3600"/>
              </w:tabs>
              <w:jc w:val="both"/>
              <w:rPr>
                <w:color w:val="000000"/>
                <w:sz w:val="22"/>
                <w:szCs w:val="22"/>
                <w:lang w:val="fr-CA"/>
              </w:rPr>
            </w:pPr>
            <w:r>
              <w:rPr>
                <w:b/>
                <w:color w:val="000000"/>
                <w:sz w:val="22"/>
                <w:szCs w:val="22"/>
                <w:u w:val="single"/>
                <w:lang w:val="fr-CA"/>
              </w:rPr>
              <w:t>Paragraphe 3 du dispositif :</w:t>
            </w:r>
            <w:r>
              <w:rPr>
                <w:b/>
                <w:color w:val="000000"/>
                <w:sz w:val="22"/>
                <w:szCs w:val="22"/>
                <w:lang w:val="fr-CA"/>
              </w:rPr>
              <w:t xml:space="preserve"> </w:t>
            </w:r>
            <w:r>
              <w:rPr>
                <w:color w:val="000000"/>
                <w:sz w:val="22"/>
                <w:szCs w:val="22"/>
                <w:lang w:val="fr-CA"/>
              </w:rPr>
              <w:t>« </w:t>
            </w:r>
            <w:r>
              <w:rPr>
                <w:color w:val="000000"/>
                <w:spacing w:val="-3"/>
                <w:sz w:val="22"/>
                <w:szCs w:val="22"/>
                <w:lang w:val="fr-CA"/>
              </w:rPr>
              <w:t>De demander au Secrétariat général d’organiser, avec les ressources actuelles, un dialogue régional sur le droit à la liberté</w:t>
            </w:r>
            <w:r>
              <w:rPr>
                <w:bCs/>
                <w:color w:val="000000"/>
                <w:spacing w:val="-3"/>
                <w:sz w:val="22"/>
                <w:szCs w:val="22"/>
                <w:lang w:val="fr-CA"/>
              </w:rPr>
              <w:t xml:space="preserve"> de pensée, de conscience et</w:t>
            </w:r>
            <w:r>
              <w:rPr>
                <w:color w:val="000000"/>
                <w:spacing w:val="-3"/>
                <w:sz w:val="22"/>
                <w:szCs w:val="22"/>
                <w:lang w:val="fr-CA"/>
              </w:rPr>
              <w:t xml:space="preserve"> de religion et de croyance, auquel seraient conviés à contribuer les États membres et de la Commission interaméricaine des droits de </w:t>
            </w:r>
            <w:r>
              <w:rPr>
                <w:color w:val="000000"/>
                <w:spacing w:val="-3"/>
                <w:sz w:val="22"/>
                <w:szCs w:val="22"/>
                <w:lang w:val="fr-CA"/>
              </w:rPr>
              <w:lastRenderedPageBreak/>
              <w:t>l’homme, la société civile et d’autres acteurs sociaux, et de demander à la Commission des questions juridiques et politiques d’organiser, avec les ressources actuelles, une réunion extraordinaire dans laquelle les États membres pourront partager les leçons tirées et partager de bonnes pratiques dans le but de faire progresser les objectifs de la présente résolution, et de présenter les résultats de cette réunion au Conseil permanent avant la cinquantième session ordinaire de l’Assemblée générale</w:t>
            </w:r>
            <w:r>
              <w:rPr>
                <w:color w:val="000000"/>
                <w:sz w:val="22"/>
                <w:szCs w:val="22"/>
                <w:lang w:val="fr-CA"/>
              </w:rPr>
              <w:t>. »</w:t>
            </w:r>
          </w:p>
        </w:tc>
      </w:tr>
      <w:tr w:rsidR="008D0A04" w:rsidRPr="00302458" w14:paraId="2540AA7E"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641E9B57" w14:textId="77777777" w:rsidR="008D0A04" w:rsidRDefault="008D0A04" w:rsidP="008D0A04">
            <w:pPr>
              <w:widowControl w:val="0"/>
              <w:numPr>
                <w:ilvl w:val="0"/>
                <w:numId w:val="7"/>
              </w:numPr>
              <w:spacing w:after="40"/>
              <w:ind w:left="573" w:hanging="573"/>
              <w:jc w:val="both"/>
              <w:rPr>
                <w:color w:val="000000"/>
                <w:sz w:val="22"/>
                <w:szCs w:val="22"/>
                <w:u w:val="single"/>
                <w:lang w:val="fr-CA" w:eastAsia="es-ES"/>
              </w:rPr>
            </w:pPr>
            <w:r>
              <w:rPr>
                <w:color w:val="000000"/>
                <w:sz w:val="22"/>
                <w:szCs w:val="22"/>
                <w:lang w:val="fr-CA"/>
              </w:rPr>
              <w:lastRenderedPageBreak/>
              <w:t>Suivi de la mise en œuvre de la Déclaration américaine sur les droits des peuples autochtones et du Plan d’action relatif à la Déclaration américaine sur les droits des peuples autochtones (2017-2021).</w:t>
            </w:r>
          </w:p>
        </w:tc>
        <w:tc>
          <w:tcPr>
            <w:tcW w:w="5062" w:type="dxa"/>
            <w:tcBorders>
              <w:top w:val="single" w:sz="4" w:space="0" w:color="000000"/>
              <w:left w:val="single" w:sz="4" w:space="0" w:color="000000"/>
              <w:bottom w:val="single" w:sz="4" w:space="0" w:color="000000"/>
              <w:right w:val="single" w:sz="4" w:space="0" w:color="000000"/>
            </w:tcBorders>
            <w:hideMark/>
          </w:tcPr>
          <w:p w14:paraId="053A3645" w14:textId="77777777" w:rsidR="008D0A04" w:rsidRDefault="008D0A04">
            <w:pPr>
              <w:tabs>
                <w:tab w:val="left" w:pos="720"/>
                <w:tab w:val="left" w:pos="1440"/>
                <w:tab w:val="left" w:pos="2160"/>
                <w:tab w:val="left" w:pos="2880"/>
                <w:tab w:val="left" w:pos="3600"/>
              </w:tabs>
              <w:jc w:val="both"/>
              <w:rPr>
                <w:color w:val="000000"/>
                <w:sz w:val="22"/>
                <w:szCs w:val="22"/>
                <w:lang w:val="fr-CA"/>
              </w:rPr>
            </w:pPr>
            <w:r>
              <w:rPr>
                <w:b/>
                <w:color w:val="000000"/>
                <w:sz w:val="22"/>
                <w:szCs w:val="22"/>
                <w:u w:val="single"/>
                <w:lang w:val="fr-CA"/>
              </w:rPr>
              <w:t>Paragraphe 1 du dispositif :</w:t>
            </w:r>
            <w:r>
              <w:rPr>
                <w:b/>
                <w:color w:val="000000"/>
                <w:sz w:val="22"/>
                <w:szCs w:val="22"/>
                <w:lang w:val="fr-CA"/>
              </w:rPr>
              <w:t xml:space="preserve"> </w:t>
            </w:r>
            <w:r>
              <w:rPr>
                <w:color w:val="000000"/>
                <w:sz w:val="22"/>
                <w:szCs w:val="22"/>
                <w:lang w:val="fr-CA"/>
              </w:rPr>
              <w:t>« De demander instamment aux États membres, au Secrétariat général et aux institutions de l’OEA de prendre toutes les mesures nécessaires pour la mise en œuvre de la Déclaration américaine sur les droits des peuples autochtones et du Plan d’action relatif à la Déclaration américaine sur les droits des peuples autochtones (2017-2021). »</w:t>
            </w:r>
          </w:p>
        </w:tc>
      </w:tr>
      <w:tr w:rsidR="008D0A04" w:rsidRPr="00302458" w14:paraId="586E4396"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3CD96ACE" w14:textId="77777777" w:rsidR="008D0A04" w:rsidRDefault="008D0A04" w:rsidP="008D0A04">
            <w:pPr>
              <w:widowControl w:val="0"/>
              <w:numPr>
                <w:ilvl w:val="0"/>
                <w:numId w:val="7"/>
              </w:numPr>
              <w:spacing w:after="40"/>
              <w:ind w:left="573" w:hanging="573"/>
              <w:jc w:val="both"/>
              <w:rPr>
                <w:color w:val="000000"/>
                <w:sz w:val="22"/>
                <w:szCs w:val="22"/>
                <w:lang w:val="fr-CA"/>
              </w:rPr>
            </w:pPr>
            <w:r>
              <w:rPr>
                <w:color w:val="000000"/>
                <w:sz w:val="22"/>
                <w:szCs w:val="22"/>
                <w:lang w:val="fr-CA"/>
              </w:rPr>
              <w:t>Programme d’action de la Décennie des Amériques pour les droits et la dignité des personnes handicapées 2016-2026 et Appui au comité pour l’élimination de toutes les formes de discrimination contre les personnes handicapées.</w:t>
            </w:r>
          </w:p>
        </w:tc>
        <w:tc>
          <w:tcPr>
            <w:tcW w:w="5062" w:type="dxa"/>
            <w:tcBorders>
              <w:top w:val="single" w:sz="4" w:space="0" w:color="000000"/>
              <w:left w:val="single" w:sz="4" w:space="0" w:color="000000"/>
              <w:bottom w:val="single" w:sz="4" w:space="0" w:color="000000"/>
              <w:right w:val="single" w:sz="4" w:space="0" w:color="000000"/>
            </w:tcBorders>
          </w:tcPr>
          <w:p w14:paraId="7BE3422A" w14:textId="77777777" w:rsidR="008D0A04" w:rsidRDefault="008D0A04">
            <w:pPr>
              <w:tabs>
                <w:tab w:val="left" w:pos="720"/>
                <w:tab w:val="left" w:pos="1440"/>
                <w:tab w:val="left" w:pos="2160"/>
                <w:tab w:val="left" w:pos="2880"/>
                <w:tab w:val="left" w:pos="3600"/>
              </w:tabs>
              <w:jc w:val="both"/>
              <w:rPr>
                <w:b/>
                <w:color w:val="000000"/>
                <w:sz w:val="22"/>
                <w:szCs w:val="22"/>
                <w:u w:val="single"/>
                <w:lang w:val="fr-CA"/>
              </w:rPr>
            </w:pPr>
          </w:p>
        </w:tc>
      </w:tr>
      <w:tr w:rsidR="008D0A04" w:rsidRPr="00302458" w14:paraId="08F3C59F"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1923B4ED" w14:textId="77777777" w:rsidR="008D0A04" w:rsidRDefault="008D0A04" w:rsidP="008D0A04">
            <w:pPr>
              <w:widowControl w:val="0"/>
              <w:numPr>
                <w:ilvl w:val="0"/>
                <w:numId w:val="7"/>
              </w:numPr>
              <w:spacing w:after="40"/>
              <w:ind w:left="573" w:hanging="573"/>
              <w:jc w:val="both"/>
              <w:rPr>
                <w:color w:val="000000"/>
                <w:sz w:val="22"/>
                <w:szCs w:val="22"/>
                <w:lang w:val="fr-CA"/>
              </w:rPr>
            </w:pPr>
            <w:r>
              <w:rPr>
                <w:color w:val="000000"/>
                <w:sz w:val="22"/>
                <w:szCs w:val="22"/>
                <w:lang w:val="fr-CA"/>
              </w:rPr>
              <w:t>Suivi du Programme interaméricain d’enregistrement civil universel et « Droit à l’identité ».</w:t>
            </w:r>
          </w:p>
        </w:tc>
        <w:tc>
          <w:tcPr>
            <w:tcW w:w="5062" w:type="dxa"/>
            <w:tcBorders>
              <w:top w:val="single" w:sz="4" w:space="0" w:color="000000"/>
              <w:left w:val="single" w:sz="4" w:space="0" w:color="000000"/>
              <w:bottom w:val="single" w:sz="4" w:space="0" w:color="000000"/>
              <w:right w:val="single" w:sz="4" w:space="0" w:color="000000"/>
            </w:tcBorders>
          </w:tcPr>
          <w:p w14:paraId="09E09D00" w14:textId="77777777" w:rsidR="008D0A04" w:rsidRDefault="008D0A04">
            <w:pPr>
              <w:tabs>
                <w:tab w:val="left" w:pos="720"/>
                <w:tab w:val="left" w:pos="1440"/>
                <w:tab w:val="left" w:pos="2160"/>
                <w:tab w:val="left" w:pos="2880"/>
                <w:tab w:val="left" w:pos="3600"/>
              </w:tabs>
              <w:jc w:val="both"/>
              <w:rPr>
                <w:b/>
                <w:color w:val="000000"/>
                <w:sz w:val="22"/>
                <w:szCs w:val="22"/>
                <w:u w:val="single"/>
                <w:lang w:val="fr-CA"/>
              </w:rPr>
            </w:pPr>
          </w:p>
        </w:tc>
      </w:tr>
      <w:tr w:rsidR="008D0A04" w:rsidRPr="00302458" w14:paraId="3B12EC89" w14:textId="77777777" w:rsidTr="008D0A04">
        <w:trPr>
          <w:trHeight w:val="70"/>
          <w:jc w:val="center"/>
        </w:trPr>
        <w:tc>
          <w:tcPr>
            <w:tcW w:w="7433" w:type="dxa"/>
            <w:tcBorders>
              <w:top w:val="single" w:sz="4" w:space="0" w:color="000000"/>
              <w:left w:val="single" w:sz="4" w:space="0" w:color="000000"/>
              <w:bottom w:val="single" w:sz="4" w:space="0" w:color="000000"/>
              <w:right w:val="single" w:sz="4" w:space="0" w:color="000000"/>
            </w:tcBorders>
            <w:hideMark/>
          </w:tcPr>
          <w:p w14:paraId="0AF11638" w14:textId="77777777" w:rsidR="008D0A04" w:rsidRDefault="008D0A04">
            <w:pPr>
              <w:widowControl w:val="0"/>
              <w:tabs>
                <w:tab w:val="left" w:pos="483"/>
              </w:tabs>
              <w:spacing w:after="40"/>
              <w:ind w:left="483" w:hanging="483"/>
              <w:rPr>
                <w:color w:val="000000"/>
                <w:sz w:val="22"/>
                <w:szCs w:val="22"/>
                <w:u w:val="single"/>
                <w:lang w:val="fr-CA" w:eastAsia="es-ES"/>
              </w:rPr>
            </w:pPr>
            <w:r>
              <w:rPr>
                <w:color w:val="000000"/>
                <w:sz w:val="22"/>
                <w:szCs w:val="22"/>
                <w:lang w:val="fr-CA"/>
              </w:rPr>
              <w:t xml:space="preserve">II. </w:t>
            </w:r>
            <w:r>
              <w:rPr>
                <w:color w:val="000000"/>
                <w:sz w:val="22"/>
                <w:szCs w:val="22"/>
                <w:lang w:val="fr-CA"/>
              </w:rPr>
              <w:tab/>
              <w:t>Suivi et rapports</w:t>
            </w:r>
          </w:p>
        </w:tc>
        <w:tc>
          <w:tcPr>
            <w:tcW w:w="5062" w:type="dxa"/>
            <w:tcBorders>
              <w:top w:val="single" w:sz="4" w:space="0" w:color="000000"/>
              <w:left w:val="single" w:sz="4" w:space="0" w:color="000000"/>
              <w:bottom w:val="single" w:sz="4" w:space="0" w:color="000000"/>
              <w:right w:val="single" w:sz="4" w:space="0" w:color="000000"/>
            </w:tcBorders>
          </w:tcPr>
          <w:p w14:paraId="5DEE1153" w14:textId="77777777" w:rsidR="008D0A04" w:rsidRDefault="008D0A04">
            <w:pPr>
              <w:jc w:val="both"/>
              <w:rPr>
                <w:color w:val="000000"/>
                <w:sz w:val="22"/>
                <w:szCs w:val="22"/>
                <w:lang w:val="fr-CA"/>
              </w:rPr>
            </w:pPr>
            <w:r>
              <w:rPr>
                <w:b/>
                <w:color w:val="000000"/>
                <w:sz w:val="22"/>
                <w:szCs w:val="22"/>
                <w:u w:val="single"/>
                <w:lang w:val="fr-CA"/>
              </w:rPr>
              <w:t>Paragraphe 2 du dispositif :</w:t>
            </w:r>
            <w:r>
              <w:rPr>
                <w:b/>
                <w:color w:val="000000"/>
                <w:sz w:val="22"/>
                <w:szCs w:val="22"/>
                <w:lang w:val="fr-CA"/>
              </w:rPr>
              <w:t xml:space="preserve"> </w:t>
            </w:r>
            <w:r>
              <w:rPr>
                <w:color w:val="000000"/>
                <w:sz w:val="22"/>
                <w:szCs w:val="22"/>
                <w:lang w:val="fr-CA"/>
              </w:rPr>
              <w:t xml:space="preserve">« De demander au Conseil permanent de charger la CAJP de porter à son ordre du jour, avant la cinquantième session ordinaire de l’Assemblée générale, les thèmes ci-après de la présente résolution en vue de promouvoir l’échange de données d’expériences et de bonnes pratiques : « La défense publique officielle autonome en tant que sauvegarde de l’intégrité personnelle de tous les êtres humains sans aucune forme de discrimination ». Réalisation, au premier trimestre 2020, d’une huitième réunion spéciale de la CAJP sur les mécanismes de suivi pour les centres de détention établis par chaque institution de défense publique officielle de la région, avec la présence des États membres et de leurs respectives institutions publiques officielles d’assistance juridique, de membres de l’Association </w:t>
            </w:r>
            <w:r>
              <w:rPr>
                <w:color w:val="000000"/>
                <w:sz w:val="22"/>
                <w:szCs w:val="22"/>
                <w:lang w:val="fr-CA"/>
              </w:rPr>
              <w:lastRenderedPageBreak/>
              <w:t>interaméricaine des bureaux de défenseurs publics (AIDEF), de la CIDH par le truchement de son Bureau du Rapporteur pour les droits des personnes privées de liberté dans les Amériques, d’experts du milieu universitaire et de la société civile, ainsi que des organisations internationales. La participation de membres de l’AIDEF sera garantie par cette organisation. »</w:t>
            </w:r>
          </w:p>
          <w:p w14:paraId="111B72B9" w14:textId="77777777" w:rsidR="008D0A04" w:rsidRDefault="008D0A04">
            <w:pPr>
              <w:tabs>
                <w:tab w:val="left" w:pos="720"/>
                <w:tab w:val="left" w:pos="1440"/>
                <w:tab w:val="left" w:pos="2160"/>
                <w:tab w:val="left" w:pos="2880"/>
                <w:tab w:val="left" w:pos="3600"/>
              </w:tabs>
              <w:spacing w:after="40"/>
              <w:jc w:val="both"/>
              <w:rPr>
                <w:color w:val="000000"/>
                <w:sz w:val="22"/>
                <w:szCs w:val="22"/>
                <w:lang w:val="fr-CA"/>
              </w:rPr>
            </w:pPr>
          </w:p>
          <w:p w14:paraId="650CE751" w14:textId="77777777" w:rsidR="008D0A04" w:rsidRDefault="008D0A04">
            <w:pPr>
              <w:widowControl w:val="0"/>
              <w:tabs>
                <w:tab w:val="left" w:pos="900"/>
              </w:tabs>
              <w:spacing w:after="40"/>
              <w:jc w:val="both"/>
              <w:rPr>
                <w:color w:val="000000"/>
                <w:sz w:val="22"/>
                <w:szCs w:val="22"/>
                <w:lang w:val="fr-CA"/>
              </w:rPr>
            </w:pPr>
            <w:r>
              <w:rPr>
                <w:b/>
                <w:color w:val="000000"/>
                <w:sz w:val="22"/>
                <w:szCs w:val="22"/>
                <w:u w:val="single"/>
                <w:lang w:val="fr-CA"/>
              </w:rPr>
              <w:t>Paragraphe 3 du dispositif :</w:t>
            </w:r>
            <w:r>
              <w:rPr>
                <w:b/>
                <w:color w:val="000000"/>
                <w:sz w:val="22"/>
                <w:szCs w:val="22"/>
                <w:lang w:val="fr-CA"/>
              </w:rPr>
              <w:t xml:space="preserve"> </w:t>
            </w:r>
            <w:r>
              <w:rPr>
                <w:color w:val="000000"/>
                <w:sz w:val="22"/>
                <w:szCs w:val="22"/>
                <w:lang w:val="fr-CA"/>
              </w:rPr>
              <w:t>« De demander au Conseil permanent de faire rapport à l’Assemblée générale, lors de sa cinquantième session ordinaire, sur la mise en œuvre de la présente résolution, et d’établir</w:t>
            </w:r>
            <w:r>
              <w:rPr>
                <w:rFonts w:eastAsia="Batang"/>
                <w:color w:val="000000"/>
                <w:sz w:val="22"/>
                <w:szCs w:val="22"/>
                <w:vertAlign w:val="superscript"/>
                <w:lang w:val="fr-CA"/>
              </w:rPr>
              <w:t xml:space="preserve"> </w:t>
            </w:r>
            <w:r>
              <w:rPr>
                <w:color w:val="000000"/>
                <w:sz w:val="22"/>
                <w:szCs w:val="22"/>
                <w:lang w:val="fr-CA"/>
              </w:rPr>
              <w:t>que la mise en œuvre des activités qui y sont prévues dépendra de la disponibilité des ressources financières inscrites à ce titre dans le programme-budget de l’Organisation, ainsi que d’autres ressources. »</w:t>
            </w:r>
          </w:p>
        </w:tc>
      </w:tr>
    </w:tbl>
    <w:p w14:paraId="60092300" w14:textId="77777777" w:rsidR="008D0A04" w:rsidRDefault="008D0A04" w:rsidP="008D0A04">
      <w:pPr>
        <w:rPr>
          <w:sz w:val="22"/>
          <w:szCs w:val="22"/>
          <w:lang w:val="fr-CA"/>
        </w:rPr>
      </w:pPr>
    </w:p>
    <w:tbl>
      <w:tblPr>
        <w:tblW w:w="12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3"/>
        <w:gridCol w:w="5062"/>
      </w:tblGrid>
      <w:tr w:rsidR="008D0A04" w:rsidRPr="00302458" w14:paraId="1F0AC07D" w14:textId="77777777" w:rsidTr="008D0A04">
        <w:trPr>
          <w:trHeight w:val="70"/>
          <w:jc w:val="center"/>
        </w:trPr>
        <w:tc>
          <w:tcPr>
            <w:tcW w:w="12492" w:type="dxa"/>
            <w:gridSpan w:val="2"/>
            <w:tcBorders>
              <w:top w:val="nil"/>
              <w:left w:val="nil"/>
              <w:bottom w:val="single" w:sz="4" w:space="0" w:color="000000"/>
              <w:right w:val="nil"/>
            </w:tcBorders>
            <w:shd w:val="clear" w:color="auto" w:fill="FFFFFF"/>
            <w:vAlign w:val="center"/>
            <w:hideMark/>
          </w:tcPr>
          <w:p w14:paraId="5990B208" w14:textId="77777777" w:rsidR="008D0A04" w:rsidRDefault="008D0A04">
            <w:pPr>
              <w:spacing w:after="40"/>
              <w:rPr>
                <w:color w:val="000000"/>
                <w:sz w:val="22"/>
                <w:szCs w:val="22"/>
                <w:lang w:val="fr-CA"/>
              </w:rPr>
            </w:pPr>
            <w:r>
              <w:rPr>
                <w:color w:val="000000"/>
                <w:sz w:val="22"/>
                <w:szCs w:val="22"/>
                <w:lang w:val="fr-CA"/>
              </w:rPr>
              <w:t>De la résolution AG/RES. 2891 (XLVI-O/16) « Plan d'action de la Décennie des personnes d’ascendance africaine dans les Amériques (2016-2025) »</w:t>
            </w:r>
          </w:p>
        </w:tc>
      </w:tr>
      <w:tr w:rsidR="008D0A04" w14:paraId="1055BFC5" w14:textId="77777777" w:rsidTr="008D0A04">
        <w:trPr>
          <w:trHeight w:val="70"/>
          <w:jc w:val="center"/>
        </w:trPr>
        <w:tc>
          <w:tcPr>
            <w:tcW w:w="743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A873E3E" w14:textId="77777777" w:rsidR="008D0A04" w:rsidRDefault="008D0A04">
            <w:pPr>
              <w:spacing w:after="40"/>
              <w:jc w:val="center"/>
              <w:rPr>
                <w:b/>
                <w:color w:val="000000"/>
                <w:sz w:val="22"/>
                <w:szCs w:val="22"/>
                <w:lang w:val="fr-CA"/>
              </w:rPr>
            </w:pPr>
            <w:r>
              <w:rPr>
                <w:b/>
                <w:bCs/>
                <w:color w:val="000000"/>
                <w:sz w:val="22"/>
                <w:szCs w:val="22"/>
                <w:lang w:val="fr-CA"/>
              </w:rPr>
              <w:t>Plan d'action de la Décennie des personnes d’ascendance africaine dans les Amériques (2016-2025)</w:t>
            </w:r>
          </w:p>
        </w:tc>
        <w:tc>
          <w:tcPr>
            <w:tcW w:w="506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16BD1A0" w14:textId="77777777" w:rsidR="008D0A04" w:rsidRDefault="008D0A04">
            <w:pPr>
              <w:tabs>
                <w:tab w:val="left" w:pos="720"/>
                <w:tab w:val="left" w:pos="1440"/>
                <w:tab w:val="left" w:pos="2160"/>
                <w:tab w:val="left" w:pos="2880"/>
                <w:tab w:val="left" w:pos="3600"/>
              </w:tabs>
              <w:spacing w:after="40"/>
              <w:jc w:val="center"/>
              <w:rPr>
                <w:b/>
                <w:color w:val="000000"/>
                <w:sz w:val="22"/>
                <w:szCs w:val="22"/>
                <w:lang w:val="fr-CA"/>
              </w:rPr>
            </w:pPr>
            <w:r>
              <w:rPr>
                <w:b/>
                <w:color w:val="000000"/>
                <w:sz w:val="22"/>
                <w:szCs w:val="22"/>
                <w:lang w:val="fr-CA"/>
              </w:rPr>
              <w:t>Mandats</w:t>
            </w:r>
          </w:p>
        </w:tc>
      </w:tr>
      <w:tr w:rsidR="008D0A04" w:rsidRPr="00302458" w14:paraId="116AF52F" w14:textId="77777777" w:rsidTr="008D0A04">
        <w:trPr>
          <w:trHeight w:val="70"/>
          <w:jc w:val="center"/>
        </w:trPr>
        <w:tc>
          <w:tcPr>
            <w:tcW w:w="7431" w:type="dxa"/>
            <w:tcBorders>
              <w:top w:val="single" w:sz="4" w:space="0" w:color="000000"/>
              <w:left w:val="single" w:sz="4" w:space="0" w:color="000000"/>
              <w:bottom w:val="single" w:sz="4" w:space="0" w:color="000000"/>
              <w:right w:val="single" w:sz="4" w:space="0" w:color="000000"/>
            </w:tcBorders>
            <w:hideMark/>
          </w:tcPr>
          <w:p w14:paraId="44AA9779" w14:textId="77777777" w:rsidR="008D0A04" w:rsidRDefault="008D0A04" w:rsidP="008D0A04">
            <w:pPr>
              <w:widowControl w:val="0"/>
              <w:numPr>
                <w:ilvl w:val="0"/>
                <w:numId w:val="8"/>
              </w:numPr>
              <w:spacing w:after="40"/>
              <w:ind w:left="393"/>
              <w:rPr>
                <w:b/>
                <w:color w:val="000000"/>
                <w:sz w:val="22"/>
                <w:szCs w:val="22"/>
                <w:lang w:val="fr-CA" w:eastAsia="es-ES"/>
              </w:rPr>
            </w:pPr>
            <w:r>
              <w:rPr>
                <w:color w:val="000000"/>
                <w:sz w:val="22"/>
                <w:szCs w:val="22"/>
                <w:lang w:val="fr-CA"/>
              </w:rPr>
              <w:t xml:space="preserve">Mise en œuvre et suivi du Plan. </w:t>
            </w:r>
          </w:p>
        </w:tc>
        <w:tc>
          <w:tcPr>
            <w:tcW w:w="5061" w:type="dxa"/>
            <w:tcBorders>
              <w:top w:val="single" w:sz="4" w:space="0" w:color="000000"/>
              <w:left w:val="single" w:sz="4" w:space="0" w:color="000000"/>
              <w:bottom w:val="single" w:sz="4" w:space="0" w:color="000000"/>
              <w:right w:val="single" w:sz="4" w:space="0" w:color="000000"/>
            </w:tcBorders>
            <w:hideMark/>
          </w:tcPr>
          <w:p w14:paraId="5F81CB8E" w14:textId="77777777" w:rsidR="008D0A04" w:rsidRDefault="008D0A04">
            <w:pPr>
              <w:tabs>
                <w:tab w:val="left" w:pos="720"/>
                <w:tab w:val="left" w:pos="1440"/>
                <w:tab w:val="left" w:pos="2160"/>
                <w:tab w:val="left" w:pos="2880"/>
                <w:tab w:val="left" w:pos="3600"/>
              </w:tabs>
              <w:spacing w:after="40"/>
              <w:jc w:val="both"/>
              <w:rPr>
                <w:color w:val="000000"/>
                <w:sz w:val="22"/>
                <w:szCs w:val="22"/>
                <w:lang w:val="fr-CA"/>
              </w:rPr>
            </w:pPr>
            <w:r>
              <w:rPr>
                <w:b/>
                <w:color w:val="000000"/>
                <w:sz w:val="22"/>
                <w:szCs w:val="22"/>
                <w:u w:val="single"/>
                <w:lang w:val="fr-CA"/>
              </w:rPr>
              <w:t>Paragraphe 3 :</w:t>
            </w:r>
            <w:r>
              <w:rPr>
                <w:b/>
                <w:color w:val="000000"/>
                <w:sz w:val="22"/>
                <w:szCs w:val="22"/>
                <w:lang w:val="fr-CA"/>
              </w:rPr>
              <w:t xml:space="preserve"> </w:t>
            </w:r>
            <w:r>
              <w:rPr>
                <w:color w:val="000000"/>
                <w:sz w:val="22"/>
                <w:szCs w:val="22"/>
                <w:lang w:val="fr-CA"/>
              </w:rPr>
              <w:t>« Le Secrétariat général rend compte tous les deux ans des progrès réalisés par l’Organisation lors d’une réunion extraordinaire de la Commission des questions juridiques et politiques du Conseil permanent. »</w:t>
            </w:r>
          </w:p>
        </w:tc>
      </w:tr>
    </w:tbl>
    <w:p w14:paraId="4F4CC372" w14:textId="77777777" w:rsidR="008D0A04" w:rsidRDefault="008D0A04" w:rsidP="008D0A04">
      <w:pPr>
        <w:rPr>
          <w:color w:val="000000"/>
          <w:sz w:val="22"/>
          <w:szCs w:val="22"/>
          <w:lang w:val="fr-CA"/>
        </w:rPr>
      </w:pPr>
    </w:p>
    <w:tbl>
      <w:tblPr>
        <w:tblW w:w="12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95"/>
      </w:tblGrid>
      <w:tr w:rsidR="008D0A04" w:rsidRPr="00302458" w14:paraId="752E123A" w14:textId="77777777" w:rsidTr="008D0A04">
        <w:trPr>
          <w:trHeight w:val="70"/>
          <w:jc w:val="center"/>
        </w:trPr>
        <w:tc>
          <w:tcPr>
            <w:tcW w:w="12492" w:type="dxa"/>
            <w:tcBorders>
              <w:top w:val="nil"/>
              <w:left w:val="nil"/>
              <w:bottom w:val="nil"/>
              <w:right w:val="nil"/>
            </w:tcBorders>
            <w:shd w:val="clear" w:color="auto" w:fill="FFFFFF"/>
            <w:vAlign w:val="center"/>
            <w:hideMark/>
          </w:tcPr>
          <w:tbl>
            <w:tblPr>
              <w:tblW w:w="12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3"/>
              <w:gridCol w:w="5062"/>
            </w:tblGrid>
            <w:tr w:rsidR="008D0A04" w:rsidRPr="00302458" w14:paraId="54028DE5" w14:textId="77777777">
              <w:trPr>
                <w:trHeight w:val="70"/>
                <w:jc w:val="center"/>
              </w:trPr>
              <w:tc>
                <w:tcPr>
                  <w:tcW w:w="12492" w:type="dxa"/>
                  <w:gridSpan w:val="2"/>
                  <w:tcBorders>
                    <w:top w:val="nil"/>
                    <w:left w:val="nil"/>
                    <w:bottom w:val="single" w:sz="4" w:space="0" w:color="000000"/>
                    <w:right w:val="nil"/>
                  </w:tcBorders>
                  <w:shd w:val="clear" w:color="auto" w:fill="FFFFFF"/>
                  <w:vAlign w:val="center"/>
                  <w:hideMark/>
                </w:tcPr>
                <w:p w14:paraId="4EF2CF2B" w14:textId="77777777" w:rsidR="008D0A04" w:rsidRDefault="008D0A04">
                  <w:pPr>
                    <w:tabs>
                      <w:tab w:val="left" w:pos="720"/>
                      <w:tab w:val="left" w:pos="1440"/>
                      <w:tab w:val="left" w:pos="2160"/>
                      <w:tab w:val="left" w:pos="2880"/>
                      <w:tab w:val="left" w:pos="3600"/>
                    </w:tabs>
                    <w:spacing w:before="40" w:after="40"/>
                    <w:jc w:val="both"/>
                    <w:rPr>
                      <w:color w:val="000000"/>
                      <w:sz w:val="22"/>
                      <w:szCs w:val="22"/>
                      <w:lang w:val="fr-CA"/>
                    </w:rPr>
                  </w:pPr>
                  <w:r>
                    <w:rPr>
                      <w:color w:val="000000"/>
                      <w:sz w:val="22"/>
                      <w:szCs w:val="22"/>
                      <w:lang w:val="fr-CA"/>
                    </w:rPr>
                    <w:t>De la résolution AG/RES. 2913 (XLVII-O/17) « Plan d’action relatif à la Déclaration américaine sur les droits des peuples autochtones (2017-2021 » :</w:t>
                  </w:r>
                </w:p>
              </w:tc>
            </w:tr>
            <w:tr w:rsidR="008D0A04" w14:paraId="57B06DAD" w14:textId="77777777">
              <w:trPr>
                <w:trHeight w:val="70"/>
                <w:jc w:val="center"/>
              </w:trPr>
              <w:tc>
                <w:tcPr>
                  <w:tcW w:w="743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10A6BE7" w14:textId="77777777" w:rsidR="008D0A04" w:rsidRDefault="008D0A04">
                  <w:pPr>
                    <w:spacing w:before="40" w:after="40"/>
                    <w:jc w:val="center"/>
                    <w:rPr>
                      <w:b/>
                      <w:color w:val="000000"/>
                      <w:sz w:val="22"/>
                      <w:szCs w:val="22"/>
                      <w:lang w:val="fr-CA"/>
                    </w:rPr>
                  </w:pPr>
                  <w:r>
                    <w:rPr>
                      <w:b/>
                      <w:color w:val="000000"/>
                      <w:sz w:val="22"/>
                      <w:szCs w:val="22"/>
                      <w:lang w:val="fr-CA" w:eastAsia="es-ES"/>
                    </w:rPr>
                    <w:t>Plan d’Action de la Déclaration américaine des droits des peuples autochtones (2017-2021)</w:t>
                  </w:r>
                </w:p>
              </w:tc>
              <w:tc>
                <w:tcPr>
                  <w:tcW w:w="5061" w:type="dxa"/>
                  <w:tcBorders>
                    <w:top w:val="single" w:sz="4" w:space="0" w:color="000000"/>
                    <w:left w:val="single" w:sz="4" w:space="0" w:color="000000"/>
                    <w:bottom w:val="single" w:sz="4" w:space="0" w:color="auto"/>
                    <w:right w:val="single" w:sz="4" w:space="0" w:color="000000"/>
                  </w:tcBorders>
                  <w:shd w:val="clear" w:color="auto" w:fill="BFBFBF"/>
                  <w:vAlign w:val="center"/>
                  <w:hideMark/>
                </w:tcPr>
                <w:p w14:paraId="07DA2B01" w14:textId="77777777" w:rsidR="008D0A04" w:rsidRDefault="008D0A04">
                  <w:pPr>
                    <w:tabs>
                      <w:tab w:val="left" w:pos="720"/>
                      <w:tab w:val="left" w:pos="1440"/>
                      <w:tab w:val="left" w:pos="2160"/>
                      <w:tab w:val="left" w:pos="2880"/>
                      <w:tab w:val="left" w:pos="3600"/>
                    </w:tabs>
                    <w:spacing w:before="40" w:after="40"/>
                    <w:jc w:val="center"/>
                    <w:rPr>
                      <w:b/>
                      <w:color w:val="000000"/>
                      <w:sz w:val="22"/>
                      <w:szCs w:val="22"/>
                      <w:lang w:val="fr-CA"/>
                    </w:rPr>
                  </w:pPr>
                  <w:r>
                    <w:rPr>
                      <w:b/>
                      <w:color w:val="000000"/>
                      <w:sz w:val="22"/>
                      <w:szCs w:val="22"/>
                      <w:lang w:val="fr-CA"/>
                    </w:rPr>
                    <w:t>Mandats</w:t>
                  </w:r>
                </w:p>
              </w:tc>
            </w:tr>
            <w:tr w:rsidR="008D0A04" w:rsidRPr="00302458" w14:paraId="4C0BCFBD" w14:textId="77777777">
              <w:trPr>
                <w:trHeight w:val="70"/>
                <w:jc w:val="center"/>
              </w:trPr>
              <w:tc>
                <w:tcPr>
                  <w:tcW w:w="7431" w:type="dxa"/>
                  <w:tcBorders>
                    <w:top w:val="single" w:sz="4" w:space="0" w:color="000000"/>
                    <w:left w:val="single" w:sz="4" w:space="0" w:color="000000"/>
                    <w:bottom w:val="single" w:sz="4" w:space="0" w:color="000000"/>
                    <w:right w:val="single" w:sz="4" w:space="0" w:color="auto"/>
                  </w:tcBorders>
                  <w:hideMark/>
                </w:tcPr>
                <w:p w14:paraId="266C608D" w14:textId="77777777" w:rsidR="008D0A04" w:rsidRDefault="008D0A04" w:rsidP="008D0A04">
                  <w:pPr>
                    <w:widowControl w:val="0"/>
                    <w:numPr>
                      <w:ilvl w:val="0"/>
                      <w:numId w:val="8"/>
                    </w:numPr>
                    <w:spacing w:after="40"/>
                    <w:ind w:left="393"/>
                    <w:jc w:val="both"/>
                    <w:rPr>
                      <w:color w:val="000000"/>
                      <w:sz w:val="22"/>
                      <w:szCs w:val="22"/>
                      <w:lang w:val="fr-CA"/>
                    </w:rPr>
                  </w:pPr>
                  <w:r>
                    <w:rPr>
                      <w:color w:val="000000"/>
                      <w:sz w:val="22"/>
                      <w:szCs w:val="22"/>
                      <w:lang w:val="fr-CA"/>
                    </w:rPr>
                    <w:t>Échange de bonnes pratiques et de données d’expérience.</w:t>
                  </w:r>
                </w:p>
              </w:tc>
              <w:tc>
                <w:tcPr>
                  <w:tcW w:w="5061" w:type="dxa"/>
                  <w:tcBorders>
                    <w:top w:val="single" w:sz="4" w:space="0" w:color="auto"/>
                    <w:left w:val="single" w:sz="4" w:space="0" w:color="auto"/>
                    <w:bottom w:val="single" w:sz="4" w:space="0" w:color="auto"/>
                    <w:right w:val="single" w:sz="4" w:space="0" w:color="auto"/>
                  </w:tcBorders>
                  <w:hideMark/>
                </w:tcPr>
                <w:p w14:paraId="26C0C329" w14:textId="77777777" w:rsidR="008D0A04" w:rsidRDefault="008D0A04">
                  <w:pPr>
                    <w:tabs>
                      <w:tab w:val="left" w:pos="900"/>
                    </w:tabs>
                    <w:spacing w:before="40" w:after="40"/>
                    <w:jc w:val="both"/>
                    <w:rPr>
                      <w:b/>
                      <w:color w:val="000000"/>
                      <w:sz w:val="22"/>
                      <w:szCs w:val="22"/>
                      <w:lang w:val="fr-CA"/>
                    </w:rPr>
                  </w:pPr>
                  <w:r>
                    <w:rPr>
                      <w:b/>
                      <w:color w:val="000000"/>
                      <w:sz w:val="22"/>
                      <w:szCs w:val="22"/>
                      <w:u w:val="single"/>
                      <w:lang w:val="fr-CA"/>
                    </w:rPr>
                    <w:t>Alinéa 5.2 :</w:t>
                  </w:r>
                  <w:r>
                    <w:rPr>
                      <w:b/>
                      <w:color w:val="000000"/>
                      <w:sz w:val="22"/>
                      <w:szCs w:val="22"/>
                      <w:lang w:val="fr-CA"/>
                    </w:rPr>
                    <w:t xml:space="preserve"> </w:t>
                  </w:r>
                  <w:r>
                    <w:rPr>
                      <w:color w:val="000000"/>
                      <w:sz w:val="22"/>
                      <w:szCs w:val="22"/>
                      <w:lang w:val="fr-CA"/>
                    </w:rPr>
                    <w:t xml:space="preserve">« Réaliser une réunion extraordinaire annuelle de la Commission des questions juridiques et politiques à laquelle participeront des fonctionnaires des institutions nationales et infranationales chargées des questions relatives aux peuples autochtones, ouverte à la participation de représentants des peuples </w:t>
                  </w:r>
                  <w:r>
                    <w:rPr>
                      <w:color w:val="000000"/>
                      <w:sz w:val="22"/>
                      <w:szCs w:val="22"/>
                      <w:lang w:val="fr-CA"/>
                    </w:rPr>
                    <w:lastRenderedPageBreak/>
                    <w:t>autochtones, pour y tenir des échanges d’information sur les avancées réalisées, les expériences acquises et les enseignements tirés ainsi que les défis rencontrés dans la mise en œuvre de la DADIN. »</w:t>
                  </w:r>
                </w:p>
              </w:tc>
            </w:tr>
          </w:tbl>
          <w:p w14:paraId="7C2D6950" w14:textId="77777777" w:rsidR="008D0A04" w:rsidRDefault="008D0A04">
            <w:pPr>
              <w:tabs>
                <w:tab w:val="left" w:pos="720"/>
                <w:tab w:val="left" w:pos="1440"/>
                <w:tab w:val="left" w:pos="2160"/>
                <w:tab w:val="left" w:pos="2880"/>
                <w:tab w:val="left" w:pos="3600"/>
              </w:tabs>
              <w:spacing w:before="40" w:after="40"/>
              <w:jc w:val="both"/>
              <w:rPr>
                <w:color w:val="000000"/>
                <w:sz w:val="22"/>
                <w:szCs w:val="22"/>
                <w:lang w:val="fr-CA"/>
              </w:rPr>
            </w:pPr>
          </w:p>
        </w:tc>
      </w:tr>
    </w:tbl>
    <w:p w14:paraId="037E3821" w14:textId="77777777" w:rsidR="008D0A04" w:rsidRDefault="008D0A04" w:rsidP="008D0A04">
      <w:pPr>
        <w:rPr>
          <w:b/>
          <w:color w:val="000000"/>
          <w:sz w:val="22"/>
          <w:szCs w:val="22"/>
          <w:u w:val="single"/>
          <w:lang w:val="fr-CA" w:eastAsia="es-ES"/>
        </w:rPr>
      </w:pPr>
    </w:p>
    <w:p w14:paraId="1C3C039C" w14:textId="77777777" w:rsidR="008D0A04" w:rsidRDefault="008D0A04" w:rsidP="008D0A04">
      <w:pPr>
        <w:rPr>
          <w:b/>
          <w:color w:val="000000"/>
          <w:sz w:val="22"/>
          <w:szCs w:val="22"/>
          <w:u w:val="single"/>
          <w:lang w:val="fr-CA" w:eastAsia="es-ES"/>
        </w:rPr>
        <w:sectPr w:rsidR="008D0A04" w:rsidSect="00C2432A">
          <w:headerReference w:type="default" r:id="rId11"/>
          <w:type w:val="oddPage"/>
          <w:pgSz w:w="15840" w:h="12240" w:orient="landscape"/>
          <w:pgMar w:top="1627" w:right="1699" w:bottom="274" w:left="1699" w:header="1008" w:footer="1166" w:gutter="0"/>
          <w:pgNumType w:fmt="numberInDash" w:chapSep="emDash"/>
          <w:cols w:space="720"/>
        </w:sectPr>
      </w:pPr>
    </w:p>
    <w:p w14:paraId="4563454C" w14:textId="77777777" w:rsidR="008D0A04" w:rsidRDefault="008D0A04" w:rsidP="008D0A04">
      <w:pPr>
        <w:jc w:val="right"/>
        <w:rPr>
          <w:b/>
          <w:bCs/>
          <w:color w:val="000000"/>
          <w:sz w:val="22"/>
          <w:szCs w:val="22"/>
          <w:u w:val="single"/>
          <w:lang w:val="fr-CA" w:eastAsia="es-ES"/>
        </w:rPr>
      </w:pPr>
      <w:r>
        <w:rPr>
          <w:b/>
          <w:color w:val="000000"/>
          <w:sz w:val="22"/>
          <w:szCs w:val="22"/>
          <w:u w:val="single"/>
          <w:lang w:val="fr-CA" w:eastAsia="es-ES"/>
        </w:rPr>
        <w:lastRenderedPageBreak/>
        <w:t>ANNEXE II</w:t>
      </w:r>
    </w:p>
    <w:p w14:paraId="0C665558" w14:textId="77777777" w:rsidR="008D0A04" w:rsidRDefault="008D0A04" w:rsidP="008D0A04">
      <w:pPr>
        <w:jc w:val="center"/>
        <w:rPr>
          <w:b/>
          <w:bCs/>
          <w:sz w:val="22"/>
          <w:szCs w:val="22"/>
          <w:lang w:val="fr-CA"/>
        </w:rPr>
      </w:pPr>
      <w:r>
        <w:rPr>
          <w:b/>
          <w:sz w:val="22"/>
          <w:szCs w:val="22"/>
          <w:lang w:val="fr-CA"/>
        </w:rPr>
        <w:t>CALENDRIER DE RÉUNIONS</w:t>
      </w:r>
      <w:r>
        <w:rPr>
          <w:b/>
          <w:sz w:val="22"/>
          <w:szCs w:val="22"/>
          <w:lang w:val="fr-CA"/>
        </w:rPr>
        <w:br/>
        <w:t>DE LA COMMISSION DES QUESTIONS JURIDIQUES ET POLITIQUES</w:t>
      </w:r>
    </w:p>
    <w:p w14:paraId="4CE4D78D" w14:textId="77777777" w:rsidR="008D0A04" w:rsidRDefault="008D0A04" w:rsidP="008D0A04">
      <w:pPr>
        <w:jc w:val="center"/>
        <w:rPr>
          <w:b/>
          <w:bCs/>
          <w:sz w:val="22"/>
          <w:szCs w:val="22"/>
          <w:lang w:val="fr-CA"/>
        </w:rPr>
      </w:pPr>
      <w:r>
        <w:rPr>
          <w:b/>
          <w:sz w:val="22"/>
          <w:szCs w:val="22"/>
          <w:lang w:val="fr-CA"/>
        </w:rPr>
        <w:t>(Deuxième semestre 2019 et premier semestre 2020)</w:t>
      </w:r>
    </w:p>
    <w:p w14:paraId="022E1A1D" w14:textId="77777777" w:rsidR="008D0A04" w:rsidRDefault="008D0A04" w:rsidP="008D0A04">
      <w:pPr>
        <w:rPr>
          <w:sz w:val="22"/>
          <w:szCs w:val="22"/>
          <w:lang w:val="fr-CA"/>
        </w:rPr>
      </w:pPr>
    </w:p>
    <w:tbl>
      <w:tblPr>
        <w:tblW w:w="14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7"/>
        <w:gridCol w:w="11602"/>
      </w:tblGrid>
      <w:tr w:rsidR="008D0A04" w14:paraId="1B180589" w14:textId="77777777" w:rsidTr="008D0A04">
        <w:trPr>
          <w:jc w:val="center"/>
        </w:trPr>
        <w:tc>
          <w:tcPr>
            <w:tcW w:w="14179" w:type="dxa"/>
            <w:gridSpan w:val="2"/>
            <w:tcBorders>
              <w:top w:val="single" w:sz="4" w:space="0" w:color="000000"/>
              <w:left w:val="single" w:sz="4" w:space="0" w:color="000000"/>
              <w:bottom w:val="single" w:sz="4" w:space="0" w:color="000000"/>
              <w:right w:val="single" w:sz="4" w:space="0" w:color="000000"/>
            </w:tcBorders>
            <w:shd w:val="pct15" w:color="auto" w:fill="auto"/>
            <w:hideMark/>
          </w:tcPr>
          <w:p w14:paraId="3DAC6E80" w14:textId="77777777" w:rsidR="008D0A04" w:rsidRDefault="008D0A04">
            <w:pPr>
              <w:jc w:val="center"/>
              <w:rPr>
                <w:b/>
                <w:sz w:val="22"/>
                <w:szCs w:val="22"/>
                <w:lang w:val="fr-CA"/>
              </w:rPr>
            </w:pPr>
            <w:r>
              <w:rPr>
                <w:b/>
                <w:sz w:val="22"/>
                <w:szCs w:val="22"/>
                <w:lang w:val="fr-CA"/>
              </w:rPr>
              <w:t>OCTOBRE 2019</w:t>
            </w:r>
          </w:p>
        </w:tc>
      </w:tr>
      <w:tr w:rsidR="008D0A04" w:rsidRPr="00302458" w14:paraId="40E31704" w14:textId="77777777" w:rsidTr="008D0A04">
        <w:trPr>
          <w:trHeight w:val="70"/>
          <w:jc w:val="center"/>
        </w:trPr>
        <w:tc>
          <w:tcPr>
            <w:tcW w:w="2577" w:type="dxa"/>
            <w:tcBorders>
              <w:top w:val="single" w:sz="4" w:space="0" w:color="000000"/>
              <w:left w:val="single" w:sz="4" w:space="0" w:color="000000"/>
              <w:bottom w:val="single" w:sz="4" w:space="0" w:color="000000"/>
              <w:right w:val="single" w:sz="4" w:space="0" w:color="000000"/>
            </w:tcBorders>
            <w:hideMark/>
          </w:tcPr>
          <w:p w14:paraId="03992BDE" w14:textId="77777777" w:rsidR="008D0A04" w:rsidRDefault="008D0A04">
            <w:pPr>
              <w:jc w:val="center"/>
              <w:rPr>
                <w:sz w:val="22"/>
                <w:szCs w:val="22"/>
                <w:lang w:val="fr-CA"/>
              </w:rPr>
            </w:pPr>
            <w:r>
              <w:rPr>
                <w:sz w:val="22"/>
                <w:szCs w:val="22"/>
                <w:lang w:val="fr-CA"/>
              </w:rPr>
              <w:t>Mercredi</w:t>
            </w:r>
          </w:p>
          <w:p w14:paraId="2634A7FC" w14:textId="77777777" w:rsidR="008D0A04" w:rsidRDefault="008D0A04">
            <w:pPr>
              <w:jc w:val="center"/>
              <w:rPr>
                <w:sz w:val="22"/>
                <w:szCs w:val="22"/>
                <w:lang w:val="fr-CA"/>
              </w:rPr>
            </w:pPr>
            <w:r>
              <w:rPr>
                <w:sz w:val="22"/>
                <w:szCs w:val="22"/>
                <w:lang w:val="fr-CA"/>
              </w:rPr>
              <w:t>9 octobre 2019</w:t>
            </w:r>
            <w:r>
              <w:rPr>
                <w:sz w:val="22"/>
                <w:szCs w:val="22"/>
                <w:lang w:val="fr-CA"/>
              </w:rPr>
              <w:br/>
              <w:t>14 h 30 – 17 h 30</w:t>
            </w:r>
          </w:p>
          <w:p w14:paraId="4D1D3B33" w14:textId="77777777" w:rsidR="008D0A04" w:rsidRDefault="008D0A04">
            <w:pPr>
              <w:jc w:val="center"/>
              <w:rPr>
                <w:sz w:val="22"/>
                <w:szCs w:val="22"/>
                <w:lang w:val="fr-CA"/>
              </w:rPr>
            </w:pPr>
            <w:r>
              <w:rPr>
                <w:sz w:val="22"/>
                <w:szCs w:val="22"/>
                <w:lang w:val="fr-CA"/>
              </w:rPr>
              <w:t>salle L. Simon Bolivar</w:t>
            </w:r>
          </w:p>
        </w:tc>
        <w:tc>
          <w:tcPr>
            <w:tcW w:w="11602" w:type="dxa"/>
            <w:tcBorders>
              <w:top w:val="single" w:sz="4" w:space="0" w:color="000000"/>
              <w:left w:val="single" w:sz="4" w:space="0" w:color="000000"/>
              <w:bottom w:val="single" w:sz="4" w:space="0" w:color="000000"/>
              <w:right w:val="single" w:sz="4" w:space="0" w:color="000000"/>
            </w:tcBorders>
            <w:hideMark/>
          </w:tcPr>
          <w:p w14:paraId="7574E665" w14:textId="77777777" w:rsidR="008D0A04" w:rsidRDefault="008D0A04" w:rsidP="008D0A04">
            <w:pPr>
              <w:numPr>
                <w:ilvl w:val="0"/>
                <w:numId w:val="9"/>
              </w:numPr>
              <w:rPr>
                <w:sz w:val="22"/>
                <w:szCs w:val="22"/>
                <w:lang w:val="fr-CA"/>
              </w:rPr>
            </w:pPr>
            <w:r>
              <w:rPr>
                <w:sz w:val="22"/>
                <w:szCs w:val="22"/>
                <w:lang w:val="fr-CA"/>
              </w:rPr>
              <w:t>Élection de vice-présidents.</w:t>
            </w:r>
          </w:p>
          <w:p w14:paraId="20B7ACDA" w14:textId="77777777" w:rsidR="008D0A04" w:rsidRDefault="008D0A04" w:rsidP="008D0A04">
            <w:pPr>
              <w:numPr>
                <w:ilvl w:val="0"/>
                <w:numId w:val="9"/>
              </w:numPr>
              <w:rPr>
                <w:sz w:val="22"/>
                <w:szCs w:val="22"/>
                <w:lang w:val="fr-CA"/>
              </w:rPr>
            </w:pPr>
            <w:r>
              <w:rPr>
                <w:sz w:val="22"/>
                <w:szCs w:val="22"/>
                <w:lang w:val="fr-CA"/>
              </w:rPr>
              <w:t>Présentation du projet de plan de travail 2019-2020 de la CAJP.</w:t>
            </w:r>
          </w:p>
          <w:p w14:paraId="416ED9EC" w14:textId="77777777" w:rsidR="008D0A04" w:rsidRDefault="008D0A04" w:rsidP="008D0A04">
            <w:pPr>
              <w:numPr>
                <w:ilvl w:val="0"/>
                <w:numId w:val="9"/>
              </w:numPr>
              <w:rPr>
                <w:sz w:val="22"/>
                <w:szCs w:val="22"/>
                <w:lang w:val="fr-CA"/>
              </w:rPr>
            </w:pPr>
            <w:r>
              <w:rPr>
                <w:sz w:val="22"/>
                <w:szCs w:val="22"/>
                <w:lang w:val="fr-CA"/>
              </w:rPr>
              <w:t>Suivi des mandats issus de la résolution AG/RES. 2931 (XLIX-O/19), « Renforcement de la démocratie » :</w:t>
            </w:r>
          </w:p>
          <w:p w14:paraId="54AB0B73" w14:textId="77777777" w:rsidR="008D0A04" w:rsidRDefault="008D0A04" w:rsidP="008D0A04">
            <w:pPr>
              <w:numPr>
                <w:ilvl w:val="0"/>
                <w:numId w:val="10"/>
              </w:numPr>
              <w:rPr>
                <w:sz w:val="22"/>
                <w:szCs w:val="22"/>
                <w:lang w:val="fr-CA"/>
              </w:rPr>
            </w:pPr>
            <w:r>
              <w:rPr>
                <w:sz w:val="22"/>
                <w:szCs w:val="22"/>
                <w:u w:val="single"/>
                <w:lang w:val="fr-CA"/>
              </w:rPr>
              <w:t>Section viii</w:t>
            </w:r>
            <w:r>
              <w:rPr>
                <w:sz w:val="22"/>
                <w:szCs w:val="22"/>
                <w:lang w:val="fr-CA"/>
              </w:rPr>
              <w:t xml:space="preserve"> : Renforcement des activités du Programme interaméricain des facilitateurs judiciaires.</w:t>
            </w:r>
            <w:r>
              <w:rPr>
                <w:i/>
                <w:sz w:val="22"/>
                <w:szCs w:val="22"/>
                <w:lang w:val="fr-CA"/>
              </w:rPr>
              <w:tab/>
            </w:r>
          </w:p>
        </w:tc>
      </w:tr>
      <w:tr w:rsidR="008D0A04" w:rsidRPr="00302458" w14:paraId="1DB1C58F" w14:textId="77777777" w:rsidTr="008D0A04">
        <w:trPr>
          <w:jc w:val="center"/>
        </w:trPr>
        <w:tc>
          <w:tcPr>
            <w:tcW w:w="2577" w:type="dxa"/>
            <w:tcBorders>
              <w:top w:val="single" w:sz="4" w:space="0" w:color="000000"/>
              <w:left w:val="single" w:sz="4" w:space="0" w:color="000000"/>
              <w:bottom w:val="single" w:sz="4" w:space="0" w:color="000000"/>
              <w:right w:val="single" w:sz="4" w:space="0" w:color="000000"/>
            </w:tcBorders>
            <w:hideMark/>
          </w:tcPr>
          <w:p w14:paraId="62F6BEEE" w14:textId="77777777" w:rsidR="008D0A04" w:rsidRDefault="008D0A04">
            <w:pPr>
              <w:jc w:val="center"/>
              <w:rPr>
                <w:sz w:val="22"/>
                <w:szCs w:val="22"/>
                <w:lang w:val="fr-CA"/>
              </w:rPr>
            </w:pPr>
            <w:r>
              <w:rPr>
                <w:sz w:val="22"/>
                <w:szCs w:val="22"/>
                <w:lang w:val="fr-CA"/>
              </w:rPr>
              <w:t>Jeudi</w:t>
            </w:r>
          </w:p>
          <w:p w14:paraId="2F079F6E" w14:textId="77777777" w:rsidR="008D0A04" w:rsidRDefault="008D0A04">
            <w:pPr>
              <w:jc w:val="center"/>
              <w:rPr>
                <w:sz w:val="22"/>
                <w:szCs w:val="22"/>
                <w:lang w:val="fr-CA"/>
              </w:rPr>
            </w:pPr>
            <w:r>
              <w:rPr>
                <w:sz w:val="22"/>
                <w:szCs w:val="22"/>
                <w:lang w:val="fr-CA"/>
              </w:rPr>
              <w:t>17 octobre 2019</w:t>
            </w:r>
            <w:r>
              <w:rPr>
                <w:sz w:val="22"/>
                <w:szCs w:val="22"/>
                <w:lang w:val="fr-CA"/>
              </w:rPr>
              <w:br/>
              <w:t>14 h 30 – 17 h 30</w:t>
            </w:r>
          </w:p>
          <w:p w14:paraId="527C192C" w14:textId="77777777" w:rsidR="008D0A04" w:rsidRDefault="008D0A04">
            <w:pPr>
              <w:jc w:val="center"/>
              <w:rPr>
                <w:sz w:val="22"/>
                <w:szCs w:val="22"/>
                <w:lang w:val="fr-CA"/>
              </w:rPr>
            </w:pPr>
            <w:r>
              <w:rPr>
                <w:sz w:val="22"/>
                <w:szCs w:val="22"/>
                <w:lang w:val="fr-CA"/>
              </w:rPr>
              <w:t>salle L. Simon Bolivar</w:t>
            </w:r>
          </w:p>
        </w:tc>
        <w:tc>
          <w:tcPr>
            <w:tcW w:w="11602" w:type="dxa"/>
            <w:tcBorders>
              <w:top w:val="single" w:sz="4" w:space="0" w:color="000000"/>
              <w:left w:val="single" w:sz="4" w:space="0" w:color="000000"/>
              <w:bottom w:val="single" w:sz="4" w:space="0" w:color="000000"/>
              <w:right w:val="single" w:sz="4" w:space="0" w:color="000000"/>
            </w:tcBorders>
            <w:hideMark/>
          </w:tcPr>
          <w:p w14:paraId="7DDEA17F" w14:textId="77777777" w:rsidR="008D0A04" w:rsidRDefault="008D0A04" w:rsidP="008D0A04">
            <w:pPr>
              <w:numPr>
                <w:ilvl w:val="0"/>
                <w:numId w:val="11"/>
              </w:numPr>
              <w:rPr>
                <w:sz w:val="22"/>
                <w:szCs w:val="22"/>
                <w:lang w:val="fr-CA"/>
              </w:rPr>
            </w:pPr>
            <w:r>
              <w:rPr>
                <w:sz w:val="22"/>
                <w:szCs w:val="22"/>
                <w:lang w:val="fr-CA"/>
              </w:rPr>
              <w:t>Examen et approbation du projet de plan de travail 2019-2020 de la CAJP.</w:t>
            </w:r>
          </w:p>
          <w:p w14:paraId="60E67048" w14:textId="77777777" w:rsidR="008D0A04" w:rsidRDefault="008D0A04" w:rsidP="008D0A04">
            <w:pPr>
              <w:numPr>
                <w:ilvl w:val="0"/>
                <w:numId w:val="11"/>
              </w:numPr>
              <w:rPr>
                <w:sz w:val="22"/>
                <w:szCs w:val="22"/>
                <w:lang w:val="fr-CA"/>
              </w:rPr>
            </w:pPr>
            <w:r>
              <w:rPr>
                <w:sz w:val="22"/>
                <w:szCs w:val="22"/>
                <w:lang w:val="fr-CA"/>
              </w:rPr>
              <w:t>Élection de la deuxième vice-présidence.</w:t>
            </w:r>
          </w:p>
          <w:p w14:paraId="036E70C6" w14:textId="77777777" w:rsidR="008D0A04" w:rsidRDefault="008D0A04" w:rsidP="008D0A04">
            <w:pPr>
              <w:numPr>
                <w:ilvl w:val="0"/>
                <w:numId w:val="11"/>
              </w:numPr>
              <w:rPr>
                <w:sz w:val="22"/>
                <w:szCs w:val="22"/>
                <w:lang w:val="fr-CA"/>
              </w:rPr>
            </w:pPr>
            <w:r>
              <w:rPr>
                <w:sz w:val="22"/>
                <w:szCs w:val="22"/>
                <w:lang w:val="fr-CA"/>
              </w:rPr>
              <w:t>Suivi des mandats issus de la résolution AG/RES. 2928 (XLVIII-O/18), « Promotion et protection des droits de la personne » :</w:t>
            </w:r>
          </w:p>
          <w:p w14:paraId="3EE8FDA6" w14:textId="77777777" w:rsidR="008D0A04" w:rsidRDefault="008D0A04" w:rsidP="008D0A04">
            <w:pPr>
              <w:numPr>
                <w:ilvl w:val="0"/>
                <w:numId w:val="10"/>
              </w:numPr>
              <w:rPr>
                <w:sz w:val="22"/>
                <w:szCs w:val="22"/>
                <w:lang w:val="fr-CA"/>
              </w:rPr>
            </w:pPr>
            <w:r>
              <w:rPr>
                <w:sz w:val="22"/>
                <w:szCs w:val="22"/>
                <w:u w:val="single"/>
                <w:lang w:val="fr-CA"/>
              </w:rPr>
              <w:t>Section iv</w:t>
            </w:r>
            <w:r>
              <w:rPr>
                <w:sz w:val="22"/>
                <w:szCs w:val="22"/>
                <w:lang w:val="fr-CA"/>
              </w:rPr>
              <w:t xml:space="preserve"> : Droit à la liberté de pensée et d’expression, y compris sur l’Internet dans les contextes électoraux :</w:t>
            </w:r>
          </w:p>
          <w:p w14:paraId="0B57991B" w14:textId="77777777" w:rsidR="008D0A04" w:rsidRDefault="008D0A04" w:rsidP="008D0A04">
            <w:pPr>
              <w:numPr>
                <w:ilvl w:val="1"/>
                <w:numId w:val="12"/>
              </w:numPr>
              <w:rPr>
                <w:sz w:val="22"/>
                <w:szCs w:val="22"/>
                <w:lang w:val="fr-CA"/>
              </w:rPr>
            </w:pPr>
            <w:r>
              <w:rPr>
                <w:sz w:val="22"/>
                <w:szCs w:val="22"/>
                <w:lang w:val="fr-CA"/>
              </w:rPr>
              <w:t>Proposition de guide pour aborder le phénomène de la désinformation durant le déroulement des processus électoraux et éviter l’ingérence indue »</w:t>
            </w:r>
          </w:p>
          <w:p w14:paraId="3A996572" w14:textId="77777777" w:rsidR="008D0A04" w:rsidRDefault="008D0A04" w:rsidP="008D0A04">
            <w:pPr>
              <w:numPr>
                <w:ilvl w:val="0"/>
                <w:numId w:val="11"/>
              </w:numPr>
              <w:rPr>
                <w:sz w:val="22"/>
                <w:szCs w:val="22"/>
                <w:lang w:val="fr-CA"/>
              </w:rPr>
            </w:pPr>
            <w:r>
              <w:rPr>
                <w:sz w:val="22"/>
                <w:szCs w:val="22"/>
                <w:lang w:val="fr-CA"/>
              </w:rPr>
              <w:t>Suivi des mandats issus de la résolution AG/RES. 2931 (XLIX-O/19), « Renforcement de la démocratie » :</w:t>
            </w:r>
          </w:p>
          <w:p w14:paraId="29D58894" w14:textId="77777777" w:rsidR="008D0A04" w:rsidRDefault="008D0A04" w:rsidP="008D0A04">
            <w:pPr>
              <w:numPr>
                <w:ilvl w:val="0"/>
                <w:numId w:val="10"/>
              </w:numPr>
              <w:rPr>
                <w:sz w:val="22"/>
                <w:szCs w:val="22"/>
                <w:lang w:val="fr-CA"/>
              </w:rPr>
            </w:pPr>
            <w:r>
              <w:rPr>
                <w:sz w:val="22"/>
                <w:szCs w:val="22"/>
                <w:u w:val="single"/>
                <w:lang w:val="fr-CA"/>
              </w:rPr>
              <w:t>Section v</w:t>
            </w:r>
            <w:r>
              <w:rPr>
                <w:sz w:val="22"/>
                <w:szCs w:val="22"/>
                <w:lang w:val="fr-CA"/>
              </w:rPr>
              <w:t xml:space="preserve"> : Dialogue inclusif pour la prévention, le traitement efficace ainsi que le règlement intégral des conflits sociaux dans l’investissement en faveur du développement intégré :</w:t>
            </w:r>
          </w:p>
          <w:p w14:paraId="7FE55826" w14:textId="77777777" w:rsidR="008D0A04" w:rsidRDefault="008D0A04" w:rsidP="008D0A04">
            <w:pPr>
              <w:numPr>
                <w:ilvl w:val="1"/>
                <w:numId w:val="12"/>
              </w:numPr>
              <w:rPr>
                <w:sz w:val="22"/>
                <w:szCs w:val="22"/>
                <w:lang w:val="fr-CA"/>
              </w:rPr>
            </w:pPr>
            <w:r>
              <w:rPr>
                <w:sz w:val="22"/>
                <w:szCs w:val="22"/>
                <w:lang w:val="fr-CA"/>
              </w:rPr>
              <w:t xml:space="preserve">Préparatifs de la réunion extraordinaire : « Dialogue inclusif pour la prévention, le traitement efficace ainsi que le règlement intégral des conflits sociaux dans l'investissement en faveur du développement intégré ». </w:t>
            </w:r>
          </w:p>
          <w:p w14:paraId="1C73A776" w14:textId="77777777" w:rsidR="008D0A04" w:rsidRDefault="008D0A04" w:rsidP="008D0A04">
            <w:pPr>
              <w:numPr>
                <w:ilvl w:val="0"/>
                <w:numId w:val="10"/>
              </w:numPr>
              <w:rPr>
                <w:sz w:val="22"/>
                <w:szCs w:val="22"/>
                <w:lang w:val="fr-CA"/>
              </w:rPr>
            </w:pPr>
            <w:r>
              <w:rPr>
                <w:sz w:val="22"/>
                <w:szCs w:val="22"/>
                <w:u w:val="single"/>
                <w:lang w:val="fr-CA"/>
              </w:rPr>
              <w:t>Section xii</w:t>
            </w:r>
            <w:r>
              <w:rPr>
                <w:sz w:val="22"/>
                <w:szCs w:val="22"/>
                <w:lang w:val="fr-CA"/>
              </w:rPr>
              <w:t> : Accès à l’information et protection des données personnelles :</w:t>
            </w:r>
          </w:p>
          <w:p w14:paraId="1BEC24DF" w14:textId="77777777" w:rsidR="008D0A04" w:rsidRDefault="008D0A04" w:rsidP="008D0A04">
            <w:pPr>
              <w:numPr>
                <w:ilvl w:val="1"/>
                <w:numId w:val="12"/>
              </w:numPr>
              <w:rPr>
                <w:sz w:val="22"/>
                <w:szCs w:val="22"/>
                <w:lang w:val="fr-CA"/>
              </w:rPr>
            </w:pPr>
            <w:r>
              <w:rPr>
                <w:sz w:val="22"/>
                <w:szCs w:val="22"/>
                <w:lang w:val="fr-CA"/>
              </w:rPr>
              <w:t xml:space="preserve">Préparatifs de la réunion au cours de laquelle seront présentés les rapports volontaires de situation et d’échange de bonnes pratiques en matière de mise en œuvre du Programme interaméricain sur l’accès à l’information. </w:t>
            </w:r>
          </w:p>
          <w:p w14:paraId="4D4F5208" w14:textId="77777777" w:rsidR="008D0A04" w:rsidRDefault="008D0A04" w:rsidP="008D0A04">
            <w:pPr>
              <w:numPr>
                <w:ilvl w:val="0"/>
                <w:numId w:val="11"/>
              </w:numPr>
              <w:rPr>
                <w:sz w:val="22"/>
                <w:szCs w:val="22"/>
                <w:lang w:val="fr-CA"/>
              </w:rPr>
            </w:pPr>
            <w:r>
              <w:rPr>
                <w:sz w:val="22"/>
                <w:szCs w:val="22"/>
                <w:lang w:val="fr-CA"/>
              </w:rPr>
              <w:t>Suivi des mandats issus de la résolution AG/RES. 2941 (XLIX-O/19), « Promotion et protection des droits de la personne » :</w:t>
            </w:r>
          </w:p>
          <w:p w14:paraId="770AE0A2" w14:textId="77777777" w:rsidR="008D0A04" w:rsidRDefault="008D0A04" w:rsidP="008D0A04">
            <w:pPr>
              <w:numPr>
                <w:ilvl w:val="0"/>
                <w:numId w:val="10"/>
              </w:numPr>
              <w:rPr>
                <w:sz w:val="22"/>
                <w:szCs w:val="22"/>
                <w:lang w:val="fr-CA"/>
              </w:rPr>
            </w:pPr>
            <w:r>
              <w:rPr>
                <w:sz w:val="22"/>
                <w:szCs w:val="22"/>
                <w:u w:val="single"/>
                <w:lang w:val="fr-CA"/>
              </w:rPr>
              <w:t>Section iv</w:t>
            </w:r>
            <w:r>
              <w:rPr>
                <w:sz w:val="22"/>
                <w:szCs w:val="22"/>
                <w:lang w:val="fr-CA"/>
              </w:rPr>
              <w:t xml:space="preserve"> : La défense publique officielle autonome en tant que sauvegarde de l’intégrité personnelle de tous les êtres humains sans discrimination aucune :</w:t>
            </w:r>
          </w:p>
          <w:p w14:paraId="77589DFC" w14:textId="77777777" w:rsidR="008D0A04" w:rsidRDefault="008D0A04" w:rsidP="008D0A04">
            <w:pPr>
              <w:numPr>
                <w:ilvl w:val="1"/>
                <w:numId w:val="12"/>
              </w:numPr>
              <w:rPr>
                <w:sz w:val="22"/>
                <w:szCs w:val="22"/>
                <w:lang w:val="fr-CA"/>
              </w:rPr>
            </w:pPr>
            <w:r>
              <w:rPr>
                <w:sz w:val="22"/>
                <w:szCs w:val="22"/>
                <w:lang w:val="fr-CA"/>
              </w:rPr>
              <w:t xml:space="preserve">Préparatifs de la huitième réunion extraordinaire sur les mécanismes de suivi des centres de détention employés par chaque institution de détention publique officielle de la région. </w:t>
            </w:r>
          </w:p>
        </w:tc>
      </w:tr>
      <w:tr w:rsidR="008D0A04" w14:paraId="137339FE" w14:textId="77777777" w:rsidTr="008D0A04">
        <w:trPr>
          <w:jc w:val="center"/>
        </w:trPr>
        <w:tc>
          <w:tcPr>
            <w:tcW w:w="14179" w:type="dxa"/>
            <w:gridSpan w:val="2"/>
            <w:tcBorders>
              <w:top w:val="single" w:sz="4" w:space="0" w:color="000000"/>
              <w:left w:val="single" w:sz="4" w:space="0" w:color="000000"/>
              <w:bottom w:val="single" w:sz="4" w:space="0" w:color="000000"/>
              <w:right w:val="single" w:sz="4" w:space="0" w:color="000000"/>
            </w:tcBorders>
            <w:shd w:val="pct15" w:color="auto" w:fill="auto"/>
            <w:hideMark/>
          </w:tcPr>
          <w:p w14:paraId="47F4BFE9" w14:textId="77777777" w:rsidR="008D0A04" w:rsidRDefault="008D0A04">
            <w:pPr>
              <w:jc w:val="center"/>
              <w:rPr>
                <w:b/>
                <w:sz w:val="22"/>
                <w:szCs w:val="22"/>
                <w:lang w:val="fr-CA"/>
              </w:rPr>
            </w:pPr>
            <w:r>
              <w:rPr>
                <w:b/>
                <w:sz w:val="22"/>
                <w:szCs w:val="22"/>
                <w:lang w:val="fr-CA"/>
              </w:rPr>
              <w:t>NOVEMBRE 2019</w:t>
            </w:r>
          </w:p>
        </w:tc>
      </w:tr>
      <w:tr w:rsidR="008D0A04" w:rsidRPr="00302458" w14:paraId="18726ACA" w14:textId="77777777" w:rsidTr="008D0A04">
        <w:trPr>
          <w:jc w:val="center"/>
        </w:trPr>
        <w:tc>
          <w:tcPr>
            <w:tcW w:w="2577" w:type="dxa"/>
            <w:tcBorders>
              <w:top w:val="single" w:sz="4" w:space="0" w:color="000000"/>
              <w:left w:val="single" w:sz="4" w:space="0" w:color="000000"/>
              <w:bottom w:val="single" w:sz="4" w:space="0" w:color="000000"/>
              <w:right w:val="single" w:sz="4" w:space="0" w:color="000000"/>
            </w:tcBorders>
            <w:vAlign w:val="center"/>
            <w:hideMark/>
          </w:tcPr>
          <w:p w14:paraId="468491C6" w14:textId="77777777" w:rsidR="008D0A04" w:rsidRPr="00C2432A" w:rsidRDefault="008D0A04">
            <w:pPr>
              <w:jc w:val="center"/>
              <w:rPr>
                <w:sz w:val="22"/>
                <w:szCs w:val="22"/>
                <w:lang w:val="pt-BR"/>
              </w:rPr>
            </w:pPr>
            <w:r w:rsidRPr="00C2432A">
              <w:rPr>
                <w:sz w:val="22"/>
                <w:szCs w:val="22"/>
                <w:lang w:val="pt-BR"/>
              </w:rPr>
              <w:t>Jeudi</w:t>
            </w:r>
          </w:p>
          <w:p w14:paraId="66D9443A" w14:textId="77777777" w:rsidR="008D0A04" w:rsidRPr="00C2432A" w:rsidRDefault="008D0A04">
            <w:pPr>
              <w:jc w:val="center"/>
              <w:rPr>
                <w:sz w:val="22"/>
                <w:szCs w:val="22"/>
                <w:lang w:val="pt-BR"/>
              </w:rPr>
            </w:pPr>
            <w:r w:rsidRPr="00C2432A">
              <w:rPr>
                <w:sz w:val="22"/>
                <w:szCs w:val="22"/>
                <w:lang w:val="pt-BR"/>
              </w:rPr>
              <w:t>14 novembre 2019</w:t>
            </w:r>
            <w:r w:rsidRPr="00C2432A">
              <w:rPr>
                <w:sz w:val="22"/>
                <w:szCs w:val="22"/>
                <w:lang w:val="pt-BR"/>
              </w:rPr>
              <w:br/>
              <w:t>14 h 30 – 17 h 30</w:t>
            </w:r>
          </w:p>
          <w:p w14:paraId="381B431B" w14:textId="77777777" w:rsidR="008D0A04" w:rsidRPr="00C2432A" w:rsidRDefault="008D0A04">
            <w:pPr>
              <w:jc w:val="center"/>
              <w:rPr>
                <w:sz w:val="22"/>
                <w:szCs w:val="22"/>
                <w:lang w:val="pt-BR"/>
              </w:rPr>
            </w:pPr>
            <w:r w:rsidRPr="00C2432A">
              <w:rPr>
                <w:sz w:val="22"/>
                <w:szCs w:val="22"/>
                <w:lang w:val="pt-BR"/>
              </w:rPr>
              <w:t>salle L. Simon Bolivar</w:t>
            </w:r>
          </w:p>
        </w:tc>
        <w:tc>
          <w:tcPr>
            <w:tcW w:w="11602" w:type="dxa"/>
            <w:tcBorders>
              <w:top w:val="single" w:sz="4" w:space="0" w:color="000000"/>
              <w:left w:val="single" w:sz="4" w:space="0" w:color="000000"/>
              <w:bottom w:val="single" w:sz="4" w:space="0" w:color="000000"/>
              <w:right w:val="single" w:sz="4" w:space="0" w:color="000000"/>
            </w:tcBorders>
            <w:vAlign w:val="center"/>
            <w:hideMark/>
          </w:tcPr>
          <w:p w14:paraId="08EA3B14" w14:textId="77777777" w:rsidR="008D0A04" w:rsidRDefault="008D0A04" w:rsidP="008D0A04">
            <w:pPr>
              <w:numPr>
                <w:ilvl w:val="0"/>
                <w:numId w:val="13"/>
              </w:numPr>
              <w:rPr>
                <w:sz w:val="22"/>
                <w:szCs w:val="22"/>
                <w:lang w:val="fr-CA"/>
              </w:rPr>
            </w:pPr>
            <w:r>
              <w:rPr>
                <w:sz w:val="22"/>
                <w:szCs w:val="22"/>
                <w:lang w:val="fr-CA"/>
              </w:rPr>
              <w:t>Suivi des mandats issus de la résolution AG/RES. 2941 (XLIX-O/19), « Promotion et protection des droits de la personne » :</w:t>
            </w:r>
          </w:p>
          <w:p w14:paraId="1CE920B2" w14:textId="77777777" w:rsidR="008D0A04" w:rsidRDefault="008D0A04" w:rsidP="008D0A04">
            <w:pPr>
              <w:numPr>
                <w:ilvl w:val="0"/>
                <w:numId w:val="10"/>
              </w:numPr>
              <w:rPr>
                <w:sz w:val="22"/>
                <w:szCs w:val="22"/>
                <w:lang w:val="fr-CA"/>
              </w:rPr>
            </w:pPr>
            <w:r>
              <w:rPr>
                <w:sz w:val="22"/>
                <w:szCs w:val="22"/>
                <w:u w:val="single"/>
                <w:lang w:val="fr-CA"/>
              </w:rPr>
              <w:t>Section xvii</w:t>
            </w:r>
            <w:r>
              <w:rPr>
                <w:sz w:val="22"/>
                <w:szCs w:val="22"/>
                <w:lang w:val="fr-CA"/>
              </w:rPr>
              <w:t> : Droits de la personne et prévention de la discrimination et de la violence contre les personnes LGBTI.</w:t>
            </w:r>
          </w:p>
          <w:p w14:paraId="36980982" w14:textId="77777777" w:rsidR="008D0A04" w:rsidRDefault="008D0A04" w:rsidP="008D0A04">
            <w:pPr>
              <w:numPr>
                <w:ilvl w:val="1"/>
                <w:numId w:val="14"/>
              </w:numPr>
              <w:rPr>
                <w:i/>
                <w:sz w:val="22"/>
                <w:szCs w:val="22"/>
                <w:lang w:val="fr-CA"/>
              </w:rPr>
            </w:pPr>
            <w:r>
              <w:rPr>
                <w:sz w:val="22"/>
                <w:szCs w:val="22"/>
                <w:lang w:val="fr-CA"/>
              </w:rPr>
              <w:t>Échange de stratégies et de bonnes pratiques pour lutter contre la violence et la discrimination contre les personnes LGBTI.</w:t>
            </w:r>
          </w:p>
          <w:p w14:paraId="01B18697" w14:textId="77777777" w:rsidR="008D0A04" w:rsidRDefault="008D0A04" w:rsidP="008D0A04">
            <w:pPr>
              <w:numPr>
                <w:ilvl w:val="0"/>
                <w:numId w:val="14"/>
              </w:numPr>
              <w:rPr>
                <w:sz w:val="22"/>
                <w:szCs w:val="22"/>
                <w:lang w:val="fr-CA"/>
              </w:rPr>
            </w:pPr>
            <w:r>
              <w:rPr>
                <w:sz w:val="22"/>
                <w:szCs w:val="22"/>
                <w:lang w:val="fr-CA"/>
              </w:rPr>
              <w:lastRenderedPageBreak/>
              <w:t>Suivi des mandats issus de la résolution AG/RES. 2930 (XLIX-O/19), « Droit international » :</w:t>
            </w:r>
          </w:p>
          <w:p w14:paraId="1284F17A" w14:textId="77777777" w:rsidR="008D0A04" w:rsidRDefault="008D0A04" w:rsidP="008D0A04">
            <w:pPr>
              <w:numPr>
                <w:ilvl w:val="0"/>
                <w:numId w:val="10"/>
              </w:numPr>
              <w:rPr>
                <w:i/>
                <w:sz w:val="22"/>
                <w:szCs w:val="22"/>
                <w:lang w:val="fr-CA"/>
              </w:rPr>
            </w:pPr>
            <w:r>
              <w:rPr>
                <w:sz w:val="22"/>
                <w:szCs w:val="22"/>
                <w:u w:val="single"/>
                <w:lang w:val="fr-CA"/>
              </w:rPr>
              <w:t>Section i.</w:t>
            </w:r>
            <w:r>
              <w:rPr>
                <w:sz w:val="22"/>
                <w:szCs w:val="22"/>
                <w:lang w:val="fr-CA"/>
              </w:rPr>
              <w:t xml:space="preserve"> Observations et recommandations relatives au rapport annuel du Comité juridique interaméricain.</w:t>
            </w:r>
          </w:p>
          <w:p w14:paraId="113085A8" w14:textId="77777777" w:rsidR="008D0A04" w:rsidRDefault="008D0A04" w:rsidP="008D0A04">
            <w:pPr>
              <w:numPr>
                <w:ilvl w:val="1"/>
                <w:numId w:val="14"/>
              </w:numPr>
              <w:rPr>
                <w:i/>
                <w:sz w:val="22"/>
                <w:szCs w:val="22"/>
                <w:lang w:val="fr-CA"/>
              </w:rPr>
            </w:pPr>
            <w:r>
              <w:rPr>
                <w:sz w:val="22"/>
                <w:szCs w:val="22"/>
                <w:lang w:val="fr-CA"/>
              </w:rPr>
              <w:t>Présentation du « Guide sur le droit applicable aux contrats commerciaux internationaux dans les Amériques » [</w:t>
            </w:r>
            <w:proofErr w:type="spellStart"/>
            <w:r w:rsidR="00302458">
              <w:fldChar w:fldCharType="begin"/>
            </w:r>
            <w:r w:rsidR="00302458" w:rsidRPr="00302458">
              <w:rPr>
                <w:lang w:val="fr-FR"/>
              </w:rPr>
              <w:instrText xml:space="preserve"> HYPERLINK "http://www.oas.org/es/sla/cji/docs/informes_culminados_recientemente_Contratos_Internacionales_resolucion.pdf" </w:instrText>
            </w:r>
            <w:r w:rsidR="00302458">
              <w:fldChar w:fldCharType="separate"/>
            </w:r>
            <w:r>
              <w:rPr>
                <w:rStyle w:val="Hyperlink"/>
                <w:sz w:val="22"/>
                <w:szCs w:val="22"/>
                <w:lang w:val="fr-CA"/>
              </w:rPr>
              <w:t>CJI</w:t>
            </w:r>
            <w:proofErr w:type="spellEnd"/>
            <w:r>
              <w:rPr>
                <w:rStyle w:val="Hyperlink"/>
                <w:sz w:val="22"/>
                <w:szCs w:val="22"/>
                <w:lang w:val="fr-CA"/>
              </w:rPr>
              <w:t>/RES.</w:t>
            </w:r>
            <w:r w:rsidR="00302458">
              <w:rPr>
                <w:rStyle w:val="Hyperlink"/>
                <w:sz w:val="22"/>
                <w:szCs w:val="22"/>
                <w:lang w:val="fr-CA"/>
              </w:rPr>
              <w:fldChar w:fldCharType="end"/>
            </w:r>
            <w:hyperlink r:id="rId12" w:history="1">
              <w:r>
                <w:rPr>
                  <w:rStyle w:val="Hyperlink"/>
                  <w:sz w:val="22"/>
                  <w:szCs w:val="22"/>
                  <w:lang w:val="fr-CA"/>
                </w:rPr>
                <w:t xml:space="preserve"> 249</w:t>
              </w:r>
            </w:hyperlink>
            <w:r>
              <w:rPr>
                <w:sz w:val="22"/>
                <w:szCs w:val="22"/>
                <w:lang w:val="fr-CA"/>
              </w:rPr>
              <w:t xml:space="preserve"> (XCIV-O/19)].</w:t>
            </w:r>
          </w:p>
          <w:p w14:paraId="0D842838" w14:textId="77777777" w:rsidR="008D0A04" w:rsidRDefault="008D0A04" w:rsidP="008D0A04">
            <w:pPr>
              <w:numPr>
                <w:ilvl w:val="0"/>
                <w:numId w:val="14"/>
              </w:numPr>
              <w:rPr>
                <w:sz w:val="22"/>
                <w:szCs w:val="22"/>
                <w:lang w:val="fr-CA"/>
              </w:rPr>
            </w:pPr>
            <w:r>
              <w:rPr>
                <w:sz w:val="22"/>
                <w:szCs w:val="22"/>
                <w:lang w:val="fr-CA"/>
              </w:rPr>
              <w:t>Suivi des mandats issus de la résolution AG/RES. 2941 (XLIX-O/19), « Promotion et protection des droits de la personne » :</w:t>
            </w:r>
          </w:p>
          <w:p w14:paraId="2207A9F0" w14:textId="77777777" w:rsidR="008D0A04" w:rsidRDefault="008D0A04" w:rsidP="008D0A04">
            <w:pPr>
              <w:numPr>
                <w:ilvl w:val="0"/>
                <w:numId w:val="10"/>
              </w:numPr>
              <w:rPr>
                <w:sz w:val="22"/>
                <w:szCs w:val="22"/>
                <w:lang w:val="fr-CA"/>
              </w:rPr>
            </w:pPr>
            <w:r>
              <w:rPr>
                <w:i/>
                <w:sz w:val="22"/>
                <w:szCs w:val="22"/>
                <w:lang w:val="fr-CA"/>
              </w:rPr>
              <w:t xml:space="preserve"> </w:t>
            </w:r>
            <w:r>
              <w:rPr>
                <w:sz w:val="22"/>
                <w:szCs w:val="22"/>
                <w:u w:val="single"/>
                <w:lang w:val="fr-CA"/>
              </w:rPr>
              <w:t>Section iii</w:t>
            </w:r>
            <w:r>
              <w:rPr>
                <w:sz w:val="22"/>
                <w:szCs w:val="22"/>
                <w:lang w:val="fr-CA"/>
              </w:rPr>
              <w:t> : Protection des demandeurs du statut de réfugié et des réfugiés dans les Amériques.</w:t>
            </w:r>
          </w:p>
          <w:p w14:paraId="1B0F1B81" w14:textId="77777777" w:rsidR="008D0A04" w:rsidRDefault="008D0A04" w:rsidP="008D0A04">
            <w:pPr>
              <w:numPr>
                <w:ilvl w:val="1"/>
                <w:numId w:val="14"/>
              </w:numPr>
              <w:rPr>
                <w:i/>
                <w:sz w:val="22"/>
                <w:szCs w:val="22"/>
                <w:lang w:val="fr-CA"/>
              </w:rPr>
            </w:pPr>
            <w:r>
              <w:rPr>
                <w:sz w:val="22"/>
                <w:szCs w:val="22"/>
                <w:lang w:val="fr-CA"/>
              </w:rPr>
              <w:t>Présentation de la proposition visant l’établissement d’un fonds spécifique de contributions volontaires pour soutenir les activités réalisées par le Cadre intégral régional pour la protection et les solutions (MIRPS).</w:t>
            </w:r>
            <w:r>
              <w:rPr>
                <w:i/>
                <w:sz w:val="22"/>
                <w:szCs w:val="22"/>
                <w:lang w:val="fr-CA"/>
              </w:rPr>
              <w:tab/>
            </w:r>
          </w:p>
          <w:p w14:paraId="2D9EE9FF" w14:textId="77777777" w:rsidR="008D0A04" w:rsidRDefault="008D0A04" w:rsidP="008D0A04">
            <w:pPr>
              <w:numPr>
                <w:ilvl w:val="0"/>
                <w:numId w:val="14"/>
              </w:numPr>
              <w:rPr>
                <w:sz w:val="22"/>
                <w:szCs w:val="22"/>
                <w:lang w:val="fr-CA"/>
              </w:rPr>
            </w:pPr>
            <w:r>
              <w:rPr>
                <w:sz w:val="22"/>
                <w:szCs w:val="22"/>
                <w:lang w:val="fr-CA"/>
              </w:rPr>
              <w:t>Suivi des mandats issus de la résolution AG/RES. 2941 (XLIX-O/19), « Promotion et protection des droits de la personne » :</w:t>
            </w:r>
          </w:p>
          <w:p w14:paraId="4483B613" w14:textId="77777777" w:rsidR="008D0A04" w:rsidRDefault="008D0A04" w:rsidP="008D0A04">
            <w:pPr>
              <w:numPr>
                <w:ilvl w:val="0"/>
                <w:numId w:val="10"/>
              </w:numPr>
              <w:rPr>
                <w:sz w:val="22"/>
                <w:szCs w:val="22"/>
                <w:lang w:val="fr-CA"/>
              </w:rPr>
            </w:pPr>
            <w:r>
              <w:rPr>
                <w:sz w:val="22"/>
                <w:szCs w:val="22"/>
                <w:u w:val="single"/>
                <w:lang w:val="fr-CA"/>
              </w:rPr>
              <w:t>Section xxi</w:t>
            </w:r>
            <w:r>
              <w:rPr>
                <w:sz w:val="22"/>
                <w:szCs w:val="22"/>
                <w:lang w:val="fr-CA"/>
              </w:rPr>
              <w:t xml:space="preserve"> : Suivi du Programme interaméricain d’enregistrement universel de l’état civil et « Droit à l’identité ».</w:t>
            </w:r>
          </w:p>
          <w:p w14:paraId="0BECD9F6" w14:textId="77777777" w:rsidR="008D0A04" w:rsidRDefault="008D0A04" w:rsidP="008D0A04">
            <w:pPr>
              <w:numPr>
                <w:ilvl w:val="1"/>
                <w:numId w:val="14"/>
              </w:numPr>
              <w:rPr>
                <w:b/>
                <w:sz w:val="22"/>
                <w:szCs w:val="22"/>
                <w:lang w:val="fr-CA"/>
              </w:rPr>
            </w:pPr>
            <w:r>
              <w:rPr>
                <w:sz w:val="22"/>
                <w:szCs w:val="22"/>
                <w:lang w:val="fr-CA"/>
              </w:rPr>
              <w:t>Rapport du Programme d’universalisation de l’identité civile dans les Amériques (PUICA).</w:t>
            </w:r>
            <w:r>
              <w:rPr>
                <w:i/>
                <w:sz w:val="22"/>
                <w:szCs w:val="22"/>
                <w:lang w:val="fr-CA"/>
              </w:rPr>
              <w:tab/>
            </w:r>
          </w:p>
        </w:tc>
      </w:tr>
      <w:tr w:rsidR="008D0A04" w:rsidRPr="00302458" w14:paraId="745C92D4" w14:textId="77777777" w:rsidTr="008D0A04">
        <w:trPr>
          <w:jc w:val="center"/>
        </w:trPr>
        <w:tc>
          <w:tcPr>
            <w:tcW w:w="2577" w:type="dxa"/>
            <w:tcBorders>
              <w:top w:val="single" w:sz="4" w:space="0" w:color="000000"/>
              <w:left w:val="single" w:sz="4" w:space="0" w:color="000000"/>
              <w:bottom w:val="single" w:sz="4" w:space="0" w:color="000000"/>
              <w:right w:val="single" w:sz="4" w:space="0" w:color="000000"/>
            </w:tcBorders>
            <w:vAlign w:val="center"/>
            <w:hideMark/>
          </w:tcPr>
          <w:p w14:paraId="7877989A" w14:textId="77777777" w:rsidR="008D0A04" w:rsidRPr="00C2432A" w:rsidRDefault="008D0A04">
            <w:pPr>
              <w:jc w:val="center"/>
              <w:rPr>
                <w:sz w:val="22"/>
                <w:szCs w:val="22"/>
                <w:lang w:val="pt-BR"/>
              </w:rPr>
            </w:pPr>
            <w:proofErr w:type="spellStart"/>
            <w:r w:rsidRPr="00C2432A">
              <w:rPr>
                <w:sz w:val="22"/>
                <w:szCs w:val="22"/>
                <w:lang w:val="pt-BR"/>
              </w:rPr>
              <w:lastRenderedPageBreak/>
              <w:t>Mardi</w:t>
            </w:r>
            <w:proofErr w:type="spellEnd"/>
          </w:p>
          <w:p w14:paraId="1F264841" w14:textId="77777777" w:rsidR="008D0A04" w:rsidRPr="00C2432A" w:rsidRDefault="008D0A04">
            <w:pPr>
              <w:jc w:val="center"/>
              <w:rPr>
                <w:sz w:val="22"/>
                <w:szCs w:val="22"/>
                <w:lang w:val="pt-BR"/>
              </w:rPr>
            </w:pPr>
            <w:r w:rsidRPr="00C2432A">
              <w:rPr>
                <w:sz w:val="22"/>
                <w:szCs w:val="22"/>
                <w:lang w:val="pt-BR"/>
              </w:rPr>
              <w:t>26 novembre 2019</w:t>
            </w:r>
            <w:r w:rsidRPr="00C2432A">
              <w:rPr>
                <w:sz w:val="22"/>
                <w:szCs w:val="22"/>
                <w:lang w:val="pt-BR"/>
              </w:rPr>
              <w:br/>
              <w:t>15 h 30 – 17 h 30</w:t>
            </w:r>
          </w:p>
          <w:p w14:paraId="1AAEA647" w14:textId="77777777" w:rsidR="008D0A04" w:rsidRPr="00C2432A" w:rsidRDefault="008D0A04">
            <w:pPr>
              <w:jc w:val="center"/>
              <w:rPr>
                <w:sz w:val="22"/>
                <w:szCs w:val="22"/>
                <w:lang w:val="pt-BR"/>
              </w:rPr>
            </w:pPr>
            <w:r w:rsidRPr="00C2432A">
              <w:rPr>
                <w:sz w:val="22"/>
                <w:szCs w:val="22"/>
                <w:lang w:val="pt-BR"/>
              </w:rPr>
              <w:t>salle L. Simon Bolivar</w:t>
            </w:r>
          </w:p>
        </w:tc>
        <w:tc>
          <w:tcPr>
            <w:tcW w:w="11602" w:type="dxa"/>
            <w:tcBorders>
              <w:top w:val="single" w:sz="4" w:space="0" w:color="000000"/>
              <w:left w:val="single" w:sz="4" w:space="0" w:color="000000"/>
              <w:bottom w:val="single" w:sz="4" w:space="0" w:color="000000"/>
              <w:right w:val="single" w:sz="4" w:space="0" w:color="000000"/>
            </w:tcBorders>
            <w:hideMark/>
          </w:tcPr>
          <w:p w14:paraId="392DC244" w14:textId="77777777" w:rsidR="008D0A04" w:rsidRDefault="008D0A04" w:rsidP="008D0A04">
            <w:pPr>
              <w:numPr>
                <w:ilvl w:val="0"/>
                <w:numId w:val="15"/>
              </w:numPr>
              <w:rPr>
                <w:sz w:val="22"/>
                <w:szCs w:val="22"/>
                <w:lang w:val="fr-CA"/>
              </w:rPr>
            </w:pPr>
            <w:r>
              <w:rPr>
                <w:sz w:val="22"/>
                <w:szCs w:val="22"/>
                <w:lang w:val="fr-CA"/>
              </w:rPr>
              <w:t>Suivi des mandats issus de la résolution AG/RES. 2941 (XLIX-O/19), « Promotion et protection des droits de la personne » :</w:t>
            </w:r>
          </w:p>
          <w:p w14:paraId="2B8287B1" w14:textId="77777777" w:rsidR="008D0A04" w:rsidRDefault="008D0A04" w:rsidP="008D0A04">
            <w:pPr>
              <w:numPr>
                <w:ilvl w:val="0"/>
                <w:numId w:val="10"/>
              </w:numPr>
              <w:rPr>
                <w:sz w:val="22"/>
                <w:szCs w:val="22"/>
                <w:lang w:val="fr-CA"/>
              </w:rPr>
            </w:pPr>
            <w:r>
              <w:rPr>
                <w:sz w:val="22"/>
                <w:szCs w:val="22"/>
                <w:u w:val="single"/>
                <w:lang w:val="fr-CA"/>
              </w:rPr>
              <w:t>Section viii</w:t>
            </w:r>
            <w:r>
              <w:rPr>
                <w:sz w:val="22"/>
                <w:szCs w:val="22"/>
                <w:lang w:val="fr-CA"/>
              </w:rPr>
              <w:t> : Administration de la justice et droits de la personne :</w:t>
            </w:r>
          </w:p>
          <w:p w14:paraId="499C54BC" w14:textId="77777777" w:rsidR="008D0A04" w:rsidRDefault="008D0A04" w:rsidP="008D0A04">
            <w:pPr>
              <w:numPr>
                <w:ilvl w:val="1"/>
                <w:numId w:val="12"/>
              </w:numPr>
              <w:rPr>
                <w:sz w:val="22"/>
                <w:szCs w:val="22"/>
                <w:lang w:val="fr-CA"/>
              </w:rPr>
            </w:pPr>
            <w:r>
              <w:rPr>
                <w:sz w:val="22"/>
                <w:szCs w:val="22"/>
                <w:lang w:val="fr-CA"/>
              </w:rPr>
              <w:t>Échange de données d’expériences, bonnes pratiques et défis en matière d'administration de la justice selon une perspective des droits de la personne.</w:t>
            </w:r>
          </w:p>
          <w:p w14:paraId="0D6B9C6C" w14:textId="77777777" w:rsidR="008D0A04" w:rsidRDefault="008D0A04" w:rsidP="008D0A04">
            <w:pPr>
              <w:numPr>
                <w:ilvl w:val="0"/>
                <w:numId w:val="15"/>
              </w:numPr>
              <w:rPr>
                <w:sz w:val="22"/>
                <w:szCs w:val="22"/>
                <w:lang w:val="fr-CA"/>
              </w:rPr>
            </w:pPr>
            <w:r>
              <w:rPr>
                <w:sz w:val="22"/>
                <w:szCs w:val="22"/>
                <w:lang w:val="fr-CA"/>
              </w:rPr>
              <w:t>Le Réseau de santé et de sécurité du consommateur de l’OEA (RSSC).</w:t>
            </w:r>
          </w:p>
        </w:tc>
      </w:tr>
      <w:tr w:rsidR="008D0A04" w14:paraId="40C7B7D5" w14:textId="77777777" w:rsidTr="008D0A04">
        <w:trPr>
          <w:jc w:val="center"/>
        </w:trPr>
        <w:tc>
          <w:tcPr>
            <w:tcW w:w="14179" w:type="dxa"/>
            <w:gridSpan w:val="2"/>
            <w:tcBorders>
              <w:top w:val="single" w:sz="4" w:space="0" w:color="000000"/>
              <w:left w:val="single" w:sz="4" w:space="0" w:color="000000"/>
              <w:bottom w:val="single" w:sz="4" w:space="0" w:color="000000"/>
              <w:right w:val="single" w:sz="4" w:space="0" w:color="000000"/>
            </w:tcBorders>
            <w:shd w:val="pct15" w:color="auto" w:fill="auto"/>
            <w:hideMark/>
          </w:tcPr>
          <w:p w14:paraId="1E79C6AE" w14:textId="77777777" w:rsidR="008D0A04" w:rsidRDefault="008D0A04">
            <w:pPr>
              <w:jc w:val="center"/>
              <w:rPr>
                <w:b/>
                <w:sz w:val="22"/>
                <w:szCs w:val="22"/>
                <w:lang w:val="fr-CA"/>
              </w:rPr>
            </w:pPr>
            <w:r>
              <w:rPr>
                <w:b/>
                <w:sz w:val="22"/>
                <w:szCs w:val="22"/>
                <w:lang w:val="fr-CA"/>
              </w:rPr>
              <w:t>DÉCEMBRE 2019</w:t>
            </w:r>
          </w:p>
        </w:tc>
      </w:tr>
      <w:tr w:rsidR="008D0A04" w:rsidRPr="00302458" w14:paraId="484F31F6" w14:textId="77777777" w:rsidTr="008D0A04">
        <w:trPr>
          <w:jc w:val="center"/>
        </w:trPr>
        <w:tc>
          <w:tcPr>
            <w:tcW w:w="2577" w:type="dxa"/>
            <w:tcBorders>
              <w:top w:val="single" w:sz="4" w:space="0" w:color="000000"/>
              <w:left w:val="single" w:sz="4" w:space="0" w:color="000000"/>
              <w:bottom w:val="single" w:sz="4" w:space="0" w:color="000000"/>
              <w:right w:val="single" w:sz="4" w:space="0" w:color="000000"/>
            </w:tcBorders>
            <w:vAlign w:val="center"/>
            <w:hideMark/>
          </w:tcPr>
          <w:p w14:paraId="48E4502D" w14:textId="77777777" w:rsidR="008D0A04" w:rsidRDefault="008D0A04">
            <w:pPr>
              <w:jc w:val="center"/>
              <w:rPr>
                <w:sz w:val="22"/>
                <w:szCs w:val="22"/>
                <w:lang w:val="fr-CA"/>
              </w:rPr>
            </w:pPr>
            <w:r>
              <w:rPr>
                <w:sz w:val="22"/>
                <w:szCs w:val="22"/>
                <w:lang w:val="fr-CA"/>
              </w:rPr>
              <w:t>Jeudi</w:t>
            </w:r>
          </w:p>
          <w:p w14:paraId="79E4BA77" w14:textId="77777777" w:rsidR="008D0A04" w:rsidRDefault="008D0A04">
            <w:pPr>
              <w:jc w:val="center"/>
              <w:rPr>
                <w:sz w:val="22"/>
                <w:szCs w:val="22"/>
                <w:lang w:val="fr-CA"/>
              </w:rPr>
            </w:pPr>
            <w:r>
              <w:rPr>
                <w:sz w:val="22"/>
                <w:szCs w:val="22"/>
                <w:lang w:val="fr-CA"/>
              </w:rPr>
              <w:t>5 décembre 2019</w:t>
            </w:r>
            <w:r>
              <w:rPr>
                <w:sz w:val="22"/>
                <w:szCs w:val="22"/>
                <w:lang w:val="fr-CA"/>
              </w:rPr>
              <w:br/>
              <w:t>14 h 30 – 17 h 30</w:t>
            </w:r>
          </w:p>
          <w:p w14:paraId="56D26B8E" w14:textId="77777777" w:rsidR="008D0A04" w:rsidRDefault="008D0A04">
            <w:pPr>
              <w:jc w:val="center"/>
              <w:rPr>
                <w:sz w:val="22"/>
                <w:szCs w:val="22"/>
                <w:lang w:val="fr-CA"/>
              </w:rPr>
            </w:pPr>
            <w:r>
              <w:rPr>
                <w:sz w:val="22"/>
                <w:szCs w:val="22"/>
                <w:lang w:val="fr-CA"/>
              </w:rPr>
              <w:t>salle L. Simon Bolivar</w:t>
            </w:r>
          </w:p>
        </w:tc>
        <w:tc>
          <w:tcPr>
            <w:tcW w:w="11602" w:type="dxa"/>
            <w:tcBorders>
              <w:top w:val="single" w:sz="4" w:space="0" w:color="000000"/>
              <w:left w:val="single" w:sz="4" w:space="0" w:color="000000"/>
              <w:bottom w:val="single" w:sz="4" w:space="0" w:color="000000"/>
              <w:right w:val="single" w:sz="4" w:space="0" w:color="000000"/>
            </w:tcBorders>
            <w:hideMark/>
          </w:tcPr>
          <w:p w14:paraId="6174F808" w14:textId="77777777" w:rsidR="008D0A04" w:rsidRDefault="008D0A04" w:rsidP="008D0A04">
            <w:pPr>
              <w:numPr>
                <w:ilvl w:val="0"/>
                <w:numId w:val="16"/>
              </w:numPr>
              <w:rPr>
                <w:sz w:val="22"/>
                <w:szCs w:val="22"/>
                <w:lang w:val="fr-CA"/>
              </w:rPr>
            </w:pPr>
            <w:r>
              <w:rPr>
                <w:sz w:val="22"/>
                <w:szCs w:val="22"/>
                <w:lang w:val="fr-CA"/>
              </w:rPr>
              <w:t>Commémoration de la Journée internationale des personnes handicapées (3 décembre).</w:t>
            </w:r>
          </w:p>
          <w:p w14:paraId="5F5C35C1" w14:textId="77777777" w:rsidR="008D0A04" w:rsidRDefault="008D0A04" w:rsidP="008D0A04">
            <w:pPr>
              <w:numPr>
                <w:ilvl w:val="0"/>
                <w:numId w:val="16"/>
              </w:numPr>
              <w:rPr>
                <w:sz w:val="22"/>
                <w:szCs w:val="22"/>
                <w:u w:val="single"/>
                <w:lang w:val="fr-CA"/>
              </w:rPr>
            </w:pPr>
            <w:r>
              <w:rPr>
                <w:sz w:val="22"/>
                <w:szCs w:val="22"/>
                <w:lang w:val="fr-CA"/>
              </w:rPr>
              <w:t>Suivi des mandats issus de la résolution AG/RES. 2931 (XLIX-O/19), « Renforcement de la démocratie » :</w:t>
            </w:r>
          </w:p>
          <w:p w14:paraId="6F8707B3" w14:textId="77777777" w:rsidR="008D0A04" w:rsidRDefault="008D0A04" w:rsidP="008D0A04">
            <w:pPr>
              <w:numPr>
                <w:ilvl w:val="0"/>
                <w:numId w:val="10"/>
              </w:numPr>
              <w:rPr>
                <w:sz w:val="22"/>
                <w:szCs w:val="22"/>
                <w:lang w:val="fr-CA"/>
              </w:rPr>
            </w:pPr>
            <w:r>
              <w:rPr>
                <w:sz w:val="22"/>
                <w:szCs w:val="22"/>
                <w:u w:val="single"/>
                <w:lang w:val="fr-CA"/>
              </w:rPr>
              <w:t>Section iii</w:t>
            </w:r>
            <w:r>
              <w:rPr>
                <w:sz w:val="22"/>
                <w:szCs w:val="22"/>
                <w:lang w:val="fr-CA"/>
              </w:rPr>
              <w:t> : Renforcement du cadastre et du registre foncier dans les Amériques</w:t>
            </w:r>
          </w:p>
          <w:p w14:paraId="2A3F4F05" w14:textId="77777777" w:rsidR="008D0A04" w:rsidRDefault="008D0A04" w:rsidP="008D0A04">
            <w:pPr>
              <w:numPr>
                <w:ilvl w:val="0"/>
                <w:numId w:val="10"/>
              </w:numPr>
              <w:rPr>
                <w:sz w:val="22"/>
                <w:szCs w:val="22"/>
                <w:lang w:val="fr-CA"/>
              </w:rPr>
            </w:pPr>
            <w:r>
              <w:rPr>
                <w:sz w:val="22"/>
                <w:szCs w:val="22"/>
                <w:u w:val="single"/>
                <w:lang w:val="fr-CA"/>
              </w:rPr>
              <w:t>Section vii</w:t>
            </w:r>
            <w:r>
              <w:rPr>
                <w:sz w:val="22"/>
                <w:szCs w:val="22"/>
                <w:lang w:val="fr-CA"/>
              </w:rPr>
              <w:t> : Gouvernement numérique, ouvert et transparent</w:t>
            </w:r>
          </w:p>
          <w:p w14:paraId="59C7495B" w14:textId="77777777" w:rsidR="008D0A04" w:rsidRDefault="008D0A04" w:rsidP="008D0A04">
            <w:pPr>
              <w:numPr>
                <w:ilvl w:val="0"/>
                <w:numId w:val="10"/>
              </w:numPr>
              <w:rPr>
                <w:sz w:val="22"/>
                <w:szCs w:val="22"/>
                <w:lang w:val="fr-CA"/>
              </w:rPr>
            </w:pPr>
            <w:r>
              <w:rPr>
                <w:sz w:val="22"/>
                <w:szCs w:val="22"/>
                <w:u w:val="single"/>
                <w:lang w:val="fr-CA"/>
              </w:rPr>
              <w:t>Section x</w:t>
            </w:r>
            <w:r>
              <w:rPr>
                <w:sz w:val="22"/>
                <w:szCs w:val="22"/>
                <w:lang w:val="fr-CA"/>
              </w:rPr>
              <w:t xml:space="preserve"> : Renforcement et innovation de la gestion publique dans les Amériques</w:t>
            </w:r>
          </w:p>
          <w:p w14:paraId="4D562065" w14:textId="77777777" w:rsidR="008D0A04" w:rsidRDefault="008D0A04" w:rsidP="008D0A04">
            <w:pPr>
              <w:numPr>
                <w:ilvl w:val="0"/>
                <w:numId w:val="10"/>
              </w:numPr>
              <w:rPr>
                <w:sz w:val="22"/>
                <w:szCs w:val="22"/>
                <w:lang w:val="fr-CA"/>
              </w:rPr>
            </w:pPr>
            <w:r>
              <w:rPr>
                <w:sz w:val="22"/>
                <w:szCs w:val="22"/>
                <w:u w:val="single"/>
                <w:lang w:val="fr-CA"/>
              </w:rPr>
              <w:t>Section xiii</w:t>
            </w:r>
            <w:r>
              <w:rPr>
                <w:sz w:val="22"/>
                <w:szCs w:val="22"/>
                <w:lang w:val="fr-CA"/>
              </w:rPr>
              <w:t> : Contribution de la région au processus préparatoire de la session extraordinaire de l’Assemblée générale des Nations Unies contre la corruption</w:t>
            </w:r>
          </w:p>
          <w:p w14:paraId="7C259196" w14:textId="77777777" w:rsidR="008D0A04" w:rsidRDefault="008D0A04" w:rsidP="008D0A04">
            <w:pPr>
              <w:numPr>
                <w:ilvl w:val="1"/>
                <w:numId w:val="15"/>
              </w:numPr>
              <w:rPr>
                <w:sz w:val="22"/>
                <w:szCs w:val="22"/>
                <w:lang w:val="fr-CA"/>
              </w:rPr>
            </w:pPr>
            <w:r>
              <w:rPr>
                <w:sz w:val="22"/>
                <w:szCs w:val="22"/>
                <w:lang w:val="fr-CA"/>
              </w:rPr>
              <w:t>Avancées réalisées dans la mise en œuvre des engagements assumés en matière de prévention et de lutte contre la corruption dans le cadre de la Convention interaméricaine contre la corruption et de l’Engagement de Lima : « La gouvernance démocratique face à la corruption » à titre de contribution de la région au processus préparatoire de la session extraordinaire de l’Assemblée générale de l’ONU prévue pour 2021.</w:t>
            </w:r>
          </w:p>
        </w:tc>
      </w:tr>
      <w:tr w:rsidR="008D0A04" w:rsidRPr="00302458" w14:paraId="71F32AAF" w14:textId="77777777" w:rsidTr="008D0A04">
        <w:trPr>
          <w:jc w:val="center"/>
        </w:trPr>
        <w:tc>
          <w:tcPr>
            <w:tcW w:w="2577" w:type="dxa"/>
            <w:tcBorders>
              <w:top w:val="single" w:sz="4" w:space="0" w:color="000000"/>
              <w:left w:val="single" w:sz="4" w:space="0" w:color="000000"/>
              <w:bottom w:val="single" w:sz="4" w:space="0" w:color="000000"/>
              <w:right w:val="single" w:sz="4" w:space="0" w:color="000000"/>
            </w:tcBorders>
            <w:vAlign w:val="center"/>
            <w:hideMark/>
          </w:tcPr>
          <w:p w14:paraId="213C779F" w14:textId="77777777" w:rsidR="008D0A04" w:rsidRDefault="008D0A04">
            <w:pPr>
              <w:jc w:val="center"/>
              <w:rPr>
                <w:sz w:val="22"/>
                <w:szCs w:val="22"/>
                <w:lang w:val="fr-CA"/>
              </w:rPr>
            </w:pPr>
            <w:r>
              <w:rPr>
                <w:sz w:val="22"/>
                <w:szCs w:val="22"/>
                <w:lang w:val="fr-CA"/>
              </w:rPr>
              <w:t>Mardi</w:t>
            </w:r>
          </w:p>
          <w:p w14:paraId="27C5CCA7" w14:textId="77777777" w:rsidR="008D0A04" w:rsidRDefault="008D0A04">
            <w:pPr>
              <w:jc w:val="center"/>
              <w:rPr>
                <w:sz w:val="22"/>
                <w:szCs w:val="22"/>
                <w:lang w:val="fr-CA"/>
              </w:rPr>
            </w:pPr>
            <w:r>
              <w:rPr>
                <w:sz w:val="22"/>
                <w:szCs w:val="22"/>
                <w:lang w:val="fr-CA"/>
              </w:rPr>
              <w:t>17 décembre 2019</w:t>
            </w:r>
            <w:r>
              <w:rPr>
                <w:sz w:val="22"/>
                <w:szCs w:val="22"/>
                <w:lang w:val="fr-CA"/>
              </w:rPr>
              <w:br/>
              <w:t>10 h 30 – 12 h 30</w:t>
            </w:r>
          </w:p>
          <w:p w14:paraId="6A48FDDA" w14:textId="77777777" w:rsidR="008D0A04" w:rsidRDefault="008D0A04">
            <w:pPr>
              <w:jc w:val="center"/>
              <w:rPr>
                <w:sz w:val="22"/>
                <w:szCs w:val="22"/>
                <w:lang w:val="fr-CA"/>
              </w:rPr>
            </w:pPr>
            <w:r>
              <w:rPr>
                <w:sz w:val="22"/>
                <w:szCs w:val="22"/>
                <w:lang w:val="fr-CA"/>
              </w:rPr>
              <w:t>salle L. Simon Bolivar</w:t>
            </w:r>
          </w:p>
        </w:tc>
        <w:tc>
          <w:tcPr>
            <w:tcW w:w="11602" w:type="dxa"/>
            <w:tcBorders>
              <w:top w:val="single" w:sz="4" w:space="0" w:color="000000"/>
              <w:left w:val="single" w:sz="4" w:space="0" w:color="000000"/>
              <w:bottom w:val="single" w:sz="4" w:space="0" w:color="000000"/>
              <w:right w:val="single" w:sz="4" w:space="0" w:color="000000"/>
            </w:tcBorders>
            <w:hideMark/>
          </w:tcPr>
          <w:p w14:paraId="0D3F9693" w14:textId="77777777" w:rsidR="008D0A04" w:rsidRDefault="008D0A04" w:rsidP="008D0A04">
            <w:pPr>
              <w:numPr>
                <w:ilvl w:val="0"/>
                <w:numId w:val="17"/>
              </w:numPr>
              <w:rPr>
                <w:sz w:val="22"/>
                <w:szCs w:val="22"/>
                <w:lang w:val="fr-CA"/>
              </w:rPr>
            </w:pPr>
            <w:r>
              <w:rPr>
                <w:sz w:val="22"/>
                <w:szCs w:val="22"/>
                <w:lang w:val="fr-CA"/>
              </w:rPr>
              <w:t xml:space="preserve">Suivi des mandats issus de la résolution AG/RES. 2941 (XLIX-O/19), « Promotion et protection des droits de la personne » : </w:t>
            </w:r>
          </w:p>
          <w:p w14:paraId="5B803AFA" w14:textId="77777777" w:rsidR="008D0A04" w:rsidRDefault="008D0A04" w:rsidP="008D0A04">
            <w:pPr>
              <w:numPr>
                <w:ilvl w:val="0"/>
                <w:numId w:val="10"/>
              </w:numPr>
              <w:rPr>
                <w:sz w:val="22"/>
                <w:szCs w:val="22"/>
                <w:lang w:val="fr-CA"/>
              </w:rPr>
            </w:pPr>
            <w:r>
              <w:rPr>
                <w:sz w:val="22"/>
                <w:szCs w:val="22"/>
                <w:u w:val="single"/>
                <w:lang w:val="fr-CA"/>
              </w:rPr>
              <w:t>Section xviii</w:t>
            </w:r>
            <w:r>
              <w:rPr>
                <w:sz w:val="22"/>
                <w:szCs w:val="22"/>
                <w:lang w:val="fr-CA"/>
              </w:rPr>
              <w:t> : Droit à la liberté de religion ou de croyance.</w:t>
            </w:r>
          </w:p>
          <w:p w14:paraId="61635DCA" w14:textId="77777777" w:rsidR="008D0A04" w:rsidRDefault="008D0A04" w:rsidP="008D0A04">
            <w:pPr>
              <w:numPr>
                <w:ilvl w:val="1"/>
                <w:numId w:val="15"/>
              </w:numPr>
              <w:rPr>
                <w:sz w:val="22"/>
                <w:szCs w:val="22"/>
                <w:lang w:val="fr-CA"/>
              </w:rPr>
            </w:pPr>
            <w:r>
              <w:rPr>
                <w:sz w:val="22"/>
                <w:szCs w:val="22"/>
                <w:lang w:val="fr-CA"/>
              </w:rPr>
              <w:t>Préparatifs de la réunion extraordinaire qui sera consacrée à l’échange d’enseignements tirés et de bonnes pratiques pour promouvoir un dialogue régional sur le droit à la liberté de pensée, de conscience et de religion ou de croyance.</w:t>
            </w:r>
          </w:p>
          <w:p w14:paraId="3C11E779" w14:textId="77777777" w:rsidR="00C2432A" w:rsidRDefault="00C2432A" w:rsidP="00C2432A">
            <w:pPr>
              <w:ind w:left="360"/>
              <w:rPr>
                <w:sz w:val="22"/>
                <w:szCs w:val="22"/>
                <w:lang w:val="fr-CA"/>
              </w:rPr>
            </w:pPr>
          </w:p>
          <w:p w14:paraId="15E9E5AD" w14:textId="77777777" w:rsidR="00C2432A" w:rsidRDefault="00C2432A" w:rsidP="00C2432A">
            <w:pPr>
              <w:ind w:left="360"/>
              <w:rPr>
                <w:sz w:val="22"/>
                <w:szCs w:val="22"/>
                <w:lang w:val="fr-CA"/>
              </w:rPr>
            </w:pPr>
          </w:p>
          <w:p w14:paraId="491CD3B9" w14:textId="77777777" w:rsidR="00C2432A" w:rsidRDefault="00C2432A" w:rsidP="00C2432A">
            <w:pPr>
              <w:ind w:left="360"/>
              <w:rPr>
                <w:sz w:val="22"/>
                <w:szCs w:val="22"/>
                <w:lang w:val="fr-CA"/>
              </w:rPr>
            </w:pPr>
          </w:p>
        </w:tc>
      </w:tr>
      <w:tr w:rsidR="008D0A04" w14:paraId="1C3930CA" w14:textId="77777777" w:rsidTr="008D0A04">
        <w:trPr>
          <w:jc w:val="center"/>
        </w:trPr>
        <w:tc>
          <w:tcPr>
            <w:tcW w:w="14179" w:type="dxa"/>
            <w:gridSpan w:val="2"/>
            <w:tcBorders>
              <w:top w:val="single" w:sz="4" w:space="0" w:color="000000"/>
              <w:left w:val="single" w:sz="4" w:space="0" w:color="000000"/>
              <w:bottom w:val="single" w:sz="4" w:space="0" w:color="000000"/>
              <w:right w:val="single" w:sz="4" w:space="0" w:color="000000"/>
            </w:tcBorders>
            <w:shd w:val="pct15" w:color="auto" w:fill="auto"/>
            <w:hideMark/>
          </w:tcPr>
          <w:p w14:paraId="18B96A8C" w14:textId="77777777" w:rsidR="008D0A04" w:rsidRDefault="008D0A04">
            <w:pPr>
              <w:jc w:val="center"/>
              <w:rPr>
                <w:b/>
                <w:sz w:val="22"/>
                <w:szCs w:val="22"/>
                <w:lang w:val="fr-CA"/>
              </w:rPr>
            </w:pPr>
            <w:r>
              <w:rPr>
                <w:b/>
                <w:sz w:val="22"/>
                <w:szCs w:val="22"/>
                <w:lang w:val="fr-CA"/>
              </w:rPr>
              <w:lastRenderedPageBreak/>
              <w:t>JANVIER 2020</w:t>
            </w:r>
          </w:p>
        </w:tc>
      </w:tr>
      <w:tr w:rsidR="008D0A04" w14:paraId="56EC7AE6" w14:textId="77777777" w:rsidTr="008D0A04">
        <w:trPr>
          <w:jc w:val="center"/>
        </w:trPr>
        <w:tc>
          <w:tcPr>
            <w:tcW w:w="2577" w:type="dxa"/>
            <w:tcBorders>
              <w:top w:val="single" w:sz="4" w:space="0" w:color="000000"/>
              <w:left w:val="single" w:sz="4" w:space="0" w:color="000000"/>
              <w:bottom w:val="single" w:sz="4" w:space="0" w:color="000000"/>
              <w:right w:val="single" w:sz="4" w:space="0" w:color="000000"/>
            </w:tcBorders>
            <w:vAlign w:val="center"/>
            <w:hideMark/>
          </w:tcPr>
          <w:p w14:paraId="59116423" w14:textId="77777777" w:rsidR="008D0A04" w:rsidRDefault="008D0A04">
            <w:pPr>
              <w:jc w:val="center"/>
              <w:rPr>
                <w:sz w:val="22"/>
                <w:szCs w:val="22"/>
                <w:lang w:val="fr-CA"/>
              </w:rPr>
            </w:pPr>
            <w:r>
              <w:rPr>
                <w:sz w:val="22"/>
                <w:szCs w:val="22"/>
                <w:lang w:val="fr-CA"/>
              </w:rPr>
              <w:t>Jeudi</w:t>
            </w:r>
            <w:r>
              <w:rPr>
                <w:sz w:val="22"/>
                <w:szCs w:val="22"/>
                <w:lang w:val="fr-CA"/>
              </w:rPr>
              <w:br/>
              <w:t>30 janvier 2020</w:t>
            </w:r>
          </w:p>
          <w:p w14:paraId="0B3B79BF" w14:textId="77777777" w:rsidR="008D0A04" w:rsidRDefault="008D0A04">
            <w:pPr>
              <w:jc w:val="center"/>
              <w:rPr>
                <w:sz w:val="22"/>
                <w:szCs w:val="22"/>
                <w:lang w:val="fr-CA"/>
              </w:rPr>
            </w:pPr>
            <w:r>
              <w:rPr>
                <w:sz w:val="22"/>
                <w:szCs w:val="22"/>
                <w:lang w:val="fr-CA"/>
              </w:rPr>
              <w:t>14 h 30 – 17 h 30</w:t>
            </w:r>
          </w:p>
          <w:p w14:paraId="03BA3E80" w14:textId="77777777" w:rsidR="008D0A04" w:rsidRDefault="008D0A04">
            <w:pPr>
              <w:jc w:val="center"/>
              <w:rPr>
                <w:sz w:val="22"/>
                <w:szCs w:val="22"/>
                <w:lang w:val="fr-CA"/>
              </w:rPr>
            </w:pPr>
            <w:r>
              <w:rPr>
                <w:sz w:val="22"/>
                <w:szCs w:val="22"/>
                <w:lang w:val="fr-CA"/>
              </w:rPr>
              <w:t>salle L. Simon Bolivar</w:t>
            </w:r>
          </w:p>
        </w:tc>
        <w:tc>
          <w:tcPr>
            <w:tcW w:w="11602" w:type="dxa"/>
            <w:tcBorders>
              <w:top w:val="single" w:sz="4" w:space="0" w:color="000000"/>
              <w:left w:val="single" w:sz="4" w:space="0" w:color="000000"/>
              <w:bottom w:val="single" w:sz="4" w:space="0" w:color="000000"/>
              <w:right w:val="single" w:sz="4" w:space="0" w:color="000000"/>
            </w:tcBorders>
            <w:vAlign w:val="center"/>
            <w:hideMark/>
          </w:tcPr>
          <w:p w14:paraId="1AFC6B20" w14:textId="77777777" w:rsidR="008D0A04" w:rsidRDefault="008D0A04" w:rsidP="008D0A04">
            <w:pPr>
              <w:numPr>
                <w:ilvl w:val="0"/>
                <w:numId w:val="18"/>
              </w:numPr>
              <w:rPr>
                <w:sz w:val="22"/>
                <w:szCs w:val="22"/>
                <w:lang w:val="fr-CA"/>
              </w:rPr>
            </w:pPr>
            <w:r>
              <w:rPr>
                <w:sz w:val="22"/>
                <w:szCs w:val="22"/>
                <w:lang w:val="fr-CA"/>
              </w:rPr>
              <w:t>Suivi des mandats issus de la résolution AG/RES. 2941 (XLIX-O/19), « Promotion et protection des droits de la personne » :</w:t>
            </w:r>
          </w:p>
          <w:p w14:paraId="60A66E0F" w14:textId="77777777" w:rsidR="008D0A04" w:rsidRDefault="008D0A04" w:rsidP="008D0A04">
            <w:pPr>
              <w:numPr>
                <w:ilvl w:val="0"/>
                <w:numId w:val="10"/>
              </w:numPr>
              <w:rPr>
                <w:sz w:val="22"/>
                <w:szCs w:val="22"/>
                <w:lang w:val="fr-CA"/>
              </w:rPr>
            </w:pPr>
            <w:r>
              <w:rPr>
                <w:sz w:val="22"/>
                <w:szCs w:val="22"/>
                <w:u w:val="single"/>
                <w:lang w:val="fr-CA"/>
              </w:rPr>
              <w:t>Section iii</w:t>
            </w:r>
            <w:r>
              <w:rPr>
                <w:sz w:val="22"/>
                <w:szCs w:val="22"/>
                <w:lang w:val="fr-CA"/>
              </w:rPr>
              <w:t> : Protection des demandeurs du statut de réfugié et des réfugiés dans les Amériques :</w:t>
            </w:r>
          </w:p>
          <w:p w14:paraId="6BD92192" w14:textId="77777777" w:rsidR="008D0A04" w:rsidRDefault="008D0A04" w:rsidP="008D0A04">
            <w:pPr>
              <w:numPr>
                <w:ilvl w:val="1"/>
                <w:numId w:val="12"/>
              </w:numPr>
              <w:rPr>
                <w:sz w:val="22"/>
                <w:szCs w:val="22"/>
                <w:lang w:val="fr-CA"/>
              </w:rPr>
            </w:pPr>
            <w:r>
              <w:rPr>
                <w:sz w:val="22"/>
                <w:szCs w:val="22"/>
                <w:lang w:val="fr-CA"/>
              </w:rPr>
              <w:t>Échange de données d’expériences et de bonnes pratiques mises en œuvre par États membres.</w:t>
            </w:r>
          </w:p>
          <w:p w14:paraId="03E9BC01" w14:textId="77777777" w:rsidR="008D0A04" w:rsidRDefault="008D0A04" w:rsidP="008D0A04">
            <w:pPr>
              <w:numPr>
                <w:ilvl w:val="0"/>
                <w:numId w:val="18"/>
              </w:numPr>
              <w:rPr>
                <w:sz w:val="22"/>
                <w:szCs w:val="22"/>
                <w:lang w:val="fr-CA"/>
              </w:rPr>
            </w:pPr>
            <w:r>
              <w:rPr>
                <w:sz w:val="22"/>
                <w:szCs w:val="22"/>
                <w:lang w:val="fr-CA"/>
              </w:rPr>
              <w:t xml:space="preserve">Suivi des mandats issus de la résolution AG/RES. 2930 (XLIX-O/19), « Droit international » : </w:t>
            </w:r>
          </w:p>
          <w:p w14:paraId="38DE1D73" w14:textId="77777777" w:rsidR="008D0A04" w:rsidRDefault="008D0A04" w:rsidP="008D0A04">
            <w:pPr>
              <w:numPr>
                <w:ilvl w:val="0"/>
                <w:numId w:val="10"/>
              </w:numPr>
              <w:rPr>
                <w:sz w:val="22"/>
                <w:szCs w:val="22"/>
                <w:lang w:val="fr-CA"/>
              </w:rPr>
            </w:pPr>
            <w:r>
              <w:rPr>
                <w:sz w:val="22"/>
                <w:szCs w:val="22"/>
                <w:u w:val="single"/>
                <w:lang w:val="fr-CA"/>
              </w:rPr>
              <w:t>Section ii :</w:t>
            </w:r>
            <w:r>
              <w:rPr>
                <w:sz w:val="22"/>
                <w:szCs w:val="22"/>
                <w:lang w:val="fr-CA"/>
              </w:rPr>
              <w:t xml:space="preserve"> Programme interaméricain de développement du droit international :</w:t>
            </w:r>
          </w:p>
          <w:p w14:paraId="3C1C8943" w14:textId="77777777" w:rsidR="008D0A04" w:rsidRDefault="008D0A04" w:rsidP="008D0A04">
            <w:pPr>
              <w:numPr>
                <w:ilvl w:val="1"/>
                <w:numId w:val="12"/>
              </w:numPr>
              <w:rPr>
                <w:sz w:val="22"/>
                <w:szCs w:val="22"/>
                <w:lang w:val="fr-CA"/>
              </w:rPr>
            </w:pPr>
            <w:r>
              <w:rPr>
                <w:sz w:val="22"/>
                <w:szCs w:val="22"/>
                <w:lang w:val="fr-CA"/>
              </w:rPr>
              <w:t>Rapport du Département du droit international sur la promotion et la diffusion du droit international privé parmi les États membres en collaboration avec les organismes et associations œuvrant dans ce domaine.</w:t>
            </w:r>
          </w:p>
          <w:p w14:paraId="2DCAA9EE" w14:textId="77777777" w:rsidR="008D0A04" w:rsidRDefault="008D0A04" w:rsidP="008D0A04">
            <w:pPr>
              <w:numPr>
                <w:ilvl w:val="0"/>
                <w:numId w:val="18"/>
              </w:numPr>
              <w:rPr>
                <w:sz w:val="22"/>
                <w:szCs w:val="22"/>
                <w:lang w:val="fr-CA"/>
              </w:rPr>
            </w:pPr>
            <w:r>
              <w:rPr>
                <w:sz w:val="22"/>
                <w:szCs w:val="22"/>
                <w:lang w:val="fr-CA"/>
              </w:rPr>
              <w:t>Dialogue sur quelques réformes dans les procédures de l’OEA</w:t>
            </w:r>
          </w:p>
          <w:p w14:paraId="52E5DA17" w14:textId="77777777" w:rsidR="008D0A04" w:rsidRDefault="008D0A04">
            <w:pPr>
              <w:rPr>
                <w:sz w:val="22"/>
                <w:szCs w:val="22"/>
                <w:lang w:val="fr-CA"/>
              </w:rPr>
            </w:pPr>
            <w:r>
              <w:rPr>
                <w:i/>
                <w:sz w:val="22"/>
                <w:szCs w:val="22"/>
                <w:lang w:val="fr-CA"/>
              </w:rPr>
              <w:t>Exposé de la présidence.</w:t>
            </w:r>
          </w:p>
        </w:tc>
      </w:tr>
      <w:tr w:rsidR="008D0A04" w14:paraId="5BE258F1" w14:textId="77777777" w:rsidTr="008D0A04">
        <w:trPr>
          <w:jc w:val="center"/>
        </w:trPr>
        <w:tc>
          <w:tcPr>
            <w:tcW w:w="14179" w:type="dxa"/>
            <w:gridSpan w:val="2"/>
            <w:tcBorders>
              <w:top w:val="single" w:sz="4" w:space="0" w:color="000000"/>
              <w:left w:val="single" w:sz="4" w:space="0" w:color="000000"/>
              <w:bottom w:val="single" w:sz="4" w:space="0" w:color="000000"/>
              <w:right w:val="single" w:sz="4" w:space="0" w:color="000000"/>
            </w:tcBorders>
            <w:shd w:val="pct15" w:color="auto" w:fill="auto"/>
            <w:hideMark/>
          </w:tcPr>
          <w:p w14:paraId="49339B87" w14:textId="77777777" w:rsidR="008D0A04" w:rsidRDefault="008D0A04">
            <w:pPr>
              <w:jc w:val="center"/>
              <w:rPr>
                <w:b/>
                <w:sz w:val="22"/>
                <w:szCs w:val="22"/>
                <w:lang w:val="fr-CA"/>
              </w:rPr>
            </w:pPr>
            <w:r>
              <w:rPr>
                <w:b/>
                <w:sz w:val="22"/>
                <w:szCs w:val="22"/>
                <w:lang w:val="fr-CA"/>
              </w:rPr>
              <w:t>FÉVRIER 2020</w:t>
            </w:r>
          </w:p>
        </w:tc>
      </w:tr>
      <w:tr w:rsidR="008D0A04" w:rsidRPr="00302458" w14:paraId="772608B1" w14:textId="77777777" w:rsidTr="008D0A04">
        <w:trPr>
          <w:jc w:val="center"/>
        </w:trPr>
        <w:tc>
          <w:tcPr>
            <w:tcW w:w="2577" w:type="dxa"/>
            <w:tcBorders>
              <w:top w:val="single" w:sz="4" w:space="0" w:color="000000"/>
              <w:left w:val="single" w:sz="4" w:space="0" w:color="000000"/>
              <w:bottom w:val="single" w:sz="4" w:space="0" w:color="000000"/>
              <w:right w:val="single" w:sz="4" w:space="0" w:color="000000"/>
            </w:tcBorders>
            <w:hideMark/>
          </w:tcPr>
          <w:p w14:paraId="157AF9A8" w14:textId="77777777" w:rsidR="008D0A04" w:rsidRDefault="008D0A04">
            <w:pPr>
              <w:jc w:val="center"/>
              <w:rPr>
                <w:sz w:val="22"/>
                <w:szCs w:val="22"/>
                <w:lang w:val="fr-CA"/>
              </w:rPr>
            </w:pPr>
            <w:r>
              <w:rPr>
                <w:sz w:val="22"/>
                <w:szCs w:val="22"/>
                <w:lang w:val="fr-CA"/>
              </w:rPr>
              <w:t>Jeudi</w:t>
            </w:r>
          </w:p>
          <w:p w14:paraId="29C86F49" w14:textId="77777777" w:rsidR="008D0A04" w:rsidRDefault="008D0A04">
            <w:pPr>
              <w:jc w:val="center"/>
              <w:rPr>
                <w:sz w:val="22"/>
                <w:szCs w:val="22"/>
                <w:lang w:val="fr-CA"/>
              </w:rPr>
            </w:pPr>
            <w:r>
              <w:rPr>
                <w:sz w:val="22"/>
                <w:szCs w:val="22"/>
                <w:lang w:val="fr-CA"/>
              </w:rPr>
              <w:t>13 février 2020</w:t>
            </w:r>
          </w:p>
          <w:p w14:paraId="0962016A" w14:textId="77777777" w:rsidR="008D0A04" w:rsidRDefault="008D0A04">
            <w:pPr>
              <w:jc w:val="center"/>
              <w:rPr>
                <w:sz w:val="22"/>
                <w:szCs w:val="22"/>
                <w:lang w:val="fr-CA"/>
              </w:rPr>
            </w:pPr>
            <w:r>
              <w:rPr>
                <w:sz w:val="22"/>
                <w:szCs w:val="22"/>
                <w:lang w:val="fr-CA"/>
              </w:rPr>
              <w:t>14 h 30 – 17 h 30</w:t>
            </w:r>
          </w:p>
          <w:p w14:paraId="0FDCF456" w14:textId="77777777" w:rsidR="008D0A04" w:rsidRDefault="008D0A04">
            <w:pPr>
              <w:jc w:val="center"/>
              <w:rPr>
                <w:sz w:val="22"/>
                <w:szCs w:val="22"/>
                <w:lang w:val="fr-CA"/>
              </w:rPr>
            </w:pPr>
            <w:r>
              <w:rPr>
                <w:sz w:val="22"/>
                <w:szCs w:val="22"/>
                <w:lang w:val="fr-CA"/>
              </w:rPr>
              <w:t>salle L. Simon Bolivar</w:t>
            </w:r>
          </w:p>
        </w:tc>
        <w:tc>
          <w:tcPr>
            <w:tcW w:w="11602" w:type="dxa"/>
            <w:tcBorders>
              <w:top w:val="single" w:sz="4" w:space="0" w:color="000000"/>
              <w:left w:val="single" w:sz="4" w:space="0" w:color="000000"/>
              <w:bottom w:val="single" w:sz="4" w:space="0" w:color="000000"/>
              <w:right w:val="single" w:sz="4" w:space="0" w:color="000000"/>
            </w:tcBorders>
            <w:vAlign w:val="center"/>
            <w:hideMark/>
          </w:tcPr>
          <w:p w14:paraId="2A963CE4" w14:textId="77777777" w:rsidR="008D0A04" w:rsidRDefault="008D0A04" w:rsidP="008D0A04">
            <w:pPr>
              <w:numPr>
                <w:ilvl w:val="0"/>
                <w:numId w:val="19"/>
              </w:numPr>
              <w:rPr>
                <w:sz w:val="22"/>
                <w:szCs w:val="22"/>
                <w:lang w:val="fr-CA"/>
              </w:rPr>
            </w:pPr>
            <w:r>
              <w:rPr>
                <w:sz w:val="22"/>
                <w:szCs w:val="22"/>
                <w:lang w:val="fr-CA"/>
              </w:rPr>
              <w:t>Suivi des mandats issus de la résolution AG/RES. 2941 (XLIX-O/19), « Promotion et protection des droits de la personne » :</w:t>
            </w:r>
          </w:p>
          <w:p w14:paraId="60AAD2C3" w14:textId="77777777" w:rsidR="008D0A04" w:rsidRDefault="008D0A04" w:rsidP="008D0A04">
            <w:pPr>
              <w:numPr>
                <w:ilvl w:val="0"/>
                <w:numId w:val="10"/>
              </w:numPr>
              <w:rPr>
                <w:sz w:val="22"/>
                <w:szCs w:val="22"/>
                <w:lang w:val="fr-CA"/>
              </w:rPr>
            </w:pPr>
            <w:r>
              <w:rPr>
                <w:sz w:val="22"/>
                <w:szCs w:val="22"/>
                <w:u w:val="single"/>
                <w:lang w:val="fr-CA"/>
              </w:rPr>
              <w:t>Section v</w:t>
            </w:r>
            <w:r>
              <w:rPr>
                <w:sz w:val="22"/>
                <w:szCs w:val="22"/>
                <w:lang w:val="fr-CA"/>
              </w:rPr>
              <w:t xml:space="preserve"> : Droits de l’enfant et de l’adolescent</w:t>
            </w:r>
          </w:p>
          <w:p w14:paraId="14647E2D" w14:textId="77777777" w:rsidR="008D0A04" w:rsidRDefault="008D0A04" w:rsidP="008D0A04">
            <w:pPr>
              <w:numPr>
                <w:ilvl w:val="0"/>
                <w:numId w:val="10"/>
              </w:numPr>
              <w:rPr>
                <w:sz w:val="22"/>
                <w:szCs w:val="22"/>
                <w:lang w:val="fr-CA"/>
              </w:rPr>
            </w:pPr>
            <w:r>
              <w:rPr>
                <w:sz w:val="22"/>
                <w:szCs w:val="22"/>
                <w:u w:val="single"/>
                <w:lang w:val="fr-CA"/>
              </w:rPr>
              <w:t>Section ix</w:t>
            </w:r>
            <w:r>
              <w:rPr>
                <w:sz w:val="22"/>
                <w:szCs w:val="22"/>
                <w:lang w:val="fr-CA"/>
              </w:rPr>
              <w:t xml:space="preserve"> : Le pouvoir de l’inclusion et les avantages de la diversité :</w:t>
            </w:r>
          </w:p>
          <w:p w14:paraId="6E493712" w14:textId="77777777" w:rsidR="008D0A04" w:rsidRDefault="008D0A04" w:rsidP="008D0A04">
            <w:pPr>
              <w:numPr>
                <w:ilvl w:val="1"/>
                <w:numId w:val="15"/>
              </w:numPr>
              <w:rPr>
                <w:sz w:val="22"/>
                <w:szCs w:val="22"/>
                <w:lang w:val="fr-CA"/>
              </w:rPr>
            </w:pPr>
            <w:r>
              <w:rPr>
                <w:sz w:val="22"/>
                <w:szCs w:val="22"/>
                <w:lang w:val="fr-CA"/>
              </w:rPr>
              <w:t xml:space="preserve">Préparatifs de la réunion extraordinaire « Le pouvoir de l’inclusion et les avantages de la diversité ». </w:t>
            </w:r>
          </w:p>
          <w:p w14:paraId="09D2AC9F" w14:textId="77777777" w:rsidR="008D0A04" w:rsidRDefault="008D0A04" w:rsidP="008D0A04">
            <w:pPr>
              <w:numPr>
                <w:ilvl w:val="0"/>
                <w:numId w:val="19"/>
              </w:numPr>
              <w:rPr>
                <w:sz w:val="22"/>
                <w:szCs w:val="22"/>
                <w:lang w:val="fr-CA"/>
              </w:rPr>
            </w:pPr>
            <w:r>
              <w:rPr>
                <w:sz w:val="22"/>
                <w:szCs w:val="22"/>
                <w:lang w:val="fr-CA"/>
              </w:rPr>
              <w:t xml:space="preserve">Protection des droits humains des personnes âgées. </w:t>
            </w:r>
          </w:p>
          <w:p w14:paraId="723505A2" w14:textId="77777777" w:rsidR="008D0A04" w:rsidRDefault="008D0A04" w:rsidP="008D0A04">
            <w:pPr>
              <w:numPr>
                <w:ilvl w:val="0"/>
                <w:numId w:val="19"/>
              </w:numPr>
              <w:rPr>
                <w:sz w:val="22"/>
                <w:szCs w:val="22"/>
                <w:lang w:val="fr-CA"/>
              </w:rPr>
            </w:pPr>
            <w:r>
              <w:rPr>
                <w:sz w:val="22"/>
                <w:szCs w:val="22"/>
                <w:lang w:val="fr-CA"/>
              </w:rPr>
              <w:t>Examen de la proposition de méthodologie aux fins de présentation et de négociation de projets de résolution de la Commission des questions juridiques et politiques devant être soumis à l’Assemblée générale lors de sa cinquantième session ordinaire</w:t>
            </w:r>
          </w:p>
        </w:tc>
      </w:tr>
      <w:tr w:rsidR="008D0A04" w:rsidRPr="00302458" w14:paraId="237EACD4" w14:textId="77777777" w:rsidTr="008D0A04">
        <w:trPr>
          <w:jc w:val="center"/>
        </w:trPr>
        <w:tc>
          <w:tcPr>
            <w:tcW w:w="2577" w:type="dxa"/>
            <w:tcBorders>
              <w:top w:val="single" w:sz="4" w:space="0" w:color="000000"/>
              <w:left w:val="single" w:sz="4" w:space="0" w:color="000000"/>
              <w:bottom w:val="single" w:sz="4" w:space="0" w:color="000000"/>
              <w:right w:val="single" w:sz="4" w:space="0" w:color="000000"/>
            </w:tcBorders>
            <w:hideMark/>
          </w:tcPr>
          <w:p w14:paraId="09285D6C" w14:textId="77777777" w:rsidR="008D0A04" w:rsidRDefault="008D0A04">
            <w:pPr>
              <w:jc w:val="center"/>
              <w:rPr>
                <w:sz w:val="22"/>
                <w:szCs w:val="22"/>
                <w:lang w:val="fr-CA"/>
              </w:rPr>
            </w:pPr>
            <w:r>
              <w:rPr>
                <w:sz w:val="22"/>
                <w:szCs w:val="22"/>
                <w:lang w:val="fr-CA"/>
              </w:rPr>
              <w:t>Jeudi</w:t>
            </w:r>
            <w:r>
              <w:rPr>
                <w:sz w:val="22"/>
                <w:szCs w:val="22"/>
                <w:lang w:val="fr-CA"/>
              </w:rPr>
              <w:br/>
              <w:t>20 février 2020</w:t>
            </w:r>
          </w:p>
          <w:p w14:paraId="6C94BA18" w14:textId="77777777" w:rsidR="008D0A04" w:rsidRDefault="008D0A04">
            <w:pPr>
              <w:jc w:val="center"/>
              <w:rPr>
                <w:sz w:val="22"/>
                <w:szCs w:val="22"/>
                <w:lang w:val="fr-CA"/>
              </w:rPr>
            </w:pPr>
            <w:r>
              <w:rPr>
                <w:sz w:val="22"/>
                <w:szCs w:val="22"/>
                <w:lang w:val="fr-CA"/>
              </w:rPr>
              <w:t>14 h 30 – 17 h 30</w:t>
            </w:r>
          </w:p>
          <w:p w14:paraId="20B41DF6" w14:textId="77777777" w:rsidR="008D0A04" w:rsidRDefault="008D0A04">
            <w:pPr>
              <w:jc w:val="center"/>
              <w:rPr>
                <w:sz w:val="22"/>
                <w:szCs w:val="22"/>
                <w:lang w:val="fr-CA"/>
              </w:rPr>
            </w:pPr>
            <w:r>
              <w:rPr>
                <w:sz w:val="22"/>
                <w:szCs w:val="22"/>
                <w:lang w:val="fr-CA"/>
              </w:rPr>
              <w:t>salle L. Simon Bolivar</w:t>
            </w:r>
          </w:p>
        </w:tc>
        <w:tc>
          <w:tcPr>
            <w:tcW w:w="11602" w:type="dxa"/>
            <w:tcBorders>
              <w:top w:val="single" w:sz="4" w:space="0" w:color="000000"/>
              <w:left w:val="single" w:sz="4" w:space="0" w:color="000000"/>
              <w:bottom w:val="single" w:sz="4" w:space="0" w:color="000000"/>
              <w:right w:val="single" w:sz="4" w:space="0" w:color="000000"/>
            </w:tcBorders>
            <w:vAlign w:val="center"/>
            <w:hideMark/>
          </w:tcPr>
          <w:p w14:paraId="38EE27EE" w14:textId="77777777" w:rsidR="008D0A04" w:rsidRDefault="008D0A04">
            <w:pPr>
              <w:rPr>
                <w:sz w:val="22"/>
                <w:szCs w:val="22"/>
                <w:lang w:val="fr-CA"/>
              </w:rPr>
            </w:pPr>
            <w:r>
              <w:rPr>
                <w:sz w:val="22"/>
                <w:szCs w:val="22"/>
                <w:lang w:val="fr-CA"/>
              </w:rPr>
              <w:t>Réunion extraordinaire sur l’échange d’enseignements tirés et de bonnes pratiques pour promouvoir un dialogue régional sur le droit à la liberté de pensée, de conscience et de religion ou de croyance - section xviii. de la résolution AG/RES. 2941 (XLIX-O/19).</w:t>
            </w:r>
          </w:p>
        </w:tc>
      </w:tr>
      <w:tr w:rsidR="008D0A04" w:rsidRPr="00302458" w14:paraId="20882B61" w14:textId="77777777" w:rsidTr="008D0A04">
        <w:trPr>
          <w:jc w:val="center"/>
        </w:trPr>
        <w:tc>
          <w:tcPr>
            <w:tcW w:w="2577" w:type="dxa"/>
            <w:tcBorders>
              <w:top w:val="single" w:sz="4" w:space="0" w:color="000000"/>
              <w:left w:val="single" w:sz="4" w:space="0" w:color="000000"/>
              <w:bottom w:val="single" w:sz="4" w:space="0" w:color="000000"/>
              <w:right w:val="single" w:sz="4" w:space="0" w:color="000000"/>
            </w:tcBorders>
            <w:hideMark/>
          </w:tcPr>
          <w:p w14:paraId="4DB912E9" w14:textId="77777777" w:rsidR="008D0A04" w:rsidRDefault="008D0A04">
            <w:pPr>
              <w:jc w:val="center"/>
              <w:rPr>
                <w:sz w:val="22"/>
                <w:szCs w:val="22"/>
                <w:lang w:val="fr-CA"/>
              </w:rPr>
            </w:pPr>
            <w:r>
              <w:rPr>
                <w:sz w:val="22"/>
                <w:szCs w:val="22"/>
                <w:lang w:val="fr-CA"/>
              </w:rPr>
              <w:t>Jeudi</w:t>
            </w:r>
            <w:r>
              <w:rPr>
                <w:sz w:val="22"/>
                <w:szCs w:val="22"/>
                <w:lang w:val="fr-CA"/>
              </w:rPr>
              <w:br/>
              <w:t>27 février 2020</w:t>
            </w:r>
          </w:p>
          <w:p w14:paraId="501762F0" w14:textId="77777777" w:rsidR="008D0A04" w:rsidRDefault="008D0A04">
            <w:pPr>
              <w:jc w:val="center"/>
              <w:rPr>
                <w:sz w:val="22"/>
                <w:szCs w:val="22"/>
                <w:lang w:val="fr-CA"/>
              </w:rPr>
            </w:pPr>
            <w:r>
              <w:rPr>
                <w:sz w:val="22"/>
                <w:szCs w:val="22"/>
                <w:lang w:val="fr-CA"/>
              </w:rPr>
              <w:t>14 h 30 – 16 h 00</w:t>
            </w:r>
          </w:p>
          <w:p w14:paraId="2C3B796A" w14:textId="77777777" w:rsidR="008D0A04" w:rsidRDefault="008D0A04">
            <w:pPr>
              <w:jc w:val="center"/>
              <w:rPr>
                <w:sz w:val="22"/>
                <w:szCs w:val="22"/>
                <w:lang w:val="fr-CA"/>
              </w:rPr>
            </w:pPr>
            <w:r>
              <w:rPr>
                <w:sz w:val="22"/>
                <w:szCs w:val="22"/>
                <w:lang w:val="fr-CA"/>
              </w:rPr>
              <w:t>salle L. Simon Bolivar</w:t>
            </w:r>
          </w:p>
        </w:tc>
        <w:tc>
          <w:tcPr>
            <w:tcW w:w="11602" w:type="dxa"/>
            <w:tcBorders>
              <w:top w:val="single" w:sz="4" w:space="0" w:color="000000"/>
              <w:left w:val="single" w:sz="4" w:space="0" w:color="000000"/>
              <w:bottom w:val="single" w:sz="4" w:space="0" w:color="000000"/>
              <w:right w:val="single" w:sz="4" w:space="0" w:color="000000"/>
            </w:tcBorders>
            <w:vAlign w:val="center"/>
            <w:hideMark/>
          </w:tcPr>
          <w:p w14:paraId="00ADA463" w14:textId="77777777" w:rsidR="008D0A04" w:rsidRDefault="008D0A04">
            <w:pPr>
              <w:rPr>
                <w:sz w:val="22"/>
                <w:szCs w:val="22"/>
                <w:lang w:val="fr-CA"/>
              </w:rPr>
            </w:pPr>
            <w:r>
              <w:rPr>
                <w:sz w:val="22"/>
                <w:szCs w:val="22"/>
                <w:lang w:val="fr-CA"/>
              </w:rPr>
              <w:t>Réunion extraordinaire « Dialogue inclusif pour la prévention, le traitement efficace ainsi que le règlement intégral des conflits sociaux dans l'investissement en faveur du développement intégré » - section v. de la résolution AG/RES. 2931 (XLIX-O/19).</w:t>
            </w:r>
          </w:p>
        </w:tc>
      </w:tr>
      <w:tr w:rsidR="008D0A04" w:rsidRPr="00302458" w14:paraId="69DED691" w14:textId="77777777" w:rsidTr="008D0A04">
        <w:trPr>
          <w:jc w:val="center"/>
        </w:trPr>
        <w:tc>
          <w:tcPr>
            <w:tcW w:w="2577" w:type="dxa"/>
            <w:tcBorders>
              <w:top w:val="single" w:sz="4" w:space="0" w:color="000000"/>
              <w:left w:val="single" w:sz="4" w:space="0" w:color="000000"/>
              <w:bottom w:val="single" w:sz="4" w:space="0" w:color="000000"/>
              <w:right w:val="single" w:sz="4" w:space="0" w:color="000000"/>
            </w:tcBorders>
            <w:hideMark/>
          </w:tcPr>
          <w:p w14:paraId="22F4F1AC" w14:textId="77777777" w:rsidR="008D0A04" w:rsidRDefault="008D0A04">
            <w:pPr>
              <w:jc w:val="center"/>
              <w:rPr>
                <w:sz w:val="22"/>
                <w:szCs w:val="22"/>
                <w:lang w:val="fr-CA"/>
              </w:rPr>
            </w:pPr>
            <w:r>
              <w:rPr>
                <w:sz w:val="22"/>
                <w:szCs w:val="22"/>
                <w:lang w:val="fr-CA"/>
              </w:rPr>
              <w:t>Jeudi</w:t>
            </w:r>
            <w:r>
              <w:rPr>
                <w:sz w:val="22"/>
                <w:szCs w:val="22"/>
                <w:lang w:val="fr-CA"/>
              </w:rPr>
              <w:br/>
              <w:t>27 février 2020</w:t>
            </w:r>
          </w:p>
          <w:p w14:paraId="29E812C3" w14:textId="77777777" w:rsidR="008D0A04" w:rsidRDefault="008D0A04">
            <w:pPr>
              <w:jc w:val="center"/>
              <w:rPr>
                <w:sz w:val="22"/>
                <w:szCs w:val="22"/>
                <w:lang w:val="fr-CA"/>
              </w:rPr>
            </w:pPr>
            <w:r>
              <w:rPr>
                <w:sz w:val="22"/>
                <w:szCs w:val="22"/>
                <w:lang w:val="fr-CA"/>
              </w:rPr>
              <w:t>16 h 00 – 17 h 30</w:t>
            </w:r>
          </w:p>
          <w:p w14:paraId="472498AC" w14:textId="77777777" w:rsidR="008D0A04" w:rsidRDefault="008D0A04">
            <w:pPr>
              <w:jc w:val="center"/>
              <w:rPr>
                <w:sz w:val="22"/>
                <w:szCs w:val="22"/>
                <w:lang w:val="fr-CA"/>
              </w:rPr>
            </w:pPr>
            <w:r>
              <w:rPr>
                <w:sz w:val="22"/>
                <w:szCs w:val="22"/>
                <w:lang w:val="fr-CA"/>
              </w:rPr>
              <w:t>salle L. Simon Bolivar</w:t>
            </w:r>
          </w:p>
        </w:tc>
        <w:tc>
          <w:tcPr>
            <w:tcW w:w="11602" w:type="dxa"/>
            <w:tcBorders>
              <w:top w:val="single" w:sz="4" w:space="0" w:color="000000"/>
              <w:left w:val="single" w:sz="4" w:space="0" w:color="000000"/>
              <w:bottom w:val="single" w:sz="4" w:space="0" w:color="000000"/>
              <w:right w:val="single" w:sz="4" w:space="0" w:color="000000"/>
            </w:tcBorders>
            <w:vAlign w:val="center"/>
            <w:hideMark/>
          </w:tcPr>
          <w:p w14:paraId="6201C7CD" w14:textId="77777777" w:rsidR="008D0A04" w:rsidRDefault="008D0A04" w:rsidP="008D0A04">
            <w:pPr>
              <w:numPr>
                <w:ilvl w:val="0"/>
                <w:numId w:val="20"/>
              </w:numPr>
              <w:rPr>
                <w:sz w:val="22"/>
                <w:szCs w:val="22"/>
                <w:lang w:val="fr-CA"/>
              </w:rPr>
            </w:pPr>
            <w:r>
              <w:rPr>
                <w:sz w:val="22"/>
                <w:szCs w:val="22"/>
                <w:lang w:val="fr-CA"/>
              </w:rPr>
              <w:t>Enjeux du Secrétariat au renforcement de la démocratie en 2020.</w:t>
            </w:r>
          </w:p>
          <w:p w14:paraId="795AE660" w14:textId="77777777" w:rsidR="008D0A04" w:rsidRDefault="008D0A04">
            <w:pPr>
              <w:rPr>
                <w:i/>
                <w:sz w:val="22"/>
                <w:szCs w:val="22"/>
                <w:lang w:val="fr-CA"/>
              </w:rPr>
            </w:pPr>
            <w:r>
              <w:rPr>
                <w:i/>
                <w:sz w:val="22"/>
                <w:szCs w:val="22"/>
                <w:lang w:val="fr-CA"/>
              </w:rPr>
              <w:t>Exposé du Secrétaire au renforcement de la démocratie</w:t>
            </w:r>
          </w:p>
          <w:p w14:paraId="2F44E816" w14:textId="77777777" w:rsidR="008D0A04" w:rsidRDefault="008D0A04" w:rsidP="008D0A04">
            <w:pPr>
              <w:numPr>
                <w:ilvl w:val="0"/>
                <w:numId w:val="20"/>
              </w:numPr>
              <w:rPr>
                <w:sz w:val="22"/>
                <w:szCs w:val="22"/>
                <w:u w:val="single"/>
                <w:lang w:val="fr-CA"/>
              </w:rPr>
            </w:pPr>
            <w:r>
              <w:rPr>
                <w:sz w:val="22"/>
                <w:szCs w:val="22"/>
                <w:lang w:val="fr-CA"/>
              </w:rPr>
              <w:t>Suivi des mandats issus de la résolution AG/RES. 2931 (XLIX-O/19), « Renforcement de la démocratie » :</w:t>
            </w:r>
          </w:p>
          <w:p w14:paraId="01886D89" w14:textId="77777777" w:rsidR="008D0A04" w:rsidRDefault="008D0A04" w:rsidP="008D0A04">
            <w:pPr>
              <w:numPr>
                <w:ilvl w:val="0"/>
                <w:numId w:val="10"/>
              </w:numPr>
              <w:rPr>
                <w:sz w:val="22"/>
                <w:szCs w:val="22"/>
                <w:lang w:val="fr-CA"/>
              </w:rPr>
            </w:pPr>
            <w:r>
              <w:rPr>
                <w:sz w:val="22"/>
                <w:szCs w:val="22"/>
                <w:u w:val="single"/>
                <w:lang w:val="fr-CA"/>
              </w:rPr>
              <w:t>Section i :</w:t>
            </w:r>
            <w:r>
              <w:rPr>
                <w:sz w:val="22"/>
                <w:szCs w:val="22"/>
                <w:lang w:val="fr-CA"/>
              </w:rPr>
              <w:t xml:space="preserve"> Suivi de la Charte démocratique interaméricaine. </w:t>
            </w:r>
          </w:p>
        </w:tc>
      </w:tr>
    </w:tbl>
    <w:p w14:paraId="24DA628D" w14:textId="77777777" w:rsidR="008D0A04" w:rsidRDefault="008D0A04" w:rsidP="008D0A04">
      <w:pPr>
        <w:rPr>
          <w:color w:val="000000"/>
          <w:sz w:val="22"/>
          <w:szCs w:val="22"/>
          <w:lang w:val="fr-CA" w:eastAsia="es-ES"/>
        </w:rPr>
      </w:pPr>
      <w:r>
        <w:rPr>
          <w:lang w:val="fr-CA"/>
        </w:rPr>
        <w:br w:type="page"/>
      </w:r>
    </w:p>
    <w:p w14:paraId="69039369" w14:textId="77777777" w:rsidR="008D0A04" w:rsidRDefault="008D0A04" w:rsidP="008D0A04">
      <w:pPr>
        <w:rPr>
          <w:color w:val="000000"/>
          <w:sz w:val="22"/>
          <w:szCs w:val="22"/>
          <w:lang w:val="fr-CA" w:eastAsia="es-ES"/>
        </w:rPr>
      </w:pPr>
    </w:p>
    <w:tbl>
      <w:tblPr>
        <w:tblW w:w="14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7"/>
        <w:gridCol w:w="11602"/>
      </w:tblGrid>
      <w:tr w:rsidR="008D0A04" w14:paraId="7B944CD7" w14:textId="77777777" w:rsidTr="008D0A04">
        <w:trPr>
          <w:jc w:val="center"/>
        </w:trPr>
        <w:tc>
          <w:tcPr>
            <w:tcW w:w="14179" w:type="dxa"/>
            <w:gridSpan w:val="2"/>
            <w:tcBorders>
              <w:top w:val="single" w:sz="4" w:space="0" w:color="000000"/>
              <w:left w:val="single" w:sz="4" w:space="0" w:color="000000"/>
              <w:bottom w:val="single" w:sz="4" w:space="0" w:color="000000"/>
              <w:right w:val="single" w:sz="4" w:space="0" w:color="000000"/>
            </w:tcBorders>
            <w:shd w:val="pct15" w:color="auto" w:fill="auto"/>
            <w:hideMark/>
          </w:tcPr>
          <w:p w14:paraId="493B1B54" w14:textId="77777777" w:rsidR="008D0A04" w:rsidRDefault="008D0A04">
            <w:pPr>
              <w:tabs>
                <w:tab w:val="left" w:pos="342"/>
              </w:tabs>
              <w:spacing w:before="20" w:after="20"/>
              <w:ind w:left="360" w:hanging="360"/>
              <w:jc w:val="center"/>
              <w:rPr>
                <w:b/>
                <w:sz w:val="22"/>
                <w:szCs w:val="22"/>
                <w:lang w:val="fr-CA" w:eastAsia="es-ES"/>
              </w:rPr>
            </w:pPr>
            <w:r>
              <w:rPr>
                <w:b/>
                <w:sz w:val="22"/>
                <w:szCs w:val="22"/>
                <w:lang w:val="fr-CA" w:eastAsia="es-ES"/>
              </w:rPr>
              <w:t>AVRIL 2020</w:t>
            </w:r>
          </w:p>
        </w:tc>
      </w:tr>
      <w:tr w:rsidR="008D0A04" w:rsidRPr="00302458" w14:paraId="2A9887AE" w14:textId="77777777" w:rsidTr="008D0A04">
        <w:trPr>
          <w:jc w:val="center"/>
        </w:trPr>
        <w:tc>
          <w:tcPr>
            <w:tcW w:w="2577" w:type="dxa"/>
            <w:tcBorders>
              <w:top w:val="single" w:sz="4" w:space="0" w:color="000000"/>
              <w:left w:val="single" w:sz="4" w:space="0" w:color="000000"/>
              <w:bottom w:val="single" w:sz="4" w:space="0" w:color="000000"/>
              <w:right w:val="single" w:sz="4" w:space="0" w:color="000000"/>
            </w:tcBorders>
            <w:vAlign w:val="center"/>
            <w:hideMark/>
          </w:tcPr>
          <w:p w14:paraId="0354C075" w14:textId="77777777" w:rsidR="008D0A04" w:rsidRPr="00C2432A" w:rsidRDefault="008D0A04">
            <w:pPr>
              <w:spacing w:before="20" w:after="20"/>
              <w:jc w:val="center"/>
              <w:rPr>
                <w:sz w:val="22"/>
                <w:szCs w:val="22"/>
                <w:lang w:val="pt-BR" w:eastAsia="es-ES"/>
              </w:rPr>
            </w:pPr>
            <w:r w:rsidRPr="00C2432A">
              <w:rPr>
                <w:sz w:val="22"/>
                <w:szCs w:val="22"/>
                <w:lang w:val="pt-BR" w:eastAsia="es-ES"/>
              </w:rPr>
              <w:t>Jeudi</w:t>
            </w:r>
          </w:p>
          <w:p w14:paraId="6567EECA" w14:textId="77777777" w:rsidR="008D0A04" w:rsidRPr="00C2432A" w:rsidRDefault="008D0A04">
            <w:pPr>
              <w:tabs>
                <w:tab w:val="center" w:pos="1180"/>
              </w:tabs>
              <w:spacing w:before="20" w:after="20"/>
              <w:jc w:val="center"/>
              <w:rPr>
                <w:sz w:val="22"/>
                <w:szCs w:val="22"/>
                <w:lang w:val="pt-BR" w:eastAsia="es-ES"/>
              </w:rPr>
            </w:pPr>
            <w:r w:rsidRPr="00C2432A">
              <w:rPr>
                <w:sz w:val="22"/>
                <w:szCs w:val="22"/>
                <w:lang w:val="pt-BR" w:eastAsia="es-ES"/>
              </w:rPr>
              <w:t>23 avril 2020</w:t>
            </w:r>
          </w:p>
          <w:p w14:paraId="5F40B49E" w14:textId="77777777" w:rsidR="008D0A04" w:rsidRPr="00C2432A" w:rsidRDefault="008D0A04">
            <w:pPr>
              <w:spacing w:before="20" w:after="20"/>
              <w:jc w:val="center"/>
              <w:rPr>
                <w:sz w:val="22"/>
                <w:szCs w:val="22"/>
                <w:lang w:val="pt-BR" w:eastAsia="es-ES"/>
              </w:rPr>
            </w:pPr>
            <w:r w:rsidRPr="00C2432A">
              <w:rPr>
                <w:sz w:val="22"/>
                <w:szCs w:val="22"/>
                <w:lang w:val="pt-BR" w:eastAsia="es-ES"/>
              </w:rPr>
              <w:t xml:space="preserve">14 h 30 – 16 h 30 </w:t>
            </w:r>
          </w:p>
          <w:p w14:paraId="505DFE32" w14:textId="77777777" w:rsidR="008D0A04" w:rsidRPr="00C2432A" w:rsidRDefault="008D0A04">
            <w:pPr>
              <w:spacing w:before="20" w:after="20"/>
              <w:jc w:val="center"/>
              <w:rPr>
                <w:sz w:val="22"/>
                <w:szCs w:val="22"/>
                <w:lang w:val="pt-BR" w:eastAsia="es-ES"/>
              </w:rPr>
            </w:pPr>
            <w:r w:rsidRPr="00C2432A">
              <w:rPr>
                <w:sz w:val="22"/>
                <w:szCs w:val="22"/>
                <w:lang w:val="pt-BR" w:eastAsia="es-ES"/>
              </w:rPr>
              <w:t>Virtuel</w:t>
            </w:r>
          </w:p>
        </w:tc>
        <w:tc>
          <w:tcPr>
            <w:tcW w:w="11602" w:type="dxa"/>
            <w:tcBorders>
              <w:top w:val="single" w:sz="4" w:space="0" w:color="000000"/>
              <w:left w:val="single" w:sz="4" w:space="0" w:color="000000"/>
              <w:bottom w:val="single" w:sz="4" w:space="0" w:color="000000"/>
              <w:right w:val="single" w:sz="4" w:space="0" w:color="000000"/>
            </w:tcBorders>
            <w:hideMark/>
          </w:tcPr>
          <w:p w14:paraId="40ED941D" w14:textId="77777777" w:rsidR="008D0A04" w:rsidRDefault="008D0A04" w:rsidP="008D0A04">
            <w:pPr>
              <w:numPr>
                <w:ilvl w:val="0"/>
                <w:numId w:val="21"/>
              </w:numPr>
              <w:spacing w:before="20" w:after="20"/>
              <w:jc w:val="both"/>
              <w:rPr>
                <w:sz w:val="22"/>
                <w:szCs w:val="22"/>
                <w:lang w:val="fr-CA"/>
              </w:rPr>
            </w:pPr>
            <w:r>
              <w:rPr>
                <w:sz w:val="22"/>
                <w:szCs w:val="22"/>
                <w:lang w:val="fr-CA"/>
              </w:rPr>
              <w:t>Réorganisation des travaux de la Commission pendant les mesures de confinement et de distanciation sociale à cause de la pandémie de COVID-19.</w:t>
            </w:r>
          </w:p>
          <w:p w14:paraId="7557EF1A" w14:textId="77777777" w:rsidR="008D0A04" w:rsidRDefault="008D0A04" w:rsidP="008D0A04">
            <w:pPr>
              <w:numPr>
                <w:ilvl w:val="0"/>
                <w:numId w:val="21"/>
              </w:numPr>
              <w:spacing w:before="20" w:after="20"/>
              <w:jc w:val="both"/>
              <w:rPr>
                <w:sz w:val="22"/>
                <w:szCs w:val="22"/>
                <w:lang w:val="fr-CA" w:eastAsia="es-ES"/>
              </w:rPr>
            </w:pPr>
            <w:r>
              <w:rPr>
                <w:sz w:val="22"/>
                <w:szCs w:val="22"/>
                <w:lang w:val="fr-CA" w:eastAsia="es-ES"/>
              </w:rPr>
              <w:t xml:space="preserve">Suivi du mandat contenu dans la résolution </w:t>
            </w:r>
            <w:r>
              <w:rPr>
                <w:sz w:val="22"/>
                <w:szCs w:val="22"/>
                <w:lang w:val="fr-CA"/>
              </w:rPr>
              <w:t>AG/RES. 2931 (XLIX-O/19) “Renforcement de la démocratie</w:t>
            </w:r>
            <w:r>
              <w:rPr>
                <w:sz w:val="22"/>
                <w:szCs w:val="22"/>
                <w:lang w:val="fr-CA" w:eastAsia="es-ES"/>
              </w:rPr>
              <w:t>”:</w:t>
            </w:r>
          </w:p>
          <w:p w14:paraId="497CBF17" w14:textId="77777777" w:rsidR="008D0A04" w:rsidRDefault="008D0A04" w:rsidP="008D0A04">
            <w:pPr>
              <w:numPr>
                <w:ilvl w:val="0"/>
                <w:numId w:val="22"/>
              </w:numPr>
              <w:spacing w:before="20" w:after="20"/>
              <w:jc w:val="both"/>
              <w:rPr>
                <w:sz w:val="22"/>
                <w:szCs w:val="22"/>
                <w:lang w:val="fr-CA" w:eastAsia="es-ES"/>
              </w:rPr>
            </w:pPr>
            <w:r>
              <w:rPr>
                <w:sz w:val="22"/>
                <w:szCs w:val="22"/>
                <w:u w:val="single"/>
                <w:lang w:val="fr-CA"/>
              </w:rPr>
              <w:t>Section xii</w:t>
            </w:r>
            <w:r>
              <w:rPr>
                <w:sz w:val="22"/>
                <w:szCs w:val="22"/>
                <w:lang w:val="fr-CA"/>
              </w:rPr>
              <w:t>: Accès à l’information et protection des données personnelles</w:t>
            </w:r>
            <w:r>
              <w:rPr>
                <w:sz w:val="22"/>
                <w:szCs w:val="22"/>
                <w:lang w:val="fr-CA" w:eastAsia="es-ES"/>
              </w:rPr>
              <w:t>.</w:t>
            </w:r>
            <w:r>
              <w:rPr>
                <w:sz w:val="22"/>
                <w:szCs w:val="22"/>
                <w:lang w:val="fr-CA" w:eastAsia="es-ES"/>
              </w:rPr>
              <w:tab/>
            </w:r>
            <w:r>
              <w:rPr>
                <w:sz w:val="22"/>
                <w:szCs w:val="22"/>
                <w:lang w:val="fr-CA" w:eastAsia="es-ES"/>
              </w:rPr>
              <w:tab/>
            </w:r>
          </w:p>
          <w:p w14:paraId="51BBBEEE" w14:textId="77777777" w:rsidR="008D0A04" w:rsidRDefault="008D0A04" w:rsidP="008D0A04">
            <w:pPr>
              <w:numPr>
                <w:ilvl w:val="1"/>
                <w:numId w:val="23"/>
              </w:numPr>
              <w:tabs>
                <w:tab w:val="left" w:pos="843"/>
              </w:tabs>
              <w:spacing w:before="20" w:after="20"/>
              <w:jc w:val="both"/>
              <w:rPr>
                <w:i/>
                <w:sz w:val="22"/>
                <w:szCs w:val="22"/>
                <w:lang w:val="fr-CA" w:eastAsia="es-ES"/>
              </w:rPr>
            </w:pPr>
            <w:r>
              <w:rPr>
                <w:sz w:val="22"/>
                <w:szCs w:val="22"/>
                <w:lang w:val="fr-CA"/>
              </w:rPr>
              <w:t>Présentation des rapports de progrès des pays et partage de bonnes pratiques dans la mise en œuvre du Programme interaméricain sur l’accès à l’information.</w:t>
            </w:r>
          </w:p>
        </w:tc>
      </w:tr>
      <w:tr w:rsidR="008D0A04" w:rsidRPr="00302458" w14:paraId="2AB72C87" w14:textId="77777777" w:rsidTr="008D0A04">
        <w:trPr>
          <w:jc w:val="center"/>
        </w:trPr>
        <w:tc>
          <w:tcPr>
            <w:tcW w:w="2577" w:type="dxa"/>
            <w:tcBorders>
              <w:top w:val="single" w:sz="4" w:space="0" w:color="000000"/>
              <w:left w:val="single" w:sz="4" w:space="0" w:color="000000"/>
              <w:bottom w:val="single" w:sz="4" w:space="0" w:color="000000"/>
              <w:right w:val="single" w:sz="4" w:space="0" w:color="000000"/>
            </w:tcBorders>
            <w:vAlign w:val="center"/>
            <w:hideMark/>
          </w:tcPr>
          <w:p w14:paraId="3899E22C" w14:textId="77777777" w:rsidR="008D0A04" w:rsidRPr="00C2432A" w:rsidRDefault="008D0A04">
            <w:pPr>
              <w:spacing w:before="20" w:after="20"/>
              <w:jc w:val="center"/>
              <w:rPr>
                <w:sz w:val="22"/>
                <w:szCs w:val="22"/>
                <w:lang w:val="pt-BR" w:eastAsia="es-ES"/>
              </w:rPr>
            </w:pPr>
            <w:proofErr w:type="spellStart"/>
            <w:r w:rsidRPr="00C2432A">
              <w:rPr>
                <w:sz w:val="22"/>
                <w:szCs w:val="22"/>
                <w:lang w:val="pt-BR" w:eastAsia="es-ES"/>
              </w:rPr>
              <w:t>Jeudi</w:t>
            </w:r>
            <w:proofErr w:type="spellEnd"/>
            <w:r w:rsidRPr="00C2432A">
              <w:rPr>
                <w:sz w:val="22"/>
                <w:szCs w:val="22"/>
                <w:lang w:val="pt-BR" w:eastAsia="es-ES"/>
              </w:rPr>
              <w:br/>
              <w:t xml:space="preserve">30 </w:t>
            </w:r>
            <w:proofErr w:type="spellStart"/>
            <w:r w:rsidRPr="00C2432A">
              <w:rPr>
                <w:sz w:val="22"/>
                <w:szCs w:val="22"/>
                <w:lang w:val="pt-BR" w:eastAsia="es-ES"/>
              </w:rPr>
              <w:t>avril</w:t>
            </w:r>
            <w:proofErr w:type="spellEnd"/>
            <w:r w:rsidRPr="00C2432A">
              <w:rPr>
                <w:sz w:val="22"/>
                <w:szCs w:val="22"/>
                <w:lang w:val="pt-BR" w:eastAsia="es-ES"/>
              </w:rPr>
              <w:t xml:space="preserve"> 2020</w:t>
            </w:r>
          </w:p>
          <w:p w14:paraId="02868229" w14:textId="77777777" w:rsidR="008D0A04" w:rsidRPr="00C2432A" w:rsidRDefault="008D0A04">
            <w:pPr>
              <w:spacing w:before="20" w:after="20"/>
              <w:jc w:val="center"/>
              <w:rPr>
                <w:sz w:val="22"/>
                <w:szCs w:val="22"/>
                <w:lang w:val="pt-BR" w:eastAsia="es-ES"/>
              </w:rPr>
            </w:pPr>
            <w:r w:rsidRPr="00C2432A">
              <w:rPr>
                <w:sz w:val="22"/>
                <w:szCs w:val="22"/>
                <w:lang w:val="pt-BR" w:eastAsia="es-ES"/>
              </w:rPr>
              <w:t xml:space="preserve">14 h 30 – 17 h 00 </w:t>
            </w:r>
          </w:p>
          <w:p w14:paraId="7D3C2001" w14:textId="77777777" w:rsidR="008D0A04" w:rsidRPr="00C2432A" w:rsidRDefault="008D0A04">
            <w:pPr>
              <w:spacing w:before="20" w:after="20"/>
              <w:jc w:val="center"/>
              <w:rPr>
                <w:sz w:val="22"/>
                <w:szCs w:val="22"/>
                <w:lang w:val="pt-BR" w:eastAsia="es-ES"/>
              </w:rPr>
            </w:pPr>
            <w:r w:rsidRPr="00C2432A">
              <w:rPr>
                <w:sz w:val="22"/>
                <w:szCs w:val="22"/>
                <w:lang w:val="pt-BR" w:eastAsia="es-ES"/>
              </w:rPr>
              <w:t>Virtuel</w:t>
            </w:r>
          </w:p>
        </w:tc>
        <w:tc>
          <w:tcPr>
            <w:tcW w:w="11602" w:type="dxa"/>
            <w:tcBorders>
              <w:top w:val="single" w:sz="4" w:space="0" w:color="000000"/>
              <w:left w:val="single" w:sz="4" w:space="0" w:color="000000"/>
              <w:bottom w:val="single" w:sz="4" w:space="0" w:color="000000"/>
              <w:right w:val="single" w:sz="4" w:space="0" w:color="000000"/>
            </w:tcBorders>
            <w:vAlign w:val="center"/>
            <w:hideMark/>
          </w:tcPr>
          <w:p w14:paraId="06A4C0A7" w14:textId="77777777" w:rsidR="008D0A04" w:rsidRDefault="008D0A04" w:rsidP="008D0A04">
            <w:pPr>
              <w:numPr>
                <w:ilvl w:val="0"/>
                <w:numId w:val="24"/>
              </w:numPr>
              <w:spacing w:before="20" w:after="20"/>
              <w:jc w:val="both"/>
              <w:rPr>
                <w:sz w:val="22"/>
                <w:szCs w:val="22"/>
                <w:lang w:val="fr-CA" w:eastAsia="es-ES"/>
              </w:rPr>
            </w:pPr>
            <w:r>
              <w:rPr>
                <w:sz w:val="22"/>
                <w:szCs w:val="22"/>
                <w:lang w:val="fr-CA" w:eastAsia="es-ES"/>
              </w:rPr>
              <w:t>Présentation du rapport annuel de la CIDH adressé à la cinquantième session ordinaire de l’Assemblée générale.</w:t>
            </w:r>
          </w:p>
          <w:p w14:paraId="797F7BA4" w14:textId="77777777" w:rsidR="008D0A04" w:rsidRDefault="008D0A04" w:rsidP="008D0A04">
            <w:pPr>
              <w:numPr>
                <w:ilvl w:val="0"/>
                <w:numId w:val="24"/>
              </w:numPr>
              <w:spacing w:before="20" w:after="20"/>
              <w:jc w:val="both"/>
              <w:rPr>
                <w:sz w:val="22"/>
                <w:szCs w:val="22"/>
                <w:lang w:val="fr-CA" w:eastAsia="es-ES"/>
              </w:rPr>
            </w:pPr>
            <w:r>
              <w:rPr>
                <w:sz w:val="22"/>
                <w:szCs w:val="22"/>
                <w:lang w:val="fr-CA" w:eastAsia="es-ES"/>
              </w:rPr>
              <w:t xml:space="preserve">Présentation du rapport annuel de la </w:t>
            </w:r>
            <w:proofErr w:type="spellStart"/>
            <w:r>
              <w:rPr>
                <w:sz w:val="22"/>
                <w:szCs w:val="22"/>
                <w:lang w:val="fr-CA" w:eastAsia="es-ES"/>
              </w:rPr>
              <w:t>CoIDH</w:t>
            </w:r>
            <w:proofErr w:type="spellEnd"/>
            <w:r>
              <w:rPr>
                <w:sz w:val="22"/>
                <w:szCs w:val="22"/>
                <w:lang w:val="fr-CA" w:eastAsia="es-ES"/>
              </w:rPr>
              <w:t xml:space="preserve"> adressé à la cinquantième session ordinaire de l’Assemblée générale.</w:t>
            </w:r>
          </w:p>
        </w:tc>
      </w:tr>
      <w:tr w:rsidR="008D0A04" w14:paraId="77928A1E" w14:textId="77777777" w:rsidTr="008D0A04">
        <w:trPr>
          <w:jc w:val="center"/>
        </w:trPr>
        <w:tc>
          <w:tcPr>
            <w:tcW w:w="14179" w:type="dxa"/>
            <w:gridSpan w:val="2"/>
            <w:tcBorders>
              <w:top w:val="single" w:sz="4" w:space="0" w:color="000000"/>
              <w:left w:val="single" w:sz="4" w:space="0" w:color="000000"/>
              <w:bottom w:val="single" w:sz="4" w:space="0" w:color="000000"/>
              <w:right w:val="single" w:sz="4" w:space="0" w:color="000000"/>
            </w:tcBorders>
            <w:shd w:val="pct15" w:color="auto" w:fill="auto"/>
            <w:hideMark/>
          </w:tcPr>
          <w:p w14:paraId="50340AE3" w14:textId="77777777" w:rsidR="008D0A04" w:rsidRDefault="008D0A04">
            <w:pPr>
              <w:tabs>
                <w:tab w:val="left" w:pos="342"/>
              </w:tabs>
              <w:spacing w:before="20" w:after="20"/>
              <w:ind w:left="360" w:hanging="360"/>
              <w:jc w:val="center"/>
              <w:rPr>
                <w:b/>
                <w:sz w:val="22"/>
                <w:szCs w:val="22"/>
                <w:lang w:val="fr-CA" w:eastAsia="es-ES"/>
              </w:rPr>
            </w:pPr>
            <w:r>
              <w:rPr>
                <w:b/>
                <w:sz w:val="22"/>
                <w:szCs w:val="22"/>
                <w:lang w:val="fr-CA" w:eastAsia="es-ES"/>
              </w:rPr>
              <w:t>MAI 2020</w:t>
            </w:r>
          </w:p>
        </w:tc>
      </w:tr>
      <w:tr w:rsidR="008D0A04" w:rsidRPr="00302458" w14:paraId="34261B77" w14:textId="77777777" w:rsidTr="008D0A04">
        <w:trPr>
          <w:jc w:val="center"/>
        </w:trPr>
        <w:tc>
          <w:tcPr>
            <w:tcW w:w="2577" w:type="dxa"/>
            <w:tcBorders>
              <w:top w:val="single" w:sz="4" w:space="0" w:color="000000"/>
              <w:left w:val="single" w:sz="4" w:space="0" w:color="000000"/>
              <w:bottom w:val="single" w:sz="4" w:space="0" w:color="000000"/>
              <w:right w:val="single" w:sz="4" w:space="0" w:color="000000"/>
            </w:tcBorders>
            <w:vAlign w:val="center"/>
            <w:hideMark/>
          </w:tcPr>
          <w:p w14:paraId="4BC99111" w14:textId="77777777" w:rsidR="008D0A04" w:rsidRPr="00C2432A" w:rsidRDefault="008D0A04">
            <w:pPr>
              <w:spacing w:before="20" w:after="20"/>
              <w:jc w:val="center"/>
              <w:rPr>
                <w:sz w:val="22"/>
                <w:szCs w:val="22"/>
                <w:lang w:val="pt-BR" w:eastAsia="es-ES"/>
              </w:rPr>
            </w:pPr>
            <w:r w:rsidRPr="00C2432A">
              <w:rPr>
                <w:sz w:val="22"/>
                <w:szCs w:val="22"/>
                <w:lang w:val="pt-BR" w:eastAsia="es-ES"/>
              </w:rPr>
              <w:t>Jeudi</w:t>
            </w:r>
            <w:r w:rsidRPr="00C2432A">
              <w:rPr>
                <w:sz w:val="22"/>
                <w:szCs w:val="22"/>
                <w:lang w:val="pt-BR" w:eastAsia="es-ES"/>
              </w:rPr>
              <w:br/>
              <w:t>14 mai 2020</w:t>
            </w:r>
          </w:p>
          <w:p w14:paraId="0ECF0FDF" w14:textId="77777777" w:rsidR="008D0A04" w:rsidRPr="00C2432A" w:rsidRDefault="008D0A04">
            <w:pPr>
              <w:spacing w:before="20" w:after="20"/>
              <w:jc w:val="center"/>
              <w:rPr>
                <w:sz w:val="22"/>
                <w:szCs w:val="22"/>
                <w:lang w:val="pt-BR" w:eastAsia="es-ES"/>
              </w:rPr>
            </w:pPr>
            <w:r w:rsidRPr="00C2432A">
              <w:rPr>
                <w:sz w:val="22"/>
                <w:szCs w:val="22"/>
                <w:lang w:val="pt-BR" w:eastAsia="es-ES"/>
              </w:rPr>
              <w:t xml:space="preserve">14 h 30 – 17 h 00 </w:t>
            </w:r>
          </w:p>
          <w:p w14:paraId="38A0978F" w14:textId="77777777" w:rsidR="008D0A04" w:rsidRPr="00C2432A" w:rsidRDefault="008D0A04">
            <w:pPr>
              <w:spacing w:before="20" w:after="20"/>
              <w:jc w:val="center"/>
              <w:rPr>
                <w:sz w:val="22"/>
                <w:szCs w:val="22"/>
                <w:lang w:val="pt-BR" w:eastAsia="es-ES"/>
              </w:rPr>
            </w:pPr>
            <w:r w:rsidRPr="00C2432A">
              <w:rPr>
                <w:sz w:val="22"/>
                <w:szCs w:val="22"/>
                <w:lang w:val="pt-BR" w:eastAsia="es-ES"/>
              </w:rPr>
              <w:t>Virtuel</w:t>
            </w:r>
          </w:p>
        </w:tc>
        <w:tc>
          <w:tcPr>
            <w:tcW w:w="11602" w:type="dxa"/>
            <w:tcBorders>
              <w:top w:val="single" w:sz="4" w:space="0" w:color="000000"/>
              <w:left w:val="single" w:sz="4" w:space="0" w:color="000000"/>
              <w:bottom w:val="single" w:sz="4" w:space="0" w:color="000000"/>
              <w:right w:val="single" w:sz="4" w:space="0" w:color="000000"/>
            </w:tcBorders>
            <w:vAlign w:val="center"/>
            <w:hideMark/>
          </w:tcPr>
          <w:p w14:paraId="03E30F9C" w14:textId="77777777" w:rsidR="008D0A04" w:rsidRDefault="008D0A04" w:rsidP="008D0A04">
            <w:pPr>
              <w:numPr>
                <w:ilvl w:val="0"/>
                <w:numId w:val="25"/>
              </w:numPr>
              <w:spacing w:before="20" w:after="20"/>
              <w:jc w:val="both"/>
              <w:rPr>
                <w:sz w:val="22"/>
                <w:szCs w:val="22"/>
                <w:lang w:val="fr-CA" w:eastAsia="es-ES"/>
              </w:rPr>
            </w:pPr>
            <w:r>
              <w:rPr>
                <w:sz w:val="22"/>
                <w:szCs w:val="22"/>
                <w:lang w:val="fr-CA" w:eastAsia="es-ES"/>
              </w:rPr>
              <w:t>Présentation du rapport annuel du CJI adressé à la cinquantième session ordinaire de l’Assemblée générale.</w:t>
            </w:r>
          </w:p>
          <w:p w14:paraId="38DA922A" w14:textId="77777777" w:rsidR="008D0A04" w:rsidRDefault="008D0A04" w:rsidP="008D0A04">
            <w:pPr>
              <w:numPr>
                <w:ilvl w:val="0"/>
                <w:numId w:val="25"/>
              </w:numPr>
              <w:spacing w:before="20" w:after="20"/>
              <w:jc w:val="both"/>
              <w:rPr>
                <w:sz w:val="22"/>
                <w:szCs w:val="22"/>
                <w:lang w:val="fr-CA" w:eastAsia="es-ES"/>
              </w:rPr>
            </w:pPr>
            <w:r>
              <w:rPr>
                <w:sz w:val="22"/>
                <w:szCs w:val="22"/>
                <w:lang w:val="fr-CA" w:eastAsia="es-ES"/>
              </w:rPr>
              <w:t>Présentation du rapport annuel du CEJA adressé à la cinquantième session ordinaire de l’Assemblée générale.</w:t>
            </w:r>
          </w:p>
        </w:tc>
      </w:tr>
      <w:tr w:rsidR="008D0A04" w:rsidRPr="00302458" w14:paraId="477D7739" w14:textId="77777777" w:rsidTr="008D0A04">
        <w:trPr>
          <w:jc w:val="center"/>
        </w:trPr>
        <w:tc>
          <w:tcPr>
            <w:tcW w:w="2577" w:type="dxa"/>
            <w:tcBorders>
              <w:top w:val="single" w:sz="4" w:space="0" w:color="000000"/>
              <w:left w:val="single" w:sz="4" w:space="0" w:color="000000"/>
              <w:bottom w:val="single" w:sz="4" w:space="0" w:color="000000"/>
              <w:right w:val="single" w:sz="4" w:space="0" w:color="000000"/>
            </w:tcBorders>
            <w:vAlign w:val="center"/>
            <w:hideMark/>
          </w:tcPr>
          <w:p w14:paraId="34F885A3" w14:textId="77777777" w:rsidR="008D0A04" w:rsidRPr="00C2432A" w:rsidRDefault="008D0A04">
            <w:pPr>
              <w:spacing w:before="20" w:after="20"/>
              <w:jc w:val="center"/>
              <w:rPr>
                <w:sz w:val="22"/>
                <w:szCs w:val="22"/>
                <w:lang w:val="pt-BR" w:eastAsia="es-ES"/>
              </w:rPr>
            </w:pPr>
            <w:proofErr w:type="spellStart"/>
            <w:r w:rsidRPr="00C2432A">
              <w:rPr>
                <w:sz w:val="22"/>
                <w:szCs w:val="22"/>
                <w:lang w:val="pt-BR" w:eastAsia="es-ES"/>
              </w:rPr>
              <w:t>Jeudi</w:t>
            </w:r>
            <w:proofErr w:type="spellEnd"/>
          </w:p>
          <w:p w14:paraId="3D2B9D26" w14:textId="77777777" w:rsidR="008D0A04" w:rsidRPr="00C2432A" w:rsidRDefault="008D0A04">
            <w:pPr>
              <w:tabs>
                <w:tab w:val="center" w:pos="1180"/>
              </w:tabs>
              <w:spacing w:before="20" w:after="20"/>
              <w:jc w:val="center"/>
              <w:rPr>
                <w:sz w:val="22"/>
                <w:szCs w:val="22"/>
                <w:lang w:val="pt-BR" w:eastAsia="es-ES"/>
              </w:rPr>
            </w:pPr>
            <w:r w:rsidRPr="00C2432A">
              <w:rPr>
                <w:sz w:val="22"/>
                <w:szCs w:val="22"/>
                <w:lang w:val="pt-BR" w:eastAsia="es-ES"/>
              </w:rPr>
              <w:t>28 mai 2020</w:t>
            </w:r>
          </w:p>
          <w:p w14:paraId="4D3899F7" w14:textId="77777777" w:rsidR="008D0A04" w:rsidRPr="00C2432A" w:rsidRDefault="008D0A04">
            <w:pPr>
              <w:spacing w:before="20" w:after="20"/>
              <w:jc w:val="center"/>
              <w:rPr>
                <w:sz w:val="22"/>
                <w:szCs w:val="22"/>
                <w:lang w:val="pt-BR" w:eastAsia="es-ES"/>
              </w:rPr>
            </w:pPr>
            <w:r w:rsidRPr="00C2432A">
              <w:rPr>
                <w:sz w:val="22"/>
                <w:szCs w:val="22"/>
                <w:lang w:val="pt-BR" w:eastAsia="es-ES"/>
              </w:rPr>
              <w:t xml:space="preserve">14 h 30 – 17 h 30 </w:t>
            </w:r>
          </w:p>
          <w:p w14:paraId="0F77666F" w14:textId="77777777" w:rsidR="008D0A04" w:rsidRPr="00C2432A" w:rsidRDefault="008D0A04">
            <w:pPr>
              <w:spacing w:before="20" w:after="20"/>
              <w:jc w:val="center"/>
              <w:rPr>
                <w:sz w:val="22"/>
                <w:szCs w:val="22"/>
                <w:lang w:val="pt-BR"/>
              </w:rPr>
            </w:pPr>
            <w:r w:rsidRPr="00C2432A">
              <w:rPr>
                <w:sz w:val="22"/>
                <w:szCs w:val="22"/>
                <w:lang w:val="pt-BR" w:eastAsia="es-ES"/>
              </w:rPr>
              <w:t>Virtuel</w:t>
            </w:r>
          </w:p>
        </w:tc>
        <w:tc>
          <w:tcPr>
            <w:tcW w:w="11602" w:type="dxa"/>
            <w:tcBorders>
              <w:top w:val="single" w:sz="4" w:space="0" w:color="000000"/>
              <w:left w:val="single" w:sz="4" w:space="0" w:color="000000"/>
              <w:bottom w:val="single" w:sz="4" w:space="0" w:color="000000"/>
              <w:right w:val="single" w:sz="4" w:space="0" w:color="000000"/>
            </w:tcBorders>
            <w:vAlign w:val="center"/>
            <w:hideMark/>
          </w:tcPr>
          <w:p w14:paraId="72A171A9" w14:textId="77777777" w:rsidR="008D0A04" w:rsidRDefault="008D0A04" w:rsidP="008D0A04">
            <w:pPr>
              <w:numPr>
                <w:ilvl w:val="0"/>
                <w:numId w:val="26"/>
              </w:numPr>
              <w:spacing w:before="20" w:after="20"/>
              <w:jc w:val="both"/>
              <w:rPr>
                <w:sz w:val="22"/>
                <w:szCs w:val="22"/>
                <w:lang w:val="fr-CA" w:eastAsia="es-ES"/>
              </w:rPr>
            </w:pPr>
            <w:r>
              <w:rPr>
                <w:sz w:val="22"/>
                <w:szCs w:val="22"/>
                <w:lang w:val="fr-CA" w:eastAsia="es-ES"/>
              </w:rPr>
              <w:t>Suivi des mandats contenus dans la résolution</w:t>
            </w:r>
            <w:r>
              <w:rPr>
                <w:sz w:val="22"/>
                <w:szCs w:val="22"/>
                <w:lang w:val="fr-CA"/>
              </w:rPr>
              <w:t xml:space="preserve"> AG/RES. 2941 (XLIX-O/19) “Promotion et protection des droits de la personne”:</w:t>
            </w:r>
          </w:p>
          <w:p w14:paraId="36924938" w14:textId="77777777" w:rsidR="008D0A04" w:rsidRDefault="008D0A04" w:rsidP="008D0A04">
            <w:pPr>
              <w:numPr>
                <w:ilvl w:val="0"/>
                <w:numId w:val="22"/>
              </w:numPr>
              <w:spacing w:before="20" w:after="20"/>
              <w:jc w:val="both"/>
              <w:rPr>
                <w:sz w:val="22"/>
                <w:szCs w:val="22"/>
                <w:lang w:val="fr-CA"/>
              </w:rPr>
            </w:pPr>
            <w:r>
              <w:rPr>
                <w:sz w:val="22"/>
                <w:szCs w:val="22"/>
                <w:u w:val="single"/>
                <w:lang w:val="fr-CA"/>
              </w:rPr>
              <w:t>Section vi.</w:t>
            </w:r>
            <w:r>
              <w:rPr>
                <w:sz w:val="22"/>
                <w:szCs w:val="22"/>
                <w:lang w:val="fr-CA"/>
              </w:rPr>
              <w:t>: Renforcement du Mécanisme de suivi pour la mise en œuvre du Protocole de San Salvador:</w:t>
            </w:r>
          </w:p>
          <w:p w14:paraId="250FC7AE" w14:textId="77777777" w:rsidR="008D0A04" w:rsidRDefault="008D0A04" w:rsidP="008D0A04">
            <w:pPr>
              <w:numPr>
                <w:ilvl w:val="1"/>
                <w:numId w:val="23"/>
              </w:numPr>
              <w:tabs>
                <w:tab w:val="left" w:pos="843"/>
              </w:tabs>
              <w:spacing w:before="20" w:after="20"/>
              <w:jc w:val="both"/>
              <w:rPr>
                <w:i/>
                <w:sz w:val="22"/>
                <w:szCs w:val="22"/>
                <w:lang w:val="fr-CA"/>
              </w:rPr>
            </w:pPr>
            <w:r>
              <w:rPr>
                <w:sz w:val="22"/>
                <w:szCs w:val="22"/>
                <w:lang w:val="fr-CA"/>
              </w:rPr>
              <w:t xml:space="preserve">Présentation du rapport du Groupe de travail pour l’analyse des rapports nationaux prévus dans le Protocole de San Salvador (GTPSS). </w:t>
            </w:r>
          </w:p>
          <w:p w14:paraId="696C2BFC" w14:textId="77777777" w:rsidR="008D0A04" w:rsidRDefault="008D0A04">
            <w:pPr>
              <w:tabs>
                <w:tab w:val="left" w:pos="1064"/>
              </w:tabs>
              <w:spacing w:before="20" w:after="20"/>
              <w:ind w:left="1077"/>
              <w:jc w:val="both"/>
              <w:rPr>
                <w:i/>
                <w:sz w:val="22"/>
                <w:szCs w:val="22"/>
                <w:lang w:val="fr-CA"/>
              </w:rPr>
            </w:pPr>
            <w:r>
              <w:rPr>
                <w:i/>
                <w:sz w:val="22"/>
                <w:szCs w:val="22"/>
                <w:lang w:val="fr-CA"/>
              </w:rPr>
              <w:t>Exposé de la Présidence du GTPSS.</w:t>
            </w:r>
          </w:p>
          <w:p w14:paraId="75E05137" w14:textId="77777777" w:rsidR="008D0A04" w:rsidRDefault="008D0A04" w:rsidP="008D0A04">
            <w:pPr>
              <w:numPr>
                <w:ilvl w:val="0"/>
                <w:numId w:val="26"/>
              </w:numPr>
              <w:spacing w:before="20" w:after="20"/>
              <w:jc w:val="both"/>
              <w:rPr>
                <w:sz w:val="22"/>
                <w:szCs w:val="22"/>
                <w:lang w:val="fr-CA" w:eastAsia="es-ES"/>
              </w:rPr>
            </w:pPr>
            <w:r>
              <w:rPr>
                <w:sz w:val="22"/>
                <w:szCs w:val="22"/>
                <w:lang w:val="fr-CA" w:eastAsia="es-ES"/>
              </w:rPr>
              <w:t>Suivi des mandats contenus dans la résolution</w:t>
            </w:r>
            <w:r>
              <w:rPr>
                <w:sz w:val="22"/>
                <w:szCs w:val="22"/>
                <w:lang w:val="fr-CA"/>
              </w:rPr>
              <w:t xml:space="preserve"> AG/RES. 2941 (XLIX-O/19) “Promotion et protection des droits de la personne”:</w:t>
            </w:r>
          </w:p>
          <w:p w14:paraId="39988FAF" w14:textId="77777777" w:rsidR="008D0A04" w:rsidRDefault="008D0A04" w:rsidP="008D0A04">
            <w:pPr>
              <w:numPr>
                <w:ilvl w:val="0"/>
                <w:numId w:val="22"/>
              </w:numPr>
              <w:spacing w:before="20" w:after="20"/>
              <w:jc w:val="both"/>
              <w:rPr>
                <w:sz w:val="22"/>
                <w:szCs w:val="22"/>
                <w:lang w:val="fr-CA" w:eastAsia="es-ES"/>
              </w:rPr>
            </w:pPr>
            <w:r>
              <w:rPr>
                <w:sz w:val="22"/>
                <w:szCs w:val="22"/>
                <w:u w:val="single"/>
                <w:lang w:val="fr-CA"/>
              </w:rPr>
              <w:t xml:space="preserve">Section </w:t>
            </w:r>
            <w:proofErr w:type="gramStart"/>
            <w:r>
              <w:rPr>
                <w:sz w:val="22"/>
                <w:szCs w:val="22"/>
                <w:u w:val="single"/>
                <w:lang w:val="fr-CA"/>
              </w:rPr>
              <w:t>xx.:</w:t>
            </w:r>
            <w:proofErr w:type="gramEnd"/>
            <w:r>
              <w:rPr>
                <w:sz w:val="22"/>
                <w:szCs w:val="22"/>
                <w:u w:val="single"/>
                <w:lang w:val="fr-CA"/>
              </w:rPr>
              <w:t xml:space="preserve"> </w:t>
            </w:r>
            <w:r>
              <w:rPr>
                <w:sz w:val="22"/>
                <w:szCs w:val="22"/>
                <w:lang w:val="fr-CA"/>
              </w:rPr>
              <w:t>Programme d’action pour la Décennie des Amériques pour les droits et la dignité des personnes handicapées 2016-2026 et Soutien au Comité pour l’élimination de toutes les formes de discrimination contre les personnes handicapées.</w:t>
            </w:r>
          </w:p>
          <w:p w14:paraId="2CCD0B36" w14:textId="77777777" w:rsidR="008D0A04" w:rsidRDefault="008D0A04" w:rsidP="008D0A04">
            <w:pPr>
              <w:numPr>
                <w:ilvl w:val="1"/>
                <w:numId w:val="23"/>
              </w:numPr>
              <w:tabs>
                <w:tab w:val="left" w:pos="843"/>
              </w:tabs>
              <w:spacing w:before="20" w:after="20"/>
              <w:jc w:val="both"/>
              <w:rPr>
                <w:sz w:val="22"/>
                <w:szCs w:val="22"/>
                <w:lang w:val="fr-CA" w:eastAsia="es-ES"/>
              </w:rPr>
            </w:pPr>
            <w:r>
              <w:rPr>
                <w:i/>
                <w:sz w:val="22"/>
                <w:szCs w:val="22"/>
                <w:lang w:val="fr-CA"/>
              </w:rPr>
              <w:t>Rapport de suivi élaboré par le Département de l’inclusion sociale – Secrétariat technique du CEDDIS.</w:t>
            </w:r>
          </w:p>
          <w:p w14:paraId="5133D9E7" w14:textId="77777777" w:rsidR="008D0A04" w:rsidRDefault="008D0A04" w:rsidP="008D0A04">
            <w:pPr>
              <w:numPr>
                <w:ilvl w:val="0"/>
                <w:numId w:val="26"/>
              </w:numPr>
              <w:spacing w:before="20" w:after="20"/>
              <w:jc w:val="both"/>
              <w:rPr>
                <w:sz w:val="22"/>
                <w:szCs w:val="22"/>
                <w:lang w:val="fr-CA" w:eastAsia="es-ES"/>
              </w:rPr>
            </w:pPr>
            <w:r>
              <w:rPr>
                <w:sz w:val="22"/>
                <w:szCs w:val="22"/>
                <w:lang w:val="fr-CA" w:eastAsia="es-ES"/>
              </w:rPr>
              <w:t>Suivi des mandats contenus dans la résolution</w:t>
            </w:r>
            <w:r>
              <w:rPr>
                <w:sz w:val="22"/>
                <w:szCs w:val="22"/>
                <w:lang w:val="fr-CA"/>
              </w:rPr>
              <w:t xml:space="preserve"> AG/RES. 2941 (XLIX-O/19) “Promotion et protection des droits de la personne”:</w:t>
            </w:r>
          </w:p>
          <w:p w14:paraId="4D3B511A" w14:textId="77777777" w:rsidR="008D0A04" w:rsidRDefault="008D0A04" w:rsidP="008D0A04">
            <w:pPr>
              <w:numPr>
                <w:ilvl w:val="0"/>
                <w:numId w:val="22"/>
              </w:numPr>
              <w:spacing w:before="20" w:after="20"/>
              <w:jc w:val="both"/>
              <w:rPr>
                <w:sz w:val="22"/>
                <w:szCs w:val="22"/>
                <w:lang w:val="fr-CA" w:eastAsia="es-ES"/>
              </w:rPr>
            </w:pPr>
            <w:r>
              <w:rPr>
                <w:sz w:val="22"/>
                <w:szCs w:val="22"/>
                <w:u w:val="single"/>
                <w:lang w:val="fr-CA" w:eastAsia="es-ES"/>
              </w:rPr>
              <w:t xml:space="preserve">Section </w:t>
            </w:r>
            <w:proofErr w:type="gramStart"/>
            <w:r>
              <w:rPr>
                <w:sz w:val="22"/>
                <w:szCs w:val="22"/>
                <w:u w:val="single"/>
                <w:lang w:val="fr-CA"/>
              </w:rPr>
              <w:t>xii.</w:t>
            </w:r>
            <w:r>
              <w:rPr>
                <w:sz w:val="22"/>
                <w:szCs w:val="22"/>
                <w:lang w:val="fr-CA"/>
              </w:rPr>
              <w:t>:</w:t>
            </w:r>
            <w:proofErr w:type="gramEnd"/>
            <w:r>
              <w:rPr>
                <w:sz w:val="22"/>
                <w:szCs w:val="22"/>
                <w:lang w:val="fr-CA"/>
              </w:rPr>
              <w:t xml:space="preserve"> Reconnaissance et promotion des droits des personnes d’ascendance africaine dans les Amériques.</w:t>
            </w:r>
          </w:p>
          <w:p w14:paraId="77A338A5" w14:textId="77777777" w:rsidR="008D0A04" w:rsidRDefault="008D0A04" w:rsidP="008D0A04">
            <w:pPr>
              <w:numPr>
                <w:ilvl w:val="0"/>
                <w:numId w:val="22"/>
              </w:numPr>
              <w:spacing w:before="20" w:after="20"/>
              <w:jc w:val="both"/>
              <w:rPr>
                <w:sz w:val="22"/>
                <w:szCs w:val="22"/>
                <w:lang w:val="fr-CA" w:eastAsia="es-ES"/>
              </w:rPr>
            </w:pPr>
            <w:r>
              <w:rPr>
                <w:sz w:val="22"/>
                <w:szCs w:val="22"/>
                <w:u w:val="single"/>
                <w:lang w:val="fr-CA" w:eastAsia="es-ES"/>
              </w:rPr>
              <w:t xml:space="preserve">Section </w:t>
            </w:r>
            <w:proofErr w:type="gramStart"/>
            <w:r>
              <w:rPr>
                <w:sz w:val="22"/>
                <w:szCs w:val="22"/>
                <w:u w:val="single"/>
                <w:lang w:val="fr-CA" w:eastAsia="es-ES"/>
              </w:rPr>
              <w:t>xix.</w:t>
            </w:r>
            <w:r>
              <w:rPr>
                <w:sz w:val="22"/>
                <w:szCs w:val="22"/>
                <w:lang w:val="fr-CA" w:eastAsia="es-ES"/>
              </w:rPr>
              <w:t>:</w:t>
            </w:r>
            <w:proofErr w:type="gramEnd"/>
            <w:r>
              <w:rPr>
                <w:sz w:val="22"/>
                <w:szCs w:val="22"/>
                <w:lang w:val="fr-CA" w:eastAsia="es-ES"/>
              </w:rPr>
              <w:t xml:space="preserve"> </w:t>
            </w:r>
            <w:r>
              <w:rPr>
                <w:sz w:val="22"/>
                <w:szCs w:val="22"/>
                <w:lang w:val="fr-CA"/>
              </w:rPr>
              <w:t xml:space="preserve">Suivi de la mise en œuvre de la Déclaration américaine sur les droits des peuples autochtones et du Plan </w:t>
            </w:r>
            <w:r>
              <w:rPr>
                <w:sz w:val="22"/>
                <w:szCs w:val="22"/>
                <w:lang w:val="fr-CA"/>
              </w:rPr>
              <w:lastRenderedPageBreak/>
              <w:t>d’action sur la Déclaration américaine sur les droits des peuples autochtones (2017-2021).</w:t>
            </w:r>
          </w:p>
          <w:p w14:paraId="4BC108DA" w14:textId="77777777" w:rsidR="008D0A04" w:rsidRDefault="008D0A04">
            <w:pPr>
              <w:tabs>
                <w:tab w:val="left" w:pos="794"/>
              </w:tabs>
              <w:spacing w:before="20" w:after="20"/>
              <w:ind w:left="720"/>
              <w:jc w:val="both"/>
              <w:rPr>
                <w:sz w:val="22"/>
                <w:szCs w:val="22"/>
                <w:lang w:val="fr-CA" w:eastAsia="es-ES"/>
              </w:rPr>
            </w:pPr>
            <w:r>
              <w:rPr>
                <w:i/>
                <w:sz w:val="22"/>
                <w:szCs w:val="22"/>
                <w:lang w:val="fr-CA" w:eastAsia="es-ES"/>
              </w:rPr>
              <w:t>Exposés du Bureau du Secrétaire général adjoint et du Département de l’inclusion sociale</w:t>
            </w:r>
          </w:p>
        </w:tc>
      </w:tr>
      <w:tr w:rsidR="008D0A04" w14:paraId="2CEE0F12" w14:textId="77777777" w:rsidTr="008D0A04">
        <w:trPr>
          <w:jc w:val="center"/>
        </w:trPr>
        <w:tc>
          <w:tcPr>
            <w:tcW w:w="14179" w:type="dxa"/>
            <w:gridSpan w:val="2"/>
            <w:tcBorders>
              <w:top w:val="single" w:sz="4" w:space="0" w:color="000000"/>
              <w:left w:val="single" w:sz="4" w:space="0" w:color="000000"/>
              <w:bottom w:val="single" w:sz="4" w:space="0" w:color="000000"/>
              <w:right w:val="single" w:sz="4" w:space="0" w:color="000000"/>
            </w:tcBorders>
            <w:shd w:val="pct15" w:color="auto" w:fill="auto"/>
            <w:hideMark/>
          </w:tcPr>
          <w:p w14:paraId="3353B25B" w14:textId="77777777" w:rsidR="008D0A04" w:rsidRDefault="008D0A04">
            <w:pPr>
              <w:tabs>
                <w:tab w:val="left" w:pos="342"/>
              </w:tabs>
              <w:spacing w:before="20" w:after="20"/>
              <w:ind w:left="360" w:hanging="360"/>
              <w:jc w:val="center"/>
              <w:rPr>
                <w:b/>
                <w:sz w:val="22"/>
                <w:szCs w:val="22"/>
                <w:lang w:val="fr-CA" w:eastAsia="es-ES"/>
              </w:rPr>
            </w:pPr>
            <w:r>
              <w:rPr>
                <w:b/>
                <w:sz w:val="22"/>
                <w:szCs w:val="22"/>
                <w:lang w:val="fr-CA" w:eastAsia="es-ES"/>
              </w:rPr>
              <w:lastRenderedPageBreak/>
              <w:t>JUIN 2020</w:t>
            </w:r>
          </w:p>
        </w:tc>
      </w:tr>
      <w:tr w:rsidR="008D0A04" w:rsidRPr="00302458" w14:paraId="4A75861A" w14:textId="77777777" w:rsidTr="008D0A04">
        <w:trPr>
          <w:jc w:val="center"/>
        </w:trPr>
        <w:tc>
          <w:tcPr>
            <w:tcW w:w="2577" w:type="dxa"/>
            <w:vMerge w:val="restart"/>
            <w:tcBorders>
              <w:top w:val="single" w:sz="4" w:space="0" w:color="000000"/>
              <w:left w:val="single" w:sz="4" w:space="0" w:color="000000"/>
              <w:bottom w:val="single" w:sz="4" w:space="0" w:color="000000"/>
              <w:right w:val="single" w:sz="4" w:space="0" w:color="000000"/>
            </w:tcBorders>
            <w:vAlign w:val="center"/>
            <w:hideMark/>
          </w:tcPr>
          <w:p w14:paraId="43C5005A" w14:textId="77777777" w:rsidR="008D0A04" w:rsidRPr="00C2432A" w:rsidRDefault="008D0A04">
            <w:pPr>
              <w:spacing w:before="20" w:after="20"/>
              <w:jc w:val="center"/>
              <w:rPr>
                <w:sz w:val="22"/>
                <w:szCs w:val="22"/>
                <w:lang w:val="pt-BR" w:eastAsia="es-ES"/>
              </w:rPr>
            </w:pPr>
            <w:r w:rsidRPr="00C2432A">
              <w:rPr>
                <w:sz w:val="22"/>
                <w:szCs w:val="22"/>
                <w:lang w:val="pt-BR" w:eastAsia="es-ES"/>
              </w:rPr>
              <w:t>Jeudi</w:t>
            </w:r>
          </w:p>
          <w:p w14:paraId="77AB5C3A" w14:textId="77777777" w:rsidR="008D0A04" w:rsidRPr="00C2432A" w:rsidRDefault="008D0A04">
            <w:pPr>
              <w:spacing w:before="20" w:after="20"/>
              <w:jc w:val="center"/>
              <w:rPr>
                <w:sz w:val="22"/>
                <w:szCs w:val="22"/>
                <w:lang w:val="pt-BR" w:eastAsia="es-ES"/>
              </w:rPr>
            </w:pPr>
            <w:r w:rsidRPr="00C2432A">
              <w:rPr>
                <w:sz w:val="22"/>
                <w:szCs w:val="22"/>
                <w:lang w:val="pt-BR" w:eastAsia="es-ES"/>
              </w:rPr>
              <w:t>11 juin 2020</w:t>
            </w:r>
          </w:p>
          <w:p w14:paraId="03FE0D9E" w14:textId="77777777" w:rsidR="008D0A04" w:rsidRPr="00C2432A" w:rsidRDefault="008D0A04">
            <w:pPr>
              <w:spacing w:before="20" w:after="20"/>
              <w:jc w:val="center"/>
              <w:rPr>
                <w:sz w:val="22"/>
                <w:szCs w:val="22"/>
                <w:lang w:val="pt-BR" w:eastAsia="es-ES"/>
              </w:rPr>
            </w:pPr>
            <w:r w:rsidRPr="00C2432A">
              <w:rPr>
                <w:sz w:val="22"/>
                <w:szCs w:val="22"/>
                <w:lang w:val="pt-BR" w:eastAsia="es-ES"/>
              </w:rPr>
              <w:t xml:space="preserve">14 h 30 – 17 h 30 </w:t>
            </w:r>
          </w:p>
          <w:p w14:paraId="445D1348" w14:textId="77777777" w:rsidR="008D0A04" w:rsidRPr="00C2432A" w:rsidRDefault="008D0A04">
            <w:pPr>
              <w:spacing w:before="20" w:after="20"/>
              <w:jc w:val="center"/>
              <w:rPr>
                <w:sz w:val="22"/>
                <w:szCs w:val="22"/>
                <w:lang w:val="pt-BR" w:eastAsia="es-ES"/>
              </w:rPr>
            </w:pPr>
            <w:r w:rsidRPr="00C2432A">
              <w:rPr>
                <w:sz w:val="22"/>
                <w:szCs w:val="22"/>
                <w:lang w:val="pt-BR" w:eastAsia="es-ES"/>
              </w:rPr>
              <w:t>Virtuel</w:t>
            </w:r>
          </w:p>
        </w:tc>
        <w:tc>
          <w:tcPr>
            <w:tcW w:w="11602" w:type="dxa"/>
            <w:tcBorders>
              <w:top w:val="single" w:sz="4" w:space="0" w:color="000000"/>
              <w:left w:val="single" w:sz="4" w:space="0" w:color="000000"/>
              <w:bottom w:val="single" w:sz="4" w:space="0" w:color="000000"/>
              <w:right w:val="single" w:sz="4" w:space="0" w:color="000000"/>
            </w:tcBorders>
            <w:vAlign w:val="center"/>
            <w:hideMark/>
          </w:tcPr>
          <w:p w14:paraId="41B9836E" w14:textId="77777777" w:rsidR="008D0A04" w:rsidRDefault="008D0A04" w:rsidP="008D0A04">
            <w:pPr>
              <w:numPr>
                <w:ilvl w:val="0"/>
                <w:numId w:val="27"/>
              </w:numPr>
              <w:spacing w:before="20" w:after="20"/>
              <w:jc w:val="both"/>
              <w:rPr>
                <w:sz w:val="22"/>
                <w:szCs w:val="22"/>
                <w:lang w:val="fr-CA" w:eastAsia="es-ES"/>
              </w:rPr>
            </w:pPr>
            <w:r>
              <w:rPr>
                <w:sz w:val="22"/>
                <w:szCs w:val="22"/>
                <w:lang w:val="fr-CA" w:eastAsia="es-ES"/>
              </w:rPr>
              <w:t>Suivi des mandats contenus dans la résolution</w:t>
            </w:r>
            <w:r>
              <w:rPr>
                <w:sz w:val="22"/>
                <w:szCs w:val="22"/>
                <w:lang w:val="fr-CA"/>
              </w:rPr>
              <w:t xml:space="preserve"> AG/RES. 2941 (XLIX-O/19) “Promotion et protection des droits de la personne”:</w:t>
            </w:r>
          </w:p>
          <w:p w14:paraId="04F3D760" w14:textId="77777777" w:rsidR="008D0A04" w:rsidRDefault="008D0A04" w:rsidP="008D0A04">
            <w:pPr>
              <w:numPr>
                <w:ilvl w:val="0"/>
                <w:numId w:val="22"/>
              </w:numPr>
              <w:spacing w:before="20" w:after="20"/>
              <w:jc w:val="both"/>
              <w:rPr>
                <w:sz w:val="22"/>
                <w:szCs w:val="22"/>
                <w:lang w:val="fr-CA"/>
              </w:rPr>
            </w:pPr>
            <w:r>
              <w:rPr>
                <w:sz w:val="22"/>
                <w:szCs w:val="22"/>
                <w:u w:val="single"/>
                <w:lang w:val="fr-CA" w:eastAsia="es-ES"/>
              </w:rPr>
              <w:t>Section xiii</w:t>
            </w:r>
            <w:r>
              <w:rPr>
                <w:sz w:val="22"/>
                <w:szCs w:val="22"/>
                <w:lang w:val="fr-CA"/>
              </w:rPr>
              <w:t>: Composition équilibrée selon le sexe et une représentativité équitable sur le plan géographique ainsi que des divers systèmes juridiques, de la Commission interaméricaine des droits de l’homme et de la Cour interaméricaine des droits de l’homme:</w:t>
            </w:r>
          </w:p>
          <w:p w14:paraId="199A2B22" w14:textId="77777777" w:rsidR="008D0A04" w:rsidRDefault="008D0A04" w:rsidP="008D0A04">
            <w:pPr>
              <w:numPr>
                <w:ilvl w:val="1"/>
                <w:numId w:val="23"/>
              </w:numPr>
              <w:tabs>
                <w:tab w:val="left" w:pos="843"/>
              </w:tabs>
              <w:spacing w:before="20" w:after="20"/>
              <w:jc w:val="both"/>
              <w:rPr>
                <w:sz w:val="22"/>
                <w:szCs w:val="22"/>
                <w:lang w:val="fr-CA" w:eastAsia="es-ES"/>
              </w:rPr>
            </w:pPr>
            <w:r>
              <w:rPr>
                <w:sz w:val="22"/>
                <w:szCs w:val="22"/>
                <w:lang w:val="fr-CA"/>
              </w:rPr>
              <w:t xml:space="preserve">Réunion de suivi pour partager de bonnes pratiques dans l’exercice de mise en nomination et de sélection de candidats à la CIDH et à la </w:t>
            </w:r>
            <w:proofErr w:type="spellStart"/>
            <w:r>
              <w:rPr>
                <w:sz w:val="22"/>
                <w:szCs w:val="22"/>
                <w:lang w:val="fr-CA"/>
              </w:rPr>
              <w:t>CoIDH</w:t>
            </w:r>
            <w:proofErr w:type="spellEnd"/>
            <w:r>
              <w:rPr>
                <w:sz w:val="22"/>
                <w:szCs w:val="22"/>
                <w:lang w:val="fr-CA"/>
              </w:rPr>
              <w:t xml:space="preserve"> le cas échéant en vue de promouvoir la parité hommes-femmes et l’équilibre entre les diverses régions et les divers systèmes juridiques du Continent américain au sein de ces deux organes.</w:t>
            </w:r>
          </w:p>
        </w:tc>
      </w:tr>
      <w:tr w:rsidR="008D0A04" w:rsidRPr="00302458" w14:paraId="395E0C17" w14:textId="77777777" w:rsidTr="008D0A0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A6699E" w14:textId="77777777" w:rsidR="008D0A04" w:rsidRDefault="008D0A04">
            <w:pPr>
              <w:rPr>
                <w:sz w:val="22"/>
                <w:szCs w:val="22"/>
                <w:lang w:val="fr-CA" w:eastAsia="es-ES"/>
              </w:rPr>
            </w:pPr>
          </w:p>
        </w:tc>
        <w:tc>
          <w:tcPr>
            <w:tcW w:w="11602" w:type="dxa"/>
            <w:tcBorders>
              <w:top w:val="single" w:sz="4" w:space="0" w:color="000000"/>
              <w:left w:val="single" w:sz="4" w:space="0" w:color="000000"/>
              <w:bottom w:val="single" w:sz="4" w:space="0" w:color="000000"/>
              <w:right w:val="single" w:sz="4" w:space="0" w:color="000000"/>
            </w:tcBorders>
            <w:vAlign w:val="center"/>
            <w:hideMark/>
          </w:tcPr>
          <w:p w14:paraId="202E8188" w14:textId="77777777" w:rsidR="00BF01D5" w:rsidRPr="00BF01D5" w:rsidRDefault="008D0A04" w:rsidP="00BF01D5">
            <w:pPr>
              <w:numPr>
                <w:ilvl w:val="0"/>
                <w:numId w:val="28"/>
              </w:numPr>
              <w:spacing w:before="20" w:after="20"/>
              <w:jc w:val="both"/>
              <w:rPr>
                <w:sz w:val="22"/>
                <w:szCs w:val="22"/>
                <w:lang w:val="fr-CA" w:eastAsia="es-ES"/>
              </w:rPr>
            </w:pPr>
            <w:r w:rsidRPr="00BF01D5">
              <w:rPr>
                <w:sz w:val="22"/>
                <w:szCs w:val="22"/>
                <w:lang w:val="fr-CA" w:eastAsia="es-ES"/>
              </w:rPr>
              <w:t>Bonnes pratiques des États concernant les personnes</w:t>
            </w:r>
            <w:r w:rsidRPr="00BF01D5">
              <w:rPr>
                <w:sz w:val="22"/>
                <w:szCs w:val="22"/>
                <w:lang w:val="fr-CA"/>
              </w:rPr>
              <w:t xml:space="preserve"> LGBTI dans le cont</w:t>
            </w:r>
            <w:r w:rsidR="00BF01D5">
              <w:rPr>
                <w:sz w:val="22"/>
                <w:szCs w:val="22"/>
                <w:lang w:val="fr-CA"/>
              </w:rPr>
              <w:t xml:space="preserve">exte de la pandémie de </w:t>
            </w:r>
            <w:proofErr w:type="spellStart"/>
            <w:r w:rsidR="00BF01D5">
              <w:rPr>
                <w:sz w:val="22"/>
                <w:szCs w:val="22"/>
                <w:lang w:val="fr-CA"/>
              </w:rPr>
              <w:t>COVID</w:t>
            </w:r>
            <w:proofErr w:type="spellEnd"/>
            <w:r w:rsidR="00BF01D5">
              <w:rPr>
                <w:sz w:val="22"/>
                <w:szCs w:val="22"/>
                <w:lang w:val="fr-CA"/>
              </w:rPr>
              <w:t xml:space="preserve">-19, </w:t>
            </w:r>
            <w:hyperlink r:id="rId13" w:history="1">
              <w:r w:rsidRPr="00BF01D5">
                <w:rPr>
                  <w:rStyle w:val="Hyperlink"/>
                  <w:sz w:val="22"/>
                  <w:szCs w:val="22"/>
                  <w:lang w:val="fr-CA"/>
                </w:rPr>
                <w:t>CP/</w:t>
              </w:r>
              <w:proofErr w:type="spellStart"/>
              <w:r w:rsidRPr="00BF01D5">
                <w:rPr>
                  <w:rStyle w:val="Hyperlink"/>
                  <w:sz w:val="22"/>
                  <w:szCs w:val="22"/>
                  <w:lang w:val="fr-CA"/>
                </w:rPr>
                <w:t>CAJP</w:t>
              </w:r>
              <w:proofErr w:type="spellEnd"/>
              <w:r w:rsidRPr="00BF01D5">
                <w:rPr>
                  <w:rStyle w:val="Hyperlink"/>
                  <w:sz w:val="22"/>
                  <w:szCs w:val="22"/>
                  <w:lang w:val="fr-CA"/>
                </w:rPr>
                <w:t>/INF. 758/20</w:t>
              </w:r>
            </w:hyperlink>
          </w:p>
          <w:p w14:paraId="332BFB8D" w14:textId="77777777" w:rsidR="008D0A04" w:rsidRPr="00BF01D5" w:rsidRDefault="00BF01D5" w:rsidP="00BF01D5">
            <w:pPr>
              <w:numPr>
                <w:ilvl w:val="0"/>
                <w:numId w:val="28"/>
              </w:numPr>
              <w:spacing w:before="20" w:after="20"/>
              <w:jc w:val="both"/>
              <w:rPr>
                <w:sz w:val="22"/>
                <w:szCs w:val="22"/>
                <w:lang w:val="fr-CA" w:eastAsia="es-ES"/>
              </w:rPr>
            </w:pPr>
            <w:r w:rsidRPr="00BF01D5">
              <w:rPr>
                <w:sz w:val="22"/>
                <w:szCs w:val="22"/>
                <w:lang w:val="fr-FR"/>
              </w:rPr>
              <w:t xml:space="preserve">Réponse de la communauté religieuse à la pandémie de </w:t>
            </w:r>
            <w:proofErr w:type="spellStart"/>
            <w:r w:rsidRPr="00BF01D5">
              <w:rPr>
                <w:sz w:val="22"/>
                <w:szCs w:val="22"/>
                <w:lang w:val="fr-FR"/>
              </w:rPr>
              <w:t>COVID</w:t>
            </w:r>
            <w:proofErr w:type="spellEnd"/>
            <w:r w:rsidRPr="00BF01D5">
              <w:rPr>
                <w:sz w:val="22"/>
                <w:szCs w:val="22"/>
                <w:lang w:val="fr-FR"/>
              </w:rPr>
              <w:t>-19 : bonnes pratiques et perspectives</w:t>
            </w:r>
            <w:r>
              <w:rPr>
                <w:sz w:val="22"/>
                <w:szCs w:val="22"/>
                <w:lang w:val="fr-FR"/>
              </w:rPr>
              <w:t xml:space="preserve">, </w:t>
            </w:r>
            <w:hyperlink r:id="rId14" w:history="1">
              <w:r w:rsidRPr="00BF01D5">
                <w:rPr>
                  <w:rStyle w:val="Hyperlink"/>
                  <w:sz w:val="22"/>
                  <w:szCs w:val="22"/>
                  <w:lang w:val="fr-CA"/>
                </w:rPr>
                <w:t>CP/</w:t>
              </w:r>
              <w:proofErr w:type="spellStart"/>
              <w:r w:rsidRPr="00BF01D5">
                <w:rPr>
                  <w:rStyle w:val="Hyperlink"/>
                  <w:sz w:val="22"/>
                  <w:szCs w:val="22"/>
                  <w:lang w:val="fr-CA"/>
                </w:rPr>
                <w:t>CAJP</w:t>
              </w:r>
              <w:proofErr w:type="spellEnd"/>
              <w:r w:rsidRPr="00BF01D5">
                <w:rPr>
                  <w:rStyle w:val="Hyperlink"/>
                  <w:sz w:val="22"/>
                  <w:szCs w:val="22"/>
                  <w:lang w:val="fr-CA"/>
                </w:rPr>
                <w:t xml:space="preserve">/INF. </w:t>
              </w:r>
              <w:r>
                <w:rPr>
                  <w:rStyle w:val="Hyperlink"/>
                  <w:sz w:val="22"/>
                  <w:szCs w:val="22"/>
                  <w:lang w:val="fr-CA"/>
                </w:rPr>
                <w:t>767</w:t>
              </w:r>
              <w:r w:rsidRPr="00BF01D5">
                <w:rPr>
                  <w:rStyle w:val="Hyperlink"/>
                  <w:sz w:val="22"/>
                  <w:szCs w:val="22"/>
                  <w:lang w:val="fr-CA"/>
                </w:rPr>
                <w:t>/20</w:t>
              </w:r>
            </w:hyperlink>
          </w:p>
        </w:tc>
      </w:tr>
      <w:tr w:rsidR="008D0A04" w:rsidRPr="00302458" w14:paraId="27841B3E" w14:textId="77777777" w:rsidTr="008D0A04">
        <w:trPr>
          <w:trHeight w:val="890"/>
          <w:jc w:val="center"/>
        </w:trPr>
        <w:tc>
          <w:tcPr>
            <w:tcW w:w="2577" w:type="dxa"/>
            <w:vMerge w:val="restart"/>
            <w:tcBorders>
              <w:top w:val="single" w:sz="4" w:space="0" w:color="000000"/>
              <w:left w:val="single" w:sz="4" w:space="0" w:color="000000"/>
              <w:bottom w:val="single" w:sz="4" w:space="0" w:color="000000"/>
              <w:right w:val="single" w:sz="4" w:space="0" w:color="000000"/>
            </w:tcBorders>
            <w:vAlign w:val="center"/>
            <w:hideMark/>
          </w:tcPr>
          <w:p w14:paraId="6802AD36" w14:textId="77777777" w:rsidR="008D0A04" w:rsidRPr="00C2432A" w:rsidRDefault="008D0A04">
            <w:pPr>
              <w:spacing w:before="20" w:after="20"/>
              <w:jc w:val="center"/>
              <w:rPr>
                <w:sz w:val="22"/>
                <w:szCs w:val="22"/>
                <w:lang w:val="pt-BR" w:eastAsia="es-ES"/>
              </w:rPr>
            </w:pPr>
            <w:proofErr w:type="spellStart"/>
            <w:r w:rsidRPr="00C2432A">
              <w:rPr>
                <w:sz w:val="22"/>
                <w:szCs w:val="22"/>
                <w:lang w:val="pt-BR" w:eastAsia="es-ES"/>
              </w:rPr>
              <w:t>Jeudi</w:t>
            </w:r>
            <w:proofErr w:type="spellEnd"/>
            <w:r w:rsidRPr="00C2432A">
              <w:rPr>
                <w:sz w:val="22"/>
                <w:szCs w:val="22"/>
                <w:lang w:val="pt-BR" w:eastAsia="es-ES"/>
              </w:rPr>
              <w:br/>
              <w:t xml:space="preserve">25 </w:t>
            </w:r>
            <w:proofErr w:type="spellStart"/>
            <w:r w:rsidRPr="00C2432A">
              <w:rPr>
                <w:sz w:val="22"/>
                <w:szCs w:val="22"/>
                <w:lang w:val="pt-BR" w:eastAsia="es-ES"/>
              </w:rPr>
              <w:t>juin</w:t>
            </w:r>
            <w:proofErr w:type="spellEnd"/>
            <w:r w:rsidRPr="00C2432A">
              <w:rPr>
                <w:sz w:val="22"/>
                <w:szCs w:val="22"/>
                <w:lang w:val="pt-BR" w:eastAsia="es-ES"/>
              </w:rPr>
              <w:t xml:space="preserve"> 2020</w:t>
            </w:r>
          </w:p>
          <w:p w14:paraId="49BBEF2C" w14:textId="77777777" w:rsidR="008D0A04" w:rsidRPr="00C2432A" w:rsidRDefault="008D0A04">
            <w:pPr>
              <w:spacing w:before="20" w:after="20"/>
              <w:jc w:val="center"/>
              <w:rPr>
                <w:sz w:val="22"/>
                <w:szCs w:val="22"/>
                <w:lang w:val="pt-BR" w:eastAsia="es-ES"/>
              </w:rPr>
            </w:pPr>
            <w:r w:rsidRPr="00C2432A">
              <w:rPr>
                <w:sz w:val="22"/>
                <w:szCs w:val="22"/>
                <w:lang w:val="pt-BR" w:eastAsia="es-ES"/>
              </w:rPr>
              <w:t xml:space="preserve">14 h 30 – 17 h 30 </w:t>
            </w:r>
          </w:p>
          <w:p w14:paraId="49D33CCE" w14:textId="77777777" w:rsidR="008D0A04" w:rsidRPr="00C2432A" w:rsidRDefault="008D0A04">
            <w:pPr>
              <w:spacing w:before="20" w:after="20"/>
              <w:jc w:val="center"/>
              <w:rPr>
                <w:sz w:val="22"/>
                <w:szCs w:val="22"/>
                <w:lang w:val="pt-BR" w:eastAsia="es-ES"/>
              </w:rPr>
            </w:pPr>
            <w:r w:rsidRPr="00C2432A">
              <w:rPr>
                <w:sz w:val="22"/>
                <w:szCs w:val="22"/>
                <w:lang w:val="pt-BR" w:eastAsia="es-ES"/>
              </w:rPr>
              <w:t>Virtuel</w:t>
            </w:r>
          </w:p>
        </w:tc>
        <w:tc>
          <w:tcPr>
            <w:tcW w:w="11602" w:type="dxa"/>
            <w:tcBorders>
              <w:top w:val="single" w:sz="4" w:space="0" w:color="000000"/>
              <w:left w:val="single" w:sz="4" w:space="0" w:color="000000"/>
              <w:bottom w:val="single" w:sz="4" w:space="0" w:color="000000"/>
              <w:right w:val="single" w:sz="4" w:space="0" w:color="000000"/>
            </w:tcBorders>
            <w:vAlign w:val="center"/>
            <w:hideMark/>
          </w:tcPr>
          <w:p w14:paraId="47D09229" w14:textId="77777777" w:rsidR="008D0A04" w:rsidRDefault="008D0A04" w:rsidP="008D0A04">
            <w:pPr>
              <w:numPr>
                <w:ilvl w:val="0"/>
                <w:numId w:val="29"/>
              </w:numPr>
              <w:spacing w:before="20" w:after="20"/>
              <w:ind w:left="33"/>
              <w:jc w:val="both"/>
              <w:rPr>
                <w:sz w:val="22"/>
                <w:szCs w:val="22"/>
                <w:lang w:val="fr-CA" w:eastAsia="es-ES"/>
              </w:rPr>
            </w:pPr>
            <w:r>
              <w:rPr>
                <w:sz w:val="22"/>
                <w:szCs w:val="22"/>
                <w:lang w:val="fr-CA" w:eastAsia="es-ES"/>
              </w:rPr>
              <w:t>HUITIÈME RÉUNION EXTRAORDINAIRE sur les mécanismes de surveillance des centres de détention utilisés par chaque institution de défense publique officielle de la région</w:t>
            </w:r>
            <w:r>
              <w:rPr>
                <w:sz w:val="22"/>
                <w:szCs w:val="22"/>
                <w:lang w:val="fr-CA"/>
              </w:rPr>
              <w:t xml:space="preserve">. - Section </w:t>
            </w:r>
            <w:r>
              <w:rPr>
                <w:sz w:val="22"/>
                <w:szCs w:val="22"/>
                <w:lang w:val="fr-CA" w:eastAsia="es-ES"/>
              </w:rPr>
              <w:t xml:space="preserve">vi. de la résolution </w:t>
            </w:r>
            <w:r>
              <w:rPr>
                <w:sz w:val="22"/>
                <w:szCs w:val="22"/>
                <w:lang w:val="fr-CA"/>
              </w:rPr>
              <w:t>AG/RES. 2941 (XLIX-O/19).</w:t>
            </w:r>
          </w:p>
        </w:tc>
      </w:tr>
      <w:tr w:rsidR="008D0A04" w:rsidRPr="00302458" w14:paraId="57CB5297" w14:textId="77777777" w:rsidTr="008D0A04">
        <w:trPr>
          <w:trHeight w:val="37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15E607" w14:textId="77777777" w:rsidR="008D0A04" w:rsidRDefault="008D0A04">
            <w:pPr>
              <w:rPr>
                <w:sz w:val="22"/>
                <w:szCs w:val="22"/>
                <w:lang w:val="fr-CA" w:eastAsia="es-ES"/>
              </w:rPr>
            </w:pPr>
          </w:p>
        </w:tc>
        <w:tc>
          <w:tcPr>
            <w:tcW w:w="11602" w:type="dxa"/>
            <w:tcBorders>
              <w:top w:val="single" w:sz="4" w:space="0" w:color="000000"/>
              <w:left w:val="single" w:sz="4" w:space="0" w:color="000000"/>
              <w:bottom w:val="single" w:sz="4" w:space="0" w:color="000000"/>
              <w:right w:val="single" w:sz="4" w:space="0" w:color="000000"/>
            </w:tcBorders>
            <w:vAlign w:val="center"/>
            <w:hideMark/>
          </w:tcPr>
          <w:p w14:paraId="6D265F79" w14:textId="77777777" w:rsidR="008D0A04" w:rsidRDefault="008D0A04" w:rsidP="008D0A04">
            <w:pPr>
              <w:numPr>
                <w:ilvl w:val="0"/>
                <w:numId w:val="30"/>
              </w:numPr>
              <w:spacing w:before="20" w:after="20"/>
              <w:jc w:val="both"/>
              <w:rPr>
                <w:sz w:val="22"/>
                <w:szCs w:val="22"/>
                <w:lang w:val="fr-CA" w:eastAsia="es-ES"/>
              </w:rPr>
            </w:pPr>
            <w:r>
              <w:rPr>
                <w:sz w:val="22"/>
                <w:szCs w:val="22"/>
                <w:lang w:val="fr-CA" w:eastAsia="es-ES"/>
              </w:rPr>
              <w:t>Suivi des mandats contenus dans la résolution</w:t>
            </w:r>
            <w:r>
              <w:rPr>
                <w:sz w:val="22"/>
                <w:szCs w:val="22"/>
                <w:lang w:val="fr-CA"/>
              </w:rPr>
              <w:t xml:space="preserve"> AG/RES. 2941 (XLIX-O/19) “Promotion et protection des droits de la personne”:</w:t>
            </w:r>
          </w:p>
          <w:p w14:paraId="7429A95A" w14:textId="77777777" w:rsidR="008D0A04" w:rsidRDefault="008D0A04" w:rsidP="008D0A04">
            <w:pPr>
              <w:numPr>
                <w:ilvl w:val="0"/>
                <w:numId w:val="22"/>
              </w:numPr>
              <w:spacing w:before="20" w:after="20"/>
              <w:jc w:val="both"/>
              <w:rPr>
                <w:sz w:val="22"/>
                <w:szCs w:val="22"/>
                <w:lang w:val="fr-CA"/>
              </w:rPr>
            </w:pPr>
            <w:r>
              <w:rPr>
                <w:sz w:val="22"/>
                <w:szCs w:val="22"/>
                <w:u w:val="single"/>
                <w:lang w:val="fr-CA" w:eastAsia="es-ES"/>
              </w:rPr>
              <w:t>Section ix</w:t>
            </w:r>
            <w:r>
              <w:rPr>
                <w:sz w:val="22"/>
                <w:szCs w:val="22"/>
                <w:lang w:val="fr-CA"/>
              </w:rPr>
              <w:t>: Droits des personnes privées de liberté :</w:t>
            </w:r>
          </w:p>
          <w:p w14:paraId="7D52E065" w14:textId="77777777" w:rsidR="008D0A04" w:rsidRDefault="008D0A04" w:rsidP="008D0A04">
            <w:pPr>
              <w:numPr>
                <w:ilvl w:val="1"/>
                <w:numId w:val="23"/>
              </w:numPr>
              <w:tabs>
                <w:tab w:val="left" w:pos="843"/>
              </w:tabs>
              <w:spacing w:before="20" w:after="20"/>
              <w:jc w:val="both"/>
              <w:rPr>
                <w:sz w:val="22"/>
                <w:szCs w:val="22"/>
                <w:lang w:val="fr-CA"/>
              </w:rPr>
            </w:pPr>
            <w:r>
              <w:rPr>
                <w:sz w:val="22"/>
                <w:szCs w:val="22"/>
                <w:lang w:val="fr-CA"/>
              </w:rPr>
              <w:t>Dialogue sur les bonnes pratiques en matière de politiques carcérales, pénitentiaires et dans des institutions psychiatriques, portant principalement sur les stratégies et mesures qui permettent d’assurer le respect, la garantie et la protection des droits des personnes privées de liberté.</w:t>
            </w:r>
          </w:p>
          <w:p w14:paraId="6F7788E3" w14:textId="77777777" w:rsidR="008D0A04" w:rsidRDefault="008D0A04" w:rsidP="008D0A04">
            <w:pPr>
              <w:numPr>
                <w:ilvl w:val="0"/>
                <w:numId w:val="30"/>
              </w:numPr>
              <w:spacing w:before="20" w:after="20"/>
              <w:jc w:val="both"/>
              <w:rPr>
                <w:sz w:val="22"/>
                <w:szCs w:val="22"/>
                <w:lang w:val="fr-CA" w:eastAsia="es-ES"/>
              </w:rPr>
            </w:pPr>
            <w:r>
              <w:rPr>
                <w:sz w:val="22"/>
                <w:szCs w:val="22"/>
                <w:lang w:val="fr-CA" w:eastAsia="es-ES"/>
              </w:rPr>
              <w:t>Poursuite du dialogue sur quelques modifications à des procédures de l’OEA</w:t>
            </w:r>
            <w:r>
              <w:rPr>
                <w:sz w:val="22"/>
                <w:szCs w:val="22"/>
                <w:lang w:val="fr-CA"/>
              </w:rPr>
              <w:t>.</w:t>
            </w:r>
          </w:p>
        </w:tc>
      </w:tr>
      <w:tr w:rsidR="008D0A04" w14:paraId="76A70C0D" w14:textId="77777777" w:rsidTr="008D0A04">
        <w:trPr>
          <w:jc w:val="center"/>
        </w:trPr>
        <w:tc>
          <w:tcPr>
            <w:tcW w:w="14179" w:type="dxa"/>
            <w:gridSpan w:val="2"/>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2E2C5AE0" w14:textId="77777777" w:rsidR="008D0A04" w:rsidRDefault="008D0A04">
            <w:pPr>
              <w:tabs>
                <w:tab w:val="left" w:pos="342"/>
              </w:tabs>
              <w:spacing w:before="20" w:after="20"/>
              <w:ind w:left="360" w:hanging="360"/>
              <w:jc w:val="center"/>
              <w:rPr>
                <w:b/>
                <w:sz w:val="22"/>
                <w:szCs w:val="22"/>
                <w:lang w:val="fr-CA" w:eastAsia="es-ES"/>
              </w:rPr>
            </w:pPr>
            <w:r>
              <w:rPr>
                <w:b/>
                <w:sz w:val="22"/>
                <w:szCs w:val="22"/>
                <w:lang w:val="fr-CA" w:eastAsia="es-ES"/>
              </w:rPr>
              <w:t>AOUT 2020</w:t>
            </w:r>
          </w:p>
        </w:tc>
      </w:tr>
      <w:tr w:rsidR="008D0A04" w:rsidRPr="00302458" w14:paraId="264A177F" w14:textId="77777777" w:rsidTr="008D0A04">
        <w:trPr>
          <w:jc w:val="center"/>
        </w:trPr>
        <w:tc>
          <w:tcPr>
            <w:tcW w:w="2577" w:type="dxa"/>
            <w:tcBorders>
              <w:top w:val="single" w:sz="4" w:space="0" w:color="000000"/>
              <w:left w:val="single" w:sz="4" w:space="0" w:color="000000"/>
              <w:bottom w:val="single" w:sz="4" w:space="0" w:color="000000"/>
              <w:right w:val="single" w:sz="4" w:space="0" w:color="000000"/>
            </w:tcBorders>
            <w:vAlign w:val="center"/>
            <w:hideMark/>
          </w:tcPr>
          <w:p w14:paraId="01865646" w14:textId="77777777" w:rsidR="008D0A04" w:rsidRDefault="008D0A04">
            <w:pPr>
              <w:spacing w:before="20" w:after="20"/>
              <w:jc w:val="center"/>
              <w:rPr>
                <w:sz w:val="22"/>
                <w:szCs w:val="22"/>
                <w:lang w:val="fr-CA" w:eastAsia="es-ES"/>
              </w:rPr>
            </w:pPr>
            <w:r>
              <w:rPr>
                <w:sz w:val="22"/>
                <w:szCs w:val="22"/>
                <w:lang w:val="fr-CA" w:eastAsia="es-ES"/>
              </w:rPr>
              <w:t>Vendredi</w:t>
            </w:r>
          </w:p>
          <w:p w14:paraId="19A85F2C" w14:textId="77777777" w:rsidR="008D0A04" w:rsidRDefault="008D0A04">
            <w:pPr>
              <w:spacing w:before="20" w:after="20"/>
              <w:jc w:val="center"/>
              <w:rPr>
                <w:sz w:val="22"/>
                <w:szCs w:val="22"/>
                <w:lang w:val="fr-CA" w:eastAsia="es-ES"/>
              </w:rPr>
            </w:pPr>
            <w:r>
              <w:rPr>
                <w:sz w:val="22"/>
                <w:szCs w:val="22"/>
                <w:lang w:val="fr-CA" w:eastAsia="es-ES"/>
              </w:rPr>
              <w:t>14 aout 2020</w:t>
            </w:r>
          </w:p>
        </w:tc>
        <w:tc>
          <w:tcPr>
            <w:tcW w:w="11602" w:type="dxa"/>
            <w:tcBorders>
              <w:top w:val="single" w:sz="4" w:space="0" w:color="000000"/>
              <w:left w:val="single" w:sz="4" w:space="0" w:color="000000"/>
              <w:bottom w:val="single" w:sz="4" w:space="0" w:color="000000"/>
              <w:right w:val="single" w:sz="4" w:space="0" w:color="000000"/>
            </w:tcBorders>
            <w:vAlign w:val="center"/>
            <w:hideMark/>
          </w:tcPr>
          <w:p w14:paraId="6B57E71C" w14:textId="3BFAA6E2" w:rsidR="008D0A04" w:rsidRDefault="008D0A04">
            <w:pPr>
              <w:spacing w:before="20" w:after="20"/>
              <w:rPr>
                <w:sz w:val="22"/>
                <w:szCs w:val="22"/>
                <w:lang w:val="fr-CA" w:eastAsia="es-ES"/>
              </w:rPr>
            </w:pPr>
            <w:r>
              <w:rPr>
                <w:sz w:val="22"/>
                <w:szCs w:val="22"/>
                <w:lang w:val="fr-CA" w:eastAsia="es-ES"/>
              </w:rPr>
              <w:t xml:space="preserve">Date limite pour la présentation de textes à inclure aux projets de résolution globaux. </w:t>
            </w:r>
          </w:p>
        </w:tc>
      </w:tr>
      <w:tr w:rsidR="008D0A04" w14:paraId="17C254A4" w14:textId="77777777" w:rsidTr="008D0A04">
        <w:trPr>
          <w:jc w:val="center"/>
        </w:trPr>
        <w:tc>
          <w:tcPr>
            <w:tcW w:w="14179" w:type="dxa"/>
            <w:gridSpan w:val="2"/>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037417D1" w14:textId="25995BA4" w:rsidR="008D0A04" w:rsidRDefault="008D0A04">
            <w:pPr>
              <w:tabs>
                <w:tab w:val="left" w:pos="342"/>
              </w:tabs>
              <w:spacing w:before="20" w:after="20"/>
              <w:ind w:left="360" w:hanging="360"/>
              <w:jc w:val="center"/>
              <w:rPr>
                <w:b/>
                <w:sz w:val="22"/>
                <w:szCs w:val="22"/>
                <w:lang w:val="fr-CA" w:eastAsia="es-ES"/>
              </w:rPr>
            </w:pPr>
            <w:r>
              <w:rPr>
                <w:b/>
                <w:sz w:val="22"/>
                <w:szCs w:val="22"/>
                <w:lang w:val="fr-CA" w:eastAsia="es-ES"/>
              </w:rPr>
              <w:t>SEPTEMBRE 2020</w:t>
            </w:r>
          </w:p>
        </w:tc>
      </w:tr>
      <w:tr w:rsidR="008D0A04" w:rsidRPr="00302458" w14:paraId="6B6165C6" w14:textId="77777777" w:rsidTr="008D0A04">
        <w:trPr>
          <w:trHeight w:val="70"/>
          <w:jc w:val="center"/>
        </w:trPr>
        <w:tc>
          <w:tcPr>
            <w:tcW w:w="2577" w:type="dxa"/>
            <w:tcBorders>
              <w:top w:val="single" w:sz="4" w:space="0" w:color="000000"/>
              <w:left w:val="single" w:sz="4" w:space="0" w:color="000000"/>
              <w:bottom w:val="single" w:sz="4" w:space="0" w:color="000000"/>
              <w:right w:val="single" w:sz="4" w:space="0" w:color="000000"/>
            </w:tcBorders>
            <w:vAlign w:val="center"/>
            <w:hideMark/>
          </w:tcPr>
          <w:p w14:paraId="1535D566" w14:textId="78C5F92D" w:rsidR="008D0A04" w:rsidRDefault="00623057" w:rsidP="00623057">
            <w:pPr>
              <w:spacing w:before="120" w:after="120"/>
              <w:jc w:val="center"/>
              <w:rPr>
                <w:sz w:val="22"/>
                <w:szCs w:val="22"/>
                <w:lang w:val="fr-CA"/>
              </w:rPr>
            </w:pPr>
            <w:r>
              <w:rPr>
                <w:sz w:val="22"/>
                <w:szCs w:val="22"/>
                <w:lang w:val="fr-CA" w:eastAsia="es-ES"/>
              </w:rPr>
              <w:t>Jeudi</w:t>
            </w:r>
            <w:r>
              <w:rPr>
                <w:sz w:val="22"/>
                <w:szCs w:val="22"/>
                <w:lang w:val="fr-CA" w:eastAsia="es-ES"/>
              </w:rPr>
              <w:br/>
              <w:t>3 septembre 2020</w:t>
            </w:r>
            <w:r>
              <w:rPr>
                <w:sz w:val="22"/>
                <w:szCs w:val="22"/>
                <w:lang w:val="fr-CA" w:eastAsia="es-ES"/>
              </w:rPr>
              <w:br/>
              <w:t>14 h 30 – 17 h 30</w:t>
            </w:r>
            <w:r>
              <w:rPr>
                <w:sz w:val="22"/>
                <w:szCs w:val="22"/>
                <w:lang w:val="fr-CA" w:eastAsia="es-ES"/>
              </w:rPr>
              <w:br/>
              <w:t>Virtuelle</w:t>
            </w:r>
          </w:p>
        </w:tc>
        <w:tc>
          <w:tcPr>
            <w:tcW w:w="11602" w:type="dxa"/>
            <w:tcBorders>
              <w:top w:val="single" w:sz="4" w:space="0" w:color="000000"/>
              <w:left w:val="single" w:sz="4" w:space="0" w:color="000000"/>
              <w:bottom w:val="single" w:sz="4" w:space="0" w:color="000000"/>
              <w:right w:val="single" w:sz="4" w:space="0" w:color="000000"/>
            </w:tcBorders>
            <w:vAlign w:val="center"/>
            <w:hideMark/>
          </w:tcPr>
          <w:p w14:paraId="4D4857E9" w14:textId="77777777" w:rsidR="008D0A04" w:rsidRDefault="008D0A04">
            <w:pPr>
              <w:spacing w:before="120" w:after="120"/>
              <w:rPr>
                <w:sz w:val="22"/>
                <w:szCs w:val="22"/>
                <w:lang w:val="fr-CA" w:eastAsia="es-ES"/>
              </w:rPr>
            </w:pPr>
            <w:r>
              <w:rPr>
                <w:color w:val="000000"/>
                <w:sz w:val="22"/>
                <w:szCs w:val="22"/>
                <w:lang w:val="fr-CA" w:eastAsia="es-ES"/>
              </w:rPr>
              <w:t>Négociation de projets de résolution destinés à la cinquantième session ordinaire de l’Assemblée générale</w:t>
            </w:r>
            <w:r>
              <w:rPr>
                <w:sz w:val="22"/>
                <w:szCs w:val="22"/>
                <w:lang w:val="fr-CA" w:eastAsia="es-ES"/>
              </w:rPr>
              <w:t>.</w:t>
            </w:r>
          </w:p>
        </w:tc>
      </w:tr>
      <w:tr w:rsidR="00623057" w:rsidRPr="00302458" w14:paraId="0484960B" w14:textId="77777777" w:rsidTr="008D0A04">
        <w:trPr>
          <w:trHeight w:val="70"/>
          <w:jc w:val="center"/>
        </w:trPr>
        <w:tc>
          <w:tcPr>
            <w:tcW w:w="2577" w:type="dxa"/>
            <w:tcBorders>
              <w:top w:val="single" w:sz="4" w:space="0" w:color="000000"/>
              <w:left w:val="single" w:sz="4" w:space="0" w:color="000000"/>
              <w:bottom w:val="single" w:sz="4" w:space="0" w:color="000000"/>
              <w:right w:val="single" w:sz="4" w:space="0" w:color="000000"/>
            </w:tcBorders>
            <w:vAlign w:val="center"/>
          </w:tcPr>
          <w:p w14:paraId="1F872D46" w14:textId="2EE04223" w:rsidR="00623057" w:rsidRDefault="00623057" w:rsidP="00623057">
            <w:pPr>
              <w:spacing w:before="120" w:after="120"/>
              <w:jc w:val="center"/>
              <w:rPr>
                <w:sz w:val="22"/>
                <w:szCs w:val="22"/>
                <w:lang w:val="fr-CA" w:eastAsia="es-ES"/>
              </w:rPr>
            </w:pPr>
            <w:r>
              <w:rPr>
                <w:sz w:val="22"/>
                <w:szCs w:val="22"/>
                <w:lang w:val="fr-CA" w:eastAsia="es-ES"/>
              </w:rPr>
              <w:lastRenderedPageBreak/>
              <w:t>Jeudi</w:t>
            </w:r>
            <w:r>
              <w:rPr>
                <w:sz w:val="22"/>
                <w:szCs w:val="22"/>
                <w:lang w:val="fr-CA" w:eastAsia="es-ES"/>
              </w:rPr>
              <w:br/>
              <w:t>10 septembre 2020</w:t>
            </w:r>
            <w:r>
              <w:rPr>
                <w:sz w:val="22"/>
                <w:szCs w:val="22"/>
                <w:lang w:val="fr-CA" w:eastAsia="es-ES"/>
              </w:rPr>
              <w:br/>
              <w:t>14 h 30 – 17 h 30</w:t>
            </w:r>
            <w:r>
              <w:rPr>
                <w:sz w:val="22"/>
                <w:szCs w:val="22"/>
                <w:lang w:val="fr-CA" w:eastAsia="es-ES"/>
              </w:rPr>
              <w:br/>
              <w:t>Virtuelle</w:t>
            </w:r>
          </w:p>
        </w:tc>
        <w:tc>
          <w:tcPr>
            <w:tcW w:w="11602" w:type="dxa"/>
            <w:tcBorders>
              <w:top w:val="single" w:sz="4" w:space="0" w:color="000000"/>
              <w:left w:val="single" w:sz="4" w:space="0" w:color="000000"/>
              <w:bottom w:val="single" w:sz="4" w:space="0" w:color="000000"/>
              <w:right w:val="single" w:sz="4" w:space="0" w:color="000000"/>
            </w:tcBorders>
            <w:vAlign w:val="center"/>
          </w:tcPr>
          <w:p w14:paraId="1FE08CC1" w14:textId="04F09CDB" w:rsidR="00623057" w:rsidRDefault="00623057" w:rsidP="00623057">
            <w:pPr>
              <w:spacing w:before="120" w:after="120"/>
              <w:rPr>
                <w:color w:val="000000"/>
                <w:sz w:val="22"/>
                <w:szCs w:val="22"/>
                <w:lang w:val="fr-CA" w:eastAsia="es-ES"/>
              </w:rPr>
            </w:pPr>
            <w:r>
              <w:rPr>
                <w:color w:val="000000"/>
                <w:sz w:val="22"/>
                <w:szCs w:val="22"/>
                <w:lang w:val="fr-CA" w:eastAsia="es-ES"/>
              </w:rPr>
              <w:t>Négociation de projets de résolution destinés à la cinquantième session ordinaire de l’Assemblée générale</w:t>
            </w:r>
            <w:r>
              <w:rPr>
                <w:sz w:val="22"/>
                <w:szCs w:val="22"/>
                <w:lang w:val="fr-CA" w:eastAsia="es-ES"/>
              </w:rPr>
              <w:t>.</w:t>
            </w:r>
          </w:p>
        </w:tc>
      </w:tr>
      <w:tr w:rsidR="00623057" w:rsidRPr="00302458" w14:paraId="4AACE3E0" w14:textId="77777777" w:rsidTr="008D0A04">
        <w:trPr>
          <w:trHeight w:val="70"/>
          <w:jc w:val="center"/>
        </w:trPr>
        <w:tc>
          <w:tcPr>
            <w:tcW w:w="2577" w:type="dxa"/>
            <w:tcBorders>
              <w:top w:val="single" w:sz="4" w:space="0" w:color="000000"/>
              <w:left w:val="single" w:sz="4" w:space="0" w:color="000000"/>
              <w:bottom w:val="single" w:sz="4" w:space="0" w:color="000000"/>
              <w:right w:val="single" w:sz="4" w:space="0" w:color="000000"/>
            </w:tcBorders>
            <w:vAlign w:val="center"/>
          </w:tcPr>
          <w:p w14:paraId="2C2D9D6E" w14:textId="28C07234" w:rsidR="00623057" w:rsidRDefault="00623057" w:rsidP="00623057">
            <w:pPr>
              <w:spacing w:before="120" w:after="120"/>
              <w:jc w:val="center"/>
              <w:rPr>
                <w:sz w:val="22"/>
                <w:szCs w:val="22"/>
                <w:lang w:val="fr-CA" w:eastAsia="es-ES"/>
              </w:rPr>
            </w:pPr>
            <w:r>
              <w:rPr>
                <w:sz w:val="22"/>
                <w:szCs w:val="22"/>
                <w:lang w:val="fr-CA" w:eastAsia="es-ES"/>
              </w:rPr>
              <w:t>Jeudi</w:t>
            </w:r>
            <w:r>
              <w:rPr>
                <w:sz w:val="22"/>
                <w:szCs w:val="22"/>
                <w:lang w:val="fr-CA" w:eastAsia="es-ES"/>
              </w:rPr>
              <w:br/>
              <w:t>24 septembre 2020</w:t>
            </w:r>
            <w:r>
              <w:rPr>
                <w:sz w:val="22"/>
                <w:szCs w:val="22"/>
                <w:lang w:val="fr-CA" w:eastAsia="es-ES"/>
              </w:rPr>
              <w:br/>
              <w:t>14 h 30 – 17 h 30</w:t>
            </w:r>
            <w:r>
              <w:rPr>
                <w:sz w:val="22"/>
                <w:szCs w:val="22"/>
                <w:lang w:val="fr-CA" w:eastAsia="es-ES"/>
              </w:rPr>
              <w:br/>
              <w:t>Virtuelle</w:t>
            </w:r>
          </w:p>
        </w:tc>
        <w:tc>
          <w:tcPr>
            <w:tcW w:w="11602" w:type="dxa"/>
            <w:tcBorders>
              <w:top w:val="single" w:sz="4" w:space="0" w:color="000000"/>
              <w:left w:val="single" w:sz="4" w:space="0" w:color="000000"/>
              <w:bottom w:val="single" w:sz="4" w:space="0" w:color="000000"/>
              <w:right w:val="single" w:sz="4" w:space="0" w:color="000000"/>
            </w:tcBorders>
            <w:vAlign w:val="center"/>
          </w:tcPr>
          <w:p w14:paraId="6CFD40D4" w14:textId="0A935EB6" w:rsidR="00623057" w:rsidRDefault="00623057" w:rsidP="00623057">
            <w:pPr>
              <w:spacing w:before="120" w:after="120"/>
              <w:rPr>
                <w:color w:val="000000"/>
                <w:sz w:val="22"/>
                <w:szCs w:val="22"/>
                <w:lang w:val="fr-CA" w:eastAsia="es-ES"/>
              </w:rPr>
            </w:pPr>
            <w:r>
              <w:rPr>
                <w:color w:val="000000"/>
                <w:sz w:val="22"/>
                <w:szCs w:val="22"/>
                <w:lang w:val="fr-CA" w:eastAsia="es-ES"/>
              </w:rPr>
              <w:t>Négociation de projets de résolution destinés à la cinquantième session ordinaire de l’Assemblée générale</w:t>
            </w:r>
            <w:r>
              <w:rPr>
                <w:sz w:val="22"/>
                <w:szCs w:val="22"/>
                <w:lang w:val="fr-CA" w:eastAsia="es-ES"/>
              </w:rPr>
              <w:t>.</w:t>
            </w:r>
          </w:p>
        </w:tc>
      </w:tr>
      <w:tr w:rsidR="00623057" w14:paraId="208DDFEB" w14:textId="77777777" w:rsidTr="00F4225A">
        <w:trPr>
          <w:jc w:val="center"/>
        </w:trPr>
        <w:tc>
          <w:tcPr>
            <w:tcW w:w="14179" w:type="dxa"/>
            <w:gridSpan w:val="2"/>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6C86315" w14:textId="662D90BE" w:rsidR="00623057" w:rsidRDefault="00623057" w:rsidP="00F4225A">
            <w:pPr>
              <w:tabs>
                <w:tab w:val="left" w:pos="342"/>
              </w:tabs>
              <w:spacing w:before="20" w:after="20"/>
              <w:ind w:left="360" w:hanging="360"/>
              <w:jc w:val="center"/>
              <w:rPr>
                <w:b/>
                <w:sz w:val="22"/>
                <w:szCs w:val="22"/>
                <w:lang w:val="fr-CA" w:eastAsia="es-ES"/>
              </w:rPr>
            </w:pPr>
            <w:r>
              <w:rPr>
                <w:b/>
                <w:sz w:val="22"/>
                <w:szCs w:val="22"/>
                <w:lang w:val="fr-CA" w:eastAsia="es-ES"/>
              </w:rPr>
              <w:t>OCTOBRE 2020</w:t>
            </w:r>
          </w:p>
        </w:tc>
      </w:tr>
      <w:tr w:rsidR="00623057" w:rsidRPr="00302458" w14:paraId="6660289C" w14:textId="77777777" w:rsidTr="008D0A04">
        <w:trPr>
          <w:trHeight w:val="70"/>
          <w:jc w:val="center"/>
        </w:trPr>
        <w:tc>
          <w:tcPr>
            <w:tcW w:w="2577" w:type="dxa"/>
            <w:tcBorders>
              <w:top w:val="single" w:sz="4" w:space="0" w:color="000000"/>
              <w:left w:val="single" w:sz="4" w:space="0" w:color="000000"/>
              <w:bottom w:val="single" w:sz="4" w:space="0" w:color="000000"/>
              <w:right w:val="single" w:sz="4" w:space="0" w:color="000000"/>
            </w:tcBorders>
            <w:vAlign w:val="center"/>
          </w:tcPr>
          <w:p w14:paraId="0B95EB84" w14:textId="07335FAE" w:rsidR="00623057" w:rsidRDefault="00623057" w:rsidP="00623057">
            <w:pPr>
              <w:spacing w:before="120" w:after="120"/>
              <w:jc w:val="center"/>
              <w:rPr>
                <w:sz w:val="22"/>
                <w:szCs w:val="22"/>
                <w:lang w:val="fr-CA" w:eastAsia="es-ES"/>
              </w:rPr>
            </w:pPr>
            <w:r>
              <w:rPr>
                <w:sz w:val="22"/>
                <w:szCs w:val="22"/>
                <w:lang w:val="fr-CA" w:eastAsia="es-ES"/>
              </w:rPr>
              <w:t>Jeudi</w:t>
            </w:r>
            <w:r>
              <w:rPr>
                <w:sz w:val="22"/>
                <w:szCs w:val="22"/>
                <w:lang w:val="fr-CA" w:eastAsia="es-ES"/>
              </w:rPr>
              <w:br/>
              <w:t>1</w:t>
            </w:r>
            <w:r w:rsidRPr="00623057">
              <w:rPr>
                <w:sz w:val="22"/>
                <w:szCs w:val="22"/>
                <w:vertAlign w:val="superscript"/>
                <w:lang w:val="fr-CA" w:eastAsia="es-ES"/>
              </w:rPr>
              <w:t>er</w:t>
            </w:r>
            <w:r>
              <w:rPr>
                <w:sz w:val="22"/>
                <w:szCs w:val="22"/>
                <w:lang w:val="fr-CA" w:eastAsia="es-ES"/>
              </w:rPr>
              <w:t xml:space="preserve"> octobre 2020</w:t>
            </w:r>
            <w:r>
              <w:rPr>
                <w:sz w:val="22"/>
                <w:szCs w:val="22"/>
                <w:lang w:val="fr-CA" w:eastAsia="es-ES"/>
              </w:rPr>
              <w:br/>
              <w:t>14 h 30 – 17 h 30</w:t>
            </w:r>
            <w:r>
              <w:rPr>
                <w:sz w:val="22"/>
                <w:szCs w:val="22"/>
                <w:lang w:val="fr-CA" w:eastAsia="es-ES"/>
              </w:rPr>
              <w:br/>
              <w:t>Virtuelle</w:t>
            </w:r>
          </w:p>
        </w:tc>
        <w:tc>
          <w:tcPr>
            <w:tcW w:w="11602" w:type="dxa"/>
            <w:tcBorders>
              <w:top w:val="single" w:sz="4" w:space="0" w:color="000000"/>
              <w:left w:val="single" w:sz="4" w:space="0" w:color="000000"/>
              <w:bottom w:val="single" w:sz="4" w:space="0" w:color="000000"/>
              <w:right w:val="single" w:sz="4" w:space="0" w:color="000000"/>
            </w:tcBorders>
            <w:vAlign w:val="center"/>
          </w:tcPr>
          <w:p w14:paraId="1178E7C5" w14:textId="3F3C28EB" w:rsidR="00623057" w:rsidRDefault="00623057" w:rsidP="00623057">
            <w:pPr>
              <w:spacing w:before="120" w:after="120"/>
              <w:rPr>
                <w:color w:val="000000"/>
                <w:sz w:val="22"/>
                <w:szCs w:val="22"/>
                <w:lang w:val="fr-CA" w:eastAsia="es-ES"/>
              </w:rPr>
            </w:pPr>
            <w:r>
              <w:rPr>
                <w:color w:val="000000"/>
                <w:sz w:val="22"/>
                <w:szCs w:val="22"/>
                <w:lang w:val="fr-CA" w:eastAsia="es-ES"/>
              </w:rPr>
              <w:t>Négociation de projets de résolution destinés à la cinquantième session ordinaire de l’Assemblée générale</w:t>
            </w:r>
            <w:r>
              <w:rPr>
                <w:sz w:val="22"/>
                <w:szCs w:val="22"/>
                <w:lang w:val="fr-CA" w:eastAsia="es-ES"/>
              </w:rPr>
              <w:t>.</w:t>
            </w:r>
          </w:p>
        </w:tc>
      </w:tr>
    </w:tbl>
    <w:p w14:paraId="128A5EDC" w14:textId="77777777" w:rsidR="008D50F2" w:rsidRDefault="008D50F2" w:rsidP="008D0A04">
      <w:pPr>
        <w:rPr>
          <w:sz w:val="22"/>
          <w:szCs w:val="22"/>
          <w:lang w:val="fr-CA" w:eastAsia="es-ES"/>
        </w:rPr>
      </w:pPr>
    </w:p>
    <w:p w14:paraId="19F109CC" w14:textId="69DECAFF" w:rsidR="00D64DEE" w:rsidRPr="008D50F2" w:rsidRDefault="00302458" w:rsidP="008D0A04">
      <w:pPr>
        <w:rPr>
          <w:sz w:val="20"/>
          <w:szCs w:val="20"/>
          <w:lang w:val="fr-CA" w:eastAsia="es-ES"/>
        </w:rPr>
      </w:pPr>
      <w:bookmarkStart w:id="0" w:name="_GoBack"/>
      <w:bookmarkEnd w:id="0"/>
      <w:r>
        <w:rPr>
          <w:noProof/>
          <w:sz w:val="20"/>
          <w:szCs w:val="20"/>
        </w:rPr>
        <mc:AlternateContent>
          <mc:Choice Requires="wps">
            <w:drawing>
              <wp:anchor distT="0" distB="0" distL="114300" distR="114300" simplePos="0" relativeHeight="251659264" behindDoc="0" locked="1" layoutInCell="1" allowOverlap="1" wp14:anchorId="231E8390" wp14:editId="3D52FDE5">
                <wp:simplePos x="0" y="0"/>
                <wp:positionH relativeFrom="column">
                  <wp:posOffset>-91440</wp:posOffset>
                </wp:positionH>
                <wp:positionV relativeFrom="page">
                  <wp:posOffset>6857365</wp:posOffset>
                </wp:positionV>
                <wp:extent cx="3378835" cy="230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8835" cy="230505"/>
                        </a:xfrm>
                        <a:prstGeom prst="rect">
                          <a:avLst/>
                        </a:prstGeom>
                        <a:no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64FCCFBB" w14:textId="79EE688E" w:rsidR="00302458" w:rsidRPr="00302458" w:rsidRDefault="00302458">
                            <w:pPr>
                              <w:rPr>
                                <w:sz w:val="18"/>
                              </w:rPr>
                            </w:pPr>
                            <w:r>
                              <w:rPr>
                                <w:sz w:val="18"/>
                              </w:rPr>
                              <w:fldChar w:fldCharType="begin"/>
                            </w:r>
                            <w:r>
                              <w:rPr>
                                <w:sz w:val="18"/>
                              </w:rPr>
                              <w:instrText xml:space="preserve"> FILENAME  \* MERGEFORMAT </w:instrText>
                            </w:r>
                            <w:r>
                              <w:rPr>
                                <w:sz w:val="18"/>
                              </w:rPr>
                              <w:fldChar w:fldCharType="separate"/>
                            </w:r>
                            <w:r>
                              <w:rPr>
                                <w:noProof/>
                                <w:sz w:val="18"/>
                              </w:rPr>
                              <w:t>CP42699F04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2pt;margin-top:539.95pt;width:266.05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" filled="f" stroked="f">
                <v:stroke joinstyle="round"/>
                <v:path arrowok="t"/>
                <v:textbox>
                  <w:txbxContent>
                    <w:p w14:paraId="64FCCFBB" w14:textId="79EE688E" w:rsidR="00302458" w:rsidRPr="00302458" w:rsidRDefault="00302458">
                      <w:pPr>
                        <w:rPr>
                          <w:sz w:val="18"/>
                        </w:rPr>
                      </w:pPr>
                      <w:r>
                        <w:rPr>
                          <w:sz w:val="18"/>
                        </w:rPr>
                        <w:fldChar w:fldCharType="begin"/>
                      </w:r>
                      <w:r>
                        <w:rPr>
                          <w:sz w:val="18"/>
                        </w:rPr>
                        <w:instrText xml:space="preserve"> FILENAME  \* MERGEFORMAT </w:instrText>
                      </w:r>
                      <w:r>
                        <w:rPr>
                          <w:sz w:val="18"/>
                        </w:rPr>
                        <w:fldChar w:fldCharType="separate"/>
                      </w:r>
                      <w:r>
                        <w:rPr>
                          <w:noProof/>
                          <w:sz w:val="18"/>
                        </w:rPr>
                        <w:t>CP42699F04</w:t>
                      </w:r>
                      <w:r>
                        <w:rPr>
                          <w:sz w:val="18"/>
                        </w:rPr>
                        <w:fldChar w:fldCharType="end"/>
                      </w:r>
                    </w:p>
                  </w:txbxContent>
                </v:textbox>
                <w10:wrap anchory="page"/>
                <w10:anchorlock/>
              </v:shape>
            </w:pict>
          </mc:Fallback>
        </mc:AlternateContent>
      </w:r>
    </w:p>
    <w:sectPr w:rsidR="00D64DEE" w:rsidRPr="008D50F2" w:rsidSect="006467CF">
      <w:headerReference w:type="even" r:id="rId15"/>
      <w:headerReference w:type="default" r:id="rId16"/>
      <w:footerReference w:type="default" r:id="rId17"/>
      <w:headerReference w:type="first" r:id="rId18"/>
      <w:pgSz w:w="15840" w:h="12240" w:orient="landscape" w:code="1"/>
      <w:pgMar w:top="1620" w:right="1699" w:bottom="270" w:left="1699" w:header="720" w:footer="1161" w:gutter="0"/>
      <w:pgNumType w:chapSep="em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07E27" w14:textId="77777777" w:rsidR="006B3A0C" w:rsidRDefault="006B3A0C">
      <w:r>
        <w:separator/>
      </w:r>
    </w:p>
  </w:endnote>
  <w:endnote w:type="continuationSeparator" w:id="0">
    <w:p w14:paraId="716FA292" w14:textId="77777777" w:rsidR="006B3A0C" w:rsidRDefault="006B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1051C" w14:textId="77777777" w:rsidR="008037A5" w:rsidRPr="00E034D4" w:rsidRDefault="008037A5" w:rsidP="00E03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82B24" w14:textId="77777777" w:rsidR="006B3A0C" w:rsidRDefault="006B3A0C">
      <w:r>
        <w:separator/>
      </w:r>
    </w:p>
  </w:footnote>
  <w:footnote w:type="continuationSeparator" w:id="0">
    <w:p w14:paraId="4E02AC1C" w14:textId="77777777" w:rsidR="006B3A0C" w:rsidRDefault="006B3A0C">
      <w:r>
        <w:continuationSeparator/>
      </w:r>
    </w:p>
  </w:footnote>
  <w:footnote w:id="1">
    <w:p w14:paraId="573DF848" w14:textId="77777777" w:rsidR="008D0A04" w:rsidRDefault="008D0A04" w:rsidP="008D0A04">
      <w:pPr>
        <w:pStyle w:val="FootnoteText"/>
        <w:rPr>
          <w:lang w:val="fr-CA"/>
        </w:rPr>
      </w:pPr>
      <w:r>
        <w:rPr>
          <w:rStyle w:val="FootnoteReference"/>
          <w:lang w:val="fr-CA"/>
        </w:rPr>
        <w:footnoteRef/>
      </w:r>
      <w:r w:rsidR="00C2432A">
        <w:rPr>
          <w:lang w:val="fr-CA"/>
        </w:rPr>
        <w:t>.</w:t>
      </w:r>
      <w:r w:rsidR="00C2432A">
        <w:rPr>
          <w:lang w:val="fr-CA"/>
        </w:rPr>
        <w:tab/>
      </w:r>
      <w:r>
        <w:rPr>
          <w:sz w:val="20"/>
          <w:lang w:val="fr-CA"/>
        </w:rPr>
        <w:t>Voir la note de la mission permanente du Canada adressée à la Présidence de la CAJP par laquelle elle demande que la séance extraordinaire à laquelle se réfère la section xi. de la résolution AG/RES. 2941 (XLIX-O/19) ait lieu en 2020-2021, (</w:t>
      </w:r>
      <w:hyperlink r:id="rId1" w:history="1">
        <w:r>
          <w:rPr>
            <w:rStyle w:val="Hyperlink"/>
            <w:sz w:val="20"/>
            <w:lang w:val="fr-CA"/>
          </w:rPr>
          <w:t>CP/CAJP/INF.763/20</w:t>
        </w:r>
      </w:hyperlink>
      <w:r>
        <w:rPr>
          <w:sz w:val="20"/>
          <w:lang w:val="fr-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239719"/>
      <w:docPartObj>
        <w:docPartGallery w:val="Page Numbers (Top of Page)"/>
        <w:docPartUnique/>
      </w:docPartObj>
    </w:sdtPr>
    <w:sdtEndPr>
      <w:rPr>
        <w:noProof/>
      </w:rPr>
    </w:sdtEndPr>
    <w:sdtContent>
      <w:p w14:paraId="22C788AE" w14:textId="77777777" w:rsidR="00C2432A" w:rsidRDefault="00C2432A">
        <w:pPr>
          <w:pStyle w:val="Header"/>
          <w:jc w:val="center"/>
        </w:pPr>
        <w:r>
          <w:fldChar w:fldCharType="begin"/>
        </w:r>
        <w:r>
          <w:instrText xml:space="preserve"> PAGE   \* MERGEFORMAT </w:instrText>
        </w:r>
        <w:r>
          <w:fldChar w:fldCharType="separate"/>
        </w:r>
        <w:r w:rsidR="00302458">
          <w:rPr>
            <w:noProof/>
          </w:rPr>
          <w:t>- 2 -</w:t>
        </w:r>
        <w:r>
          <w:rPr>
            <w:noProof/>
          </w:rPr>
          <w:fldChar w:fldCharType="end"/>
        </w:r>
      </w:p>
    </w:sdtContent>
  </w:sdt>
  <w:p w14:paraId="5BD33F2B" w14:textId="77777777" w:rsidR="00C2432A" w:rsidRDefault="00C243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527897"/>
      <w:docPartObj>
        <w:docPartGallery w:val="Page Numbers (Top of Page)"/>
        <w:docPartUnique/>
      </w:docPartObj>
    </w:sdtPr>
    <w:sdtEndPr>
      <w:rPr>
        <w:noProof/>
      </w:rPr>
    </w:sdtEndPr>
    <w:sdtContent>
      <w:p w14:paraId="61EF2501" w14:textId="77777777" w:rsidR="00C2432A" w:rsidRDefault="00C2432A">
        <w:pPr>
          <w:pStyle w:val="Header"/>
          <w:jc w:val="center"/>
        </w:pPr>
        <w:r>
          <w:fldChar w:fldCharType="begin"/>
        </w:r>
        <w:r>
          <w:instrText xml:space="preserve"> PAGE   \* MERGEFORMAT </w:instrText>
        </w:r>
        <w:r>
          <w:fldChar w:fldCharType="separate"/>
        </w:r>
        <w:r w:rsidR="00302458">
          <w:rPr>
            <w:noProof/>
          </w:rPr>
          <w:t>- 5 -</w:t>
        </w:r>
        <w:r>
          <w:rPr>
            <w:noProof/>
          </w:rPr>
          <w:fldChar w:fldCharType="end"/>
        </w:r>
      </w:p>
    </w:sdtContent>
  </w:sdt>
  <w:p w14:paraId="2E6B91A6" w14:textId="77777777" w:rsidR="00C2432A" w:rsidRDefault="00C243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ED5D" w14:textId="77777777" w:rsidR="008037A5" w:rsidRDefault="008037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9ACAC" w14:textId="77777777" w:rsidR="008037A5" w:rsidRPr="00027F23" w:rsidRDefault="008037A5" w:rsidP="004D1587">
    <w:pPr>
      <w:pStyle w:val="Header"/>
      <w:jc w:val="center"/>
      <w:rPr>
        <w:sz w:val="20"/>
        <w:szCs w:val="20"/>
      </w:rPr>
    </w:pPr>
    <w:r w:rsidRPr="00027F23">
      <w:rPr>
        <w:sz w:val="20"/>
        <w:szCs w:val="20"/>
      </w:rPr>
      <w:t xml:space="preserve">- </w:t>
    </w:r>
    <w:r w:rsidRPr="00027F23">
      <w:rPr>
        <w:rStyle w:val="PageNumber"/>
        <w:sz w:val="20"/>
        <w:szCs w:val="20"/>
      </w:rPr>
      <w:fldChar w:fldCharType="begin"/>
    </w:r>
    <w:r w:rsidRPr="00027F23">
      <w:rPr>
        <w:rStyle w:val="PageNumber"/>
        <w:sz w:val="20"/>
        <w:szCs w:val="20"/>
      </w:rPr>
      <w:instrText xml:space="preserve"> PAGE </w:instrText>
    </w:r>
    <w:r w:rsidRPr="00027F23">
      <w:rPr>
        <w:rStyle w:val="PageNumber"/>
        <w:sz w:val="20"/>
        <w:szCs w:val="20"/>
      </w:rPr>
      <w:fldChar w:fldCharType="separate"/>
    </w:r>
    <w:r w:rsidR="00302458">
      <w:rPr>
        <w:rStyle w:val="PageNumber"/>
        <w:noProof/>
        <w:sz w:val="20"/>
        <w:szCs w:val="20"/>
      </w:rPr>
      <w:t>14</w:t>
    </w:r>
    <w:r w:rsidRPr="00027F23">
      <w:rPr>
        <w:rStyle w:val="PageNumber"/>
        <w:sz w:val="20"/>
        <w:szCs w:val="20"/>
      </w:rPr>
      <w:fldChar w:fldCharType="end"/>
    </w:r>
    <w:r w:rsidRPr="00027F23">
      <w:rPr>
        <w:rStyle w:val="PageNumber"/>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A88BA" w14:textId="77777777" w:rsidR="008037A5" w:rsidRPr="00BE253D" w:rsidRDefault="008037A5" w:rsidP="004D1587">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236"/>
    <w:multiLevelType w:val="hybridMultilevel"/>
    <w:tmpl w:val="10DAF46A"/>
    <w:lvl w:ilvl="0" w:tplc="3BF0CA24">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61C08"/>
    <w:multiLevelType w:val="hybridMultilevel"/>
    <w:tmpl w:val="3B4881D0"/>
    <w:lvl w:ilvl="0" w:tplc="FFFFFFFF">
      <w:start w:val="1"/>
      <w:numFmt w:val="bullet"/>
      <w:lvlText w:val=""/>
      <w:lvlJc w:val="left"/>
      <w:pPr>
        <w:ind w:left="720" w:hanging="360"/>
      </w:pPr>
      <w:rPr>
        <w:rFonts w:ascii="Symbol" w:hAnsi="Symbol" w:hint="default"/>
        <w:vanish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AE52596"/>
    <w:multiLevelType w:val="hybridMultilevel"/>
    <w:tmpl w:val="2CB226C6"/>
    <w:lvl w:ilvl="0" w:tplc="720E1D0E">
      <w:start w:val="1"/>
      <w:numFmt w:val="decimal"/>
      <w:lvlText w:val="%1."/>
      <w:lvlJc w:val="left"/>
      <w:pPr>
        <w:ind w:left="720" w:hanging="360"/>
      </w:pPr>
      <w:rPr>
        <w:rFonts w:hint="default"/>
        <w:sz w:val="22"/>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F54234"/>
    <w:multiLevelType w:val="hybridMultilevel"/>
    <w:tmpl w:val="5510A8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344248"/>
    <w:multiLevelType w:val="hybridMultilevel"/>
    <w:tmpl w:val="E7FEB544"/>
    <w:lvl w:ilvl="0" w:tplc="8FE0124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7C35C5"/>
    <w:multiLevelType w:val="hybridMultilevel"/>
    <w:tmpl w:val="F0904564"/>
    <w:lvl w:ilvl="0" w:tplc="A2EE345E">
      <w:start w:val="1"/>
      <w:numFmt w:val="decimal"/>
      <w:lvlText w:val="%1."/>
      <w:lvlJc w:val="left"/>
      <w:pPr>
        <w:ind w:left="360" w:hanging="360"/>
      </w:pPr>
      <w:rPr>
        <w:rFonts w:hint="default"/>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8286551"/>
    <w:multiLevelType w:val="hybridMultilevel"/>
    <w:tmpl w:val="C52A9766"/>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CA81810"/>
    <w:multiLevelType w:val="hybridMultilevel"/>
    <w:tmpl w:val="8FBCBC7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2DE5518"/>
    <w:multiLevelType w:val="hybridMultilevel"/>
    <w:tmpl w:val="D504A698"/>
    <w:lvl w:ilvl="0" w:tplc="96581C9A">
      <w:start w:val="1"/>
      <w:numFmt w:val="decimal"/>
      <w:lvlText w:val="%1."/>
      <w:lvlJc w:val="left"/>
      <w:pPr>
        <w:ind w:left="360" w:hanging="360"/>
      </w:pPr>
      <w:rPr>
        <w:rFonts w:ascii="Times New Roman" w:eastAsia="Times New Roman" w:hAnsi="Times New Roman" w:cs="Times New Roman"/>
        <w:b w:val="0"/>
        <w:color w:val="000000"/>
      </w:rPr>
    </w:lvl>
    <w:lvl w:ilvl="1" w:tplc="04090003">
      <w:start w:val="1"/>
      <w:numFmt w:val="bullet"/>
      <w:lvlText w:val="o"/>
      <w:lvlJc w:val="left"/>
      <w:pPr>
        <w:ind w:left="1077" w:hanging="360"/>
      </w:pPr>
      <w:rPr>
        <w:rFonts w:ascii="Courier New" w:hAnsi="Courier New" w:cs="Courier New" w:hint="default"/>
      </w:rPr>
    </w:lvl>
    <w:lvl w:ilvl="2" w:tplc="8E281EB6">
      <w:start w:val="1"/>
      <w:numFmt w:val="decimal"/>
      <w:lvlText w:val="%3"/>
      <w:lvlJc w:val="left"/>
      <w:pPr>
        <w:ind w:left="1797" w:hanging="360"/>
      </w:pPr>
      <w:rPr>
        <w:rFont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9">
    <w:nsid w:val="251F6086"/>
    <w:multiLevelType w:val="hybridMultilevel"/>
    <w:tmpl w:val="AD0C35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622C22"/>
    <w:multiLevelType w:val="hybridMultilevel"/>
    <w:tmpl w:val="AD0C35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FD5038"/>
    <w:multiLevelType w:val="hybridMultilevel"/>
    <w:tmpl w:val="05806D26"/>
    <w:lvl w:ilvl="0" w:tplc="C9986434">
      <w:start w:val="1"/>
      <w:numFmt w:val="decimal"/>
      <w:lvlText w:val="%1."/>
      <w:lvlJc w:val="left"/>
      <w:pPr>
        <w:tabs>
          <w:tab w:val="num" w:pos="720"/>
        </w:tabs>
        <w:ind w:left="720" w:hanging="360"/>
      </w:pPr>
      <w:rPr>
        <w:vanish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23C6ACE"/>
    <w:multiLevelType w:val="hybridMultilevel"/>
    <w:tmpl w:val="4E98903C"/>
    <w:lvl w:ilvl="0" w:tplc="EE829120">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51347AB"/>
    <w:multiLevelType w:val="hybridMultilevel"/>
    <w:tmpl w:val="F0904564"/>
    <w:lvl w:ilvl="0" w:tplc="A2EE345E">
      <w:start w:val="1"/>
      <w:numFmt w:val="decimal"/>
      <w:lvlText w:val="%1."/>
      <w:lvlJc w:val="left"/>
      <w:pPr>
        <w:ind w:left="360" w:hanging="360"/>
      </w:pPr>
      <w:rPr>
        <w:rFonts w:hint="default"/>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BA91153"/>
    <w:multiLevelType w:val="hybridMultilevel"/>
    <w:tmpl w:val="D504A698"/>
    <w:lvl w:ilvl="0" w:tplc="96581C9A">
      <w:start w:val="1"/>
      <w:numFmt w:val="decimal"/>
      <w:lvlText w:val="%1."/>
      <w:lvlJc w:val="left"/>
      <w:pPr>
        <w:ind w:left="360" w:hanging="360"/>
      </w:pPr>
      <w:rPr>
        <w:rFonts w:ascii="Times New Roman" w:eastAsia="Times New Roman" w:hAnsi="Times New Roman" w:cs="Times New Roman"/>
        <w:b w:val="0"/>
        <w:color w:val="000000"/>
      </w:rPr>
    </w:lvl>
    <w:lvl w:ilvl="1" w:tplc="04090003">
      <w:start w:val="1"/>
      <w:numFmt w:val="bullet"/>
      <w:lvlText w:val="o"/>
      <w:lvlJc w:val="left"/>
      <w:pPr>
        <w:ind w:left="1077" w:hanging="360"/>
      </w:pPr>
      <w:rPr>
        <w:rFonts w:ascii="Courier New" w:hAnsi="Courier New" w:cs="Courier New" w:hint="default"/>
      </w:rPr>
    </w:lvl>
    <w:lvl w:ilvl="2" w:tplc="8E281EB6">
      <w:start w:val="1"/>
      <w:numFmt w:val="decimal"/>
      <w:lvlText w:val="%3"/>
      <w:lvlJc w:val="left"/>
      <w:pPr>
        <w:ind w:left="1797" w:hanging="360"/>
      </w:pPr>
      <w:rPr>
        <w:rFont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5">
    <w:nsid w:val="3C431C2F"/>
    <w:multiLevelType w:val="hybridMultilevel"/>
    <w:tmpl w:val="AD0C356A"/>
    <w:lvl w:ilvl="0" w:tplc="0409000F">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6">
    <w:nsid w:val="3D4249A7"/>
    <w:multiLevelType w:val="hybridMultilevel"/>
    <w:tmpl w:val="6690010A"/>
    <w:lvl w:ilvl="0" w:tplc="B762ACC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488507C"/>
    <w:multiLevelType w:val="hybridMultilevel"/>
    <w:tmpl w:val="BEA40EAA"/>
    <w:lvl w:ilvl="0" w:tplc="FFFFFFFF">
      <w:start w:val="1"/>
      <w:numFmt w:val="decimal"/>
      <w:lvlText w:val="%1."/>
      <w:lvlJc w:val="left"/>
      <w:pPr>
        <w:tabs>
          <w:tab w:val="num" w:pos="1080"/>
        </w:tabs>
        <w:ind w:left="1080" w:hanging="360"/>
      </w:pPr>
      <w:rPr>
        <w:rFonts w:hint="default"/>
        <w:vanish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46A728A3"/>
    <w:multiLevelType w:val="hybridMultilevel"/>
    <w:tmpl w:val="373E91A8"/>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8AC355E"/>
    <w:multiLevelType w:val="hybridMultilevel"/>
    <w:tmpl w:val="2EEEE0B4"/>
    <w:lvl w:ilvl="0" w:tplc="40BAB4C2">
      <w:start w:val="1"/>
      <w:numFmt w:val="lowerRoman"/>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50952B2D"/>
    <w:multiLevelType w:val="hybridMultilevel"/>
    <w:tmpl w:val="9834B276"/>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532E636D"/>
    <w:multiLevelType w:val="hybridMultilevel"/>
    <w:tmpl w:val="D278D07E"/>
    <w:lvl w:ilvl="0" w:tplc="2CD0A8FA">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56553E1"/>
    <w:multiLevelType w:val="hybridMultilevel"/>
    <w:tmpl w:val="3D985E9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A562EFA"/>
    <w:multiLevelType w:val="hybridMultilevel"/>
    <w:tmpl w:val="D504A698"/>
    <w:lvl w:ilvl="0" w:tplc="96581C9A">
      <w:start w:val="1"/>
      <w:numFmt w:val="decimal"/>
      <w:lvlText w:val="%1."/>
      <w:lvlJc w:val="left"/>
      <w:pPr>
        <w:ind w:left="360" w:hanging="360"/>
      </w:pPr>
      <w:rPr>
        <w:rFonts w:ascii="Times New Roman" w:eastAsia="Times New Roman" w:hAnsi="Times New Roman" w:cs="Times New Roman"/>
        <w:b w:val="0"/>
        <w:color w:val="000000"/>
      </w:rPr>
    </w:lvl>
    <w:lvl w:ilvl="1" w:tplc="04090003">
      <w:start w:val="1"/>
      <w:numFmt w:val="bullet"/>
      <w:lvlText w:val="o"/>
      <w:lvlJc w:val="left"/>
      <w:pPr>
        <w:ind w:left="1077" w:hanging="360"/>
      </w:pPr>
      <w:rPr>
        <w:rFonts w:ascii="Courier New" w:hAnsi="Courier New" w:cs="Courier New" w:hint="default"/>
      </w:rPr>
    </w:lvl>
    <w:lvl w:ilvl="2" w:tplc="8E281EB6">
      <w:start w:val="1"/>
      <w:numFmt w:val="decimal"/>
      <w:lvlText w:val="%3"/>
      <w:lvlJc w:val="left"/>
      <w:pPr>
        <w:ind w:left="1797" w:hanging="360"/>
      </w:pPr>
      <w:rPr>
        <w:rFont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4">
    <w:nsid w:val="73EA365B"/>
    <w:multiLevelType w:val="hybridMultilevel"/>
    <w:tmpl w:val="2A6E178C"/>
    <w:lvl w:ilvl="0" w:tplc="C56C40EC">
      <w:start w:val="1"/>
      <w:numFmt w:val="lowerRoman"/>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74A06DD7"/>
    <w:multiLevelType w:val="hybridMultilevel"/>
    <w:tmpl w:val="10B41100"/>
    <w:lvl w:ilvl="0" w:tplc="A12C8F0E">
      <w:start w:val="1"/>
      <w:numFmt w:val="decimal"/>
      <w:lvlText w:val="%1."/>
      <w:lvlJc w:val="left"/>
      <w:pPr>
        <w:ind w:left="360" w:hanging="360"/>
      </w:pPr>
      <w:rPr>
        <w:rFonts w:hint="default"/>
        <w:strike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7071F3D"/>
    <w:multiLevelType w:val="hybridMultilevel"/>
    <w:tmpl w:val="AD0C35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lvlOverride w:ilvl="2">
      <w:startOverride w:val="1"/>
    </w:lvlOverride>
    <w:lvlOverride w:ilvl="3"/>
    <w:lvlOverride w:ilvl="4"/>
    <w:lvlOverride w:ilvl="5"/>
    <w:lvlOverride w:ilvl="6"/>
    <w:lvlOverride w:ilvl="7"/>
    <w:lvlOverride w:ilvl="8"/>
  </w:num>
  <w:num w:numId="13">
    <w:abstractNumId w:val="23"/>
    <w:lvlOverride w:ilvl="0">
      <w:startOverride w:val="1"/>
    </w:lvlOverride>
    <w:lvlOverride w:ilvl="1"/>
    <w:lvlOverride w:ilvl="2">
      <w:startOverride w:val="1"/>
    </w:lvlOverride>
    <w:lvlOverride w:ilvl="3"/>
    <w:lvlOverride w:ilvl="4"/>
    <w:lvlOverride w:ilvl="5"/>
    <w:lvlOverride w:ilvl="6"/>
    <w:lvlOverride w:ilvl="7"/>
    <w:lvlOverride w:ilvl="8"/>
  </w:num>
  <w:num w:numId="14">
    <w:abstractNumId w:val="14"/>
    <w:lvlOverride w:ilvl="0">
      <w:startOverride w:val="1"/>
    </w:lvlOverride>
    <w:lvlOverride w:ilvl="1"/>
    <w:lvlOverride w:ilvl="2">
      <w:startOverride w:val="1"/>
    </w:lvlOverride>
    <w:lvlOverride w:ilvl="3"/>
    <w:lvlOverride w:ilvl="4"/>
    <w:lvlOverride w:ilvl="5"/>
    <w:lvlOverride w:ilvl="6"/>
    <w:lvlOverride w:ilvl="7"/>
    <w:lvlOverride w:ilvl="8"/>
  </w:num>
  <w:num w:numId="15">
    <w:abstractNumId w:val="8"/>
    <w:lvlOverride w:ilvl="0">
      <w:startOverride w:val="1"/>
    </w:lvlOverride>
    <w:lvlOverride w:ilvl="1"/>
    <w:lvlOverride w:ilvl="2">
      <w:startOverride w:val="1"/>
    </w:lvlOverride>
    <w:lvlOverride w:ilvl="3"/>
    <w:lvlOverride w:ilvl="4"/>
    <w:lvlOverride w:ilvl="5"/>
    <w:lvlOverride w:ilvl="6"/>
    <w:lvlOverride w:ilvl="7"/>
    <w:lvlOverride w:ilv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lvlOverride w:ilvl="0">
      <w:startOverride w:val="1"/>
    </w:lvlOverride>
    <w:lvlOverride w:ilvl="1"/>
    <w:lvlOverride w:ilvl="2">
      <w:startOverride w:val="1"/>
    </w:lvlOverride>
    <w:lvlOverride w:ilvl="3"/>
    <w:lvlOverride w:ilvl="4"/>
    <w:lvlOverride w:ilvl="5"/>
    <w:lvlOverride w:ilvl="6"/>
    <w:lvlOverride w:ilvl="7"/>
    <w:lvlOverride w:ilvl="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7F"/>
    <w:rsid w:val="00002400"/>
    <w:rsid w:val="0000415E"/>
    <w:rsid w:val="00005B0E"/>
    <w:rsid w:val="000070D4"/>
    <w:rsid w:val="00007FB4"/>
    <w:rsid w:val="00007FFB"/>
    <w:rsid w:val="000105BE"/>
    <w:rsid w:val="00015EE8"/>
    <w:rsid w:val="000258A8"/>
    <w:rsid w:val="00027F23"/>
    <w:rsid w:val="00031DF3"/>
    <w:rsid w:val="00032023"/>
    <w:rsid w:val="000333D9"/>
    <w:rsid w:val="00034556"/>
    <w:rsid w:val="000427F5"/>
    <w:rsid w:val="0004511C"/>
    <w:rsid w:val="00045B88"/>
    <w:rsid w:val="00047052"/>
    <w:rsid w:val="0005062B"/>
    <w:rsid w:val="0005440F"/>
    <w:rsid w:val="00056D12"/>
    <w:rsid w:val="000621D3"/>
    <w:rsid w:val="000625C5"/>
    <w:rsid w:val="00064723"/>
    <w:rsid w:val="00070592"/>
    <w:rsid w:val="0007762D"/>
    <w:rsid w:val="0008028D"/>
    <w:rsid w:val="00082578"/>
    <w:rsid w:val="00084323"/>
    <w:rsid w:val="000911F9"/>
    <w:rsid w:val="000A20E1"/>
    <w:rsid w:val="000A2280"/>
    <w:rsid w:val="000A43E5"/>
    <w:rsid w:val="000B09BC"/>
    <w:rsid w:val="000B2786"/>
    <w:rsid w:val="000B34BC"/>
    <w:rsid w:val="000B72A1"/>
    <w:rsid w:val="000B760C"/>
    <w:rsid w:val="000C29A1"/>
    <w:rsid w:val="000C68EA"/>
    <w:rsid w:val="000C6BCE"/>
    <w:rsid w:val="000D5145"/>
    <w:rsid w:val="000E0921"/>
    <w:rsid w:val="000E58EC"/>
    <w:rsid w:val="000F158F"/>
    <w:rsid w:val="000F2320"/>
    <w:rsid w:val="000F2D96"/>
    <w:rsid w:val="000F35FC"/>
    <w:rsid w:val="000F4D9E"/>
    <w:rsid w:val="000F5EA3"/>
    <w:rsid w:val="001073C4"/>
    <w:rsid w:val="00107F93"/>
    <w:rsid w:val="001216F9"/>
    <w:rsid w:val="00121928"/>
    <w:rsid w:val="00121C92"/>
    <w:rsid w:val="0012376B"/>
    <w:rsid w:val="00124DD9"/>
    <w:rsid w:val="00127357"/>
    <w:rsid w:val="00133FE2"/>
    <w:rsid w:val="00147A60"/>
    <w:rsid w:val="00151442"/>
    <w:rsid w:val="00152829"/>
    <w:rsid w:val="00155325"/>
    <w:rsid w:val="00161BB4"/>
    <w:rsid w:val="00164420"/>
    <w:rsid w:val="001648F5"/>
    <w:rsid w:val="00171124"/>
    <w:rsid w:val="00171AD7"/>
    <w:rsid w:val="00172790"/>
    <w:rsid w:val="001734A9"/>
    <w:rsid w:val="00174294"/>
    <w:rsid w:val="00182E8D"/>
    <w:rsid w:val="001906CA"/>
    <w:rsid w:val="00191A80"/>
    <w:rsid w:val="00193B60"/>
    <w:rsid w:val="001954DF"/>
    <w:rsid w:val="00195D11"/>
    <w:rsid w:val="001A0191"/>
    <w:rsid w:val="001A191E"/>
    <w:rsid w:val="001A5BEB"/>
    <w:rsid w:val="001B040D"/>
    <w:rsid w:val="001B1488"/>
    <w:rsid w:val="001B2548"/>
    <w:rsid w:val="001B40A3"/>
    <w:rsid w:val="001C03AE"/>
    <w:rsid w:val="001C3F69"/>
    <w:rsid w:val="001C4F0E"/>
    <w:rsid w:val="001C5339"/>
    <w:rsid w:val="001C5A15"/>
    <w:rsid w:val="001D1938"/>
    <w:rsid w:val="001D1E73"/>
    <w:rsid w:val="001D258D"/>
    <w:rsid w:val="001D5119"/>
    <w:rsid w:val="001E29A7"/>
    <w:rsid w:val="001E2DD7"/>
    <w:rsid w:val="001E37E3"/>
    <w:rsid w:val="001E7EE8"/>
    <w:rsid w:val="001F05C8"/>
    <w:rsid w:val="002007AD"/>
    <w:rsid w:val="00200FE5"/>
    <w:rsid w:val="00203452"/>
    <w:rsid w:val="00203A66"/>
    <w:rsid w:val="0020589C"/>
    <w:rsid w:val="00205930"/>
    <w:rsid w:val="00211ECC"/>
    <w:rsid w:val="00212DD3"/>
    <w:rsid w:val="00215417"/>
    <w:rsid w:val="0021564B"/>
    <w:rsid w:val="00221391"/>
    <w:rsid w:val="00222D46"/>
    <w:rsid w:val="00225170"/>
    <w:rsid w:val="00225F61"/>
    <w:rsid w:val="0022680B"/>
    <w:rsid w:val="002306FE"/>
    <w:rsid w:val="00233B96"/>
    <w:rsid w:val="0023456F"/>
    <w:rsid w:val="002353C1"/>
    <w:rsid w:val="002354E7"/>
    <w:rsid w:val="002362E4"/>
    <w:rsid w:val="00242794"/>
    <w:rsid w:val="00244B47"/>
    <w:rsid w:val="00252120"/>
    <w:rsid w:val="00252F9E"/>
    <w:rsid w:val="002535FD"/>
    <w:rsid w:val="00261557"/>
    <w:rsid w:val="00262FD5"/>
    <w:rsid w:val="002642CB"/>
    <w:rsid w:val="00264D73"/>
    <w:rsid w:val="002655FD"/>
    <w:rsid w:val="00273EE1"/>
    <w:rsid w:val="00281B35"/>
    <w:rsid w:val="00282B18"/>
    <w:rsid w:val="002865BE"/>
    <w:rsid w:val="00286F65"/>
    <w:rsid w:val="00295A7F"/>
    <w:rsid w:val="00296DCF"/>
    <w:rsid w:val="002A0F0C"/>
    <w:rsid w:val="002A3E0B"/>
    <w:rsid w:val="002A3F6D"/>
    <w:rsid w:val="002A4449"/>
    <w:rsid w:val="002A6947"/>
    <w:rsid w:val="002B1973"/>
    <w:rsid w:val="002B2DA6"/>
    <w:rsid w:val="002B3285"/>
    <w:rsid w:val="002B5DB5"/>
    <w:rsid w:val="002B649E"/>
    <w:rsid w:val="002B6E89"/>
    <w:rsid w:val="002B7AE4"/>
    <w:rsid w:val="002B7F40"/>
    <w:rsid w:val="002C2203"/>
    <w:rsid w:val="002C3170"/>
    <w:rsid w:val="002C6A44"/>
    <w:rsid w:val="002D105F"/>
    <w:rsid w:val="002D178C"/>
    <w:rsid w:val="002D54CA"/>
    <w:rsid w:val="002D7ADC"/>
    <w:rsid w:val="002E2646"/>
    <w:rsid w:val="002E3FFA"/>
    <w:rsid w:val="002E4E53"/>
    <w:rsid w:val="002E562F"/>
    <w:rsid w:val="002F067A"/>
    <w:rsid w:val="0030039B"/>
    <w:rsid w:val="00301ABE"/>
    <w:rsid w:val="00302458"/>
    <w:rsid w:val="00302513"/>
    <w:rsid w:val="00302B6B"/>
    <w:rsid w:val="00307491"/>
    <w:rsid w:val="00307EB1"/>
    <w:rsid w:val="0031668D"/>
    <w:rsid w:val="0032596E"/>
    <w:rsid w:val="003260C2"/>
    <w:rsid w:val="00335EB1"/>
    <w:rsid w:val="00340787"/>
    <w:rsid w:val="003407BE"/>
    <w:rsid w:val="00343BA3"/>
    <w:rsid w:val="00350C9F"/>
    <w:rsid w:val="003621CF"/>
    <w:rsid w:val="00364B54"/>
    <w:rsid w:val="003656F8"/>
    <w:rsid w:val="00367B85"/>
    <w:rsid w:val="00370B7C"/>
    <w:rsid w:val="00381C55"/>
    <w:rsid w:val="00382850"/>
    <w:rsid w:val="00382FEC"/>
    <w:rsid w:val="003919C2"/>
    <w:rsid w:val="00391A8F"/>
    <w:rsid w:val="003937E4"/>
    <w:rsid w:val="0039387D"/>
    <w:rsid w:val="003A0547"/>
    <w:rsid w:val="003A402E"/>
    <w:rsid w:val="003A4808"/>
    <w:rsid w:val="003B1F97"/>
    <w:rsid w:val="003B3FD3"/>
    <w:rsid w:val="003B7024"/>
    <w:rsid w:val="003B7EE4"/>
    <w:rsid w:val="003C112E"/>
    <w:rsid w:val="003C1430"/>
    <w:rsid w:val="003C1DB6"/>
    <w:rsid w:val="003C1E96"/>
    <w:rsid w:val="003D3DD3"/>
    <w:rsid w:val="003D5287"/>
    <w:rsid w:val="003E7FE5"/>
    <w:rsid w:val="003F112D"/>
    <w:rsid w:val="003F3B91"/>
    <w:rsid w:val="003F44D6"/>
    <w:rsid w:val="003F588A"/>
    <w:rsid w:val="003F74FC"/>
    <w:rsid w:val="00404CF5"/>
    <w:rsid w:val="00411F58"/>
    <w:rsid w:val="004325D2"/>
    <w:rsid w:val="00432F7C"/>
    <w:rsid w:val="004359DE"/>
    <w:rsid w:val="004361F7"/>
    <w:rsid w:val="004431B4"/>
    <w:rsid w:val="00447588"/>
    <w:rsid w:val="0045384D"/>
    <w:rsid w:val="00454D04"/>
    <w:rsid w:val="00457816"/>
    <w:rsid w:val="00462D67"/>
    <w:rsid w:val="0046726F"/>
    <w:rsid w:val="0046751E"/>
    <w:rsid w:val="0047008A"/>
    <w:rsid w:val="004712F5"/>
    <w:rsid w:val="004720CD"/>
    <w:rsid w:val="004750DF"/>
    <w:rsid w:val="004766B2"/>
    <w:rsid w:val="00476E82"/>
    <w:rsid w:val="00490334"/>
    <w:rsid w:val="00495899"/>
    <w:rsid w:val="00497112"/>
    <w:rsid w:val="004A184D"/>
    <w:rsid w:val="004A4B27"/>
    <w:rsid w:val="004A608F"/>
    <w:rsid w:val="004A6B64"/>
    <w:rsid w:val="004B3CE8"/>
    <w:rsid w:val="004B519C"/>
    <w:rsid w:val="004B56C2"/>
    <w:rsid w:val="004B6187"/>
    <w:rsid w:val="004B62A5"/>
    <w:rsid w:val="004B6A0F"/>
    <w:rsid w:val="004C3FB2"/>
    <w:rsid w:val="004D0462"/>
    <w:rsid w:val="004D0976"/>
    <w:rsid w:val="004D0B0F"/>
    <w:rsid w:val="004D1587"/>
    <w:rsid w:val="004D1A65"/>
    <w:rsid w:val="004D2DFF"/>
    <w:rsid w:val="004D401C"/>
    <w:rsid w:val="004E0688"/>
    <w:rsid w:val="004F0974"/>
    <w:rsid w:val="004F7FE2"/>
    <w:rsid w:val="00505A1E"/>
    <w:rsid w:val="00507284"/>
    <w:rsid w:val="00510A04"/>
    <w:rsid w:val="005117BF"/>
    <w:rsid w:val="00516F41"/>
    <w:rsid w:val="005256DC"/>
    <w:rsid w:val="00536114"/>
    <w:rsid w:val="0054097D"/>
    <w:rsid w:val="0054393A"/>
    <w:rsid w:val="005448C6"/>
    <w:rsid w:val="00546393"/>
    <w:rsid w:val="005470C2"/>
    <w:rsid w:val="00550175"/>
    <w:rsid w:val="005537BB"/>
    <w:rsid w:val="00554484"/>
    <w:rsid w:val="005604CC"/>
    <w:rsid w:val="005605FF"/>
    <w:rsid w:val="0056121E"/>
    <w:rsid w:val="0056474C"/>
    <w:rsid w:val="0056609A"/>
    <w:rsid w:val="00566C89"/>
    <w:rsid w:val="00567BF9"/>
    <w:rsid w:val="00571131"/>
    <w:rsid w:val="00576E24"/>
    <w:rsid w:val="0058023B"/>
    <w:rsid w:val="00585983"/>
    <w:rsid w:val="0058794C"/>
    <w:rsid w:val="0059452C"/>
    <w:rsid w:val="00596E9E"/>
    <w:rsid w:val="00597DF5"/>
    <w:rsid w:val="005A4C1D"/>
    <w:rsid w:val="005A5260"/>
    <w:rsid w:val="005A5421"/>
    <w:rsid w:val="005A55C9"/>
    <w:rsid w:val="005B0571"/>
    <w:rsid w:val="005B1CB2"/>
    <w:rsid w:val="005B6106"/>
    <w:rsid w:val="005B6919"/>
    <w:rsid w:val="005C46AA"/>
    <w:rsid w:val="005C6945"/>
    <w:rsid w:val="005D2794"/>
    <w:rsid w:val="005D307E"/>
    <w:rsid w:val="005D3A5F"/>
    <w:rsid w:val="005D4D9F"/>
    <w:rsid w:val="005D6E87"/>
    <w:rsid w:val="005D6FD2"/>
    <w:rsid w:val="005E17BA"/>
    <w:rsid w:val="005E6ED9"/>
    <w:rsid w:val="005F054B"/>
    <w:rsid w:val="005F18E9"/>
    <w:rsid w:val="005F7283"/>
    <w:rsid w:val="00602DEA"/>
    <w:rsid w:val="00603C34"/>
    <w:rsid w:val="00604332"/>
    <w:rsid w:val="00605EB2"/>
    <w:rsid w:val="00610E6C"/>
    <w:rsid w:val="0061599A"/>
    <w:rsid w:val="00616426"/>
    <w:rsid w:val="00621F94"/>
    <w:rsid w:val="0062283C"/>
    <w:rsid w:val="00623057"/>
    <w:rsid w:val="00624573"/>
    <w:rsid w:val="00625A0C"/>
    <w:rsid w:val="0062681B"/>
    <w:rsid w:val="00630742"/>
    <w:rsid w:val="00632727"/>
    <w:rsid w:val="00642C79"/>
    <w:rsid w:val="006467CF"/>
    <w:rsid w:val="00647564"/>
    <w:rsid w:val="00650CF4"/>
    <w:rsid w:val="0066426F"/>
    <w:rsid w:val="00666407"/>
    <w:rsid w:val="00666C1A"/>
    <w:rsid w:val="00680AB9"/>
    <w:rsid w:val="00681E51"/>
    <w:rsid w:val="006822F1"/>
    <w:rsid w:val="00682A91"/>
    <w:rsid w:val="006831E5"/>
    <w:rsid w:val="0068447F"/>
    <w:rsid w:val="00684C5A"/>
    <w:rsid w:val="006951C0"/>
    <w:rsid w:val="0069697D"/>
    <w:rsid w:val="00697546"/>
    <w:rsid w:val="006A0365"/>
    <w:rsid w:val="006A2094"/>
    <w:rsid w:val="006A53EE"/>
    <w:rsid w:val="006B3A0C"/>
    <w:rsid w:val="006C216B"/>
    <w:rsid w:val="006C249F"/>
    <w:rsid w:val="006E73B2"/>
    <w:rsid w:val="006F3DFF"/>
    <w:rsid w:val="006F50F5"/>
    <w:rsid w:val="006F5A5D"/>
    <w:rsid w:val="006F72DD"/>
    <w:rsid w:val="006F775E"/>
    <w:rsid w:val="006F7F9D"/>
    <w:rsid w:val="00701E82"/>
    <w:rsid w:val="00702ED3"/>
    <w:rsid w:val="00703EC5"/>
    <w:rsid w:val="0070411B"/>
    <w:rsid w:val="00707997"/>
    <w:rsid w:val="00710342"/>
    <w:rsid w:val="007134F7"/>
    <w:rsid w:val="00715D6D"/>
    <w:rsid w:val="00730E29"/>
    <w:rsid w:val="00732A12"/>
    <w:rsid w:val="00732DDE"/>
    <w:rsid w:val="00735D20"/>
    <w:rsid w:val="00741CCA"/>
    <w:rsid w:val="00746278"/>
    <w:rsid w:val="00746F9C"/>
    <w:rsid w:val="00747083"/>
    <w:rsid w:val="0074724D"/>
    <w:rsid w:val="007475F3"/>
    <w:rsid w:val="00747866"/>
    <w:rsid w:val="007538D8"/>
    <w:rsid w:val="0075772B"/>
    <w:rsid w:val="00763011"/>
    <w:rsid w:val="00770B8C"/>
    <w:rsid w:val="0077135F"/>
    <w:rsid w:val="00774772"/>
    <w:rsid w:val="00780DA9"/>
    <w:rsid w:val="00784C0F"/>
    <w:rsid w:val="0078719E"/>
    <w:rsid w:val="00790395"/>
    <w:rsid w:val="0079064E"/>
    <w:rsid w:val="00791A94"/>
    <w:rsid w:val="007A5B04"/>
    <w:rsid w:val="007A7E7F"/>
    <w:rsid w:val="007B1766"/>
    <w:rsid w:val="007B1A0F"/>
    <w:rsid w:val="007B5AD7"/>
    <w:rsid w:val="007B683B"/>
    <w:rsid w:val="007C07A1"/>
    <w:rsid w:val="007C0A97"/>
    <w:rsid w:val="007C2932"/>
    <w:rsid w:val="007C32E0"/>
    <w:rsid w:val="007C46FA"/>
    <w:rsid w:val="007C4F52"/>
    <w:rsid w:val="007D4BAA"/>
    <w:rsid w:val="007E0584"/>
    <w:rsid w:val="007E1645"/>
    <w:rsid w:val="007E21D7"/>
    <w:rsid w:val="007E319A"/>
    <w:rsid w:val="007E504A"/>
    <w:rsid w:val="007F001D"/>
    <w:rsid w:val="007F6134"/>
    <w:rsid w:val="008019D3"/>
    <w:rsid w:val="008020C3"/>
    <w:rsid w:val="008028DC"/>
    <w:rsid w:val="008037A5"/>
    <w:rsid w:val="00804773"/>
    <w:rsid w:val="00807B0D"/>
    <w:rsid w:val="0081286F"/>
    <w:rsid w:val="00815289"/>
    <w:rsid w:val="0081783B"/>
    <w:rsid w:val="00820B86"/>
    <w:rsid w:val="00826216"/>
    <w:rsid w:val="0083034D"/>
    <w:rsid w:val="008329B5"/>
    <w:rsid w:val="00833898"/>
    <w:rsid w:val="00841295"/>
    <w:rsid w:val="00841510"/>
    <w:rsid w:val="00842E91"/>
    <w:rsid w:val="0084693C"/>
    <w:rsid w:val="00850E14"/>
    <w:rsid w:val="00853566"/>
    <w:rsid w:val="0085629D"/>
    <w:rsid w:val="008626E5"/>
    <w:rsid w:val="00862FFE"/>
    <w:rsid w:val="00864865"/>
    <w:rsid w:val="00864B23"/>
    <w:rsid w:val="00864B7C"/>
    <w:rsid w:val="008663C1"/>
    <w:rsid w:val="008674DF"/>
    <w:rsid w:val="008675B2"/>
    <w:rsid w:val="008714F0"/>
    <w:rsid w:val="008738E8"/>
    <w:rsid w:val="00877512"/>
    <w:rsid w:val="00880635"/>
    <w:rsid w:val="00880AB3"/>
    <w:rsid w:val="00887805"/>
    <w:rsid w:val="008917BC"/>
    <w:rsid w:val="00896D62"/>
    <w:rsid w:val="008B10EC"/>
    <w:rsid w:val="008B2965"/>
    <w:rsid w:val="008B706D"/>
    <w:rsid w:val="008C24D4"/>
    <w:rsid w:val="008C51B4"/>
    <w:rsid w:val="008D0A04"/>
    <w:rsid w:val="008D1406"/>
    <w:rsid w:val="008D34FA"/>
    <w:rsid w:val="008D50F2"/>
    <w:rsid w:val="008E09B2"/>
    <w:rsid w:val="008E13DE"/>
    <w:rsid w:val="008F0B80"/>
    <w:rsid w:val="008F28BA"/>
    <w:rsid w:val="008F3B83"/>
    <w:rsid w:val="008F49AF"/>
    <w:rsid w:val="008F5F33"/>
    <w:rsid w:val="008F645B"/>
    <w:rsid w:val="008F67DD"/>
    <w:rsid w:val="008F6DE2"/>
    <w:rsid w:val="008F7CE0"/>
    <w:rsid w:val="00900F3B"/>
    <w:rsid w:val="00904EAB"/>
    <w:rsid w:val="00917E0F"/>
    <w:rsid w:val="009204F6"/>
    <w:rsid w:val="009248D7"/>
    <w:rsid w:val="00925F9F"/>
    <w:rsid w:val="009379BD"/>
    <w:rsid w:val="00937F8C"/>
    <w:rsid w:val="009416B1"/>
    <w:rsid w:val="009423B6"/>
    <w:rsid w:val="00943E11"/>
    <w:rsid w:val="009465C6"/>
    <w:rsid w:val="00950781"/>
    <w:rsid w:val="0097581F"/>
    <w:rsid w:val="009803CB"/>
    <w:rsid w:val="00983AF7"/>
    <w:rsid w:val="009878A7"/>
    <w:rsid w:val="00990F26"/>
    <w:rsid w:val="009919D4"/>
    <w:rsid w:val="00991E57"/>
    <w:rsid w:val="009949D6"/>
    <w:rsid w:val="00996E87"/>
    <w:rsid w:val="00997049"/>
    <w:rsid w:val="009A0BFE"/>
    <w:rsid w:val="009A335D"/>
    <w:rsid w:val="009B018C"/>
    <w:rsid w:val="009B19B9"/>
    <w:rsid w:val="009B1DF5"/>
    <w:rsid w:val="009B286E"/>
    <w:rsid w:val="009B3501"/>
    <w:rsid w:val="009B70B5"/>
    <w:rsid w:val="009C27CD"/>
    <w:rsid w:val="009C2D1E"/>
    <w:rsid w:val="009C5958"/>
    <w:rsid w:val="009C59BE"/>
    <w:rsid w:val="009C7B03"/>
    <w:rsid w:val="009C7CD7"/>
    <w:rsid w:val="009D03AD"/>
    <w:rsid w:val="009D305D"/>
    <w:rsid w:val="009D73B1"/>
    <w:rsid w:val="009E202C"/>
    <w:rsid w:val="009E7CD9"/>
    <w:rsid w:val="009F0DCF"/>
    <w:rsid w:val="009F36B3"/>
    <w:rsid w:val="009F4D1C"/>
    <w:rsid w:val="009F5689"/>
    <w:rsid w:val="00A01B3E"/>
    <w:rsid w:val="00A04FAA"/>
    <w:rsid w:val="00A0653F"/>
    <w:rsid w:val="00A06F4F"/>
    <w:rsid w:val="00A163E3"/>
    <w:rsid w:val="00A17C83"/>
    <w:rsid w:val="00A20D27"/>
    <w:rsid w:val="00A2622C"/>
    <w:rsid w:val="00A27456"/>
    <w:rsid w:val="00A2749B"/>
    <w:rsid w:val="00A3161E"/>
    <w:rsid w:val="00A31683"/>
    <w:rsid w:val="00A31F54"/>
    <w:rsid w:val="00A3293C"/>
    <w:rsid w:val="00A32A51"/>
    <w:rsid w:val="00A40927"/>
    <w:rsid w:val="00A440CA"/>
    <w:rsid w:val="00A47030"/>
    <w:rsid w:val="00A47111"/>
    <w:rsid w:val="00A50C67"/>
    <w:rsid w:val="00A530E8"/>
    <w:rsid w:val="00A54F9A"/>
    <w:rsid w:val="00A553C4"/>
    <w:rsid w:val="00A5674D"/>
    <w:rsid w:val="00A60D92"/>
    <w:rsid w:val="00A619D8"/>
    <w:rsid w:val="00A64451"/>
    <w:rsid w:val="00A6711A"/>
    <w:rsid w:val="00A72C5F"/>
    <w:rsid w:val="00A775E7"/>
    <w:rsid w:val="00A81BE7"/>
    <w:rsid w:val="00A84399"/>
    <w:rsid w:val="00A875B7"/>
    <w:rsid w:val="00A919D0"/>
    <w:rsid w:val="00A9774E"/>
    <w:rsid w:val="00AA0408"/>
    <w:rsid w:val="00AA1766"/>
    <w:rsid w:val="00AA1886"/>
    <w:rsid w:val="00AA29DC"/>
    <w:rsid w:val="00AA3572"/>
    <w:rsid w:val="00AB1EBF"/>
    <w:rsid w:val="00AB27F4"/>
    <w:rsid w:val="00AB33FA"/>
    <w:rsid w:val="00AB5E76"/>
    <w:rsid w:val="00AB6EB4"/>
    <w:rsid w:val="00AC320F"/>
    <w:rsid w:val="00AC41D3"/>
    <w:rsid w:val="00AD01C0"/>
    <w:rsid w:val="00AD227B"/>
    <w:rsid w:val="00AD655A"/>
    <w:rsid w:val="00AD6CA4"/>
    <w:rsid w:val="00AE1754"/>
    <w:rsid w:val="00AE1A5A"/>
    <w:rsid w:val="00AE576A"/>
    <w:rsid w:val="00AE6E93"/>
    <w:rsid w:val="00AF016A"/>
    <w:rsid w:val="00AF03F4"/>
    <w:rsid w:val="00AF15B3"/>
    <w:rsid w:val="00AF37BB"/>
    <w:rsid w:val="00AF7DD0"/>
    <w:rsid w:val="00B034B9"/>
    <w:rsid w:val="00B04709"/>
    <w:rsid w:val="00B04D99"/>
    <w:rsid w:val="00B10728"/>
    <w:rsid w:val="00B159FA"/>
    <w:rsid w:val="00B15E2D"/>
    <w:rsid w:val="00B17B0F"/>
    <w:rsid w:val="00B20B17"/>
    <w:rsid w:val="00B20FC0"/>
    <w:rsid w:val="00B214FC"/>
    <w:rsid w:val="00B27DBA"/>
    <w:rsid w:val="00B36C71"/>
    <w:rsid w:val="00B3744C"/>
    <w:rsid w:val="00B374FC"/>
    <w:rsid w:val="00B37739"/>
    <w:rsid w:val="00B41C84"/>
    <w:rsid w:val="00B42076"/>
    <w:rsid w:val="00B44175"/>
    <w:rsid w:val="00B474BC"/>
    <w:rsid w:val="00B50410"/>
    <w:rsid w:val="00B54B5B"/>
    <w:rsid w:val="00B57A44"/>
    <w:rsid w:val="00B61840"/>
    <w:rsid w:val="00B679B0"/>
    <w:rsid w:val="00B80A38"/>
    <w:rsid w:val="00B81040"/>
    <w:rsid w:val="00B840E8"/>
    <w:rsid w:val="00B84EA2"/>
    <w:rsid w:val="00B961A7"/>
    <w:rsid w:val="00B9686F"/>
    <w:rsid w:val="00BA4E80"/>
    <w:rsid w:val="00BA6898"/>
    <w:rsid w:val="00BA7E12"/>
    <w:rsid w:val="00BB30AB"/>
    <w:rsid w:val="00BB6D23"/>
    <w:rsid w:val="00BB74C8"/>
    <w:rsid w:val="00BC03FE"/>
    <w:rsid w:val="00BC0EE0"/>
    <w:rsid w:val="00BC1D0C"/>
    <w:rsid w:val="00BC31C6"/>
    <w:rsid w:val="00BD11B8"/>
    <w:rsid w:val="00BD46AF"/>
    <w:rsid w:val="00BD5BED"/>
    <w:rsid w:val="00BD61E3"/>
    <w:rsid w:val="00BE1FB9"/>
    <w:rsid w:val="00BF01D5"/>
    <w:rsid w:val="00BF07C0"/>
    <w:rsid w:val="00BF70A9"/>
    <w:rsid w:val="00BF724D"/>
    <w:rsid w:val="00C012C9"/>
    <w:rsid w:val="00C119B8"/>
    <w:rsid w:val="00C14854"/>
    <w:rsid w:val="00C1650E"/>
    <w:rsid w:val="00C1666F"/>
    <w:rsid w:val="00C171A8"/>
    <w:rsid w:val="00C17CE6"/>
    <w:rsid w:val="00C2432A"/>
    <w:rsid w:val="00C24DB8"/>
    <w:rsid w:val="00C26867"/>
    <w:rsid w:val="00C32931"/>
    <w:rsid w:val="00C330B3"/>
    <w:rsid w:val="00C35474"/>
    <w:rsid w:val="00C360A2"/>
    <w:rsid w:val="00C369EA"/>
    <w:rsid w:val="00C379E4"/>
    <w:rsid w:val="00C42B32"/>
    <w:rsid w:val="00C4349A"/>
    <w:rsid w:val="00C43B3D"/>
    <w:rsid w:val="00C44EFD"/>
    <w:rsid w:val="00C51B67"/>
    <w:rsid w:val="00C536A0"/>
    <w:rsid w:val="00C606B2"/>
    <w:rsid w:val="00C651B9"/>
    <w:rsid w:val="00C670A2"/>
    <w:rsid w:val="00C67752"/>
    <w:rsid w:val="00C72E36"/>
    <w:rsid w:val="00C84931"/>
    <w:rsid w:val="00C926A5"/>
    <w:rsid w:val="00C95BB4"/>
    <w:rsid w:val="00CA0155"/>
    <w:rsid w:val="00CA2145"/>
    <w:rsid w:val="00CA32EE"/>
    <w:rsid w:val="00CA46FA"/>
    <w:rsid w:val="00CA73FB"/>
    <w:rsid w:val="00CB1F6A"/>
    <w:rsid w:val="00CB1F90"/>
    <w:rsid w:val="00CB3D1F"/>
    <w:rsid w:val="00CB45D7"/>
    <w:rsid w:val="00CB5A00"/>
    <w:rsid w:val="00CB5BBA"/>
    <w:rsid w:val="00CC291B"/>
    <w:rsid w:val="00CC52BA"/>
    <w:rsid w:val="00CC6B63"/>
    <w:rsid w:val="00CC7A76"/>
    <w:rsid w:val="00CC7BAA"/>
    <w:rsid w:val="00CD62DC"/>
    <w:rsid w:val="00CD7FF8"/>
    <w:rsid w:val="00CE5D51"/>
    <w:rsid w:val="00CF38E0"/>
    <w:rsid w:val="00CF6F7E"/>
    <w:rsid w:val="00CF7807"/>
    <w:rsid w:val="00D00192"/>
    <w:rsid w:val="00D02F43"/>
    <w:rsid w:val="00D04327"/>
    <w:rsid w:val="00D07B4A"/>
    <w:rsid w:val="00D10DCB"/>
    <w:rsid w:val="00D23D9C"/>
    <w:rsid w:val="00D2462F"/>
    <w:rsid w:val="00D374C8"/>
    <w:rsid w:val="00D37C19"/>
    <w:rsid w:val="00D439A8"/>
    <w:rsid w:val="00D45F59"/>
    <w:rsid w:val="00D47081"/>
    <w:rsid w:val="00D51CA7"/>
    <w:rsid w:val="00D530CA"/>
    <w:rsid w:val="00D549F3"/>
    <w:rsid w:val="00D57034"/>
    <w:rsid w:val="00D61679"/>
    <w:rsid w:val="00D61FD7"/>
    <w:rsid w:val="00D62A7D"/>
    <w:rsid w:val="00D6409E"/>
    <w:rsid w:val="00D6440F"/>
    <w:rsid w:val="00D64DEE"/>
    <w:rsid w:val="00D6583C"/>
    <w:rsid w:val="00D674F1"/>
    <w:rsid w:val="00D678D1"/>
    <w:rsid w:val="00D8254B"/>
    <w:rsid w:val="00D90A55"/>
    <w:rsid w:val="00D932FA"/>
    <w:rsid w:val="00D946BD"/>
    <w:rsid w:val="00DA3C96"/>
    <w:rsid w:val="00DA404A"/>
    <w:rsid w:val="00DA64DB"/>
    <w:rsid w:val="00DB0DF8"/>
    <w:rsid w:val="00DB0E6A"/>
    <w:rsid w:val="00DB5475"/>
    <w:rsid w:val="00DB745D"/>
    <w:rsid w:val="00DC6365"/>
    <w:rsid w:val="00DD559F"/>
    <w:rsid w:val="00DF0D01"/>
    <w:rsid w:val="00DF3C14"/>
    <w:rsid w:val="00E01B3D"/>
    <w:rsid w:val="00E02495"/>
    <w:rsid w:val="00E034D4"/>
    <w:rsid w:val="00E04B40"/>
    <w:rsid w:val="00E05008"/>
    <w:rsid w:val="00E07E6B"/>
    <w:rsid w:val="00E11CAB"/>
    <w:rsid w:val="00E1280A"/>
    <w:rsid w:val="00E13222"/>
    <w:rsid w:val="00E21922"/>
    <w:rsid w:val="00E34B66"/>
    <w:rsid w:val="00E378CB"/>
    <w:rsid w:val="00E41A4B"/>
    <w:rsid w:val="00E42714"/>
    <w:rsid w:val="00E462D7"/>
    <w:rsid w:val="00E50379"/>
    <w:rsid w:val="00E50D42"/>
    <w:rsid w:val="00E53625"/>
    <w:rsid w:val="00E55625"/>
    <w:rsid w:val="00E6077B"/>
    <w:rsid w:val="00E64AE1"/>
    <w:rsid w:val="00E73F6A"/>
    <w:rsid w:val="00E74F03"/>
    <w:rsid w:val="00E76D60"/>
    <w:rsid w:val="00E76E3D"/>
    <w:rsid w:val="00E8359B"/>
    <w:rsid w:val="00E86E73"/>
    <w:rsid w:val="00E9104B"/>
    <w:rsid w:val="00E95C5F"/>
    <w:rsid w:val="00EA2DC3"/>
    <w:rsid w:val="00EA4335"/>
    <w:rsid w:val="00EA521E"/>
    <w:rsid w:val="00EA5736"/>
    <w:rsid w:val="00EB41BF"/>
    <w:rsid w:val="00EB59D4"/>
    <w:rsid w:val="00EC22F6"/>
    <w:rsid w:val="00EC4D78"/>
    <w:rsid w:val="00EC5746"/>
    <w:rsid w:val="00EC7D2D"/>
    <w:rsid w:val="00ED1B43"/>
    <w:rsid w:val="00ED2E32"/>
    <w:rsid w:val="00ED2EA3"/>
    <w:rsid w:val="00ED4313"/>
    <w:rsid w:val="00EE24C8"/>
    <w:rsid w:val="00EE47D5"/>
    <w:rsid w:val="00EE553A"/>
    <w:rsid w:val="00EF2D99"/>
    <w:rsid w:val="00EF2E59"/>
    <w:rsid w:val="00EF457E"/>
    <w:rsid w:val="00EF641F"/>
    <w:rsid w:val="00EF6F01"/>
    <w:rsid w:val="00F00952"/>
    <w:rsid w:val="00F01EC8"/>
    <w:rsid w:val="00F04EAA"/>
    <w:rsid w:val="00F31EE6"/>
    <w:rsid w:val="00F32D40"/>
    <w:rsid w:val="00F36DE7"/>
    <w:rsid w:val="00F3742F"/>
    <w:rsid w:val="00F45D6E"/>
    <w:rsid w:val="00F464CA"/>
    <w:rsid w:val="00F4750C"/>
    <w:rsid w:val="00F52883"/>
    <w:rsid w:val="00F5298F"/>
    <w:rsid w:val="00F53914"/>
    <w:rsid w:val="00F620FB"/>
    <w:rsid w:val="00F626F5"/>
    <w:rsid w:val="00F64FF2"/>
    <w:rsid w:val="00F70C90"/>
    <w:rsid w:val="00F740F6"/>
    <w:rsid w:val="00F74897"/>
    <w:rsid w:val="00F761C7"/>
    <w:rsid w:val="00F8043A"/>
    <w:rsid w:val="00F82052"/>
    <w:rsid w:val="00F8539D"/>
    <w:rsid w:val="00F87A12"/>
    <w:rsid w:val="00F9181F"/>
    <w:rsid w:val="00F91E59"/>
    <w:rsid w:val="00F92504"/>
    <w:rsid w:val="00F967E9"/>
    <w:rsid w:val="00F97E8E"/>
    <w:rsid w:val="00FA0326"/>
    <w:rsid w:val="00FA5903"/>
    <w:rsid w:val="00FB0CB3"/>
    <w:rsid w:val="00FB382A"/>
    <w:rsid w:val="00FB614F"/>
    <w:rsid w:val="00FC1350"/>
    <w:rsid w:val="00FC18A6"/>
    <w:rsid w:val="00FC2657"/>
    <w:rsid w:val="00FC31B6"/>
    <w:rsid w:val="00FC428B"/>
    <w:rsid w:val="00FC566C"/>
    <w:rsid w:val="00FC5AB3"/>
    <w:rsid w:val="00FD2925"/>
    <w:rsid w:val="00FE20A7"/>
    <w:rsid w:val="00FE2A95"/>
    <w:rsid w:val="00FE719D"/>
    <w:rsid w:val="00FF4E23"/>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C5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A04"/>
    <w:rPr>
      <w:sz w:val="24"/>
      <w:szCs w:val="24"/>
    </w:rPr>
  </w:style>
  <w:style w:type="paragraph" w:styleId="Heading1">
    <w:name w:val="heading 1"/>
    <w:basedOn w:val="Normal"/>
    <w:next w:val="Normal"/>
    <w:link w:val="Heading1Char"/>
    <w:uiPriority w:val="9"/>
    <w:qFormat/>
    <w:rsid w:val="002306FE"/>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rsid w:val="00295A7F"/>
    <w:pPr>
      <w:tabs>
        <w:tab w:val="center" w:pos="4680"/>
        <w:tab w:val="right" w:pos="9360"/>
      </w:tabs>
    </w:pPr>
  </w:style>
  <w:style w:type="character" w:customStyle="1" w:styleId="HeaderChar">
    <w:name w:val="Header Char"/>
    <w:aliases w:val="encabezado Char"/>
    <w:link w:val="Header"/>
    <w:uiPriority w:val="99"/>
    <w:rsid w:val="00295A7F"/>
    <w:rPr>
      <w:sz w:val="24"/>
      <w:szCs w:val="24"/>
    </w:rPr>
  </w:style>
  <w:style w:type="paragraph" w:styleId="Footer">
    <w:name w:val="footer"/>
    <w:basedOn w:val="Normal"/>
    <w:link w:val="FooterChar"/>
    <w:rsid w:val="00295A7F"/>
    <w:pPr>
      <w:tabs>
        <w:tab w:val="center" w:pos="4680"/>
        <w:tab w:val="right" w:pos="9360"/>
      </w:tabs>
    </w:pPr>
  </w:style>
  <w:style w:type="character" w:customStyle="1" w:styleId="FooterChar">
    <w:name w:val="Footer Char"/>
    <w:link w:val="Footer"/>
    <w:rsid w:val="00295A7F"/>
    <w:rPr>
      <w:sz w:val="24"/>
      <w:szCs w:val="24"/>
    </w:rPr>
  </w:style>
  <w:style w:type="character" w:styleId="PageNumber">
    <w:name w:val="page number"/>
    <w:rsid w:val="00295A7F"/>
  </w:style>
  <w:style w:type="paragraph" w:styleId="ListParagraph">
    <w:name w:val="List Paragraph"/>
    <w:basedOn w:val="Normal"/>
    <w:uiPriority w:val="34"/>
    <w:qFormat/>
    <w:rsid w:val="006F775E"/>
    <w:pPr>
      <w:ind w:left="720"/>
    </w:pPr>
  </w:style>
  <w:style w:type="character" w:styleId="Hyperlink">
    <w:name w:val="Hyperlink"/>
    <w:rsid w:val="007A5B04"/>
    <w:rPr>
      <w:color w:val="0000FF"/>
      <w:u w:val="single"/>
    </w:rPr>
  </w:style>
  <w:style w:type="character" w:styleId="CommentReference">
    <w:name w:val="annotation reference"/>
    <w:rsid w:val="00710342"/>
    <w:rPr>
      <w:sz w:val="16"/>
      <w:szCs w:val="16"/>
    </w:rPr>
  </w:style>
  <w:style w:type="paragraph" w:styleId="CommentText">
    <w:name w:val="annotation text"/>
    <w:basedOn w:val="Normal"/>
    <w:link w:val="CommentTextChar"/>
    <w:rsid w:val="00710342"/>
    <w:rPr>
      <w:sz w:val="20"/>
      <w:szCs w:val="20"/>
    </w:rPr>
  </w:style>
  <w:style w:type="character" w:customStyle="1" w:styleId="CommentTextChar">
    <w:name w:val="Comment Text Char"/>
    <w:basedOn w:val="DefaultParagraphFont"/>
    <w:link w:val="CommentText"/>
    <w:rsid w:val="00710342"/>
  </w:style>
  <w:style w:type="paragraph" w:styleId="CommentSubject">
    <w:name w:val="annotation subject"/>
    <w:basedOn w:val="CommentText"/>
    <w:next w:val="CommentText"/>
    <w:link w:val="CommentSubjectChar"/>
    <w:rsid w:val="00710342"/>
    <w:rPr>
      <w:b/>
      <w:bCs/>
    </w:rPr>
  </w:style>
  <w:style w:type="character" w:customStyle="1" w:styleId="CommentSubjectChar">
    <w:name w:val="Comment Subject Char"/>
    <w:link w:val="CommentSubject"/>
    <w:rsid w:val="00710342"/>
    <w:rPr>
      <w:b/>
      <w:bCs/>
    </w:rPr>
  </w:style>
  <w:style w:type="paragraph" w:styleId="BalloonText">
    <w:name w:val="Balloon Text"/>
    <w:basedOn w:val="Normal"/>
    <w:link w:val="BalloonTextChar"/>
    <w:rsid w:val="00710342"/>
    <w:rPr>
      <w:rFonts w:ascii="Tahoma" w:hAnsi="Tahoma" w:cs="Tahoma"/>
      <w:sz w:val="16"/>
      <w:szCs w:val="16"/>
    </w:rPr>
  </w:style>
  <w:style w:type="character" w:customStyle="1" w:styleId="BalloonTextChar">
    <w:name w:val="Balloon Text Char"/>
    <w:link w:val="BalloonText"/>
    <w:rsid w:val="00710342"/>
    <w:rPr>
      <w:rFonts w:ascii="Tahoma" w:hAnsi="Tahoma" w:cs="Tahoma"/>
      <w:sz w:val="16"/>
      <w:szCs w:val="16"/>
    </w:rPr>
  </w:style>
  <w:style w:type="character" w:styleId="FollowedHyperlink">
    <w:name w:val="FollowedHyperlink"/>
    <w:rsid w:val="00EE553A"/>
    <w:rPr>
      <w:color w:val="800080"/>
      <w:u w:val="single"/>
    </w:rPr>
  </w:style>
  <w:style w:type="table" w:styleId="TableGrid">
    <w:name w:val="Table Grid"/>
    <w:basedOn w:val="TableNormal"/>
    <w:rsid w:val="003B1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w:basedOn w:val="Normal"/>
    <w:link w:val="FootnoteTextChar"/>
    <w:uiPriority w:val="99"/>
    <w:rsid w:val="00C43B3D"/>
    <w:pPr>
      <w:tabs>
        <w:tab w:val="left" w:pos="360"/>
      </w:tabs>
      <w:ind w:left="360" w:hanging="360"/>
      <w:jc w:val="both"/>
    </w:pPr>
    <w:rPr>
      <w:rFonts w:ascii="CG Times" w:eastAsia="MS Mincho" w:hAnsi="CG Times"/>
      <w:sz w:val="18"/>
      <w:szCs w:val="20"/>
      <w:lang w:val="es-CO" w:eastAsia="es-ES_tradnl"/>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rsid w:val="00C43B3D"/>
    <w:rPr>
      <w:rFonts w:ascii="CG Times" w:eastAsia="MS Mincho" w:hAnsi="CG Times"/>
      <w:sz w:val="18"/>
      <w:lang w:val="es-CO" w:eastAsia="es-ES_tradnl"/>
    </w:rPr>
  </w:style>
  <w:style w:type="character" w:styleId="FootnoteReference">
    <w:name w:val="footnote reference"/>
    <w:uiPriority w:val="99"/>
    <w:rsid w:val="00C43B3D"/>
    <w:rPr>
      <w:rFonts w:cs="Times New Roman"/>
      <w:color w:val="auto"/>
      <w:vertAlign w:val="baseline"/>
    </w:rPr>
  </w:style>
  <w:style w:type="paragraph" w:styleId="NoSpacing">
    <w:name w:val="No Spacing"/>
    <w:uiPriority w:val="1"/>
    <w:qFormat/>
    <w:rsid w:val="00070592"/>
    <w:rPr>
      <w:rFonts w:ascii="Calibri" w:eastAsia="Calibri" w:hAnsi="Calibri"/>
      <w:sz w:val="22"/>
      <w:szCs w:val="22"/>
      <w:lang w:val="es-ES"/>
    </w:rPr>
  </w:style>
  <w:style w:type="paragraph" w:customStyle="1" w:styleId="Default">
    <w:name w:val="Default"/>
    <w:rsid w:val="00084323"/>
    <w:pPr>
      <w:widowControl w:val="0"/>
      <w:autoSpaceDE w:val="0"/>
      <w:autoSpaceDN w:val="0"/>
      <w:adjustRightInd w:val="0"/>
    </w:pPr>
    <w:rPr>
      <w:rFonts w:ascii="Arial" w:hAnsi="Arial" w:cs="Arial"/>
      <w:color w:val="000000"/>
      <w:sz w:val="24"/>
      <w:szCs w:val="24"/>
      <w:lang w:val="es-ES"/>
    </w:rPr>
  </w:style>
  <w:style w:type="paragraph" w:styleId="NormalWeb">
    <w:name w:val="Normal (Web)"/>
    <w:basedOn w:val="Normal"/>
    <w:uiPriority w:val="99"/>
    <w:unhideWhenUsed/>
    <w:rsid w:val="000A20E1"/>
    <w:pPr>
      <w:spacing w:before="100" w:beforeAutospacing="1" w:after="100" w:afterAutospacing="1"/>
    </w:pPr>
    <w:rPr>
      <w:rFonts w:eastAsia="Calibri"/>
    </w:rPr>
  </w:style>
  <w:style w:type="character" w:customStyle="1" w:styleId="Heading1Char">
    <w:name w:val="Heading 1 Char"/>
    <w:link w:val="Heading1"/>
    <w:rsid w:val="002306FE"/>
    <w:rPr>
      <w:rFonts w:ascii="Cambria" w:hAnsi="Cambria"/>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A04"/>
    <w:rPr>
      <w:sz w:val="24"/>
      <w:szCs w:val="24"/>
    </w:rPr>
  </w:style>
  <w:style w:type="paragraph" w:styleId="Heading1">
    <w:name w:val="heading 1"/>
    <w:basedOn w:val="Normal"/>
    <w:next w:val="Normal"/>
    <w:link w:val="Heading1Char"/>
    <w:uiPriority w:val="9"/>
    <w:qFormat/>
    <w:rsid w:val="002306FE"/>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rsid w:val="00295A7F"/>
    <w:pPr>
      <w:tabs>
        <w:tab w:val="center" w:pos="4680"/>
        <w:tab w:val="right" w:pos="9360"/>
      </w:tabs>
    </w:pPr>
  </w:style>
  <w:style w:type="character" w:customStyle="1" w:styleId="HeaderChar">
    <w:name w:val="Header Char"/>
    <w:aliases w:val="encabezado Char"/>
    <w:link w:val="Header"/>
    <w:uiPriority w:val="99"/>
    <w:rsid w:val="00295A7F"/>
    <w:rPr>
      <w:sz w:val="24"/>
      <w:szCs w:val="24"/>
    </w:rPr>
  </w:style>
  <w:style w:type="paragraph" w:styleId="Footer">
    <w:name w:val="footer"/>
    <w:basedOn w:val="Normal"/>
    <w:link w:val="FooterChar"/>
    <w:rsid w:val="00295A7F"/>
    <w:pPr>
      <w:tabs>
        <w:tab w:val="center" w:pos="4680"/>
        <w:tab w:val="right" w:pos="9360"/>
      </w:tabs>
    </w:pPr>
  </w:style>
  <w:style w:type="character" w:customStyle="1" w:styleId="FooterChar">
    <w:name w:val="Footer Char"/>
    <w:link w:val="Footer"/>
    <w:rsid w:val="00295A7F"/>
    <w:rPr>
      <w:sz w:val="24"/>
      <w:szCs w:val="24"/>
    </w:rPr>
  </w:style>
  <w:style w:type="character" w:styleId="PageNumber">
    <w:name w:val="page number"/>
    <w:rsid w:val="00295A7F"/>
  </w:style>
  <w:style w:type="paragraph" w:styleId="ListParagraph">
    <w:name w:val="List Paragraph"/>
    <w:basedOn w:val="Normal"/>
    <w:uiPriority w:val="34"/>
    <w:qFormat/>
    <w:rsid w:val="006F775E"/>
    <w:pPr>
      <w:ind w:left="720"/>
    </w:pPr>
  </w:style>
  <w:style w:type="character" w:styleId="Hyperlink">
    <w:name w:val="Hyperlink"/>
    <w:rsid w:val="007A5B04"/>
    <w:rPr>
      <w:color w:val="0000FF"/>
      <w:u w:val="single"/>
    </w:rPr>
  </w:style>
  <w:style w:type="character" w:styleId="CommentReference">
    <w:name w:val="annotation reference"/>
    <w:rsid w:val="00710342"/>
    <w:rPr>
      <w:sz w:val="16"/>
      <w:szCs w:val="16"/>
    </w:rPr>
  </w:style>
  <w:style w:type="paragraph" w:styleId="CommentText">
    <w:name w:val="annotation text"/>
    <w:basedOn w:val="Normal"/>
    <w:link w:val="CommentTextChar"/>
    <w:rsid w:val="00710342"/>
    <w:rPr>
      <w:sz w:val="20"/>
      <w:szCs w:val="20"/>
    </w:rPr>
  </w:style>
  <w:style w:type="character" w:customStyle="1" w:styleId="CommentTextChar">
    <w:name w:val="Comment Text Char"/>
    <w:basedOn w:val="DefaultParagraphFont"/>
    <w:link w:val="CommentText"/>
    <w:rsid w:val="00710342"/>
  </w:style>
  <w:style w:type="paragraph" w:styleId="CommentSubject">
    <w:name w:val="annotation subject"/>
    <w:basedOn w:val="CommentText"/>
    <w:next w:val="CommentText"/>
    <w:link w:val="CommentSubjectChar"/>
    <w:rsid w:val="00710342"/>
    <w:rPr>
      <w:b/>
      <w:bCs/>
    </w:rPr>
  </w:style>
  <w:style w:type="character" w:customStyle="1" w:styleId="CommentSubjectChar">
    <w:name w:val="Comment Subject Char"/>
    <w:link w:val="CommentSubject"/>
    <w:rsid w:val="00710342"/>
    <w:rPr>
      <w:b/>
      <w:bCs/>
    </w:rPr>
  </w:style>
  <w:style w:type="paragraph" w:styleId="BalloonText">
    <w:name w:val="Balloon Text"/>
    <w:basedOn w:val="Normal"/>
    <w:link w:val="BalloonTextChar"/>
    <w:rsid w:val="00710342"/>
    <w:rPr>
      <w:rFonts w:ascii="Tahoma" w:hAnsi="Tahoma" w:cs="Tahoma"/>
      <w:sz w:val="16"/>
      <w:szCs w:val="16"/>
    </w:rPr>
  </w:style>
  <w:style w:type="character" w:customStyle="1" w:styleId="BalloonTextChar">
    <w:name w:val="Balloon Text Char"/>
    <w:link w:val="BalloonText"/>
    <w:rsid w:val="00710342"/>
    <w:rPr>
      <w:rFonts w:ascii="Tahoma" w:hAnsi="Tahoma" w:cs="Tahoma"/>
      <w:sz w:val="16"/>
      <w:szCs w:val="16"/>
    </w:rPr>
  </w:style>
  <w:style w:type="character" w:styleId="FollowedHyperlink">
    <w:name w:val="FollowedHyperlink"/>
    <w:rsid w:val="00EE553A"/>
    <w:rPr>
      <w:color w:val="800080"/>
      <w:u w:val="single"/>
    </w:rPr>
  </w:style>
  <w:style w:type="table" w:styleId="TableGrid">
    <w:name w:val="Table Grid"/>
    <w:basedOn w:val="TableNormal"/>
    <w:rsid w:val="003B1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w:basedOn w:val="Normal"/>
    <w:link w:val="FootnoteTextChar"/>
    <w:uiPriority w:val="99"/>
    <w:rsid w:val="00C43B3D"/>
    <w:pPr>
      <w:tabs>
        <w:tab w:val="left" w:pos="360"/>
      </w:tabs>
      <w:ind w:left="360" w:hanging="360"/>
      <w:jc w:val="both"/>
    </w:pPr>
    <w:rPr>
      <w:rFonts w:ascii="CG Times" w:eastAsia="MS Mincho" w:hAnsi="CG Times"/>
      <w:sz w:val="18"/>
      <w:szCs w:val="20"/>
      <w:lang w:val="es-CO" w:eastAsia="es-ES_tradnl"/>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rsid w:val="00C43B3D"/>
    <w:rPr>
      <w:rFonts w:ascii="CG Times" w:eastAsia="MS Mincho" w:hAnsi="CG Times"/>
      <w:sz w:val="18"/>
      <w:lang w:val="es-CO" w:eastAsia="es-ES_tradnl"/>
    </w:rPr>
  </w:style>
  <w:style w:type="character" w:styleId="FootnoteReference">
    <w:name w:val="footnote reference"/>
    <w:uiPriority w:val="99"/>
    <w:rsid w:val="00C43B3D"/>
    <w:rPr>
      <w:rFonts w:cs="Times New Roman"/>
      <w:color w:val="auto"/>
      <w:vertAlign w:val="baseline"/>
    </w:rPr>
  </w:style>
  <w:style w:type="paragraph" w:styleId="NoSpacing">
    <w:name w:val="No Spacing"/>
    <w:uiPriority w:val="1"/>
    <w:qFormat/>
    <w:rsid w:val="00070592"/>
    <w:rPr>
      <w:rFonts w:ascii="Calibri" w:eastAsia="Calibri" w:hAnsi="Calibri"/>
      <w:sz w:val="22"/>
      <w:szCs w:val="22"/>
      <w:lang w:val="es-ES"/>
    </w:rPr>
  </w:style>
  <w:style w:type="paragraph" w:customStyle="1" w:styleId="Default">
    <w:name w:val="Default"/>
    <w:rsid w:val="00084323"/>
    <w:pPr>
      <w:widowControl w:val="0"/>
      <w:autoSpaceDE w:val="0"/>
      <w:autoSpaceDN w:val="0"/>
      <w:adjustRightInd w:val="0"/>
    </w:pPr>
    <w:rPr>
      <w:rFonts w:ascii="Arial" w:hAnsi="Arial" w:cs="Arial"/>
      <w:color w:val="000000"/>
      <w:sz w:val="24"/>
      <w:szCs w:val="24"/>
      <w:lang w:val="es-ES"/>
    </w:rPr>
  </w:style>
  <w:style w:type="paragraph" w:styleId="NormalWeb">
    <w:name w:val="Normal (Web)"/>
    <w:basedOn w:val="Normal"/>
    <w:uiPriority w:val="99"/>
    <w:unhideWhenUsed/>
    <w:rsid w:val="000A20E1"/>
    <w:pPr>
      <w:spacing w:before="100" w:beforeAutospacing="1" w:after="100" w:afterAutospacing="1"/>
    </w:pPr>
    <w:rPr>
      <w:rFonts w:eastAsia="Calibri"/>
    </w:rPr>
  </w:style>
  <w:style w:type="character" w:customStyle="1" w:styleId="Heading1Char">
    <w:name w:val="Heading 1 Char"/>
    <w:link w:val="Heading1"/>
    <w:rsid w:val="002306FE"/>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534">
      <w:bodyDiv w:val="1"/>
      <w:marLeft w:val="0"/>
      <w:marRight w:val="0"/>
      <w:marTop w:val="0"/>
      <w:marBottom w:val="0"/>
      <w:divBdr>
        <w:top w:val="none" w:sz="0" w:space="0" w:color="auto"/>
        <w:left w:val="none" w:sz="0" w:space="0" w:color="auto"/>
        <w:bottom w:val="none" w:sz="0" w:space="0" w:color="auto"/>
        <w:right w:val="none" w:sz="0" w:space="0" w:color="auto"/>
      </w:divBdr>
    </w:div>
    <w:div w:id="114953544">
      <w:bodyDiv w:val="1"/>
      <w:marLeft w:val="0"/>
      <w:marRight w:val="0"/>
      <w:marTop w:val="0"/>
      <w:marBottom w:val="0"/>
      <w:divBdr>
        <w:top w:val="none" w:sz="0" w:space="0" w:color="auto"/>
        <w:left w:val="none" w:sz="0" w:space="0" w:color="auto"/>
        <w:bottom w:val="none" w:sz="0" w:space="0" w:color="auto"/>
        <w:right w:val="none" w:sz="0" w:space="0" w:color="auto"/>
      </w:divBdr>
    </w:div>
    <w:div w:id="118963637">
      <w:bodyDiv w:val="1"/>
      <w:marLeft w:val="0"/>
      <w:marRight w:val="0"/>
      <w:marTop w:val="0"/>
      <w:marBottom w:val="0"/>
      <w:divBdr>
        <w:top w:val="none" w:sz="0" w:space="0" w:color="auto"/>
        <w:left w:val="none" w:sz="0" w:space="0" w:color="auto"/>
        <w:bottom w:val="none" w:sz="0" w:space="0" w:color="auto"/>
        <w:right w:val="none" w:sz="0" w:space="0" w:color="auto"/>
      </w:divBdr>
    </w:div>
    <w:div w:id="126750887">
      <w:bodyDiv w:val="1"/>
      <w:marLeft w:val="0"/>
      <w:marRight w:val="0"/>
      <w:marTop w:val="0"/>
      <w:marBottom w:val="0"/>
      <w:divBdr>
        <w:top w:val="none" w:sz="0" w:space="0" w:color="auto"/>
        <w:left w:val="none" w:sz="0" w:space="0" w:color="auto"/>
        <w:bottom w:val="none" w:sz="0" w:space="0" w:color="auto"/>
        <w:right w:val="none" w:sz="0" w:space="0" w:color="auto"/>
      </w:divBdr>
    </w:div>
    <w:div w:id="144008493">
      <w:bodyDiv w:val="1"/>
      <w:marLeft w:val="0"/>
      <w:marRight w:val="0"/>
      <w:marTop w:val="0"/>
      <w:marBottom w:val="0"/>
      <w:divBdr>
        <w:top w:val="none" w:sz="0" w:space="0" w:color="auto"/>
        <w:left w:val="none" w:sz="0" w:space="0" w:color="auto"/>
        <w:bottom w:val="none" w:sz="0" w:space="0" w:color="auto"/>
        <w:right w:val="none" w:sz="0" w:space="0" w:color="auto"/>
      </w:divBdr>
    </w:div>
    <w:div w:id="414742460">
      <w:bodyDiv w:val="1"/>
      <w:marLeft w:val="0"/>
      <w:marRight w:val="0"/>
      <w:marTop w:val="0"/>
      <w:marBottom w:val="0"/>
      <w:divBdr>
        <w:top w:val="none" w:sz="0" w:space="0" w:color="auto"/>
        <w:left w:val="none" w:sz="0" w:space="0" w:color="auto"/>
        <w:bottom w:val="none" w:sz="0" w:space="0" w:color="auto"/>
        <w:right w:val="none" w:sz="0" w:space="0" w:color="auto"/>
      </w:divBdr>
    </w:div>
    <w:div w:id="582881868">
      <w:bodyDiv w:val="1"/>
      <w:marLeft w:val="0"/>
      <w:marRight w:val="0"/>
      <w:marTop w:val="0"/>
      <w:marBottom w:val="0"/>
      <w:divBdr>
        <w:top w:val="none" w:sz="0" w:space="0" w:color="auto"/>
        <w:left w:val="none" w:sz="0" w:space="0" w:color="auto"/>
        <w:bottom w:val="none" w:sz="0" w:space="0" w:color="auto"/>
        <w:right w:val="none" w:sz="0" w:space="0" w:color="auto"/>
      </w:divBdr>
    </w:div>
    <w:div w:id="754402167">
      <w:bodyDiv w:val="1"/>
      <w:marLeft w:val="0"/>
      <w:marRight w:val="0"/>
      <w:marTop w:val="0"/>
      <w:marBottom w:val="0"/>
      <w:divBdr>
        <w:top w:val="none" w:sz="0" w:space="0" w:color="auto"/>
        <w:left w:val="none" w:sz="0" w:space="0" w:color="auto"/>
        <w:bottom w:val="none" w:sz="0" w:space="0" w:color="auto"/>
        <w:right w:val="none" w:sz="0" w:space="0" w:color="auto"/>
      </w:divBdr>
    </w:div>
    <w:div w:id="781808336">
      <w:bodyDiv w:val="1"/>
      <w:marLeft w:val="0"/>
      <w:marRight w:val="0"/>
      <w:marTop w:val="0"/>
      <w:marBottom w:val="0"/>
      <w:divBdr>
        <w:top w:val="none" w:sz="0" w:space="0" w:color="auto"/>
        <w:left w:val="none" w:sz="0" w:space="0" w:color="auto"/>
        <w:bottom w:val="none" w:sz="0" w:space="0" w:color="auto"/>
        <w:right w:val="none" w:sz="0" w:space="0" w:color="auto"/>
      </w:divBdr>
    </w:div>
    <w:div w:id="820003280">
      <w:bodyDiv w:val="1"/>
      <w:marLeft w:val="0"/>
      <w:marRight w:val="0"/>
      <w:marTop w:val="0"/>
      <w:marBottom w:val="0"/>
      <w:divBdr>
        <w:top w:val="none" w:sz="0" w:space="0" w:color="auto"/>
        <w:left w:val="none" w:sz="0" w:space="0" w:color="auto"/>
        <w:bottom w:val="none" w:sz="0" w:space="0" w:color="auto"/>
        <w:right w:val="none" w:sz="0" w:space="0" w:color="auto"/>
      </w:divBdr>
    </w:div>
    <w:div w:id="825242904">
      <w:bodyDiv w:val="1"/>
      <w:marLeft w:val="0"/>
      <w:marRight w:val="0"/>
      <w:marTop w:val="0"/>
      <w:marBottom w:val="0"/>
      <w:divBdr>
        <w:top w:val="none" w:sz="0" w:space="0" w:color="auto"/>
        <w:left w:val="none" w:sz="0" w:space="0" w:color="auto"/>
        <w:bottom w:val="none" w:sz="0" w:space="0" w:color="auto"/>
        <w:right w:val="none" w:sz="0" w:space="0" w:color="auto"/>
      </w:divBdr>
    </w:div>
    <w:div w:id="834997554">
      <w:bodyDiv w:val="1"/>
      <w:marLeft w:val="0"/>
      <w:marRight w:val="0"/>
      <w:marTop w:val="0"/>
      <w:marBottom w:val="0"/>
      <w:divBdr>
        <w:top w:val="none" w:sz="0" w:space="0" w:color="auto"/>
        <w:left w:val="none" w:sz="0" w:space="0" w:color="auto"/>
        <w:bottom w:val="none" w:sz="0" w:space="0" w:color="auto"/>
        <w:right w:val="none" w:sz="0" w:space="0" w:color="auto"/>
      </w:divBdr>
    </w:div>
    <w:div w:id="838619013">
      <w:bodyDiv w:val="1"/>
      <w:marLeft w:val="0"/>
      <w:marRight w:val="0"/>
      <w:marTop w:val="0"/>
      <w:marBottom w:val="0"/>
      <w:divBdr>
        <w:top w:val="none" w:sz="0" w:space="0" w:color="auto"/>
        <w:left w:val="none" w:sz="0" w:space="0" w:color="auto"/>
        <w:bottom w:val="none" w:sz="0" w:space="0" w:color="auto"/>
        <w:right w:val="none" w:sz="0" w:space="0" w:color="auto"/>
      </w:divBdr>
    </w:div>
    <w:div w:id="898399319">
      <w:bodyDiv w:val="1"/>
      <w:marLeft w:val="0"/>
      <w:marRight w:val="0"/>
      <w:marTop w:val="0"/>
      <w:marBottom w:val="0"/>
      <w:divBdr>
        <w:top w:val="none" w:sz="0" w:space="0" w:color="auto"/>
        <w:left w:val="none" w:sz="0" w:space="0" w:color="auto"/>
        <w:bottom w:val="none" w:sz="0" w:space="0" w:color="auto"/>
        <w:right w:val="none" w:sz="0" w:space="0" w:color="auto"/>
      </w:divBdr>
    </w:div>
    <w:div w:id="1019115993">
      <w:bodyDiv w:val="1"/>
      <w:marLeft w:val="0"/>
      <w:marRight w:val="0"/>
      <w:marTop w:val="0"/>
      <w:marBottom w:val="0"/>
      <w:divBdr>
        <w:top w:val="none" w:sz="0" w:space="0" w:color="auto"/>
        <w:left w:val="none" w:sz="0" w:space="0" w:color="auto"/>
        <w:bottom w:val="none" w:sz="0" w:space="0" w:color="auto"/>
        <w:right w:val="none" w:sz="0" w:space="0" w:color="auto"/>
      </w:divBdr>
    </w:div>
    <w:div w:id="1134526089">
      <w:bodyDiv w:val="1"/>
      <w:marLeft w:val="0"/>
      <w:marRight w:val="0"/>
      <w:marTop w:val="0"/>
      <w:marBottom w:val="0"/>
      <w:divBdr>
        <w:top w:val="none" w:sz="0" w:space="0" w:color="auto"/>
        <w:left w:val="none" w:sz="0" w:space="0" w:color="auto"/>
        <w:bottom w:val="none" w:sz="0" w:space="0" w:color="auto"/>
        <w:right w:val="none" w:sz="0" w:space="0" w:color="auto"/>
      </w:divBdr>
    </w:div>
    <w:div w:id="1446729050">
      <w:bodyDiv w:val="1"/>
      <w:marLeft w:val="0"/>
      <w:marRight w:val="0"/>
      <w:marTop w:val="0"/>
      <w:marBottom w:val="0"/>
      <w:divBdr>
        <w:top w:val="none" w:sz="0" w:space="0" w:color="auto"/>
        <w:left w:val="none" w:sz="0" w:space="0" w:color="auto"/>
        <w:bottom w:val="none" w:sz="0" w:space="0" w:color="auto"/>
        <w:right w:val="none" w:sz="0" w:space="0" w:color="auto"/>
      </w:divBdr>
    </w:div>
    <w:div w:id="1676882041">
      <w:bodyDiv w:val="1"/>
      <w:marLeft w:val="0"/>
      <w:marRight w:val="0"/>
      <w:marTop w:val="0"/>
      <w:marBottom w:val="0"/>
      <w:divBdr>
        <w:top w:val="none" w:sz="0" w:space="0" w:color="auto"/>
        <w:left w:val="none" w:sz="0" w:space="0" w:color="auto"/>
        <w:bottom w:val="none" w:sz="0" w:space="0" w:color="auto"/>
        <w:right w:val="none" w:sz="0" w:space="0" w:color="auto"/>
      </w:divBdr>
    </w:div>
    <w:div w:id="1710183468">
      <w:bodyDiv w:val="1"/>
      <w:marLeft w:val="0"/>
      <w:marRight w:val="0"/>
      <w:marTop w:val="0"/>
      <w:marBottom w:val="0"/>
      <w:divBdr>
        <w:top w:val="none" w:sz="0" w:space="0" w:color="auto"/>
        <w:left w:val="none" w:sz="0" w:space="0" w:color="auto"/>
        <w:bottom w:val="none" w:sz="0" w:space="0" w:color="auto"/>
        <w:right w:val="none" w:sz="0" w:space="0" w:color="auto"/>
      </w:divBdr>
    </w:div>
    <w:div w:id="1736508331">
      <w:bodyDiv w:val="1"/>
      <w:marLeft w:val="0"/>
      <w:marRight w:val="0"/>
      <w:marTop w:val="0"/>
      <w:marBottom w:val="0"/>
      <w:divBdr>
        <w:top w:val="none" w:sz="0" w:space="0" w:color="auto"/>
        <w:left w:val="none" w:sz="0" w:space="0" w:color="auto"/>
        <w:bottom w:val="none" w:sz="0" w:space="0" w:color="auto"/>
        <w:right w:val="none" w:sz="0" w:space="0" w:color="auto"/>
      </w:divBdr>
    </w:div>
    <w:div w:id="1851598814">
      <w:bodyDiv w:val="1"/>
      <w:marLeft w:val="0"/>
      <w:marRight w:val="0"/>
      <w:marTop w:val="0"/>
      <w:marBottom w:val="0"/>
      <w:divBdr>
        <w:top w:val="none" w:sz="0" w:space="0" w:color="auto"/>
        <w:left w:val="none" w:sz="0" w:space="0" w:color="auto"/>
        <w:bottom w:val="none" w:sz="0" w:space="0" w:color="auto"/>
        <w:right w:val="none" w:sz="0" w:space="0" w:color="auto"/>
      </w:divBdr>
    </w:div>
    <w:div w:id="1911114405">
      <w:bodyDiv w:val="1"/>
      <w:marLeft w:val="0"/>
      <w:marRight w:val="0"/>
      <w:marTop w:val="0"/>
      <w:marBottom w:val="0"/>
      <w:divBdr>
        <w:top w:val="none" w:sz="0" w:space="0" w:color="auto"/>
        <w:left w:val="none" w:sz="0" w:space="0" w:color="auto"/>
        <w:bottom w:val="none" w:sz="0" w:space="0" w:color="auto"/>
        <w:right w:val="none" w:sz="0" w:space="0" w:color="auto"/>
      </w:divBdr>
    </w:div>
    <w:div w:id="2035494420">
      <w:bodyDiv w:val="1"/>
      <w:marLeft w:val="0"/>
      <w:marRight w:val="0"/>
      <w:marTop w:val="0"/>
      <w:marBottom w:val="0"/>
      <w:divBdr>
        <w:top w:val="none" w:sz="0" w:space="0" w:color="auto"/>
        <w:left w:val="none" w:sz="0" w:space="0" w:color="auto"/>
        <w:bottom w:val="none" w:sz="0" w:space="0" w:color="auto"/>
        <w:right w:val="none" w:sz="0" w:space="0" w:color="auto"/>
      </w:divBdr>
    </w:div>
    <w:div w:id="205653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m.oas.org/doc_public/french/HIST_20/CP42368f06.docx"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as.org/es/sla/cji/docs/informes_culminados_recientemente_Contratos_Internacionales_resolucio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m.oas.org/doc_public/french/HIST_19/CP41368f03.doc" TargetMode="External"/><Relationship Id="rId14" Type="http://schemas.openxmlformats.org/officeDocument/2006/relationships/hyperlink" Target="http://scm.oas.org/doc_public/FRENCH/HIST_20/CP42412F06.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m.oas.org/doc_public/french/HIST_20/CP42392f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2F83-4D1E-4AD8-91E3-A173FFE1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5479</Words>
  <Characters>30261</Characters>
  <Application>Microsoft Office Word</Application>
  <DocSecurity>0</DocSecurity>
  <Lines>252</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35669</CharactersWithSpaces>
  <SharedDoc>false</SharedDoc>
  <HLinks>
    <vt:vector size="24" baseType="variant">
      <vt:variant>
        <vt:i4>196694</vt:i4>
      </vt:variant>
      <vt:variant>
        <vt:i4>6</vt:i4>
      </vt:variant>
      <vt:variant>
        <vt:i4>0</vt:i4>
      </vt:variant>
      <vt:variant>
        <vt:i4>5</vt:i4>
      </vt:variant>
      <vt:variant>
        <vt:lpwstr>http://scm.oas.org/doc_public/SPANISH/HIST_20/CP42368S03.docx</vt:lpwstr>
      </vt:variant>
      <vt:variant>
        <vt:lpwstr/>
      </vt:variant>
      <vt:variant>
        <vt:i4>6946832</vt:i4>
      </vt:variant>
      <vt:variant>
        <vt:i4>3</vt:i4>
      </vt:variant>
      <vt:variant>
        <vt:i4>0</vt:i4>
      </vt:variant>
      <vt:variant>
        <vt:i4>5</vt:i4>
      </vt:variant>
      <vt:variant>
        <vt:lpwstr>http://www.oas.org/es/sla/cji/docs/informes_culminados_recientemente_Contratos_Internacionales_resolucion.pdf</vt:lpwstr>
      </vt:variant>
      <vt:variant>
        <vt:lpwstr/>
      </vt:variant>
      <vt:variant>
        <vt:i4>196703</vt:i4>
      </vt:variant>
      <vt:variant>
        <vt:i4>0</vt:i4>
      </vt:variant>
      <vt:variant>
        <vt:i4>0</vt:i4>
      </vt:variant>
      <vt:variant>
        <vt:i4>5</vt:i4>
      </vt:variant>
      <vt:variant>
        <vt:lpwstr>http://scm.oas.org/doc_public/SPANISH/HIST_19/CP41368S03.doc</vt:lpwstr>
      </vt:variant>
      <vt:variant>
        <vt:lpwstr/>
      </vt:variant>
      <vt:variant>
        <vt:i4>589916</vt:i4>
      </vt:variant>
      <vt:variant>
        <vt:i4>0</vt:i4>
      </vt:variant>
      <vt:variant>
        <vt:i4>0</vt:i4>
      </vt:variant>
      <vt:variant>
        <vt:i4>5</vt:i4>
      </vt:variant>
      <vt:variant>
        <vt:lpwstr>http://scm.oas.org/doc_public/SPANISH/HIST_20/CP42392S06.docx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%username%;E. Díaz-Avalos</dc:creator>
  <cp:lastModifiedBy>Santos, Ada</cp:lastModifiedBy>
  <cp:revision>4</cp:revision>
  <cp:lastPrinted>2019-09-30T14:17:00Z</cp:lastPrinted>
  <dcterms:created xsi:type="dcterms:W3CDTF">2020-07-24T19:39:00Z</dcterms:created>
  <dcterms:modified xsi:type="dcterms:W3CDTF">2020-07-24T20:05:00Z</dcterms:modified>
</cp:coreProperties>
</file>