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4A0" w:firstRow="1" w:lastRow="0" w:firstColumn="1" w:lastColumn="0" w:noHBand="0" w:noVBand="1"/>
      </w:tblPr>
      <w:tblGrid>
        <w:gridCol w:w="6498"/>
        <w:gridCol w:w="3330"/>
      </w:tblGrid>
      <w:tr w:rsidR="003B1F97" w:rsidRPr="00ED5F9F" w:rsidTr="001216F9">
        <w:tc>
          <w:tcPr>
            <w:tcW w:w="6498" w:type="dxa"/>
            <w:shd w:val="clear" w:color="auto" w:fill="auto"/>
          </w:tcPr>
          <w:p w:rsidR="003B1F97" w:rsidRPr="005470C2" w:rsidRDefault="003B1F97" w:rsidP="00203452">
            <w:pPr>
              <w:tabs>
                <w:tab w:val="center" w:pos="2880"/>
                <w:tab w:val="left" w:pos="7200"/>
                <w:tab w:val="left" w:pos="7965"/>
              </w:tabs>
              <w:jc w:val="center"/>
              <w:rPr>
                <w:color w:val="000000"/>
                <w:sz w:val="22"/>
                <w:szCs w:val="22"/>
                <w:lang w:val="es-ES" w:eastAsia="es-ES"/>
              </w:rPr>
            </w:pPr>
            <w:r w:rsidRPr="005470C2">
              <w:rPr>
                <w:color w:val="000000"/>
                <w:sz w:val="22"/>
                <w:szCs w:val="22"/>
                <w:lang w:val="es-ES" w:eastAsia="es-ES"/>
              </w:rPr>
              <w:t>CONSEJO PERMANENTE DE LA</w:t>
            </w:r>
          </w:p>
          <w:p w:rsidR="003B1F97" w:rsidRPr="005470C2" w:rsidRDefault="003B1F97" w:rsidP="00203452">
            <w:pPr>
              <w:tabs>
                <w:tab w:val="center" w:pos="2880"/>
                <w:tab w:val="left" w:pos="7200"/>
                <w:tab w:val="left" w:pos="7965"/>
              </w:tabs>
              <w:jc w:val="center"/>
              <w:rPr>
                <w:color w:val="000000"/>
                <w:sz w:val="22"/>
                <w:szCs w:val="22"/>
                <w:lang w:val="es-ES" w:eastAsia="es-ES"/>
              </w:rPr>
            </w:pPr>
            <w:r w:rsidRPr="005470C2">
              <w:rPr>
                <w:color w:val="000000"/>
                <w:sz w:val="22"/>
                <w:szCs w:val="22"/>
                <w:lang w:val="es-ES" w:eastAsia="es-ES"/>
              </w:rPr>
              <w:t>ORGANIZACIÓN DE LOS ESTADOS AMERICANOS</w:t>
            </w:r>
          </w:p>
          <w:p w:rsidR="003B1F97" w:rsidRPr="005470C2" w:rsidRDefault="003B1F97" w:rsidP="00203452">
            <w:pPr>
              <w:tabs>
                <w:tab w:val="center" w:pos="2880"/>
                <w:tab w:val="left" w:pos="7200"/>
                <w:tab w:val="left" w:pos="7965"/>
              </w:tabs>
              <w:jc w:val="center"/>
              <w:rPr>
                <w:color w:val="000000"/>
                <w:sz w:val="22"/>
                <w:szCs w:val="22"/>
                <w:lang w:val="es-ES" w:eastAsia="es-ES"/>
              </w:rPr>
            </w:pPr>
          </w:p>
          <w:p w:rsidR="003B1F97" w:rsidRPr="005470C2" w:rsidRDefault="003B1F97" w:rsidP="00203452">
            <w:pPr>
              <w:jc w:val="center"/>
              <w:rPr>
                <w:color w:val="000000"/>
                <w:sz w:val="22"/>
                <w:szCs w:val="22"/>
                <w:lang w:val="es-ES" w:eastAsia="es-ES"/>
              </w:rPr>
            </w:pPr>
            <w:r w:rsidRPr="005470C2">
              <w:rPr>
                <w:color w:val="000000"/>
                <w:sz w:val="22"/>
                <w:szCs w:val="22"/>
                <w:lang w:val="es-ES" w:eastAsia="es-ES"/>
              </w:rPr>
              <w:t>COMISIÓN DE ASUNTOS JURÍDICOS Y POLÍTICOS</w:t>
            </w:r>
          </w:p>
        </w:tc>
        <w:tc>
          <w:tcPr>
            <w:tcW w:w="3330" w:type="dxa"/>
            <w:shd w:val="clear" w:color="auto" w:fill="auto"/>
          </w:tcPr>
          <w:p w:rsidR="001216F9" w:rsidRPr="005470C2" w:rsidRDefault="003B1F97" w:rsidP="001216F9">
            <w:pPr>
              <w:tabs>
                <w:tab w:val="left" w:pos="717"/>
                <w:tab w:val="center" w:pos="3132"/>
                <w:tab w:val="left" w:pos="7200"/>
                <w:tab w:val="left" w:pos="7965"/>
              </w:tabs>
              <w:ind w:left="702" w:right="-569"/>
              <w:rPr>
                <w:color w:val="000000"/>
                <w:sz w:val="22"/>
                <w:szCs w:val="22"/>
                <w:lang w:val="es-ES" w:eastAsia="es-ES"/>
              </w:rPr>
            </w:pPr>
            <w:r w:rsidRPr="005470C2">
              <w:rPr>
                <w:color w:val="000000"/>
                <w:sz w:val="22"/>
                <w:szCs w:val="22"/>
                <w:lang w:val="es-ES" w:eastAsia="es-ES"/>
              </w:rPr>
              <w:t xml:space="preserve">OEA/Ser.G </w:t>
            </w:r>
          </w:p>
          <w:p w:rsidR="003B1F97" w:rsidRPr="005470C2" w:rsidRDefault="003B1F97" w:rsidP="001216F9">
            <w:pPr>
              <w:tabs>
                <w:tab w:val="left" w:pos="717"/>
                <w:tab w:val="center" w:pos="3582"/>
                <w:tab w:val="left" w:pos="7200"/>
                <w:tab w:val="left" w:pos="7965"/>
              </w:tabs>
              <w:ind w:left="702" w:right="-1109"/>
              <w:rPr>
                <w:color w:val="000000"/>
                <w:sz w:val="22"/>
                <w:szCs w:val="22"/>
                <w:lang w:val="es-ES" w:eastAsia="es-ES"/>
              </w:rPr>
            </w:pPr>
            <w:r w:rsidRPr="005470C2">
              <w:rPr>
                <w:color w:val="000000"/>
                <w:sz w:val="22"/>
                <w:szCs w:val="22"/>
                <w:lang w:val="es-ES" w:eastAsia="es-ES"/>
              </w:rPr>
              <w:t>CP/CAJP</w:t>
            </w:r>
            <w:r w:rsidR="00EB59D4" w:rsidRPr="005470C2">
              <w:rPr>
                <w:color w:val="000000"/>
                <w:sz w:val="22"/>
                <w:szCs w:val="22"/>
                <w:lang w:val="es-ES" w:eastAsia="es-ES"/>
              </w:rPr>
              <w:t>-</w:t>
            </w:r>
            <w:r w:rsidR="005B6919" w:rsidRPr="005470C2">
              <w:rPr>
                <w:color w:val="000000"/>
                <w:sz w:val="22"/>
                <w:szCs w:val="22"/>
                <w:lang w:val="es-ES" w:eastAsia="es-ES"/>
              </w:rPr>
              <w:t>3518</w:t>
            </w:r>
            <w:r w:rsidR="000258A8" w:rsidRPr="005470C2">
              <w:rPr>
                <w:color w:val="000000"/>
                <w:sz w:val="22"/>
                <w:szCs w:val="22"/>
                <w:lang w:val="es-ES" w:eastAsia="es-ES"/>
              </w:rPr>
              <w:t>/</w:t>
            </w:r>
            <w:r w:rsidR="00EB59D4" w:rsidRPr="005470C2">
              <w:rPr>
                <w:color w:val="000000"/>
                <w:sz w:val="22"/>
                <w:szCs w:val="22"/>
                <w:lang w:val="es-ES" w:eastAsia="es-ES"/>
              </w:rPr>
              <w:t>19</w:t>
            </w:r>
            <w:r w:rsidR="00A5674D" w:rsidRPr="005470C2">
              <w:rPr>
                <w:color w:val="000000"/>
                <w:sz w:val="22"/>
                <w:szCs w:val="22"/>
                <w:lang w:val="es-ES" w:eastAsia="es-ES"/>
              </w:rPr>
              <w:t xml:space="preserve"> rev.</w:t>
            </w:r>
            <w:r w:rsidR="00D61679">
              <w:rPr>
                <w:color w:val="000000"/>
                <w:sz w:val="22"/>
                <w:szCs w:val="22"/>
                <w:lang w:val="es-ES" w:eastAsia="es-ES"/>
              </w:rPr>
              <w:t xml:space="preserve"> </w:t>
            </w:r>
            <w:r w:rsidR="00ED5F9F">
              <w:rPr>
                <w:color w:val="000000"/>
                <w:sz w:val="22"/>
                <w:szCs w:val="22"/>
                <w:lang w:val="es-ES" w:eastAsia="es-ES"/>
              </w:rPr>
              <w:t>5</w:t>
            </w:r>
          </w:p>
          <w:p w:rsidR="00244B47" w:rsidRPr="005470C2" w:rsidRDefault="008952D3" w:rsidP="00244B47">
            <w:pPr>
              <w:tabs>
                <w:tab w:val="left" w:pos="717"/>
                <w:tab w:val="center" w:pos="2880"/>
                <w:tab w:val="left" w:pos="7200"/>
                <w:tab w:val="left" w:pos="7965"/>
              </w:tabs>
              <w:ind w:left="702"/>
              <w:rPr>
                <w:color w:val="000000"/>
                <w:sz w:val="22"/>
                <w:szCs w:val="22"/>
                <w:lang w:val="es-ES" w:eastAsia="es-ES"/>
              </w:rPr>
            </w:pPr>
            <w:r>
              <w:rPr>
                <w:color w:val="000000"/>
                <w:sz w:val="22"/>
                <w:szCs w:val="22"/>
                <w:lang w:val="es-ES" w:eastAsia="es-ES"/>
              </w:rPr>
              <w:t>24</w:t>
            </w:r>
            <w:r w:rsidR="00CA73FB" w:rsidRPr="005470C2">
              <w:rPr>
                <w:color w:val="000000"/>
                <w:sz w:val="22"/>
                <w:szCs w:val="22"/>
                <w:lang w:val="es-ES" w:eastAsia="es-ES"/>
              </w:rPr>
              <w:t xml:space="preserve"> </w:t>
            </w:r>
            <w:r w:rsidR="00ED5F9F">
              <w:rPr>
                <w:color w:val="000000"/>
                <w:sz w:val="22"/>
                <w:szCs w:val="22"/>
                <w:lang w:val="es-ES" w:eastAsia="es-ES"/>
              </w:rPr>
              <w:t>julio</w:t>
            </w:r>
            <w:r w:rsidR="00BC1D0C">
              <w:rPr>
                <w:color w:val="000000"/>
                <w:sz w:val="22"/>
                <w:szCs w:val="22"/>
                <w:lang w:val="es-ES" w:eastAsia="es-ES"/>
              </w:rPr>
              <w:t xml:space="preserve"> 2020</w:t>
            </w:r>
          </w:p>
          <w:p w:rsidR="003B1F97" w:rsidRPr="005470C2" w:rsidRDefault="003B1F97" w:rsidP="00244B47">
            <w:pPr>
              <w:tabs>
                <w:tab w:val="left" w:pos="717"/>
                <w:tab w:val="center" w:pos="2880"/>
                <w:tab w:val="left" w:pos="7200"/>
                <w:tab w:val="left" w:pos="7965"/>
              </w:tabs>
              <w:ind w:left="702"/>
              <w:rPr>
                <w:color w:val="000000"/>
                <w:sz w:val="22"/>
                <w:szCs w:val="22"/>
                <w:lang w:val="es-ES" w:eastAsia="es-ES"/>
              </w:rPr>
            </w:pPr>
            <w:r w:rsidRPr="005470C2">
              <w:rPr>
                <w:color w:val="000000"/>
                <w:sz w:val="22"/>
                <w:szCs w:val="22"/>
                <w:lang w:val="es-ES" w:eastAsia="es-ES"/>
              </w:rPr>
              <w:t>Original: español</w:t>
            </w:r>
          </w:p>
        </w:tc>
      </w:tr>
    </w:tbl>
    <w:p w:rsidR="003B1F97" w:rsidRPr="00A6711A" w:rsidRDefault="003B1F97" w:rsidP="003B1F97">
      <w:pPr>
        <w:rPr>
          <w:color w:val="000000"/>
          <w:sz w:val="22"/>
          <w:szCs w:val="22"/>
          <w:lang w:val="es-ES" w:eastAsia="es-ES"/>
        </w:rPr>
      </w:pPr>
    </w:p>
    <w:p w:rsidR="003B1F97" w:rsidRPr="00A6711A" w:rsidRDefault="003B1F97" w:rsidP="003B1F97">
      <w:pPr>
        <w:jc w:val="center"/>
        <w:rPr>
          <w:color w:val="000000"/>
          <w:sz w:val="22"/>
          <w:szCs w:val="22"/>
          <w:lang w:val="es-ES" w:eastAsia="es-ES"/>
        </w:rPr>
      </w:pPr>
    </w:p>
    <w:p w:rsidR="00295A7F" w:rsidRDefault="00295A7F" w:rsidP="00295A7F">
      <w:pPr>
        <w:jc w:val="center"/>
        <w:rPr>
          <w:color w:val="000000"/>
          <w:sz w:val="22"/>
          <w:szCs w:val="22"/>
          <w:lang w:val="es-ES" w:eastAsia="es-ES"/>
        </w:rPr>
      </w:pPr>
      <w:r w:rsidRPr="00A6711A">
        <w:rPr>
          <w:color w:val="000000"/>
          <w:sz w:val="22"/>
          <w:szCs w:val="22"/>
          <w:lang w:val="es-ES" w:eastAsia="es-ES"/>
        </w:rPr>
        <w:t>PLAN DE TRABAJO</w:t>
      </w:r>
      <w:r w:rsidR="000070D4">
        <w:rPr>
          <w:color w:val="000000"/>
          <w:sz w:val="22"/>
          <w:szCs w:val="22"/>
          <w:lang w:val="es-ES" w:eastAsia="es-ES"/>
        </w:rPr>
        <w:br/>
      </w:r>
      <w:r w:rsidRPr="00A6711A">
        <w:rPr>
          <w:color w:val="000000"/>
          <w:sz w:val="22"/>
          <w:szCs w:val="22"/>
          <w:lang w:val="es-ES" w:eastAsia="es-ES"/>
        </w:rPr>
        <w:t>DE LA</w:t>
      </w:r>
      <w:r w:rsidR="00A84399" w:rsidRPr="00A6711A">
        <w:rPr>
          <w:color w:val="000000"/>
          <w:sz w:val="22"/>
          <w:szCs w:val="22"/>
          <w:lang w:val="es-ES" w:eastAsia="es-ES"/>
        </w:rPr>
        <w:t xml:space="preserve"> </w:t>
      </w:r>
      <w:r w:rsidRPr="00A6711A">
        <w:rPr>
          <w:color w:val="000000"/>
          <w:sz w:val="22"/>
          <w:szCs w:val="22"/>
          <w:lang w:val="es-ES" w:eastAsia="es-ES"/>
        </w:rPr>
        <w:t>COMISIÓN D</w:t>
      </w:r>
      <w:r w:rsidR="00F52883" w:rsidRPr="00A6711A">
        <w:rPr>
          <w:color w:val="000000"/>
          <w:sz w:val="22"/>
          <w:szCs w:val="22"/>
          <w:lang w:val="es-ES" w:eastAsia="es-ES"/>
        </w:rPr>
        <w:t>E ASUNTOS JURÍDICOS Y POLÍTICOS</w:t>
      </w:r>
    </w:p>
    <w:p w:rsidR="00295A7F" w:rsidRDefault="00295A7F" w:rsidP="00295A7F">
      <w:pPr>
        <w:jc w:val="center"/>
        <w:rPr>
          <w:color w:val="000000"/>
          <w:sz w:val="22"/>
          <w:szCs w:val="22"/>
          <w:lang w:val="es-ES" w:eastAsia="es-ES"/>
        </w:rPr>
      </w:pPr>
      <w:r w:rsidRPr="00A6711A">
        <w:rPr>
          <w:color w:val="000000"/>
          <w:sz w:val="22"/>
          <w:szCs w:val="22"/>
          <w:lang w:val="es-ES" w:eastAsia="es-ES"/>
        </w:rPr>
        <w:t xml:space="preserve">PARA EL PERÍODO </w:t>
      </w:r>
      <w:r w:rsidR="00EB59D4">
        <w:rPr>
          <w:color w:val="000000"/>
          <w:sz w:val="22"/>
          <w:szCs w:val="22"/>
          <w:lang w:val="es-ES" w:eastAsia="es-ES"/>
        </w:rPr>
        <w:t>2019</w:t>
      </w:r>
      <w:r w:rsidRPr="00A6711A">
        <w:rPr>
          <w:color w:val="000000"/>
          <w:sz w:val="22"/>
          <w:szCs w:val="22"/>
          <w:lang w:val="es-ES" w:eastAsia="es-ES"/>
        </w:rPr>
        <w:t>-</w:t>
      </w:r>
      <w:r w:rsidR="00EB59D4">
        <w:rPr>
          <w:color w:val="000000"/>
          <w:sz w:val="22"/>
          <w:szCs w:val="22"/>
          <w:lang w:val="es-ES" w:eastAsia="es-ES"/>
        </w:rPr>
        <w:t>2020</w:t>
      </w:r>
    </w:p>
    <w:p w:rsidR="00C330B3" w:rsidRDefault="00C330B3" w:rsidP="00295A7F">
      <w:pPr>
        <w:jc w:val="center"/>
        <w:rPr>
          <w:color w:val="000000"/>
          <w:sz w:val="22"/>
          <w:szCs w:val="22"/>
          <w:lang w:val="es-ES" w:eastAsia="es-ES"/>
        </w:rPr>
      </w:pPr>
    </w:p>
    <w:p w:rsidR="00C330B3" w:rsidRPr="00C330B3" w:rsidRDefault="00C330B3" w:rsidP="00295A7F">
      <w:pPr>
        <w:jc w:val="center"/>
        <w:rPr>
          <w:color w:val="000000"/>
          <w:sz w:val="22"/>
          <w:szCs w:val="22"/>
          <w:lang w:val="es-ES" w:eastAsia="es-ES"/>
        </w:rPr>
      </w:pPr>
      <w:r>
        <w:rPr>
          <w:color w:val="000000"/>
          <w:sz w:val="22"/>
          <w:szCs w:val="22"/>
          <w:lang w:val="es-ES" w:eastAsia="es-ES"/>
        </w:rPr>
        <w:t xml:space="preserve">(Aprobado por la Comisión en la reunión </w:t>
      </w:r>
      <w:r w:rsidRPr="00C330B3">
        <w:rPr>
          <w:color w:val="000000"/>
          <w:sz w:val="22"/>
          <w:szCs w:val="22"/>
          <w:lang w:val="es-ES" w:eastAsia="es-ES"/>
        </w:rPr>
        <w:t>celebrada el 17 de octubre de 2019)</w:t>
      </w:r>
    </w:p>
    <w:p w:rsidR="00295A7F" w:rsidRPr="00A6711A" w:rsidRDefault="00295A7F" w:rsidP="00295A7F">
      <w:pPr>
        <w:rPr>
          <w:color w:val="000000"/>
          <w:sz w:val="22"/>
          <w:szCs w:val="22"/>
          <w:lang w:val="es-ES" w:eastAsia="es-ES"/>
        </w:rPr>
      </w:pPr>
    </w:p>
    <w:p w:rsidR="00C330B3" w:rsidRDefault="00C330B3" w:rsidP="002007AD">
      <w:pPr>
        <w:jc w:val="center"/>
        <w:rPr>
          <w:caps/>
          <w:color w:val="000000"/>
          <w:sz w:val="22"/>
          <w:szCs w:val="22"/>
          <w:lang w:val="es-ES" w:eastAsia="es-ES"/>
        </w:rPr>
      </w:pPr>
    </w:p>
    <w:p w:rsidR="00295A7F" w:rsidRPr="00A6711A" w:rsidRDefault="00295A7F" w:rsidP="002007AD">
      <w:pPr>
        <w:jc w:val="center"/>
        <w:rPr>
          <w:caps/>
          <w:color w:val="000000"/>
          <w:sz w:val="22"/>
          <w:szCs w:val="22"/>
          <w:lang w:val="es-ES" w:eastAsia="es-ES"/>
        </w:rPr>
      </w:pPr>
      <w:r w:rsidRPr="00A6711A">
        <w:rPr>
          <w:caps/>
          <w:color w:val="000000"/>
          <w:sz w:val="22"/>
          <w:szCs w:val="22"/>
          <w:lang w:val="es-ES" w:eastAsia="es-ES"/>
        </w:rPr>
        <w:t>I.</w:t>
      </w:r>
      <w:r w:rsidR="00151442" w:rsidRPr="00A6711A">
        <w:rPr>
          <w:caps/>
          <w:color w:val="000000"/>
          <w:sz w:val="22"/>
          <w:szCs w:val="22"/>
          <w:lang w:val="es-ES" w:eastAsia="es-ES"/>
        </w:rPr>
        <w:t xml:space="preserve"> </w:t>
      </w:r>
      <w:r w:rsidRPr="00A6711A">
        <w:rPr>
          <w:caps/>
          <w:color w:val="000000"/>
          <w:sz w:val="22"/>
          <w:szCs w:val="22"/>
          <w:lang w:val="es-ES" w:eastAsia="es-ES"/>
        </w:rPr>
        <w:t>INSTALACIÓN Y AUTORIDADES</w:t>
      </w:r>
    </w:p>
    <w:p w:rsidR="00295A7F" w:rsidRPr="00A6711A" w:rsidRDefault="00295A7F" w:rsidP="00295A7F">
      <w:pPr>
        <w:tabs>
          <w:tab w:val="left" w:pos="5040"/>
          <w:tab w:val="left" w:pos="6540"/>
          <w:tab w:val="left" w:pos="7194"/>
        </w:tabs>
        <w:suppressAutoHyphens/>
        <w:rPr>
          <w:color w:val="000000"/>
          <w:sz w:val="22"/>
          <w:szCs w:val="22"/>
          <w:lang w:val="es-ES" w:eastAsia="es-ES"/>
        </w:rPr>
      </w:pPr>
    </w:p>
    <w:p w:rsidR="00864865" w:rsidRDefault="00CA2145" w:rsidP="00295A7F">
      <w:pPr>
        <w:tabs>
          <w:tab w:val="left" w:pos="720"/>
          <w:tab w:val="left" w:pos="3960"/>
        </w:tabs>
        <w:ind w:right="11"/>
        <w:jc w:val="both"/>
        <w:rPr>
          <w:color w:val="000000"/>
          <w:sz w:val="22"/>
          <w:szCs w:val="22"/>
          <w:lang w:val="es-ES" w:eastAsia="es-ES"/>
        </w:rPr>
      </w:pPr>
      <w:r>
        <w:rPr>
          <w:color w:val="000000"/>
          <w:sz w:val="22"/>
          <w:szCs w:val="22"/>
          <w:lang w:val="es-ES" w:eastAsia="es-ES"/>
        </w:rPr>
        <w:tab/>
        <w:t xml:space="preserve">El Consejo Permanente instaló la </w:t>
      </w:r>
      <w:r w:rsidRPr="00A6711A">
        <w:rPr>
          <w:color w:val="000000"/>
          <w:sz w:val="22"/>
          <w:szCs w:val="22"/>
          <w:lang w:val="es-ES" w:eastAsia="es-ES"/>
        </w:rPr>
        <w:t>Comisión de Asuntos Jurídicos y Políticos (CAJP)</w:t>
      </w:r>
      <w:r>
        <w:rPr>
          <w:color w:val="000000"/>
          <w:sz w:val="22"/>
          <w:szCs w:val="22"/>
          <w:lang w:val="es-ES" w:eastAsia="es-ES"/>
        </w:rPr>
        <w:t xml:space="preserve"> para el </w:t>
      </w:r>
      <w:r w:rsidR="008738E8">
        <w:rPr>
          <w:color w:val="000000"/>
          <w:sz w:val="22"/>
          <w:szCs w:val="22"/>
          <w:lang w:val="es-ES" w:eastAsia="es-ES"/>
        </w:rPr>
        <w:t>período</w:t>
      </w:r>
      <w:r>
        <w:rPr>
          <w:color w:val="000000"/>
          <w:sz w:val="22"/>
          <w:szCs w:val="22"/>
          <w:lang w:val="es-ES" w:eastAsia="es-ES"/>
        </w:rPr>
        <w:t xml:space="preserve"> </w:t>
      </w:r>
      <w:r w:rsidR="00EB59D4">
        <w:rPr>
          <w:color w:val="000000"/>
          <w:sz w:val="22"/>
          <w:szCs w:val="22"/>
          <w:lang w:val="es-ES" w:eastAsia="es-ES"/>
        </w:rPr>
        <w:t>2019</w:t>
      </w:r>
      <w:r>
        <w:rPr>
          <w:color w:val="000000"/>
          <w:sz w:val="22"/>
          <w:szCs w:val="22"/>
          <w:lang w:val="es-ES" w:eastAsia="es-ES"/>
        </w:rPr>
        <w:t>-</w:t>
      </w:r>
      <w:r w:rsidR="00EB59D4">
        <w:rPr>
          <w:color w:val="000000"/>
          <w:sz w:val="22"/>
          <w:szCs w:val="22"/>
          <w:lang w:val="es-ES" w:eastAsia="es-ES"/>
        </w:rPr>
        <w:t>2020</w:t>
      </w:r>
      <w:r w:rsidRPr="0069697D">
        <w:rPr>
          <w:color w:val="000000"/>
          <w:sz w:val="22"/>
          <w:szCs w:val="22"/>
          <w:lang w:val="es-ES" w:eastAsia="es-ES"/>
        </w:rPr>
        <w:t xml:space="preserve"> </w:t>
      </w:r>
      <w:r>
        <w:rPr>
          <w:color w:val="000000"/>
          <w:sz w:val="22"/>
          <w:szCs w:val="22"/>
          <w:lang w:val="es-ES" w:eastAsia="es-ES"/>
        </w:rPr>
        <w:t xml:space="preserve">en la sesión ordinaria del </w:t>
      </w:r>
      <w:r w:rsidR="00EB59D4">
        <w:rPr>
          <w:color w:val="000000"/>
          <w:sz w:val="22"/>
          <w:szCs w:val="22"/>
          <w:lang w:val="es-ES" w:eastAsia="es-ES"/>
        </w:rPr>
        <w:t>17</w:t>
      </w:r>
      <w:r w:rsidRPr="00A6711A">
        <w:rPr>
          <w:color w:val="000000"/>
          <w:sz w:val="22"/>
          <w:szCs w:val="22"/>
          <w:lang w:val="es-ES" w:eastAsia="es-ES"/>
        </w:rPr>
        <w:t xml:space="preserve"> de </w:t>
      </w:r>
      <w:r w:rsidR="00EB59D4">
        <w:rPr>
          <w:color w:val="000000"/>
          <w:sz w:val="22"/>
          <w:szCs w:val="22"/>
          <w:lang w:val="es-ES" w:eastAsia="es-ES"/>
        </w:rPr>
        <w:t xml:space="preserve">julio </w:t>
      </w:r>
      <w:r w:rsidRPr="00A6711A">
        <w:rPr>
          <w:color w:val="000000"/>
          <w:sz w:val="22"/>
          <w:szCs w:val="22"/>
          <w:lang w:val="es-ES" w:eastAsia="es-ES"/>
        </w:rPr>
        <w:t>de 201</w:t>
      </w:r>
      <w:r w:rsidR="00EB59D4">
        <w:rPr>
          <w:color w:val="000000"/>
          <w:sz w:val="22"/>
          <w:szCs w:val="22"/>
          <w:lang w:val="es-ES" w:eastAsia="es-ES"/>
        </w:rPr>
        <w:t>9</w:t>
      </w:r>
      <w:r>
        <w:rPr>
          <w:color w:val="000000"/>
          <w:sz w:val="22"/>
          <w:szCs w:val="22"/>
          <w:lang w:val="es-ES" w:eastAsia="es-ES"/>
        </w:rPr>
        <w:t xml:space="preserve"> de </w:t>
      </w:r>
      <w:r w:rsidR="00D678D1">
        <w:rPr>
          <w:color w:val="000000"/>
          <w:sz w:val="22"/>
          <w:szCs w:val="22"/>
          <w:lang w:val="es-ES" w:eastAsia="es-ES"/>
        </w:rPr>
        <w:t xml:space="preserve">conformidad con lo dispuesto en el </w:t>
      </w:r>
      <w:r w:rsidR="00D678D1" w:rsidRPr="00A6711A">
        <w:rPr>
          <w:color w:val="000000"/>
          <w:sz w:val="22"/>
          <w:szCs w:val="22"/>
          <w:lang w:val="es-ES" w:eastAsia="es-ES"/>
        </w:rPr>
        <w:t xml:space="preserve">artículo 28 </w:t>
      </w:r>
      <w:r w:rsidR="00D678D1">
        <w:rPr>
          <w:color w:val="000000"/>
          <w:sz w:val="22"/>
          <w:szCs w:val="22"/>
          <w:lang w:val="es-ES" w:eastAsia="es-ES"/>
        </w:rPr>
        <w:t xml:space="preserve">del </w:t>
      </w:r>
      <w:r w:rsidR="00D678D1" w:rsidRPr="00A6711A">
        <w:rPr>
          <w:color w:val="000000"/>
          <w:sz w:val="22"/>
          <w:szCs w:val="22"/>
          <w:lang w:val="es-ES" w:eastAsia="es-ES"/>
        </w:rPr>
        <w:t>Reglamento</w:t>
      </w:r>
      <w:r w:rsidR="00D678D1">
        <w:rPr>
          <w:color w:val="000000"/>
          <w:sz w:val="22"/>
          <w:szCs w:val="22"/>
          <w:lang w:val="es-ES" w:eastAsia="es-ES"/>
        </w:rPr>
        <w:t xml:space="preserve"> del </w:t>
      </w:r>
      <w:r w:rsidR="0069697D">
        <w:rPr>
          <w:color w:val="000000"/>
          <w:sz w:val="22"/>
          <w:szCs w:val="22"/>
          <w:lang w:val="es-ES" w:eastAsia="es-ES"/>
        </w:rPr>
        <w:t>Consejo Permanente</w:t>
      </w:r>
      <w:r>
        <w:rPr>
          <w:color w:val="000000"/>
          <w:sz w:val="22"/>
          <w:szCs w:val="22"/>
          <w:lang w:val="es-ES" w:eastAsia="es-ES"/>
        </w:rPr>
        <w:t>.</w:t>
      </w:r>
      <w:r w:rsidR="00864865">
        <w:rPr>
          <w:color w:val="000000"/>
          <w:sz w:val="22"/>
          <w:szCs w:val="22"/>
          <w:lang w:val="es-ES" w:eastAsia="es-ES"/>
        </w:rPr>
        <w:t xml:space="preserve"> </w:t>
      </w:r>
      <w:r>
        <w:rPr>
          <w:color w:val="000000"/>
          <w:sz w:val="22"/>
          <w:szCs w:val="22"/>
          <w:lang w:val="es-ES" w:eastAsia="es-ES"/>
        </w:rPr>
        <w:t xml:space="preserve">Con base en lo dispuesto en </w:t>
      </w:r>
      <w:r w:rsidR="00DB5475">
        <w:rPr>
          <w:color w:val="000000"/>
          <w:sz w:val="22"/>
          <w:szCs w:val="22"/>
          <w:lang w:val="es-ES" w:eastAsia="es-ES"/>
        </w:rPr>
        <w:t>el citado</w:t>
      </w:r>
      <w:r w:rsidR="00864865">
        <w:rPr>
          <w:color w:val="000000"/>
          <w:sz w:val="22"/>
          <w:szCs w:val="22"/>
          <w:lang w:val="es-ES" w:eastAsia="es-ES"/>
        </w:rPr>
        <w:t xml:space="preserve"> </w:t>
      </w:r>
      <w:r>
        <w:rPr>
          <w:color w:val="000000"/>
          <w:sz w:val="22"/>
          <w:szCs w:val="22"/>
          <w:lang w:val="es-ES" w:eastAsia="es-ES"/>
        </w:rPr>
        <w:t xml:space="preserve">artículo, </w:t>
      </w:r>
      <w:r w:rsidR="00864865">
        <w:rPr>
          <w:color w:val="000000"/>
          <w:sz w:val="22"/>
          <w:szCs w:val="22"/>
          <w:lang w:val="es-ES" w:eastAsia="es-ES"/>
        </w:rPr>
        <w:t xml:space="preserve">en la sesión ordinaria </w:t>
      </w:r>
      <w:r w:rsidR="00367B85">
        <w:rPr>
          <w:color w:val="000000"/>
          <w:sz w:val="22"/>
          <w:szCs w:val="22"/>
          <w:lang w:val="es-ES" w:eastAsia="es-ES"/>
        </w:rPr>
        <w:t xml:space="preserve">del Consejo Permanente </w:t>
      </w:r>
      <w:r w:rsidR="00864865">
        <w:rPr>
          <w:color w:val="000000"/>
          <w:sz w:val="22"/>
          <w:szCs w:val="22"/>
          <w:lang w:val="es-ES" w:eastAsia="es-ES"/>
        </w:rPr>
        <w:t xml:space="preserve">del </w:t>
      </w:r>
      <w:r w:rsidR="00F31EE6">
        <w:rPr>
          <w:color w:val="000000"/>
          <w:sz w:val="22"/>
          <w:szCs w:val="22"/>
          <w:lang w:val="es-ES" w:eastAsia="es-ES"/>
        </w:rPr>
        <w:t>27 de septiembre</w:t>
      </w:r>
      <w:r w:rsidR="00864865" w:rsidRPr="00A6711A">
        <w:rPr>
          <w:color w:val="000000"/>
          <w:sz w:val="22"/>
          <w:szCs w:val="22"/>
          <w:lang w:val="es-ES" w:eastAsia="es-ES"/>
        </w:rPr>
        <w:t xml:space="preserve"> de </w:t>
      </w:r>
      <w:r w:rsidR="00EB59D4">
        <w:rPr>
          <w:color w:val="000000"/>
          <w:sz w:val="22"/>
          <w:szCs w:val="22"/>
          <w:lang w:val="es-ES" w:eastAsia="es-ES"/>
        </w:rPr>
        <w:t>2019</w:t>
      </w:r>
      <w:r w:rsidR="00367B85">
        <w:rPr>
          <w:color w:val="000000"/>
          <w:sz w:val="22"/>
          <w:szCs w:val="22"/>
          <w:lang w:val="es-ES" w:eastAsia="es-ES"/>
        </w:rPr>
        <w:t xml:space="preserve">, el </w:t>
      </w:r>
      <w:r w:rsidR="001C3F69" w:rsidRPr="00A6711A">
        <w:rPr>
          <w:color w:val="000000"/>
          <w:sz w:val="22"/>
          <w:szCs w:val="22"/>
          <w:lang w:val="es-ES" w:eastAsia="es-ES"/>
        </w:rPr>
        <w:t xml:space="preserve">Embajador </w:t>
      </w:r>
      <w:r w:rsidR="009B3501">
        <w:rPr>
          <w:color w:val="000000"/>
          <w:sz w:val="22"/>
          <w:szCs w:val="22"/>
          <w:lang w:val="es-ES" w:eastAsia="es-ES"/>
        </w:rPr>
        <w:t xml:space="preserve">Carlos Alberto Játiva Naranjo, </w:t>
      </w:r>
      <w:r w:rsidR="00EB59D4">
        <w:rPr>
          <w:color w:val="000000"/>
          <w:sz w:val="22"/>
          <w:szCs w:val="22"/>
          <w:lang w:val="es-ES" w:eastAsia="es-ES"/>
        </w:rPr>
        <w:t xml:space="preserve">Representante Permanente </w:t>
      </w:r>
      <w:r w:rsidR="009B3501">
        <w:rPr>
          <w:color w:val="000000"/>
          <w:sz w:val="22"/>
          <w:szCs w:val="22"/>
          <w:lang w:val="es-ES" w:eastAsia="es-ES"/>
        </w:rPr>
        <w:t>del Ecuador</w:t>
      </w:r>
      <w:r w:rsidR="001C3F69">
        <w:rPr>
          <w:color w:val="000000"/>
          <w:sz w:val="22"/>
          <w:szCs w:val="22"/>
          <w:lang w:val="es-ES" w:eastAsia="es-ES"/>
        </w:rPr>
        <w:t xml:space="preserve">, </w:t>
      </w:r>
      <w:r w:rsidR="00367B85">
        <w:rPr>
          <w:color w:val="000000"/>
          <w:sz w:val="22"/>
          <w:szCs w:val="22"/>
          <w:lang w:val="es-ES" w:eastAsia="es-ES"/>
        </w:rPr>
        <w:t xml:space="preserve">fue electo </w:t>
      </w:r>
      <w:r w:rsidR="001C3F69">
        <w:rPr>
          <w:color w:val="000000"/>
          <w:sz w:val="22"/>
          <w:szCs w:val="22"/>
          <w:lang w:val="es-ES" w:eastAsia="es-ES"/>
        </w:rPr>
        <w:t xml:space="preserve">Presidente de la CAJP </w:t>
      </w:r>
      <w:r w:rsidR="00864865">
        <w:rPr>
          <w:color w:val="000000"/>
          <w:sz w:val="22"/>
          <w:szCs w:val="22"/>
          <w:lang w:val="es-ES" w:eastAsia="es-ES"/>
        </w:rPr>
        <w:t xml:space="preserve">para el </w:t>
      </w:r>
      <w:r w:rsidR="00367B85">
        <w:rPr>
          <w:color w:val="000000"/>
          <w:sz w:val="22"/>
          <w:szCs w:val="22"/>
          <w:lang w:val="es-ES" w:eastAsia="es-ES"/>
        </w:rPr>
        <w:t xml:space="preserve">mismo </w:t>
      </w:r>
      <w:r w:rsidR="008738E8">
        <w:rPr>
          <w:color w:val="000000"/>
          <w:sz w:val="22"/>
          <w:szCs w:val="22"/>
          <w:lang w:val="es-ES" w:eastAsia="es-ES"/>
        </w:rPr>
        <w:t>período</w:t>
      </w:r>
      <w:r w:rsidR="001C3F69">
        <w:rPr>
          <w:color w:val="000000"/>
          <w:sz w:val="22"/>
          <w:szCs w:val="22"/>
          <w:lang w:val="es-ES" w:eastAsia="es-ES"/>
        </w:rPr>
        <w:t>.</w:t>
      </w:r>
    </w:p>
    <w:p w:rsidR="00603C34" w:rsidRDefault="00603C34" w:rsidP="00295A7F">
      <w:pPr>
        <w:tabs>
          <w:tab w:val="left" w:pos="720"/>
          <w:tab w:val="left" w:pos="3960"/>
        </w:tabs>
        <w:ind w:right="11"/>
        <w:jc w:val="both"/>
        <w:rPr>
          <w:color w:val="000000"/>
          <w:sz w:val="22"/>
          <w:szCs w:val="22"/>
          <w:lang w:val="es-ES" w:eastAsia="es-ES"/>
        </w:rPr>
      </w:pPr>
    </w:p>
    <w:p w:rsidR="00864865" w:rsidRPr="008F7CE0" w:rsidRDefault="00603C34" w:rsidP="00295A7F">
      <w:pPr>
        <w:tabs>
          <w:tab w:val="left" w:pos="720"/>
          <w:tab w:val="left" w:pos="3960"/>
        </w:tabs>
        <w:ind w:right="11"/>
        <w:jc w:val="both"/>
        <w:rPr>
          <w:sz w:val="22"/>
          <w:szCs w:val="22"/>
          <w:lang w:val="es-ES" w:eastAsia="es-ES"/>
        </w:rPr>
      </w:pPr>
      <w:r>
        <w:rPr>
          <w:color w:val="000000"/>
          <w:sz w:val="22"/>
          <w:szCs w:val="22"/>
          <w:lang w:val="es-ES" w:eastAsia="es-ES"/>
        </w:rPr>
        <w:tab/>
      </w:r>
      <w:r w:rsidRPr="008F7CE0">
        <w:rPr>
          <w:sz w:val="22"/>
          <w:szCs w:val="22"/>
          <w:lang w:val="es-ES" w:eastAsia="es-ES"/>
        </w:rPr>
        <w:t>En la sesión de la CAJP del 9 de octubre de 2019, el Embajador Luis Fernando Cordero Montoya, Representante Interino de Honduras, fue electo Vicepresidente de la CAJP para el presente ejercicio.</w:t>
      </w:r>
    </w:p>
    <w:p w:rsidR="00DA3C96" w:rsidRDefault="00DA3C96" w:rsidP="00295A7F">
      <w:pPr>
        <w:tabs>
          <w:tab w:val="left" w:pos="720"/>
          <w:tab w:val="left" w:pos="3960"/>
        </w:tabs>
        <w:ind w:right="11"/>
        <w:jc w:val="both"/>
        <w:rPr>
          <w:color w:val="000000"/>
          <w:sz w:val="22"/>
          <w:szCs w:val="22"/>
          <w:lang w:val="es-ES" w:eastAsia="es-ES"/>
        </w:rPr>
      </w:pPr>
    </w:p>
    <w:p w:rsidR="00295A7F" w:rsidRPr="00A6711A" w:rsidRDefault="00295A7F" w:rsidP="002007AD">
      <w:pPr>
        <w:jc w:val="center"/>
        <w:rPr>
          <w:caps/>
          <w:color w:val="000000"/>
          <w:sz w:val="22"/>
          <w:szCs w:val="22"/>
          <w:lang w:val="es-ES" w:eastAsia="es-ES"/>
        </w:rPr>
      </w:pPr>
      <w:r w:rsidRPr="00A6711A">
        <w:rPr>
          <w:caps/>
          <w:color w:val="000000"/>
          <w:sz w:val="22"/>
          <w:szCs w:val="22"/>
          <w:lang w:val="es-ES" w:eastAsia="es-ES"/>
        </w:rPr>
        <w:t>II.</w:t>
      </w:r>
      <w:r w:rsidR="00151442" w:rsidRPr="00A6711A">
        <w:rPr>
          <w:caps/>
          <w:color w:val="000000"/>
          <w:sz w:val="22"/>
          <w:szCs w:val="22"/>
          <w:lang w:val="es-ES" w:eastAsia="es-ES"/>
        </w:rPr>
        <w:t xml:space="preserve"> </w:t>
      </w:r>
      <w:r w:rsidRPr="00A6711A">
        <w:rPr>
          <w:caps/>
          <w:color w:val="000000"/>
          <w:sz w:val="22"/>
          <w:szCs w:val="22"/>
          <w:lang w:val="es-ES" w:eastAsia="es-ES"/>
        </w:rPr>
        <w:t>MANDATOS</w:t>
      </w:r>
    </w:p>
    <w:p w:rsidR="00295A7F" w:rsidRPr="00A6711A" w:rsidRDefault="00295A7F" w:rsidP="00295A7F">
      <w:pPr>
        <w:ind w:right="-29"/>
        <w:rPr>
          <w:color w:val="000000"/>
          <w:sz w:val="22"/>
          <w:szCs w:val="22"/>
          <w:lang w:val="es-ES" w:eastAsia="es-ES"/>
        </w:rPr>
      </w:pPr>
    </w:p>
    <w:p w:rsidR="00295A7F" w:rsidRPr="00A6711A" w:rsidRDefault="008738E8" w:rsidP="00295A7F">
      <w:pPr>
        <w:tabs>
          <w:tab w:val="left" w:pos="5040"/>
          <w:tab w:val="left" w:pos="6540"/>
          <w:tab w:val="left" w:pos="7194"/>
        </w:tabs>
        <w:suppressAutoHyphens/>
        <w:ind w:right="11" w:firstLine="720"/>
        <w:jc w:val="both"/>
        <w:rPr>
          <w:sz w:val="22"/>
          <w:szCs w:val="22"/>
          <w:lang w:val="es-ES" w:eastAsia="es-ES"/>
        </w:rPr>
      </w:pPr>
      <w:r>
        <w:rPr>
          <w:sz w:val="22"/>
          <w:szCs w:val="22"/>
          <w:lang w:val="es-ES" w:eastAsia="es-ES"/>
        </w:rPr>
        <w:t xml:space="preserve">Según </w:t>
      </w:r>
      <w:r w:rsidR="00295A7F" w:rsidRPr="00A6711A">
        <w:rPr>
          <w:sz w:val="22"/>
          <w:szCs w:val="22"/>
          <w:lang w:val="es-ES" w:eastAsia="es-ES"/>
        </w:rPr>
        <w:t xml:space="preserve">lo </w:t>
      </w:r>
      <w:r w:rsidR="00191A80" w:rsidRPr="00A6711A">
        <w:rPr>
          <w:sz w:val="22"/>
          <w:szCs w:val="22"/>
          <w:lang w:val="es-ES" w:eastAsia="es-ES"/>
        </w:rPr>
        <w:t xml:space="preserve">dispuesto </w:t>
      </w:r>
      <w:r w:rsidR="00295A7F" w:rsidRPr="00A6711A">
        <w:rPr>
          <w:sz w:val="22"/>
          <w:szCs w:val="22"/>
          <w:lang w:val="es-ES" w:eastAsia="es-ES"/>
        </w:rPr>
        <w:t>en los artículos 17 y 18 del Reglamento del Consejo Permanente, la CAJP tiene las siguientes funciones:</w:t>
      </w:r>
    </w:p>
    <w:p w:rsidR="00295A7F" w:rsidRPr="00A6711A" w:rsidRDefault="00295A7F" w:rsidP="00295A7F">
      <w:pPr>
        <w:tabs>
          <w:tab w:val="left" w:pos="5040"/>
          <w:tab w:val="left" w:pos="6540"/>
          <w:tab w:val="left" w:pos="7194"/>
        </w:tabs>
        <w:suppressAutoHyphens/>
        <w:jc w:val="both"/>
        <w:rPr>
          <w:sz w:val="22"/>
          <w:szCs w:val="22"/>
          <w:u w:val="single"/>
          <w:lang w:val="es-ES" w:eastAsia="es-ES"/>
        </w:rPr>
      </w:pPr>
    </w:p>
    <w:p w:rsidR="00295A7F" w:rsidRPr="00A6711A" w:rsidRDefault="00295A7F" w:rsidP="002D178C">
      <w:pPr>
        <w:numPr>
          <w:ilvl w:val="0"/>
          <w:numId w:val="1"/>
        </w:numPr>
        <w:tabs>
          <w:tab w:val="clear" w:pos="1080"/>
          <w:tab w:val="num" w:pos="1440"/>
          <w:tab w:val="left" w:pos="5040"/>
          <w:tab w:val="left" w:pos="6540"/>
          <w:tab w:val="left" w:pos="7194"/>
        </w:tabs>
        <w:suppressAutoHyphens/>
        <w:ind w:left="1440" w:hanging="720"/>
        <w:jc w:val="both"/>
        <w:rPr>
          <w:sz w:val="22"/>
          <w:szCs w:val="22"/>
          <w:lang w:val="es-ES" w:eastAsia="es-ES"/>
        </w:rPr>
      </w:pPr>
      <w:r w:rsidRPr="00A6711A">
        <w:rPr>
          <w:sz w:val="22"/>
          <w:szCs w:val="22"/>
          <w:lang w:val="es-ES" w:eastAsia="es-ES"/>
        </w:rPr>
        <w:t xml:space="preserve">Estudiar los temas sobre asuntos jurídicos y políticos que le encomiende el Consejo Permanente. </w:t>
      </w:r>
    </w:p>
    <w:p w:rsidR="00295A7F" w:rsidRPr="00A6711A" w:rsidRDefault="00295A7F" w:rsidP="002D178C">
      <w:pPr>
        <w:tabs>
          <w:tab w:val="left" w:pos="0"/>
          <w:tab w:val="num" w:pos="1440"/>
          <w:tab w:val="left" w:pos="5040"/>
          <w:tab w:val="left" w:pos="6540"/>
          <w:tab w:val="left" w:pos="7194"/>
        </w:tabs>
        <w:suppressAutoHyphens/>
        <w:jc w:val="both"/>
        <w:rPr>
          <w:sz w:val="22"/>
          <w:szCs w:val="22"/>
          <w:lang w:val="es-ES" w:eastAsia="es-ES"/>
        </w:rPr>
      </w:pPr>
    </w:p>
    <w:p w:rsidR="00295A7F" w:rsidRPr="00A6711A" w:rsidRDefault="00295A7F" w:rsidP="002D178C">
      <w:pPr>
        <w:numPr>
          <w:ilvl w:val="0"/>
          <w:numId w:val="1"/>
        </w:numPr>
        <w:tabs>
          <w:tab w:val="clear" w:pos="1080"/>
          <w:tab w:val="num" w:pos="1440"/>
          <w:tab w:val="left" w:pos="5040"/>
          <w:tab w:val="left" w:pos="6540"/>
          <w:tab w:val="left" w:pos="7194"/>
        </w:tabs>
        <w:suppressAutoHyphens/>
        <w:ind w:left="1440" w:hanging="720"/>
        <w:jc w:val="both"/>
        <w:rPr>
          <w:sz w:val="22"/>
          <w:szCs w:val="22"/>
          <w:lang w:val="es-ES" w:eastAsia="es-ES"/>
        </w:rPr>
      </w:pPr>
      <w:r w:rsidRPr="00A6711A">
        <w:rPr>
          <w:sz w:val="22"/>
          <w:szCs w:val="22"/>
          <w:lang w:val="es-ES" w:eastAsia="es-ES"/>
        </w:rPr>
        <w:t>Considerar los informes del Comité Jurídico Interamericano, la Comisión Interamericana de Derechos Humanos y la Corte Interamericana de Derechos Humanos a los que se refiere el artículo 91(f) de la Carta. Asimismo, elevar al Consejo Permanente sus informes con observaciones y recomendaciones y los correspondientes proyectos de resolución.</w:t>
      </w:r>
    </w:p>
    <w:p w:rsidR="00295A7F" w:rsidRPr="00A6711A" w:rsidRDefault="00295A7F" w:rsidP="00295A7F">
      <w:pPr>
        <w:ind w:right="-29"/>
        <w:jc w:val="both"/>
        <w:rPr>
          <w:sz w:val="22"/>
          <w:szCs w:val="22"/>
          <w:lang w:val="es-ES" w:eastAsia="es-ES"/>
        </w:rPr>
      </w:pPr>
    </w:p>
    <w:p w:rsidR="00295A7F" w:rsidRDefault="008738E8" w:rsidP="00684C5A">
      <w:pPr>
        <w:tabs>
          <w:tab w:val="left" w:pos="5040"/>
          <w:tab w:val="left" w:pos="6540"/>
          <w:tab w:val="left" w:pos="7194"/>
        </w:tabs>
        <w:suppressAutoHyphens/>
        <w:ind w:right="11" w:firstLine="720"/>
        <w:jc w:val="both"/>
        <w:rPr>
          <w:sz w:val="22"/>
          <w:szCs w:val="22"/>
          <w:lang w:val="es-ES" w:eastAsia="es-ES"/>
        </w:rPr>
      </w:pPr>
      <w:r>
        <w:rPr>
          <w:sz w:val="22"/>
          <w:szCs w:val="22"/>
          <w:lang w:val="es-ES" w:eastAsia="es-ES"/>
        </w:rPr>
        <w:t>Además</w:t>
      </w:r>
      <w:r w:rsidR="00295A7F" w:rsidRPr="00A6711A">
        <w:rPr>
          <w:sz w:val="22"/>
          <w:szCs w:val="22"/>
          <w:lang w:val="es-ES" w:eastAsia="es-ES"/>
        </w:rPr>
        <w:t>, en cumplimiento de</w:t>
      </w:r>
      <w:r w:rsidR="00191A80" w:rsidRPr="00A6711A">
        <w:rPr>
          <w:sz w:val="22"/>
          <w:szCs w:val="22"/>
          <w:lang w:val="es-ES" w:eastAsia="es-ES"/>
        </w:rPr>
        <w:t xml:space="preserve"> </w:t>
      </w:r>
      <w:r w:rsidR="00295A7F" w:rsidRPr="00A6711A">
        <w:rPr>
          <w:sz w:val="22"/>
          <w:szCs w:val="22"/>
          <w:lang w:val="es-ES" w:eastAsia="es-ES"/>
        </w:rPr>
        <w:t>l</w:t>
      </w:r>
      <w:r w:rsidR="00191A80" w:rsidRPr="00A6711A">
        <w:rPr>
          <w:sz w:val="22"/>
          <w:szCs w:val="22"/>
          <w:lang w:val="es-ES" w:eastAsia="es-ES"/>
        </w:rPr>
        <w:t xml:space="preserve">o dispuesto en el </w:t>
      </w:r>
      <w:r w:rsidR="00A27456">
        <w:rPr>
          <w:sz w:val="22"/>
          <w:szCs w:val="22"/>
          <w:lang w:val="es-ES" w:eastAsia="es-ES"/>
        </w:rPr>
        <w:t xml:space="preserve">artículo 30 del </w:t>
      </w:r>
      <w:r w:rsidR="00295A7F" w:rsidRPr="00A6711A">
        <w:rPr>
          <w:sz w:val="22"/>
          <w:szCs w:val="22"/>
          <w:lang w:val="es-ES" w:eastAsia="es-ES"/>
        </w:rPr>
        <w:t>Reglamento</w:t>
      </w:r>
      <w:r w:rsidR="00A27456" w:rsidRPr="00A27456">
        <w:rPr>
          <w:sz w:val="22"/>
          <w:szCs w:val="22"/>
          <w:lang w:val="es-ES" w:eastAsia="es-ES"/>
        </w:rPr>
        <w:t xml:space="preserve"> </w:t>
      </w:r>
      <w:r w:rsidR="00A27456" w:rsidRPr="00A6711A">
        <w:rPr>
          <w:sz w:val="22"/>
          <w:szCs w:val="22"/>
          <w:lang w:val="es-ES" w:eastAsia="es-ES"/>
        </w:rPr>
        <w:t>del Consejo Permanente</w:t>
      </w:r>
      <w:r w:rsidR="00295A7F" w:rsidRPr="00A6711A">
        <w:rPr>
          <w:sz w:val="22"/>
          <w:szCs w:val="22"/>
          <w:lang w:val="es-ES" w:eastAsia="es-ES"/>
        </w:rPr>
        <w:t xml:space="preserve">, en </w:t>
      </w:r>
      <w:r w:rsidR="00A27456">
        <w:rPr>
          <w:sz w:val="22"/>
          <w:szCs w:val="22"/>
          <w:lang w:val="es-ES" w:eastAsia="es-ES"/>
        </w:rPr>
        <w:t xml:space="preserve">la </w:t>
      </w:r>
      <w:r w:rsidR="00295A7F" w:rsidRPr="00A6711A">
        <w:rPr>
          <w:sz w:val="22"/>
          <w:szCs w:val="22"/>
          <w:lang w:val="es-ES" w:eastAsia="es-ES"/>
        </w:rPr>
        <w:t xml:space="preserve">sesión </w:t>
      </w:r>
      <w:r w:rsidR="00747866">
        <w:rPr>
          <w:sz w:val="22"/>
          <w:szCs w:val="22"/>
          <w:lang w:val="es-ES" w:eastAsia="es-ES"/>
        </w:rPr>
        <w:t>ordinaria d</w:t>
      </w:r>
      <w:r w:rsidR="00747866" w:rsidRPr="00A6711A">
        <w:rPr>
          <w:sz w:val="22"/>
          <w:szCs w:val="22"/>
          <w:lang w:val="es-ES" w:eastAsia="es-ES"/>
        </w:rPr>
        <w:t xml:space="preserve">el Consejo Permanente </w:t>
      </w:r>
      <w:r w:rsidR="00996E87" w:rsidRPr="00A6711A">
        <w:rPr>
          <w:sz w:val="22"/>
          <w:szCs w:val="22"/>
          <w:lang w:val="es-ES" w:eastAsia="es-ES"/>
        </w:rPr>
        <w:t xml:space="preserve">del </w:t>
      </w:r>
      <w:r w:rsidR="00EB59D4">
        <w:rPr>
          <w:sz w:val="22"/>
          <w:szCs w:val="22"/>
          <w:lang w:val="es-ES" w:eastAsia="es-ES"/>
        </w:rPr>
        <w:t>8</w:t>
      </w:r>
      <w:r w:rsidR="00996E87" w:rsidRPr="00A6711A">
        <w:rPr>
          <w:sz w:val="22"/>
          <w:szCs w:val="22"/>
          <w:lang w:val="es-ES" w:eastAsia="es-ES"/>
        </w:rPr>
        <w:t xml:space="preserve"> de </w:t>
      </w:r>
      <w:r w:rsidR="00EB59D4">
        <w:rPr>
          <w:sz w:val="22"/>
          <w:szCs w:val="22"/>
          <w:lang w:val="es-ES" w:eastAsia="es-ES"/>
        </w:rPr>
        <w:t>agosto</w:t>
      </w:r>
      <w:r w:rsidR="00996E87" w:rsidRPr="00A6711A">
        <w:rPr>
          <w:sz w:val="22"/>
          <w:szCs w:val="22"/>
          <w:lang w:val="es-ES" w:eastAsia="es-ES"/>
        </w:rPr>
        <w:t xml:space="preserve"> de </w:t>
      </w:r>
      <w:r w:rsidR="00EB59D4">
        <w:rPr>
          <w:sz w:val="22"/>
          <w:szCs w:val="22"/>
          <w:lang w:val="es-ES" w:eastAsia="es-ES"/>
        </w:rPr>
        <w:t>2019</w:t>
      </w:r>
      <w:r w:rsidR="00747866">
        <w:rPr>
          <w:sz w:val="22"/>
          <w:szCs w:val="22"/>
          <w:lang w:val="es-ES" w:eastAsia="es-ES"/>
        </w:rPr>
        <w:t xml:space="preserve"> se </w:t>
      </w:r>
      <w:r w:rsidR="00295A7F" w:rsidRPr="00A6711A">
        <w:rPr>
          <w:sz w:val="22"/>
          <w:szCs w:val="22"/>
          <w:lang w:val="es-ES" w:eastAsia="es-ES"/>
        </w:rPr>
        <w:t xml:space="preserve">aprobó la </w:t>
      </w:r>
      <w:r w:rsidR="00191A80" w:rsidRPr="00A6711A">
        <w:rPr>
          <w:sz w:val="22"/>
          <w:szCs w:val="22"/>
          <w:lang w:val="es-ES" w:eastAsia="es-ES"/>
        </w:rPr>
        <w:t xml:space="preserve">“Distribución de mandatos emanados del cuadragésimo </w:t>
      </w:r>
      <w:r w:rsidR="00EB59D4">
        <w:rPr>
          <w:sz w:val="22"/>
          <w:szCs w:val="22"/>
          <w:lang w:val="es-ES" w:eastAsia="es-ES"/>
        </w:rPr>
        <w:t>noveno</w:t>
      </w:r>
      <w:r w:rsidR="00191A80" w:rsidRPr="00A6711A">
        <w:rPr>
          <w:sz w:val="22"/>
          <w:szCs w:val="22"/>
          <w:lang w:val="es-ES" w:eastAsia="es-ES"/>
        </w:rPr>
        <w:t xml:space="preserve"> período ordinario de sesiones de la Asamblea General y otros períodos anteriores”, documento</w:t>
      </w:r>
      <w:r w:rsidR="00BC0EE0" w:rsidRPr="00A6711A">
        <w:rPr>
          <w:sz w:val="22"/>
          <w:szCs w:val="22"/>
          <w:lang w:val="es-ES" w:eastAsia="es-ES"/>
        </w:rPr>
        <w:t xml:space="preserve"> </w:t>
      </w:r>
      <w:hyperlink r:id="rId8" w:history="1">
        <w:r w:rsidR="00BC0EE0" w:rsidRPr="00FB382A">
          <w:rPr>
            <w:rStyle w:val="Hyperlink"/>
            <w:sz w:val="22"/>
            <w:szCs w:val="22"/>
            <w:lang w:val="es-ES" w:eastAsia="es-ES"/>
          </w:rPr>
          <w:t>CP/doc.</w:t>
        </w:r>
        <w:r w:rsidR="00EB59D4" w:rsidRPr="00FB382A">
          <w:rPr>
            <w:rStyle w:val="Hyperlink"/>
            <w:sz w:val="22"/>
            <w:szCs w:val="22"/>
            <w:lang w:val="es-ES" w:eastAsia="es-ES"/>
          </w:rPr>
          <w:t>5545</w:t>
        </w:r>
        <w:r w:rsidR="00BC0EE0" w:rsidRPr="00FB382A">
          <w:rPr>
            <w:rStyle w:val="Hyperlink"/>
            <w:sz w:val="22"/>
            <w:szCs w:val="22"/>
            <w:lang w:val="es-ES" w:eastAsia="es-ES"/>
          </w:rPr>
          <w:t>/1</w:t>
        </w:r>
        <w:r w:rsidR="00EB59D4" w:rsidRPr="00FB382A">
          <w:rPr>
            <w:rStyle w:val="Hyperlink"/>
            <w:sz w:val="22"/>
            <w:szCs w:val="22"/>
            <w:lang w:val="es-ES" w:eastAsia="es-ES"/>
          </w:rPr>
          <w:t>9</w:t>
        </w:r>
      </w:hyperlink>
      <w:r w:rsidR="00BC0EE0" w:rsidRPr="00A6711A">
        <w:rPr>
          <w:sz w:val="22"/>
          <w:szCs w:val="22"/>
          <w:lang w:val="es-ES" w:eastAsia="es-ES"/>
        </w:rPr>
        <w:t xml:space="preserve"> rev. </w:t>
      </w:r>
      <w:r w:rsidR="00EB59D4">
        <w:rPr>
          <w:sz w:val="22"/>
          <w:szCs w:val="22"/>
          <w:lang w:val="es-ES" w:eastAsia="es-ES"/>
        </w:rPr>
        <w:t>1</w:t>
      </w:r>
      <w:r w:rsidR="00BC0EE0" w:rsidRPr="00A6711A">
        <w:rPr>
          <w:sz w:val="22"/>
          <w:szCs w:val="22"/>
          <w:lang w:val="es-ES" w:eastAsia="es-ES"/>
        </w:rPr>
        <w:t xml:space="preserve">, </w:t>
      </w:r>
      <w:r w:rsidR="00295A7F" w:rsidRPr="00A6711A">
        <w:rPr>
          <w:sz w:val="22"/>
          <w:szCs w:val="22"/>
          <w:lang w:val="es-ES" w:eastAsia="es-ES"/>
        </w:rPr>
        <w:t xml:space="preserve">y </w:t>
      </w:r>
      <w:r w:rsidR="00747866">
        <w:rPr>
          <w:sz w:val="22"/>
          <w:szCs w:val="22"/>
          <w:lang w:val="es-ES" w:eastAsia="es-ES"/>
        </w:rPr>
        <w:t xml:space="preserve">se </w:t>
      </w:r>
      <w:r w:rsidR="00295A7F" w:rsidRPr="00A6711A">
        <w:rPr>
          <w:sz w:val="22"/>
          <w:szCs w:val="22"/>
          <w:lang w:val="es-ES" w:eastAsia="es-ES"/>
        </w:rPr>
        <w:t xml:space="preserve">encomendó a la CAJP que durante el período </w:t>
      </w:r>
      <w:r w:rsidR="00FB382A">
        <w:rPr>
          <w:sz w:val="22"/>
          <w:szCs w:val="22"/>
          <w:lang w:val="es-ES" w:eastAsia="es-ES"/>
        </w:rPr>
        <w:t>2019</w:t>
      </w:r>
      <w:r w:rsidR="00295A7F" w:rsidRPr="00A6711A">
        <w:rPr>
          <w:sz w:val="22"/>
          <w:szCs w:val="22"/>
          <w:lang w:val="es-ES" w:eastAsia="es-ES"/>
        </w:rPr>
        <w:t>-</w:t>
      </w:r>
      <w:r w:rsidR="00FB382A">
        <w:rPr>
          <w:sz w:val="22"/>
          <w:szCs w:val="22"/>
          <w:lang w:val="es-ES" w:eastAsia="es-ES"/>
        </w:rPr>
        <w:t>2020</w:t>
      </w:r>
      <w:r w:rsidR="00295A7F" w:rsidRPr="00A6711A">
        <w:rPr>
          <w:sz w:val="22"/>
          <w:szCs w:val="22"/>
          <w:lang w:val="es-ES" w:eastAsia="es-ES"/>
        </w:rPr>
        <w:t xml:space="preserve"> dé seguimiento a los mandatos contenidos en</w:t>
      </w:r>
      <w:r w:rsidR="00191A80" w:rsidRPr="00A6711A">
        <w:rPr>
          <w:sz w:val="22"/>
          <w:szCs w:val="22"/>
          <w:lang w:val="es-ES" w:eastAsia="es-ES"/>
        </w:rPr>
        <w:t xml:space="preserve"> </w:t>
      </w:r>
      <w:r w:rsidR="00FB382A" w:rsidRPr="00A6711A">
        <w:rPr>
          <w:sz w:val="22"/>
          <w:szCs w:val="22"/>
          <w:lang w:val="es-ES" w:eastAsia="es-ES"/>
        </w:rPr>
        <w:t>la declaración</w:t>
      </w:r>
      <w:r w:rsidR="00FB382A">
        <w:rPr>
          <w:sz w:val="22"/>
          <w:szCs w:val="22"/>
          <w:lang w:val="es-ES" w:eastAsia="es-ES"/>
        </w:rPr>
        <w:t xml:space="preserve"> y </w:t>
      </w:r>
      <w:r w:rsidR="00FB382A" w:rsidRPr="00A6711A">
        <w:rPr>
          <w:sz w:val="22"/>
          <w:szCs w:val="22"/>
          <w:lang w:val="es-ES" w:eastAsia="es-ES"/>
        </w:rPr>
        <w:t>resoluciones siguiente</w:t>
      </w:r>
      <w:r w:rsidR="00FB382A">
        <w:rPr>
          <w:sz w:val="22"/>
          <w:szCs w:val="22"/>
          <w:lang w:val="es-ES" w:eastAsia="es-ES"/>
        </w:rPr>
        <w:t>s</w:t>
      </w:r>
      <w:r w:rsidR="00295A7F" w:rsidRPr="00A6711A">
        <w:rPr>
          <w:sz w:val="22"/>
          <w:szCs w:val="22"/>
          <w:lang w:val="es-ES" w:eastAsia="es-ES"/>
        </w:rPr>
        <w:t xml:space="preserve">: </w:t>
      </w:r>
    </w:p>
    <w:p w:rsidR="00EB59D4" w:rsidRPr="00A6711A" w:rsidRDefault="00EB59D4" w:rsidP="00684C5A">
      <w:pPr>
        <w:tabs>
          <w:tab w:val="left" w:pos="5040"/>
          <w:tab w:val="left" w:pos="6540"/>
          <w:tab w:val="left" w:pos="7194"/>
        </w:tabs>
        <w:suppressAutoHyphens/>
        <w:ind w:right="11" w:firstLine="720"/>
        <w:jc w:val="both"/>
        <w:rPr>
          <w:sz w:val="22"/>
          <w:szCs w:val="22"/>
          <w:lang w:val="es-ES" w:eastAsia="es-ES"/>
        </w:rPr>
      </w:pPr>
    </w:p>
    <w:p w:rsidR="00FB382A" w:rsidRPr="00FB382A" w:rsidRDefault="00FB382A" w:rsidP="00C32931">
      <w:pPr>
        <w:numPr>
          <w:ilvl w:val="0"/>
          <w:numId w:val="16"/>
        </w:numPr>
        <w:tabs>
          <w:tab w:val="left" w:pos="360"/>
        </w:tabs>
        <w:ind w:left="3600" w:hanging="3240"/>
        <w:jc w:val="both"/>
        <w:rPr>
          <w:sz w:val="22"/>
          <w:szCs w:val="22"/>
          <w:lang w:val="es-ES_tradnl"/>
        </w:rPr>
      </w:pPr>
      <w:r w:rsidRPr="00FB382A">
        <w:rPr>
          <w:sz w:val="22"/>
          <w:szCs w:val="22"/>
          <w:lang w:val="es-ES_tradnl"/>
        </w:rPr>
        <w:lastRenderedPageBreak/>
        <w:t>AG/DEC. 99 (XLIX-O/19)</w:t>
      </w:r>
      <w:r w:rsidRPr="00FB382A">
        <w:rPr>
          <w:sz w:val="22"/>
          <w:szCs w:val="22"/>
          <w:lang w:val="es-ES_tradnl"/>
        </w:rPr>
        <w:tab/>
      </w:r>
      <w:r w:rsidRPr="00FB382A">
        <w:rPr>
          <w:bCs/>
          <w:snapToGrid w:val="0"/>
          <w:sz w:val="22"/>
          <w:szCs w:val="22"/>
          <w:lang w:val="es-ES_tradnl"/>
        </w:rPr>
        <w:t>Sexagésimo</w:t>
      </w:r>
      <w:r w:rsidRPr="00FB382A">
        <w:rPr>
          <w:sz w:val="22"/>
          <w:szCs w:val="22"/>
          <w:lang w:val="es-ES_tradnl"/>
        </w:rPr>
        <w:t xml:space="preserve"> Aniversario de la creación e instalación de la Comisión Interamericana de Derechos Humanos, Quincuagésimo Aniversario de la Adopción de la Convención Americana sobre Derechos Humanos (Pacto de San José de Costa Rica) y cuadragésimo aniversario de la Corte Interamericana de Derechos Humanos (excepto el párrafo 2)</w:t>
      </w:r>
    </w:p>
    <w:p w:rsidR="00FB382A" w:rsidRPr="00FB382A" w:rsidRDefault="00FB382A" w:rsidP="00FB382A">
      <w:pPr>
        <w:tabs>
          <w:tab w:val="left" w:pos="360"/>
        </w:tabs>
        <w:ind w:left="3600" w:hanging="3240"/>
        <w:jc w:val="both"/>
        <w:rPr>
          <w:sz w:val="22"/>
          <w:szCs w:val="22"/>
          <w:lang w:val="es-ES_tradnl"/>
        </w:rPr>
      </w:pPr>
    </w:p>
    <w:p w:rsidR="00FB382A" w:rsidRPr="00FB382A" w:rsidRDefault="00FB382A" w:rsidP="00C32931">
      <w:pPr>
        <w:numPr>
          <w:ilvl w:val="0"/>
          <w:numId w:val="16"/>
        </w:numPr>
        <w:tabs>
          <w:tab w:val="left" w:pos="360"/>
        </w:tabs>
        <w:ind w:left="3600" w:hanging="3240"/>
        <w:jc w:val="both"/>
        <w:rPr>
          <w:sz w:val="22"/>
          <w:szCs w:val="22"/>
          <w:lang w:val="es-ES_tradnl"/>
        </w:rPr>
      </w:pPr>
      <w:r w:rsidRPr="00FB382A">
        <w:rPr>
          <w:sz w:val="22"/>
          <w:szCs w:val="22"/>
          <w:lang w:val="es-ES_tradnl"/>
        </w:rPr>
        <w:t>AG/RES. 2930 (</w:t>
      </w:r>
      <w:r w:rsidRPr="00FB382A">
        <w:rPr>
          <w:bCs/>
          <w:noProof/>
          <w:snapToGrid w:val="0"/>
          <w:sz w:val="22"/>
          <w:szCs w:val="22"/>
          <w:lang w:val="es-SV"/>
        </w:rPr>
        <w:t>XLIX-O/19</w:t>
      </w:r>
      <w:r w:rsidRPr="00FB382A">
        <w:rPr>
          <w:sz w:val="22"/>
          <w:szCs w:val="22"/>
          <w:lang w:val="es-ES_tradnl"/>
        </w:rPr>
        <w:t>)</w:t>
      </w:r>
      <w:r w:rsidRPr="00FB382A">
        <w:rPr>
          <w:sz w:val="22"/>
          <w:szCs w:val="22"/>
          <w:lang w:val="es-ES_tradnl"/>
        </w:rPr>
        <w:tab/>
        <w:t xml:space="preserve">Derecho internacional </w:t>
      </w:r>
    </w:p>
    <w:p w:rsidR="00FB382A" w:rsidRPr="00FB382A" w:rsidRDefault="00FB382A" w:rsidP="00FB382A">
      <w:pPr>
        <w:tabs>
          <w:tab w:val="left" w:pos="360"/>
        </w:tabs>
        <w:ind w:left="3600" w:hanging="3240"/>
        <w:jc w:val="both"/>
        <w:rPr>
          <w:sz w:val="22"/>
          <w:szCs w:val="22"/>
          <w:lang w:val="es-ES_tradnl"/>
        </w:rPr>
      </w:pPr>
    </w:p>
    <w:p w:rsidR="00FB382A" w:rsidRPr="00FB382A" w:rsidRDefault="00FB382A" w:rsidP="00C32931">
      <w:pPr>
        <w:numPr>
          <w:ilvl w:val="0"/>
          <w:numId w:val="16"/>
        </w:numPr>
        <w:tabs>
          <w:tab w:val="left" w:pos="360"/>
        </w:tabs>
        <w:ind w:left="3600" w:hanging="3240"/>
        <w:jc w:val="both"/>
        <w:rPr>
          <w:noProof/>
          <w:sz w:val="22"/>
          <w:szCs w:val="22"/>
          <w:lang w:val="es-SV"/>
        </w:rPr>
      </w:pPr>
      <w:r w:rsidRPr="00FB382A">
        <w:rPr>
          <w:sz w:val="22"/>
          <w:szCs w:val="22"/>
          <w:lang w:val="es-ES_tradnl"/>
        </w:rPr>
        <w:t>AG</w:t>
      </w:r>
      <w:r w:rsidRPr="00FB382A">
        <w:rPr>
          <w:noProof/>
          <w:sz w:val="22"/>
          <w:szCs w:val="22"/>
          <w:lang w:val="es-SV"/>
        </w:rPr>
        <w:t>/RES. 2931 (</w:t>
      </w:r>
      <w:r w:rsidRPr="00FB382A">
        <w:rPr>
          <w:bCs/>
          <w:noProof/>
          <w:snapToGrid w:val="0"/>
          <w:sz w:val="22"/>
          <w:szCs w:val="22"/>
          <w:lang w:val="es-SV"/>
        </w:rPr>
        <w:t>XLIX-O/19</w:t>
      </w:r>
      <w:r w:rsidRPr="00FB382A">
        <w:rPr>
          <w:noProof/>
          <w:sz w:val="22"/>
          <w:szCs w:val="22"/>
          <w:lang w:val="es-SV"/>
        </w:rPr>
        <w:t>)</w:t>
      </w:r>
      <w:r w:rsidRPr="00FB382A">
        <w:rPr>
          <w:noProof/>
          <w:sz w:val="22"/>
          <w:szCs w:val="22"/>
          <w:lang w:val="es-SV"/>
        </w:rPr>
        <w:tab/>
      </w:r>
      <w:r w:rsidRPr="00FB382A">
        <w:rPr>
          <w:bCs/>
          <w:noProof/>
          <w:snapToGrid w:val="0"/>
          <w:sz w:val="22"/>
          <w:szCs w:val="22"/>
          <w:lang w:val="es-ES"/>
        </w:rPr>
        <w:t xml:space="preserve">Fortalecimiento de la democracia (excepto sección i, párrafo 4) </w:t>
      </w:r>
    </w:p>
    <w:p w:rsidR="00FB382A" w:rsidRPr="00FB382A" w:rsidRDefault="00FB382A" w:rsidP="00FB382A">
      <w:pPr>
        <w:pStyle w:val="ListParagraph"/>
        <w:tabs>
          <w:tab w:val="left" w:pos="360"/>
        </w:tabs>
        <w:ind w:hanging="3240"/>
        <w:rPr>
          <w:noProof/>
          <w:sz w:val="22"/>
          <w:szCs w:val="22"/>
          <w:lang w:val="es-SV"/>
        </w:rPr>
      </w:pPr>
    </w:p>
    <w:p w:rsidR="00FB382A" w:rsidRPr="00FB382A" w:rsidRDefault="00FB382A" w:rsidP="00C32931">
      <w:pPr>
        <w:numPr>
          <w:ilvl w:val="0"/>
          <w:numId w:val="16"/>
        </w:numPr>
        <w:tabs>
          <w:tab w:val="left" w:pos="360"/>
        </w:tabs>
        <w:ind w:left="3600" w:hanging="3240"/>
        <w:jc w:val="both"/>
        <w:rPr>
          <w:rStyle w:val="Heading1Char"/>
          <w:rFonts w:ascii="Times New Roman" w:hAnsi="Times New Roman"/>
          <w:b w:val="0"/>
          <w:bCs w:val="0"/>
          <w:sz w:val="22"/>
          <w:szCs w:val="22"/>
          <w:lang w:val="es-ES"/>
        </w:rPr>
      </w:pPr>
      <w:r w:rsidRPr="00FB382A">
        <w:rPr>
          <w:rStyle w:val="Heading1Char"/>
          <w:rFonts w:ascii="Times New Roman" w:eastAsia="MS Mincho" w:hAnsi="Times New Roman"/>
          <w:b w:val="0"/>
          <w:sz w:val="22"/>
          <w:szCs w:val="22"/>
          <w:lang w:val="es-VE"/>
        </w:rPr>
        <w:t>AG/RES. 2941 (</w:t>
      </w:r>
      <w:r w:rsidRPr="00FB382A">
        <w:rPr>
          <w:bCs/>
          <w:noProof/>
          <w:snapToGrid w:val="0"/>
          <w:sz w:val="22"/>
          <w:szCs w:val="22"/>
          <w:lang w:val="es-SV"/>
        </w:rPr>
        <w:t>XLIX-O/19</w:t>
      </w:r>
      <w:r w:rsidRPr="00FB382A">
        <w:rPr>
          <w:rStyle w:val="Heading1Char"/>
          <w:rFonts w:ascii="Times New Roman" w:eastAsia="MS Mincho" w:hAnsi="Times New Roman"/>
          <w:b w:val="0"/>
          <w:sz w:val="22"/>
          <w:szCs w:val="22"/>
          <w:lang w:val="es-VE"/>
        </w:rPr>
        <w:t>)</w:t>
      </w:r>
      <w:r w:rsidRPr="00FB382A">
        <w:rPr>
          <w:sz w:val="22"/>
          <w:szCs w:val="22"/>
          <w:lang w:val="es-ES_tradnl"/>
        </w:rPr>
        <w:tab/>
        <w:t>Promoción y protección de derechos humanos (</w:t>
      </w:r>
      <w:r w:rsidRPr="00FB382A">
        <w:rPr>
          <w:bCs/>
          <w:snapToGrid w:val="0"/>
          <w:sz w:val="22"/>
          <w:szCs w:val="22"/>
          <w:lang w:val="es-ES_tradnl"/>
        </w:rPr>
        <w:t xml:space="preserve">excepto </w:t>
      </w:r>
      <w:r w:rsidRPr="00FB382A">
        <w:rPr>
          <w:rStyle w:val="Heading1Char"/>
          <w:rFonts w:ascii="Times New Roman" w:eastAsia="MS Mincho" w:hAnsi="Times New Roman"/>
          <w:b w:val="0"/>
          <w:sz w:val="22"/>
          <w:szCs w:val="22"/>
          <w:lang w:val="es-SV"/>
        </w:rPr>
        <w:t xml:space="preserve">sección vii, párrafo 2; sección xiii, párrafo 4; y sección xix, párrafo 3) </w:t>
      </w:r>
    </w:p>
    <w:p w:rsidR="007A5B04" w:rsidRPr="00FB382A" w:rsidRDefault="007A5B04" w:rsidP="007A5B04">
      <w:pPr>
        <w:pStyle w:val="ListParagraph"/>
        <w:ind w:left="3600" w:hanging="3240"/>
        <w:jc w:val="both"/>
        <w:rPr>
          <w:sz w:val="22"/>
          <w:szCs w:val="22"/>
          <w:lang w:val="es-ES"/>
        </w:rPr>
      </w:pPr>
    </w:p>
    <w:p w:rsidR="00047052" w:rsidRPr="00A6711A" w:rsidRDefault="00047052" w:rsidP="00D932FA">
      <w:pPr>
        <w:numPr>
          <w:ilvl w:val="0"/>
          <w:numId w:val="3"/>
        </w:numPr>
        <w:tabs>
          <w:tab w:val="clear" w:pos="720"/>
        </w:tabs>
        <w:jc w:val="both"/>
        <w:rPr>
          <w:sz w:val="22"/>
          <w:szCs w:val="22"/>
          <w:lang w:val="es-ES_tradnl"/>
        </w:rPr>
      </w:pPr>
      <w:r w:rsidRPr="00A6711A">
        <w:rPr>
          <w:sz w:val="22"/>
          <w:szCs w:val="22"/>
          <w:lang w:val="es-ES_tradnl"/>
        </w:rPr>
        <w:t>Observaciones y recomendaciones de los informes anuales de los siguientes órganos, organismos y entidades de la Organización (</w:t>
      </w:r>
      <w:r w:rsidR="00D946BD" w:rsidRPr="00A6711A">
        <w:rPr>
          <w:sz w:val="22"/>
          <w:szCs w:val="22"/>
          <w:lang w:val="es-ES_tradnl"/>
        </w:rPr>
        <w:t>a</w:t>
      </w:r>
      <w:r w:rsidRPr="00A6711A">
        <w:rPr>
          <w:sz w:val="22"/>
          <w:szCs w:val="22"/>
          <w:lang w:val="es-ES_tradnl"/>
        </w:rPr>
        <w:t>rtículo 91</w:t>
      </w:r>
      <w:r w:rsidR="00D946BD" w:rsidRPr="00A6711A">
        <w:rPr>
          <w:sz w:val="22"/>
          <w:szCs w:val="22"/>
          <w:lang w:val="es-ES_tradnl"/>
        </w:rPr>
        <w:t>(</w:t>
      </w:r>
      <w:r w:rsidRPr="00A6711A">
        <w:rPr>
          <w:sz w:val="22"/>
          <w:szCs w:val="22"/>
          <w:lang w:val="es-ES_tradnl"/>
        </w:rPr>
        <w:t>f</w:t>
      </w:r>
      <w:r w:rsidR="00D946BD" w:rsidRPr="00A6711A">
        <w:rPr>
          <w:sz w:val="22"/>
          <w:szCs w:val="22"/>
          <w:lang w:val="es-ES_tradnl"/>
        </w:rPr>
        <w:t>)</w:t>
      </w:r>
      <w:r w:rsidRPr="00A6711A">
        <w:rPr>
          <w:sz w:val="22"/>
          <w:szCs w:val="22"/>
          <w:lang w:val="es-ES_tradnl"/>
        </w:rPr>
        <w:t xml:space="preserve"> de la Carta</w:t>
      </w:r>
      <w:r w:rsidR="00D946BD" w:rsidRPr="00A6711A">
        <w:rPr>
          <w:sz w:val="22"/>
          <w:szCs w:val="22"/>
          <w:lang w:val="es-ES_tradnl"/>
        </w:rPr>
        <w:t xml:space="preserve"> de la OEA</w:t>
      </w:r>
      <w:r w:rsidRPr="00A6711A">
        <w:rPr>
          <w:sz w:val="22"/>
          <w:szCs w:val="22"/>
          <w:lang w:val="es-ES_tradnl"/>
        </w:rPr>
        <w:t xml:space="preserve">): </w:t>
      </w:r>
    </w:p>
    <w:p w:rsidR="00047052" w:rsidRPr="00A6711A" w:rsidRDefault="00047052" w:rsidP="00047052">
      <w:pPr>
        <w:tabs>
          <w:tab w:val="left" w:pos="540"/>
          <w:tab w:val="left" w:pos="3780"/>
        </w:tabs>
        <w:autoSpaceDE w:val="0"/>
        <w:autoSpaceDN w:val="0"/>
        <w:adjustRightInd w:val="0"/>
        <w:ind w:left="3780" w:hanging="3780"/>
        <w:jc w:val="both"/>
        <w:rPr>
          <w:sz w:val="22"/>
          <w:szCs w:val="22"/>
          <w:lang w:val="es-ES_tradnl"/>
        </w:rPr>
      </w:pPr>
    </w:p>
    <w:p w:rsidR="00047052" w:rsidRPr="00A6711A" w:rsidRDefault="00047052" w:rsidP="00047052">
      <w:pPr>
        <w:autoSpaceDE w:val="0"/>
        <w:autoSpaceDN w:val="0"/>
        <w:adjustRightInd w:val="0"/>
        <w:ind w:left="1440" w:hanging="720"/>
        <w:jc w:val="both"/>
        <w:rPr>
          <w:sz w:val="22"/>
          <w:szCs w:val="22"/>
          <w:lang w:val="es-ES_tradnl"/>
        </w:rPr>
      </w:pPr>
      <w:r w:rsidRPr="00A6711A">
        <w:rPr>
          <w:sz w:val="22"/>
          <w:szCs w:val="22"/>
          <w:lang w:val="es-ES_tradnl"/>
        </w:rPr>
        <w:t>a.</w:t>
      </w:r>
      <w:r w:rsidRPr="00A6711A">
        <w:rPr>
          <w:sz w:val="22"/>
          <w:szCs w:val="22"/>
          <w:lang w:val="es-ES_tradnl"/>
        </w:rPr>
        <w:tab/>
        <w:t>Comité Jurídico Interamericano (CJI)</w:t>
      </w:r>
    </w:p>
    <w:p w:rsidR="00047052" w:rsidRPr="00A6711A" w:rsidRDefault="00047052" w:rsidP="00047052">
      <w:pPr>
        <w:autoSpaceDE w:val="0"/>
        <w:autoSpaceDN w:val="0"/>
        <w:adjustRightInd w:val="0"/>
        <w:ind w:left="1440" w:hanging="720"/>
        <w:jc w:val="both"/>
        <w:rPr>
          <w:sz w:val="22"/>
          <w:szCs w:val="22"/>
          <w:lang w:val="es-ES_tradnl"/>
        </w:rPr>
      </w:pPr>
      <w:r w:rsidRPr="00A6711A">
        <w:rPr>
          <w:sz w:val="22"/>
          <w:szCs w:val="22"/>
          <w:lang w:val="es-ES_tradnl"/>
        </w:rPr>
        <w:t>b.</w:t>
      </w:r>
      <w:r w:rsidRPr="00A6711A">
        <w:rPr>
          <w:sz w:val="22"/>
          <w:szCs w:val="22"/>
          <w:lang w:val="es-ES_tradnl"/>
        </w:rPr>
        <w:tab/>
        <w:t>Comisión Interamericana de Derechos Humanos (CIDH)</w:t>
      </w:r>
    </w:p>
    <w:p w:rsidR="00047052" w:rsidRPr="00A6711A" w:rsidRDefault="00047052" w:rsidP="00047052">
      <w:pPr>
        <w:keepNext/>
        <w:autoSpaceDE w:val="0"/>
        <w:autoSpaceDN w:val="0"/>
        <w:adjustRightInd w:val="0"/>
        <w:ind w:left="1440" w:hanging="720"/>
        <w:jc w:val="both"/>
        <w:rPr>
          <w:sz w:val="22"/>
          <w:szCs w:val="22"/>
          <w:lang w:val="es-ES_tradnl"/>
        </w:rPr>
      </w:pPr>
      <w:r w:rsidRPr="00A6711A">
        <w:rPr>
          <w:sz w:val="22"/>
          <w:szCs w:val="22"/>
          <w:lang w:val="es-ES_tradnl"/>
        </w:rPr>
        <w:t>c.</w:t>
      </w:r>
      <w:r w:rsidRPr="00A6711A">
        <w:rPr>
          <w:sz w:val="22"/>
          <w:szCs w:val="22"/>
          <w:lang w:val="es-ES_tradnl"/>
        </w:rPr>
        <w:tab/>
        <w:t>Corte Interamericana de Derechos Humanos</w:t>
      </w:r>
    </w:p>
    <w:p w:rsidR="00047052" w:rsidRPr="00A6711A" w:rsidRDefault="00047052" w:rsidP="005A4C1D">
      <w:pPr>
        <w:keepNext/>
        <w:autoSpaceDE w:val="0"/>
        <w:autoSpaceDN w:val="0"/>
        <w:adjustRightInd w:val="0"/>
        <w:ind w:left="1440" w:hanging="720"/>
        <w:jc w:val="both"/>
        <w:rPr>
          <w:sz w:val="22"/>
          <w:szCs w:val="22"/>
          <w:lang w:val="es-ES_tradnl"/>
        </w:rPr>
      </w:pPr>
      <w:r w:rsidRPr="00A6711A">
        <w:rPr>
          <w:sz w:val="22"/>
          <w:szCs w:val="22"/>
          <w:lang w:val="es-ES_tradnl"/>
        </w:rPr>
        <w:t>d.</w:t>
      </w:r>
      <w:r w:rsidRPr="00A6711A">
        <w:rPr>
          <w:sz w:val="22"/>
          <w:szCs w:val="22"/>
          <w:lang w:val="es-ES_tradnl"/>
        </w:rPr>
        <w:tab/>
        <w:t xml:space="preserve">Centro de Estudios de Justicia </w:t>
      </w:r>
      <w:r w:rsidR="007A5B04" w:rsidRPr="00A6711A">
        <w:rPr>
          <w:sz w:val="22"/>
          <w:szCs w:val="22"/>
          <w:lang w:val="es-ES_tradnl"/>
        </w:rPr>
        <w:t>de</w:t>
      </w:r>
      <w:r w:rsidRPr="00A6711A">
        <w:rPr>
          <w:sz w:val="22"/>
          <w:szCs w:val="22"/>
          <w:lang w:val="es-ES_tradnl"/>
        </w:rPr>
        <w:t xml:space="preserve"> las Américas (CEJA)</w:t>
      </w:r>
    </w:p>
    <w:p w:rsidR="00047052" w:rsidRDefault="00047052" w:rsidP="00295A7F">
      <w:pPr>
        <w:rPr>
          <w:color w:val="000000"/>
          <w:sz w:val="22"/>
          <w:szCs w:val="22"/>
          <w:lang w:val="es-ES_tradnl" w:eastAsia="es-ES"/>
        </w:rPr>
      </w:pPr>
    </w:p>
    <w:p w:rsidR="00A50C67" w:rsidRDefault="00295A7F" w:rsidP="002007AD">
      <w:pPr>
        <w:jc w:val="center"/>
        <w:rPr>
          <w:caps/>
          <w:sz w:val="22"/>
          <w:szCs w:val="22"/>
          <w:lang w:val="es-ES" w:eastAsia="es-ES"/>
        </w:rPr>
      </w:pPr>
      <w:r w:rsidRPr="00A6711A">
        <w:rPr>
          <w:caps/>
          <w:sz w:val="22"/>
          <w:szCs w:val="22"/>
          <w:lang w:val="es-ES" w:eastAsia="es-ES"/>
        </w:rPr>
        <w:t>III.</w:t>
      </w:r>
      <w:r w:rsidR="00151442" w:rsidRPr="00A6711A">
        <w:rPr>
          <w:caps/>
          <w:sz w:val="22"/>
          <w:szCs w:val="22"/>
          <w:lang w:val="es-ES" w:eastAsia="es-ES"/>
        </w:rPr>
        <w:t xml:space="preserve"> </w:t>
      </w:r>
      <w:r w:rsidR="00A50C67">
        <w:rPr>
          <w:caps/>
          <w:sz w:val="22"/>
          <w:szCs w:val="22"/>
          <w:lang w:val="es-ES" w:eastAsia="es-ES"/>
        </w:rPr>
        <w:t>RECURSOS FINANCIEROS</w:t>
      </w:r>
    </w:p>
    <w:p w:rsidR="00A50C67" w:rsidRDefault="00A50C67" w:rsidP="00A50C67">
      <w:pPr>
        <w:rPr>
          <w:caps/>
          <w:sz w:val="22"/>
          <w:szCs w:val="22"/>
          <w:lang w:val="es-ES" w:eastAsia="es-ES"/>
        </w:rPr>
      </w:pPr>
    </w:p>
    <w:p w:rsidR="00A50C67" w:rsidRDefault="00A50C67" w:rsidP="00A50C67">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r w:rsidRPr="00A50C67">
        <w:rPr>
          <w:sz w:val="22"/>
          <w:szCs w:val="22"/>
          <w:lang w:val="es-ES" w:eastAsia="es-ES"/>
        </w:rPr>
        <w:tab/>
      </w:r>
      <w:r w:rsidR="00702ED3">
        <w:rPr>
          <w:sz w:val="22"/>
          <w:szCs w:val="22"/>
          <w:lang w:val="es-ES" w:eastAsia="es-ES"/>
        </w:rPr>
        <w:t xml:space="preserve">La Asamblea General, en su quincuagésimo tercer </w:t>
      </w:r>
      <w:r w:rsidR="008738E8">
        <w:rPr>
          <w:sz w:val="22"/>
          <w:szCs w:val="22"/>
          <w:lang w:val="es-ES" w:eastAsia="es-ES"/>
        </w:rPr>
        <w:t>período</w:t>
      </w:r>
      <w:r w:rsidR="00702ED3">
        <w:rPr>
          <w:sz w:val="22"/>
          <w:szCs w:val="22"/>
          <w:lang w:val="es-ES" w:eastAsia="es-ES"/>
        </w:rPr>
        <w:t xml:space="preserve"> extraordinario de sesiones, mediante la resolución </w:t>
      </w:r>
      <w:r w:rsidR="00172790" w:rsidRPr="003F112D">
        <w:rPr>
          <w:sz w:val="22"/>
          <w:szCs w:val="22"/>
          <w:lang w:val="es-ES" w:eastAsia="es-ES"/>
        </w:rPr>
        <w:t>AG/RES. 1 (LIII-E/18)</w:t>
      </w:r>
      <w:r w:rsidR="00702ED3">
        <w:rPr>
          <w:sz w:val="22"/>
          <w:szCs w:val="22"/>
          <w:lang w:val="es-ES" w:eastAsia="es-ES"/>
        </w:rPr>
        <w:t xml:space="preserve"> rev. 1 “</w:t>
      </w:r>
      <w:r w:rsidR="00702ED3">
        <w:rPr>
          <w:sz w:val="22"/>
          <w:szCs w:val="22"/>
          <w:lang w:val="es-MX"/>
        </w:rPr>
        <w:t>Programa-presupuesto de la O</w:t>
      </w:r>
      <w:r w:rsidR="00702ED3" w:rsidRPr="00702ED3">
        <w:rPr>
          <w:sz w:val="22"/>
          <w:szCs w:val="22"/>
          <w:lang w:val="es-MX"/>
        </w:rPr>
        <w:t>rganización para 2019</w:t>
      </w:r>
      <w:r w:rsidR="00702ED3">
        <w:rPr>
          <w:sz w:val="22"/>
          <w:szCs w:val="22"/>
          <w:lang w:val="es-MX"/>
        </w:rPr>
        <w:t>”</w:t>
      </w:r>
      <w:r w:rsidR="002A0F0C">
        <w:rPr>
          <w:sz w:val="22"/>
          <w:szCs w:val="22"/>
          <w:lang w:val="es-MX"/>
        </w:rPr>
        <w:t xml:space="preserve">, </w:t>
      </w:r>
      <w:r w:rsidR="00702ED3">
        <w:rPr>
          <w:sz w:val="22"/>
          <w:szCs w:val="22"/>
          <w:lang w:val="es-MX"/>
        </w:rPr>
        <w:t xml:space="preserve">aprobó </w:t>
      </w:r>
      <w:r w:rsidR="00E41A4B">
        <w:rPr>
          <w:sz w:val="22"/>
          <w:szCs w:val="22"/>
          <w:lang w:val="es-ES" w:eastAsia="es-ES"/>
        </w:rPr>
        <w:t xml:space="preserve">US$ 126,200 (ciento veintiséis mil doscientos dólares) </w:t>
      </w:r>
      <w:r w:rsidR="003919C2">
        <w:rPr>
          <w:sz w:val="22"/>
          <w:szCs w:val="22"/>
          <w:lang w:val="es-ES" w:eastAsia="es-ES"/>
        </w:rPr>
        <w:t xml:space="preserve">para el financiamiento de las reuniones de la CAJP en 2019. </w:t>
      </w:r>
      <w:r w:rsidR="002A0F0C">
        <w:rPr>
          <w:sz w:val="22"/>
          <w:szCs w:val="22"/>
          <w:lang w:val="es-ES" w:eastAsia="es-ES"/>
        </w:rPr>
        <w:t xml:space="preserve">Al respecto, del 1 de enero al </w:t>
      </w:r>
      <w:r w:rsidR="003919C2">
        <w:rPr>
          <w:sz w:val="22"/>
          <w:szCs w:val="22"/>
          <w:lang w:val="es-ES" w:eastAsia="es-ES"/>
        </w:rPr>
        <w:t xml:space="preserve">30 de septiembre de 2019, </w:t>
      </w:r>
      <w:r w:rsidR="002A0F0C">
        <w:rPr>
          <w:sz w:val="22"/>
          <w:szCs w:val="22"/>
          <w:lang w:val="es-ES" w:eastAsia="es-ES"/>
        </w:rPr>
        <w:t xml:space="preserve">se han ejecutado </w:t>
      </w:r>
      <w:r w:rsidR="003919C2">
        <w:rPr>
          <w:sz w:val="22"/>
          <w:szCs w:val="22"/>
          <w:lang w:val="es-ES" w:eastAsia="es-ES"/>
        </w:rPr>
        <w:t>US$ 103,524.55 (ciento tres mil quinientos veinticuatro dólares con cincuenta y cinco centavos), quedando disponible</w:t>
      </w:r>
      <w:r w:rsidR="002A0F0C">
        <w:rPr>
          <w:sz w:val="22"/>
          <w:szCs w:val="22"/>
          <w:lang w:val="es-ES" w:eastAsia="es-ES"/>
        </w:rPr>
        <w:t>s</w:t>
      </w:r>
      <w:r w:rsidR="003919C2">
        <w:rPr>
          <w:sz w:val="22"/>
          <w:szCs w:val="22"/>
          <w:lang w:val="es-ES" w:eastAsia="es-ES"/>
        </w:rPr>
        <w:t xml:space="preserve"> </w:t>
      </w:r>
      <w:r w:rsidR="002A0F0C">
        <w:rPr>
          <w:sz w:val="22"/>
          <w:szCs w:val="22"/>
          <w:lang w:val="es-ES" w:eastAsia="es-ES"/>
        </w:rPr>
        <w:t>para el resto del año US $22,675.45 (veintidós mil seiscientos setenta y cinco dólares con cuarenta y cinco centavos).</w:t>
      </w:r>
    </w:p>
    <w:p w:rsidR="00A50C67" w:rsidRDefault="00A50C67" w:rsidP="00A50C67">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p>
    <w:p w:rsidR="00A0653F" w:rsidRDefault="002A0F0C" w:rsidP="00A50C67">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r>
        <w:rPr>
          <w:sz w:val="22"/>
          <w:szCs w:val="22"/>
          <w:lang w:val="es-ES" w:eastAsia="es-ES"/>
        </w:rPr>
        <w:tab/>
      </w:r>
      <w:r w:rsidR="000A43E5">
        <w:rPr>
          <w:sz w:val="22"/>
          <w:szCs w:val="22"/>
          <w:lang w:val="es-ES" w:eastAsia="es-ES"/>
        </w:rPr>
        <w:t xml:space="preserve">Asimismo, </w:t>
      </w:r>
      <w:r w:rsidR="003F112D">
        <w:rPr>
          <w:sz w:val="22"/>
          <w:szCs w:val="22"/>
          <w:lang w:val="es-ES" w:eastAsia="es-ES"/>
        </w:rPr>
        <w:t xml:space="preserve">el Consejo Permanente, </w:t>
      </w:r>
      <w:r w:rsidR="000A43E5">
        <w:rPr>
          <w:sz w:val="22"/>
          <w:szCs w:val="22"/>
          <w:lang w:val="es-ES" w:eastAsia="es-ES"/>
        </w:rPr>
        <w:t xml:space="preserve">mediante la resolución </w:t>
      </w:r>
      <w:r w:rsidR="003F112D">
        <w:rPr>
          <w:sz w:val="22"/>
          <w:szCs w:val="22"/>
          <w:lang w:val="es-ES" w:eastAsia="es-ES"/>
        </w:rPr>
        <w:t>CP/RES</w:t>
      </w:r>
      <w:r w:rsidR="006822F1">
        <w:rPr>
          <w:sz w:val="22"/>
          <w:szCs w:val="22"/>
          <w:lang w:val="es-ES" w:eastAsia="es-ES"/>
        </w:rPr>
        <w:t>. 1138 (2247/19)</w:t>
      </w:r>
      <w:r w:rsidR="003F112D">
        <w:rPr>
          <w:sz w:val="22"/>
          <w:szCs w:val="22"/>
          <w:lang w:val="es-ES" w:eastAsia="es-ES"/>
        </w:rPr>
        <w:t xml:space="preserve"> </w:t>
      </w:r>
      <w:r w:rsidR="000A43E5">
        <w:rPr>
          <w:sz w:val="22"/>
          <w:szCs w:val="22"/>
          <w:lang w:val="es-ES" w:eastAsia="es-ES"/>
        </w:rPr>
        <w:t>“</w:t>
      </w:r>
      <w:r w:rsidR="00A0653F">
        <w:rPr>
          <w:sz w:val="22"/>
          <w:szCs w:val="22"/>
          <w:lang w:val="es-ES" w:eastAsia="es-ES"/>
        </w:rPr>
        <w:t>A</w:t>
      </w:r>
      <w:r w:rsidR="003F112D" w:rsidRPr="003F112D">
        <w:rPr>
          <w:sz w:val="22"/>
          <w:szCs w:val="22"/>
          <w:lang w:val="es-ES" w:eastAsia="es-ES"/>
        </w:rPr>
        <w:t xml:space="preserve">probación de la distribución de recursos por subprograma para 2020, de conformidad con la resolución </w:t>
      </w:r>
      <w:r w:rsidR="00A0653F" w:rsidRPr="003F112D">
        <w:rPr>
          <w:sz w:val="22"/>
          <w:szCs w:val="22"/>
          <w:lang w:val="es-ES" w:eastAsia="es-ES"/>
        </w:rPr>
        <w:t>AG/RES</w:t>
      </w:r>
      <w:r w:rsidR="003F112D" w:rsidRPr="003F112D">
        <w:rPr>
          <w:sz w:val="22"/>
          <w:szCs w:val="22"/>
          <w:lang w:val="es-ES" w:eastAsia="es-ES"/>
        </w:rPr>
        <w:t>. 2940 (</w:t>
      </w:r>
      <w:r w:rsidR="00A0653F" w:rsidRPr="003F112D">
        <w:rPr>
          <w:sz w:val="22"/>
          <w:szCs w:val="22"/>
          <w:lang w:val="es-ES" w:eastAsia="es-ES"/>
        </w:rPr>
        <w:t>XLIX-O/19</w:t>
      </w:r>
      <w:r w:rsidR="00A0653F">
        <w:rPr>
          <w:sz w:val="22"/>
          <w:szCs w:val="22"/>
          <w:lang w:val="es-ES" w:eastAsia="es-ES"/>
        </w:rPr>
        <w:t>) titulada “Programa-presupuesto de la O</w:t>
      </w:r>
      <w:r w:rsidR="003F112D" w:rsidRPr="003F112D">
        <w:rPr>
          <w:sz w:val="22"/>
          <w:szCs w:val="22"/>
          <w:lang w:val="es-ES" w:eastAsia="es-ES"/>
        </w:rPr>
        <w:t>rganización para 2020</w:t>
      </w:r>
      <w:r w:rsidR="003F112D" w:rsidRPr="000A43E5">
        <w:rPr>
          <w:sz w:val="22"/>
          <w:szCs w:val="22"/>
          <w:lang w:val="es-ES" w:eastAsia="es-ES"/>
        </w:rPr>
        <w:t>”,</w:t>
      </w:r>
      <w:r w:rsidR="00A0653F">
        <w:rPr>
          <w:sz w:val="22"/>
          <w:szCs w:val="22"/>
          <w:lang w:val="es-ES" w:eastAsia="es-ES"/>
        </w:rPr>
        <w:t xml:space="preserve"> </w:t>
      </w:r>
      <w:r w:rsidR="00A0653F">
        <w:rPr>
          <w:sz w:val="22"/>
          <w:szCs w:val="22"/>
          <w:lang w:val="es-MX"/>
        </w:rPr>
        <w:t xml:space="preserve">aprobó </w:t>
      </w:r>
      <w:r w:rsidR="00A0653F">
        <w:rPr>
          <w:sz w:val="22"/>
          <w:szCs w:val="22"/>
          <w:lang w:val="es-ES" w:eastAsia="es-ES"/>
        </w:rPr>
        <w:t xml:space="preserve">US$ 105,000 (ciento cinco mil dólares) para el financiamiento de las reuniones de la CAJP en 2020, US $21,200 (veintiún mil doscientos dólares) menos que en 2019. </w:t>
      </w:r>
    </w:p>
    <w:p w:rsidR="00E6077B" w:rsidRDefault="00E6077B" w:rsidP="00A50C67">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p>
    <w:p w:rsidR="00E6077B" w:rsidRPr="00C330B3" w:rsidRDefault="00E6077B" w:rsidP="00261557">
      <w:pPr>
        <w:widowControl w:val="0"/>
        <w:tabs>
          <w:tab w:val="left" w:pos="720"/>
          <w:tab w:val="left" w:pos="2160"/>
          <w:tab w:val="left" w:pos="2880"/>
          <w:tab w:val="left" w:pos="3600"/>
          <w:tab w:val="left" w:pos="4320"/>
          <w:tab w:val="left" w:pos="5760"/>
          <w:tab w:val="left" w:pos="6480"/>
          <w:tab w:val="left" w:pos="7200"/>
          <w:tab w:val="left" w:pos="7920"/>
        </w:tabs>
        <w:jc w:val="both"/>
        <w:rPr>
          <w:caps/>
          <w:sz w:val="22"/>
          <w:szCs w:val="22"/>
          <w:lang w:val="es-ES" w:eastAsia="es-ES"/>
        </w:rPr>
      </w:pPr>
      <w:r w:rsidRPr="00C330B3">
        <w:rPr>
          <w:sz w:val="22"/>
          <w:szCs w:val="22"/>
          <w:lang w:val="es-ES" w:eastAsia="es-ES"/>
        </w:rPr>
        <w:tab/>
        <w:t>Para cumplir con el presupuesto aprobado de la Comisión, los invitados y funcionarios de la Secretaría tendrán siete (7) minutos para realizar sus presentaciones orales ante</w:t>
      </w:r>
      <w:r w:rsidR="00B3744C" w:rsidRPr="00C330B3">
        <w:rPr>
          <w:sz w:val="22"/>
          <w:szCs w:val="22"/>
          <w:lang w:val="es-ES" w:eastAsia="es-ES"/>
        </w:rPr>
        <w:t xml:space="preserve"> </w:t>
      </w:r>
      <w:r w:rsidRPr="00C330B3">
        <w:rPr>
          <w:sz w:val="22"/>
          <w:szCs w:val="22"/>
          <w:lang w:val="es-ES" w:eastAsia="es-ES"/>
        </w:rPr>
        <w:t xml:space="preserve">la Comisión. La Presidencia </w:t>
      </w:r>
      <w:r w:rsidR="00B3744C" w:rsidRPr="00C330B3">
        <w:rPr>
          <w:sz w:val="22"/>
          <w:szCs w:val="22"/>
          <w:lang w:val="es-ES" w:eastAsia="es-ES"/>
        </w:rPr>
        <w:t xml:space="preserve">invita encarecidamente a todos los presentadores a que remitan una versión completa de su intervención por escrito a la Secretaría de la Comisión por lo menos tres (3) días </w:t>
      </w:r>
      <w:r w:rsidR="00261557" w:rsidRPr="00C330B3">
        <w:rPr>
          <w:sz w:val="22"/>
          <w:szCs w:val="22"/>
          <w:lang w:val="es-ES" w:eastAsia="es-ES"/>
        </w:rPr>
        <w:t xml:space="preserve">antes de la presentación </w:t>
      </w:r>
      <w:r w:rsidR="00FE20A7" w:rsidRPr="00C330B3">
        <w:rPr>
          <w:sz w:val="22"/>
          <w:szCs w:val="22"/>
          <w:lang w:val="es-ES" w:eastAsia="es-ES"/>
        </w:rPr>
        <w:t xml:space="preserve">para que </w:t>
      </w:r>
      <w:r w:rsidR="00261557" w:rsidRPr="00C330B3">
        <w:rPr>
          <w:sz w:val="22"/>
          <w:szCs w:val="22"/>
          <w:lang w:val="es-ES" w:eastAsia="es-ES"/>
        </w:rPr>
        <w:t>se distribuya en el idioma original a los Estados miembros pa</w:t>
      </w:r>
      <w:r w:rsidR="00FE20A7" w:rsidRPr="00C330B3">
        <w:rPr>
          <w:sz w:val="22"/>
          <w:szCs w:val="22"/>
          <w:lang w:val="es-ES" w:eastAsia="es-ES"/>
        </w:rPr>
        <w:t xml:space="preserve">ra su consideración </w:t>
      </w:r>
      <w:r w:rsidR="00261557" w:rsidRPr="00C330B3">
        <w:rPr>
          <w:sz w:val="22"/>
          <w:szCs w:val="22"/>
          <w:lang w:val="es-ES" w:eastAsia="es-ES"/>
        </w:rPr>
        <w:t xml:space="preserve">antes de la reunión. </w:t>
      </w:r>
    </w:p>
    <w:p w:rsidR="00FF4E23" w:rsidRDefault="00FF4E23" w:rsidP="002007AD">
      <w:pPr>
        <w:jc w:val="center"/>
        <w:rPr>
          <w:caps/>
          <w:sz w:val="22"/>
          <w:szCs w:val="22"/>
          <w:lang w:val="es-ES" w:eastAsia="es-ES"/>
        </w:rPr>
      </w:pPr>
    </w:p>
    <w:p w:rsidR="00295A7F" w:rsidRPr="00A6711A" w:rsidRDefault="00A50C67" w:rsidP="002007AD">
      <w:pPr>
        <w:jc w:val="center"/>
        <w:rPr>
          <w:caps/>
          <w:sz w:val="22"/>
          <w:szCs w:val="22"/>
          <w:lang w:val="es-ES" w:eastAsia="es-ES"/>
        </w:rPr>
      </w:pPr>
      <w:r>
        <w:rPr>
          <w:caps/>
          <w:sz w:val="22"/>
          <w:szCs w:val="22"/>
          <w:lang w:val="es-ES" w:eastAsia="es-ES"/>
        </w:rPr>
        <w:lastRenderedPageBreak/>
        <w:t xml:space="preserve">IV. </w:t>
      </w:r>
      <w:r w:rsidR="00295A7F" w:rsidRPr="00A6711A">
        <w:rPr>
          <w:caps/>
          <w:sz w:val="22"/>
          <w:szCs w:val="22"/>
          <w:lang w:val="es-ES" w:eastAsia="es-ES"/>
        </w:rPr>
        <w:t>RECOMENDACIONES</w:t>
      </w:r>
    </w:p>
    <w:p w:rsidR="00295A7F" w:rsidRPr="00A6711A" w:rsidRDefault="00295A7F" w:rsidP="00295A7F">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p>
    <w:p w:rsidR="00295A7F" w:rsidRDefault="00295A7F" w:rsidP="00295A7F">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r w:rsidRPr="00A6711A">
        <w:rPr>
          <w:sz w:val="22"/>
          <w:szCs w:val="22"/>
          <w:lang w:val="es-ES" w:eastAsia="es-ES"/>
        </w:rPr>
        <w:tab/>
        <w:t xml:space="preserve">Con el fin de facilitar el desarrollo de los trabajos de la Comisión durante el período </w:t>
      </w:r>
      <w:r w:rsidR="007F001D">
        <w:rPr>
          <w:sz w:val="22"/>
          <w:szCs w:val="22"/>
          <w:lang w:val="es-ES" w:eastAsia="es-ES"/>
        </w:rPr>
        <w:t>2019</w:t>
      </w:r>
      <w:r w:rsidRPr="00A6711A">
        <w:rPr>
          <w:sz w:val="22"/>
          <w:szCs w:val="22"/>
          <w:lang w:val="es-ES" w:eastAsia="es-ES"/>
        </w:rPr>
        <w:t>-</w:t>
      </w:r>
      <w:r w:rsidR="007F001D">
        <w:rPr>
          <w:sz w:val="22"/>
          <w:szCs w:val="22"/>
          <w:lang w:val="es-ES" w:eastAsia="es-ES"/>
        </w:rPr>
        <w:t>2020</w:t>
      </w:r>
      <w:r w:rsidRPr="00A6711A">
        <w:rPr>
          <w:sz w:val="22"/>
          <w:szCs w:val="22"/>
          <w:lang w:val="es-ES" w:eastAsia="es-ES"/>
        </w:rPr>
        <w:t>, la Presidencia se permite proponer los siguientes instrumentos de gestión como partes constitutivas del Plan de Trabajo:</w:t>
      </w:r>
    </w:p>
    <w:p w:rsidR="00FE20A7" w:rsidRPr="00A6711A" w:rsidRDefault="00FE20A7" w:rsidP="00295A7F">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p>
    <w:p w:rsidR="000333D9" w:rsidRPr="00A6711A" w:rsidRDefault="00295A7F" w:rsidP="00715D6D">
      <w:pPr>
        <w:widowControl w:val="0"/>
        <w:numPr>
          <w:ilvl w:val="0"/>
          <w:numId w:val="2"/>
        </w:numPr>
        <w:jc w:val="both"/>
        <w:rPr>
          <w:sz w:val="22"/>
          <w:szCs w:val="22"/>
          <w:lang w:val="es-ES" w:eastAsia="es-ES"/>
        </w:rPr>
      </w:pPr>
      <w:r w:rsidRPr="00A6711A">
        <w:rPr>
          <w:sz w:val="22"/>
          <w:szCs w:val="22"/>
          <w:u w:val="single"/>
          <w:lang w:val="es-ES" w:eastAsia="es-ES"/>
        </w:rPr>
        <w:t>Anexo I</w:t>
      </w:r>
      <w:r w:rsidRPr="00A6711A">
        <w:rPr>
          <w:sz w:val="22"/>
          <w:szCs w:val="22"/>
          <w:lang w:val="es-ES" w:eastAsia="es-ES"/>
        </w:rPr>
        <w:t xml:space="preserve">: </w:t>
      </w:r>
      <w:r w:rsidR="00161BB4">
        <w:rPr>
          <w:sz w:val="22"/>
          <w:szCs w:val="22"/>
          <w:lang w:val="es-ES" w:eastAsia="es-ES"/>
        </w:rPr>
        <w:t>M</w:t>
      </w:r>
      <w:r w:rsidR="00AF15B3" w:rsidRPr="00A6711A">
        <w:rPr>
          <w:sz w:val="22"/>
          <w:szCs w:val="22"/>
          <w:lang w:val="es-ES" w:eastAsia="es-ES"/>
        </w:rPr>
        <w:t>andatos</w:t>
      </w:r>
      <w:r w:rsidRPr="00A6711A">
        <w:rPr>
          <w:sz w:val="22"/>
          <w:szCs w:val="22"/>
          <w:lang w:val="es-ES" w:eastAsia="es-ES"/>
        </w:rPr>
        <w:t xml:space="preserve"> </w:t>
      </w:r>
      <w:r w:rsidR="000911F9" w:rsidRPr="00A6711A">
        <w:rPr>
          <w:szCs w:val="22"/>
          <w:lang w:val="es-ES_tradnl"/>
        </w:rPr>
        <w:t xml:space="preserve">emanados del cuadragésimo </w:t>
      </w:r>
      <w:r w:rsidR="007F001D">
        <w:rPr>
          <w:szCs w:val="22"/>
          <w:lang w:val="es-ES_tradnl"/>
        </w:rPr>
        <w:t>noveno</w:t>
      </w:r>
      <w:r w:rsidR="000911F9" w:rsidRPr="00A6711A">
        <w:rPr>
          <w:szCs w:val="22"/>
          <w:lang w:val="es-ES_tradnl"/>
        </w:rPr>
        <w:t xml:space="preserve"> período ordinario de sesiones de la Asamblea General y otros períodos anteriores </w:t>
      </w:r>
      <w:r w:rsidR="00161BB4">
        <w:rPr>
          <w:sz w:val="22"/>
          <w:szCs w:val="22"/>
          <w:lang w:val="es-ES" w:eastAsia="es-ES"/>
        </w:rPr>
        <w:t>para</w:t>
      </w:r>
      <w:r w:rsidR="000911F9" w:rsidRPr="00A6711A">
        <w:rPr>
          <w:sz w:val="22"/>
          <w:szCs w:val="22"/>
          <w:lang w:val="es-ES" w:eastAsia="es-ES"/>
        </w:rPr>
        <w:t xml:space="preserve"> </w:t>
      </w:r>
      <w:r w:rsidRPr="00A6711A">
        <w:rPr>
          <w:sz w:val="22"/>
          <w:szCs w:val="22"/>
          <w:lang w:val="es-ES" w:eastAsia="es-ES"/>
        </w:rPr>
        <w:t>ser</w:t>
      </w:r>
      <w:r w:rsidR="00DF0D01" w:rsidRPr="00A6711A">
        <w:rPr>
          <w:sz w:val="22"/>
          <w:szCs w:val="22"/>
          <w:lang w:val="es-ES" w:eastAsia="es-ES"/>
        </w:rPr>
        <w:t xml:space="preserve"> considerados por la CAJP.</w:t>
      </w:r>
    </w:p>
    <w:p w:rsidR="00603C34" w:rsidRPr="00603C34" w:rsidRDefault="00603C34" w:rsidP="00603C34">
      <w:pPr>
        <w:widowControl w:val="0"/>
        <w:ind w:left="720"/>
        <w:jc w:val="both"/>
        <w:rPr>
          <w:sz w:val="22"/>
          <w:szCs w:val="22"/>
          <w:lang w:val="es-ES" w:eastAsia="es-ES"/>
        </w:rPr>
      </w:pPr>
    </w:p>
    <w:p w:rsidR="00295A7F" w:rsidRPr="00A6711A" w:rsidRDefault="00295A7F" w:rsidP="00715D6D">
      <w:pPr>
        <w:widowControl w:val="0"/>
        <w:numPr>
          <w:ilvl w:val="0"/>
          <w:numId w:val="2"/>
        </w:numPr>
        <w:jc w:val="both"/>
        <w:rPr>
          <w:sz w:val="22"/>
          <w:szCs w:val="22"/>
          <w:lang w:val="es-ES" w:eastAsia="es-ES"/>
        </w:rPr>
      </w:pPr>
      <w:r w:rsidRPr="00A6711A">
        <w:rPr>
          <w:sz w:val="22"/>
          <w:szCs w:val="22"/>
          <w:u w:val="single"/>
          <w:lang w:val="es-ES" w:eastAsia="es-ES"/>
        </w:rPr>
        <w:t>Anexo II</w:t>
      </w:r>
      <w:r w:rsidRPr="00A6711A">
        <w:rPr>
          <w:sz w:val="22"/>
          <w:szCs w:val="22"/>
          <w:lang w:val="es-ES" w:eastAsia="es-ES"/>
        </w:rPr>
        <w:t xml:space="preserve">: </w:t>
      </w:r>
      <w:r w:rsidR="00FF4E23">
        <w:rPr>
          <w:sz w:val="22"/>
          <w:szCs w:val="22"/>
          <w:lang w:val="es-ES" w:eastAsia="es-ES"/>
        </w:rPr>
        <w:t>C</w:t>
      </w:r>
      <w:r w:rsidRPr="00A6711A">
        <w:rPr>
          <w:sz w:val="22"/>
          <w:szCs w:val="22"/>
          <w:lang w:val="es-ES" w:eastAsia="es-ES"/>
        </w:rPr>
        <w:t>alendario de reuniones</w:t>
      </w:r>
      <w:r w:rsidR="00047052" w:rsidRPr="00A6711A">
        <w:rPr>
          <w:sz w:val="22"/>
          <w:szCs w:val="22"/>
          <w:lang w:val="es-ES" w:eastAsia="es-ES"/>
        </w:rPr>
        <w:t xml:space="preserve"> de la CAJP para el período </w:t>
      </w:r>
      <w:r w:rsidR="007F001D">
        <w:rPr>
          <w:sz w:val="22"/>
          <w:szCs w:val="22"/>
          <w:lang w:val="es-ES" w:eastAsia="es-ES"/>
        </w:rPr>
        <w:t>2019</w:t>
      </w:r>
      <w:r w:rsidRPr="00A6711A">
        <w:rPr>
          <w:sz w:val="22"/>
          <w:szCs w:val="22"/>
          <w:lang w:val="es-ES" w:eastAsia="es-ES"/>
        </w:rPr>
        <w:t>-</w:t>
      </w:r>
      <w:r w:rsidR="007F001D">
        <w:rPr>
          <w:sz w:val="22"/>
          <w:szCs w:val="22"/>
          <w:lang w:val="es-ES" w:eastAsia="es-ES"/>
        </w:rPr>
        <w:t>2020</w:t>
      </w:r>
      <w:r w:rsidR="00DF0D01" w:rsidRPr="00A6711A">
        <w:rPr>
          <w:sz w:val="22"/>
          <w:szCs w:val="22"/>
          <w:lang w:val="es-ES" w:eastAsia="es-ES"/>
        </w:rPr>
        <w:t>.</w:t>
      </w:r>
    </w:p>
    <w:p w:rsidR="00295A7F" w:rsidRPr="00A6711A" w:rsidRDefault="00295A7F" w:rsidP="00295A7F">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p>
    <w:p w:rsidR="00295A7F" w:rsidRPr="00A6711A" w:rsidRDefault="00295A7F" w:rsidP="00295A7F">
      <w:pPr>
        <w:keepLines/>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r w:rsidRPr="00A6711A">
        <w:rPr>
          <w:sz w:val="22"/>
          <w:szCs w:val="22"/>
          <w:lang w:val="es-ES" w:eastAsia="es-ES"/>
        </w:rPr>
        <w:tab/>
        <w:t>Este</w:t>
      </w:r>
      <w:r w:rsidR="00151442" w:rsidRPr="00A6711A">
        <w:rPr>
          <w:sz w:val="22"/>
          <w:szCs w:val="22"/>
          <w:lang w:val="es-ES" w:eastAsia="es-ES"/>
        </w:rPr>
        <w:t xml:space="preserve"> </w:t>
      </w:r>
      <w:r w:rsidRPr="00A6711A">
        <w:rPr>
          <w:sz w:val="22"/>
          <w:szCs w:val="22"/>
          <w:lang w:val="es-ES" w:eastAsia="es-ES"/>
        </w:rPr>
        <w:t xml:space="preserve">Plan de Trabajo </w:t>
      </w:r>
      <w:r w:rsidR="000B2786">
        <w:rPr>
          <w:sz w:val="22"/>
          <w:szCs w:val="22"/>
          <w:lang w:val="es-ES" w:eastAsia="es-ES"/>
        </w:rPr>
        <w:t>servirá</w:t>
      </w:r>
      <w:r w:rsidRPr="00A6711A">
        <w:rPr>
          <w:sz w:val="22"/>
          <w:szCs w:val="22"/>
          <w:lang w:val="es-ES" w:eastAsia="es-ES"/>
        </w:rPr>
        <w:t xml:space="preserve"> como marco general para las labores de la CAJP durante el período </w:t>
      </w:r>
      <w:r w:rsidR="007F001D">
        <w:rPr>
          <w:sz w:val="22"/>
          <w:szCs w:val="22"/>
          <w:lang w:val="es-ES" w:eastAsia="es-ES"/>
        </w:rPr>
        <w:t>2019</w:t>
      </w:r>
      <w:r w:rsidR="005B1CB2" w:rsidRPr="00A6711A">
        <w:rPr>
          <w:sz w:val="22"/>
          <w:szCs w:val="22"/>
          <w:lang w:val="es-ES" w:eastAsia="es-ES"/>
        </w:rPr>
        <w:t>-</w:t>
      </w:r>
      <w:r w:rsidR="007F001D">
        <w:rPr>
          <w:sz w:val="22"/>
          <w:szCs w:val="22"/>
          <w:lang w:val="es-ES" w:eastAsia="es-ES"/>
        </w:rPr>
        <w:t>2020</w:t>
      </w:r>
      <w:r w:rsidR="005B1CB2" w:rsidRPr="00A6711A">
        <w:rPr>
          <w:sz w:val="22"/>
          <w:szCs w:val="22"/>
          <w:lang w:val="es-ES" w:eastAsia="es-ES"/>
        </w:rPr>
        <w:t>.</w:t>
      </w:r>
      <w:r w:rsidRPr="00A6711A">
        <w:rPr>
          <w:sz w:val="22"/>
          <w:szCs w:val="22"/>
          <w:lang w:val="es-ES" w:eastAsia="es-ES"/>
        </w:rPr>
        <w:t xml:space="preserve"> Se trata de un documento flexible en el cual se irán incorporando las modificaciones que la propia Comisión acuerde o que sean necesarias para actualizarlo conforme se vayan cumpliendo los mandatos encomendados o surjan propuestas puntuales para el abordaje de un tema trascendente que no se haya podido anticipar y</w:t>
      </w:r>
      <w:r w:rsidR="000B2786">
        <w:rPr>
          <w:sz w:val="22"/>
          <w:szCs w:val="22"/>
          <w:lang w:val="es-ES" w:eastAsia="es-ES"/>
        </w:rPr>
        <w:t>/o</w:t>
      </w:r>
      <w:r w:rsidRPr="00A6711A">
        <w:rPr>
          <w:sz w:val="22"/>
          <w:szCs w:val="22"/>
          <w:lang w:val="es-ES" w:eastAsia="es-ES"/>
        </w:rPr>
        <w:t xml:space="preserve"> cuyo tratamiento resulte imperativo por su carácter eminentemente jurídico </w:t>
      </w:r>
      <w:r w:rsidR="00DF0D01" w:rsidRPr="00A6711A">
        <w:rPr>
          <w:sz w:val="22"/>
          <w:szCs w:val="22"/>
          <w:lang w:val="es-ES" w:eastAsia="es-ES"/>
        </w:rPr>
        <w:t>y/</w:t>
      </w:r>
      <w:r w:rsidRPr="00A6711A">
        <w:rPr>
          <w:sz w:val="22"/>
          <w:szCs w:val="22"/>
          <w:lang w:val="es-ES" w:eastAsia="es-ES"/>
        </w:rPr>
        <w:t>o político.</w:t>
      </w:r>
    </w:p>
    <w:p w:rsidR="00770B8C" w:rsidRPr="00A6711A" w:rsidRDefault="00770B8C" w:rsidP="00295A7F">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p>
    <w:p w:rsidR="00295A7F" w:rsidRPr="00A6711A" w:rsidRDefault="00770B8C" w:rsidP="00295A7F">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r w:rsidRPr="00A6711A">
        <w:rPr>
          <w:sz w:val="22"/>
          <w:szCs w:val="22"/>
          <w:lang w:val="es-ES" w:eastAsia="es-ES"/>
        </w:rPr>
        <w:tab/>
      </w:r>
      <w:r w:rsidR="000B2786">
        <w:rPr>
          <w:sz w:val="22"/>
          <w:szCs w:val="22"/>
          <w:lang w:val="es-ES" w:eastAsia="es-ES"/>
        </w:rPr>
        <w:t xml:space="preserve">La Presidencia agradece las </w:t>
      </w:r>
      <w:r w:rsidR="00295A7F" w:rsidRPr="00A6711A">
        <w:rPr>
          <w:sz w:val="22"/>
          <w:szCs w:val="22"/>
          <w:lang w:val="es-ES" w:eastAsia="es-ES"/>
        </w:rPr>
        <w:t>sugerencias de los Estados Miembros y, anticipadam</w:t>
      </w:r>
      <w:r w:rsidR="008C51B4">
        <w:rPr>
          <w:sz w:val="22"/>
          <w:szCs w:val="22"/>
          <w:lang w:val="es-ES" w:eastAsia="es-ES"/>
        </w:rPr>
        <w:t>ente, el apoyo de las D</w:t>
      </w:r>
      <w:r w:rsidR="00295A7F" w:rsidRPr="00A6711A">
        <w:rPr>
          <w:sz w:val="22"/>
          <w:szCs w:val="22"/>
          <w:lang w:val="es-ES" w:eastAsia="es-ES"/>
        </w:rPr>
        <w:t>elegaciones para el cumplimiento de las responsabi</w:t>
      </w:r>
      <w:r w:rsidR="000333D9" w:rsidRPr="00A6711A">
        <w:rPr>
          <w:sz w:val="22"/>
          <w:szCs w:val="22"/>
          <w:lang w:val="es-ES" w:eastAsia="es-ES"/>
        </w:rPr>
        <w:t xml:space="preserve">lidades asignadas a la </w:t>
      </w:r>
      <w:r w:rsidR="00DA3C96">
        <w:rPr>
          <w:sz w:val="22"/>
          <w:szCs w:val="22"/>
          <w:lang w:val="es-ES" w:eastAsia="es-ES"/>
        </w:rPr>
        <w:t>CAJP</w:t>
      </w:r>
      <w:r w:rsidR="000333D9" w:rsidRPr="00A6711A">
        <w:rPr>
          <w:sz w:val="22"/>
          <w:szCs w:val="22"/>
          <w:lang w:val="es-ES" w:eastAsia="es-ES"/>
        </w:rPr>
        <w:t xml:space="preserve"> </w:t>
      </w:r>
      <w:r w:rsidR="00295A7F" w:rsidRPr="00A6711A">
        <w:rPr>
          <w:sz w:val="22"/>
          <w:szCs w:val="22"/>
          <w:lang w:val="es-ES" w:eastAsia="es-ES"/>
        </w:rPr>
        <w:t>por la Asamblea General y el Consejo Permanente.</w:t>
      </w:r>
    </w:p>
    <w:p w:rsidR="00295A7F" w:rsidRPr="00A6711A" w:rsidRDefault="00295A7F" w:rsidP="00295A7F">
      <w:pPr>
        <w:widowControl w:val="0"/>
        <w:tabs>
          <w:tab w:val="left" w:pos="720"/>
          <w:tab w:val="left" w:pos="2160"/>
          <w:tab w:val="left" w:pos="2880"/>
          <w:tab w:val="left" w:pos="3600"/>
          <w:tab w:val="left" w:pos="4320"/>
          <w:tab w:val="left" w:pos="5760"/>
          <w:tab w:val="left" w:pos="6480"/>
          <w:tab w:val="left" w:pos="7200"/>
          <w:tab w:val="left" w:pos="7920"/>
        </w:tabs>
        <w:jc w:val="both"/>
        <w:rPr>
          <w:sz w:val="22"/>
          <w:szCs w:val="22"/>
          <w:lang w:val="es-ES" w:eastAsia="es-ES"/>
        </w:rPr>
      </w:pPr>
    </w:p>
    <w:p w:rsidR="00244B47" w:rsidRDefault="00244B47" w:rsidP="00295A7F">
      <w:pPr>
        <w:tabs>
          <w:tab w:val="center" w:pos="5040"/>
        </w:tabs>
        <w:ind w:right="-29"/>
        <w:jc w:val="center"/>
        <w:rPr>
          <w:sz w:val="22"/>
          <w:szCs w:val="22"/>
          <w:lang w:val="es-ES" w:eastAsia="es-ES"/>
        </w:rPr>
      </w:pPr>
    </w:p>
    <w:p w:rsidR="005B6919" w:rsidRDefault="005B6919" w:rsidP="00295A7F">
      <w:pPr>
        <w:tabs>
          <w:tab w:val="center" w:pos="5040"/>
        </w:tabs>
        <w:ind w:right="-29"/>
        <w:jc w:val="center"/>
        <w:rPr>
          <w:sz w:val="22"/>
          <w:szCs w:val="22"/>
          <w:lang w:val="es-ES" w:eastAsia="es-ES"/>
        </w:rPr>
      </w:pPr>
    </w:p>
    <w:p w:rsidR="00CA73FB" w:rsidRDefault="00CA73FB" w:rsidP="000333D9">
      <w:pPr>
        <w:tabs>
          <w:tab w:val="left" w:pos="4860"/>
        </w:tabs>
        <w:ind w:right="-29"/>
        <w:jc w:val="center"/>
        <w:rPr>
          <w:color w:val="000000"/>
          <w:sz w:val="22"/>
          <w:szCs w:val="22"/>
          <w:lang w:val="es-ES" w:eastAsia="es-ES"/>
        </w:rPr>
      </w:pPr>
      <w:r>
        <w:rPr>
          <w:sz w:val="22"/>
          <w:szCs w:val="22"/>
          <w:lang w:val="es-ES" w:eastAsia="es-ES"/>
        </w:rPr>
        <w:t xml:space="preserve">Embajador </w:t>
      </w:r>
      <w:r>
        <w:rPr>
          <w:color w:val="000000"/>
          <w:sz w:val="22"/>
          <w:szCs w:val="22"/>
          <w:lang w:val="es-ES" w:eastAsia="es-ES"/>
        </w:rPr>
        <w:t>Carlos Alberto Játiva Naranjo</w:t>
      </w:r>
    </w:p>
    <w:p w:rsidR="00CA73FB" w:rsidRDefault="00CA73FB" w:rsidP="000333D9">
      <w:pPr>
        <w:tabs>
          <w:tab w:val="left" w:pos="4860"/>
        </w:tabs>
        <w:ind w:right="-29"/>
        <w:jc w:val="center"/>
        <w:rPr>
          <w:sz w:val="22"/>
          <w:szCs w:val="22"/>
          <w:lang w:val="es-ES" w:eastAsia="es-ES"/>
        </w:rPr>
      </w:pPr>
      <w:r>
        <w:rPr>
          <w:color w:val="000000"/>
          <w:sz w:val="22"/>
          <w:szCs w:val="22"/>
          <w:lang w:val="es-ES" w:eastAsia="es-ES"/>
        </w:rPr>
        <w:t>Representante Permanente del Ecuador</w:t>
      </w:r>
    </w:p>
    <w:p w:rsidR="00211ECC" w:rsidRPr="00A6711A" w:rsidRDefault="00295A7F" w:rsidP="000333D9">
      <w:pPr>
        <w:tabs>
          <w:tab w:val="left" w:pos="4860"/>
        </w:tabs>
        <w:ind w:right="-29"/>
        <w:jc w:val="center"/>
        <w:rPr>
          <w:sz w:val="22"/>
          <w:szCs w:val="22"/>
          <w:lang w:val="es-ES" w:eastAsia="es-ES"/>
        </w:rPr>
        <w:sectPr w:rsidR="00211ECC" w:rsidRPr="00A6711A" w:rsidSect="000F2D96">
          <w:headerReference w:type="default" r:id="rId9"/>
          <w:footerReference w:type="first" r:id="rId10"/>
          <w:type w:val="oddPage"/>
          <w:pgSz w:w="12240" w:h="15840" w:code="1"/>
          <w:pgMar w:top="2160" w:right="1570" w:bottom="1296" w:left="1699" w:header="1296" w:footer="1296" w:gutter="0"/>
          <w:pgNumType w:start="1" w:chapSep="emDash"/>
          <w:cols w:space="720"/>
          <w:titlePg/>
        </w:sectPr>
      </w:pPr>
      <w:r w:rsidRPr="00A6711A">
        <w:rPr>
          <w:sz w:val="22"/>
          <w:szCs w:val="22"/>
          <w:lang w:val="es-ES" w:eastAsia="es-ES"/>
        </w:rPr>
        <w:t>President</w:t>
      </w:r>
      <w:r w:rsidR="00047052" w:rsidRPr="00A6711A">
        <w:rPr>
          <w:sz w:val="22"/>
          <w:szCs w:val="22"/>
          <w:lang w:val="es-ES" w:eastAsia="es-ES"/>
        </w:rPr>
        <w:t>e</w:t>
      </w:r>
      <w:r w:rsidRPr="00A6711A">
        <w:rPr>
          <w:sz w:val="22"/>
          <w:szCs w:val="22"/>
          <w:lang w:val="es-ES" w:eastAsia="es-ES"/>
        </w:rPr>
        <w:t xml:space="preserve"> de la Comisión de Asuntos Jurídicos y Políticos</w:t>
      </w:r>
    </w:p>
    <w:p w:rsidR="00295A7F" w:rsidRPr="00A6711A" w:rsidRDefault="00295A7F" w:rsidP="00295A7F">
      <w:pPr>
        <w:jc w:val="right"/>
        <w:rPr>
          <w:b/>
          <w:bCs/>
          <w:sz w:val="22"/>
          <w:szCs w:val="22"/>
          <w:u w:val="single"/>
          <w:lang w:val="es-ES" w:eastAsia="es-ES"/>
        </w:rPr>
      </w:pPr>
      <w:r w:rsidRPr="00A6711A">
        <w:rPr>
          <w:b/>
          <w:sz w:val="22"/>
          <w:szCs w:val="22"/>
          <w:u w:val="single"/>
          <w:lang w:val="es-ES" w:eastAsia="es-ES"/>
        </w:rPr>
        <w:lastRenderedPageBreak/>
        <w:t>ANEXO I</w:t>
      </w:r>
    </w:p>
    <w:p w:rsidR="00295A7F" w:rsidRPr="00A6711A" w:rsidRDefault="00295A7F" w:rsidP="00295A7F">
      <w:pPr>
        <w:jc w:val="center"/>
        <w:rPr>
          <w:b/>
          <w:sz w:val="22"/>
          <w:szCs w:val="22"/>
          <w:lang w:val="es-ES" w:eastAsia="es-ES"/>
        </w:rPr>
      </w:pPr>
    </w:p>
    <w:p w:rsidR="00211ECC" w:rsidRPr="00A6711A" w:rsidRDefault="000911F9" w:rsidP="00295A7F">
      <w:pPr>
        <w:jc w:val="center"/>
        <w:rPr>
          <w:b/>
          <w:sz w:val="22"/>
          <w:szCs w:val="22"/>
          <w:lang w:val="es-ES" w:eastAsia="es-ES"/>
        </w:rPr>
      </w:pPr>
      <w:r w:rsidRPr="00A6711A">
        <w:rPr>
          <w:b/>
          <w:sz w:val="22"/>
          <w:szCs w:val="22"/>
          <w:lang w:val="es-ES" w:eastAsia="es-ES"/>
        </w:rPr>
        <w:t xml:space="preserve">MANDATOS EMANADOS DEL CUADRAGÉSIMO </w:t>
      </w:r>
      <w:r w:rsidR="007F001D">
        <w:rPr>
          <w:b/>
          <w:sz w:val="22"/>
          <w:szCs w:val="22"/>
          <w:lang w:val="es-ES" w:eastAsia="es-ES"/>
        </w:rPr>
        <w:t>NOVENO</w:t>
      </w:r>
      <w:r w:rsidRPr="00A6711A">
        <w:rPr>
          <w:b/>
          <w:sz w:val="22"/>
          <w:szCs w:val="22"/>
          <w:lang w:val="es-ES" w:eastAsia="es-ES"/>
        </w:rPr>
        <w:t xml:space="preserve"> PERÍODO ORDINARIO DE SESIONES</w:t>
      </w:r>
      <w:r w:rsidRPr="00A6711A">
        <w:rPr>
          <w:b/>
          <w:sz w:val="22"/>
          <w:szCs w:val="22"/>
          <w:lang w:val="es-ES" w:eastAsia="es-ES"/>
        </w:rPr>
        <w:br/>
        <w:t xml:space="preserve">DE LA ASAMBLEA GENERAL Y OTROS PERÍODOS ANTERIORES </w:t>
      </w:r>
      <w:r w:rsidR="00161BB4">
        <w:rPr>
          <w:b/>
          <w:sz w:val="22"/>
          <w:szCs w:val="22"/>
          <w:lang w:val="es-ES" w:eastAsia="es-ES"/>
        </w:rPr>
        <w:t xml:space="preserve">PARA </w:t>
      </w:r>
      <w:r w:rsidRPr="00A6711A">
        <w:rPr>
          <w:b/>
          <w:sz w:val="22"/>
          <w:szCs w:val="22"/>
          <w:lang w:val="es-ES" w:eastAsia="es-ES"/>
        </w:rPr>
        <w:t>SER CONSIDERADOS POR</w:t>
      </w:r>
      <w:r w:rsidRPr="00A6711A">
        <w:rPr>
          <w:b/>
          <w:sz w:val="22"/>
          <w:szCs w:val="22"/>
          <w:lang w:val="es-ES" w:eastAsia="es-ES"/>
        </w:rPr>
        <w:br/>
        <w:t>LA COMISIÓN DE ASUNTOS JURÍDICOS Y POLÍTICOS</w:t>
      </w:r>
      <w:r w:rsidR="00625A0C" w:rsidRPr="00A6711A">
        <w:rPr>
          <w:b/>
          <w:sz w:val="22"/>
          <w:szCs w:val="22"/>
          <w:lang w:val="es-ES" w:eastAsia="es-ES"/>
        </w:rPr>
        <w:t xml:space="preserve"> </w:t>
      </w:r>
      <w:r w:rsidRPr="00A6711A">
        <w:rPr>
          <w:b/>
          <w:sz w:val="22"/>
          <w:szCs w:val="22"/>
          <w:lang w:val="es-ES" w:eastAsia="es-ES"/>
        </w:rPr>
        <w:t xml:space="preserve">DURANTE EL </w:t>
      </w:r>
      <w:r w:rsidR="008738E8">
        <w:rPr>
          <w:b/>
          <w:sz w:val="22"/>
          <w:szCs w:val="22"/>
          <w:lang w:val="es-ES" w:eastAsia="es-ES"/>
        </w:rPr>
        <w:t>PERÍODO</w:t>
      </w:r>
      <w:r w:rsidRPr="00A6711A">
        <w:rPr>
          <w:b/>
          <w:sz w:val="22"/>
          <w:szCs w:val="22"/>
          <w:lang w:val="es-ES" w:eastAsia="es-ES"/>
        </w:rPr>
        <w:t xml:space="preserve"> </w:t>
      </w:r>
      <w:r w:rsidR="007F001D">
        <w:rPr>
          <w:b/>
          <w:sz w:val="22"/>
          <w:szCs w:val="22"/>
          <w:lang w:val="es-ES" w:eastAsia="es-ES"/>
        </w:rPr>
        <w:t>2019</w:t>
      </w:r>
      <w:r w:rsidRPr="00A6711A">
        <w:rPr>
          <w:b/>
          <w:sz w:val="22"/>
          <w:szCs w:val="22"/>
          <w:lang w:val="es-ES" w:eastAsia="es-ES"/>
        </w:rPr>
        <w:t>-</w:t>
      </w:r>
      <w:r w:rsidR="007F001D">
        <w:rPr>
          <w:b/>
          <w:sz w:val="22"/>
          <w:szCs w:val="22"/>
          <w:lang w:val="es-ES" w:eastAsia="es-ES"/>
        </w:rPr>
        <w:t>2020</w:t>
      </w:r>
    </w:p>
    <w:p w:rsidR="00BC0EE0" w:rsidRPr="00A6711A" w:rsidRDefault="00BC0EE0" w:rsidP="00295A7F">
      <w:pPr>
        <w:jc w:val="center"/>
        <w:rPr>
          <w:b/>
          <w:sz w:val="22"/>
          <w:szCs w:val="22"/>
          <w:lang w:val="es-ES" w:eastAsia="es-ES"/>
        </w:rPr>
      </w:pPr>
    </w:p>
    <w:tbl>
      <w:tblPr>
        <w:tblW w:w="13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4"/>
        <w:gridCol w:w="6048"/>
      </w:tblGrid>
      <w:tr w:rsidR="00BB74C8" w:rsidRPr="00850278" w:rsidTr="007F6134">
        <w:trPr>
          <w:trHeight w:val="70"/>
          <w:jc w:val="center"/>
        </w:trPr>
        <w:tc>
          <w:tcPr>
            <w:tcW w:w="13842" w:type="dxa"/>
            <w:gridSpan w:val="2"/>
            <w:tcBorders>
              <w:top w:val="nil"/>
              <w:left w:val="nil"/>
              <w:bottom w:val="single" w:sz="4" w:space="0" w:color="000000"/>
              <w:right w:val="nil"/>
            </w:tcBorders>
            <w:shd w:val="clear" w:color="auto" w:fill="FFFFFF"/>
            <w:vAlign w:val="center"/>
          </w:tcPr>
          <w:p w:rsidR="005B1CB2" w:rsidRPr="005C46AA" w:rsidRDefault="004C3FB2" w:rsidP="00161BB4">
            <w:pPr>
              <w:spacing w:before="40" w:after="40"/>
              <w:rPr>
                <w:sz w:val="22"/>
                <w:szCs w:val="22"/>
                <w:lang w:val="es-ES"/>
              </w:rPr>
            </w:pPr>
            <w:r w:rsidRPr="005C46AA">
              <w:rPr>
                <w:sz w:val="22"/>
                <w:szCs w:val="22"/>
                <w:lang w:val="es-ES_tradnl"/>
              </w:rPr>
              <w:t xml:space="preserve">De la resolución AG/RES. </w:t>
            </w:r>
            <w:r w:rsidR="007F001D" w:rsidRPr="005C46AA">
              <w:rPr>
                <w:sz w:val="22"/>
                <w:szCs w:val="22"/>
                <w:lang w:val="es-ES_tradnl"/>
              </w:rPr>
              <w:t>2930</w:t>
            </w:r>
            <w:r w:rsidRPr="005C46AA">
              <w:rPr>
                <w:sz w:val="22"/>
                <w:szCs w:val="22"/>
                <w:lang w:val="es-ES_tradnl"/>
              </w:rPr>
              <w:t xml:space="preserve"> (XL</w:t>
            </w:r>
            <w:r w:rsidR="007F001D" w:rsidRPr="005C46AA">
              <w:rPr>
                <w:sz w:val="22"/>
                <w:szCs w:val="22"/>
                <w:lang w:val="es-ES_tradnl"/>
              </w:rPr>
              <w:t>IX</w:t>
            </w:r>
            <w:r w:rsidRPr="005C46AA">
              <w:rPr>
                <w:sz w:val="22"/>
                <w:szCs w:val="22"/>
                <w:lang w:val="es-ES_tradnl"/>
              </w:rPr>
              <w:t>-O/1</w:t>
            </w:r>
            <w:r w:rsidR="007F001D" w:rsidRPr="005C46AA">
              <w:rPr>
                <w:sz w:val="22"/>
                <w:szCs w:val="22"/>
                <w:lang w:val="es-ES_tradnl"/>
              </w:rPr>
              <w:t>9</w:t>
            </w:r>
            <w:r w:rsidRPr="005C46AA">
              <w:rPr>
                <w:sz w:val="22"/>
                <w:szCs w:val="22"/>
                <w:lang w:val="es-ES_tradnl"/>
              </w:rPr>
              <w:t>) “Derecho internacional”</w:t>
            </w:r>
            <w:r w:rsidR="007F6134">
              <w:rPr>
                <w:sz w:val="22"/>
                <w:szCs w:val="22"/>
                <w:lang w:val="es-ES_tradnl"/>
              </w:rPr>
              <w:t>:</w:t>
            </w:r>
          </w:p>
        </w:tc>
      </w:tr>
      <w:tr w:rsidR="000C6BCE" w:rsidRPr="005C46AA" w:rsidTr="007F6134">
        <w:trPr>
          <w:trHeight w:val="70"/>
          <w:jc w:val="center"/>
        </w:trPr>
        <w:tc>
          <w:tcPr>
            <w:tcW w:w="7794" w:type="dxa"/>
            <w:tcBorders>
              <w:top w:val="single" w:sz="4" w:space="0" w:color="000000"/>
            </w:tcBorders>
            <w:shd w:val="clear" w:color="auto" w:fill="BFBFBF"/>
            <w:vAlign w:val="center"/>
          </w:tcPr>
          <w:p w:rsidR="00161BB4" w:rsidRPr="005C46AA" w:rsidRDefault="00161BB4" w:rsidP="00161BB4">
            <w:pPr>
              <w:spacing w:before="40" w:after="40"/>
              <w:jc w:val="center"/>
              <w:rPr>
                <w:b/>
                <w:sz w:val="22"/>
                <w:szCs w:val="22"/>
                <w:lang w:val="es-ES"/>
              </w:rPr>
            </w:pPr>
            <w:r>
              <w:rPr>
                <w:b/>
                <w:sz w:val="22"/>
                <w:szCs w:val="22"/>
                <w:lang w:val="es-ES"/>
              </w:rPr>
              <w:t>Secciones del capítulo I</w:t>
            </w:r>
          </w:p>
        </w:tc>
        <w:tc>
          <w:tcPr>
            <w:tcW w:w="6048" w:type="dxa"/>
            <w:tcBorders>
              <w:top w:val="single" w:sz="4" w:space="0" w:color="000000"/>
            </w:tcBorders>
            <w:shd w:val="clear" w:color="auto" w:fill="BFBFBF"/>
            <w:vAlign w:val="center"/>
          </w:tcPr>
          <w:p w:rsidR="000C6BCE" w:rsidRPr="005C46AA" w:rsidRDefault="000C6BCE" w:rsidP="00161BB4">
            <w:pPr>
              <w:tabs>
                <w:tab w:val="left" w:pos="720"/>
                <w:tab w:val="left" w:pos="1440"/>
                <w:tab w:val="left" w:pos="2160"/>
                <w:tab w:val="left" w:pos="2880"/>
                <w:tab w:val="left" w:pos="3600"/>
              </w:tabs>
              <w:spacing w:before="40" w:after="40"/>
              <w:jc w:val="center"/>
              <w:rPr>
                <w:b/>
                <w:sz w:val="22"/>
                <w:szCs w:val="22"/>
                <w:lang w:val="es-ES"/>
              </w:rPr>
            </w:pPr>
            <w:r w:rsidRPr="005C46AA">
              <w:rPr>
                <w:b/>
                <w:sz w:val="22"/>
                <w:szCs w:val="22"/>
                <w:lang w:val="es-ES"/>
              </w:rPr>
              <w:t>Mandato</w:t>
            </w:r>
            <w:r w:rsidR="005C46AA">
              <w:rPr>
                <w:b/>
                <w:sz w:val="22"/>
                <w:szCs w:val="22"/>
                <w:lang w:val="es-ES"/>
              </w:rPr>
              <w:t>s</w:t>
            </w:r>
          </w:p>
        </w:tc>
      </w:tr>
      <w:tr w:rsidR="000C6BCE" w:rsidRPr="00850278" w:rsidTr="007F6134">
        <w:trPr>
          <w:trHeight w:val="70"/>
          <w:jc w:val="center"/>
        </w:trPr>
        <w:tc>
          <w:tcPr>
            <w:tcW w:w="7794" w:type="dxa"/>
            <w:shd w:val="clear" w:color="auto" w:fill="auto"/>
          </w:tcPr>
          <w:p w:rsidR="00C35474" w:rsidRPr="00C17CE6" w:rsidRDefault="00CB5A00" w:rsidP="00C32931">
            <w:pPr>
              <w:widowControl w:val="0"/>
              <w:numPr>
                <w:ilvl w:val="0"/>
                <w:numId w:val="17"/>
              </w:numPr>
              <w:spacing w:before="40" w:after="40"/>
              <w:ind w:left="576" w:hanging="540"/>
              <w:rPr>
                <w:b/>
                <w:sz w:val="22"/>
                <w:szCs w:val="22"/>
                <w:lang w:val="es-ES" w:eastAsia="es-ES"/>
              </w:rPr>
            </w:pPr>
            <w:r w:rsidRPr="00C17CE6">
              <w:rPr>
                <w:sz w:val="22"/>
                <w:szCs w:val="22"/>
                <w:lang w:val="es-ES"/>
              </w:rPr>
              <w:t>Observaciones y recomendaciones al Informe anual del CJI</w:t>
            </w:r>
            <w:r w:rsidR="00841295" w:rsidRPr="00C17CE6">
              <w:rPr>
                <w:sz w:val="22"/>
                <w:szCs w:val="22"/>
                <w:lang w:val="es-ES"/>
              </w:rPr>
              <w:t xml:space="preserve"> </w:t>
            </w:r>
          </w:p>
        </w:tc>
        <w:tc>
          <w:tcPr>
            <w:tcW w:w="6048" w:type="dxa"/>
            <w:shd w:val="clear" w:color="auto" w:fill="auto"/>
          </w:tcPr>
          <w:p w:rsidR="000C6BCE" w:rsidRPr="00C17CE6" w:rsidRDefault="00161BB4" w:rsidP="00161BB4">
            <w:pPr>
              <w:tabs>
                <w:tab w:val="left" w:pos="720"/>
                <w:tab w:val="left" w:pos="1440"/>
                <w:tab w:val="left" w:pos="2160"/>
                <w:tab w:val="left" w:pos="2880"/>
                <w:tab w:val="left" w:pos="3600"/>
              </w:tabs>
              <w:spacing w:before="40" w:after="40"/>
              <w:jc w:val="both"/>
              <w:rPr>
                <w:sz w:val="22"/>
                <w:szCs w:val="22"/>
                <w:lang w:val="es-ES"/>
              </w:rPr>
            </w:pPr>
            <w:r w:rsidRPr="00C17CE6">
              <w:rPr>
                <w:b/>
                <w:sz w:val="22"/>
                <w:szCs w:val="22"/>
                <w:u w:val="single"/>
                <w:lang w:val="es-ES"/>
              </w:rPr>
              <w:t xml:space="preserve">Párrafo operativo </w:t>
            </w:r>
            <w:r w:rsidR="007F001D" w:rsidRPr="00C17CE6">
              <w:rPr>
                <w:b/>
                <w:sz w:val="22"/>
                <w:szCs w:val="22"/>
                <w:u w:val="single"/>
                <w:lang w:val="es-ES"/>
              </w:rPr>
              <w:t>2</w:t>
            </w:r>
            <w:r w:rsidR="008F5F33" w:rsidRPr="00C17CE6">
              <w:rPr>
                <w:b/>
                <w:sz w:val="22"/>
                <w:szCs w:val="22"/>
                <w:lang w:val="es-ES"/>
              </w:rPr>
              <w:t xml:space="preserve">: </w:t>
            </w:r>
            <w:r w:rsidR="008F5F33" w:rsidRPr="00C17CE6">
              <w:rPr>
                <w:sz w:val="22"/>
                <w:szCs w:val="22"/>
                <w:lang w:val="es-ES"/>
              </w:rPr>
              <w:t>“</w:t>
            </w:r>
            <w:r w:rsidR="00C17CE6" w:rsidRPr="00C17CE6">
              <w:rPr>
                <w:color w:val="000000"/>
                <w:sz w:val="22"/>
                <w:szCs w:val="22"/>
                <w:lang w:val="es-MX"/>
              </w:rPr>
              <w:t xml:space="preserve">Solicitar al CJI que informe permanentemente sobre los avances respecto de los temas incluidos en su agenda, como los asuntos referidos a los acuerdos vinculantes y no vinculantes, a la ciberseguridad, tomando en cuenta las labores del Grupo de Trabajo sobre Medidas de Fomento de Cooperación y Confianza en el Ciberespacio del </w:t>
            </w:r>
            <w:r w:rsidR="00C17CE6" w:rsidRPr="00C17CE6">
              <w:rPr>
                <w:snapToGrid w:val="0"/>
                <w:color w:val="000000"/>
                <w:sz w:val="22"/>
                <w:szCs w:val="22"/>
                <w:lang w:val="es-MX"/>
              </w:rPr>
              <w:t>Comité Interamericano contra el Terrorismo (CICTE)</w:t>
            </w:r>
            <w:r w:rsidR="00C17CE6" w:rsidRPr="00C17CE6">
              <w:rPr>
                <w:color w:val="000000"/>
                <w:sz w:val="22"/>
                <w:szCs w:val="22"/>
                <w:lang w:val="es-MX"/>
              </w:rPr>
              <w:t>, así como los trabajos en esta materia de otras áreas y entidades pertinentes de la Organización de los Estados Americanos, y a la eficacia de las decisiones judiciales extranjeras a la luz de la Convención Interamericana sobre Eficacia Extraterritorial de las Sentencias y Laudos Arbitrales Extranjeros y de la Ley Modelo Interamericana sobre Acceso a la Información Pública, y que continúe la actualización de los Principios sobre la Protección de Datos Personales, teniendo en cuenta la evolución de los mismos</w:t>
            </w:r>
            <w:r w:rsidR="0030039B" w:rsidRPr="00C17CE6">
              <w:rPr>
                <w:sz w:val="22"/>
                <w:szCs w:val="22"/>
                <w:lang w:val="es-MX"/>
              </w:rPr>
              <w:t>.”</w:t>
            </w:r>
          </w:p>
        </w:tc>
      </w:tr>
      <w:tr w:rsidR="004712F5" w:rsidRPr="00850278" w:rsidTr="007F6134">
        <w:trPr>
          <w:trHeight w:val="70"/>
          <w:jc w:val="center"/>
        </w:trPr>
        <w:tc>
          <w:tcPr>
            <w:tcW w:w="7794" w:type="dxa"/>
            <w:shd w:val="clear" w:color="auto" w:fill="auto"/>
          </w:tcPr>
          <w:p w:rsidR="004712F5" w:rsidRPr="00161BB4" w:rsidRDefault="004712F5" w:rsidP="00C32931">
            <w:pPr>
              <w:widowControl w:val="0"/>
              <w:numPr>
                <w:ilvl w:val="0"/>
                <w:numId w:val="17"/>
              </w:numPr>
              <w:spacing w:before="40" w:after="40"/>
              <w:ind w:left="576" w:hanging="540"/>
              <w:rPr>
                <w:sz w:val="22"/>
                <w:szCs w:val="22"/>
                <w:lang w:val="es-ES"/>
              </w:rPr>
            </w:pPr>
            <w:r w:rsidRPr="00161BB4">
              <w:rPr>
                <w:sz w:val="22"/>
                <w:szCs w:val="22"/>
                <w:lang w:val="es-ES"/>
              </w:rPr>
              <w:t>Programa Interamericano para el Desarrollo del Derecho Internacional</w:t>
            </w:r>
          </w:p>
        </w:tc>
        <w:tc>
          <w:tcPr>
            <w:tcW w:w="6048" w:type="dxa"/>
            <w:shd w:val="clear" w:color="auto" w:fill="auto"/>
          </w:tcPr>
          <w:p w:rsidR="004712F5" w:rsidRPr="005C46AA" w:rsidRDefault="004712F5" w:rsidP="00161BB4">
            <w:pPr>
              <w:tabs>
                <w:tab w:val="left" w:pos="720"/>
                <w:tab w:val="left" w:pos="1440"/>
                <w:tab w:val="left" w:pos="2160"/>
                <w:tab w:val="left" w:pos="2880"/>
                <w:tab w:val="left" w:pos="3600"/>
              </w:tabs>
              <w:spacing w:before="40" w:after="40"/>
              <w:jc w:val="both"/>
              <w:rPr>
                <w:b/>
                <w:sz w:val="22"/>
                <w:szCs w:val="22"/>
                <w:u w:val="single"/>
                <w:lang w:val="es-PY"/>
              </w:rPr>
            </w:pPr>
          </w:p>
        </w:tc>
      </w:tr>
      <w:tr w:rsidR="004712F5" w:rsidRPr="00850278" w:rsidTr="007F6134">
        <w:trPr>
          <w:trHeight w:val="70"/>
          <w:jc w:val="center"/>
        </w:trPr>
        <w:tc>
          <w:tcPr>
            <w:tcW w:w="7794" w:type="dxa"/>
            <w:shd w:val="clear" w:color="auto" w:fill="auto"/>
          </w:tcPr>
          <w:p w:rsidR="004712F5" w:rsidRPr="00161BB4" w:rsidRDefault="004712F5" w:rsidP="00C32931">
            <w:pPr>
              <w:widowControl w:val="0"/>
              <w:numPr>
                <w:ilvl w:val="0"/>
                <w:numId w:val="17"/>
              </w:numPr>
              <w:spacing w:before="40" w:after="40"/>
              <w:ind w:left="576" w:hanging="540"/>
              <w:rPr>
                <w:sz w:val="22"/>
                <w:szCs w:val="22"/>
                <w:lang w:val="es-ES"/>
              </w:rPr>
            </w:pPr>
            <w:r w:rsidRPr="00161BB4">
              <w:rPr>
                <w:sz w:val="22"/>
                <w:szCs w:val="22"/>
                <w:lang w:val="es-ES"/>
              </w:rPr>
              <w:t>Elaboración de una ley modelo sobre el uso de fuegos artificiales</w:t>
            </w:r>
          </w:p>
        </w:tc>
        <w:tc>
          <w:tcPr>
            <w:tcW w:w="6048" w:type="dxa"/>
            <w:shd w:val="clear" w:color="auto" w:fill="auto"/>
          </w:tcPr>
          <w:p w:rsidR="004712F5" w:rsidRPr="005C46AA" w:rsidRDefault="004712F5" w:rsidP="00161BB4">
            <w:pPr>
              <w:tabs>
                <w:tab w:val="left" w:pos="720"/>
                <w:tab w:val="left" w:pos="1440"/>
                <w:tab w:val="left" w:pos="2160"/>
                <w:tab w:val="left" w:pos="2880"/>
                <w:tab w:val="left" w:pos="3600"/>
              </w:tabs>
              <w:spacing w:before="40" w:after="40"/>
              <w:jc w:val="both"/>
              <w:rPr>
                <w:b/>
                <w:sz w:val="22"/>
                <w:szCs w:val="22"/>
                <w:u w:val="single"/>
                <w:lang w:val="es-PY"/>
              </w:rPr>
            </w:pPr>
          </w:p>
        </w:tc>
      </w:tr>
      <w:tr w:rsidR="00EC22F6" w:rsidRPr="00850278" w:rsidTr="007F6134">
        <w:trPr>
          <w:trHeight w:val="70"/>
          <w:jc w:val="center"/>
        </w:trPr>
        <w:tc>
          <w:tcPr>
            <w:tcW w:w="7794" w:type="dxa"/>
            <w:shd w:val="clear" w:color="auto" w:fill="auto"/>
          </w:tcPr>
          <w:p w:rsidR="00EC4D78" w:rsidRPr="005C46AA" w:rsidRDefault="004712F5" w:rsidP="00C32931">
            <w:pPr>
              <w:widowControl w:val="0"/>
              <w:numPr>
                <w:ilvl w:val="0"/>
                <w:numId w:val="17"/>
              </w:numPr>
              <w:spacing w:before="40" w:after="40"/>
              <w:ind w:left="576" w:hanging="540"/>
              <w:rPr>
                <w:sz w:val="22"/>
                <w:szCs w:val="22"/>
                <w:lang w:val="es-ES"/>
              </w:rPr>
            </w:pPr>
            <w:r w:rsidRPr="00161BB4">
              <w:rPr>
                <w:sz w:val="22"/>
                <w:szCs w:val="22"/>
                <w:lang w:val="es-ES"/>
              </w:rPr>
              <w:t>Promoción de la Corte Penal Internacional</w:t>
            </w:r>
          </w:p>
        </w:tc>
        <w:tc>
          <w:tcPr>
            <w:tcW w:w="6048" w:type="dxa"/>
            <w:shd w:val="clear" w:color="auto" w:fill="auto"/>
          </w:tcPr>
          <w:p w:rsidR="000C6BCE" w:rsidRPr="005C46AA" w:rsidRDefault="000C6BCE" w:rsidP="00161BB4">
            <w:pPr>
              <w:tabs>
                <w:tab w:val="left" w:pos="720"/>
                <w:tab w:val="left" w:pos="1440"/>
                <w:tab w:val="left" w:pos="2160"/>
                <w:tab w:val="left" w:pos="2880"/>
                <w:tab w:val="left" w:pos="3600"/>
              </w:tabs>
              <w:spacing w:before="40" w:after="40"/>
              <w:jc w:val="both"/>
              <w:rPr>
                <w:b/>
                <w:sz w:val="22"/>
                <w:szCs w:val="22"/>
                <w:lang w:val="es-ES"/>
              </w:rPr>
            </w:pPr>
          </w:p>
        </w:tc>
      </w:tr>
      <w:tr w:rsidR="00A31F54" w:rsidRPr="005C46AA" w:rsidTr="007F6134">
        <w:trPr>
          <w:trHeight w:val="70"/>
          <w:jc w:val="center"/>
        </w:trPr>
        <w:tc>
          <w:tcPr>
            <w:tcW w:w="7794" w:type="dxa"/>
            <w:tcBorders>
              <w:top w:val="single" w:sz="4" w:space="0" w:color="000000"/>
            </w:tcBorders>
            <w:shd w:val="clear" w:color="auto" w:fill="BFBFBF"/>
            <w:vAlign w:val="center"/>
          </w:tcPr>
          <w:p w:rsidR="00A31F54" w:rsidRPr="005C46AA" w:rsidRDefault="004D1A65" w:rsidP="00161BB4">
            <w:pPr>
              <w:spacing w:before="40" w:after="40"/>
              <w:jc w:val="center"/>
              <w:rPr>
                <w:b/>
                <w:sz w:val="22"/>
                <w:szCs w:val="22"/>
                <w:lang w:val="es-ES"/>
              </w:rPr>
            </w:pPr>
            <w:r>
              <w:rPr>
                <w:b/>
                <w:sz w:val="22"/>
                <w:szCs w:val="22"/>
                <w:lang w:val="es-ES"/>
              </w:rPr>
              <w:t>C</w:t>
            </w:r>
            <w:r w:rsidR="00A31F54">
              <w:rPr>
                <w:b/>
                <w:sz w:val="22"/>
                <w:szCs w:val="22"/>
                <w:lang w:val="es-ES"/>
              </w:rPr>
              <w:t xml:space="preserve">apítulo </w:t>
            </w:r>
            <w:r>
              <w:rPr>
                <w:b/>
                <w:sz w:val="22"/>
                <w:szCs w:val="22"/>
                <w:lang w:val="es-ES"/>
              </w:rPr>
              <w:t>II</w:t>
            </w:r>
          </w:p>
        </w:tc>
        <w:tc>
          <w:tcPr>
            <w:tcW w:w="6048" w:type="dxa"/>
            <w:tcBorders>
              <w:top w:val="single" w:sz="4" w:space="0" w:color="000000"/>
            </w:tcBorders>
            <w:shd w:val="clear" w:color="auto" w:fill="BFBFBF"/>
            <w:vAlign w:val="center"/>
          </w:tcPr>
          <w:p w:rsidR="00A31F54" w:rsidRPr="005C46AA" w:rsidRDefault="00A31F54" w:rsidP="00161BB4">
            <w:pPr>
              <w:tabs>
                <w:tab w:val="left" w:pos="720"/>
                <w:tab w:val="left" w:pos="1440"/>
                <w:tab w:val="left" w:pos="2160"/>
                <w:tab w:val="left" w:pos="2880"/>
                <w:tab w:val="left" w:pos="3600"/>
              </w:tabs>
              <w:spacing w:before="40" w:after="40"/>
              <w:jc w:val="center"/>
              <w:rPr>
                <w:b/>
                <w:sz w:val="22"/>
                <w:szCs w:val="22"/>
                <w:lang w:val="es-ES"/>
              </w:rPr>
            </w:pPr>
            <w:r w:rsidRPr="005C46AA">
              <w:rPr>
                <w:b/>
                <w:sz w:val="22"/>
                <w:szCs w:val="22"/>
                <w:lang w:val="es-ES"/>
              </w:rPr>
              <w:t>Mandato</w:t>
            </w:r>
          </w:p>
        </w:tc>
      </w:tr>
      <w:tr w:rsidR="00A31F54" w:rsidRPr="00850278" w:rsidTr="007F6134">
        <w:trPr>
          <w:trHeight w:val="70"/>
          <w:jc w:val="center"/>
        </w:trPr>
        <w:tc>
          <w:tcPr>
            <w:tcW w:w="7794" w:type="dxa"/>
            <w:shd w:val="clear" w:color="auto" w:fill="auto"/>
          </w:tcPr>
          <w:p w:rsidR="00A31F54" w:rsidRPr="00C17CE6" w:rsidRDefault="004D1A65" w:rsidP="00161BB4">
            <w:pPr>
              <w:widowControl w:val="0"/>
              <w:tabs>
                <w:tab w:val="left" w:pos="576"/>
              </w:tabs>
              <w:spacing w:before="40" w:after="40"/>
              <w:rPr>
                <w:sz w:val="22"/>
                <w:szCs w:val="22"/>
                <w:lang w:val="es-US"/>
              </w:rPr>
            </w:pPr>
            <w:r w:rsidRPr="00C17CE6">
              <w:rPr>
                <w:sz w:val="22"/>
                <w:szCs w:val="22"/>
                <w:lang w:val="es-US"/>
              </w:rPr>
              <w:t xml:space="preserve">Seguimiento de informes </w:t>
            </w:r>
          </w:p>
        </w:tc>
        <w:tc>
          <w:tcPr>
            <w:tcW w:w="6048" w:type="dxa"/>
            <w:shd w:val="clear" w:color="auto" w:fill="auto"/>
          </w:tcPr>
          <w:p w:rsidR="00A31F54" w:rsidRPr="00C17CE6" w:rsidRDefault="005256DC" w:rsidP="00161BB4">
            <w:pPr>
              <w:tabs>
                <w:tab w:val="left" w:pos="720"/>
                <w:tab w:val="left" w:pos="1440"/>
                <w:tab w:val="left" w:pos="2160"/>
                <w:tab w:val="left" w:pos="2880"/>
                <w:tab w:val="left" w:pos="3600"/>
              </w:tabs>
              <w:spacing w:before="40" w:after="40"/>
              <w:jc w:val="both"/>
              <w:rPr>
                <w:sz w:val="22"/>
                <w:szCs w:val="22"/>
                <w:lang w:val="es-PY"/>
              </w:rPr>
            </w:pPr>
            <w:r w:rsidRPr="00C17CE6">
              <w:rPr>
                <w:b/>
                <w:sz w:val="22"/>
                <w:szCs w:val="22"/>
                <w:u w:val="single"/>
                <w:lang w:val="es-PY"/>
              </w:rPr>
              <w:t>Párrafo operativo único</w:t>
            </w:r>
            <w:r w:rsidRPr="00C17CE6">
              <w:rPr>
                <w:sz w:val="22"/>
                <w:szCs w:val="22"/>
                <w:lang w:val="es-PY"/>
              </w:rPr>
              <w:t xml:space="preserve">: </w:t>
            </w:r>
            <w:r w:rsidR="004D1A65" w:rsidRPr="00C17CE6">
              <w:rPr>
                <w:sz w:val="22"/>
                <w:szCs w:val="22"/>
                <w:lang w:val="es-PY"/>
              </w:rPr>
              <w:t>“</w:t>
            </w:r>
            <w:r w:rsidR="00C17CE6" w:rsidRPr="00C17CE6">
              <w:rPr>
                <w:color w:val="000000"/>
                <w:sz w:val="22"/>
                <w:szCs w:val="22"/>
                <w:lang w:val="es-MX"/>
              </w:rPr>
              <w:t>Solicitar al Consejo Permanente que informe a la Asamblea General, en su quincuagésimo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004D1A65" w:rsidRPr="00C17CE6">
              <w:rPr>
                <w:sz w:val="22"/>
                <w:szCs w:val="22"/>
                <w:lang w:val="es-MX"/>
              </w:rPr>
              <w:t>.”</w:t>
            </w:r>
          </w:p>
        </w:tc>
      </w:tr>
    </w:tbl>
    <w:p w:rsidR="004750DF" w:rsidRPr="00A6711A" w:rsidRDefault="004750DF" w:rsidP="002D105F">
      <w:pPr>
        <w:widowControl w:val="0"/>
        <w:tabs>
          <w:tab w:val="left" w:pos="900"/>
        </w:tabs>
        <w:ind w:left="900" w:hanging="540"/>
        <w:jc w:val="both"/>
        <w:rPr>
          <w:sz w:val="22"/>
          <w:szCs w:val="22"/>
          <w:lang w:val="es-ES" w:eastAsia="es-ES"/>
        </w:rPr>
      </w:pPr>
    </w:p>
    <w:tbl>
      <w:tblPr>
        <w:tblW w:w="13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9"/>
        <w:gridCol w:w="5741"/>
      </w:tblGrid>
      <w:tr w:rsidR="000D5145" w:rsidRPr="00850278" w:rsidTr="007F6134">
        <w:trPr>
          <w:trHeight w:val="70"/>
          <w:jc w:val="center"/>
        </w:trPr>
        <w:tc>
          <w:tcPr>
            <w:tcW w:w="13510" w:type="dxa"/>
            <w:gridSpan w:val="2"/>
            <w:tcBorders>
              <w:top w:val="nil"/>
              <w:left w:val="nil"/>
              <w:bottom w:val="single" w:sz="4" w:space="0" w:color="000000"/>
              <w:right w:val="nil"/>
            </w:tcBorders>
            <w:shd w:val="clear" w:color="auto" w:fill="FFFFFF"/>
            <w:vAlign w:val="center"/>
          </w:tcPr>
          <w:p w:rsidR="000D5145" w:rsidRPr="005256DC" w:rsidRDefault="00625A0C" w:rsidP="005256DC">
            <w:pPr>
              <w:tabs>
                <w:tab w:val="left" w:pos="720"/>
                <w:tab w:val="left" w:pos="1440"/>
                <w:tab w:val="left" w:pos="2160"/>
                <w:tab w:val="left" w:pos="2880"/>
                <w:tab w:val="left" w:pos="3600"/>
              </w:tabs>
              <w:spacing w:before="20" w:after="20"/>
              <w:rPr>
                <w:sz w:val="22"/>
                <w:szCs w:val="22"/>
                <w:lang w:val="es-ES"/>
              </w:rPr>
            </w:pPr>
            <w:r w:rsidRPr="005256DC">
              <w:rPr>
                <w:sz w:val="22"/>
                <w:szCs w:val="22"/>
                <w:lang w:val="es-ES_tradnl"/>
              </w:rPr>
              <w:t xml:space="preserve">De la resolución </w:t>
            </w:r>
            <w:r w:rsidR="001E37E3" w:rsidRPr="005256DC">
              <w:rPr>
                <w:sz w:val="22"/>
                <w:szCs w:val="22"/>
                <w:lang w:val="es-ES_tradnl"/>
              </w:rPr>
              <w:t xml:space="preserve">AG/RES. </w:t>
            </w:r>
            <w:r w:rsidR="004712F5" w:rsidRPr="005256DC">
              <w:rPr>
                <w:sz w:val="22"/>
                <w:szCs w:val="22"/>
                <w:lang w:val="es-ES_tradnl"/>
              </w:rPr>
              <w:t>2931</w:t>
            </w:r>
            <w:r w:rsidR="001E37E3" w:rsidRPr="005256DC">
              <w:rPr>
                <w:sz w:val="22"/>
                <w:szCs w:val="22"/>
                <w:lang w:val="es-ES_tradnl"/>
              </w:rPr>
              <w:t xml:space="preserve"> (</w:t>
            </w:r>
            <w:r w:rsidR="004712F5" w:rsidRPr="005256DC">
              <w:rPr>
                <w:sz w:val="22"/>
                <w:szCs w:val="22"/>
                <w:lang w:val="es-ES_tradnl"/>
              </w:rPr>
              <w:t>XLIX</w:t>
            </w:r>
            <w:r w:rsidR="001E37E3" w:rsidRPr="005256DC">
              <w:rPr>
                <w:sz w:val="22"/>
                <w:szCs w:val="22"/>
                <w:lang w:val="es-ES_tradnl"/>
              </w:rPr>
              <w:t>-O/</w:t>
            </w:r>
            <w:r w:rsidR="00E50D42" w:rsidRPr="005256DC">
              <w:rPr>
                <w:sz w:val="22"/>
                <w:szCs w:val="22"/>
                <w:lang w:val="es-ES_tradnl"/>
              </w:rPr>
              <w:t>1</w:t>
            </w:r>
            <w:r w:rsidR="004712F5" w:rsidRPr="005256DC">
              <w:rPr>
                <w:sz w:val="22"/>
                <w:szCs w:val="22"/>
                <w:lang w:val="es-ES_tradnl"/>
              </w:rPr>
              <w:t>9</w:t>
            </w:r>
            <w:r w:rsidR="001E37E3" w:rsidRPr="005256DC">
              <w:rPr>
                <w:sz w:val="22"/>
                <w:szCs w:val="22"/>
                <w:lang w:val="es-ES_tradnl"/>
              </w:rPr>
              <w:t xml:space="preserve">) </w:t>
            </w:r>
            <w:r w:rsidR="00917E0F" w:rsidRPr="005256DC">
              <w:rPr>
                <w:sz w:val="22"/>
                <w:szCs w:val="22"/>
                <w:lang w:val="es-ES_tradnl"/>
              </w:rPr>
              <w:t>“</w:t>
            </w:r>
            <w:r w:rsidR="00E50D42" w:rsidRPr="005256DC">
              <w:rPr>
                <w:sz w:val="22"/>
                <w:szCs w:val="22"/>
                <w:lang w:val="es-ES_tradnl"/>
              </w:rPr>
              <w:t>Fortalecimiento de la democracia</w:t>
            </w:r>
            <w:r w:rsidR="00917E0F" w:rsidRPr="005256DC">
              <w:rPr>
                <w:sz w:val="22"/>
                <w:szCs w:val="22"/>
                <w:lang w:val="es-ES_tradnl"/>
              </w:rPr>
              <w:t>”</w:t>
            </w:r>
            <w:r w:rsidR="002362E4" w:rsidRPr="005256DC">
              <w:rPr>
                <w:sz w:val="22"/>
                <w:szCs w:val="22"/>
                <w:lang w:val="es-ES_tradnl"/>
              </w:rPr>
              <w:t>:</w:t>
            </w:r>
          </w:p>
        </w:tc>
      </w:tr>
      <w:tr w:rsidR="004D1A65" w:rsidRPr="005256DC" w:rsidTr="007F6134">
        <w:trPr>
          <w:trHeight w:val="70"/>
          <w:jc w:val="center"/>
        </w:trPr>
        <w:tc>
          <w:tcPr>
            <w:tcW w:w="7769" w:type="dxa"/>
            <w:tcBorders>
              <w:top w:val="single" w:sz="4" w:space="0" w:color="000000"/>
            </w:tcBorders>
            <w:shd w:val="clear" w:color="auto" w:fill="BFBFBF"/>
            <w:vAlign w:val="center"/>
          </w:tcPr>
          <w:p w:rsidR="004D1A65" w:rsidRPr="005256DC" w:rsidRDefault="004D1A65" w:rsidP="005256DC">
            <w:pPr>
              <w:spacing w:before="20" w:after="20"/>
              <w:jc w:val="center"/>
              <w:rPr>
                <w:b/>
                <w:sz w:val="22"/>
                <w:szCs w:val="22"/>
                <w:lang w:val="es-ES"/>
              </w:rPr>
            </w:pPr>
            <w:r w:rsidRPr="005256DC">
              <w:rPr>
                <w:b/>
                <w:sz w:val="22"/>
                <w:szCs w:val="22"/>
                <w:lang w:val="es-ES"/>
              </w:rPr>
              <w:t>Secciones del capítulo I</w:t>
            </w:r>
          </w:p>
        </w:tc>
        <w:tc>
          <w:tcPr>
            <w:tcW w:w="5741" w:type="dxa"/>
            <w:tcBorders>
              <w:top w:val="single" w:sz="4" w:space="0" w:color="000000"/>
            </w:tcBorders>
            <w:shd w:val="clear" w:color="auto" w:fill="BFBFBF"/>
            <w:vAlign w:val="center"/>
          </w:tcPr>
          <w:p w:rsidR="004D1A65" w:rsidRPr="005256DC" w:rsidRDefault="004D1A65" w:rsidP="005256DC">
            <w:pPr>
              <w:tabs>
                <w:tab w:val="left" w:pos="720"/>
                <w:tab w:val="left" w:pos="1440"/>
                <w:tab w:val="left" w:pos="2160"/>
                <w:tab w:val="left" w:pos="2880"/>
                <w:tab w:val="left" w:pos="3600"/>
              </w:tabs>
              <w:spacing w:before="20" w:after="20"/>
              <w:jc w:val="center"/>
              <w:rPr>
                <w:b/>
                <w:sz w:val="22"/>
                <w:szCs w:val="22"/>
                <w:lang w:val="es-ES"/>
              </w:rPr>
            </w:pPr>
            <w:r w:rsidRPr="005256DC">
              <w:rPr>
                <w:b/>
                <w:sz w:val="22"/>
                <w:szCs w:val="22"/>
                <w:lang w:val="es-ES"/>
              </w:rPr>
              <w:t>Mandatos</w:t>
            </w:r>
          </w:p>
        </w:tc>
      </w:tr>
      <w:tr w:rsidR="000C6BCE" w:rsidRPr="00850278" w:rsidTr="007F6134">
        <w:trPr>
          <w:trHeight w:val="70"/>
          <w:jc w:val="center"/>
        </w:trPr>
        <w:tc>
          <w:tcPr>
            <w:tcW w:w="7769" w:type="dxa"/>
            <w:shd w:val="clear" w:color="auto" w:fill="auto"/>
            <w:vAlign w:val="center"/>
          </w:tcPr>
          <w:p w:rsidR="000C6BCE" w:rsidRPr="005256DC" w:rsidRDefault="004712F5"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Seguimiento de la Carta Democrática Interamericana</w:t>
            </w:r>
          </w:p>
        </w:tc>
        <w:tc>
          <w:tcPr>
            <w:tcW w:w="5741" w:type="dxa"/>
            <w:shd w:val="clear" w:color="auto" w:fill="auto"/>
            <w:vAlign w:val="center"/>
          </w:tcPr>
          <w:p w:rsidR="000C6BCE" w:rsidRPr="005256DC" w:rsidRDefault="000C6BCE" w:rsidP="005256DC">
            <w:pPr>
              <w:tabs>
                <w:tab w:val="left" w:pos="720"/>
                <w:tab w:val="left" w:pos="1440"/>
                <w:tab w:val="left" w:pos="2160"/>
                <w:tab w:val="left" w:pos="2880"/>
                <w:tab w:val="left" w:pos="3600"/>
              </w:tabs>
              <w:spacing w:before="20" w:after="20"/>
              <w:rPr>
                <w:b/>
                <w:sz w:val="22"/>
                <w:szCs w:val="22"/>
                <w:lang w:val="es-ES"/>
              </w:rPr>
            </w:pPr>
          </w:p>
        </w:tc>
      </w:tr>
      <w:tr w:rsidR="000C6BCE" w:rsidRPr="00850278" w:rsidTr="007F6134">
        <w:trPr>
          <w:trHeight w:val="70"/>
          <w:jc w:val="center"/>
        </w:trPr>
        <w:tc>
          <w:tcPr>
            <w:tcW w:w="7769" w:type="dxa"/>
            <w:shd w:val="clear" w:color="auto" w:fill="auto"/>
            <w:vAlign w:val="center"/>
          </w:tcPr>
          <w:p w:rsidR="00EC4D78" w:rsidRPr="005256DC" w:rsidRDefault="00602DEA"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Seguimiento de la Convención Interamericana contra la Corrupción y del Programa Interamericano de Cooperación para Combatir la Corrupción</w:t>
            </w:r>
          </w:p>
        </w:tc>
        <w:tc>
          <w:tcPr>
            <w:tcW w:w="5741" w:type="dxa"/>
            <w:shd w:val="clear" w:color="auto" w:fill="auto"/>
            <w:vAlign w:val="center"/>
          </w:tcPr>
          <w:p w:rsidR="000C6BCE" w:rsidRPr="005256DC" w:rsidRDefault="000C6BCE" w:rsidP="005256DC">
            <w:pPr>
              <w:tabs>
                <w:tab w:val="left" w:pos="720"/>
                <w:tab w:val="left" w:pos="1440"/>
                <w:tab w:val="left" w:pos="2160"/>
                <w:tab w:val="left" w:pos="2880"/>
                <w:tab w:val="left" w:pos="3600"/>
              </w:tabs>
              <w:spacing w:before="20" w:after="20"/>
              <w:rPr>
                <w:b/>
                <w:sz w:val="22"/>
                <w:szCs w:val="22"/>
                <w:lang w:val="es-ES"/>
              </w:rPr>
            </w:pPr>
          </w:p>
        </w:tc>
      </w:tr>
      <w:tr w:rsidR="000C6BCE" w:rsidRPr="00850278" w:rsidTr="007F6134">
        <w:trPr>
          <w:trHeight w:val="70"/>
          <w:jc w:val="center"/>
        </w:trPr>
        <w:tc>
          <w:tcPr>
            <w:tcW w:w="7769" w:type="dxa"/>
            <w:shd w:val="clear" w:color="auto" w:fill="auto"/>
            <w:vAlign w:val="center"/>
          </w:tcPr>
          <w:p w:rsidR="00EC4D78" w:rsidRPr="005256DC" w:rsidRDefault="007538D8"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Fortalecimiento del catastro y registro de la propiedad en las Américas</w:t>
            </w:r>
          </w:p>
        </w:tc>
        <w:tc>
          <w:tcPr>
            <w:tcW w:w="5741" w:type="dxa"/>
            <w:shd w:val="clear" w:color="auto" w:fill="auto"/>
            <w:vAlign w:val="center"/>
          </w:tcPr>
          <w:p w:rsidR="000C6BCE" w:rsidRPr="005256DC" w:rsidRDefault="000C6BCE" w:rsidP="005256DC">
            <w:pPr>
              <w:tabs>
                <w:tab w:val="left" w:pos="720"/>
                <w:tab w:val="left" w:pos="1440"/>
                <w:tab w:val="left" w:pos="2160"/>
                <w:tab w:val="left" w:pos="2880"/>
                <w:tab w:val="left" w:pos="3600"/>
              </w:tabs>
              <w:spacing w:before="20" w:after="20"/>
              <w:rPr>
                <w:b/>
                <w:sz w:val="22"/>
                <w:szCs w:val="22"/>
                <w:lang w:val="es-ES"/>
              </w:rPr>
            </w:pPr>
          </w:p>
        </w:tc>
      </w:tr>
      <w:tr w:rsidR="00602DEA" w:rsidRPr="00850278" w:rsidTr="007F6134">
        <w:trPr>
          <w:trHeight w:val="70"/>
          <w:jc w:val="center"/>
        </w:trPr>
        <w:tc>
          <w:tcPr>
            <w:tcW w:w="7769" w:type="dxa"/>
            <w:shd w:val="clear" w:color="auto" w:fill="auto"/>
            <w:vAlign w:val="center"/>
          </w:tcPr>
          <w:p w:rsidR="00602DEA" w:rsidRPr="005256DC" w:rsidRDefault="00602DEA"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Derechos del niño, la niña y adolescentes</w:t>
            </w:r>
          </w:p>
        </w:tc>
        <w:tc>
          <w:tcPr>
            <w:tcW w:w="5741" w:type="dxa"/>
            <w:shd w:val="clear" w:color="auto" w:fill="auto"/>
            <w:vAlign w:val="center"/>
          </w:tcPr>
          <w:p w:rsidR="00602DEA" w:rsidRPr="005256DC" w:rsidRDefault="00602DEA" w:rsidP="005256DC">
            <w:pPr>
              <w:tabs>
                <w:tab w:val="left" w:pos="720"/>
                <w:tab w:val="left" w:pos="1440"/>
                <w:tab w:val="left" w:pos="2160"/>
                <w:tab w:val="left" w:pos="2880"/>
                <w:tab w:val="left" w:pos="3600"/>
              </w:tabs>
              <w:spacing w:before="20" w:after="20"/>
              <w:rPr>
                <w:b/>
                <w:sz w:val="22"/>
                <w:szCs w:val="22"/>
                <w:u w:val="single"/>
                <w:lang w:val="es-PY"/>
              </w:rPr>
            </w:pPr>
          </w:p>
        </w:tc>
      </w:tr>
      <w:tr w:rsidR="00602DEA" w:rsidRPr="00850278" w:rsidTr="007F6134">
        <w:trPr>
          <w:trHeight w:val="70"/>
          <w:jc w:val="center"/>
        </w:trPr>
        <w:tc>
          <w:tcPr>
            <w:tcW w:w="7769" w:type="dxa"/>
            <w:shd w:val="clear" w:color="auto" w:fill="auto"/>
          </w:tcPr>
          <w:p w:rsidR="00602DEA" w:rsidRPr="00C17CE6" w:rsidRDefault="00C17CE6" w:rsidP="00C32931">
            <w:pPr>
              <w:numPr>
                <w:ilvl w:val="0"/>
                <w:numId w:val="18"/>
              </w:numPr>
              <w:tabs>
                <w:tab w:val="left" w:pos="551"/>
              </w:tabs>
              <w:spacing w:before="20" w:after="20"/>
              <w:ind w:left="551" w:hanging="551"/>
              <w:jc w:val="both"/>
              <w:rPr>
                <w:sz w:val="22"/>
                <w:szCs w:val="22"/>
                <w:lang w:val="es-MX"/>
              </w:rPr>
            </w:pPr>
            <w:r w:rsidRPr="00C17CE6">
              <w:rPr>
                <w:color w:val="000000"/>
                <w:sz w:val="22"/>
                <w:szCs w:val="22"/>
                <w:lang w:val="es-MX"/>
              </w:rPr>
              <w:t>Diálogo inclusivo para la prevención, gestión eficaz y solución integral de la conflictividad social en la inversión para el desarrollo integral</w:t>
            </w:r>
          </w:p>
        </w:tc>
        <w:tc>
          <w:tcPr>
            <w:tcW w:w="5741" w:type="dxa"/>
            <w:shd w:val="clear" w:color="auto" w:fill="auto"/>
          </w:tcPr>
          <w:p w:rsidR="00602DEA" w:rsidRPr="00C17CE6" w:rsidRDefault="00602DEA" w:rsidP="005256DC">
            <w:pPr>
              <w:spacing w:before="20" w:after="20"/>
              <w:jc w:val="both"/>
              <w:rPr>
                <w:b/>
                <w:sz w:val="22"/>
                <w:szCs w:val="22"/>
                <w:lang w:val="es-ES"/>
              </w:rPr>
            </w:pPr>
            <w:r w:rsidRPr="00C17CE6">
              <w:rPr>
                <w:b/>
                <w:sz w:val="22"/>
                <w:szCs w:val="22"/>
                <w:u w:val="single"/>
                <w:lang w:val="es-PY"/>
              </w:rPr>
              <w:t>Párrafo operativo 3</w:t>
            </w:r>
            <w:r w:rsidRPr="00C17CE6">
              <w:rPr>
                <w:b/>
                <w:sz w:val="22"/>
                <w:szCs w:val="22"/>
                <w:lang w:val="es-PY"/>
              </w:rPr>
              <w:t>:</w:t>
            </w:r>
            <w:r w:rsidRPr="00C17CE6">
              <w:rPr>
                <w:sz w:val="22"/>
                <w:szCs w:val="22"/>
                <w:lang w:val="es-PY"/>
              </w:rPr>
              <w:t xml:space="preserve"> “</w:t>
            </w:r>
            <w:r w:rsidR="00C17CE6" w:rsidRPr="00C17CE6">
              <w:rPr>
                <w:color w:val="000000"/>
                <w:sz w:val="22"/>
                <w:szCs w:val="22"/>
                <w:lang w:val="es-MX"/>
              </w:rPr>
              <w:t>Solicitar al Consejo Permanente que, sujeto a la disponibilidad de recursos, promueva la realización de una sesión extraordinaria en la CAJP a fin de intercambiar experiencias e información sobre la materia</w:t>
            </w:r>
            <w:r w:rsidRPr="00C17CE6">
              <w:rPr>
                <w:sz w:val="22"/>
                <w:szCs w:val="22"/>
                <w:lang w:val="es-PE"/>
              </w:rPr>
              <w:t>.”</w:t>
            </w:r>
          </w:p>
        </w:tc>
      </w:tr>
      <w:tr w:rsidR="00602DEA" w:rsidRPr="00850278" w:rsidTr="007F6134">
        <w:trPr>
          <w:trHeight w:val="70"/>
          <w:jc w:val="center"/>
        </w:trPr>
        <w:tc>
          <w:tcPr>
            <w:tcW w:w="7769" w:type="dxa"/>
            <w:shd w:val="clear" w:color="auto" w:fill="auto"/>
            <w:vAlign w:val="center"/>
          </w:tcPr>
          <w:p w:rsidR="00602DEA" w:rsidRPr="005256DC" w:rsidRDefault="00602DEA"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 xml:space="preserve">Misión de Apoyo Contra la Corrupción y la Impunidad en Honduras </w:t>
            </w:r>
          </w:p>
        </w:tc>
        <w:tc>
          <w:tcPr>
            <w:tcW w:w="5741" w:type="dxa"/>
            <w:shd w:val="clear" w:color="auto" w:fill="auto"/>
            <w:vAlign w:val="center"/>
          </w:tcPr>
          <w:p w:rsidR="00602DEA" w:rsidRPr="005256DC" w:rsidRDefault="00602DEA" w:rsidP="005256DC">
            <w:pPr>
              <w:tabs>
                <w:tab w:val="left" w:pos="720"/>
                <w:tab w:val="left" w:pos="1440"/>
                <w:tab w:val="left" w:pos="2160"/>
                <w:tab w:val="left" w:pos="2880"/>
                <w:tab w:val="left" w:pos="3600"/>
              </w:tabs>
              <w:spacing w:before="20" w:after="20"/>
              <w:rPr>
                <w:b/>
                <w:sz w:val="22"/>
                <w:szCs w:val="22"/>
                <w:lang w:val="es-PY"/>
              </w:rPr>
            </w:pPr>
          </w:p>
        </w:tc>
      </w:tr>
      <w:tr w:rsidR="00602DEA" w:rsidRPr="00850278" w:rsidTr="007F6134">
        <w:trPr>
          <w:trHeight w:val="70"/>
          <w:jc w:val="center"/>
        </w:trPr>
        <w:tc>
          <w:tcPr>
            <w:tcW w:w="7769" w:type="dxa"/>
            <w:shd w:val="clear" w:color="auto" w:fill="auto"/>
            <w:vAlign w:val="center"/>
          </w:tcPr>
          <w:p w:rsidR="00602DEA" w:rsidRPr="005256DC" w:rsidRDefault="00602DEA"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Gobierno digital, abierto y transparente</w:t>
            </w:r>
          </w:p>
        </w:tc>
        <w:tc>
          <w:tcPr>
            <w:tcW w:w="5741" w:type="dxa"/>
            <w:shd w:val="clear" w:color="auto" w:fill="auto"/>
            <w:vAlign w:val="center"/>
          </w:tcPr>
          <w:p w:rsidR="00602DEA" w:rsidRPr="005256DC" w:rsidRDefault="00602DEA" w:rsidP="005256DC">
            <w:pPr>
              <w:tabs>
                <w:tab w:val="left" w:pos="371"/>
              </w:tabs>
              <w:spacing w:before="20" w:after="20"/>
              <w:rPr>
                <w:sz w:val="22"/>
                <w:szCs w:val="22"/>
                <w:lang w:val="es-MX" w:eastAsia="es-ES"/>
              </w:rPr>
            </w:pPr>
          </w:p>
        </w:tc>
      </w:tr>
      <w:tr w:rsidR="00602DEA" w:rsidRPr="00850278" w:rsidTr="007F6134">
        <w:trPr>
          <w:trHeight w:val="70"/>
          <w:jc w:val="center"/>
        </w:trPr>
        <w:tc>
          <w:tcPr>
            <w:tcW w:w="7769" w:type="dxa"/>
            <w:shd w:val="clear" w:color="auto" w:fill="auto"/>
          </w:tcPr>
          <w:p w:rsidR="00602DEA" w:rsidRPr="005256DC" w:rsidRDefault="005C46AA"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Fortalecimiento de las actividades del Programa Interamericano de Facilitadores Judiciales</w:t>
            </w:r>
          </w:p>
        </w:tc>
        <w:tc>
          <w:tcPr>
            <w:tcW w:w="5741" w:type="dxa"/>
            <w:shd w:val="clear" w:color="auto" w:fill="auto"/>
          </w:tcPr>
          <w:p w:rsidR="00602DEA" w:rsidRPr="005256DC" w:rsidRDefault="00602DEA" w:rsidP="005256DC">
            <w:pPr>
              <w:tabs>
                <w:tab w:val="left" w:pos="720"/>
                <w:tab w:val="left" w:pos="1440"/>
                <w:tab w:val="left" w:pos="2160"/>
                <w:tab w:val="left" w:pos="2880"/>
                <w:tab w:val="left" w:pos="3600"/>
              </w:tabs>
              <w:spacing w:before="20" w:after="20"/>
              <w:jc w:val="both"/>
              <w:rPr>
                <w:b/>
                <w:sz w:val="22"/>
                <w:szCs w:val="22"/>
                <w:lang w:val="es-ES"/>
              </w:rPr>
            </w:pPr>
          </w:p>
        </w:tc>
      </w:tr>
      <w:tr w:rsidR="00602DEA" w:rsidRPr="00850278" w:rsidTr="007F6134">
        <w:trPr>
          <w:trHeight w:val="70"/>
          <w:jc w:val="center"/>
        </w:trPr>
        <w:tc>
          <w:tcPr>
            <w:tcW w:w="7769" w:type="dxa"/>
            <w:shd w:val="clear" w:color="auto" w:fill="auto"/>
          </w:tcPr>
          <w:p w:rsidR="00602DEA" w:rsidRPr="005256DC" w:rsidRDefault="005C46AA"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Reunión de Ministros de Justicia u Otros Ministros, Procuradores o Fiscales Generales de las Américas</w:t>
            </w:r>
          </w:p>
        </w:tc>
        <w:tc>
          <w:tcPr>
            <w:tcW w:w="5741" w:type="dxa"/>
            <w:shd w:val="clear" w:color="auto" w:fill="auto"/>
          </w:tcPr>
          <w:p w:rsidR="00602DEA" w:rsidRPr="005256DC" w:rsidRDefault="00602DEA" w:rsidP="005256DC">
            <w:pPr>
              <w:tabs>
                <w:tab w:val="left" w:pos="551"/>
              </w:tabs>
              <w:spacing w:before="20" w:after="20"/>
              <w:rPr>
                <w:sz w:val="22"/>
                <w:szCs w:val="22"/>
                <w:lang w:val="es-MX" w:eastAsia="es-ES"/>
              </w:rPr>
            </w:pPr>
          </w:p>
        </w:tc>
      </w:tr>
      <w:tr w:rsidR="00602DEA" w:rsidRPr="00850278" w:rsidTr="007F6134">
        <w:trPr>
          <w:trHeight w:val="70"/>
          <w:jc w:val="center"/>
        </w:trPr>
        <w:tc>
          <w:tcPr>
            <w:tcW w:w="7769" w:type="dxa"/>
            <w:shd w:val="clear" w:color="auto" w:fill="auto"/>
          </w:tcPr>
          <w:p w:rsidR="00602DEA" w:rsidRPr="005256DC" w:rsidRDefault="00602DEA"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Fortalecimiento e innovación de la gestión pública en las Américas.</w:t>
            </w:r>
          </w:p>
        </w:tc>
        <w:tc>
          <w:tcPr>
            <w:tcW w:w="5741" w:type="dxa"/>
            <w:shd w:val="clear" w:color="auto" w:fill="auto"/>
          </w:tcPr>
          <w:p w:rsidR="00602DEA" w:rsidRPr="00C17CE6" w:rsidRDefault="008738E8" w:rsidP="008738E8">
            <w:pPr>
              <w:tabs>
                <w:tab w:val="left" w:pos="551"/>
              </w:tabs>
              <w:spacing w:before="20" w:after="20"/>
              <w:jc w:val="both"/>
              <w:rPr>
                <w:sz w:val="22"/>
                <w:szCs w:val="22"/>
                <w:lang w:val="es-MX" w:eastAsia="es-ES"/>
              </w:rPr>
            </w:pPr>
            <w:r w:rsidRPr="00C17CE6">
              <w:rPr>
                <w:b/>
                <w:sz w:val="22"/>
                <w:szCs w:val="22"/>
                <w:u w:val="single"/>
                <w:lang w:val="es-PY"/>
              </w:rPr>
              <w:t>Párrafo operativo 5</w:t>
            </w:r>
            <w:r w:rsidRPr="00C17CE6">
              <w:rPr>
                <w:b/>
                <w:sz w:val="22"/>
                <w:szCs w:val="22"/>
                <w:lang w:val="es-PY"/>
              </w:rPr>
              <w:t xml:space="preserve">: </w:t>
            </w:r>
            <w:r w:rsidRPr="00C17CE6">
              <w:rPr>
                <w:sz w:val="22"/>
                <w:szCs w:val="22"/>
                <w:lang w:val="es-PY"/>
              </w:rPr>
              <w:t>“</w:t>
            </w:r>
            <w:r w:rsidR="00C17CE6" w:rsidRPr="00C17CE6">
              <w:rPr>
                <w:color w:val="000000"/>
                <w:sz w:val="22"/>
                <w:szCs w:val="22"/>
                <w:lang w:val="es-MX"/>
              </w:rPr>
              <w:t>Reconocer el avance realizado por la Red Interamericana de Contrataciones Gubernamentales (RICG) en el desarrollo de una propuesta de iniciativa hemisférica de contrataciones abiertas coordinada con las autoridades competentes nacionales, y sociedad civil, e invitar a la RICG a que presente los resultados obtenidos ante la CAJP</w:t>
            </w:r>
            <w:r w:rsidRPr="00C17CE6">
              <w:rPr>
                <w:sz w:val="22"/>
                <w:szCs w:val="22"/>
                <w:lang w:val="es-MX"/>
              </w:rPr>
              <w:t>.”</w:t>
            </w:r>
          </w:p>
        </w:tc>
      </w:tr>
      <w:tr w:rsidR="00602DEA" w:rsidRPr="00850278" w:rsidTr="007F6134">
        <w:trPr>
          <w:trHeight w:val="70"/>
          <w:jc w:val="center"/>
        </w:trPr>
        <w:tc>
          <w:tcPr>
            <w:tcW w:w="7769" w:type="dxa"/>
            <w:shd w:val="clear" w:color="auto" w:fill="auto"/>
            <w:vAlign w:val="center"/>
          </w:tcPr>
          <w:p w:rsidR="00602DEA" w:rsidRPr="005256DC" w:rsidRDefault="00602DEA" w:rsidP="00C32931">
            <w:pPr>
              <w:numPr>
                <w:ilvl w:val="0"/>
                <w:numId w:val="18"/>
              </w:numPr>
              <w:tabs>
                <w:tab w:val="left" w:pos="551"/>
              </w:tabs>
              <w:spacing w:before="20" w:after="20"/>
              <w:ind w:left="551" w:hanging="551"/>
              <w:jc w:val="both"/>
              <w:rPr>
                <w:sz w:val="22"/>
                <w:szCs w:val="22"/>
                <w:lang w:val="es-MX"/>
              </w:rPr>
            </w:pPr>
            <w:r w:rsidRPr="005256DC">
              <w:rPr>
                <w:sz w:val="22"/>
                <w:szCs w:val="22"/>
                <w:lang w:val="es-MX"/>
              </w:rPr>
              <w:t>Cooperación técnica y misiones de observación electoral.</w:t>
            </w:r>
          </w:p>
        </w:tc>
        <w:tc>
          <w:tcPr>
            <w:tcW w:w="5741" w:type="dxa"/>
            <w:shd w:val="clear" w:color="auto" w:fill="auto"/>
            <w:vAlign w:val="center"/>
          </w:tcPr>
          <w:p w:rsidR="00602DEA" w:rsidRPr="005256DC" w:rsidRDefault="00602DEA" w:rsidP="005256DC">
            <w:pPr>
              <w:tabs>
                <w:tab w:val="left" w:pos="551"/>
              </w:tabs>
              <w:spacing w:before="20" w:after="20"/>
              <w:rPr>
                <w:sz w:val="22"/>
                <w:szCs w:val="22"/>
                <w:lang w:val="es-MX" w:eastAsia="es-ES"/>
              </w:rPr>
            </w:pPr>
          </w:p>
        </w:tc>
      </w:tr>
      <w:tr w:rsidR="00602DEA" w:rsidRPr="00850278" w:rsidTr="007F6134">
        <w:trPr>
          <w:trHeight w:val="70"/>
          <w:jc w:val="center"/>
        </w:trPr>
        <w:tc>
          <w:tcPr>
            <w:tcW w:w="7769" w:type="dxa"/>
            <w:shd w:val="clear" w:color="auto" w:fill="auto"/>
          </w:tcPr>
          <w:p w:rsidR="00602DEA" w:rsidRPr="00CA73FB" w:rsidRDefault="005C46AA" w:rsidP="00C32931">
            <w:pPr>
              <w:numPr>
                <w:ilvl w:val="0"/>
                <w:numId w:val="18"/>
              </w:numPr>
              <w:tabs>
                <w:tab w:val="left" w:pos="551"/>
              </w:tabs>
              <w:spacing w:before="20" w:after="20"/>
              <w:ind w:left="551" w:hanging="551"/>
              <w:jc w:val="both"/>
              <w:rPr>
                <w:sz w:val="22"/>
                <w:szCs w:val="22"/>
                <w:lang w:val="es-MX"/>
              </w:rPr>
            </w:pPr>
            <w:r w:rsidRPr="00CA73FB">
              <w:rPr>
                <w:sz w:val="22"/>
                <w:szCs w:val="22"/>
                <w:lang w:val="es-MX"/>
              </w:rPr>
              <w:t>Acceso a la información pública y protección de datos personal</w:t>
            </w:r>
            <w:r w:rsidR="00E95C5F" w:rsidRPr="00CA73FB">
              <w:rPr>
                <w:sz w:val="22"/>
                <w:szCs w:val="22"/>
                <w:lang w:val="es-MX"/>
              </w:rPr>
              <w:t>es</w:t>
            </w:r>
          </w:p>
        </w:tc>
        <w:tc>
          <w:tcPr>
            <w:tcW w:w="5741" w:type="dxa"/>
            <w:shd w:val="clear" w:color="auto" w:fill="auto"/>
          </w:tcPr>
          <w:p w:rsidR="005C46AA" w:rsidRPr="00C17CE6" w:rsidRDefault="005C46AA" w:rsidP="005256DC">
            <w:pPr>
              <w:spacing w:before="20" w:after="20"/>
              <w:jc w:val="both"/>
              <w:rPr>
                <w:sz w:val="22"/>
                <w:szCs w:val="22"/>
                <w:lang w:val="es-MX"/>
              </w:rPr>
            </w:pPr>
            <w:r w:rsidRPr="00C17CE6">
              <w:rPr>
                <w:b/>
                <w:sz w:val="22"/>
                <w:szCs w:val="22"/>
                <w:u w:val="single"/>
                <w:lang w:val="es-PY"/>
              </w:rPr>
              <w:t>Párrafo operativo 2</w:t>
            </w:r>
            <w:r w:rsidRPr="00C17CE6">
              <w:rPr>
                <w:b/>
                <w:sz w:val="22"/>
                <w:szCs w:val="22"/>
                <w:lang w:val="es-PY"/>
              </w:rPr>
              <w:t>:</w:t>
            </w:r>
            <w:r w:rsidRPr="00C17CE6">
              <w:rPr>
                <w:sz w:val="22"/>
                <w:szCs w:val="22"/>
                <w:lang w:val="es-MX"/>
              </w:rPr>
              <w:t xml:space="preserve"> “</w:t>
            </w:r>
            <w:r w:rsidR="00C17CE6" w:rsidRPr="00C17CE6">
              <w:rPr>
                <w:color w:val="000000"/>
                <w:sz w:val="22"/>
                <w:szCs w:val="22"/>
                <w:lang w:val="es-MX"/>
              </w:rPr>
              <w:t>Solicitar a los Estados Miembros que, en el marco de la CAJP, presenten anualmente de forma voluntaria sus avances e intercambien buenas prácticas en la implementación del Programa Interamericano sobre Acceso a la Información Pública; y solicitar a la CAJP que considere la posibilidad de que dichos informes se presenten de manera progresiva por áreas específicas contenidas en dicho Programa</w:t>
            </w:r>
            <w:r w:rsidRPr="00C17CE6">
              <w:rPr>
                <w:sz w:val="22"/>
                <w:szCs w:val="22"/>
                <w:lang w:val="es-MX"/>
              </w:rPr>
              <w:t>.”</w:t>
            </w:r>
          </w:p>
          <w:p w:rsidR="00602DEA" w:rsidRPr="00C17CE6" w:rsidRDefault="005C46AA" w:rsidP="005256DC">
            <w:pPr>
              <w:spacing w:before="20" w:after="20"/>
              <w:jc w:val="both"/>
              <w:rPr>
                <w:sz w:val="22"/>
                <w:szCs w:val="22"/>
                <w:lang w:val="es-MX" w:eastAsia="es-ES"/>
              </w:rPr>
            </w:pPr>
            <w:r w:rsidRPr="00C17CE6">
              <w:rPr>
                <w:b/>
                <w:sz w:val="22"/>
                <w:szCs w:val="22"/>
                <w:u w:val="single"/>
                <w:lang w:val="es-PY"/>
              </w:rPr>
              <w:lastRenderedPageBreak/>
              <w:t>Párrafo operativo 3</w:t>
            </w:r>
            <w:r w:rsidRPr="00C17CE6">
              <w:rPr>
                <w:b/>
                <w:sz w:val="22"/>
                <w:szCs w:val="22"/>
                <w:lang w:val="es-PY"/>
              </w:rPr>
              <w:t>:</w:t>
            </w:r>
            <w:r w:rsidRPr="00C17CE6">
              <w:rPr>
                <w:sz w:val="22"/>
                <w:szCs w:val="22"/>
                <w:lang w:val="es-MX"/>
              </w:rPr>
              <w:t xml:space="preserve"> “</w:t>
            </w:r>
            <w:r w:rsidR="00C17CE6" w:rsidRPr="00C17CE6">
              <w:rPr>
                <w:color w:val="000000"/>
                <w:sz w:val="22"/>
                <w:szCs w:val="22"/>
                <w:lang w:val="es-MX"/>
              </w:rPr>
              <w:t>Solicitar al Departamento de Derecho Internacional que presente a la CAJP una propuesta con indicadores de progreso para facilitar la elaboración de los informes y que, aprovechando la presencia de los puntos focales en la sesión de la CAJP dedicada al tratamiento de este tema, organice paralelamente una reunión de trabajo con ellos a fin de avanzar colectivamente en la implementación del Programa y exploren oportunidades de cooperación conjunta</w:t>
            </w:r>
            <w:r w:rsidRPr="00C17CE6">
              <w:rPr>
                <w:sz w:val="22"/>
                <w:szCs w:val="22"/>
                <w:lang w:val="es-MX"/>
              </w:rPr>
              <w:t>.”</w:t>
            </w:r>
            <w:r w:rsidRPr="00C17CE6">
              <w:rPr>
                <w:iCs/>
                <w:sz w:val="22"/>
                <w:szCs w:val="22"/>
                <w:lang w:val="es-MX"/>
              </w:rPr>
              <w:t xml:space="preserve"> </w:t>
            </w:r>
          </w:p>
        </w:tc>
      </w:tr>
      <w:tr w:rsidR="00602DEA" w:rsidRPr="00850278" w:rsidTr="007F6134">
        <w:trPr>
          <w:trHeight w:val="70"/>
          <w:jc w:val="center"/>
        </w:trPr>
        <w:tc>
          <w:tcPr>
            <w:tcW w:w="7769" w:type="dxa"/>
            <w:shd w:val="clear" w:color="auto" w:fill="auto"/>
          </w:tcPr>
          <w:p w:rsidR="00602DEA" w:rsidRPr="00C17CE6" w:rsidRDefault="00C17CE6" w:rsidP="00C32931">
            <w:pPr>
              <w:numPr>
                <w:ilvl w:val="0"/>
                <w:numId w:val="18"/>
              </w:numPr>
              <w:tabs>
                <w:tab w:val="left" w:pos="551"/>
              </w:tabs>
              <w:spacing w:before="20" w:after="20"/>
              <w:ind w:left="551" w:hanging="551"/>
              <w:jc w:val="both"/>
              <w:rPr>
                <w:sz w:val="22"/>
                <w:szCs w:val="22"/>
                <w:lang w:val="es-MX"/>
              </w:rPr>
            </w:pPr>
            <w:r w:rsidRPr="00C17CE6">
              <w:rPr>
                <w:color w:val="000000"/>
                <w:sz w:val="22"/>
                <w:szCs w:val="22"/>
                <w:lang w:val="es-MX"/>
              </w:rPr>
              <w:lastRenderedPageBreak/>
              <w:t>Aporte de la región al proceso preparatorio del período extraordinario de sesiones de la Asamblea General de las Naciones Unidas contra la corrupción (UNGASS 2021</w:t>
            </w:r>
            <w:r w:rsidR="00A31F54" w:rsidRPr="00C17CE6">
              <w:rPr>
                <w:sz w:val="22"/>
                <w:szCs w:val="22"/>
                <w:lang w:val="es-MX"/>
              </w:rPr>
              <w:t>)</w:t>
            </w:r>
          </w:p>
        </w:tc>
        <w:tc>
          <w:tcPr>
            <w:tcW w:w="5741" w:type="dxa"/>
            <w:shd w:val="clear" w:color="auto" w:fill="auto"/>
          </w:tcPr>
          <w:p w:rsidR="00602DEA" w:rsidRPr="005256DC" w:rsidRDefault="00602DEA" w:rsidP="005256DC">
            <w:pPr>
              <w:tabs>
                <w:tab w:val="left" w:pos="551"/>
              </w:tabs>
              <w:spacing w:before="20" w:after="20"/>
              <w:jc w:val="both"/>
              <w:rPr>
                <w:sz w:val="22"/>
                <w:szCs w:val="22"/>
                <w:lang w:val="es-MX" w:eastAsia="es-ES"/>
              </w:rPr>
            </w:pPr>
          </w:p>
        </w:tc>
      </w:tr>
      <w:tr w:rsidR="004D1A65" w:rsidRPr="005256DC" w:rsidTr="007F6134">
        <w:trPr>
          <w:trHeight w:val="70"/>
          <w:jc w:val="center"/>
        </w:trPr>
        <w:tc>
          <w:tcPr>
            <w:tcW w:w="7769" w:type="dxa"/>
            <w:tcBorders>
              <w:bottom w:val="single" w:sz="4" w:space="0" w:color="000000"/>
            </w:tcBorders>
            <w:shd w:val="clear" w:color="auto" w:fill="A6A6A6"/>
          </w:tcPr>
          <w:p w:rsidR="004D1A65" w:rsidRPr="005256DC" w:rsidRDefault="004D1A65" w:rsidP="005256DC">
            <w:pPr>
              <w:spacing w:before="20" w:after="20"/>
              <w:jc w:val="center"/>
              <w:rPr>
                <w:b/>
                <w:sz w:val="22"/>
                <w:szCs w:val="22"/>
                <w:lang w:val="es-ES"/>
              </w:rPr>
            </w:pPr>
            <w:r w:rsidRPr="005256DC">
              <w:rPr>
                <w:b/>
                <w:sz w:val="22"/>
                <w:szCs w:val="22"/>
                <w:lang w:val="es-ES"/>
              </w:rPr>
              <w:t>Capítulo II</w:t>
            </w:r>
          </w:p>
        </w:tc>
        <w:tc>
          <w:tcPr>
            <w:tcW w:w="5741" w:type="dxa"/>
            <w:tcBorders>
              <w:bottom w:val="single" w:sz="4" w:space="0" w:color="000000"/>
            </w:tcBorders>
            <w:shd w:val="clear" w:color="auto" w:fill="A6A6A6"/>
          </w:tcPr>
          <w:p w:rsidR="004D1A65" w:rsidRPr="005256DC" w:rsidRDefault="004D1A65" w:rsidP="005256DC">
            <w:pPr>
              <w:spacing w:before="20" w:after="20"/>
              <w:jc w:val="center"/>
              <w:rPr>
                <w:b/>
                <w:sz w:val="22"/>
                <w:szCs w:val="22"/>
                <w:lang w:val="es-ES"/>
              </w:rPr>
            </w:pPr>
            <w:r w:rsidRPr="005256DC">
              <w:rPr>
                <w:b/>
                <w:sz w:val="22"/>
                <w:szCs w:val="22"/>
                <w:lang w:val="es-ES"/>
              </w:rPr>
              <w:t>Mandatos</w:t>
            </w:r>
          </w:p>
        </w:tc>
      </w:tr>
      <w:tr w:rsidR="004D1A65" w:rsidRPr="00850278" w:rsidTr="007F6134">
        <w:trPr>
          <w:trHeight w:val="70"/>
          <w:jc w:val="center"/>
        </w:trPr>
        <w:tc>
          <w:tcPr>
            <w:tcW w:w="7769" w:type="dxa"/>
            <w:shd w:val="clear" w:color="auto" w:fill="FFFFFF"/>
          </w:tcPr>
          <w:p w:rsidR="004D1A65" w:rsidRPr="005256DC" w:rsidRDefault="004D1A65" w:rsidP="005256DC">
            <w:pPr>
              <w:spacing w:before="20" w:after="20"/>
              <w:jc w:val="both"/>
              <w:rPr>
                <w:sz w:val="22"/>
                <w:szCs w:val="22"/>
                <w:lang w:val="es-ES"/>
              </w:rPr>
            </w:pPr>
            <w:r w:rsidRPr="005256DC">
              <w:rPr>
                <w:sz w:val="22"/>
                <w:szCs w:val="22"/>
                <w:lang w:val="es-ES"/>
              </w:rPr>
              <w:t>Seguimiento de informes</w:t>
            </w:r>
          </w:p>
        </w:tc>
        <w:tc>
          <w:tcPr>
            <w:tcW w:w="5741" w:type="dxa"/>
            <w:shd w:val="clear" w:color="auto" w:fill="FFFFFF"/>
          </w:tcPr>
          <w:p w:rsidR="004D1A65" w:rsidRPr="00C17CE6" w:rsidRDefault="004D1A65" w:rsidP="009C27CD">
            <w:pPr>
              <w:spacing w:before="20" w:after="20"/>
              <w:jc w:val="both"/>
              <w:rPr>
                <w:sz w:val="22"/>
                <w:szCs w:val="22"/>
                <w:lang w:val="es-MX"/>
              </w:rPr>
            </w:pPr>
            <w:r w:rsidRPr="00C17CE6">
              <w:rPr>
                <w:b/>
                <w:sz w:val="22"/>
                <w:szCs w:val="22"/>
                <w:u w:val="single"/>
                <w:lang w:val="es-PY"/>
              </w:rPr>
              <w:t>Párrafo operativo 1</w:t>
            </w:r>
            <w:r w:rsidRPr="00C17CE6">
              <w:rPr>
                <w:sz w:val="22"/>
                <w:szCs w:val="22"/>
                <w:lang w:val="es-PY"/>
              </w:rPr>
              <w:t>: “</w:t>
            </w:r>
            <w:r w:rsidR="00C17CE6" w:rsidRPr="00C17CE6">
              <w:rPr>
                <w:color w:val="000000"/>
                <w:sz w:val="22"/>
                <w:szCs w:val="22"/>
                <w:lang w:val="es-MX"/>
              </w:rPr>
              <w:t>Encargar al Consejo Permanente que, a través de la inclusión en el plan de trabajo de la CAJP, dé seguimiento a los temas objeto de la presente resolución, y a la Secretaría General que informe a la Asamblea General en su quincuagésimo período ordinario de sesiones</w:t>
            </w:r>
            <w:r w:rsidRPr="00C17CE6">
              <w:rPr>
                <w:sz w:val="22"/>
                <w:szCs w:val="22"/>
                <w:lang w:val="es-MX"/>
              </w:rPr>
              <w:t>.”</w:t>
            </w:r>
          </w:p>
          <w:p w:rsidR="009C27CD" w:rsidRPr="00C17CE6" w:rsidRDefault="009C27CD" w:rsidP="009C27CD">
            <w:pPr>
              <w:spacing w:before="20" w:after="20"/>
              <w:jc w:val="both"/>
              <w:rPr>
                <w:b/>
                <w:sz w:val="22"/>
                <w:szCs w:val="22"/>
                <w:u w:val="single"/>
                <w:lang w:val="es-MX"/>
              </w:rPr>
            </w:pPr>
          </w:p>
          <w:p w:rsidR="004D1A65" w:rsidRPr="00C17CE6" w:rsidRDefault="004D1A65" w:rsidP="009C27CD">
            <w:pPr>
              <w:spacing w:before="20" w:after="20"/>
              <w:jc w:val="both"/>
              <w:rPr>
                <w:sz w:val="22"/>
                <w:szCs w:val="22"/>
                <w:lang w:val="es-MX"/>
              </w:rPr>
            </w:pPr>
            <w:r w:rsidRPr="00C17CE6">
              <w:rPr>
                <w:b/>
                <w:sz w:val="22"/>
                <w:szCs w:val="22"/>
                <w:u w:val="single"/>
                <w:lang w:val="es-MX"/>
              </w:rPr>
              <w:t>Párrafo operativo 3</w:t>
            </w:r>
            <w:r w:rsidRPr="00C17CE6">
              <w:rPr>
                <w:sz w:val="22"/>
                <w:szCs w:val="22"/>
                <w:lang w:val="es-MX"/>
              </w:rPr>
              <w:t>: “</w:t>
            </w:r>
            <w:r w:rsidR="00C17CE6" w:rsidRPr="00C17CE6">
              <w:rPr>
                <w:color w:val="000000"/>
                <w:sz w:val="22"/>
                <w:szCs w:val="22"/>
                <w:lang w:val="es-MX"/>
              </w:rPr>
              <w:t>Solicitar al Consejo Permanente que informe a la Asamblea General, en su quincuagésimo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Pr="00C17CE6">
              <w:rPr>
                <w:sz w:val="22"/>
                <w:szCs w:val="22"/>
                <w:lang w:val="es-MX"/>
              </w:rPr>
              <w:t>.”</w:t>
            </w:r>
          </w:p>
        </w:tc>
      </w:tr>
    </w:tbl>
    <w:p w:rsidR="00C379E4" w:rsidRDefault="00C379E4">
      <w:pPr>
        <w:rPr>
          <w:sz w:val="22"/>
          <w:szCs w:val="22"/>
          <w:lang w:val="es-ES"/>
        </w:rPr>
      </w:pPr>
    </w:p>
    <w:tbl>
      <w:tblPr>
        <w:tblW w:w="13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4"/>
        <w:gridCol w:w="5701"/>
      </w:tblGrid>
      <w:tr w:rsidR="000D5145" w:rsidRPr="00850278" w:rsidTr="007F6134">
        <w:trPr>
          <w:trHeight w:val="70"/>
          <w:jc w:val="center"/>
        </w:trPr>
        <w:tc>
          <w:tcPr>
            <w:tcW w:w="13495" w:type="dxa"/>
            <w:gridSpan w:val="2"/>
            <w:tcBorders>
              <w:top w:val="nil"/>
              <w:left w:val="nil"/>
              <w:bottom w:val="single" w:sz="4" w:space="0" w:color="000000"/>
              <w:right w:val="nil"/>
            </w:tcBorders>
            <w:shd w:val="clear" w:color="auto" w:fill="FFFFFF"/>
            <w:vAlign w:val="center"/>
          </w:tcPr>
          <w:p w:rsidR="000D5145" w:rsidRPr="00A6711A" w:rsidRDefault="00B10728" w:rsidP="00AD655A">
            <w:pPr>
              <w:spacing w:before="20" w:after="20"/>
              <w:rPr>
                <w:sz w:val="22"/>
                <w:szCs w:val="22"/>
                <w:lang w:val="es-ES"/>
              </w:rPr>
            </w:pPr>
            <w:r w:rsidRPr="00A6711A">
              <w:rPr>
                <w:sz w:val="22"/>
                <w:szCs w:val="22"/>
                <w:lang w:val="es-ES_tradnl"/>
              </w:rPr>
              <w:t xml:space="preserve">De la resolución </w:t>
            </w:r>
            <w:r w:rsidR="000D5145" w:rsidRPr="00A6711A">
              <w:rPr>
                <w:sz w:val="22"/>
                <w:szCs w:val="22"/>
                <w:lang w:val="es-ES_tradnl"/>
              </w:rPr>
              <w:t xml:space="preserve">AG/RES. </w:t>
            </w:r>
            <w:r w:rsidR="00AD655A">
              <w:rPr>
                <w:sz w:val="22"/>
                <w:szCs w:val="22"/>
                <w:lang w:val="es-ES_tradnl"/>
              </w:rPr>
              <w:t>2941 (XLIX</w:t>
            </w:r>
            <w:r w:rsidR="000D5145" w:rsidRPr="00A6711A">
              <w:rPr>
                <w:sz w:val="22"/>
                <w:szCs w:val="22"/>
                <w:lang w:val="es-ES_tradnl"/>
              </w:rPr>
              <w:t>-O/</w:t>
            </w:r>
            <w:r w:rsidR="0007762D" w:rsidRPr="00A6711A">
              <w:rPr>
                <w:sz w:val="22"/>
                <w:szCs w:val="22"/>
                <w:lang w:val="es-ES_tradnl"/>
              </w:rPr>
              <w:t>1</w:t>
            </w:r>
            <w:r w:rsidR="00AD655A">
              <w:rPr>
                <w:sz w:val="22"/>
                <w:szCs w:val="22"/>
                <w:lang w:val="es-ES_tradnl"/>
              </w:rPr>
              <w:t>9</w:t>
            </w:r>
            <w:r w:rsidR="000D5145" w:rsidRPr="00A6711A">
              <w:rPr>
                <w:sz w:val="22"/>
                <w:szCs w:val="22"/>
                <w:lang w:val="es-ES_tradnl"/>
              </w:rPr>
              <w:t>) “</w:t>
            </w:r>
            <w:r w:rsidR="0007762D" w:rsidRPr="00A6711A">
              <w:rPr>
                <w:sz w:val="22"/>
                <w:szCs w:val="22"/>
                <w:lang w:val="es-ES_tradnl"/>
              </w:rPr>
              <w:t>Promoción y protección de derechos humanos”</w:t>
            </w:r>
            <w:r w:rsidRPr="00A6711A">
              <w:rPr>
                <w:sz w:val="22"/>
                <w:szCs w:val="22"/>
                <w:lang w:val="es-ES_tradnl"/>
              </w:rPr>
              <w:t>:</w:t>
            </w:r>
          </w:p>
        </w:tc>
      </w:tr>
      <w:tr w:rsidR="007B683B" w:rsidRPr="00A6711A" w:rsidTr="007F6134">
        <w:trPr>
          <w:trHeight w:val="70"/>
          <w:jc w:val="center"/>
        </w:trPr>
        <w:tc>
          <w:tcPr>
            <w:tcW w:w="7794" w:type="dxa"/>
            <w:tcBorders>
              <w:top w:val="single" w:sz="4" w:space="0" w:color="000000"/>
            </w:tcBorders>
            <w:shd w:val="clear" w:color="auto" w:fill="BFBFBF"/>
            <w:vAlign w:val="center"/>
          </w:tcPr>
          <w:p w:rsidR="00BB74C8" w:rsidRPr="00A6711A" w:rsidRDefault="009C27CD" w:rsidP="009C27CD">
            <w:pPr>
              <w:spacing w:before="20" w:after="20"/>
              <w:jc w:val="center"/>
              <w:rPr>
                <w:b/>
                <w:sz w:val="22"/>
                <w:szCs w:val="22"/>
                <w:lang w:val="es-ES"/>
              </w:rPr>
            </w:pPr>
            <w:r>
              <w:rPr>
                <w:b/>
                <w:sz w:val="22"/>
                <w:szCs w:val="22"/>
                <w:lang w:val="es-ES"/>
              </w:rPr>
              <w:t>Secciones</w:t>
            </w:r>
          </w:p>
        </w:tc>
        <w:tc>
          <w:tcPr>
            <w:tcW w:w="5701" w:type="dxa"/>
            <w:tcBorders>
              <w:top w:val="single" w:sz="4" w:space="0" w:color="000000"/>
            </w:tcBorders>
            <w:shd w:val="clear" w:color="auto" w:fill="BFBFBF"/>
            <w:vAlign w:val="center"/>
          </w:tcPr>
          <w:p w:rsidR="00BB74C8" w:rsidRPr="00A6711A" w:rsidRDefault="00BB74C8" w:rsidP="009C27CD">
            <w:pPr>
              <w:tabs>
                <w:tab w:val="left" w:pos="720"/>
                <w:tab w:val="left" w:pos="1440"/>
                <w:tab w:val="left" w:pos="2160"/>
                <w:tab w:val="left" w:pos="2880"/>
                <w:tab w:val="left" w:pos="3600"/>
              </w:tabs>
              <w:spacing w:before="20" w:after="20"/>
              <w:jc w:val="center"/>
              <w:rPr>
                <w:b/>
                <w:sz w:val="22"/>
                <w:szCs w:val="22"/>
                <w:lang w:val="es-ES"/>
              </w:rPr>
            </w:pPr>
            <w:r w:rsidRPr="00A6711A">
              <w:rPr>
                <w:b/>
                <w:sz w:val="22"/>
                <w:szCs w:val="22"/>
                <w:lang w:val="es-ES"/>
              </w:rPr>
              <w:t>Mandato</w:t>
            </w:r>
            <w:r w:rsidR="00CF6F7E" w:rsidRPr="00A6711A">
              <w:rPr>
                <w:b/>
                <w:sz w:val="22"/>
                <w:szCs w:val="22"/>
                <w:lang w:val="es-ES"/>
              </w:rPr>
              <w:t>s</w:t>
            </w:r>
          </w:p>
        </w:tc>
      </w:tr>
      <w:tr w:rsidR="00BB74C8" w:rsidRPr="00850278" w:rsidTr="007F6134">
        <w:trPr>
          <w:trHeight w:val="70"/>
          <w:jc w:val="center"/>
        </w:trPr>
        <w:tc>
          <w:tcPr>
            <w:tcW w:w="7794" w:type="dxa"/>
            <w:shd w:val="clear" w:color="auto" w:fill="auto"/>
            <w:vAlign w:val="center"/>
          </w:tcPr>
          <w:p w:rsidR="00C35474" w:rsidRPr="009E7CD9" w:rsidRDefault="009C27CD" w:rsidP="00C32931">
            <w:pPr>
              <w:widowControl w:val="0"/>
              <w:numPr>
                <w:ilvl w:val="0"/>
                <w:numId w:val="19"/>
              </w:numPr>
              <w:spacing w:before="20" w:after="20"/>
              <w:ind w:left="576" w:hanging="540"/>
              <w:jc w:val="both"/>
              <w:rPr>
                <w:b/>
                <w:i/>
                <w:color w:val="FF0000"/>
                <w:sz w:val="22"/>
                <w:szCs w:val="22"/>
                <w:lang w:val="es-ES" w:eastAsia="es-ES"/>
              </w:rPr>
            </w:pPr>
            <w:r w:rsidRPr="009E7CD9">
              <w:rPr>
                <w:sz w:val="22"/>
                <w:szCs w:val="22"/>
                <w:lang w:val="es-ES"/>
              </w:rPr>
              <w:t>Erradicación de la apatridia en América</w:t>
            </w:r>
          </w:p>
        </w:tc>
        <w:tc>
          <w:tcPr>
            <w:tcW w:w="5701" w:type="dxa"/>
            <w:shd w:val="clear" w:color="auto" w:fill="auto"/>
            <w:vAlign w:val="center"/>
          </w:tcPr>
          <w:p w:rsidR="00BB74C8" w:rsidRPr="009E7CD9" w:rsidRDefault="00BB74C8" w:rsidP="009E7CD9">
            <w:pPr>
              <w:widowControl w:val="0"/>
              <w:tabs>
                <w:tab w:val="left" w:pos="396"/>
              </w:tabs>
              <w:spacing w:before="20" w:after="20"/>
              <w:jc w:val="both"/>
              <w:rPr>
                <w:sz w:val="22"/>
                <w:szCs w:val="22"/>
                <w:lang w:val="es-ES" w:eastAsia="es-ES"/>
              </w:rPr>
            </w:pPr>
          </w:p>
        </w:tc>
      </w:tr>
      <w:tr w:rsidR="00BB74C8" w:rsidRPr="00850278" w:rsidTr="007F6134">
        <w:trPr>
          <w:trHeight w:val="70"/>
          <w:jc w:val="center"/>
        </w:trPr>
        <w:tc>
          <w:tcPr>
            <w:tcW w:w="7794" w:type="dxa"/>
            <w:shd w:val="clear" w:color="auto" w:fill="auto"/>
          </w:tcPr>
          <w:p w:rsidR="00BB74C8" w:rsidRPr="009E7CD9" w:rsidRDefault="004766B2" w:rsidP="00C32931">
            <w:pPr>
              <w:widowControl w:val="0"/>
              <w:numPr>
                <w:ilvl w:val="0"/>
                <w:numId w:val="19"/>
              </w:numPr>
              <w:spacing w:before="20" w:after="20"/>
              <w:ind w:left="576" w:hanging="540"/>
              <w:jc w:val="both"/>
              <w:rPr>
                <w:sz w:val="22"/>
                <w:szCs w:val="22"/>
                <w:lang w:val="es-ES"/>
              </w:rPr>
            </w:pPr>
            <w:r w:rsidRPr="009E7CD9">
              <w:rPr>
                <w:sz w:val="22"/>
                <w:szCs w:val="22"/>
                <w:lang w:val="es-ES"/>
              </w:rPr>
              <w:t>Defensoras y defensores de derechos humanos</w:t>
            </w:r>
          </w:p>
        </w:tc>
        <w:tc>
          <w:tcPr>
            <w:tcW w:w="5701" w:type="dxa"/>
            <w:shd w:val="clear" w:color="auto" w:fill="auto"/>
          </w:tcPr>
          <w:p w:rsidR="00BB74C8" w:rsidRPr="009E7CD9" w:rsidRDefault="00BB74C8" w:rsidP="009E7CD9">
            <w:pPr>
              <w:widowControl w:val="0"/>
              <w:spacing w:before="20" w:after="20"/>
              <w:jc w:val="both"/>
              <w:rPr>
                <w:sz w:val="22"/>
                <w:szCs w:val="22"/>
                <w:lang w:val="es-ES"/>
              </w:rPr>
            </w:pPr>
          </w:p>
        </w:tc>
      </w:tr>
      <w:tr w:rsidR="009C27CD" w:rsidRPr="00850278" w:rsidTr="007F6134">
        <w:trPr>
          <w:trHeight w:val="70"/>
          <w:jc w:val="center"/>
        </w:trPr>
        <w:tc>
          <w:tcPr>
            <w:tcW w:w="7794" w:type="dxa"/>
            <w:shd w:val="clear" w:color="auto" w:fill="auto"/>
          </w:tcPr>
          <w:p w:rsidR="009C27CD" w:rsidRPr="00CA73FB" w:rsidRDefault="009C27CD" w:rsidP="00C32931">
            <w:pPr>
              <w:widowControl w:val="0"/>
              <w:numPr>
                <w:ilvl w:val="0"/>
                <w:numId w:val="19"/>
              </w:numPr>
              <w:spacing w:before="20" w:after="20"/>
              <w:ind w:left="576" w:hanging="540"/>
              <w:jc w:val="both"/>
              <w:rPr>
                <w:sz w:val="22"/>
                <w:szCs w:val="22"/>
                <w:lang w:val="es-ES"/>
              </w:rPr>
            </w:pPr>
            <w:r w:rsidRPr="00CA73FB">
              <w:rPr>
                <w:sz w:val="22"/>
                <w:szCs w:val="22"/>
                <w:lang w:val="es-ES"/>
              </w:rPr>
              <w:t>Protección de los solicitantes del reconocimiento de la condición de refugiado y de los refugiados en las Américas</w:t>
            </w:r>
          </w:p>
        </w:tc>
        <w:tc>
          <w:tcPr>
            <w:tcW w:w="5701" w:type="dxa"/>
            <w:shd w:val="clear" w:color="auto" w:fill="auto"/>
          </w:tcPr>
          <w:p w:rsidR="009C27CD" w:rsidRPr="00C17CE6" w:rsidRDefault="00307EB1" w:rsidP="009E7CD9">
            <w:pPr>
              <w:jc w:val="both"/>
              <w:rPr>
                <w:sz w:val="22"/>
                <w:szCs w:val="22"/>
                <w:lang w:val="es-ES"/>
              </w:rPr>
            </w:pPr>
            <w:r w:rsidRPr="00C17CE6">
              <w:rPr>
                <w:b/>
                <w:sz w:val="22"/>
                <w:szCs w:val="22"/>
                <w:u w:val="single"/>
                <w:lang w:val="es-MX"/>
              </w:rPr>
              <w:t>Párrafo operativo 5</w:t>
            </w:r>
            <w:r w:rsidRPr="00C17CE6">
              <w:rPr>
                <w:sz w:val="22"/>
                <w:szCs w:val="22"/>
                <w:lang w:val="es-MX"/>
              </w:rPr>
              <w:t>: “</w:t>
            </w:r>
            <w:r w:rsidR="00C17CE6" w:rsidRPr="00C17CE6">
              <w:rPr>
                <w:color w:val="000000"/>
                <w:sz w:val="22"/>
                <w:szCs w:val="22"/>
                <w:lang w:val="es-MX"/>
              </w:rPr>
              <w:t xml:space="preserve">Invitar a los Estados Miembros a que, considerando la experiencia del Marco Integral Regional para la Protección y Soluciones (MIRPS) u otras iniciativas similares, desarrollen o actualicen sus propios marcos en </w:t>
            </w:r>
            <w:r w:rsidR="00C17CE6" w:rsidRPr="00C17CE6">
              <w:rPr>
                <w:color w:val="000000"/>
                <w:sz w:val="22"/>
                <w:szCs w:val="22"/>
                <w:lang w:val="es-MX"/>
              </w:rPr>
              <w:lastRenderedPageBreak/>
              <w:t>materia de prevención, protección y soluciones para personas solicitantes de la condición de refugiado, refugiadas, desplazadas internamente y retornadas con necesidades de protección, así como a que trabajen conjuntamente en el desarrollo de mecanismos de cooperación regional y responsabilidad compartida, con la participación de todos los actores relevantes; y encomendar a la Comisión de Asuntos Jurídicos y Políticos que dé seguimiento a esta resolución e informe al respecto de forma anual, fomentando el intercambio de experiencias y buenas prácticas implementadas por los Estados Miembros, con el apoyo y colaboración técnica de la Secretaría General de la Organización de los Estados Americanos (OEA) y el ACNUR</w:t>
            </w:r>
            <w:r w:rsidRPr="00C17CE6">
              <w:rPr>
                <w:sz w:val="22"/>
                <w:szCs w:val="22"/>
                <w:lang w:val="es-ES"/>
              </w:rPr>
              <w:t xml:space="preserve">.” </w:t>
            </w:r>
          </w:p>
        </w:tc>
      </w:tr>
      <w:tr w:rsidR="009C27CD" w:rsidRPr="00850278" w:rsidTr="007F6134">
        <w:trPr>
          <w:trHeight w:val="70"/>
          <w:jc w:val="center"/>
        </w:trPr>
        <w:tc>
          <w:tcPr>
            <w:tcW w:w="7794" w:type="dxa"/>
            <w:shd w:val="clear" w:color="auto" w:fill="auto"/>
          </w:tcPr>
          <w:p w:rsidR="009C27CD" w:rsidRPr="00CA73FB" w:rsidRDefault="00307EB1" w:rsidP="00C32931">
            <w:pPr>
              <w:widowControl w:val="0"/>
              <w:numPr>
                <w:ilvl w:val="0"/>
                <w:numId w:val="19"/>
              </w:numPr>
              <w:spacing w:before="20" w:after="20"/>
              <w:ind w:left="576" w:hanging="540"/>
              <w:jc w:val="both"/>
              <w:rPr>
                <w:sz w:val="22"/>
                <w:szCs w:val="22"/>
                <w:lang w:val="es-ES"/>
              </w:rPr>
            </w:pPr>
            <w:r w:rsidRPr="00CA73FB">
              <w:rPr>
                <w:sz w:val="22"/>
                <w:szCs w:val="22"/>
                <w:lang w:val="es-ES"/>
              </w:rPr>
              <w:lastRenderedPageBreak/>
              <w:t>La defensa pública oficial autónoma como salvaguarda de la integridad personal de todos los seres humanos sin ningún tipo de discriminación</w:t>
            </w:r>
          </w:p>
        </w:tc>
        <w:tc>
          <w:tcPr>
            <w:tcW w:w="5701" w:type="dxa"/>
            <w:shd w:val="clear" w:color="auto" w:fill="auto"/>
          </w:tcPr>
          <w:p w:rsidR="009C27CD" w:rsidRPr="009E7CD9" w:rsidRDefault="009C27CD" w:rsidP="009E7CD9">
            <w:pPr>
              <w:widowControl w:val="0"/>
              <w:spacing w:before="20" w:after="20"/>
              <w:jc w:val="both"/>
              <w:rPr>
                <w:sz w:val="22"/>
                <w:szCs w:val="22"/>
                <w:lang w:val="es-ES"/>
              </w:rPr>
            </w:pPr>
          </w:p>
        </w:tc>
      </w:tr>
      <w:tr w:rsidR="009C27CD" w:rsidRPr="00850278" w:rsidTr="007F6134">
        <w:trPr>
          <w:trHeight w:val="70"/>
          <w:jc w:val="center"/>
        </w:trPr>
        <w:tc>
          <w:tcPr>
            <w:tcW w:w="7794" w:type="dxa"/>
            <w:shd w:val="clear" w:color="auto" w:fill="auto"/>
          </w:tcPr>
          <w:p w:rsidR="009C27CD" w:rsidRPr="009E7CD9" w:rsidRDefault="009E7CD9" w:rsidP="00C32931">
            <w:pPr>
              <w:widowControl w:val="0"/>
              <w:numPr>
                <w:ilvl w:val="0"/>
                <w:numId w:val="19"/>
              </w:numPr>
              <w:spacing w:before="20" w:after="20"/>
              <w:ind w:left="576" w:hanging="540"/>
              <w:jc w:val="both"/>
              <w:rPr>
                <w:sz w:val="22"/>
                <w:szCs w:val="22"/>
                <w:lang w:val="es-ES"/>
              </w:rPr>
            </w:pPr>
            <w:r w:rsidRPr="009E7CD9">
              <w:rPr>
                <w:sz w:val="22"/>
                <w:szCs w:val="22"/>
                <w:lang w:val="es-ES"/>
              </w:rPr>
              <w:t>Derechos del niño, la niña y adolescentes</w:t>
            </w:r>
          </w:p>
        </w:tc>
        <w:tc>
          <w:tcPr>
            <w:tcW w:w="5701" w:type="dxa"/>
            <w:shd w:val="clear" w:color="auto" w:fill="auto"/>
          </w:tcPr>
          <w:p w:rsidR="009C27CD" w:rsidRPr="009E7CD9" w:rsidRDefault="009C27CD" w:rsidP="009E7CD9">
            <w:pPr>
              <w:widowControl w:val="0"/>
              <w:spacing w:before="20" w:after="20"/>
              <w:jc w:val="both"/>
              <w:rPr>
                <w:sz w:val="22"/>
                <w:szCs w:val="22"/>
                <w:lang w:val="es-ES"/>
              </w:rPr>
            </w:pPr>
          </w:p>
        </w:tc>
      </w:tr>
      <w:tr w:rsidR="009C27CD" w:rsidRPr="00850278" w:rsidTr="007F6134">
        <w:trPr>
          <w:trHeight w:val="70"/>
          <w:jc w:val="center"/>
        </w:trPr>
        <w:tc>
          <w:tcPr>
            <w:tcW w:w="7794" w:type="dxa"/>
            <w:shd w:val="clear" w:color="auto" w:fill="auto"/>
          </w:tcPr>
          <w:p w:rsidR="009C27CD" w:rsidRPr="00FC566C" w:rsidRDefault="009E7CD9" w:rsidP="00C32931">
            <w:pPr>
              <w:widowControl w:val="0"/>
              <w:numPr>
                <w:ilvl w:val="0"/>
                <w:numId w:val="19"/>
              </w:numPr>
              <w:spacing w:before="20" w:after="20"/>
              <w:ind w:left="576" w:hanging="540"/>
              <w:jc w:val="both"/>
              <w:rPr>
                <w:sz w:val="22"/>
                <w:szCs w:val="22"/>
                <w:lang w:val="es-ES"/>
              </w:rPr>
            </w:pPr>
            <w:r w:rsidRPr="00FC566C">
              <w:rPr>
                <w:sz w:val="22"/>
                <w:szCs w:val="22"/>
                <w:lang w:val="es-ES"/>
              </w:rPr>
              <w:t>Fortalecimiento del Mecanismo de Seguimiento para la implementación del Protocolo de San Salvador</w:t>
            </w:r>
          </w:p>
        </w:tc>
        <w:tc>
          <w:tcPr>
            <w:tcW w:w="5701" w:type="dxa"/>
            <w:shd w:val="clear" w:color="auto" w:fill="auto"/>
          </w:tcPr>
          <w:p w:rsidR="009C27CD" w:rsidRPr="009E7CD9" w:rsidRDefault="009C27CD" w:rsidP="009E7CD9">
            <w:pPr>
              <w:widowControl w:val="0"/>
              <w:spacing w:before="20" w:after="20"/>
              <w:jc w:val="both"/>
              <w:rPr>
                <w:sz w:val="22"/>
                <w:szCs w:val="22"/>
                <w:lang w:val="es-ES"/>
              </w:rPr>
            </w:pPr>
          </w:p>
        </w:tc>
      </w:tr>
      <w:tr w:rsidR="009C27CD" w:rsidRPr="00FC566C" w:rsidTr="007F6134">
        <w:trPr>
          <w:trHeight w:val="70"/>
          <w:jc w:val="center"/>
        </w:trPr>
        <w:tc>
          <w:tcPr>
            <w:tcW w:w="7794" w:type="dxa"/>
            <w:shd w:val="clear" w:color="auto" w:fill="auto"/>
          </w:tcPr>
          <w:p w:rsidR="009C27CD" w:rsidRPr="00FC566C" w:rsidRDefault="009E7CD9" w:rsidP="00C32931">
            <w:pPr>
              <w:widowControl w:val="0"/>
              <w:numPr>
                <w:ilvl w:val="0"/>
                <w:numId w:val="19"/>
              </w:numPr>
              <w:spacing w:before="20" w:after="20"/>
              <w:ind w:left="576" w:hanging="540"/>
              <w:jc w:val="both"/>
              <w:rPr>
                <w:sz w:val="22"/>
                <w:szCs w:val="22"/>
                <w:lang w:val="es-MX"/>
              </w:rPr>
            </w:pPr>
            <w:r w:rsidRPr="00FC566C">
              <w:rPr>
                <w:sz w:val="22"/>
                <w:szCs w:val="22"/>
                <w:lang w:val="es-MX"/>
              </w:rPr>
              <w:t>Derechos humanos y ambiente</w:t>
            </w:r>
          </w:p>
        </w:tc>
        <w:tc>
          <w:tcPr>
            <w:tcW w:w="5701" w:type="dxa"/>
            <w:shd w:val="clear" w:color="auto" w:fill="auto"/>
          </w:tcPr>
          <w:p w:rsidR="009C27CD" w:rsidRPr="00FC566C" w:rsidRDefault="009C27CD" w:rsidP="009E7CD9">
            <w:pPr>
              <w:widowControl w:val="0"/>
              <w:spacing w:before="20" w:after="20"/>
              <w:jc w:val="both"/>
              <w:rPr>
                <w:sz w:val="22"/>
                <w:szCs w:val="22"/>
                <w:lang w:val="es-MX"/>
              </w:rPr>
            </w:pPr>
          </w:p>
        </w:tc>
      </w:tr>
      <w:tr w:rsidR="009C27CD" w:rsidRPr="00850278" w:rsidTr="007F6134">
        <w:trPr>
          <w:trHeight w:val="70"/>
          <w:jc w:val="center"/>
        </w:trPr>
        <w:tc>
          <w:tcPr>
            <w:tcW w:w="7794" w:type="dxa"/>
            <w:tcBorders>
              <w:bottom w:val="single" w:sz="4" w:space="0" w:color="000000"/>
            </w:tcBorders>
            <w:shd w:val="clear" w:color="auto" w:fill="auto"/>
          </w:tcPr>
          <w:p w:rsidR="009C27CD" w:rsidRPr="00FC566C" w:rsidRDefault="009E7CD9" w:rsidP="00C32931">
            <w:pPr>
              <w:widowControl w:val="0"/>
              <w:numPr>
                <w:ilvl w:val="0"/>
                <w:numId w:val="19"/>
              </w:numPr>
              <w:spacing w:before="20" w:after="20"/>
              <w:ind w:left="576" w:hanging="540"/>
              <w:jc w:val="both"/>
              <w:rPr>
                <w:sz w:val="22"/>
                <w:szCs w:val="22"/>
                <w:lang w:val="es-ES"/>
              </w:rPr>
            </w:pPr>
            <w:r w:rsidRPr="00FC566C">
              <w:rPr>
                <w:sz w:val="22"/>
                <w:szCs w:val="22"/>
                <w:lang w:val="es-ES"/>
              </w:rPr>
              <w:t>Administración de justicia y derechos humanos</w:t>
            </w:r>
          </w:p>
        </w:tc>
        <w:tc>
          <w:tcPr>
            <w:tcW w:w="5701" w:type="dxa"/>
            <w:tcBorders>
              <w:bottom w:val="single" w:sz="4" w:space="0" w:color="000000"/>
            </w:tcBorders>
            <w:shd w:val="clear" w:color="auto" w:fill="auto"/>
          </w:tcPr>
          <w:p w:rsidR="009C27CD" w:rsidRPr="00C17CE6" w:rsidRDefault="009E7CD9" w:rsidP="009E7CD9">
            <w:pPr>
              <w:widowControl w:val="0"/>
              <w:spacing w:before="20" w:after="20"/>
              <w:jc w:val="both"/>
              <w:rPr>
                <w:sz w:val="22"/>
                <w:szCs w:val="22"/>
                <w:lang w:val="es-ES"/>
              </w:rPr>
            </w:pPr>
            <w:r w:rsidRPr="00C17CE6">
              <w:rPr>
                <w:b/>
                <w:sz w:val="22"/>
                <w:szCs w:val="22"/>
                <w:u w:val="single"/>
                <w:lang w:val="es-MX"/>
              </w:rPr>
              <w:t>Párrafo operativo 1</w:t>
            </w:r>
            <w:r w:rsidRPr="00C17CE6">
              <w:rPr>
                <w:sz w:val="22"/>
                <w:szCs w:val="22"/>
                <w:lang w:val="es-MX"/>
              </w:rPr>
              <w:t>: “</w:t>
            </w:r>
            <w:r w:rsidR="00C17CE6" w:rsidRPr="00C17CE6">
              <w:rPr>
                <w:color w:val="000000"/>
                <w:sz w:val="22"/>
                <w:szCs w:val="22"/>
                <w:lang w:val="es-MX"/>
              </w:rPr>
              <w:t>Continuar con el intercambio de experiencias, buenas prácticas y desafíos en el ámbito de la CAJP, en materia de administración de justicia con perspectiva de derechos humanos</w:t>
            </w:r>
            <w:r w:rsidRPr="00C17CE6">
              <w:rPr>
                <w:sz w:val="22"/>
                <w:szCs w:val="22"/>
                <w:lang w:val="es-ES"/>
              </w:rPr>
              <w:t>.”</w:t>
            </w:r>
          </w:p>
        </w:tc>
      </w:tr>
      <w:tr w:rsidR="009C27CD" w:rsidRPr="00850278" w:rsidTr="007F6134">
        <w:trPr>
          <w:trHeight w:val="70"/>
          <w:jc w:val="center"/>
        </w:trPr>
        <w:tc>
          <w:tcPr>
            <w:tcW w:w="7794" w:type="dxa"/>
            <w:tcBorders>
              <w:bottom w:val="nil"/>
            </w:tcBorders>
            <w:shd w:val="clear" w:color="auto" w:fill="auto"/>
          </w:tcPr>
          <w:p w:rsidR="009C27CD" w:rsidRPr="00FC566C" w:rsidRDefault="009E7CD9" w:rsidP="00C32931">
            <w:pPr>
              <w:widowControl w:val="0"/>
              <w:numPr>
                <w:ilvl w:val="0"/>
                <w:numId w:val="19"/>
              </w:numPr>
              <w:spacing w:before="20" w:after="20"/>
              <w:ind w:left="576" w:hanging="540"/>
              <w:rPr>
                <w:sz w:val="22"/>
                <w:szCs w:val="22"/>
                <w:lang w:val="es-ES"/>
              </w:rPr>
            </w:pPr>
            <w:r w:rsidRPr="00FC566C">
              <w:rPr>
                <w:szCs w:val="22"/>
                <w:lang w:val="es-ES"/>
              </w:rPr>
              <w:t>Derechos de las personas privadas de libertad</w:t>
            </w:r>
          </w:p>
        </w:tc>
        <w:tc>
          <w:tcPr>
            <w:tcW w:w="5701" w:type="dxa"/>
            <w:tcBorders>
              <w:bottom w:val="nil"/>
            </w:tcBorders>
            <w:shd w:val="clear" w:color="auto" w:fill="auto"/>
          </w:tcPr>
          <w:p w:rsidR="009C27CD" w:rsidRPr="009C27CD" w:rsidRDefault="009C27CD" w:rsidP="009C27CD">
            <w:pPr>
              <w:widowControl w:val="0"/>
              <w:spacing w:before="20" w:after="20"/>
              <w:rPr>
                <w:sz w:val="22"/>
                <w:szCs w:val="22"/>
                <w:lang w:val="es-ES"/>
              </w:rPr>
            </w:pPr>
          </w:p>
        </w:tc>
      </w:tr>
      <w:tr w:rsidR="007F6134" w:rsidRPr="00850278" w:rsidTr="007F6134">
        <w:trPr>
          <w:trHeight w:val="70"/>
          <w:jc w:val="center"/>
        </w:trPr>
        <w:tc>
          <w:tcPr>
            <w:tcW w:w="7794" w:type="dxa"/>
            <w:tcBorders>
              <w:top w:val="nil"/>
              <w:left w:val="single" w:sz="4" w:space="0" w:color="000000"/>
              <w:bottom w:val="single" w:sz="4" w:space="0" w:color="000000"/>
              <w:right w:val="single" w:sz="4" w:space="0" w:color="000000"/>
            </w:tcBorders>
            <w:shd w:val="clear" w:color="auto" w:fill="auto"/>
          </w:tcPr>
          <w:p w:rsidR="007F6134" w:rsidRPr="00FC566C" w:rsidRDefault="007F6134" w:rsidP="007F6134">
            <w:pPr>
              <w:widowControl w:val="0"/>
              <w:spacing w:before="20" w:after="20"/>
              <w:ind w:left="576"/>
              <w:rPr>
                <w:szCs w:val="22"/>
                <w:lang w:val="es-ES"/>
              </w:rPr>
            </w:pPr>
          </w:p>
        </w:tc>
        <w:tc>
          <w:tcPr>
            <w:tcW w:w="5701" w:type="dxa"/>
            <w:tcBorders>
              <w:top w:val="nil"/>
              <w:left w:val="single" w:sz="4" w:space="0" w:color="000000"/>
              <w:bottom w:val="single" w:sz="4" w:space="0" w:color="000000"/>
              <w:right w:val="single" w:sz="4" w:space="0" w:color="000000"/>
            </w:tcBorders>
            <w:shd w:val="clear" w:color="auto" w:fill="auto"/>
          </w:tcPr>
          <w:p w:rsidR="007F6134" w:rsidRPr="009C27CD" w:rsidRDefault="007F6134" w:rsidP="009C27CD">
            <w:pPr>
              <w:widowControl w:val="0"/>
              <w:spacing w:before="20" w:after="20"/>
              <w:rPr>
                <w:sz w:val="22"/>
                <w:szCs w:val="22"/>
                <w:lang w:val="es-ES"/>
              </w:rPr>
            </w:pPr>
          </w:p>
        </w:tc>
      </w:tr>
      <w:tr w:rsidR="009C27CD" w:rsidRPr="00850278" w:rsidTr="007F6134">
        <w:trPr>
          <w:trHeight w:val="70"/>
          <w:jc w:val="center"/>
        </w:trPr>
        <w:tc>
          <w:tcPr>
            <w:tcW w:w="7794" w:type="dxa"/>
            <w:tcBorders>
              <w:top w:val="single" w:sz="4" w:space="0" w:color="000000"/>
            </w:tcBorders>
            <w:shd w:val="clear" w:color="auto" w:fill="auto"/>
          </w:tcPr>
          <w:p w:rsidR="009C27CD" w:rsidRPr="00CA73FB" w:rsidRDefault="009E7CD9" w:rsidP="00C32931">
            <w:pPr>
              <w:widowControl w:val="0"/>
              <w:numPr>
                <w:ilvl w:val="0"/>
                <w:numId w:val="19"/>
              </w:numPr>
              <w:spacing w:before="20" w:after="20"/>
              <w:ind w:left="576" w:hanging="540"/>
              <w:rPr>
                <w:sz w:val="22"/>
                <w:szCs w:val="22"/>
                <w:lang w:val="es-ES"/>
              </w:rPr>
            </w:pPr>
            <w:r w:rsidRPr="00CA73FB">
              <w:rPr>
                <w:sz w:val="22"/>
                <w:szCs w:val="22"/>
                <w:lang w:val="es-ES"/>
              </w:rPr>
              <w:t>Observaciones y recomendaciones al Informe Anual 2018 de la Comisión Interamericana de Derechos Humanos</w:t>
            </w:r>
          </w:p>
        </w:tc>
        <w:tc>
          <w:tcPr>
            <w:tcW w:w="5701" w:type="dxa"/>
            <w:tcBorders>
              <w:top w:val="single" w:sz="4" w:space="0" w:color="000000"/>
            </w:tcBorders>
            <w:shd w:val="clear" w:color="auto" w:fill="auto"/>
          </w:tcPr>
          <w:p w:rsidR="009C27CD" w:rsidRPr="00CA73FB" w:rsidRDefault="009C27CD" w:rsidP="009C27CD">
            <w:pPr>
              <w:widowControl w:val="0"/>
              <w:spacing w:before="20" w:after="20"/>
              <w:rPr>
                <w:sz w:val="22"/>
                <w:szCs w:val="22"/>
                <w:lang w:val="es-ES"/>
              </w:rPr>
            </w:pPr>
          </w:p>
        </w:tc>
      </w:tr>
      <w:tr w:rsidR="009C27CD" w:rsidRPr="00850278" w:rsidTr="007F6134">
        <w:trPr>
          <w:trHeight w:val="70"/>
          <w:jc w:val="center"/>
        </w:trPr>
        <w:tc>
          <w:tcPr>
            <w:tcW w:w="7794" w:type="dxa"/>
            <w:shd w:val="clear" w:color="auto" w:fill="auto"/>
          </w:tcPr>
          <w:p w:rsidR="009C27CD" w:rsidRPr="00C17CE6" w:rsidRDefault="00FC566C" w:rsidP="00C32931">
            <w:pPr>
              <w:widowControl w:val="0"/>
              <w:numPr>
                <w:ilvl w:val="0"/>
                <w:numId w:val="19"/>
              </w:numPr>
              <w:spacing w:before="20" w:after="20"/>
              <w:ind w:left="576" w:hanging="540"/>
              <w:jc w:val="both"/>
              <w:rPr>
                <w:sz w:val="22"/>
                <w:szCs w:val="22"/>
                <w:lang w:val="es-ES"/>
              </w:rPr>
            </w:pPr>
            <w:r w:rsidRPr="00C17CE6">
              <w:rPr>
                <w:sz w:val="22"/>
                <w:szCs w:val="22"/>
                <w:lang w:val="es-ES"/>
              </w:rPr>
              <w:t>El poder de la inclusión y las ventajas de la diversidad</w:t>
            </w:r>
          </w:p>
        </w:tc>
        <w:tc>
          <w:tcPr>
            <w:tcW w:w="5701" w:type="dxa"/>
            <w:shd w:val="clear" w:color="auto" w:fill="auto"/>
          </w:tcPr>
          <w:p w:rsidR="00DA3C96" w:rsidRPr="00C17CE6" w:rsidRDefault="00FC566C" w:rsidP="00FC566C">
            <w:pPr>
              <w:widowControl w:val="0"/>
              <w:spacing w:before="20" w:after="20"/>
              <w:jc w:val="both"/>
              <w:rPr>
                <w:sz w:val="22"/>
                <w:szCs w:val="22"/>
                <w:lang w:val="es-ES"/>
              </w:rPr>
            </w:pPr>
            <w:r w:rsidRPr="00C17CE6">
              <w:rPr>
                <w:b/>
                <w:sz w:val="22"/>
                <w:szCs w:val="22"/>
                <w:u w:val="single"/>
                <w:lang w:val="es-MX"/>
              </w:rPr>
              <w:t>Párrafo operativo 4</w:t>
            </w:r>
            <w:r w:rsidRPr="00C17CE6">
              <w:rPr>
                <w:sz w:val="22"/>
                <w:szCs w:val="22"/>
                <w:lang w:val="es-MX"/>
              </w:rPr>
              <w:t>: “</w:t>
            </w:r>
            <w:r w:rsidR="00C17CE6" w:rsidRPr="00C17CE6">
              <w:rPr>
                <w:color w:val="000000"/>
                <w:sz w:val="22"/>
                <w:szCs w:val="22"/>
                <w:lang w:val="es-MX"/>
              </w:rPr>
              <w:t xml:space="preserve">Solicitar a la CAJP que, con los recursos existentes y en coordinación con la Secretaría de Acceso a Derechos y Equidad, organice una sesión extraordinaria en la cual los Estados Miembros puedan compartir lecciones aprendidas e intercambiar buenas prácticas para impulsar los objetivos de la presente </w:t>
            </w:r>
            <w:r w:rsidR="00C17CE6" w:rsidRPr="00C17CE6">
              <w:rPr>
                <w:color w:val="000000"/>
                <w:sz w:val="22"/>
                <w:szCs w:val="22"/>
                <w:lang w:val="es-MX"/>
              </w:rPr>
              <w:lastRenderedPageBreak/>
              <w:t xml:space="preserve">resolución, </w:t>
            </w:r>
            <w:r w:rsidR="00C17CE6" w:rsidRPr="00C17CE6">
              <w:rPr>
                <w:color w:val="000000"/>
                <w:sz w:val="22"/>
                <w:szCs w:val="22"/>
                <w:shd w:val="clear" w:color="auto" w:fill="FFFFFF"/>
                <w:lang w:val="es-MX"/>
              </w:rPr>
              <w:t>con un enfoque especial en los aspectos identificados en el párrafo 3(b) anterior que fortalecen nuestras democracias, y que la CAJP presente</w:t>
            </w:r>
            <w:r w:rsidR="00C17CE6" w:rsidRPr="00C17CE6">
              <w:rPr>
                <w:color w:val="000000"/>
                <w:sz w:val="22"/>
                <w:szCs w:val="22"/>
                <w:lang w:val="es-MX"/>
              </w:rPr>
              <w:t xml:space="preserve"> los resultados alcanzados en dicha sesión sean presentados al Consejo Permanente antes del quincuagésimo período ordinario de sesiones de la Asamblea General</w:t>
            </w:r>
            <w:r w:rsidRPr="00C17CE6">
              <w:rPr>
                <w:sz w:val="22"/>
                <w:szCs w:val="22"/>
                <w:lang w:val="es-ES"/>
              </w:rPr>
              <w:t>.</w:t>
            </w:r>
            <w:r w:rsidRPr="00930667">
              <w:rPr>
                <w:sz w:val="22"/>
                <w:szCs w:val="22"/>
                <w:lang w:val="es-ES"/>
              </w:rPr>
              <w:t>”</w:t>
            </w:r>
            <w:r w:rsidR="003C112E" w:rsidRPr="00930667">
              <w:rPr>
                <w:rStyle w:val="FootnoteReference"/>
                <w:sz w:val="22"/>
                <w:szCs w:val="22"/>
                <w:u w:val="single"/>
                <w:vertAlign w:val="superscript"/>
                <w:lang w:val="es-ES"/>
              </w:rPr>
              <w:footnoteReference w:id="1"/>
            </w:r>
            <w:r w:rsidR="000A2280" w:rsidRPr="00930667">
              <w:rPr>
                <w:sz w:val="22"/>
                <w:szCs w:val="22"/>
                <w:vertAlign w:val="superscript"/>
                <w:lang w:val="es-ES"/>
              </w:rPr>
              <w:t>/</w:t>
            </w:r>
          </w:p>
        </w:tc>
      </w:tr>
      <w:tr w:rsidR="009C27CD" w:rsidRPr="00850278" w:rsidTr="007F6134">
        <w:trPr>
          <w:trHeight w:val="70"/>
          <w:jc w:val="center"/>
        </w:trPr>
        <w:tc>
          <w:tcPr>
            <w:tcW w:w="7794" w:type="dxa"/>
            <w:shd w:val="clear" w:color="auto" w:fill="auto"/>
          </w:tcPr>
          <w:p w:rsidR="009C27CD" w:rsidRPr="00C17CE6" w:rsidRDefault="00FC566C" w:rsidP="00C32931">
            <w:pPr>
              <w:widowControl w:val="0"/>
              <w:numPr>
                <w:ilvl w:val="0"/>
                <w:numId w:val="19"/>
              </w:numPr>
              <w:spacing w:before="20" w:after="20"/>
              <w:ind w:left="576" w:hanging="540"/>
              <w:jc w:val="both"/>
              <w:rPr>
                <w:sz w:val="22"/>
                <w:szCs w:val="22"/>
                <w:lang w:val="es-ES"/>
              </w:rPr>
            </w:pPr>
            <w:r w:rsidRPr="00C17CE6">
              <w:rPr>
                <w:sz w:val="22"/>
                <w:szCs w:val="22"/>
                <w:lang w:val="es-ES"/>
              </w:rPr>
              <w:lastRenderedPageBreak/>
              <w:t>Reconocimiento y promoción de los derechos de los y las afrodescendientes en las Américas</w:t>
            </w:r>
          </w:p>
        </w:tc>
        <w:tc>
          <w:tcPr>
            <w:tcW w:w="5701" w:type="dxa"/>
            <w:shd w:val="clear" w:color="auto" w:fill="auto"/>
          </w:tcPr>
          <w:p w:rsidR="009C27CD" w:rsidRPr="00C17CE6" w:rsidRDefault="00FC566C" w:rsidP="00FC566C">
            <w:pPr>
              <w:jc w:val="both"/>
              <w:rPr>
                <w:sz w:val="22"/>
                <w:szCs w:val="22"/>
                <w:lang w:val="es-ES"/>
              </w:rPr>
            </w:pPr>
            <w:r w:rsidRPr="00C17CE6">
              <w:rPr>
                <w:b/>
                <w:sz w:val="22"/>
                <w:szCs w:val="22"/>
                <w:u w:val="single"/>
                <w:lang w:val="es-MX"/>
              </w:rPr>
              <w:t>Párrafo operativo 1</w:t>
            </w:r>
            <w:r w:rsidRPr="00C17CE6">
              <w:rPr>
                <w:sz w:val="22"/>
                <w:szCs w:val="22"/>
                <w:lang w:val="es-MX"/>
              </w:rPr>
              <w:t>: “</w:t>
            </w:r>
            <w:r w:rsidR="00C17CE6" w:rsidRPr="00C17CE6">
              <w:rPr>
                <w:color w:val="000000"/>
                <w:sz w:val="22"/>
                <w:szCs w:val="22"/>
                <w:lang w:val="es-MX"/>
              </w:rPr>
              <w:t>Instar a los Estados Miembros, a la Secretaría General e instituciones de la OEA a que tomen todas las medidas necesarias para la implementación del Plan de Acción del Decenio de las y los Afrodescendientes en las Américas (2016-2025), y conmemorar la Semana Interamericana de las y los Afrodescendientes en las Américas</w:t>
            </w:r>
            <w:r w:rsidRPr="00C17CE6">
              <w:rPr>
                <w:sz w:val="22"/>
                <w:szCs w:val="22"/>
                <w:lang w:val="es-ES"/>
              </w:rPr>
              <w:t xml:space="preserve">.” </w:t>
            </w:r>
          </w:p>
        </w:tc>
      </w:tr>
      <w:tr w:rsidR="009C27CD" w:rsidRPr="00850278" w:rsidTr="007F6134">
        <w:trPr>
          <w:trHeight w:val="70"/>
          <w:jc w:val="center"/>
        </w:trPr>
        <w:tc>
          <w:tcPr>
            <w:tcW w:w="7794" w:type="dxa"/>
            <w:shd w:val="clear" w:color="auto" w:fill="auto"/>
          </w:tcPr>
          <w:p w:rsidR="009C27CD" w:rsidRPr="00CA73FB" w:rsidRDefault="00FC566C" w:rsidP="00C32931">
            <w:pPr>
              <w:widowControl w:val="0"/>
              <w:numPr>
                <w:ilvl w:val="0"/>
                <w:numId w:val="19"/>
              </w:numPr>
              <w:spacing w:before="20" w:after="20"/>
              <w:ind w:left="590" w:hanging="547"/>
              <w:jc w:val="both"/>
              <w:rPr>
                <w:sz w:val="22"/>
                <w:szCs w:val="22"/>
                <w:lang w:val="es-ES"/>
              </w:rPr>
            </w:pPr>
            <w:r w:rsidRPr="00CA73FB">
              <w:rPr>
                <w:sz w:val="22"/>
                <w:szCs w:val="22"/>
                <w:lang w:val="es-ES"/>
              </w:rPr>
              <w:t>Integración</w:t>
            </w:r>
            <w:r w:rsidRPr="00CA73FB">
              <w:rPr>
                <w:color w:val="000000"/>
                <w:sz w:val="22"/>
                <w:szCs w:val="22"/>
                <w:lang w:val="es-ES"/>
              </w:rPr>
              <w:t xml:space="preserve"> equilibrada en género y con representatividad geográfica y de los diferentes sistemas jurídicos, de la Comi</w:t>
            </w:r>
            <w:r w:rsidR="00CA73FB">
              <w:rPr>
                <w:color w:val="000000"/>
                <w:sz w:val="22"/>
                <w:szCs w:val="22"/>
                <w:lang w:val="es-ES"/>
              </w:rPr>
              <w:t xml:space="preserve">sión Interamericana de Derechos </w:t>
            </w:r>
            <w:r w:rsidRPr="00CA73FB">
              <w:rPr>
                <w:color w:val="000000"/>
                <w:sz w:val="22"/>
                <w:szCs w:val="22"/>
                <w:lang w:val="es-ES"/>
              </w:rPr>
              <w:t>Humanos y la Corte Interamericana de Derechos Humanos</w:t>
            </w:r>
          </w:p>
        </w:tc>
        <w:tc>
          <w:tcPr>
            <w:tcW w:w="5701" w:type="dxa"/>
            <w:shd w:val="clear" w:color="auto" w:fill="auto"/>
          </w:tcPr>
          <w:p w:rsidR="009C27CD" w:rsidRPr="00D04327" w:rsidRDefault="00FC566C" w:rsidP="00FC566C">
            <w:pPr>
              <w:jc w:val="both"/>
              <w:rPr>
                <w:sz w:val="22"/>
                <w:szCs w:val="22"/>
                <w:lang w:val="es-ES"/>
              </w:rPr>
            </w:pPr>
            <w:r w:rsidRPr="00D04327">
              <w:rPr>
                <w:b/>
                <w:sz w:val="22"/>
                <w:szCs w:val="22"/>
                <w:u w:val="single"/>
                <w:lang w:val="es-MX"/>
              </w:rPr>
              <w:t>Párrafo operativo 3</w:t>
            </w:r>
            <w:r w:rsidRPr="00D04327">
              <w:rPr>
                <w:sz w:val="22"/>
                <w:szCs w:val="22"/>
                <w:lang w:val="es-MX"/>
              </w:rPr>
              <w:t>: “</w:t>
            </w:r>
            <w:r w:rsidR="00D04327" w:rsidRPr="00D04327">
              <w:rPr>
                <w:rFonts w:eastAsia="Arial Unicode MS"/>
                <w:color w:val="000000"/>
                <w:sz w:val="22"/>
                <w:szCs w:val="22"/>
                <w:lang w:val="es-MX"/>
              </w:rPr>
              <w:t xml:space="preserve">Encomendar a la CAJP que profundice su trabajo en este tema, incluyendo en su programa de trabajo 2019-2020 la celebración de una sesión de seguimiento en la que los Estados Miembros, expertos y expertas y la sociedad civil compartan buenas prácticas en procesos de nominación y selección de candidatos/as a los órganos del sistema interamericano de derechos humanos, e incluyendo información sobre procedimientos, políticas y prácticas existentes a nivel nacional, con miras a promover la paridad de género, la no discriminación y el equilibrio entre las diferentes regiones y sistemas jurídicos del Hemisferio en la CIDH y la </w:t>
            </w:r>
            <w:r w:rsidR="00D04327" w:rsidRPr="00D04327">
              <w:rPr>
                <w:color w:val="000000"/>
                <w:sz w:val="22"/>
                <w:szCs w:val="22"/>
                <w:lang w:val="es-MX"/>
              </w:rPr>
              <w:t>Corte Interamericana de Derechos Humanos</w:t>
            </w:r>
            <w:r w:rsidRPr="00D04327">
              <w:rPr>
                <w:rFonts w:eastAsia="Arial Unicode MS"/>
                <w:sz w:val="22"/>
                <w:szCs w:val="22"/>
                <w:lang w:val="es-ES"/>
              </w:rPr>
              <w:t>.”</w:t>
            </w:r>
          </w:p>
        </w:tc>
      </w:tr>
      <w:tr w:rsidR="009C27CD" w:rsidRPr="00850278" w:rsidTr="007F6134">
        <w:trPr>
          <w:trHeight w:val="70"/>
          <w:jc w:val="center"/>
        </w:trPr>
        <w:tc>
          <w:tcPr>
            <w:tcW w:w="7794" w:type="dxa"/>
            <w:shd w:val="clear" w:color="auto" w:fill="auto"/>
          </w:tcPr>
          <w:p w:rsidR="009C27CD" w:rsidRPr="009C7B03" w:rsidRDefault="00FC566C" w:rsidP="00C32931">
            <w:pPr>
              <w:widowControl w:val="0"/>
              <w:numPr>
                <w:ilvl w:val="0"/>
                <w:numId w:val="19"/>
              </w:numPr>
              <w:spacing w:before="20" w:after="20"/>
              <w:ind w:left="576" w:hanging="540"/>
              <w:jc w:val="both"/>
              <w:rPr>
                <w:sz w:val="22"/>
                <w:szCs w:val="22"/>
                <w:lang w:val="es-ES"/>
              </w:rPr>
            </w:pPr>
            <w:r w:rsidRPr="009C7B03">
              <w:rPr>
                <w:color w:val="000000"/>
                <w:sz w:val="22"/>
                <w:szCs w:val="22"/>
                <w:lang w:val="es-ES"/>
              </w:rPr>
              <w:t xml:space="preserve">Fortalecimiento </w:t>
            </w:r>
            <w:r w:rsidRPr="009C7B03">
              <w:rPr>
                <w:sz w:val="22"/>
                <w:szCs w:val="22"/>
                <w:lang w:val="es-ES"/>
              </w:rPr>
              <w:t>del Mecanismo de Seguimiento de la Implementación de la Convención Interamericana para Prevenir, Sancionar y Erradicar la Violencia contra la Mujer (MESECVI)</w:t>
            </w:r>
          </w:p>
        </w:tc>
        <w:tc>
          <w:tcPr>
            <w:tcW w:w="5701" w:type="dxa"/>
            <w:shd w:val="clear" w:color="auto" w:fill="auto"/>
          </w:tcPr>
          <w:p w:rsidR="009C27CD" w:rsidRPr="009C27CD" w:rsidRDefault="009C27CD" w:rsidP="009C27CD">
            <w:pPr>
              <w:widowControl w:val="0"/>
              <w:spacing w:before="20" w:after="20"/>
              <w:rPr>
                <w:sz w:val="22"/>
                <w:szCs w:val="22"/>
                <w:lang w:val="es-ES"/>
              </w:rPr>
            </w:pPr>
          </w:p>
        </w:tc>
      </w:tr>
      <w:tr w:rsidR="009C27CD" w:rsidRPr="00850278" w:rsidTr="007F6134">
        <w:trPr>
          <w:trHeight w:val="70"/>
          <w:jc w:val="center"/>
        </w:trPr>
        <w:tc>
          <w:tcPr>
            <w:tcW w:w="7794" w:type="dxa"/>
            <w:shd w:val="clear" w:color="auto" w:fill="auto"/>
          </w:tcPr>
          <w:p w:rsidR="009C27CD" w:rsidRPr="009C7B03" w:rsidRDefault="00FC566C" w:rsidP="00C32931">
            <w:pPr>
              <w:widowControl w:val="0"/>
              <w:numPr>
                <w:ilvl w:val="0"/>
                <w:numId w:val="19"/>
              </w:numPr>
              <w:spacing w:before="20" w:after="20"/>
              <w:ind w:left="576" w:hanging="540"/>
              <w:jc w:val="both"/>
              <w:rPr>
                <w:sz w:val="22"/>
                <w:szCs w:val="22"/>
                <w:lang w:val="es-ES"/>
              </w:rPr>
            </w:pPr>
            <w:r w:rsidRPr="009C7B03">
              <w:rPr>
                <w:sz w:val="22"/>
                <w:szCs w:val="22"/>
                <w:lang w:val="es-ES"/>
              </w:rPr>
              <w:t>Seguimiento de recomendaciones de la Comisión Interamericana de Derechos Humanos</w:t>
            </w:r>
          </w:p>
        </w:tc>
        <w:tc>
          <w:tcPr>
            <w:tcW w:w="5701" w:type="dxa"/>
            <w:shd w:val="clear" w:color="auto" w:fill="auto"/>
          </w:tcPr>
          <w:p w:rsidR="009C27CD" w:rsidRPr="009C27CD" w:rsidRDefault="009C27CD" w:rsidP="009C27CD">
            <w:pPr>
              <w:widowControl w:val="0"/>
              <w:spacing w:before="20" w:after="20"/>
              <w:rPr>
                <w:sz w:val="22"/>
                <w:szCs w:val="22"/>
                <w:lang w:val="es-ES"/>
              </w:rPr>
            </w:pPr>
          </w:p>
        </w:tc>
      </w:tr>
      <w:tr w:rsidR="009C27CD" w:rsidRPr="00850278" w:rsidTr="007F6134">
        <w:trPr>
          <w:trHeight w:val="70"/>
          <w:jc w:val="center"/>
        </w:trPr>
        <w:tc>
          <w:tcPr>
            <w:tcW w:w="7794" w:type="dxa"/>
            <w:shd w:val="clear" w:color="auto" w:fill="auto"/>
          </w:tcPr>
          <w:p w:rsidR="009C27CD" w:rsidRPr="009C7B03" w:rsidRDefault="00FC566C" w:rsidP="00C32931">
            <w:pPr>
              <w:widowControl w:val="0"/>
              <w:numPr>
                <w:ilvl w:val="0"/>
                <w:numId w:val="19"/>
              </w:numPr>
              <w:spacing w:before="20" w:after="20"/>
              <w:ind w:left="576" w:hanging="540"/>
              <w:jc w:val="both"/>
              <w:rPr>
                <w:sz w:val="22"/>
                <w:szCs w:val="22"/>
                <w:lang w:val="es-ES"/>
              </w:rPr>
            </w:pPr>
            <w:r w:rsidRPr="009C7B03">
              <w:rPr>
                <w:sz w:val="22"/>
                <w:szCs w:val="22"/>
                <w:lang w:val="es-ES"/>
              </w:rPr>
              <w:t xml:space="preserve">Fortalecimiento de la Comisión Interamericana de Mujeres para la promoción de la equidad e igualdad de género, los derechos humanos de las mujeres y las </w:t>
            </w:r>
            <w:r w:rsidRPr="009C7B03">
              <w:rPr>
                <w:sz w:val="22"/>
                <w:szCs w:val="22"/>
                <w:lang w:val="es-ES"/>
              </w:rPr>
              <w:lastRenderedPageBreak/>
              <w:t>niñas y la eliminación de la discriminación y todas las formas de violencia en su contra</w:t>
            </w:r>
          </w:p>
        </w:tc>
        <w:tc>
          <w:tcPr>
            <w:tcW w:w="5701" w:type="dxa"/>
            <w:shd w:val="clear" w:color="auto" w:fill="auto"/>
          </w:tcPr>
          <w:p w:rsidR="009C27CD" w:rsidRPr="009C27CD" w:rsidRDefault="009C27CD" w:rsidP="009C27CD">
            <w:pPr>
              <w:widowControl w:val="0"/>
              <w:spacing w:before="20" w:after="20"/>
              <w:rPr>
                <w:sz w:val="22"/>
                <w:szCs w:val="22"/>
                <w:lang w:val="es-ES"/>
              </w:rPr>
            </w:pPr>
          </w:p>
        </w:tc>
      </w:tr>
      <w:tr w:rsidR="009C27CD" w:rsidRPr="00850278" w:rsidTr="007F6134">
        <w:trPr>
          <w:trHeight w:val="70"/>
          <w:jc w:val="center"/>
        </w:trPr>
        <w:tc>
          <w:tcPr>
            <w:tcW w:w="7794" w:type="dxa"/>
            <w:shd w:val="clear" w:color="auto" w:fill="auto"/>
          </w:tcPr>
          <w:p w:rsidR="009C27CD" w:rsidRPr="009C7B03" w:rsidRDefault="00FC566C" w:rsidP="00C32931">
            <w:pPr>
              <w:widowControl w:val="0"/>
              <w:numPr>
                <w:ilvl w:val="0"/>
                <w:numId w:val="19"/>
              </w:numPr>
              <w:spacing w:before="20" w:after="20"/>
              <w:ind w:left="576" w:hanging="540"/>
              <w:jc w:val="both"/>
              <w:rPr>
                <w:sz w:val="22"/>
                <w:szCs w:val="22"/>
                <w:lang w:val="es-ES"/>
              </w:rPr>
            </w:pPr>
            <w:r w:rsidRPr="009C7B03">
              <w:rPr>
                <w:sz w:val="22"/>
                <w:szCs w:val="22"/>
                <w:lang w:val="es-ES"/>
              </w:rPr>
              <w:t>Derechos humanos y prevención de la discriminación y la violencia contra las personas LGBTI</w:t>
            </w:r>
          </w:p>
        </w:tc>
        <w:tc>
          <w:tcPr>
            <w:tcW w:w="5701" w:type="dxa"/>
            <w:shd w:val="clear" w:color="auto" w:fill="auto"/>
          </w:tcPr>
          <w:p w:rsidR="009C27CD" w:rsidRPr="009C27CD" w:rsidRDefault="009C27CD" w:rsidP="009C27CD">
            <w:pPr>
              <w:widowControl w:val="0"/>
              <w:spacing w:before="20" w:after="20"/>
              <w:rPr>
                <w:sz w:val="22"/>
                <w:szCs w:val="22"/>
                <w:lang w:val="es-ES"/>
              </w:rPr>
            </w:pPr>
          </w:p>
        </w:tc>
      </w:tr>
      <w:tr w:rsidR="009C27CD" w:rsidRPr="00850278" w:rsidTr="007F6134">
        <w:trPr>
          <w:trHeight w:val="70"/>
          <w:jc w:val="center"/>
        </w:trPr>
        <w:tc>
          <w:tcPr>
            <w:tcW w:w="7794" w:type="dxa"/>
            <w:shd w:val="clear" w:color="auto" w:fill="auto"/>
          </w:tcPr>
          <w:p w:rsidR="009C27CD" w:rsidRPr="00CA73FB" w:rsidRDefault="00FC566C" w:rsidP="00C32931">
            <w:pPr>
              <w:widowControl w:val="0"/>
              <w:numPr>
                <w:ilvl w:val="0"/>
                <w:numId w:val="19"/>
              </w:numPr>
              <w:spacing w:before="20" w:after="20"/>
              <w:ind w:left="576" w:hanging="540"/>
              <w:jc w:val="both"/>
              <w:rPr>
                <w:sz w:val="22"/>
                <w:szCs w:val="22"/>
                <w:lang w:val="es-ES"/>
              </w:rPr>
            </w:pPr>
            <w:r w:rsidRPr="00CA73FB">
              <w:rPr>
                <w:sz w:val="22"/>
                <w:szCs w:val="22"/>
                <w:lang w:val="es-ES"/>
              </w:rPr>
              <w:t>Derecho a la libertad de religión o creencia</w:t>
            </w:r>
          </w:p>
        </w:tc>
        <w:tc>
          <w:tcPr>
            <w:tcW w:w="5701" w:type="dxa"/>
            <w:shd w:val="clear" w:color="auto" w:fill="auto"/>
          </w:tcPr>
          <w:p w:rsidR="009C27CD" w:rsidRPr="00D04327" w:rsidRDefault="009C7B03" w:rsidP="008674DF">
            <w:pPr>
              <w:widowControl w:val="0"/>
              <w:spacing w:before="20" w:after="20"/>
              <w:jc w:val="both"/>
              <w:rPr>
                <w:sz w:val="22"/>
                <w:szCs w:val="22"/>
                <w:lang w:val="es-ES"/>
              </w:rPr>
            </w:pPr>
            <w:r w:rsidRPr="00D04327">
              <w:rPr>
                <w:b/>
                <w:sz w:val="22"/>
                <w:szCs w:val="22"/>
                <w:u w:val="single"/>
                <w:lang w:val="es-MX"/>
              </w:rPr>
              <w:t>Párrafo operativo 3</w:t>
            </w:r>
            <w:r w:rsidRPr="00D04327">
              <w:rPr>
                <w:sz w:val="22"/>
                <w:szCs w:val="22"/>
                <w:lang w:val="es-MX"/>
              </w:rPr>
              <w:t>: “</w:t>
            </w:r>
            <w:r w:rsidR="00D04327" w:rsidRPr="00D04327">
              <w:rPr>
                <w:color w:val="000000"/>
                <w:sz w:val="22"/>
                <w:szCs w:val="22"/>
                <w:lang w:val="es-MX"/>
              </w:rPr>
              <w:t xml:space="preserve">Solicitar a la Secretaría General que organice, con los recursos existentes, un diálogo regional sobre el derecho a la libertad </w:t>
            </w:r>
            <w:r w:rsidR="00D04327" w:rsidRPr="00D04327">
              <w:rPr>
                <w:color w:val="000000"/>
                <w:sz w:val="22"/>
                <w:szCs w:val="22"/>
                <w:shd w:val="clear" w:color="auto" w:fill="FFFFFF"/>
                <w:lang w:val="es-MX"/>
              </w:rPr>
              <w:t>de pensamiento, de conciencia y de</w:t>
            </w:r>
            <w:r w:rsidR="00D04327" w:rsidRPr="00D04327">
              <w:rPr>
                <w:color w:val="000000"/>
                <w:sz w:val="22"/>
                <w:szCs w:val="22"/>
                <w:lang w:val="es-MX"/>
              </w:rPr>
              <w:t xml:space="preserve"> religión o creencia, al que estarían invitados a contribuir con sus aportes los Estados Miembros, la CIDH, la sociedad civil y otros actores sociales; y solicitar que la CAJP organice, con los recursos existentes, una sesión especial en la que los Estados Miembros puedan compartir lecciones aprendidas e intercambiar buenas prácticas a fin de promover las metas de esta resolución, y presentar los resultados de dicha sesión al Consejo Permanente antes del quincuagésimo período ordinario de sesiones de la Asamblea General</w:t>
            </w:r>
            <w:r w:rsidRPr="00D04327">
              <w:rPr>
                <w:sz w:val="22"/>
                <w:szCs w:val="22"/>
                <w:lang w:val="es-ES"/>
              </w:rPr>
              <w:t>.”</w:t>
            </w:r>
          </w:p>
        </w:tc>
      </w:tr>
      <w:tr w:rsidR="009C27CD" w:rsidRPr="00850278" w:rsidTr="007F6134">
        <w:trPr>
          <w:trHeight w:val="70"/>
          <w:jc w:val="center"/>
        </w:trPr>
        <w:tc>
          <w:tcPr>
            <w:tcW w:w="7794" w:type="dxa"/>
            <w:shd w:val="clear" w:color="auto" w:fill="auto"/>
          </w:tcPr>
          <w:p w:rsidR="009C27CD" w:rsidRPr="009C7B03" w:rsidRDefault="009C7B03" w:rsidP="00C32931">
            <w:pPr>
              <w:widowControl w:val="0"/>
              <w:numPr>
                <w:ilvl w:val="0"/>
                <w:numId w:val="19"/>
              </w:numPr>
              <w:spacing w:before="20" w:after="20"/>
              <w:ind w:left="576" w:hanging="540"/>
              <w:jc w:val="both"/>
              <w:rPr>
                <w:sz w:val="22"/>
                <w:szCs w:val="22"/>
                <w:lang w:val="es-ES"/>
              </w:rPr>
            </w:pPr>
            <w:r w:rsidRPr="009C7B03">
              <w:rPr>
                <w:sz w:val="22"/>
                <w:szCs w:val="22"/>
                <w:lang w:val="es-ES"/>
              </w:rPr>
              <w:t>Seguimiento a la implementación de la Declaración Americana sobre los Derechos de los Pueblos Indígenas y del Plan de Acción sobre la Declaración Americana sobre los Derechos de los Pueblos Indígenas (2017-2021</w:t>
            </w:r>
            <w:r>
              <w:rPr>
                <w:sz w:val="22"/>
                <w:szCs w:val="22"/>
                <w:lang w:val="es-ES"/>
              </w:rPr>
              <w:t>)</w:t>
            </w:r>
          </w:p>
        </w:tc>
        <w:tc>
          <w:tcPr>
            <w:tcW w:w="5701" w:type="dxa"/>
            <w:shd w:val="clear" w:color="auto" w:fill="auto"/>
          </w:tcPr>
          <w:p w:rsidR="009C27CD" w:rsidRPr="00D04327" w:rsidRDefault="009C7B03" w:rsidP="008674DF">
            <w:pPr>
              <w:spacing w:before="20" w:after="20"/>
              <w:jc w:val="both"/>
              <w:rPr>
                <w:sz w:val="22"/>
                <w:szCs w:val="22"/>
                <w:lang w:val="es-ES"/>
              </w:rPr>
            </w:pPr>
            <w:r w:rsidRPr="00D04327">
              <w:rPr>
                <w:b/>
                <w:sz w:val="22"/>
                <w:szCs w:val="22"/>
                <w:u w:val="single"/>
                <w:lang w:val="es-MX"/>
              </w:rPr>
              <w:t>Párrafo operativo 1</w:t>
            </w:r>
            <w:r w:rsidRPr="00D04327">
              <w:rPr>
                <w:sz w:val="22"/>
                <w:szCs w:val="22"/>
                <w:lang w:val="es-MX"/>
              </w:rPr>
              <w:t>: “</w:t>
            </w:r>
            <w:r w:rsidR="00D04327" w:rsidRPr="00D04327">
              <w:rPr>
                <w:bCs/>
                <w:color w:val="000000"/>
                <w:sz w:val="22"/>
                <w:szCs w:val="22"/>
                <w:lang w:val="es-MX"/>
              </w:rPr>
              <w:t>Instar a los Estados Miembros, a la Secretaría General e instituciones de la OEA a que tomen todas las medidas necesarias para la implementación de la Declaración Americana sobre los Derechos de los Pueblos Indígenas y el Plan de Acción sobre la Declaración Americana sobre los Derechos de los Pueblos Indígenas (2017-2021</w:t>
            </w:r>
            <w:r w:rsidRPr="00D04327">
              <w:rPr>
                <w:bCs/>
                <w:sz w:val="22"/>
                <w:szCs w:val="22"/>
                <w:lang w:val="es-ES"/>
              </w:rPr>
              <w:t>).”</w:t>
            </w:r>
          </w:p>
        </w:tc>
      </w:tr>
      <w:tr w:rsidR="009C27CD" w:rsidRPr="00850278" w:rsidTr="007F6134">
        <w:trPr>
          <w:trHeight w:val="70"/>
          <w:jc w:val="center"/>
        </w:trPr>
        <w:tc>
          <w:tcPr>
            <w:tcW w:w="7794" w:type="dxa"/>
            <w:shd w:val="clear" w:color="auto" w:fill="auto"/>
          </w:tcPr>
          <w:p w:rsidR="009C27CD" w:rsidRPr="009C7B03" w:rsidRDefault="009C7B03" w:rsidP="00C32931">
            <w:pPr>
              <w:widowControl w:val="0"/>
              <w:numPr>
                <w:ilvl w:val="0"/>
                <w:numId w:val="19"/>
              </w:numPr>
              <w:spacing w:before="20" w:after="20"/>
              <w:ind w:left="576" w:hanging="540"/>
              <w:jc w:val="both"/>
              <w:rPr>
                <w:sz w:val="22"/>
                <w:szCs w:val="22"/>
                <w:lang w:val="es-ES"/>
              </w:rPr>
            </w:pPr>
            <w:r w:rsidRPr="009C7B03">
              <w:rPr>
                <w:sz w:val="22"/>
                <w:szCs w:val="22"/>
                <w:lang w:val="es-ES"/>
              </w:rPr>
              <w:t>Programa de Acción para el Decenio de las Américas por los Derechos y la Dignidad de las Personas con Discapacidad 2016-2026 y Apoyo al Comité para la Eliminación de Todas las Formas de Discriminación contra las Personas con Discapacidad</w:t>
            </w:r>
          </w:p>
        </w:tc>
        <w:tc>
          <w:tcPr>
            <w:tcW w:w="5701" w:type="dxa"/>
            <w:shd w:val="clear" w:color="auto" w:fill="auto"/>
          </w:tcPr>
          <w:p w:rsidR="009C27CD" w:rsidRPr="008674DF" w:rsidRDefault="009C27CD" w:rsidP="005E17BA">
            <w:pPr>
              <w:widowControl w:val="0"/>
              <w:spacing w:before="20" w:after="20"/>
              <w:jc w:val="both"/>
              <w:rPr>
                <w:sz w:val="22"/>
                <w:szCs w:val="22"/>
                <w:lang w:val="es-ES"/>
              </w:rPr>
            </w:pPr>
          </w:p>
        </w:tc>
      </w:tr>
      <w:tr w:rsidR="009C7B03" w:rsidRPr="00850278" w:rsidTr="007F6134">
        <w:trPr>
          <w:trHeight w:val="70"/>
          <w:jc w:val="center"/>
        </w:trPr>
        <w:tc>
          <w:tcPr>
            <w:tcW w:w="7794" w:type="dxa"/>
            <w:shd w:val="clear" w:color="auto" w:fill="auto"/>
          </w:tcPr>
          <w:p w:rsidR="009C7B03" w:rsidRPr="009C7B03" w:rsidRDefault="009C7B03" w:rsidP="00C32931">
            <w:pPr>
              <w:widowControl w:val="0"/>
              <w:numPr>
                <w:ilvl w:val="0"/>
                <w:numId w:val="19"/>
              </w:numPr>
              <w:spacing w:before="20" w:after="20"/>
              <w:ind w:left="576" w:hanging="540"/>
              <w:jc w:val="both"/>
              <w:rPr>
                <w:sz w:val="22"/>
                <w:szCs w:val="22"/>
                <w:lang w:val="es-ES"/>
              </w:rPr>
            </w:pPr>
            <w:r w:rsidRPr="009C7B03">
              <w:rPr>
                <w:sz w:val="22"/>
                <w:szCs w:val="22"/>
                <w:lang w:val="es-ES"/>
              </w:rPr>
              <w:t xml:space="preserve">Seguimiento </w:t>
            </w:r>
            <w:bookmarkStart w:id="0" w:name="_Toc398801849"/>
            <w:r w:rsidRPr="009C7B03">
              <w:rPr>
                <w:sz w:val="22"/>
                <w:szCs w:val="22"/>
                <w:lang w:val="es-ES"/>
              </w:rPr>
              <w:t>al Programa Interamericano para el Registro Civil Universal y “Derecho a la Identidad”</w:t>
            </w:r>
            <w:bookmarkEnd w:id="0"/>
          </w:p>
        </w:tc>
        <w:tc>
          <w:tcPr>
            <w:tcW w:w="5701" w:type="dxa"/>
            <w:shd w:val="clear" w:color="auto" w:fill="auto"/>
          </w:tcPr>
          <w:p w:rsidR="009C7B03" w:rsidRPr="008674DF" w:rsidRDefault="009C7B03" w:rsidP="008674DF">
            <w:pPr>
              <w:widowControl w:val="0"/>
              <w:spacing w:before="20" w:after="20"/>
              <w:ind w:left="576"/>
              <w:jc w:val="both"/>
              <w:rPr>
                <w:sz w:val="22"/>
                <w:szCs w:val="22"/>
                <w:lang w:val="es-ES"/>
              </w:rPr>
            </w:pPr>
          </w:p>
        </w:tc>
      </w:tr>
    </w:tbl>
    <w:p w:rsidR="00703EC5" w:rsidRPr="00401894" w:rsidRDefault="00703EC5">
      <w:pPr>
        <w:rPr>
          <w:lang w:val="es-US"/>
        </w:rPr>
      </w:pPr>
      <w:r w:rsidRPr="00401894">
        <w:rPr>
          <w:lang w:val="es-US"/>
        </w:rPr>
        <w:br w:type="page"/>
      </w:r>
    </w:p>
    <w:tbl>
      <w:tblPr>
        <w:tblW w:w="13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4"/>
        <w:gridCol w:w="5549"/>
      </w:tblGrid>
      <w:tr w:rsidR="009C7B03" w:rsidRPr="00850278" w:rsidTr="007F6134">
        <w:trPr>
          <w:trHeight w:val="70"/>
          <w:jc w:val="center"/>
        </w:trPr>
        <w:tc>
          <w:tcPr>
            <w:tcW w:w="7794" w:type="dxa"/>
            <w:shd w:val="clear" w:color="auto" w:fill="auto"/>
          </w:tcPr>
          <w:p w:rsidR="009C7B03" w:rsidRPr="00D04327" w:rsidRDefault="009C7B03" w:rsidP="009C7B03">
            <w:pPr>
              <w:widowControl w:val="0"/>
              <w:tabs>
                <w:tab w:val="left" w:pos="576"/>
              </w:tabs>
              <w:spacing w:before="20" w:after="20"/>
              <w:ind w:left="576" w:hanging="576"/>
              <w:jc w:val="both"/>
              <w:rPr>
                <w:sz w:val="22"/>
                <w:szCs w:val="22"/>
                <w:lang w:val="es-ES"/>
              </w:rPr>
            </w:pPr>
            <w:r w:rsidRPr="00D04327">
              <w:rPr>
                <w:sz w:val="22"/>
                <w:szCs w:val="22"/>
                <w:lang w:val="es-ES"/>
              </w:rPr>
              <w:lastRenderedPageBreak/>
              <w:t xml:space="preserve">II. </w:t>
            </w:r>
            <w:r w:rsidRPr="00D04327">
              <w:rPr>
                <w:sz w:val="22"/>
                <w:szCs w:val="22"/>
                <w:lang w:val="es-ES"/>
              </w:rPr>
              <w:tab/>
              <w:t>Seguimiento e informes</w:t>
            </w:r>
            <w:r w:rsidR="00815289" w:rsidRPr="00D04327">
              <w:rPr>
                <w:sz w:val="22"/>
                <w:szCs w:val="22"/>
                <w:lang w:val="es-ES"/>
              </w:rPr>
              <w:t xml:space="preserve"> </w:t>
            </w:r>
          </w:p>
          <w:p w:rsidR="00815289" w:rsidRPr="00D04327" w:rsidRDefault="00815289" w:rsidP="009C7B03">
            <w:pPr>
              <w:widowControl w:val="0"/>
              <w:tabs>
                <w:tab w:val="left" w:pos="576"/>
              </w:tabs>
              <w:spacing w:before="20" w:after="20"/>
              <w:ind w:left="576" w:hanging="576"/>
              <w:jc w:val="both"/>
              <w:rPr>
                <w:sz w:val="22"/>
                <w:szCs w:val="22"/>
                <w:lang w:val="es-ES"/>
              </w:rPr>
            </w:pPr>
          </w:p>
        </w:tc>
        <w:tc>
          <w:tcPr>
            <w:tcW w:w="5549" w:type="dxa"/>
            <w:shd w:val="clear" w:color="auto" w:fill="auto"/>
          </w:tcPr>
          <w:p w:rsidR="00D04327" w:rsidRPr="00D04327" w:rsidRDefault="008674DF" w:rsidP="00D04327">
            <w:pPr>
              <w:rPr>
                <w:color w:val="000000"/>
                <w:sz w:val="22"/>
                <w:szCs w:val="22"/>
                <w:lang w:val="es-MX"/>
              </w:rPr>
            </w:pPr>
            <w:r w:rsidRPr="00D04327">
              <w:rPr>
                <w:b/>
                <w:sz w:val="22"/>
                <w:szCs w:val="22"/>
                <w:u w:val="single"/>
                <w:lang w:val="es-MX"/>
              </w:rPr>
              <w:t>Párrafo operativo 2</w:t>
            </w:r>
            <w:r w:rsidRPr="00D04327">
              <w:rPr>
                <w:sz w:val="22"/>
                <w:szCs w:val="22"/>
                <w:lang w:val="es-MX"/>
              </w:rPr>
              <w:t>: “</w:t>
            </w:r>
            <w:r w:rsidR="00D04327" w:rsidRPr="00D04327">
              <w:rPr>
                <w:color w:val="000000"/>
                <w:sz w:val="22"/>
                <w:szCs w:val="22"/>
                <w:lang w:val="es-MX"/>
              </w:rPr>
              <w:t xml:space="preserve">Solicitar al Consejo Permanente que instruya a la CAJP que incluya en su plan de trabajo antes del </w:t>
            </w:r>
            <w:r w:rsidR="00D04327" w:rsidRPr="00D04327">
              <w:rPr>
                <w:bCs/>
                <w:color w:val="000000"/>
                <w:sz w:val="22"/>
                <w:szCs w:val="22"/>
                <w:lang w:val="es-MX"/>
              </w:rPr>
              <w:t xml:space="preserve">quincuagésimo </w:t>
            </w:r>
            <w:r w:rsidR="00D04327" w:rsidRPr="00D04327">
              <w:rPr>
                <w:color w:val="000000"/>
                <w:sz w:val="22"/>
                <w:szCs w:val="22"/>
                <w:lang w:val="es-MX"/>
              </w:rPr>
              <w:t xml:space="preserve">período ordinario de sesiones de la Asamblea General el siguiente tema de esta resolución, con el fin de promover el intercambio de experiencias y buenas prácticas:  </w:t>
            </w:r>
          </w:p>
          <w:p w:rsidR="00D04327" w:rsidRPr="00D04327" w:rsidRDefault="00D04327" w:rsidP="00D04327">
            <w:pPr>
              <w:rPr>
                <w:color w:val="000000"/>
                <w:sz w:val="22"/>
                <w:szCs w:val="22"/>
                <w:lang w:val="es-MX"/>
              </w:rPr>
            </w:pPr>
          </w:p>
          <w:p w:rsidR="008674DF" w:rsidRPr="00D04327" w:rsidRDefault="00D04327" w:rsidP="00D04327">
            <w:pPr>
              <w:jc w:val="both"/>
              <w:rPr>
                <w:sz w:val="22"/>
                <w:szCs w:val="22"/>
                <w:lang w:val="es-ES"/>
              </w:rPr>
            </w:pPr>
            <w:r w:rsidRPr="00D04327">
              <w:rPr>
                <w:color w:val="000000"/>
                <w:sz w:val="22"/>
                <w:szCs w:val="22"/>
                <w:lang w:val="es-MX"/>
              </w:rPr>
              <w:t>“La defensa pública oficial autónoma como salvaguarda de la integridad personal de todos los seres humanos sin ningún tipo de discriminación”. La realización de una octava sesión extraordinaria de la CAJP sobre los mecanismos de monitoreo de los centros de detención que realiza cada institución de defesa pública oficial de la región, en el primer trimestre de 2020, con la presencia de los Estados Miembros y sus respectivas instituciones públicas oficiales de asistencia jurídica, de integrantes de la AIDEF, de la CIDH a través de su Relatoría sobre los Derechos de las Personas Privadas de Libertad en las Américas, expertos del sector académico y de la sociedad civil, así como de las organizaciones internacionales. La asistencia de los miembros de AIDEF estará garantizada por esa organización</w:t>
            </w:r>
            <w:r w:rsidR="008674DF" w:rsidRPr="00D04327">
              <w:rPr>
                <w:sz w:val="22"/>
                <w:szCs w:val="22"/>
                <w:lang w:val="es-ES"/>
              </w:rPr>
              <w:t>.”</w:t>
            </w:r>
          </w:p>
          <w:p w:rsidR="008674DF" w:rsidRPr="00D04327" w:rsidRDefault="008674DF" w:rsidP="008674DF">
            <w:pPr>
              <w:jc w:val="both"/>
              <w:rPr>
                <w:sz w:val="22"/>
                <w:szCs w:val="22"/>
                <w:lang w:val="es-ES"/>
              </w:rPr>
            </w:pPr>
          </w:p>
          <w:p w:rsidR="009C7B03" w:rsidRPr="00D04327" w:rsidRDefault="008674DF" w:rsidP="008674DF">
            <w:pPr>
              <w:jc w:val="both"/>
              <w:rPr>
                <w:sz w:val="22"/>
                <w:szCs w:val="22"/>
                <w:lang w:val="es-ES"/>
              </w:rPr>
            </w:pPr>
            <w:r w:rsidRPr="00D04327">
              <w:rPr>
                <w:b/>
                <w:sz w:val="22"/>
                <w:szCs w:val="22"/>
                <w:u w:val="single"/>
                <w:lang w:val="es-MX"/>
              </w:rPr>
              <w:t>Párrafo operativo 3</w:t>
            </w:r>
            <w:r w:rsidRPr="00D04327">
              <w:rPr>
                <w:sz w:val="22"/>
                <w:szCs w:val="22"/>
                <w:lang w:val="es-MX"/>
              </w:rPr>
              <w:t>: “</w:t>
            </w:r>
            <w:r w:rsidR="00D04327" w:rsidRPr="00D04327">
              <w:rPr>
                <w:color w:val="000000"/>
                <w:sz w:val="22"/>
                <w:szCs w:val="22"/>
                <w:lang w:val="es-MX"/>
              </w:rPr>
              <w:t>Solicitar al Consejo Permanente que informe a la Asamblea General, en su quincuagésimo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Pr="00D04327">
              <w:rPr>
                <w:color w:val="000000"/>
                <w:sz w:val="22"/>
                <w:szCs w:val="22"/>
                <w:lang w:val="es-ES"/>
              </w:rPr>
              <w:t>.”</w:t>
            </w:r>
          </w:p>
        </w:tc>
      </w:tr>
    </w:tbl>
    <w:p w:rsidR="00F36DE7" w:rsidRDefault="00F36DE7">
      <w:pPr>
        <w:rPr>
          <w:sz w:val="22"/>
          <w:szCs w:val="22"/>
          <w:lang w:val="es-ES"/>
        </w:rPr>
      </w:pPr>
    </w:p>
    <w:p w:rsidR="002D7ADC" w:rsidRDefault="002D7ADC">
      <w:pPr>
        <w:rPr>
          <w:sz w:val="22"/>
          <w:szCs w:val="22"/>
          <w:lang w:val="es-ES"/>
        </w:rPr>
      </w:pPr>
    </w:p>
    <w:p w:rsidR="002D7ADC" w:rsidRDefault="002D7ADC">
      <w:pPr>
        <w:rPr>
          <w:sz w:val="22"/>
          <w:szCs w:val="22"/>
          <w:lang w:val="es-ES"/>
        </w:rPr>
      </w:pPr>
    </w:p>
    <w:p w:rsidR="002D7ADC" w:rsidRDefault="002D7ADC">
      <w:pPr>
        <w:rPr>
          <w:sz w:val="22"/>
          <w:szCs w:val="22"/>
          <w:lang w:val="es-ES"/>
        </w:rPr>
      </w:pPr>
    </w:p>
    <w:p w:rsidR="002D7ADC" w:rsidRDefault="002D7ADC">
      <w:pPr>
        <w:rPr>
          <w:sz w:val="22"/>
          <w:szCs w:val="22"/>
          <w:lang w:val="es-ES"/>
        </w:rPr>
      </w:pPr>
    </w:p>
    <w:p w:rsidR="002D7ADC" w:rsidRDefault="002D7ADC">
      <w:pPr>
        <w:rPr>
          <w:sz w:val="22"/>
          <w:szCs w:val="22"/>
          <w:lang w:val="es-ES"/>
        </w:rPr>
      </w:pPr>
    </w:p>
    <w:p w:rsidR="002D7ADC" w:rsidRPr="00A6711A" w:rsidRDefault="002D7ADC">
      <w:pPr>
        <w:rPr>
          <w:sz w:val="22"/>
          <w:szCs w:val="22"/>
          <w:lang w:val="es-ES"/>
        </w:rPr>
      </w:pPr>
    </w:p>
    <w:tbl>
      <w:tblPr>
        <w:tblW w:w="12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4"/>
        <w:gridCol w:w="4698"/>
      </w:tblGrid>
      <w:tr w:rsidR="000D5145" w:rsidRPr="00850278" w:rsidTr="002D7ADC">
        <w:trPr>
          <w:trHeight w:val="70"/>
          <w:jc w:val="center"/>
        </w:trPr>
        <w:tc>
          <w:tcPr>
            <w:tcW w:w="12492" w:type="dxa"/>
            <w:gridSpan w:val="2"/>
            <w:tcBorders>
              <w:top w:val="nil"/>
              <w:left w:val="nil"/>
              <w:bottom w:val="nil"/>
              <w:right w:val="nil"/>
            </w:tcBorders>
            <w:shd w:val="clear" w:color="auto" w:fill="FFFFFF"/>
            <w:vAlign w:val="center"/>
          </w:tcPr>
          <w:tbl>
            <w:tblPr>
              <w:tblW w:w="12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4"/>
              <w:gridCol w:w="4590"/>
            </w:tblGrid>
            <w:tr w:rsidR="002306FE" w:rsidRPr="00850278" w:rsidTr="002D7ADC">
              <w:trPr>
                <w:trHeight w:val="70"/>
                <w:jc w:val="center"/>
              </w:trPr>
              <w:tc>
                <w:tcPr>
                  <w:tcW w:w="12384" w:type="dxa"/>
                  <w:gridSpan w:val="2"/>
                  <w:tcBorders>
                    <w:top w:val="nil"/>
                    <w:left w:val="nil"/>
                    <w:bottom w:val="single" w:sz="4" w:space="0" w:color="000000"/>
                    <w:right w:val="nil"/>
                  </w:tcBorders>
                  <w:shd w:val="clear" w:color="auto" w:fill="FFFFFF"/>
                  <w:vAlign w:val="center"/>
                </w:tcPr>
                <w:p w:rsidR="002306FE" w:rsidRPr="0078719E" w:rsidRDefault="002306FE" w:rsidP="00AD655A">
                  <w:pPr>
                    <w:tabs>
                      <w:tab w:val="left" w:pos="720"/>
                      <w:tab w:val="left" w:pos="1440"/>
                      <w:tab w:val="left" w:pos="2160"/>
                      <w:tab w:val="left" w:pos="2880"/>
                      <w:tab w:val="left" w:pos="3600"/>
                    </w:tabs>
                    <w:spacing w:before="40" w:after="40"/>
                    <w:jc w:val="both"/>
                    <w:rPr>
                      <w:sz w:val="22"/>
                      <w:szCs w:val="22"/>
                      <w:lang w:val="es-ES"/>
                    </w:rPr>
                  </w:pPr>
                  <w:r w:rsidRPr="0078719E">
                    <w:rPr>
                      <w:sz w:val="22"/>
                      <w:szCs w:val="22"/>
                      <w:lang w:val="es-ES_tradnl"/>
                    </w:rPr>
                    <w:t xml:space="preserve">De la resolución AG/RES. </w:t>
                  </w:r>
                  <w:r w:rsidR="00AD655A" w:rsidRPr="0078719E">
                    <w:rPr>
                      <w:sz w:val="22"/>
                      <w:szCs w:val="22"/>
                      <w:lang w:val="es-ES_tradnl"/>
                    </w:rPr>
                    <w:t>2891</w:t>
                  </w:r>
                  <w:r w:rsidRPr="0078719E">
                    <w:rPr>
                      <w:sz w:val="22"/>
                      <w:szCs w:val="22"/>
                      <w:lang w:val="es-ES_tradnl"/>
                    </w:rPr>
                    <w:t>(XLVI-O/1</w:t>
                  </w:r>
                  <w:r w:rsidR="00AD655A" w:rsidRPr="0078719E">
                    <w:rPr>
                      <w:sz w:val="22"/>
                      <w:szCs w:val="22"/>
                      <w:lang w:val="es-ES_tradnl"/>
                    </w:rPr>
                    <w:t>6</w:t>
                  </w:r>
                  <w:r w:rsidRPr="0078719E">
                    <w:rPr>
                      <w:sz w:val="22"/>
                      <w:szCs w:val="22"/>
                      <w:lang w:val="es-ES_tradnl"/>
                    </w:rPr>
                    <w:t>) “</w:t>
                  </w:r>
                  <w:r w:rsidR="00AD655A" w:rsidRPr="0078719E">
                    <w:rPr>
                      <w:sz w:val="22"/>
                      <w:szCs w:val="22"/>
                      <w:lang w:val="es-ES"/>
                    </w:rPr>
                    <w:t>Plan de Acción del Decenio de las y los Afrodescendientes en las Américas (2016-2025)</w:t>
                  </w:r>
                  <w:r w:rsidRPr="0078719E">
                    <w:rPr>
                      <w:sz w:val="22"/>
                      <w:szCs w:val="22"/>
                      <w:lang w:val="es-ES_tradnl"/>
                    </w:rPr>
                    <w:t>”</w:t>
                  </w:r>
                </w:p>
              </w:tc>
            </w:tr>
            <w:tr w:rsidR="002306FE" w:rsidRPr="0078719E" w:rsidTr="002D7ADC">
              <w:trPr>
                <w:trHeight w:val="70"/>
                <w:jc w:val="center"/>
              </w:trPr>
              <w:tc>
                <w:tcPr>
                  <w:tcW w:w="7794" w:type="dxa"/>
                  <w:tcBorders>
                    <w:top w:val="single" w:sz="4" w:space="0" w:color="000000"/>
                  </w:tcBorders>
                  <w:shd w:val="clear" w:color="auto" w:fill="BFBFBF"/>
                  <w:vAlign w:val="center"/>
                </w:tcPr>
                <w:p w:rsidR="002306FE" w:rsidRPr="0078719E" w:rsidRDefault="0078719E" w:rsidP="0078719E">
                  <w:pPr>
                    <w:spacing w:before="40" w:after="40"/>
                    <w:jc w:val="center"/>
                    <w:rPr>
                      <w:b/>
                      <w:sz w:val="22"/>
                      <w:szCs w:val="22"/>
                      <w:lang w:val="es-ES"/>
                    </w:rPr>
                  </w:pPr>
                  <w:r w:rsidRPr="0078719E">
                    <w:rPr>
                      <w:b/>
                      <w:sz w:val="22"/>
                      <w:szCs w:val="22"/>
                      <w:lang w:val="es-ES"/>
                    </w:rPr>
                    <w:t xml:space="preserve">Plan de Acción del Decenio de las y los Afrodescendientes en las Américas </w:t>
                  </w:r>
                  <w:r w:rsidRPr="0078719E">
                    <w:rPr>
                      <w:b/>
                      <w:sz w:val="22"/>
                      <w:szCs w:val="22"/>
                      <w:lang w:val="es-ES"/>
                    </w:rPr>
                    <w:br/>
                    <w:t>(2016-2025)</w:t>
                  </w:r>
                </w:p>
              </w:tc>
              <w:tc>
                <w:tcPr>
                  <w:tcW w:w="4590" w:type="dxa"/>
                  <w:tcBorders>
                    <w:top w:val="single" w:sz="4" w:space="0" w:color="000000"/>
                    <w:bottom w:val="single" w:sz="4" w:space="0" w:color="auto"/>
                  </w:tcBorders>
                  <w:shd w:val="clear" w:color="auto" w:fill="BFBFBF"/>
                  <w:vAlign w:val="center"/>
                </w:tcPr>
                <w:p w:rsidR="002306FE" w:rsidRPr="0078719E" w:rsidRDefault="002306FE" w:rsidP="004A608F">
                  <w:pPr>
                    <w:tabs>
                      <w:tab w:val="left" w:pos="720"/>
                      <w:tab w:val="left" w:pos="1440"/>
                      <w:tab w:val="left" w:pos="2160"/>
                      <w:tab w:val="left" w:pos="2880"/>
                      <w:tab w:val="left" w:pos="3600"/>
                    </w:tabs>
                    <w:spacing w:before="40" w:after="40"/>
                    <w:jc w:val="center"/>
                    <w:rPr>
                      <w:b/>
                      <w:sz w:val="22"/>
                      <w:szCs w:val="22"/>
                      <w:lang w:val="es-ES"/>
                    </w:rPr>
                  </w:pPr>
                  <w:r w:rsidRPr="0078719E">
                    <w:rPr>
                      <w:b/>
                      <w:sz w:val="22"/>
                      <w:szCs w:val="22"/>
                      <w:lang w:val="es-ES"/>
                    </w:rPr>
                    <w:t>Mandato</w:t>
                  </w:r>
                </w:p>
              </w:tc>
            </w:tr>
            <w:tr w:rsidR="002306FE" w:rsidRPr="00850278" w:rsidTr="002D7ADC">
              <w:trPr>
                <w:trHeight w:val="70"/>
                <w:jc w:val="center"/>
              </w:trPr>
              <w:tc>
                <w:tcPr>
                  <w:tcW w:w="7794" w:type="dxa"/>
                  <w:tcBorders>
                    <w:right w:val="single" w:sz="4" w:space="0" w:color="auto"/>
                  </w:tcBorders>
                  <w:shd w:val="clear" w:color="auto" w:fill="auto"/>
                </w:tcPr>
                <w:p w:rsidR="002306FE" w:rsidRPr="0078719E" w:rsidRDefault="0078719E" w:rsidP="00C32931">
                  <w:pPr>
                    <w:numPr>
                      <w:ilvl w:val="0"/>
                      <w:numId w:val="20"/>
                    </w:numPr>
                    <w:ind w:left="432"/>
                    <w:jc w:val="both"/>
                    <w:rPr>
                      <w:b/>
                      <w:sz w:val="22"/>
                      <w:szCs w:val="22"/>
                      <w:lang w:val="es-ES"/>
                    </w:rPr>
                  </w:pPr>
                  <w:r w:rsidRPr="0078719E">
                    <w:rPr>
                      <w:sz w:val="22"/>
                      <w:szCs w:val="22"/>
                      <w:lang w:val="es-ES"/>
                    </w:rPr>
                    <w:t>Implementación y seguimiento del Plan</w:t>
                  </w:r>
                  <w:r w:rsidR="00AF016A">
                    <w:rPr>
                      <w:sz w:val="22"/>
                      <w:szCs w:val="22"/>
                      <w:lang w:val="es-ES"/>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2306FE" w:rsidRPr="0078719E" w:rsidRDefault="0078719E" w:rsidP="0078719E">
                  <w:pPr>
                    <w:tabs>
                      <w:tab w:val="left" w:pos="900"/>
                    </w:tabs>
                    <w:spacing w:before="40" w:after="40"/>
                    <w:jc w:val="both"/>
                    <w:rPr>
                      <w:b/>
                      <w:sz w:val="22"/>
                      <w:szCs w:val="22"/>
                      <w:lang w:val="es-ES"/>
                    </w:rPr>
                  </w:pPr>
                  <w:r w:rsidRPr="0078719E">
                    <w:rPr>
                      <w:b/>
                      <w:sz w:val="22"/>
                      <w:szCs w:val="22"/>
                      <w:u w:val="single"/>
                      <w:lang w:val="es-ES" w:eastAsia="es-ES"/>
                    </w:rPr>
                    <w:t>Párrafo 3</w:t>
                  </w:r>
                  <w:r w:rsidR="002306FE" w:rsidRPr="0078719E">
                    <w:rPr>
                      <w:sz w:val="22"/>
                      <w:szCs w:val="22"/>
                      <w:lang w:val="es-ES" w:eastAsia="es-ES"/>
                    </w:rPr>
                    <w:t>: “</w:t>
                  </w:r>
                  <w:r w:rsidRPr="0078719E">
                    <w:rPr>
                      <w:sz w:val="22"/>
                      <w:szCs w:val="22"/>
                      <w:lang w:val="es-ES"/>
                    </w:rPr>
                    <w:t>La Secretaría General dará cuenta de los avances de la Organización cada dos años en una sesión especial de la Comisión de Asuntos Jurídicos y Políticos del Consejo Permanente de la OEA.”</w:t>
                  </w:r>
                </w:p>
              </w:tc>
            </w:tr>
          </w:tbl>
          <w:p w:rsidR="00BE1FB9" w:rsidRPr="0078719E" w:rsidRDefault="00BE1FB9" w:rsidP="004431B4">
            <w:pPr>
              <w:tabs>
                <w:tab w:val="left" w:pos="720"/>
                <w:tab w:val="left" w:pos="1440"/>
                <w:tab w:val="left" w:pos="2160"/>
                <w:tab w:val="left" w:pos="2880"/>
                <w:tab w:val="left" w:pos="3600"/>
              </w:tabs>
              <w:spacing w:before="40" w:after="40"/>
              <w:jc w:val="both"/>
              <w:rPr>
                <w:sz w:val="22"/>
                <w:szCs w:val="22"/>
                <w:lang w:val="es-ES_tradnl"/>
              </w:rPr>
            </w:pPr>
          </w:p>
          <w:p w:rsidR="000D5145" w:rsidRPr="0078719E" w:rsidRDefault="0074724D" w:rsidP="004431B4">
            <w:pPr>
              <w:tabs>
                <w:tab w:val="left" w:pos="720"/>
                <w:tab w:val="left" w:pos="1440"/>
                <w:tab w:val="left" w:pos="2160"/>
                <w:tab w:val="left" w:pos="2880"/>
                <w:tab w:val="left" w:pos="3600"/>
              </w:tabs>
              <w:spacing w:before="40" w:after="40"/>
              <w:jc w:val="both"/>
              <w:rPr>
                <w:sz w:val="22"/>
                <w:szCs w:val="22"/>
                <w:lang w:val="es-ES"/>
              </w:rPr>
            </w:pPr>
            <w:r w:rsidRPr="0078719E">
              <w:rPr>
                <w:sz w:val="22"/>
                <w:szCs w:val="22"/>
                <w:lang w:val="es-ES_tradnl"/>
              </w:rPr>
              <w:t xml:space="preserve">De la resolución </w:t>
            </w:r>
            <w:r w:rsidR="000D5145" w:rsidRPr="0078719E">
              <w:rPr>
                <w:sz w:val="22"/>
                <w:szCs w:val="22"/>
                <w:lang w:val="es-ES_tradnl"/>
              </w:rPr>
              <w:t>AG/RES. 2913 (XLVII-O/17)</w:t>
            </w:r>
            <w:r w:rsidRPr="0078719E">
              <w:rPr>
                <w:sz w:val="22"/>
                <w:szCs w:val="22"/>
                <w:lang w:val="es-ES_tradnl"/>
              </w:rPr>
              <w:t xml:space="preserve"> </w:t>
            </w:r>
            <w:r w:rsidR="000D5145" w:rsidRPr="0078719E">
              <w:rPr>
                <w:sz w:val="22"/>
                <w:szCs w:val="22"/>
                <w:lang w:val="es-ES_tradnl"/>
              </w:rPr>
              <w:t>“Plan de Acción sobre la Declaración Americana sobre los Derechos de los Pueblos Indígenas</w:t>
            </w:r>
            <w:r w:rsidR="00F740F6" w:rsidRPr="0078719E">
              <w:rPr>
                <w:sz w:val="22"/>
                <w:szCs w:val="22"/>
                <w:lang w:val="es-ES_tradnl"/>
              </w:rPr>
              <w:t xml:space="preserve"> </w:t>
            </w:r>
            <w:r w:rsidR="000D5145" w:rsidRPr="0078719E">
              <w:rPr>
                <w:sz w:val="22"/>
                <w:szCs w:val="22"/>
                <w:lang w:val="es-ES_tradnl"/>
              </w:rPr>
              <w:t>(2017-2021)”:</w:t>
            </w:r>
          </w:p>
        </w:tc>
      </w:tr>
      <w:tr w:rsidR="001E37E3" w:rsidRPr="00A6711A" w:rsidTr="002D7ADC">
        <w:trPr>
          <w:trHeight w:val="70"/>
          <w:jc w:val="center"/>
        </w:trPr>
        <w:tc>
          <w:tcPr>
            <w:tcW w:w="7794" w:type="dxa"/>
            <w:tcBorders>
              <w:top w:val="single" w:sz="4" w:space="0" w:color="auto"/>
            </w:tcBorders>
            <w:shd w:val="clear" w:color="auto" w:fill="BFBFBF"/>
            <w:vAlign w:val="center"/>
          </w:tcPr>
          <w:p w:rsidR="00BB74C8" w:rsidRPr="0078719E" w:rsidRDefault="0078719E" w:rsidP="00AF15B3">
            <w:pPr>
              <w:spacing w:before="40" w:after="40"/>
              <w:jc w:val="center"/>
              <w:rPr>
                <w:b/>
                <w:sz w:val="22"/>
                <w:szCs w:val="22"/>
                <w:lang w:val="es-ES"/>
              </w:rPr>
            </w:pPr>
            <w:r w:rsidRPr="0078719E">
              <w:rPr>
                <w:b/>
                <w:sz w:val="22"/>
                <w:szCs w:val="22"/>
                <w:lang w:val="es-ES_tradnl"/>
              </w:rPr>
              <w:t xml:space="preserve">Plan de Acción sobre la Declaración Americana sobre los Derechos de </w:t>
            </w:r>
            <w:r w:rsidRPr="0078719E">
              <w:rPr>
                <w:b/>
                <w:sz w:val="22"/>
                <w:szCs w:val="22"/>
                <w:lang w:val="es-ES_tradnl"/>
              </w:rPr>
              <w:br/>
              <w:t>los Pueblos Indígenas (2017-2021)</w:t>
            </w:r>
          </w:p>
        </w:tc>
        <w:tc>
          <w:tcPr>
            <w:tcW w:w="4698" w:type="dxa"/>
            <w:tcBorders>
              <w:top w:val="single" w:sz="4" w:space="0" w:color="auto"/>
            </w:tcBorders>
            <w:shd w:val="clear" w:color="auto" w:fill="BFBFBF"/>
            <w:vAlign w:val="center"/>
          </w:tcPr>
          <w:p w:rsidR="00BB74C8" w:rsidRPr="00A6711A" w:rsidRDefault="00BB74C8" w:rsidP="0074724D">
            <w:pPr>
              <w:tabs>
                <w:tab w:val="left" w:pos="720"/>
                <w:tab w:val="left" w:pos="1440"/>
                <w:tab w:val="left" w:pos="2160"/>
                <w:tab w:val="left" w:pos="2880"/>
                <w:tab w:val="left" w:pos="3600"/>
              </w:tabs>
              <w:spacing w:before="40" w:after="40"/>
              <w:jc w:val="center"/>
              <w:rPr>
                <w:b/>
                <w:sz w:val="22"/>
                <w:szCs w:val="22"/>
                <w:lang w:val="es-ES"/>
              </w:rPr>
            </w:pPr>
            <w:r w:rsidRPr="00A6711A">
              <w:rPr>
                <w:b/>
                <w:sz w:val="22"/>
                <w:szCs w:val="22"/>
                <w:lang w:val="es-ES"/>
              </w:rPr>
              <w:t>Mandato</w:t>
            </w:r>
          </w:p>
        </w:tc>
      </w:tr>
      <w:tr w:rsidR="00BB74C8" w:rsidRPr="00850278" w:rsidTr="002D7ADC">
        <w:trPr>
          <w:trHeight w:val="70"/>
          <w:jc w:val="center"/>
        </w:trPr>
        <w:tc>
          <w:tcPr>
            <w:tcW w:w="7794" w:type="dxa"/>
            <w:shd w:val="clear" w:color="auto" w:fill="auto"/>
          </w:tcPr>
          <w:p w:rsidR="00BB74C8" w:rsidRPr="00A6711A" w:rsidRDefault="00BB74C8" w:rsidP="00C32931">
            <w:pPr>
              <w:numPr>
                <w:ilvl w:val="0"/>
                <w:numId w:val="20"/>
              </w:numPr>
              <w:ind w:left="432"/>
              <w:jc w:val="both"/>
              <w:rPr>
                <w:sz w:val="22"/>
                <w:szCs w:val="22"/>
                <w:lang w:val="es-ES" w:eastAsia="es-ES"/>
              </w:rPr>
            </w:pPr>
            <w:r w:rsidRPr="00A6711A">
              <w:rPr>
                <w:sz w:val="22"/>
                <w:szCs w:val="22"/>
                <w:lang w:val="es-ES"/>
              </w:rPr>
              <w:t>Intercambio</w:t>
            </w:r>
            <w:r w:rsidRPr="00A6711A">
              <w:rPr>
                <w:sz w:val="22"/>
                <w:szCs w:val="22"/>
                <w:lang w:val="es-ES" w:eastAsia="es-ES"/>
              </w:rPr>
              <w:t xml:space="preserve"> de buenas prácticas y experiencias</w:t>
            </w:r>
            <w:r w:rsidR="0074724D" w:rsidRPr="00A6711A">
              <w:rPr>
                <w:sz w:val="22"/>
                <w:szCs w:val="22"/>
                <w:lang w:val="es-ES" w:eastAsia="es-ES"/>
              </w:rPr>
              <w:t>.</w:t>
            </w:r>
          </w:p>
          <w:p w:rsidR="00BB74C8" w:rsidRPr="00A6711A" w:rsidRDefault="00BB74C8" w:rsidP="00AF15B3">
            <w:pPr>
              <w:widowControl w:val="0"/>
              <w:tabs>
                <w:tab w:val="left" w:pos="514"/>
              </w:tabs>
              <w:spacing w:before="40" w:after="40"/>
              <w:rPr>
                <w:b/>
                <w:sz w:val="22"/>
                <w:szCs w:val="22"/>
                <w:lang w:val="es-ES"/>
              </w:rPr>
            </w:pPr>
          </w:p>
        </w:tc>
        <w:tc>
          <w:tcPr>
            <w:tcW w:w="4698" w:type="dxa"/>
            <w:shd w:val="clear" w:color="auto" w:fill="auto"/>
          </w:tcPr>
          <w:p w:rsidR="00BB74C8" w:rsidRPr="00A6711A" w:rsidRDefault="0078719E" w:rsidP="0078719E">
            <w:pPr>
              <w:tabs>
                <w:tab w:val="left" w:pos="900"/>
              </w:tabs>
              <w:spacing w:before="40" w:after="40"/>
              <w:jc w:val="both"/>
              <w:rPr>
                <w:b/>
                <w:sz w:val="22"/>
                <w:szCs w:val="22"/>
                <w:lang w:val="es-ES"/>
              </w:rPr>
            </w:pPr>
            <w:r>
              <w:rPr>
                <w:b/>
                <w:sz w:val="22"/>
                <w:szCs w:val="22"/>
                <w:u w:val="single"/>
                <w:lang w:val="es-ES" w:eastAsia="es-ES"/>
              </w:rPr>
              <w:t>Apartado 5.2</w:t>
            </w:r>
            <w:r w:rsidR="00BB74C8" w:rsidRPr="00A6711A">
              <w:rPr>
                <w:sz w:val="22"/>
                <w:szCs w:val="22"/>
                <w:lang w:val="es-ES" w:eastAsia="es-ES"/>
              </w:rPr>
              <w:t xml:space="preserve">: </w:t>
            </w:r>
            <w:r w:rsidR="00784C0F" w:rsidRPr="00A6711A">
              <w:rPr>
                <w:sz w:val="22"/>
                <w:szCs w:val="22"/>
                <w:lang w:val="es-ES" w:eastAsia="es-ES"/>
              </w:rPr>
              <w:t>“</w:t>
            </w:r>
            <w:r w:rsidR="00BB74C8" w:rsidRPr="00A6711A">
              <w:rPr>
                <w:sz w:val="22"/>
                <w:szCs w:val="22"/>
                <w:lang w:val="es-ES" w:eastAsia="es-ES"/>
              </w:rPr>
              <w:t>Realizar una sesión extraordinaria anual de la Comisión de Asuntos Jurídicos y Políticos de la Organización de los Estados Americanos, con la presencia de funcionarios de las instituciones nacionales y subnacionales encargadas de los temas relativos a los pueblos indígenas y abierta a la participación de representantes de los pueblos indígenas, para el intercambio de información sobre los avances, experiencias y lecciones aprendidas y retos en la implementación de la DADIN.</w:t>
            </w:r>
            <w:r w:rsidR="00784C0F" w:rsidRPr="00A6711A">
              <w:rPr>
                <w:sz w:val="22"/>
                <w:szCs w:val="22"/>
                <w:lang w:val="es-ES" w:eastAsia="es-ES"/>
              </w:rPr>
              <w:t>”</w:t>
            </w:r>
          </w:p>
        </w:tc>
      </w:tr>
    </w:tbl>
    <w:p w:rsidR="00BC0EE0" w:rsidRDefault="00BC0EE0" w:rsidP="00133FE2">
      <w:pPr>
        <w:pStyle w:val="ListParagraph"/>
        <w:rPr>
          <w:b/>
          <w:sz w:val="22"/>
          <w:szCs w:val="22"/>
          <w:lang w:val="es-ES"/>
        </w:rPr>
      </w:pPr>
    </w:p>
    <w:p w:rsidR="008674DF" w:rsidRDefault="008674DF" w:rsidP="00133FE2">
      <w:pPr>
        <w:pStyle w:val="ListParagraph"/>
        <w:rPr>
          <w:b/>
          <w:sz w:val="22"/>
          <w:szCs w:val="22"/>
          <w:lang w:val="es-ES"/>
        </w:rPr>
      </w:pPr>
    </w:p>
    <w:p w:rsidR="008674DF" w:rsidRDefault="008674DF" w:rsidP="00133FE2">
      <w:pPr>
        <w:pStyle w:val="ListParagraph"/>
        <w:rPr>
          <w:lang w:val="es-ES"/>
        </w:rPr>
      </w:pPr>
    </w:p>
    <w:p w:rsidR="00AD655A" w:rsidRPr="00AD655A" w:rsidRDefault="00AD655A" w:rsidP="00133FE2">
      <w:pPr>
        <w:pStyle w:val="ListParagraph"/>
        <w:rPr>
          <w:b/>
          <w:sz w:val="22"/>
          <w:szCs w:val="22"/>
          <w:lang w:val="es-ES"/>
        </w:rPr>
        <w:sectPr w:rsidR="00AD655A" w:rsidRPr="00AD655A" w:rsidSect="002D7ADC">
          <w:headerReference w:type="even" r:id="rId11"/>
          <w:headerReference w:type="default" r:id="rId12"/>
          <w:footerReference w:type="default" r:id="rId13"/>
          <w:headerReference w:type="first" r:id="rId14"/>
          <w:type w:val="oddPage"/>
          <w:pgSz w:w="15840" w:h="12240" w:orient="landscape" w:code="1"/>
          <w:pgMar w:top="1350" w:right="1296" w:bottom="630" w:left="1170" w:header="720" w:footer="1296" w:gutter="0"/>
          <w:pgNumType w:chapSep="emDash"/>
          <w:cols w:space="720"/>
          <w:docGrid w:linePitch="326"/>
        </w:sectPr>
      </w:pPr>
    </w:p>
    <w:p w:rsidR="00295A7F" w:rsidRPr="003C1E96" w:rsidRDefault="00295A7F" w:rsidP="00295A7F">
      <w:pPr>
        <w:jc w:val="right"/>
        <w:rPr>
          <w:b/>
          <w:bCs/>
          <w:sz w:val="22"/>
          <w:szCs w:val="22"/>
          <w:u w:val="single"/>
          <w:lang w:val="es-ES" w:eastAsia="es-ES"/>
        </w:rPr>
      </w:pPr>
      <w:r w:rsidRPr="003C1E96">
        <w:rPr>
          <w:b/>
          <w:sz w:val="22"/>
          <w:szCs w:val="22"/>
          <w:u w:val="single"/>
          <w:lang w:val="es-ES" w:eastAsia="es-ES"/>
        </w:rPr>
        <w:lastRenderedPageBreak/>
        <w:t>ANEXO II</w:t>
      </w:r>
    </w:p>
    <w:p w:rsidR="00295A7F" w:rsidRDefault="00295A7F" w:rsidP="00295A7F">
      <w:pPr>
        <w:rPr>
          <w:sz w:val="22"/>
          <w:szCs w:val="22"/>
          <w:lang w:val="es-ES" w:eastAsia="es-ES"/>
        </w:rPr>
      </w:pPr>
    </w:p>
    <w:p w:rsidR="00516F41" w:rsidRDefault="00516F41" w:rsidP="00295A7F">
      <w:pPr>
        <w:rPr>
          <w:sz w:val="22"/>
          <w:szCs w:val="22"/>
          <w:lang w:val="es-ES" w:eastAsia="es-ES"/>
        </w:rPr>
      </w:pPr>
    </w:p>
    <w:p w:rsidR="00516F41" w:rsidRPr="003C1E96" w:rsidRDefault="00516F41" w:rsidP="00295A7F">
      <w:pPr>
        <w:rPr>
          <w:sz w:val="22"/>
          <w:szCs w:val="22"/>
          <w:lang w:val="es-ES" w:eastAsia="es-ES"/>
        </w:rPr>
      </w:pPr>
    </w:p>
    <w:p w:rsidR="00295A7F" w:rsidRPr="003C1E96" w:rsidRDefault="00295A7F" w:rsidP="00295A7F">
      <w:pPr>
        <w:jc w:val="center"/>
        <w:rPr>
          <w:b/>
          <w:bCs/>
          <w:sz w:val="22"/>
          <w:szCs w:val="22"/>
          <w:lang w:val="es-ES" w:eastAsia="es-ES"/>
        </w:rPr>
      </w:pPr>
      <w:r w:rsidRPr="003C1E96">
        <w:rPr>
          <w:b/>
          <w:sz w:val="22"/>
          <w:szCs w:val="22"/>
          <w:lang w:val="es-ES" w:eastAsia="es-ES"/>
        </w:rPr>
        <w:t>CALENDARIO DE REUNIONES</w:t>
      </w:r>
      <w:r w:rsidR="00AF15B3" w:rsidRPr="003C1E96">
        <w:rPr>
          <w:b/>
          <w:sz w:val="22"/>
          <w:szCs w:val="22"/>
          <w:lang w:val="es-ES" w:eastAsia="es-ES"/>
        </w:rPr>
        <w:br/>
      </w:r>
      <w:r w:rsidRPr="003C1E96">
        <w:rPr>
          <w:b/>
          <w:sz w:val="22"/>
          <w:szCs w:val="22"/>
          <w:lang w:val="es-ES" w:eastAsia="es-ES"/>
        </w:rPr>
        <w:t>DE LA</w:t>
      </w:r>
      <w:r w:rsidR="00AF15B3" w:rsidRPr="003C1E96">
        <w:rPr>
          <w:b/>
          <w:sz w:val="22"/>
          <w:szCs w:val="22"/>
          <w:lang w:val="es-ES" w:eastAsia="es-ES"/>
        </w:rPr>
        <w:t xml:space="preserve"> </w:t>
      </w:r>
      <w:r w:rsidRPr="003C1E96">
        <w:rPr>
          <w:b/>
          <w:sz w:val="22"/>
          <w:szCs w:val="22"/>
          <w:lang w:val="es-ES" w:eastAsia="es-ES"/>
        </w:rPr>
        <w:t>COMISIÓN DE ASUNTOS JURÍDICOS Y POLÍTICOS</w:t>
      </w:r>
    </w:p>
    <w:p w:rsidR="00295A7F" w:rsidRPr="003C1E96" w:rsidRDefault="00295A7F" w:rsidP="00295A7F">
      <w:pPr>
        <w:jc w:val="center"/>
        <w:rPr>
          <w:b/>
          <w:bCs/>
          <w:sz w:val="22"/>
          <w:szCs w:val="22"/>
          <w:lang w:val="es-ES" w:eastAsia="es-ES"/>
        </w:rPr>
      </w:pPr>
      <w:r w:rsidRPr="003C1E96">
        <w:rPr>
          <w:b/>
          <w:sz w:val="22"/>
          <w:szCs w:val="22"/>
          <w:lang w:val="es-ES" w:eastAsia="es-ES"/>
        </w:rPr>
        <w:t xml:space="preserve">(Segundo semestre de </w:t>
      </w:r>
      <w:r w:rsidR="00FE2A95" w:rsidRPr="003C1E96">
        <w:rPr>
          <w:b/>
          <w:sz w:val="22"/>
          <w:szCs w:val="22"/>
          <w:lang w:val="es-ES" w:eastAsia="es-ES"/>
        </w:rPr>
        <w:t>2019</w:t>
      </w:r>
      <w:r w:rsidRPr="003C1E96">
        <w:rPr>
          <w:b/>
          <w:sz w:val="22"/>
          <w:szCs w:val="22"/>
          <w:lang w:val="es-ES" w:eastAsia="es-ES"/>
        </w:rPr>
        <w:t xml:space="preserve"> y primer semestre de </w:t>
      </w:r>
      <w:r w:rsidR="00FE2A95" w:rsidRPr="003C1E96">
        <w:rPr>
          <w:b/>
          <w:sz w:val="22"/>
          <w:szCs w:val="22"/>
          <w:lang w:val="es-ES" w:eastAsia="es-ES"/>
        </w:rPr>
        <w:t>2020</w:t>
      </w:r>
      <w:r w:rsidRPr="003C1E96">
        <w:rPr>
          <w:b/>
          <w:sz w:val="22"/>
          <w:szCs w:val="22"/>
          <w:lang w:val="es-ES" w:eastAsia="es-ES"/>
        </w:rPr>
        <w:t>)</w:t>
      </w:r>
    </w:p>
    <w:p w:rsidR="00295A7F" w:rsidRDefault="00295A7F" w:rsidP="00295A7F">
      <w:pPr>
        <w:rPr>
          <w:sz w:val="22"/>
          <w:szCs w:val="22"/>
          <w:lang w:val="es-ES" w:eastAsia="es-ES"/>
        </w:rPr>
      </w:pPr>
    </w:p>
    <w:tbl>
      <w:tblPr>
        <w:tblW w:w="14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11602"/>
      </w:tblGrid>
      <w:tr w:rsidR="00295A7F" w:rsidRPr="00EA5736" w:rsidTr="002D7ADC">
        <w:trPr>
          <w:jc w:val="center"/>
        </w:trPr>
        <w:tc>
          <w:tcPr>
            <w:tcW w:w="14179" w:type="dxa"/>
            <w:gridSpan w:val="2"/>
            <w:shd w:val="pct15" w:color="auto" w:fill="auto"/>
          </w:tcPr>
          <w:p w:rsidR="00295A7F" w:rsidRPr="00EA5736" w:rsidRDefault="009B3501" w:rsidP="00EA5736">
            <w:pPr>
              <w:tabs>
                <w:tab w:val="left" w:pos="342"/>
              </w:tabs>
              <w:spacing w:before="20" w:after="20"/>
              <w:ind w:left="360" w:hanging="360"/>
              <w:jc w:val="center"/>
              <w:rPr>
                <w:b/>
                <w:sz w:val="22"/>
                <w:szCs w:val="22"/>
                <w:lang w:val="es-ES" w:eastAsia="es-ES"/>
              </w:rPr>
            </w:pPr>
            <w:r w:rsidRPr="00EA5736">
              <w:rPr>
                <w:b/>
                <w:sz w:val="22"/>
                <w:szCs w:val="22"/>
                <w:lang w:val="es-ES" w:eastAsia="es-ES"/>
              </w:rPr>
              <w:t>OCTUBRE</w:t>
            </w:r>
            <w:r w:rsidR="00A775E7" w:rsidRPr="00EA5736">
              <w:rPr>
                <w:b/>
                <w:sz w:val="22"/>
                <w:szCs w:val="22"/>
                <w:lang w:val="es-ES" w:eastAsia="es-ES"/>
              </w:rPr>
              <w:t xml:space="preserve"> DE </w:t>
            </w:r>
            <w:r w:rsidR="00411F58" w:rsidRPr="00EA5736">
              <w:rPr>
                <w:b/>
                <w:sz w:val="22"/>
                <w:szCs w:val="22"/>
                <w:lang w:val="es-ES" w:eastAsia="es-ES"/>
              </w:rPr>
              <w:t>2019</w:t>
            </w:r>
          </w:p>
        </w:tc>
      </w:tr>
      <w:tr w:rsidR="000F2320" w:rsidRPr="00850278" w:rsidTr="002D7ADC">
        <w:trPr>
          <w:trHeight w:val="70"/>
          <w:jc w:val="center"/>
        </w:trPr>
        <w:tc>
          <w:tcPr>
            <w:tcW w:w="2577" w:type="dxa"/>
            <w:tcBorders>
              <w:bottom w:val="single" w:sz="4" w:space="0" w:color="000000"/>
            </w:tcBorders>
            <w:shd w:val="clear" w:color="auto" w:fill="auto"/>
          </w:tcPr>
          <w:p w:rsidR="00CA73FB" w:rsidRPr="00EA5736" w:rsidRDefault="00CA73FB" w:rsidP="00EA5736">
            <w:pPr>
              <w:spacing w:before="20" w:after="20"/>
              <w:jc w:val="center"/>
              <w:rPr>
                <w:sz w:val="22"/>
                <w:szCs w:val="22"/>
                <w:lang w:val="es-ES" w:eastAsia="es-ES"/>
              </w:rPr>
            </w:pPr>
            <w:r w:rsidRPr="00EA5736">
              <w:rPr>
                <w:sz w:val="22"/>
                <w:szCs w:val="22"/>
                <w:lang w:val="es-ES" w:eastAsia="es-ES"/>
              </w:rPr>
              <w:t>Miércoles</w:t>
            </w:r>
          </w:p>
          <w:p w:rsidR="00F9181F" w:rsidRPr="00EA5736" w:rsidRDefault="00CA73FB" w:rsidP="00EA5736">
            <w:pPr>
              <w:spacing w:before="20" w:after="20"/>
              <w:jc w:val="center"/>
              <w:rPr>
                <w:sz w:val="22"/>
                <w:szCs w:val="22"/>
                <w:lang w:val="es-ES" w:eastAsia="es-ES"/>
              </w:rPr>
            </w:pPr>
            <w:r w:rsidRPr="00EA5736">
              <w:rPr>
                <w:sz w:val="22"/>
                <w:szCs w:val="22"/>
                <w:lang w:val="es-ES" w:eastAsia="es-ES"/>
              </w:rPr>
              <w:t>9 de octubre de 2019</w:t>
            </w:r>
            <w:r w:rsidRPr="00EA5736">
              <w:rPr>
                <w:sz w:val="22"/>
                <w:szCs w:val="22"/>
                <w:lang w:val="es-ES" w:eastAsia="es-ES"/>
              </w:rPr>
              <w:br/>
              <w:t>2:30 p.m. – 5:30 p.m.</w:t>
            </w:r>
          </w:p>
          <w:p w:rsidR="00CA73FB" w:rsidRPr="00EA5736" w:rsidRDefault="00CA73FB" w:rsidP="00EA5736">
            <w:pPr>
              <w:spacing w:before="20" w:after="20"/>
              <w:jc w:val="center"/>
              <w:rPr>
                <w:sz w:val="22"/>
                <w:szCs w:val="22"/>
                <w:lang w:val="es-ES" w:eastAsia="es-ES"/>
              </w:rPr>
            </w:pPr>
            <w:r w:rsidRPr="00EA5736">
              <w:rPr>
                <w:sz w:val="22"/>
                <w:szCs w:val="22"/>
                <w:lang w:val="es-ES" w:eastAsia="es-ES"/>
              </w:rPr>
              <w:t xml:space="preserve">Salón L. Simón Bolívar </w:t>
            </w:r>
          </w:p>
        </w:tc>
        <w:tc>
          <w:tcPr>
            <w:tcW w:w="11602" w:type="dxa"/>
            <w:tcBorders>
              <w:bottom w:val="single" w:sz="4" w:space="0" w:color="000000"/>
            </w:tcBorders>
            <w:shd w:val="clear" w:color="auto" w:fill="auto"/>
          </w:tcPr>
          <w:p w:rsidR="00462D67" w:rsidRPr="00EA5736" w:rsidRDefault="00A84399" w:rsidP="00A54F9A">
            <w:pPr>
              <w:numPr>
                <w:ilvl w:val="0"/>
                <w:numId w:val="4"/>
              </w:numPr>
              <w:spacing w:before="20" w:after="20"/>
              <w:ind w:left="344" w:hanging="344"/>
              <w:rPr>
                <w:sz w:val="22"/>
                <w:szCs w:val="22"/>
                <w:lang w:val="es-ES" w:eastAsia="es-ES"/>
              </w:rPr>
            </w:pPr>
            <w:r w:rsidRPr="00EA5736">
              <w:rPr>
                <w:sz w:val="22"/>
                <w:szCs w:val="22"/>
                <w:lang w:val="es-ES" w:eastAsia="es-ES"/>
              </w:rPr>
              <w:t>Elección de vicepresidencias</w:t>
            </w:r>
            <w:r w:rsidR="002353C1" w:rsidRPr="00EA5736">
              <w:rPr>
                <w:sz w:val="22"/>
                <w:szCs w:val="22"/>
                <w:lang w:val="es-ES" w:eastAsia="es-ES"/>
              </w:rPr>
              <w:t>.</w:t>
            </w:r>
          </w:p>
          <w:p w:rsidR="00411F58" w:rsidRPr="00EA5736" w:rsidRDefault="00411F58" w:rsidP="00EA5736">
            <w:pPr>
              <w:numPr>
                <w:ilvl w:val="0"/>
                <w:numId w:val="4"/>
              </w:numPr>
              <w:spacing w:before="20" w:after="20"/>
              <w:jc w:val="both"/>
              <w:rPr>
                <w:sz w:val="22"/>
                <w:szCs w:val="22"/>
                <w:lang w:val="es-ES" w:eastAsia="es-ES"/>
              </w:rPr>
            </w:pPr>
            <w:r w:rsidRPr="00EA5736">
              <w:rPr>
                <w:sz w:val="22"/>
                <w:szCs w:val="22"/>
                <w:lang w:val="es-ES" w:eastAsia="es-ES"/>
              </w:rPr>
              <w:t xml:space="preserve">Presentación del </w:t>
            </w:r>
            <w:r w:rsidRPr="00EA5736">
              <w:rPr>
                <w:sz w:val="22"/>
                <w:szCs w:val="22"/>
                <w:lang w:val="es-ES_tradnl"/>
              </w:rPr>
              <w:t xml:space="preserve">proyecto de Plan de Trabajo de la CAJP para el </w:t>
            </w:r>
            <w:r w:rsidR="008738E8" w:rsidRPr="00EA5736">
              <w:rPr>
                <w:sz w:val="22"/>
                <w:szCs w:val="22"/>
                <w:lang w:val="es-ES_tradnl"/>
              </w:rPr>
              <w:t>período</w:t>
            </w:r>
            <w:r w:rsidRPr="00EA5736">
              <w:rPr>
                <w:sz w:val="22"/>
                <w:szCs w:val="22"/>
                <w:lang w:val="es-ES_tradnl"/>
              </w:rPr>
              <w:t xml:space="preserve"> 2019-2020</w:t>
            </w:r>
            <w:r w:rsidR="00CA73FB" w:rsidRPr="00EA5736">
              <w:rPr>
                <w:sz w:val="22"/>
                <w:szCs w:val="22"/>
                <w:lang w:val="es-ES_tradnl"/>
              </w:rPr>
              <w:t>.</w:t>
            </w:r>
          </w:p>
          <w:p w:rsidR="00CA73FB" w:rsidRPr="00EA5736" w:rsidRDefault="00CA73FB" w:rsidP="00EA5736">
            <w:pPr>
              <w:numPr>
                <w:ilvl w:val="0"/>
                <w:numId w:val="4"/>
              </w:numPr>
              <w:spacing w:before="20" w:after="20"/>
              <w:jc w:val="both"/>
              <w:rPr>
                <w:sz w:val="22"/>
                <w:szCs w:val="22"/>
                <w:lang w:val="es-ES_tradnl"/>
              </w:rPr>
            </w:pPr>
            <w:r w:rsidRPr="00EA5736">
              <w:rPr>
                <w:sz w:val="22"/>
                <w:szCs w:val="22"/>
                <w:lang w:val="es-ES_tradnl"/>
              </w:rPr>
              <w:t>Seguimiento a los mandatos de la resolución AG/RES. 2931 (XLIX-O/19) “Fortalecimiento de la democracia”:</w:t>
            </w:r>
          </w:p>
          <w:p w:rsidR="00E86E73" w:rsidRPr="00EA5736" w:rsidRDefault="00CA73FB" w:rsidP="00045B88">
            <w:pPr>
              <w:numPr>
                <w:ilvl w:val="0"/>
                <w:numId w:val="6"/>
              </w:numPr>
              <w:spacing w:before="20" w:after="20"/>
              <w:jc w:val="both"/>
              <w:rPr>
                <w:sz w:val="22"/>
                <w:szCs w:val="22"/>
                <w:lang w:val="es-ES" w:eastAsia="es-ES"/>
              </w:rPr>
            </w:pPr>
            <w:r w:rsidRPr="00EA5736">
              <w:rPr>
                <w:sz w:val="22"/>
                <w:szCs w:val="22"/>
                <w:u w:val="single"/>
                <w:lang w:val="es-ES" w:eastAsia="es-ES"/>
              </w:rPr>
              <w:t>Sección viii.</w:t>
            </w:r>
            <w:r w:rsidRPr="00EA5736">
              <w:rPr>
                <w:sz w:val="22"/>
                <w:szCs w:val="22"/>
                <w:lang w:val="es-ES" w:eastAsia="es-ES"/>
              </w:rPr>
              <w:t xml:space="preserve">: </w:t>
            </w:r>
            <w:r w:rsidRPr="00EA5736">
              <w:rPr>
                <w:sz w:val="22"/>
                <w:szCs w:val="22"/>
                <w:lang w:val="es-MX"/>
              </w:rPr>
              <w:t>Fortalecimiento de las actividades del Programa Interamericano de Facilitadores Judiciales.</w:t>
            </w:r>
            <w:r w:rsidRPr="00EA5736">
              <w:rPr>
                <w:i/>
                <w:sz w:val="22"/>
                <w:szCs w:val="22"/>
                <w:lang w:val="es-ES" w:eastAsia="es-ES"/>
              </w:rPr>
              <w:tab/>
            </w:r>
          </w:p>
        </w:tc>
      </w:tr>
      <w:tr w:rsidR="00A06F4F" w:rsidRPr="00850278" w:rsidTr="002D7ADC">
        <w:trPr>
          <w:jc w:val="center"/>
        </w:trPr>
        <w:tc>
          <w:tcPr>
            <w:tcW w:w="2577" w:type="dxa"/>
            <w:tcBorders>
              <w:bottom w:val="single" w:sz="4" w:space="0" w:color="000000"/>
            </w:tcBorders>
            <w:shd w:val="clear" w:color="auto" w:fill="auto"/>
          </w:tcPr>
          <w:p w:rsidR="00CA73FB" w:rsidRPr="00EA5736" w:rsidRDefault="00CA73FB" w:rsidP="00EA5736">
            <w:pPr>
              <w:spacing w:before="20" w:after="20"/>
              <w:jc w:val="center"/>
              <w:rPr>
                <w:sz w:val="22"/>
                <w:szCs w:val="22"/>
                <w:lang w:val="es-ES" w:eastAsia="es-ES"/>
              </w:rPr>
            </w:pPr>
            <w:r w:rsidRPr="00EA5736">
              <w:rPr>
                <w:sz w:val="22"/>
                <w:szCs w:val="22"/>
                <w:lang w:val="es-ES" w:eastAsia="es-ES"/>
              </w:rPr>
              <w:t xml:space="preserve">Jueves </w:t>
            </w:r>
          </w:p>
          <w:p w:rsidR="00CA73FB" w:rsidRPr="00EA5736" w:rsidRDefault="00CA73FB" w:rsidP="00EA5736">
            <w:pPr>
              <w:spacing w:before="20" w:after="20"/>
              <w:jc w:val="center"/>
              <w:rPr>
                <w:sz w:val="22"/>
                <w:szCs w:val="22"/>
                <w:lang w:val="es-ES" w:eastAsia="es-ES"/>
              </w:rPr>
            </w:pPr>
            <w:r w:rsidRPr="00EA5736">
              <w:rPr>
                <w:sz w:val="22"/>
                <w:szCs w:val="22"/>
                <w:lang w:val="es-ES" w:eastAsia="es-ES"/>
              </w:rPr>
              <w:t>17</w:t>
            </w:r>
            <w:r w:rsidR="00D8254B" w:rsidRPr="00EA5736">
              <w:rPr>
                <w:sz w:val="22"/>
                <w:szCs w:val="22"/>
                <w:lang w:val="es-ES" w:eastAsia="es-ES"/>
              </w:rPr>
              <w:t xml:space="preserve"> </w:t>
            </w:r>
            <w:r w:rsidRPr="00EA5736">
              <w:rPr>
                <w:sz w:val="22"/>
                <w:szCs w:val="22"/>
                <w:lang w:val="es-ES" w:eastAsia="es-ES"/>
              </w:rPr>
              <w:t>de octubre de 2019</w:t>
            </w:r>
            <w:r w:rsidRPr="00EA5736">
              <w:rPr>
                <w:sz w:val="22"/>
                <w:szCs w:val="22"/>
                <w:lang w:val="es-ES" w:eastAsia="es-ES"/>
              </w:rPr>
              <w:br/>
              <w:t>2:30 p.m. – 5:30 p.m.</w:t>
            </w:r>
          </w:p>
          <w:p w:rsidR="00A06F4F" w:rsidRPr="00EA5736" w:rsidRDefault="00CA73FB" w:rsidP="00EA5736">
            <w:pPr>
              <w:spacing w:before="20" w:after="20"/>
              <w:jc w:val="center"/>
              <w:rPr>
                <w:sz w:val="22"/>
                <w:szCs w:val="22"/>
                <w:lang w:val="es-ES" w:eastAsia="es-ES"/>
              </w:rPr>
            </w:pPr>
            <w:r w:rsidRPr="00EA5736">
              <w:rPr>
                <w:sz w:val="22"/>
                <w:szCs w:val="22"/>
                <w:lang w:val="es-ES" w:eastAsia="es-ES"/>
              </w:rPr>
              <w:t>Salón L. Simón Bolívar</w:t>
            </w:r>
          </w:p>
        </w:tc>
        <w:tc>
          <w:tcPr>
            <w:tcW w:w="11602" w:type="dxa"/>
            <w:tcBorders>
              <w:bottom w:val="single" w:sz="4" w:space="0" w:color="000000"/>
            </w:tcBorders>
            <w:shd w:val="clear" w:color="auto" w:fill="auto"/>
          </w:tcPr>
          <w:p w:rsidR="005D307E" w:rsidRPr="008F7CE0" w:rsidRDefault="005D307E" w:rsidP="00EA5736">
            <w:pPr>
              <w:numPr>
                <w:ilvl w:val="0"/>
                <w:numId w:val="9"/>
              </w:numPr>
              <w:spacing w:before="20" w:after="20"/>
              <w:jc w:val="both"/>
              <w:rPr>
                <w:sz w:val="22"/>
                <w:szCs w:val="22"/>
                <w:lang w:val="es-ES_tradnl"/>
              </w:rPr>
            </w:pPr>
            <w:r w:rsidRPr="008F7CE0">
              <w:rPr>
                <w:sz w:val="22"/>
                <w:szCs w:val="22"/>
                <w:lang w:val="es-ES" w:eastAsia="es-ES"/>
              </w:rPr>
              <w:t>Consideración</w:t>
            </w:r>
            <w:r w:rsidRPr="008F7CE0">
              <w:rPr>
                <w:sz w:val="22"/>
                <w:szCs w:val="22"/>
                <w:lang w:val="es-ES_tradnl"/>
              </w:rPr>
              <w:t xml:space="preserve"> y aprobación del proyecto de Plan de Trabajo de la CAJP para el </w:t>
            </w:r>
            <w:r w:rsidR="008738E8" w:rsidRPr="008F7CE0">
              <w:rPr>
                <w:sz w:val="22"/>
                <w:szCs w:val="22"/>
                <w:lang w:val="es-ES_tradnl"/>
              </w:rPr>
              <w:t>período</w:t>
            </w:r>
            <w:r w:rsidRPr="008F7CE0">
              <w:rPr>
                <w:sz w:val="22"/>
                <w:szCs w:val="22"/>
                <w:lang w:val="es-ES_tradnl"/>
              </w:rPr>
              <w:t xml:space="preserve"> 2019-2020.</w:t>
            </w:r>
          </w:p>
          <w:p w:rsidR="002E2646" w:rsidRPr="008F7CE0" w:rsidRDefault="002E2646" w:rsidP="00EA5736">
            <w:pPr>
              <w:numPr>
                <w:ilvl w:val="0"/>
                <w:numId w:val="9"/>
              </w:numPr>
              <w:spacing w:before="20" w:after="20"/>
              <w:jc w:val="both"/>
              <w:rPr>
                <w:sz w:val="22"/>
                <w:szCs w:val="22"/>
                <w:lang w:val="es-ES_tradnl"/>
              </w:rPr>
            </w:pPr>
            <w:r w:rsidRPr="008F7CE0">
              <w:rPr>
                <w:sz w:val="22"/>
                <w:szCs w:val="22"/>
                <w:lang w:val="es-ES_tradnl"/>
              </w:rPr>
              <w:t>Elección de la Segunda Vicepresidencia</w:t>
            </w:r>
            <w:r w:rsidR="00A54F9A">
              <w:rPr>
                <w:sz w:val="22"/>
                <w:szCs w:val="22"/>
                <w:lang w:val="es-ES_tradnl"/>
              </w:rPr>
              <w:t>.</w:t>
            </w:r>
          </w:p>
          <w:p w:rsidR="002E2646" w:rsidRPr="008F7CE0" w:rsidRDefault="002E2646" w:rsidP="00EA5736">
            <w:pPr>
              <w:numPr>
                <w:ilvl w:val="0"/>
                <w:numId w:val="9"/>
              </w:numPr>
              <w:spacing w:before="20" w:after="20"/>
              <w:jc w:val="both"/>
              <w:rPr>
                <w:sz w:val="22"/>
                <w:szCs w:val="22"/>
                <w:lang w:val="es-ES_tradnl"/>
              </w:rPr>
            </w:pPr>
            <w:r w:rsidRPr="008F7CE0">
              <w:rPr>
                <w:sz w:val="22"/>
                <w:szCs w:val="22"/>
                <w:lang w:val="es-ES_tradnl"/>
              </w:rPr>
              <w:t>Seguimiento a los mandatos de la resolución AG/RES. 2928 (XLVIII-O/18), “Promoción y protección de derechos humanos”:</w:t>
            </w:r>
          </w:p>
          <w:p w:rsidR="002E2646" w:rsidRPr="008F7CE0" w:rsidRDefault="002E2646" w:rsidP="00EA5736">
            <w:pPr>
              <w:numPr>
                <w:ilvl w:val="0"/>
                <w:numId w:val="6"/>
              </w:numPr>
              <w:spacing w:before="20" w:after="20"/>
              <w:jc w:val="both"/>
              <w:rPr>
                <w:sz w:val="22"/>
                <w:szCs w:val="22"/>
                <w:lang w:val="es-ES"/>
              </w:rPr>
            </w:pPr>
            <w:r w:rsidRPr="008F7CE0">
              <w:rPr>
                <w:sz w:val="22"/>
                <w:szCs w:val="22"/>
                <w:u w:val="single"/>
                <w:lang w:val="es-ES" w:eastAsia="es-ES"/>
              </w:rPr>
              <w:t>Sección</w:t>
            </w:r>
            <w:r w:rsidRPr="008F7CE0">
              <w:rPr>
                <w:sz w:val="22"/>
                <w:szCs w:val="22"/>
                <w:u w:val="single"/>
                <w:lang w:val="es-ES_tradnl"/>
              </w:rPr>
              <w:t xml:space="preserve"> iv</w:t>
            </w:r>
            <w:r w:rsidRPr="008F7CE0">
              <w:rPr>
                <w:sz w:val="22"/>
                <w:szCs w:val="22"/>
                <w:lang w:val="es-ES_tradnl"/>
              </w:rPr>
              <w:t xml:space="preserve">.: </w:t>
            </w:r>
            <w:r w:rsidRPr="008F7CE0">
              <w:rPr>
                <w:sz w:val="22"/>
                <w:szCs w:val="22"/>
                <w:lang w:val="es-ES"/>
              </w:rPr>
              <w:t>Derecho a la libertad de pensamiento y expresión incluso en Internet en contextos electorales:</w:t>
            </w:r>
          </w:p>
          <w:p w:rsidR="002E2646" w:rsidRPr="008F7CE0" w:rsidRDefault="002E2646" w:rsidP="008F49AF">
            <w:pPr>
              <w:widowControl w:val="0"/>
              <w:numPr>
                <w:ilvl w:val="1"/>
                <w:numId w:val="5"/>
              </w:numPr>
              <w:spacing w:before="20" w:after="20"/>
              <w:ind w:left="974"/>
              <w:jc w:val="both"/>
              <w:rPr>
                <w:sz w:val="22"/>
                <w:szCs w:val="22"/>
                <w:lang w:val="es-ES_tradnl"/>
              </w:rPr>
            </w:pPr>
            <w:r w:rsidRPr="008F7CE0">
              <w:rPr>
                <w:sz w:val="22"/>
                <w:szCs w:val="22"/>
                <w:lang w:val="es-ES"/>
              </w:rPr>
              <w:t>Propuesta</w:t>
            </w:r>
            <w:r w:rsidRPr="008F7CE0">
              <w:rPr>
                <w:sz w:val="22"/>
                <w:szCs w:val="22"/>
                <w:lang w:val="es-MX"/>
              </w:rPr>
              <w:t xml:space="preserve"> </w:t>
            </w:r>
            <w:r w:rsidRPr="008F7CE0">
              <w:rPr>
                <w:iCs/>
                <w:sz w:val="22"/>
                <w:szCs w:val="22"/>
                <w:lang w:val="es-MX"/>
              </w:rPr>
              <w:t>de “Guía para abordar el fenómeno de la desinformación durante el desarrollo de procesos electorales y evitar interferencias indebidas”</w:t>
            </w:r>
          </w:p>
          <w:p w:rsidR="005D307E" w:rsidRPr="00EA5736" w:rsidRDefault="005D307E" w:rsidP="00EA5736">
            <w:pPr>
              <w:numPr>
                <w:ilvl w:val="0"/>
                <w:numId w:val="9"/>
              </w:numPr>
              <w:spacing w:before="20" w:after="20"/>
              <w:jc w:val="both"/>
              <w:rPr>
                <w:sz w:val="22"/>
                <w:szCs w:val="22"/>
                <w:lang w:val="es-ES_tradnl"/>
              </w:rPr>
            </w:pPr>
            <w:r w:rsidRPr="00EA5736">
              <w:rPr>
                <w:sz w:val="22"/>
                <w:szCs w:val="22"/>
                <w:lang w:val="es-ES_tradnl"/>
              </w:rPr>
              <w:t xml:space="preserve">Seguimiento </w:t>
            </w:r>
            <w:r w:rsidR="00E95C5F" w:rsidRPr="00EA5736">
              <w:rPr>
                <w:sz w:val="22"/>
                <w:szCs w:val="22"/>
                <w:lang w:val="es-ES_tradnl"/>
              </w:rPr>
              <w:t xml:space="preserve">a los </w:t>
            </w:r>
            <w:r w:rsidRPr="00EA5736">
              <w:rPr>
                <w:sz w:val="22"/>
                <w:szCs w:val="22"/>
                <w:lang w:val="es-ES_tradnl"/>
              </w:rPr>
              <w:t>mandato</w:t>
            </w:r>
            <w:r w:rsidR="00E95C5F" w:rsidRPr="00EA5736">
              <w:rPr>
                <w:sz w:val="22"/>
                <w:szCs w:val="22"/>
                <w:lang w:val="es-ES_tradnl"/>
              </w:rPr>
              <w:t>s</w:t>
            </w:r>
            <w:r w:rsidRPr="00EA5736">
              <w:rPr>
                <w:sz w:val="22"/>
                <w:szCs w:val="22"/>
                <w:lang w:val="es-ES_tradnl"/>
              </w:rPr>
              <w:t xml:space="preserve"> de la resolución AG/RES. 29</w:t>
            </w:r>
            <w:r w:rsidR="00E95C5F" w:rsidRPr="00EA5736">
              <w:rPr>
                <w:sz w:val="22"/>
                <w:szCs w:val="22"/>
                <w:lang w:val="es-ES_tradnl"/>
              </w:rPr>
              <w:t>31</w:t>
            </w:r>
            <w:r w:rsidRPr="00EA5736">
              <w:rPr>
                <w:sz w:val="22"/>
                <w:szCs w:val="22"/>
                <w:lang w:val="es-ES_tradnl"/>
              </w:rPr>
              <w:t xml:space="preserve"> (</w:t>
            </w:r>
            <w:r w:rsidR="00E95C5F" w:rsidRPr="00EA5736">
              <w:rPr>
                <w:sz w:val="22"/>
                <w:szCs w:val="22"/>
                <w:lang w:val="es-ES_tradnl"/>
              </w:rPr>
              <w:t>XLIX-O/19</w:t>
            </w:r>
            <w:r w:rsidRPr="00EA5736">
              <w:rPr>
                <w:sz w:val="22"/>
                <w:szCs w:val="22"/>
                <w:lang w:val="es-ES_tradnl"/>
              </w:rPr>
              <w:t>) “Fortalecimiento de la democracia”:</w:t>
            </w:r>
          </w:p>
          <w:p w:rsidR="009B286E" w:rsidRPr="00A04FAA" w:rsidRDefault="009B286E" w:rsidP="00EA5736">
            <w:pPr>
              <w:numPr>
                <w:ilvl w:val="0"/>
                <w:numId w:val="6"/>
              </w:numPr>
              <w:spacing w:before="20" w:after="20"/>
              <w:jc w:val="both"/>
              <w:rPr>
                <w:sz w:val="22"/>
                <w:szCs w:val="22"/>
                <w:lang w:val="es-ES" w:eastAsia="es-ES"/>
              </w:rPr>
            </w:pPr>
            <w:r w:rsidRPr="00EA5736">
              <w:rPr>
                <w:sz w:val="22"/>
                <w:szCs w:val="22"/>
                <w:u w:val="single"/>
                <w:lang w:val="es-ES" w:eastAsia="es-ES"/>
              </w:rPr>
              <w:t>Sección v.</w:t>
            </w:r>
            <w:r w:rsidRPr="00EA5736">
              <w:rPr>
                <w:sz w:val="22"/>
                <w:szCs w:val="22"/>
                <w:lang w:val="es-ES" w:eastAsia="es-ES"/>
              </w:rPr>
              <w:t xml:space="preserve">: </w:t>
            </w:r>
            <w:r w:rsidR="00A04FAA" w:rsidRPr="00A04FAA">
              <w:rPr>
                <w:sz w:val="22"/>
                <w:szCs w:val="22"/>
                <w:lang w:val="es-MX"/>
              </w:rPr>
              <w:t>Diálogo inclusivo para la prevención, gestión eficaz y solución integral de la conflictividad social en la inversión para el desarrollo integral</w:t>
            </w:r>
            <w:r w:rsidR="00CA73FB" w:rsidRPr="00A04FAA">
              <w:rPr>
                <w:sz w:val="22"/>
                <w:szCs w:val="22"/>
                <w:lang w:val="es-ES" w:eastAsia="es-ES"/>
              </w:rPr>
              <w:t>:</w:t>
            </w:r>
          </w:p>
          <w:p w:rsidR="009B286E" w:rsidRPr="00A04FAA" w:rsidRDefault="009B286E" w:rsidP="00EA5736">
            <w:pPr>
              <w:widowControl w:val="0"/>
              <w:numPr>
                <w:ilvl w:val="1"/>
                <w:numId w:val="5"/>
              </w:numPr>
              <w:tabs>
                <w:tab w:val="left" w:pos="843"/>
              </w:tabs>
              <w:spacing w:before="20" w:after="20"/>
              <w:jc w:val="both"/>
              <w:rPr>
                <w:sz w:val="22"/>
                <w:szCs w:val="22"/>
                <w:lang w:val="es-ES" w:eastAsia="es-ES"/>
              </w:rPr>
            </w:pPr>
            <w:r w:rsidRPr="00A04FAA">
              <w:rPr>
                <w:sz w:val="22"/>
                <w:szCs w:val="22"/>
                <w:lang w:val="es-ES"/>
              </w:rPr>
              <w:t>Preparativos</w:t>
            </w:r>
            <w:r w:rsidRPr="00A04FAA">
              <w:rPr>
                <w:sz w:val="22"/>
                <w:szCs w:val="22"/>
                <w:lang w:val="es-ES" w:eastAsia="es-ES"/>
              </w:rPr>
              <w:t xml:space="preserve"> de la sesión extraordinaria: “</w:t>
            </w:r>
            <w:r w:rsidR="008F49AF">
              <w:rPr>
                <w:sz w:val="22"/>
                <w:szCs w:val="22"/>
                <w:lang w:val="es-MX"/>
              </w:rPr>
              <w:t>Diálogo inclusivo para la prevención, gestión eficaz y solución integral de la conflictividad social en la inversión para el desarrollo integral</w:t>
            </w:r>
            <w:r w:rsidRPr="00A04FAA">
              <w:rPr>
                <w:sz w:val="22"/>
                <w:szCs w:val="22"/>
                <w:lang w:val="es-ES" w:eastAsia="es-ES"/>
              </w:rPr>
              <w:t>”</w:t>
            </w:r>
            <w:r w:rsidR="00A04FAA">
              <w:rPr>
                <w:sz w:val="22"/>
                <w:szCs w:val="22"/>
                <w:lang w:val="es-ES" w:eastAsia="es-ES"/>
              </w:rPr>
              <w:t>.</w:t>
            </w:r>
            <w:r w:rsidRPr="00A04FAA">
              <w:rPr>
                <w:sz w:val="22"/>
                <w:szCs w:val="22"/>
                <w:lang w:val="es-ES" w:eastAsia="es-ES"/>
              </w:rPr>
              <w:t xml:space="preserve"> </w:t>
            </w:r>
          </w:p>
          <w:p w:rsidR="00E95C5F" w:rsidRPr="00EA5736" w:rsidRDefault="00E95C5F" w:rsidP="00EA5736">
            <w:pPr>
              <w:numPr>
                <w:ilvl w:val="0"/>
                <w:numId w:val="6"/>
              </w:numPr>
              <w:spacing w:before="20" w:after="20"/>
              <w:jc w:val="both"/>
              <w:rPr>
                <w:sz w:val="22"/>
                <w:szCs w:val="22"/>
                <w:lang w:val="es-ES" w:eastAsia="es-ES"/>
              </w:rPr>
            </w:pPr>
            <w:r w:rsidRPr="00EA5736">
              <w:rPr>
                <w:sz w:val="22"/>
                <w:szCs w:val="22"/>
                <w:u w:val="single"/>
                <w:lang w:val="es-ES" w:eastAsia="es-ES"/>
              </w:rPr>
              <w:t>Sección xii.</w:t>
            </w:r>
            <w:r w:rsidRPr="00EA5736">
              <w:rPr>
                <w:sz w:val="22"/>
                <w:szCs w:val="22"/>
                <w:lang w:val="es-ES" w:eastAsia="es-ES"/>
              </w:rPr>
              <w:t>: Acceso a la información pública y protección de datos personales</w:t>
            </w:r>
            <w:r w:rsidR="00CA73FB" w:rsidRPr="00EA5736">
              <w:rPr>
                <w:sz w:val="22"/>
                <w:szCs w:val="22"/>
                <w:lang w:val="es-ES" w:eastAsia="es-ES"/>
              </w:rPr>
              <w:t>:</w:t>
            </w:r>
          </w:p>
          <w:p w:rsidR="00174294" w:rsidRPr="00EA5736" w:rsidRDefault="00174294" w:rsidP="00EA5736">
            <w:pPr>
              <w:numPr>
                <w:ilvl w:val="1"/>
                <w:numId w:val="5"/>
              </w:numPr>
              <w:tabs>
                <w:tab w:val="left" w:pos="843"/>
              </w:tabs>
              <w:spacing w:before="20" w:after="20"/>
              <w:jc w:val="both"/>
              <w:rPr>
                <w:sz w:val="22"/>
                <w:szCs w:val="22"/>
                <w:lang w:val="es-ES"/>
              </w:rPr>
            </w:pPr>
            <w:r w:rsidRPr="00EA5736">
              <w:rPr>
                <w:sz w:val="22"/>
                <w:szCs w:val="22"/>
                <w:lang w:val="es-ES"/>
              </w:rPr>
              <w:t xml:space="preserve">Preparativos de la sesión en los que se presentarán </w:t>
            </w:r>
            <w:r w:rsidRPr="00EA5736">
              <w:rPr>
                <w:sz w:val="22"/>
                <w:szCs w:val="22"/>
                <w:lang w:val="es-PE"/>
              </w:rPr>
              <w:t xml:space="preserve">los informes voluntarios de avances e intercambio de buenas prácticas en la implementación del Programa Interamericano sobre Acceso a la Información Pública. </w:t>
            </w:r>
          </w:p>
          <w:p w:rsidR="00174294" w:rsidRPr="00EA5736" w:rsidRDefault="00174294" w:rsidP="00EA5736">
            <w:pPr>
              <w:numPr>
                <w:ilvl w:val="0"/>
                <w:numId w:val="9"/>
              </w:numPr>
              <w:spacing w:before="20" w:after="20"/>
              <w:jc w:val="both"/>
              <w:rPr>
                <w:sz w:val="22"/>
                <w:szCs w:val="22"/>
                <w:lang w:val="es-ES" w:eastAsia="es-ES"/>
              </w:rPr>
            </w:pPr>
            <w:r w:rsidRPr="00EA5736">
              <w:rPr>
                <w:sz w:val="22"/>
                <w:szCs w:val="22"/>
                <w:lang w:val="es-ES_tradnl"/>
              </w:rPr>
              <w:t xml:space="preserve">Seguimiento a los mandatos de la resolución AG/RES. </w:t>
            </w:r>
            <w:r w:rsidR="00D8254B" w:rsidRPr="00EA5736">
              <w:rPr>
                <w:sz w:val="22"/>
                <w:szCs w:val="22"/>
                <w:lang w:val="es-ES_tradnl"/>
              </w:rPr>
              <w:t>2941</w:t>
            </w:r>
            <w:r w:rsidRPr="00EA5736">
              <w:rPr>
                <w:sz w:val="22"/>
                <w:szCs w:val="22"/>
                <w:lang w:val="es-ES_tradnl"/>
              </w:rPr>
              <w:t xml:space="preserve"> (</w:t>
            </w:r>
            <w:r w:rsidR="00D8254B" w:rsidRPr="00EA5736">
              <w:rPr>
                <w:sz w:val="22"/>
                <w:szCs w:val="22"/>
                <w:lang w:val="es-ES_tradnl"/>
              </w:rPr>
              <w:t>XLIX-O/19</w:t>
            </w:r>
            <w:r w:rsidRPr="00EA5736">
              <w:rPr>
                <w:sz w:val="22"/>
                <w:szCs w:val="22"/>
                <w:lang w:val="es-ES_tradnl"/>
              </w:rPr>
              <w:t>) “Promoción y protección de derechos humanos”:</w:t>
            </w:r>
          </w:p>
          <w:p w:rsidR="00174294" w:rsidRPr="00EA5736" w:rsidRDefault="00D8254B" w:rsidP="00EA5736">
            <w:pPr>
              <w:numPr>
                <w:ilvl w:val="0"/>
                <w:numId w:val="6"/>
              </w:numPr>
              <w:spacing w:before="20" w:after="20"/>
              <w:jc w:val="both"/>
              <w:rPr>
                <w:sz w:val="22"/>
                <w:szCs w:val="22"/>
                <w:lang w:val="es-ES" w:eastAsia="es-ES"/>
              </w:rPr>
            </w:pPr>
            <w:r w:rsidRPr="00EA5736">
              <w:rPr>
                <w:sz w:val="22"/>
                <w:szCs w:val="22"/>
                <w:u w:val="single"/>
                <w:lang w:val="es-ES" w:eastAsia="es-ES"/>
              </w:rPr>
              <w:t>Sección iv.</w:t>
            </w:r>
            <w:r w:rsidR="00174294" w:rsidRPr="00EA5736">
              <w:rPr>
                <w:sz w:val="22"/>
                <w:szCs w:val="22"/>
                <w:lang w:val="es-ES" w:eastAsia="es-ES"/>
              </w:rPr>
              <w:t xml:space="preserve">: </w:t>
            </w:r>
            <w:r w:rsidRPr="00EA5736">
              <w:rPr>
                <w:sz w:val="22"/>
                <w:szCs w:val="22"/>
                <w:lang w:val="es-ES"/>
              </w:rPr>
              <w:t>La defensa pública oficial autónoma como salvaguarda de la integridad personal de todos los seres humanos sin ningún tipo de discriminación</w:t>
            </w:r>
            <w:r w:rsidR="00174294" w:rsidRPr="00EA5736">
              <w:rPr>
                <w:sz w:val="22"/>
                <w:szCs w:val="22"/>
                <w:lang w:val="es-ES"/>
              </w:rPr>
              <w:t>:</w:t>
            </w:r>
          </w:p>
          <w:p w:rsidR="00CA73FB" w:rsidRPr="00EA5736" w:rsidRDefault="00174294" w:rsidP="00045B88">
            <w:pPr>
              <w:numPr>
                <w:ilvl w:val="1"/>
                <w:numId w:val="5"/>
              </w:numPr>
              <w:tabs>
                <w:tab w:val="left" w:pos="843"/>
              </w:tabs>
              <w:spacing w:before="20" w:after="20"/>
              <w:jc w:val="both"/>
              <w:rPr>
                <w:sz w:val="22"/>
                <w:szCs w:val="22"/>
                <w:lang w:val="es-ES" w:eastAsia="es-ES"/>
              </w:rPr>
            </w:pPr>
            <w:r w:rsidRPr="00EA5736">
              <w:rPr>
                <w:sz w:val="22"/>
                <w:szCs w:val="22"/>
                <w:lang w:val="es-ES"/>
              </w:rPr>
              <w:t>Preparativos</w:t>
            </w:r>
            <w:r w:rsidRPr="00EA5736">
              <w:rPr>
                <w:sz w:val="22"/>
                <w:szCs w:val="22"/>
                <w:lang w:val="es-ES" w:eastAsia="es-ES"/>
              </w:rPr>
              <w:t xml:space="preserve"> de la </w:t>
            </w:r>
            <w:r w:rsidR="00D8254B" w:rsidRPr="00EA5736">
              <w:rPr>
                <w:sz w:val="22"/>
                <w:szCs w:val="22"/>
                <w:lang w:val="es-ES" w:eastAsia="es-ES"/>
              </w:rPr>
              <w:t xml:space="preserve">octava </w:t>
            </w:r>
            <w:r w:rsidRPr="00EA5736">
              <w:rPr>
                <w:sz w:val="22"/>
                <w:szCs w:val="22"/>
                <w:lang w:val="es-ES"/>
              </w:rPr>
              <w:t xml:space="preserve">sesión extraordinaria sobre los mecanismos de monitoreo de los centros de detención que lleva adelante cada institución de defensa pública oficial de la región. </w:t>
            </w:r>
          </w:p>
        </w:tc>
      </w:tr>
      <w:tr w:rsidR="00CA73FB" w:rsidRPr="00EA5736" w:rsidTr="002D7ADC">
        <w:trPr>
          <w:jc w:val="center"/>
        </w:trPr>
        <w:tc>
          <w:tcPr>
            <w:tcW w:w="14179" w:type="dxa"/>
            <w:gridSpan w:val="2"/>
            <w:shd w:val="pct15" w:color="auto" w:fill="auto"/>
          </w:tcPr>
          <w:p w:rsidR="00CA73FB" w:rsidRPr="00EA5736" w:rsidRDefault="00CA73FB" w:rsidP="00EA5736">
            <w:pPr>
              <w:tabs>
                <w:tab w:val="left" w:pos="342"/>
              </w:tabs>
              <w:spacing w:before="20" w:after="20"/>
              <w:ind w:left="360" w:hanging="360"/>
              <w:jc w:val="center"/>
              <w:rPr>
                <w:b/>
                <w:sz w:val="22"/>
                <w:szCs w:val="22"/>
                <w:lang w:val="es-ES" w:eastAsia="es-ES"/>
              </w:rPr>
            </w:pPr>
            <w:r w:rsidRPr="00EA5736">
              <w:rPr>
                <w:b/>
                <w:sz w:val="22"/>
                <w:szCs w:val="22"/>
                <w:lang w:val="es-ES" w:eastAsia="es-ES"/>
              </w:rPr>
              <w:lastRenderedPageBreak/>
              <w:t>NOVIEMBRE DE 2019</w:t>
            </w:r>
          </w:p>
        </w:tc>
      </w:tr>
      <w:tr w:rsidR="00FE20A7" w:rsidRPr="00850278" w:rsidTr="00343BA3">
        <w:trPr>
          <w:jc w:val="center"/>
        </w:trPr>
        <w:tc>
          <w:tcPr>
            <w:tcW w:w="2577" w:type="dxa"/>
            <w:shd w:val="clear" w:color="auto" w:fill="auto"/>
            <w:vAlign w:val="center"/>
          </w:tcPr>
          <w:p w:rsidR="00FE20A7" w:rsidRPr="00FB614F" w:rsidRDefault="00FE20A7" w:rsidP="00FE20A7">
            <w:pPr>
              <w:spacing w:before="20" w:after="20"/>
              <w:jc w:val="center"/>
              <w:rPr>
                <w:sz w:val="22"/>
                <w:szCs w:val="22"/>
                <w:lang w:val="es-ES" w:eastAsia="es-ES"/>
              </w:rPr>
            </w:pPr>
            <w:r w:rsidRPr="00FB614F">
              <w:rPr>
                <w:sz w:val="22"/>
                <w:szCs w:val="22"/>
                <w:lang w:val="es-ES" w:eastAsia="es-ES"/>
              </w:rPr>
              <w:t>Jueves</w:t>
            </w:r>
          </w:p>
          <w:p w:rsidR="00FE20A7" w:rsidRPr="00FB614F" w:rsidRDefault="00FE20A7" w:rsidP="00FE20A7">
            <w:pPr>
              <w:spacing w:before="20" w:after="20"/>
              <w:jc w:val="center"/>
              <w:rPr>
                <w:sz w:val="22"/>
                <w:szCs w:val="22"/>
                <w:lang w:val="es-ES" w:eastAsia="es-ES"/>
              </w:rPr>
            </w:pPr>
            <w:r w:rsidRPr="00FB614F">
              <w:rPr>
                <w:sz w:val="22"/>
                <w:szCs w:val="22"/>
                <w:lang w:val="es-ES" w:eastAsia="es-ES"/>
              </w:rPr>
              <w:t>14 de noviembre de 2019</w:t>
            </w:r>
            <w:r w:rsidRPr="00FB614F">
              <w:rPr>
                <w:sz w:val="22"/>
                <w:szCs w:val="22"/>
                <w:lang w:val="es-ES" w:eastAsia="es-ES"/>
              </w:rPr>
              <w:br/>
              <w:t>2:30 p.m. – 5:30 p.m.</w:t>
            </w:r>
          </w:p>
          <w:p w:rsidR="00FE20A7" w:rsidRPr="00FB614F" w:rsidRDefault="00FE20A7" w:rsidP="00FE20A7">
            <w:pPr>
              <w:spacing w:before="20" w:after="20"/>
              <w:jc w:val="center"/>
              <w:rPr>
                <w:sz w:val="22"/>
                <w:szCs w:val="22"/>
                <w:lang w:val="es-ES" w:eastAsia="es-ES"/>
              </w:rPr>
            </w:pPr>
            <w:r w:rsidRPr="00FB614F">
              <w:rPr>
                <w:sz w:val="22"/>
                <w:szCs w:val="22"/>
                <w:lang w:val="es-ES" w:eastAsia="es-ES"/>
              </w:rPr>
              <w:t>Salón L. Simón Bolívar</w:t>
            </w:r>
          </w:p>
        </w:tc>
        <w:tc>
          <w:tcPr>
            <w:tcW w:w="11602" w:type="dxa"/>
            <w:shd w:val="clear" w:color="auto" w:fill="auto"/>
            <w:vAlign w:val="center"/>
          </w:tcPr>
          <w:p w:rsidR="002B6E89" w:rsidRPr="00FB614F" w:rsidRDefault="002B6E89" w:rsidP="00343BA3">
            <w:pPr>
              <w:numPr>
                <w:ilvl w:val="0"/>
                <w:numId w:val="21"/>
              </w:numPr>
              <w:spacing w:before="20" w:after="20"/>
              <w:rPr>
                <w:sz w:val="22"/>
                <w:szCs w:val="22"/>
                <w:lang w:val="es-PE" w:eastAsia="es-ES"/>
              </w:rPr>
            </w:pPr>
            <w:r w:rsidRPr="00FB614F">
              <w:rPr>
                <w:sz w:val="22"/>
                <w:szCs w:val="22"/>
                <w:lang w:val="es-ES_tradnl"/>
              </w:rPr>
              <w:t>Seguimiento a los mandatos de la resolución AG/RES. 2941 (XLIX-O/19) “Promoción y protección de derechos humanos”:</w:t>
            </w:r>
          </w:p>
          <w:p w:rsidR="00FE20A7" w:rsidRPr="00FB614F" w:rsidRDefault="002B6E89" w:rsidP="00343BA3">
            <w:pPr>
              <w:numPr>
                <w:ilvl w:val="0"/>
                <w:numId w:val="6"/>
              </w:numPr>
              <w:spacing w:before="20" w:after="20"/>
              <w:rPr>
                <w:sz w:val="22"/>
                <w:szCs w:val="22"/>
                <w:lang w:val="es-ES"/>
              </w:rPr>
            </w:pPr>
            <w:r w:rsidRPr="00FB614F">
              <w:rPr>
                <w:sz w:val="22"/>
                <w:szCs w:val="22"/>
                <w:u w:val="single"/>
                <w:lang w:val="es-ES"/>
              </w:rPr>
              <w:t>Sección xvii</w:t>
            </w:r>
            <w:r w:rsidRPr="00FB614F">
              <w:rPr>
                <w:sz w:val="22"/>
                <w:szCs w:val="22"/>
                <w:lang w:val="es-ES"/>
              </w:rPr>
              <w:t>. Derechos humanos y prevención de la discriminación y la violencia contra las personas LGBTI.</w:t>
            </w:r>
          </w:p>
          <w:p w:rsidR="00A54F9A" w:rsidRPr="00045B88" w:rsidRDefault="006C216B" w:rsidP="00045B88">
            <w:pPr>
              <w:widowControl w:val="0"/>
              <w:numPr>
                <w:ilvl w:val="1"/>
                <w:numId w:val="29"/>
              </w:numPr>
              <w:tabs>
                <w:tab w:val="left" w:pos="843"/>
              </w:tabs>
              <w:snapToGrid w:val="0"/>
              <w:spacing w:before="20" w:after="20"/>
              <w:jc w:val="both"/>
              <w:rPr>
                <w:i/>
                <w:sz w:val="22"/>
                <w:szCs w:val="22"/>
                <w:lang w:val="es-ES" w:eastAsia="es-ES"/>
              </w:rPr>
            </w:pPr>
            <w:r w:rsidRPr="00045B88">
              <w:rPr>
                <w:color w:val="000000"/>
                <w:sz w:val="22"/>
                <w:szCs w:val="22"/>
                <w:lang w:val="es-ES"/>
              </w:rPr>
              <w:t>Intercambio de e</w:t>
            </w:r>
            <w:r w:rsidR="004D0B0F" w:rsidRPr="00045B88">
              <w:rPr>
                <w:sz w:val="22"/>
                <w:szCs w:val="22"/>
                <w:lang w:val="es-ES"/>
              </w:rPr>
              <w:t>strategias</w:t>
            </w:r>
            <w:r w:rsidR="004D0B0F" w:rsidRPr="00045B88">
              <w:rPr>
                <w:color w:val="000000"/>
                <w:sz w:val="22"/>
                <w:szCs w:val="22"/>
                <w:lang w:val="es-MX"/>
              </w:rPr>
              <w:t xml:space="preserve"> y buenas prácticas para combatir la violencia y la discriminación de las personas LGBTI</w:t>
            </w:r>
            <w:r w:rsidRPr="00045B88">
              <w:rPr>
                <w:color w:val="000000"/>
                <w:sz w:val="22"/>
                <w:szCs w:val="22"/>
                <w:lang w:val="es-MX"/>
              </w:rPr>
              <w:t>.</w:t>
            </w:r>
          </w:p>
          <w:p w:rsidR="00A54F9A" w:rsidRPr="00FB614F" w:rsidRDefault="00A54F9A" w:rsidP="00A54F9A">
            <w:pPr>
              <w:numPr>
                <w:ilvl w:val="0"/>
                <w:numId w:val="29"/>
              </w:numPr>
              <w:spacing w:before="20" w:after="20"/>
              <w:rPr>
                <w:sz w:val="22"/>
                <w:szCs w:val="22"/>
                <w:lang w:val="es-ES_tradnl"/>
              </w:rPr>
            </w:pPr>
            <w:r w:rsidRPr="00FB614F">
              <w:rPr>
                <w:sz w:val="22"/>
                <w:szCs w:val="22"/>
                <w:lang w:val="es-ES_tradnl"/>
              </w:rPr>
              <w:t>Seguimiento a los mandatos de la resolución AG/RES. 2930 (XLI</w:t>
            </w:r>
            <w:r w:rsidR="00FB614F">
              <w:rPr>
                <w:sz w:val="22"/>
                <w:szCs w:val="22"/>
                <w:lang w:val="es-ES_tradnl"/>
              </w:rPr>
              <w:t>X-O/19) “Derecho internacional”</w:t>
            </w:r>
            <w:r w:rsidRPr="00FB614F">
              <w:rPr>
                <w:sz w:val="22"/>
                <w:szCs w:val="22"/>
                <w:lang w:val="es-ES_tradnl"/>
              </w:rPr>
              <w:t>:</w:t>
            </w:r>
          </w:p>
          <w:p w:rsidR="00A54F9A" w:rsidRPr="00FB614F" w:rsidRDefault="00FB614F" w:rsidP="00FB614F">
            <w:pPr>
              <w:numPr>
                <w:ilvl w:val="0"/>
                <w:numId w:val="6"/>
              </w:numPr>
              <w:spacing w:before="20" w:after="20"/>
              <w:rPr>
                <w:i/>
                <w:sz w:val="22"/>
                <w:szCs w:val="22"/>
                <w:lang w:val="es-ES_tradnl" w:eastAsia="es-ES"/>
              </w:rPr>
            </w:pPr>
            <w:r w:rsidRPr="00FB614F">
              <w:rPr>
                <w:sz w:val="22"/>
                <w:szCs w:val="22"/>
                <w:u w:val="single"/>
                <w:lang w:val="es-ES"/>
              </w:rPr>
              <w:t>Sección i</w:t>
            </w:r>
            <w:r w:rsidRPr="00FB614F">
              <w:rPr>
                <w:sz w:val="22"/>
                <w:szCs w:val="22"/>
                <w:lang w:val="es-ES"/>
              </w:rPr>
              <w:t>.</w:t>
            </w:r>
            <w:r w:rsidRPr="00FB614F">
              <w:rPr>
                <w:sz w:val="22"/>
                <w:szCs w:val="22"/>
                <w:lang w:val="es-ES_tradnl"/>
              </w:rPr>
              <w:t xml:space="preserve"> Observaciones y recomendaciones al informe anual del Comité Jurídico Interamericano</w:t>
            </w:r>
            <w:r>
              <w:rPr>
                <w:sz w:val="22"/>
                <w:szCs w:val="22"/>
                <w:lang w:val="es-ES_tradnl"/>
              </w:rPr>
              <w:t>.</w:t>
            </w:r>
          </w:p>
          <w:p w:rsidR="00FB614F" w:rsidRPr="00045B88" w:rsidRDefault="00FB614F" w:rsidP="00FB614F">
            <w:pPr>
              <w:widowControl w:val="0"/>
              <w:numPr>
                <w:ilvl w:val="1"/>
                <w:numId w:val="29"/>
              </w:numPr>
              <w:tabs>
                <w:tab w:val="left" w:pos="843"/>
              </w:tabs>
              <w:snapToGrid w:val="0"/>
              <w:spacing w:before="20" w:after="20"/>
              <w:jc w:val="both"/>
              <w:rPr>
                <w:i/>
                <w:color w:val="000000"/>
                <w:sz w:val="22"/>
                <w:szCs w:val="22"/>
                <w:lang w:val="es-MX"/>
              </w:rPr>
            </w:pPr>
            <w:r w:rsidRPr="00045B88">
              <w:rPr>
                <w:color w:val="000000"/>
                <w:sz w:val="22"/>
                <w:szCs w:val="22"/>
                <w:lang w:val="es-ES"/>
              </w:rPr>
              <w:t>Presentación</w:t>
            </w:r>
            <w:r w:rsidRPr="00045B88">
              <w:rPr>
                <w:color w:val="000000"/>
                <w:sz w:val="22"/>
                <w:szCs w:val="22"/>
                <w:lang w:val="es-MX"/>
              </w:rPr>
              <w:t xml:space="preserve"> de la “Guía sobre el Derecho Aplicable a los Contratos Comerciales Internacionales en las </w:t>
            </w:r>
            <w:r w:rsidRPr="00045B88">
              <w:rPr>
                <w:sz w:val="22"/>
                <w:szCs w:val="22"/>
                <w:lang w:val="es-ES_tradnl"/>
              </w:rPr>
              <w:t>Américas” [</w:t>
            </w:r>
            <w:hyperlink r:id="rId15" w:history="1">
              <w:r w:rsidRPr="00045B88">
                <w:rPr>
                  <w:rStyle w:val="Hyperlink"/>
                  <w:sz w:val="22"/>
                  <w:szCs w:val="22"/>
                  <w:lang w:val="es-ES_tradnl"/>
                </w:rPr>
                <w:t>CJI/RES. 249</w:t>
              </w:r>
            </w:hyperlink>
            <w:r w:rsidRPr="00045B88">
              <w:rPr>
                <w:sz w:val="22"/>
                <w:szCs w:val="22"/>
                <w:lang w:val="es-ES_tradnl"/>
              </w:rPr>
              <w:t xml:space="preserve"> (XCIV-O/19)].</w:t>
            </w:r>
            <w:r w:rsidRPr="00045B88">
              <w:rPr>
                <w:i/>
                <w:sz w:val="22"/>
                <w:szCs w:val="22"/>
                <w:lang w:val="es-MX"/>
              </w:rPr>
              <w:tab/>
            </w:r>
          </w:p>
          <w:p w:rsidR="00FB614F" w:rsidRPr="00FB614F" w:rsidRDefault="00FB614F" w:rsidP="00FB614F">
            <w:pPr>
              <w:numPr>
                <w:ilvl w:val="0"/>
                <w:numId w:val="29"/>
              </w:numPr>
              <w:spacing w:before="20" w:after="20"/>
              <w:rPr>
                <w:sz w:val="22"/>
                <w:szCs w:val="22"/>
                <w:lang w:val="es-PE" w:eastAsia="es-ES"/>
              </w:rPr>
            </w:pPr>
            <w:r w:rsidRPr="00FB614F">
              <w:rPr>
                <w:sz w:val="22"/>
                <w:szCs w:val="22"/>
                <w:lang w:val="es-ES_tradnl"/>
              </w:rPr>
              <w:t>Seguimiento a los mandatos de la resolución AG/RES. 2941 (XLIX-O/19) “Promoción y protección de derechos humanos”:</w:t>
            </w:r>
          </w:p>
          <w:p w:rsidR="00841510" w:rsidRDefault="00A54F9A" w:rsidP="00841510">
            <w:pPr>
              <w:numPr>
                <w:ilvl w:val="0"/>
                <w:numId w:val="6"/>
              </w:numPr>
              <w:spacing w:before="20" w:after="20"/>
              <w:rPr>
                <w:sz w:val="22"/>
                <w:szCs w:val="22"/>
                <w:lang w:val="es-MX"/>
              </w:rPr>
            </w:pPr>
            <w:r w:rsidRPr="00A54F9A">
              <w:rPr>
                <w:i/>
                <w:sz w:val="22"/>
                <w:szCs w:val="22"/>
                <w:lang w:val="es-ES" w:eastAsia="es-ES"/>
              </w:rPr>
              <w:t xml:space="preserve"> </w:t>
            </w:r>
            <w:r w:rsidR="00841510" w:rsidRPr="00FB614F">
              <w:rPr>
                <w:sz w:val="22"/>
                <w:szCs w:val="22"/>
                <w:u w:val="single"/>
                <w:lang w:val="es-ES"/>
              </w:rPr>
              <w:t>Sección i</w:t>
            </w:r>
            <w:r w:rsidR="00841510">
              <w:rPr>
                <w:sz w:val="22"/>
                <w:szCs w:val="22"/>
                <w:u w:val="single"/>
                <w:lang w:val="es-ES"/>
              </w:rPr>
              <w:t>ii</w:t>
            </w:r>
            <w:r w:rsidR="00841510" w:rsidRPr="00FB614F">
              <w:rPr>
                <w:sz w:val="22"/>
                <w:szCs w:val="22"/>
                <w:lang w:val="es-ES"/>
              </w:rPr>
              <w:t>.</w:t>
            </w:r>
            <w:r w:rsidR="00841510">
              <w:rPr>
                <w:sz w:val="22"/>
                <w:szCs w:val="22"/>
                <w:lang w:val="es-ES"/>
              </w:rPr>
              <w:t xml:space="preserve"> </w:t>
            </w:r>
            <w:r w:rsidR="00841510" w:rsidRPr="00841510">
              <w:rPr>
                <w:sz w:val="22"/>
                <w:szCs w:val="22"/>
                <w:lang w:val="es-MX"/>
              </w:rPr>
              <w:t>Protección de los solicitantes del reconocimiento de la condición de refugiado y de los refugiados en las Américas</w:t>
            </w:r>
            <w:r w:rsidR="00841510">
              <w:rPr>
                <w:sz w:val="22"/>
                <w:szCs w:val="22"/>
                <w:lang w:val="es-MX"/>
              </w:rPr>
              <w:t>.</w:t>
            </w:r>
          </w:p>
          <w:p w:rsidR="00841510" w:rsidRPr="00045B88" w:rsidRDefault="00841510" w:rsidP="00841510">
            <w:pPr>
              <w:widowControl w:val="0"/>
              <w:numPr>
                <w:ilvl w:val="1"/>
                <w:numId w:val="29"/>
              </w:numPr>
              <w:tabs>
                <w:tab w:val="left" w:pos="843"/>
              </w:tabs>
              <w:snapToGrid w:val="0"/>
              <w:spacing w:before="20" w:after="20"/>
              <w:jc w:val="both"/>
              <w:rPr>
                <w:i/>
                <w:color w:val="000000"/>
                <w:sz w:val="22"/>
                <w:szCs w:val="22"/>
                <w:lang w:val="es-MX"/>
              </w:rPr>
            </w:pPr>
            <w:r w:rsidRPr="00045B88">
              <w:rPr>
                <w:color w:val="000000"/>
                <w:sz w:val="22"/>
                <w:szCs w:val="22"/>
                <w:lang w:val="es-ES"/>
              </w:rPr>
              <w:t>Presentación</w:t>
            </w:r>
            <w:r w:rsidRPr="00045B88">
              <w:rPr>
                <w:color w:val="000000"/>
                <w:sz w:val="22"/>
                <w:szCs w:val="22"/>
                <w:lang w:val="es-ES_tradnl"/>
              </w:rPr>
              <w:t xml:space="preserve"> de la </w:t>
            </w:r>
            <w:r w:rsidRPr="00045B88">
              <w:rPr>
                <w:sz w:val="22"/>
                <w:szCs w:val="22"/>
                <w:lang w:val="es-MX"/>
              </w:rPr>
              <w:t>propuesta para el establecimiento de un fondo específico de contribuciones voluntarias para apoyar las actividades del Marco Integral Regional para la Protección y Soluciones (MIRPS).</w:t>
            </w:r>
            <w:r w:rsidRPr="00045B88">
              <w:rPr>
                <w:i/>
                <w:sz w:val="22"/>
                <w:szCs w:val="22"/>
                <w:lang w:val="es-MX"/>
              </w:rPr>
              <w:tab/>
            </w:r>
          </w:p>
          <w:p w:rsidR="00841510" w:rsidRPr="00FB614F" w:rsidRDefault="00841510" w:rsidP="00841510">
            <w:pPr>
              <w:numPr>
                <w:ilvl w:val="0"/>
                <w:numId w:val="29"/>
              </w:numPr>
              <w:spacing w:before="20" w:after="20"/>
              <w:rPr>
                <w:sz w:val="22"/>
                <w:szCs w:val="22"/>
                <w:lang w:val="es-PE" w:eastAsia="es-ES"/>
              </w:rPr>
            </w:pPr>
            <w:r w:rsidRPr="00FB614F">
              <w:rPr>
                <w:sz w:val="22"/>
                <w:szCs w:val="22"/>
                <w:lang w:val="es-ES_tradnl"/>
              </w:rPr>
              <w:t>Seguimiento a los mandatos de la resolución AG/RES. 2941 (XLIX-O/19) “Promoción y protección de derechos humanos”:</w:t>
            </w:r>
          </w:p>
          <w:p w:rsidR="00841510" w:rsidRPr="00EA5736" w:rsidRDefault="00841510" w:rsidP="00841510">
            <w:pPr>
              <w:numPr>
                <w:ilvl w:val="0"/>
                <w:numId w:val="6"/>
              </w:numPr>
              <w:spacing w:before="20" w:after="20"/>
              <w:rPr>
                <w:sz w:val="22"/>
                <w:szCs w:val="22"/>
                <w:lang w:val="es-ES" w:eastAsia="es-ES"/>
              </w:rPr>
            </w:pPr>
            <w:r w:rsidRPr="00EA5736">
              <w:rPr>
                <w:sz w:val="22"/>
                <w:szCs w:val="22"/>
                <w:u w:val="single"/>
                <w:lang w:val="es-ES"/>
              </w:rPr>
              <w:t>Sección</w:t>
            </w:r>
            <w:r w:rsidRPr="00EA5736">
              <w:rPr>
                <w:sz w:val="22"/>
                <w:szCs w:val="22"/>
                <w:u w:val="single"/>
                <w:lang w:val="es-ES" w:eastAsia="es-ES"/>
              </w:rPr>
              <w:t xml:space="preserve"> xxi</w:t>
            </w:r>
            <w:r w:rsidRPr="00EA5736">
              <w:rPr>
                <w:sz w:val="22"/>
                <w:szCs w:val="22"/>
                <w:lang w:val="es-ES" w:eastAsia="es-ES"/>
              </w:rPr>
              <w:t>.:</w:t>
            </w:r>
            <w:r w:rsidRPr="00EA5736">
              <w:rPr>
                <w:sz w:val="22"/>
                <w:szCs w:val="22"/>
                <w:lang w:val="es-ES"/>
              </w:rPr>
              <w:t xml:space="preserve"> Seguimiento al Programa Interamericano para el Registro Civil Universal y “Derecho a la Identidad”</w:t>
            </w:r>
            <w:r w:rsidR="00045B88">
              <w:rPr>
                <w:sz w:val="22"/>
                <w:szCs w:val="22"/>
                <w:lang w:val="es-ES"/>
              </w:rPr>
              <w:t>.</w:t>
            </w:r>
          </w:p>
          <w:p w:rsidR="00841510" w:rsidRPr="00841510" w:rsidRDefault="00841510" w:rsidP="00045B88">
            <w:pPr>
              <w:numPr>
                <w:ilvl w:val="1"/>
                <w:numId w:val="29"/>
              </w:numPr>
              <w:tabs>
                <w:tab w:val="left" w:pos="843"/>
              </w:tabs>
              <w:spacing w:before="20" w:after="20"/>
              <w:jc w:val="both"/>
              <w:rPr>
                <w:b/>
                <w:sz w:val="22"/>
                <w:szCs w:val="22"/>
                <w:lang w:val="es-MX"/>
              </w:rPr>
            </w:pPr>
            <w:r w:rsidRPr="00841510">
              <w:rPr>
                <w:color w:val="000000"/>
                <w:sz w:val="22"/>
                <w:szCs w:val="22"/>
                <w:lang w:val="es-ES"/>
              </w:rPr>
              <w:t>Informe</w:t>
            </w:r>
            <w:r w:rsidRPr="00841510">
              <w:rPr>
                <w:sz w:val="22"/>
                <w:szCs w:val="22"/>
                <w:lang w:val="es-MX"/>
              </w:rPr>
              <w:t xml:space="preserve"> del Programa de Universalización de la Identidad Civil en las Américas (PUICA)</w:t>
            </w:r>
            <w:r>
              <w:rPr>
                <w:sz w:val="22"/>
                <w:szCs w:val="22"/>
                <w:lang w:val="es-MX"/>
              </w:rPr>
              <w:t>.</w:t>
            </w:r>
            <w:r>
              <w:rPr>
                <w:i/>
                <w:sz w:val="22"/>
                <w:szCs w:val="22"/>
                <w:lang w:val="es-MX"/>
              </w:rPr>
              <w:tab/>
            </w:r>
          </w:p>
        </w:tc>
      </w:tr>
      <w:tr w:rsidR="007A7E7F" w:rsidRPr="00850278" w:rsidTr="005A5260">
        <w:trPr>
          <w:jc w:val="center"/>
        </w:trPr>
        <w:tc>
          <w:tcPr>
            <w:tcW w:w="2577" w:type="dxa"/>
            <w:shd w:val="clear" w:color="auto" w:fill="auto"/>
            <w:vAlign w:val="center"/>
          </w:tcPr>
          <w:p w:rsidR="00CA73FB" w:rsidRPr="00EA5736" w:rsidRDefault="00454D04" w:rsidP="00EA5736">
            <w:pPr>
              <w:spacing w:before="20" w:after="20"/>
              <w:jc w:val="center"/>
              <w:rPr>
                <w:sz w:val="22"/>
                <w:szCs w:val="22"/>
                <w:lang w:val="es-ES" w:eastAsia="es-ES"/>
              </w:rPr>
            </w:pPr>
            <w:r>
              <w:rPr>
                <w:sz w:val="22"/>
                <w:szCs w:val="22"/>
                <w:lang w:val="es-ES" w:eastAsia="es-ES"/>
              </w:rPr>
              <w:t>Martes</w:t>
            </w:r>
          </w:p>
          <w:p w:rsidR="00CA73FB" w:rsidRPr="00EA5736" w:rsidRDefault="00454D04" w:rsidP="00EA5736">
            <w:pPr>
              <w:spacing w:before="20" w:after="20"/>
              <w:jc w:val="center"/>
              <w:rPr>
                <w:sz w:val="22"/>
                <w:szCs w:val="22"/>
                <w:lang w:val="es-ES" w:eastAsia="es-ES"/>
              </w:rPr>
            </w:pPr>
            <w:r>
              <w:rPr>
                <w:sz w:val="22"/>
                <w:szCs w:val="22"/>
                <w:lang w:val="es-ES" w:eastAsia="es-ES"/>
              </w:rPr>
              <w:t>26</w:t>
            </w:r>
            <w:r w:rsidR="00841510">
              <w:rPr>
                <w:sz w:val="22"/>
                <w:szCs w:val="22"/>
                <w:lang w:val="es-ES" w:eastAsia="es-ES"/>
              </w:rPr>
              <w:t xml:space="preserve"> de noviembre de 2019</w:t>
            </w:r>
            <w:r w:rsidR="00841510">
              <w:rPr>
                <w:sz w:val="22"/>
                <w:szCs w:val="22"/>
                <w:lang w:val="es-ES" w:eastAsia="es-ES"/>
              </w:rPr>
              <w:br/>
              <w:t>3</w:t>
            </w:r>
            <w:r w:rsidR="00CA73FB" w:rsidRPr="00EA5736">
              <w:rPr>
                <w:sz w:val="22"/>
                <w:szCs w:val="22"/>
                <w:lang w:val="es-ES" w:eastAsia="es-ES"/>
              </w:rPr>
              <w:t>:30 p.m. – 5:30 p.m.</w:t>
            </w:r>
          </w:p>
          <w:p w:rsidR="007A7E7F" w:rsidRPr="00EA5736" w:rsidRDefault="00CA73FB" w:rsidP="00EA5736">
            <w:pPr>
              <w:tabs>
                <w:tab w:val="left" w:pos="435"/>
                <w:tab w:val="center" w:pos="1180"/>
              </w:tabs>
              <w:spacing w:before="20" w:after="20"/>
              <w:jc w:val="center"/>
              <w:rPr>
                <w:sz w:val="22"/>
                <w:szCs w:val="22"/>
                <w:lang w:val="es-ES" w:eastAsia="es-ES"/>
              </w:rPr>
            </w:pPr>
            <w:r w:rsidRPr="00EA5736">
              <w:rPr>
                <w:sz w:val="22"/>
                <w:szCs w:val="22"/>
                <w:lang w:val="es-ES" w:eastAsia="es-ES"/>
              </w:rPr>
              <w:t>Salón L. Simón Bolívar</w:t>
            </w:r>
          </w:p>
        </w:tc>
        <w:tc>
          <w:tcPr>
            <w:tcW w:w="11602" w:type="dxa"/>
            <w:shd w:val="clear" w:color="auto" w:fill="auto"/>
          </w:tcPr>
          <w:p w:rsidR="00BB30AB" w:rsidRPr="00EA5736" w:rsidRDefault="00BB30AB" w:rsidP="00FB614F">
            <w:pPr>
              <w:numPr>
                <w:ilvl w:val="0"/>
                <w:numId w:val="33"/>
              </w:numPr>
              <w:spacing w:before="20" w:after="20"/>
              <w:jc w:val="both"/>
              <w:rPr>
                <w:sz w:val="22"/>
                <w:szCs w:val="22"/>
                <w:lang w:val="es-PE" w:eastAsia="es-ES"/>
              </w:rPr>
            </w:pPr>
            <w:r w:rsidRPr="00EA5736">
              <w:rPr>
                <w:sz w:val="22"/>
                <w:szCs w:val="22"/>
                <w:lang w:val="es-ES_tradnl"/>
              </w:rPr>
              <w:t>Seguimiento a los mandatos de la resolución AG/RES. 2941 (XLIX-O/19) “Promoción y protección de derechos humanos”:</w:t>
            </w:r>
          </w:p>
          <w:p w:rsidR="00454D04" w:rsidRPr="008F7CE0" w:rsidRDefault="00454D04" w:rsidP="00454D04">
            <w:pPr>
              <w:numPr>
                <w:ilvl w:val="0"/>
                <w:numId w:val="6"/>
              </w:numPr>
              <w:spacing w:before="20" w:after="20"/>
              <w:jc w:val="both"/>
              <w:rPr>
                <w:sz w:val="22"/>
                <w:szCs w:val="22"/>
                <w:lang w:val="es-ES"/>
              </w:rPr>
            </w:pPr>
            <w:r w:rsidRPr="008F7CE0">
              <w:rPr>
                <w:sz w:val="22"/>
                <w:szCs w:val="22"/>
                <w:u w:val="single"/>
                <w:lang w:val="es-ES" w:eastAsia="es-ES"/>
              </w:rPr>
              <w:t>Sección viii</w:t>
            </w:r>
            <w:r w:rsidRPr="008F7CE0">
              <w:rPr>
                <w:sz w:val="22"/>
                <w:szCs w:val="22"/>
                <w:lang w:val="es-ES"/>
              </w:rPr>
              <w:t>: Administración de justicia y derechos humanos:</w:t>
            </w:r>
          </w:p>
          <w:p w:rsidR="00454D04" w:rsidRDefault="00454D04" w:rsidP="00454D04">
            <w:pPr>
              <w:numPr>
                <w:ilvl w:val="1"/>
                <w:numId w:val="5"/>
              </w:numPr>
              <w:tabs>
                <w:tab w:val="left" w:pos="843"/>
              </w:tabs>
              <w:spacing w:before="20" w:after="20"/>
              <w:jc w:val="both"/>
              <w:rPr>
                <w:sz w:val="22"/>
                <w:szCs w:val="22"/>
                <w:lang w:val="es-ES"/>
              </w:rPr>
            </w:pPr>
            <w:r w:rsidRPr="008F7CE0">
              <w:rPr>
                <w:sz w:val="22"/>
                <w:szCs w:val="22"/>
                <w:lang w:val="es-ES"/>
              </w:rPr>
              <w:t>Intercambio</w:t>
            </w:r>
            <w:r w:rsidRPr="008F7CE0">
              <w:rPr>
                <w:bCs/>
                <w:sz w:val="22"/>
                <w:szCs w:val="22"/>
                <w:lang w:val="es-ES"/>
              </w:rPr>
              <w:t xml:space="preserve"> de experiencias, buenas prácticas y desafíos en materia de administración de justicia </w:t>
            </w:r>
            <w:r w:rsidRPr="008F7CE0">
              <w:rPr>
                <w:sz w:val="22"/>
                <w:szCs w:val="22"/>
                <w:lang w:val="es-ES"/>
              </w:rPr>
              <w:t>con perspectiva de derechos humanos.</w:t>
            </w:r>
          </w:p>
          <w:p w:rsidR="002D7ADC" w:rsidRPr="00EA5736" w:rsidRDefault="00045B88" w:rsidP="00404CF5">
            <w:pPr>
              <w:numPr>
                <w:ilvl w:val="0"/>
                <w:numId w:val="33"/>
              </w:numPr>
              <w:spacing w:before="20" w:after="20"/>
              <w:jc w:val="both"/>
              <w:rPr>
                <w:sz w:val="22"/>
                <w:szCs w:val="22"/>
                <w:lang w:val="es-ES_tradnl"/>
              </w:rPr>
            </w:pPr>
            <w:r w:rsidRPr="00EA5736">
              <w:rPr>
                <w:sz w:val="22"/>
                <w:szCs w:val="22"/>
                <w:lang w:val="es-ES_tradnl"/>
              </w:rPr>
              <w:t>La</w:t>
            </w:r>
            <w:r w:rsidRPr="00EA5736">
              <w:rPr>
                <w:sz w:val="22"/>
                <w:szCs w:val="22"/>
                <w:lang w:val="es-PE" w:eastAsia="es-ES"/>
              </w:rPr>
              <w:t xml:space="preserve"> Red de Consumo Seguro y Salud de la OEA (RCSS).</w:t>
            </w:r>
          </w:p>
        </w:tc>
      </w:tr>
      <w:tr w:rsidR="00CA73FB" w:rsidRPr="00EA5736" w:rsidTr="002D7ADC">
        <w:trPr>
          <w:jc w:val="center"/>
        </w:trPr>
        <w:tc>
          <w:tcPr>
            <w:tcW w:w="14179" w:type="dxa"/>
            <w:gridSpan w:val="2"/>
            <w:shd w:val="pct15" w:color="auto" w:fill="auto"/>
          </w:tcPr>
          <w:p w:rsidR="00CA73FB" w:rsidRPr="00EA5736" w:rsidRDefault="00CA73FB" w:rsidP="00EA5736">
            <w:pPr>
              <w:tabs>
                <w:tab w:val="left" w:pos="342"/>
              </w:tabs>
              <w:spacing w:before="20" w:after="20"/>
              <w:ind w:left="360" w:hanging="360"/>
              <w:jc w:val="center"/>
              <w:rPr>
                <w:b/>
                <w:sz w:val="22"/>
                <w:szCs w:val="22"/>
                <w:lang w:val="es-ES" w:eastAsia="es-ES"/>
              </w:rPr>
            </w:pPr>
            <w:r w:rsidRPr="00EA5736">
              <w:rPr>
                <w:b/>
                <w:sz w:val="22"/>
                <w:szCs w:val="22"/>
                <w:lang w:val="es-ES" w:eastAsia="es-ES"/>
              </w:rPr>
              <w:t>DICIEMBRE DE 2019</w:t>
            </w:r>
          </w:p>
        </w:tc>
      </w:tr>
      <w:tr w:rsidR="00CA73FB" w:rsidRPr="00850278" w:rsidTr="005A5260">
        <w:trPr>
          <w:jc w:val="center"/>
        </w:trPr>
        <w:tc>
          <w:tcPr>
            <w:tcW w:w="2577" w:type="dxa"/>
            <w:shd w:val="clear" w:color="auto" w:fill="auto"/>
            <w:vAlign w:val="center"/>
          </w:tcPr>
          <w:p w:rsidR="00CA73FB" w:rsidRPr="00404CF5" w:rsidRDefault="00CA73FB" w:rsidP="00EA5736">
            <w:pPr>
              <w:spacing w:before="20" w:after="20"/>
              <w:jc w:val="center"/>
              <w:rPr>
                <w:sz w:val="22"/>
                <w:szCs w:val="22"/>
                <w:lang w:val="es-ES" w:eastAsia="es-ES"/>
              </w:rPr>
            </w:pPr>
            <w:r w:rsidRPr="00404CF5">
              <w:rPr>
                <w:sz w:val="22"/>
                <w:szCs w:val="22"/>
                <w:lang w:val="es-ES" w:eastAsia="es-ES"/>
              </w:rPr>
              <w:t>Jueves</w:t>
            </w:r>
          </w:p>
          <w:p w:rsidR="00CA73FB" w:rsidRPr="00404CF5" w:rsidRDefault="00CA73FB" w:rsidP="00EA5736">
            <w:pPr>
              <w:spacing w:before="20" w:after="20"/>
              <w:jc w:val="center"/>
              <w:rPr>
                <w:sz w:val="22"/>
                <w:szCs w:val="22"/>
                <w:lang w:val="es-ES" w:eastAsia="es-ES"/>
              </w:rPr>
            </w:pPr>
            <w:r w:rsidRPr="00404CF5">
              <w:rPr>
                <w:sz w:val="22"/>
                <w:szCs w:val="22"/>
                <w:lang w:val="es-ES" w:eastAsia="es-ES"/>
              </w:rPr>
              <w:t>5 de diciembre de 2019</w:t>
            </w:r>
            <w:r w:rsidRPr="00404CF5">
              <w:rPr>
                <w:sz w:val="22"/>
                <w:szCs w:val="22"/>
                <w:lang w:val="es-ES" w:eastAsia="es-ES"/>
              </w:rPr>
              <w:br/>
              <w:t>2:30 p.m. – 5:30 p.m.</w:t>
            </w:r>
          </w:p>
          <w:p w:rsidR="00CA73FB" w:rsidRPr="00404CF5" w:rsidRDefault="00CA73FB" w:rsidP="00EA5736">
            <w:pPr>
              <w:spacing w:before="20" w:after="20"/>
              <w:jc w:val="center"/>
              <w:rPr>
                <w:sz w:val="22"/>
                <w:szCs w:val="22"/>
                <w:lang w:val="es-ES" w:eastAsia="es-ES"/>
              </w:rPr>
            </w:pPr>
            <w:r w:rsidRPr="00404CF5">
              <w:rPr>
                <w:sz w:val="22"/>
                <w:szCs w:val="22"/>
                <w:lang w:val="es-ES" w:eastAsia="es-ES"/>
              </w:rPr>
              <w:t>Salón L. Simón Bolívar</w:t>
            </w:r>
          </w:p>
        </w:tc>
        <w:tc>
          <w:tcPr>
            <w:tcW w:w="11602" w:type="dxa"/>
            <w:shd w:val="clear" w:color="auto" w:fill="auto"/>
          </w:tcPr>
          <w:p w:rsidR="002C2203" w:rsidRPr="00404CF5" w:rsidRDefault="002C2203" w:rsidP="00EA5736">
            <w:pPr>
              <w:numPr>
                <w:ilvl w:val="0"/>
                <w:numId w:val="22"/>
              </w:numPr>
              <w:spacing w:before="20" w:after="20"/>
              <w:jc w:val="both"/>
              <w:rPr>
                <w:sz w:val="22"/>
                <w:szCs w:val="22"/>
                <w:lang w:val="es-ES"/>
              </w:rPr>
            </w:pPr>
            <w:r w:rsidRPr="00404CF5">
              <w:rPr>
                <w:sz w:val="22"/>
                <w:szCs w:val="22"/>
                <w:lang w:val="es-ES"/>
              </w:rPr>
              <w:t>Conmemoración del Día Internacional de las Personas con Discapacidad (3 de diciembre)</w:t>
            </w:r>
            <w:r w:rsidR="008F7CE0" w:rsidRPr="00404CF5">
              <w:rPr>
                <w:sz w:val="22"/>
                <w:szCs w:val="22"/>
                <w:lang w:val="es-ES"/>
              </w:rPr>
              <w:t>.</w:t>
            </w:r>
          </w:p>
          <w:p w:rsidR="00CA73FB" w:rsidRPr="00404CF5" w:rsidRDefault="00CA73FB" w:rsidP="00EA5736">
            <w:pPr>
              <w:numPr>
                <w:ilvl w:val="0"/>
                <w:numId w:val="22"/>
              </w:numPr>
              <w:spacing w:before="20" w:after="20"/>
              <w:jc w:val="both"/>
              <w:rPr>
                <w:sz w:val="22"/>
                <w:szCs w:val="22"/>
                <w:u w:val="single"/>
                <w:lang w:val="es-ES"/>
              </w:rPr>
            </w:pPr>
            <w:r w:rsidRPr="00404CF5">
              <w:rPr>
                <w:sz w:val="22"/>
                <w:szCs w:val="22"/>
                <w:lang w:val="es-ES_tradnl"/>
              </w:rPr>
              <w:t>Seguimiento a los mandatos de la resolución AG/RES. 2931 (XLIX-O/19) “Fortalecimiento de la democracia”:</w:t>
            </w:r>
          </w:p>
          <w:p w:rsidR="00CA73FB" w:rsidRPr="00404CF5" w:rsidRDefault="00CA73FB" w:rsidP="00EA5736">
            <w:pPr>
              <w:numPr>
                <w:ilvl w:val="0"/>
                <w:numId w:val="6"/>
              </w:numPr>
              <w:spacing w:before="20" w:after="20"/>
              <w:jc w:val="both"/>
              <w:rPr>
                <w:sz w:val="22"/>
                <w:szCs w:val="22"/>
                <w:lang w:val="es-MX"/>
              </w:rPr>
            </w:pPr>
            <w:r w:rsidRPr="00404CF5">
              <w:rPr>
                <w:sz w:val="22"/>
                <w:szCs w:val="22"/>
                <w:u w:val="single"/>
                <w:lang w:val="es-MX"/>
              </w:rPr>
              <w:t>Sección iii</w:t>
            </w:r>
            <w:r w:rsidRPr="00404CF5">
              <w:rPr>
                <w:sz w:val="22"/>
                <w:szCs w:val="22"/>
                <w:lang w:val="es-MX"/>
              </w:rPr>
              <w:t>.: Fortalecimiento del catastro y registro de la propiedad en las Américas</w:t>
            </w:r>
          </w:p>
          <w:p w:rsidR="00CA73FB" w:rsidRPr="00404CF5" w:rsidRDefault="00CA73FB" w:rsidP="00EA5736">
            <w:pPr>
              <w:numPr>
                <w:ilvl w:val="0"/>
                <w:numId w:val="6"/>
              </w:numPr>
              <w:spacing w:before="20" w:after="20"/>
              <w:jc w:val="both"/>
              <w:rPr>
                <w:sz w:val="22"/>
                <w:szCs w:val="22"/>
                <w:lang w:val="es-MX"/>
              </w:rPr>
            </w:pPr>
            <w:r w:rsidRPr="00404CF5">
              <w:rPr>
                <w:sz w:val="22"/>
                <w:szCs w:val="22"/>
                <w:u w:val="single"/>
                <w:lang w:val="es-ES"/>
              </w:rPr>
              <w:t>Sección</w:t>
            </w:r>
            <w:r w:rsidRPr="00404CF5">
              <w:rPr>
                <w:sz w:val="22"/>
                <w:szCs w:val="22"/>
                <w:u w:val="single"/>
                <w:lang w:val="es-MX"/>
              </w:rPr>
              <w:t xml:space="preserve"> vii.</w:t>
            </w:r>
            <w:r w:rsidRPr="00404CF5">
              <w:rPr>
                <w:sz w:val="22"/>
                <w:szCs w:val="22"/>
                <w:lang w:val="es-MX"/>
              </w:rPr>
              <w:t>: Gobierno digital, abierto y transparente</w:t>
            </w:r>
          </w:p>
          <w:p w:rsidR="00CA73FB" w:rsidRPr="00404CF5" w:rsidRDefault="00CA73FB" w:rsidP="00EA5736">
            <w:pPr>
              <w:numPr>
                <w:ilvl w:val="0"/>
                <w:numId w:val="6"/>
              </w:numPr>
              <w:spacing w:before="20" w:after="20"/>
              <w:jc w:val="both"/>
              <w:rPr>
                <w:sz w:val="22"/>
                <w:szCs w:val="22"/>
                <w:lang w:val="es-MX"/>
              </w:rPr>
            </w:pPr>
            <w:r w:rsidRPr="00404CF5">
              <w:rPr>
                <w:sz w:val="22"/>
                <w:szCs w:val="22"/>
                <w:u w:val="single"/>
                <w:lang w:val="es-MX"/>
              </w:rPr>
              <w:t>Sección x.</w:t>
            </w:r>
            <w:r w:rsidRPr="00404CF5">
              <w:rPr>
                <w:sz w:val="22"/>
                <w:szCs w:val="22"/>
                <w:lang w:val="es-MX"/>
              </w:rPr>
              <w:t>: Fortalecimiento e innovación de la gestión pública en las Américas</w:t>
            </w:r>
          </w:p>
          <w:p w:rsidR="00CA73FB" w:rsidRPr="00404CF5" w:rsidRDefault="00CA73FB" w:rsidP="00EA5736">
            <w:pPr>
              <w:numPr>
                <w:ilvl w:val="0"/>
                <w:numId w:val="6"/>
              </w:numPr>
              <w:spacing w:before="20" w:after="20"/>
              <w:jc w:val="both"/>
              <w:rPr>
                <w:sz w:val="22"/>
                <w:szCs w:val="22"/>
                <w:lang w:val="es-MX"/>
              </w:rPr>
            </w:pPr>
            <w:r w:rsidRPr="00404CF5">
              <w:rPr>
                <w:sz w:val="22"/>
                <w:szCs w:val="22"/>
                <w:u w:val="single"/>
                <w:lang w:val="es-MX"/>
              </w:rPr>
              <w:t>Sección xiii</w:t>
            </w:r>
            <w:r w:rsidRPr="00404CF5">
              <w:rPr>
                <w:sz w:val="22"/>
                <w:szCs w:val="22"/>
                <w:lang w:val="es-MX"/>
              </w:rPr>
              <w:t xml:space="preserve">.: </w:t>
            </w:r>
            <w:r w:rsidR="00404CF5" w:rsidRPr="00404CF5">
              <w:rPr>
                <w:color w:val="000000"/>
                <w:sz w:val="22"/>
                <w:szCs w:val="22"/>
                <w:lang w:val="es-MX"/>
              </w:rPr>
              <w:t>Aporte de la región al proceso preparatorio del período extraordinario de sesiones de la Asamblea General de las Naciones Unidas contra la corrupción</w:t>
            </w:r>
            <w:r w:rsidRPr="00404CF5">
              <w:rPr>
                <w:sz w:val="22"/>
                <w:szCs w:val="22"/>
                <w:lang w:val="es-MX"/>
              </w:rPr>
              <w:t>)</w:t>
            </w:r>
          </w:p>
          <w:p w:rsidR="00CA73FB" w:rsidRPr="00404CF5" w:rsidRDefault="00CA73FB" w:rsidP="00404CF5">
            <w:pPr>
              <w:numPr>
                <w:ilvl w:val="1"/>
                <w:numId w:val="33"/>
              </w:numPr>
              <w:tabs>
                <w:tab w:val="left" w:pos="843"/>
              </w:tabs>
              <w:spacing w:before="20" w:after="20"/>
              <w:jc w:val="both"/>
              <w:rPr>
                <w:sz w:val="22"/>
                <w:szCs w:val="22"/>
                <w:lang w:val="es-ES" w:eastAsia="es-ES"/>
              </w:rPr>
            </w:pPr>
            <w:r w:rsidRPr="00404CF5">
              <w:rPr>
                <w:sz w:val="22"/>
                <w:szCs w:val="22"/>
                <w:lang w:val="es-MX"/>
              </w:rPr>
              <w:t>Avances</w:t>
            </w:r>
            <w:r w:rsidRPr="00404CF5">
              <w:rPr>
                <w:sz w:val="22"/>
                <w:szCs w:val="22"/>
                <w:lang w:val="es-ES" w:eastAsia="es-ES"/>
              </w:rPr>
              <w:t xml:space="preserve"> en el cumplimiento de los compromisos asumidos en materia de prevención y lucha contra la corrupción, en el marco de la Convención Interamericana contra la Corrupción y el Compromiso de Lima: “Gobernabilidad democrática frente a la corrupción”, como aportes de la región </w:t>
            </w:r>
            <w:r w:rsidR="00404CF5">
              <w:rPr>
                <w:sz w:val="22"/>
                <w:szCs w:val="22"/>
                <w:lang w:val="es-ES" w:eastAsia="es-ES"/>
              </w:rPr>
              <w:t xml:space="preserve">para el proceso preparatorio del </w:t>
            </w:r>
            <w:r w:rsidRPr="00404CF5">
              <w:rPr>
                <w:sz w:val="22"/>
                <w:szCs w:val="22"/>
                <w:lang w:val="es-ES" w:eastAsia="es-ES"/>
              </w:rPr>
              <w:t>UNGASS 2021</w:t>
            </w:r>
            <w:r w:rsidR="00404CF5" w:rsidRPr="00404CF5">
              <w:rPr>
                <w:sz w:val="22"/>
                <w:szCs w:val="22"/>
                <w:lang w:val="es-ES" w:eastAsia="es-ES"/>
              </w:rPr>
              <w:t>.</w:t>
            </w:r>
          </w:p>
        </w:tc>
      </w:tr>
      <w:tr w:rsidR="00CA73FB" w:rsidRPr="00850278" w:rsidTr="005A5260">
        <w:trPr>
          <w:jc w:val="center"/>
        </w:trPr>
        <w:tc>
          <w:tcPr>
            <w:tcW w:w="2577" w:type="dxa"/>
            <w:tcBorders>
              <w:bottom w:val="single" w:sz="4" w:space="0" w:color="000000"/>
            </w:tcBorders>
            <w:shd w:val="clear" w:color="auto" w:fill="auto"/>
            <w:vAlign w:val="center"/>
          </w:tcPr>
          <w:p w:rsidR="00CA73FB" w:rsidRPr="00EA5736" w:rsidRDefault="00404CF5" w:rsidP="00EA5736">
            <w:pPr>
              <w:spacing w:before="20" w:after="20"/>
              <w:jc w:val="center"/>
              <w:rPr>
                <w:sz w:val="22"/>
                <w:szCs w:val="22"/>
                <w:lang w:val="es-ES" w:eastAsia="es-ES"/>
              </w:rPr>
            </w:pPr>
            <w:r>
              <w:rPr>
                <w:sz w:val="22"/>
                <w:szCs w:val="22"/>
                <w:lang w:val="es-ES" w:eastAsia="es-ES"/>
              </w:rPr>
              <w:lastRenderedPageBreak/>
              <w:t>Martes</w:t>
            </w:r>
          </w:p>
          <w:p w:rsidR="00CA73FB" w:rsidRPr="00EA5736" w:rsidRDefault="00045B88" w:rsidP="00EA5736">
            <w:pPr>
              <w:spacing w:before="20" w:after="20"/>
              <w:jc w:val="center"/>
              <w:rPr>
                <w:sz w:val="22"/>
                <w:szCs w:val="22"/>
                <w:lang w:val="es-ES" w:eastAsia="es-ES"/>
              </w:rPr>
            </w:pPr>
            <w:r>
              <w:rPr>
                <w:sz w:val="22"/>
                <w:szCs w:val="22"/>
                <w:lang w:val="es-ES" w:eastAsia="es-ES"/>
              </w:rPr>
              <w:t>17</w:t>
            </w:r>
            <w:r w:rsidR="00CA73FB" w:rsidRPr="00EA5736">
              <w:rPr>
                <w:sz w:val="22"/>
                <w:szCs w:val="22"/>
                <w:lang w:val="es-ES" w:eastAsia="es-ES"/>
              </w:rPr>
              <w:t xml:space="preserve"> de diciembre de 2019</w:t>
            </w:r>
            <w:r w:rsidR="00CA73FB" w:rsidRPr="00EA5736">
              <w:rPr>
                <w:sz w:val="22"/>
                <w:szCs w:val="22"/>
                <w:lang w:val="es-ES" w:eastAsia="es-ES"/>
              </w:rPr>
              <w:br/>
            </w:r>
            <w:r w:rsidR="00404CF5">
              <w:rPr>
                <w:sz w:val="22"/>
                <w:szCs w:val="22"/>
                <w:lang w:val="es-ES" w:eastAsia="es-ES"/>
              </w:rPr>
              <w:t>10</w:t>
            </w:r>
            <w:r w:rsidR="00CA73FB" w:rsidRPr="00EA5736">
              <w:rPr>
                <w:sz w:val="22"/>
                <w:szCs w:val="22"/>
                <w:lang w:val="es-ES" w:eastAsia="es-ES"/>
              </w:rPr>
              <w:t xml:space="preserve">:30 </w:t>
            </w:r>
            <w:r w:rsidR="00404CF5">
              <w:rPr>
                <w:sz w:val="22"/>
                <w:szCs w:val="22"/>
                <w:lang w:val="es-ES" w:eastAsia="es-ES"/>
              </w:rPr>
              <w:t>a</w:t>
            </w:r>
            <w:r w:rsidR="00CA73FB" w:rsidRPr="00EA5736">
              <w:rPr>
                <w:sz w:val="22"/>
                <w:szCs w:val="22"/>
                <w:lang w:val="es-ES" w:eastAsia="es-ES"/>
              </w:rPr>
              <w:t xml:space="preserve">.m. – </w:t>
            </w:r>
            <w:r w:rsidR="00404CF5">
              <w:rPr>
                <w:sz w:val="22"/>
                <w:szCs w:val="22"/>
                <w:lang w:val="es-ES" w:eastAsia="es-ES"/>
              </w:rPr>
              <w:t>12</w:t>
            </w:r>
            <w:r w:rsidR="00CA73FB" w:rsidRPr="00EA5736">
              <w:rPr>
                <w:sz w:val="22"/>
                <w:szCs w:val="22"/>
                <w:lang w:val="es-ES" w:eastAsia="es-ES"/>
              </w:rPr>
              <w:t>:30 p.m.</w:t>
            </w:r>
          </w:p>
          <w:p w:rsidR="00CA73FB" w:rsidRPr="00EA5736" w:rsidRDefault="00CA73FB" w:rsidP="00EA5736">
            <w:pPr>
              <w:spacing w:before="20" w:after="20"/>
              <w:jc w:val="center"/>
              <w:rPr>
                <w:sz w:val="22"/>
                <w:szCs w:val="22"/>
                <w:lang w:val="es-ES" w:eastAsia="es-ES"/>
              </w:rPr>
            </w:pPr>
            <w:r w:rsidRPr="00EA5736">
              <w:rPr>
                <w:sz w:val="22"/>
                <w:szCs w:val="22"/>
                <w:lang w:val="es-ES" w:eastAsia="es-ES"/>
              </w:rPr>
              <w:t>Salón L. Simón Bolívar</w:t>
            </w:r>
          </w:p>
        </w:tc>
        <w:tc>
          <w:tcPr>
            <w:tcW w:w="11602" w:type="dxa"/>
            <w:tcBorders>
              <w:bottom w:val="single" w:sz="4" w:space="0" w:color="000000"/>
            </w:tcBorders>
            <w:shd w:val="clear" w:color="auto" w:fill="auto"/>
          </w:tcPr>
          <w:p w:rsidR="00404CF5" w:rsidRDefault="00404CF5" w:rsidP="00404CF5">
            <w:pPr>
              <w:numPr>
                <w:ilvl w:val="0"/>
                <w:numId w:val="34"/>
              </w:numPr>
              <w:spacing w:before="20" w:after="20"/>
              <w:jc w:val="both"/>
              <w:rPr>
                <w:sz w:val="22"/>
                <w:szCs w:val="22"/>
                <w:lang w:val="es-ES_tradnl"/>
              </w:rPr>
            </w:pPr>
            <w:r w:rsidRPr="00404CF5">
              <w:rPr>
                <w:sz w:val="22"/>
                <w:szCs w:val="22"/>
                <w:lang w:val="es-ES"/>
              </w:rPr>
              <w:t>Seguimiento</w:t>
            </w:r>
            <w:r>
              <w:rPr>
                <w:sz w:val="22"/>
                <w:szCs w:val="22"/>
                <w:lang w:val="es-ES_tradnl"/>
              </w:rPr>
              <w:t xml:space="preserve"> a los mandatos de la resolución AG/RES. 2941 (XLIX-O/19), “Promoción y protección de derechos humanos”: </w:t>
            </w:r>
          </w:p>
          <w:p w:rsidR="00404CF5" w:rsidRPr="00404CF5" w:rsidRDefault="00404CF5" w:rsidP="00404CF5">
            <w:pPr>
              <w:numPr>
                <w:ilvl w:val="0"/>
                <w:numId w:val="6"/>
              </w:numPr>
              <w:spacing w:before="20" w:after="20"/>
              <w:jc w:val="both"/>
              <w:rPr>
                <w:sz w:val="22"/>
                <w:szCs w:val="22"/>
                <w:lang w:val="es-MX"/>
              </w:rPr>
            </w:pPr>
            <w:r w:rsidRPr="00404CF5">
              <w:rPr>
                <w:sz w:val="22"/>
                <w:szCs w:val="22"/>
                <w:u w:val="single"/>
                <w:lang w:val="es-MX"/>
              </w:rPr>
              <w:t>Sección</w:t>
            </w:r>
            <w:r w:rsidRPr="00404CF5">
              <w:rPr>
                <w:sz w:val="22"/>
                <w:szCs w:val="22"/>
                <w:u w:val="single"/>
                <w:lang w:val="es-ES_tradnl"/>
              </w:rPr>
              <w:t xml:space="preserve"> xviii</w:t>
            </w:r>
            <w:r w:rsidRPr="00404CF5">
              <w:rPr>
                <w:sz w:val="22"/>
                <w:szCs w:val="22"/>
                <w:lang w:val="es-ES_tradnl"/>
              </w:rPr>
              <w:t xml:space="preserve">. </w:t>
            </w:r>
            <w:r w:rsidRPr="00404CF5">
              <w:rPr>
                <w:sz w:val="22"/>
                <w:szCs w:val="22"/>
                <w:lang w:val="es-MX"/>
              </w:rPr>
              <w:t>Derecho a la libertad de religión o creencia.</w:t>
            </w:r>
          </w:p>
          <w:p w:rsidR="00CA73FB" w:rsidRPr="00404CF5" w:rsidRDefault="00404CF5" w:rsidP="004D0462">
            <w:pPr>
              <w:numPr>
                <w:ilvl w:val="1"/>
                <w:numId w:val="33"/>
              </w:numPr>
              <w:tabs>
                <w:tab w:val="left" w:pos="843"/>
              </w:tabs>
              <w:spacing w:before="20" w:after="20"/>
              <w:jc w:val="both"/>
              <w:rPr>
                <w:color w:val="000000"/>
                <w:sz w:val="22"/>
                <w:szCs w:val="22"/>
                <w:lang w:val="es-MX"/>
              </w:rPr>
            </w:pPr>
            <w:r w:rsidRPr="00404CF5">
              <w:rPr>
                <w:sz w:val="22"/>
                <w:szCs w:val="22"/>
                <w:lang w:val="es-MX"/>
              </w:rPr>
              <w:t xml:space="preserve">Preparativos de la sesión extraordinaria </w:t>
            </w:r>
            <w:r>
              <w:rPr>
                <w:sz w:val="22"/>
                <w:szCs w:val="22"/>
                <w:lang w:val="es-MX"/>
              </w:rPr>
              <w:t>para compartir lecciones aprendidas e intercambiar buenas prácticas a fin de promover un diálogo regional sobre el derecho a la libertad de pensamiento, de conciencia y de religión o creencia</w:t>
            </w:r>
            <w:r w:rsidR="004D0462">
              <w:rPr>
                <w:sz w:val="22"/>
                <w:szCs w:val="22"/>
                <w:lang w:val="es-MX"/>
              </w:rPr>
              <w:t>.</w:t>
            </w:r>
          </w:p>
        </w:tc>
      </w:tr>
      <w:tr w:rsidR="00B374FC" w:rsidRPr="00EA5736" w:rsidTr="002D7ADC">
        <w:trPr>
          <w:jc w:val="center"/>
        </w:trPr>
        <w:tc>
          <w:tcPr>
            <w:tcW w:w="14179" w:type="dxa"/>
            <w:gridSpan w:val="2"/>
            <w:shd w:val="pct15" w:color="auto" w:fill="auto"/>
          </w:tcPr>
          <w:p w:rsidR="00B374FC" w:rsidRPr="00EA5736" w:rsidRDefault="00B374FC" w:rsidP="00EA5736">
            <w:pPr>
              <w:tabs>
                <w:tab w:val="left" w:pos="342"/>
              </w:tabs>
              <w:spacing w:before="20" w:after="20"/>
              <w:ind w:left="360" w:hanging="360"/>
              <w:jc w:val="center"/>
              <w:rPr>
                <w:b/>
                <w:sz w:val="22"/>
                <w:szCs w:val="22"/>
                <w:lang w:val="es-ES" w:eastAsia="es-ES"/>
              </w:rPr>
            </w:pPr>
            <w:r w:rsidRPr="00EA5736">
              <w:rPr>
                <w:b/>
                <w:sz w:val="22"/>
                <w:szCs w:val="22"/>
                <w:lang w:val="es-ES" w:eastAsia="es-ES"/>
              </w:rPr>
              <w:t xml:space="preserve">ENERO DE </w:t>
            </w:r>
            <w:r w:rsidR="00CA73FB" w:rsidRPr="00EA5736">
              <w:rPr>
                <w:b/>
                <w:sz w:val="22"/>
                <w:szCs w:val="22"/>
                <w:lang w:val="es-ES" w:eastAsia="es-ES"/>
              </w:rPr>
              <w:t>2020</w:t>
            </w:r>
          </w:p>
        </w:tc>
      </w:tr>
      <w:tr w:rsidR="00CA73FB" w:rsidRPr="00850278" w:rsidTr="005A5260">
        <w:trPr>
          <w:jc w:val="center"/>
        </w:trPr>
        <w:tc>
          <w:tcPr>
            <w:tcW w:w="2577" w:type="dxa"/>
            <w:shd w:val="clear" w:color="auto" w:fill="auto"/>
            <w:vAlign w:val="center"/>
          </w:tcPr>
          <w:p w:rsidR="00CA73FB" w:rsidRPr="00EA5736" w:rsidRDefault="00CA73FB" w:rsidP="00EA5736">
            <w:pPr>
              <w:spacing w:before="20" w:after="20"/>
              <w:jc w:val="center"/>
              <w:rPr>
                <w:sz w:val="22"/>
                <w:szCs w:val="22"/>
                <w:lang w:val="es-ES" w:eastAsia="es-ES"/>
              </w:rPr>
            </w:pPr>
            <w:r w:rsidRPr="00EA5736">
              <w:rPr>
                <w:sz w:val="22"/>
                <w:szCs w:val="22"/>
                <w:lang w:val="es-ES" w:eastAsia="es-ES"/>
              </w:rPr>
              <w:t>Jueves</w:t>
            </w:r>
          </w:p>
          <w:p w:rsidR="00CA73FB" w:rsidRPr="00EA5736" w:rsidRDefault="00CA73FB" w:rsidP="00EA5736">
            <w:pPr>
              <w:spacing w:before="20" w:after="20"/>
              <w:jc w:val="center"/>
              <w:rPr>
                <w:sz w:val="22"/>
                <w:szCs w:val="22"/>
                <w:lang w:val="es-ES" w:eastAsia="es-ES"/>
              </w:rPr>
            </w:pPr>
            <w:r w:rsidRPr="00EA5736">
              <w:rPr>
                <w:sz w:val="22"/>
                <w:szCs w:val="22"/>
                <w:lang w:val="es-ES" w:eastAsia="es-ES"/>
              </w:rPr>
              <w:t>30 de enero de 2020</w:t>
            </w:r>
          </w:p>
          <w:p w:rsidR="00CA73FB" w:rsidRPr="00EA5736" w:rsidRDefault="00CA73FB" w:rsidP="00EA5736">
            <w:pPr>
              <w:spacing w:before="20" w:after="20"/>
              <w:jc w:val="center"/>
              <w:rPr>
                <w:sz w:val="22"/>
                <w:szCs w:val="22"/>
                <w:lang w:val="es-ES" w:eastAsia="es-ES"/>
              </w:rPr>
            </w:pPr>
            <w:r w:rsidRPr="00EA5736">
              <w:rPr>
                <w:sz w:val="22"/>
                <w:szCs w:val="22"/>
                <w:lang w:val="es-ES" w:eastAsia="es-ES"/>
              </w:rPr>
              <w:t>2:30 p.m. - 5:30 p.m.</w:t>
            </w:r>
          </w:p>
          <w:p w:rsidR="00CA73FB" w:rsidRPr="00EA5736" w:rsidRDefault="00CA73FB" w:rsidP="00EA5736">
            <w:pPr>
              <w:spacing w:before="20" w:after="20"/>
              <w:jc w:val="center"/>
              <w:rPr>
                <w:sz w:val="22"/>
                <w:szCs w:val="22"/>
                <w:lang w:val="es-ES" w:eastAsia="es-ES"/>
              </w:rPr>
            </w:pPr>
            <w:r w:rsidRPr="00EA5736">
              <w:rPr>
                <w:sz w:val="22"/>
                <w:szCs w:val="22"/>
                <w:lang w:val="es-ES" w:eastAsia="es-ES"/>
              </w:rPr>
              <w:t>Salón L. Simón Bolívar</w:t>
            </w:r>
          </w:p>
        </w:tc>
        <w:tc>
          <w:tcPr>
            <w:tcW w:w="11602" w:type="dxa"/>
            <w:shd w:val="clear" w:color="auto" w:fill="auto"/>
            <w:vAlign w:val="center"/>
          </w:tcPr>
          <w:p w:rsidR="002D7ADC" w:rsidRPr="00EA5736" w:rsidRDefault="00880635" w:rsidP="004D0462">
            <w:pPr>
              <w:widowControl w:val="0"/>
              <w:numPr>
                <w:ilvl w:val="0"/>
                <w:numId w:val="15"/>
              </w:numPr>
              <w:spacing w:before="20" w:after="20"/>
              <w:jc w:val="both"/>
              <w:rPr>
                <w:sz w:val="22"/>
                <w:szCs w:val="22"/>
                <w:lang w:val="es-ES" w:eastAsia="es-ES"/>
              </w:rPr>
            </w:pPr>
            <w:r w:rsidRPr="004D0462">
              <w:rPr>
                <w:sz w:val="22"/>
                <w:szCs w:val="22"/>
                <w:lang w:val="es-MX"/>
              </w:rPr>
              <w:t>Seguimiento</w:t>
            </w:r>
            <w:r w:rsidRPr="00EA5736">
              <w:rPr>
                <w:sz w:val="22"/>
                <w:szCs w:val="22"/>
                <w:lang w:val="es-ES_tradnl"/>
              </w:rPr>
              <w:t xml:space="preserve"> a los mandatos de la resolución AG/RES. 2941 (XLIX-O/19) “Promoción y protección de derechos humanos”:</w:t>
            </w:r>
          </w:p>
          <w:p w:rsidR="00880635" w:rsidRPr="00EA5736" w:rsidRDefault="00880635" w:rsidP="00EA5736">
            <w:pPr>
              <w:numPr>
                <w:ilvl w:val="0"/>
                <w:numId w:val="6"/>
              </w:numPr>
              <w:spacing w:before="20" w:after="20"/>
              <w:jc w:val="both"/>
              <w:rPr>
                <w:sz w:val="22"/>
                <w:szCs w:val="22"/>
                <w:lang w:val="es-ES"/>
              </w:rPr>
            </w:pPr>
            <w:r w:rsidRPr="00EA5736">
              <w:rPr>
                <w:sz w:val="22"/>
                <w:szCs w:val="22"/>
                <w:u w:val="single"/>
                <w:lang w:val="es-ES"/>
              </w:rPr>
              <w:t>Sección</w:t>
            </w:r>
            <w:r w:rsidRPr="00EA5736">
              <w:rPr>
                <w:sz w:val="22"/>
                <w:szCs w:val="22"/>
                <w:u w:val="single"/>
                <w:lang w:val="es-ES" w:eastAsia="es-ES"/>
              </w:rPr>
              <w:t xml:space="preserve"> iii.</w:t>
            </w:r>
            <w:r w:rsidRPr="00EA5736">
              <w:rPr>
                <w:sz w:val="22"/>
                <w:szCs w:val="22"/>
                <w:lang w:val="es-ES" w:eastAsia="es-ES"/>
              </w:rPr>
              <w:t xml:space="preserve">: </w:t>
            </w:r>
            <w:r w:rsidRPr="00EA5736">
              <w:rPr>
                <w:sz w:val="22"/>
                <w:szCs w:val="22"/>
                <w:lang w:val="es-ES"/>
              </w:rPr>
              <w:t>Protección de los solicitantes del reconocimiento de la condición de refugiado y de los refugiados en las Américas:</w:t>
            </w:r>
          </w:p>
          <w:p w:rsidR="00BC1D0C" w:rsidRDefault="00880635" w:rsidP="00EA5736">
            <w:pPr>
              <w:numPr>
                <w:ilvl w:val="1"/>
                <w:numId w:val="5"/>
              </w:numPr>
              <w:tabs>
                <w:tab w:val="left" w:pos="843"/>
              </w:tabs>
              <w:spacing w:before="20" w:after="20"/>
              <w:jc w:val="both"/>
              <w:rPr>
                <w:sz w:val="22"/>
                <w:szCs w:val="22"/>
                <w:lang w:val="es-ES"/>
              </w:rPr>
            </w:pPr>
            <w:r w:rsidRPr="00EA5736">
              <w:rPr>
                <w:sz w:val="22"/>
                <w:szCs w:val="22"/>
                <w:lang w:val="es-MX"/>
              </w:rPr>
              <w:t xml:space="preserve">Intercambio de experiencias y </w:t>
            </w:r>
            <w:r w:rsidRPr="00EA5736">
              <w:rPr>
                <w:sz w:val="22"/>
                <w:szCs w:val="22"/>
                <w:lang w:val="es-ES"/>
              </w:rPr>
              <w:t xml:space="preserve">buenas </w:t>
            </w:r>
            <w:r w:rsidRPr="00EA5736">
              <w:rPr>
                <w:sz w:val="22"/>
                <w:szCs w:val="22"/>
                <w:lang w:val="es-MX"/>
              </w:rPr>
              <w:t xml:space="preserve">prácticas implementadas </w:t>
            </w:r>
            <w:r w:rsidRPr="00EA5736">
              <w:rPr>
                <w:sz w:val="22"/>
                <w:szCs w:val="22"/>
                <w:lang w:val="es-ES"/>
              </w:rPr>
              <w:t>por los Estados Miembros.</w:t>
            </w:r>
          </w:p>
          <w:p w:rsidR="00BC1D0C" w:rsidRDefault="00BC1D0C" w:rsidP="00BC1D0C">
            <w:pPr>
              <w:widowControl w:val="0"/>
              <w:numPr>
                <w:ilvl w:val="0"/>
                <w:numId w:val="15"/>
              </w:numPr>
              <w:spacing w:before="20" w:after="20"/>
              <w:jc w:val="both"/>
              <w:rPr>
                <w:sz w:val="22"/>
                <w:szCs w:val="22"/>
                <w:lang w:val="es-ES_tradnl"/>
              </w:rPr>
            </w:pPr>
            <w:r w:rsidRPr="00BC1D0C">
              <w:rPr>
                <w:sz w:val="22"/>
                <w:szCs w:val="22"/>
                <w:lang w:val="es-MX"/>
              </w:rPr>
              <w:t>Seguimiento</w:t>
            </w:r>
            <w:r w:rsidRPr="00431947">
              <w:rPr>
                <w:sz w:val="22"/>
                <w:szCs w:val="22"/>
                <w:lang w:val="es-ES_tradnl"/>
              </w:rPr>
              <w:t xml:space="preserve"> a los mandatos de la resolución AG/RES. 2930 (XLIX-O/19), “Derecho internacional”: </w:t>
            </w:r>
          </w:p>
          <w:p w:rsidR="00BC1D0C" w:rsidRPr="00431947" w:rsidRDefault="00BC1D0C" w:rsidP="00BC1D0C">
            <w:pPr>
              <w:numPr>
                <w:ilvl w:val="0"/>
                <w:numId w:val="6"/>
              </w:numPr>
              <w:spacing w:before="20" w:after="20"/>
              <w:jc w:val="both"/>
              <w:rPr>
                <w:sz w:val="22"/>
                <w:szCs w:val="22"/>
                <w:lang w:val="es-ES_tradnl"/>
              </w:rPr>
            </w:pPr>
            <w:r w:rsidRPr="00BC1D0C">
              <w:rPr>
                <w:sz w:val="22"/>
                <w:szCs w:val="22"/>
                <w:u w:val="single"/>
                <w:lang w:val="es-ES_tradnl"/>
              </w:rPr>
              <w:t>Sección</w:t>
            </w:r>
            <w:r>
              <w:rPr>
                <w:sz w:val="22"/>
                <w:szCs w:val="22"/>
                <w:u w:val="single"/>
                <w:lang w:val="es-ES_tradnl"/>
              </w:rPr>
              <w:t xml:space="preserve"> ii.:</w:t>
            </w:r>
            <w:r w:rsidRPr="00431947">
              <w:rPr>
                <w:sz w:val="22"/>
                <w:szCs w:val="22"/>
                <w:lang w:val="es-ES_tradnl"/>
              </w:rPr>
              <w:t xml:space="preserve"> </w:t>
            </w:r>
            <w:r w:rsidRPr="00161BB4">
              <w:rPr>
                <w:sz w:val="22"/>
                <w:szCs w:val="22"/>
                <w:lang w:val="es-ES"/>
              </w:rPr>
              <w:t>Programa Interamericano para el Desarrollo del Derecho Internacional</w:t>
            </w:r>
            <w:r w:rsidRPr="00431947">
              <w:rPr>
                <w:sz w:val="22"/>
                <w:szCs w:val="22"/>
                <w:lang w:val="es-ES_tradnl"/>
              </w:rPr>
              <w:t>:</w:t>
            </w:r>
          </w:p>
          <w:p w:rsidR="00BC1D0C" w:rsidRPr="00431947" w:rsidRDefault="00BC1D0C" w:rsidP="00BC1D0C">
            <w:pPr>
              <w:numPr>
                <w:ilvl w:val="1"/>
                <w:numId w:val="5"/>
              </w:numPr>
              <w:tabs>
                <w:tab w:val="left" w:pos="843"/>
              </w:tabs>
              <w:spacing w:before="20" w:after="20"/>
              <w:jc w:val="both"/>
              <w:rPr>
                <w:sz w:val="22"/>
                <w:szCs w:val="22"/>
                <w:lang w:val="es-ES_tradnl"/>
              </w:rPr>
            </w:pPr>
            <w:r w:rsidRPr="00BC1D0C">
              <w:rPr>
                <w:sz w:val="22"/>
                <w:szCs w:val="22"/>
                <w:lang w:val="es-MX"/>
              </w:rPr>
              <w:t>Informe</w:t>
            </w:r>
            <w:r w:rsidRPr="00431947">
              <w:rPr>
                <w:sz w:val="22"/>
                <w:szCs w:val="22"/>
                <w:lang w:val="es-ES_tradnl"/>
              </w:rPr>
              <w:t xml:space="preserve"> del Departamento de Derecho Internacional sobre la promoción y difusión del derecho internacional privado entre los Estados Miembros, en colaboración con los organismos y asociaciones que trabajan en este ámbito</w:t>
            </w:r>
          </w:p>
          <w:p w:rsidR="00BC1D0C" w:rsidRPr="00431947" w:rsidRDefault="00880635" w:rsidP="00BC1D0C">
            <w:pPr>
              <w:widowControl w:val="0"/>
              <w:numPr>
                <w:ilvl w:val="0"/>
                <w:numId w:val="15"/>
              </w:numPr>
              <w:spacing w:before="20" w:after="20"/>
              <w:jc w:val="both"/>
              <w:rPr>
                <w:sz w:val="22"/>
                <w:szCs w:val="22"/>
              </w:rPr>
            </w:pPr>
            <w:r w:rsidRPr="00EA5736">
              <w:rPr>
                <w:sz w:val="22"/>
                <w:szCs w:val="22"/>
                <w:lang w:val="es-ES"/>
              </w:rPr>
              <w:t xml:space="preserve"> </w:t>
            </w:r>
            <w:r w:rsidR="00BC1D0C" w:rsidRPr="00BC1D0C">
              <w:rPr>
                <w:sz w:val="22"/>
                <w:szCs w:val="22"/>
                <w:lang w:val="es-MX"/>
              </w:rPr>
              <w:t>Diálogo</w:t>
            </w:r>
            <w:r w:rsidR="00BC1D0C">
              <w:rPr>
                <w:sz w:val="22"/>
                <w:szCs w:val="22"/>
                <w:lang w:val="es-ES_tradnl"/>
              </w:rPr>
              <w:t xml:space="preserve"> sobre algunas reformas a procedimientos de la OEA</w:t>
            </w:r>
          </w:p>
          <w:p w:rsidR="002D7ADC" w:rsidRPr="00BC1D0C" w:rsidRDefault="00BC1D0C" w:rsidP="00BC1D0C">
            <w:pPr>
              <w:spacing w:before="20" w:after="20"/>
              <w:ind w:left="434"/>
              <w:jc w:val="both"/>
              <w:rPr>
                <w:sz w:val="22"/>
                <w:szCs w:val="22"/>
                <w:lang w:val="es-ES_tradnl" w:eastAsia="es-ES"/>
              </w:rPr>
            </w:pPr>
            <w:r w:rsidRPr="00BC1D0C">
              <w:rPr>
                <w:i/>
                <w:sz w:val="22"/>
                <w:szCs w:val="22"/>
                <w:lang w:val="es-ES"/>
              </w:rPr>
              <w:t>Presentación</w:t>
            </w:r>
            <w:r w:rsidRPr="00BC1D0C">
              <w:rPr>
                <w:i/>
                <w:sz w:val="22"/>
                <w:szCs w:val="22"/>
                <w:lang w:val="es-MX"/>
              </w:rPr>
              <w:t xml:space="preserve"> a cargo de la Presidencia</w:t>
            </w:r>
          </w:p>
        </w:tc>
      </w:tr>
      <w:tr w:rsidR="00CA73FB" w:rsidRPr="00EA5736" w:rsidTr="002D7ADC">
        <w:trPr>
          <w:jc w:val="center"/>
        </w:trPr>
        <w:tc>
          <w:tcPr>
            <w:tcW w:w="14179" w:type="dxa"/>
            <w:gridSpan w:val="2"/>
            <w:shd w:val="pct15" w:color="auto" w:fill="auto"/>
          </w:tcPr>
          <w:p w:rsidR="00CA73FB" w:rsidRPr="00EA5736" w:rsidRDefault="00CA73FB" w:rsidP="00EA5736">
            <w:pPr>
              <w:tabs>
                <w:tab w:val="left" w:pos="342"/>
              </w:tabs>
              <w:spacing w:before="20" w:after="20"/>
              <w:ind w:left="360" w:hanging="360"/>
              <w:jc w:val="center"/>
              <w:rPr>
                <w:b/>
                <w:sz w:val="22"/>
                <w:szCs w:val="22"/>
                <w:lang w:val="es-ES" w:eastAsia="es-ES"/>
              </w:rPr>
            </w:pPr>
            <w:r w:rsidRPr="00EA5736">
              <w:rPr>
                <w:b/>
                <w:sz w:val="22"/>
                <w:szCs w:val="22"/>
                <w:lang w:val="es-ES" w:eastAsia="es-ES"/>
              </w:rPr>
              <w:t>FEBRERO DE 20</w:t>
            </w:r>
            <w:r w:rsidR="002D7ADC" w:rsidRPr="00EA5736">
              <w:rPr>
                <w:b/>
                <w:sz w:val="22"/>
                <w:szCs w:val="22"/>
                <w:lang w:val="es-ES" w:eastAsia="es-ES"/>
              </w:rPr>
              <w:t>20</w:t>
            </w:r>
          </w:p>
        </w:tc>
      </w:tr>
      <w:tr w:rsidR="008F7CE0" w:rsidRPr="00850278" w:rsidTr="002D7ADC">
        <w:trPr>
          <w:jc w:val="center"/>
        </w:trPr>
        <w:tc>
          <w:tcPr>
            <w:tcW w:w="2577" w:type="dxa"/>
            <w:shd w:val="clear" w:color="auto" w:fill="auto"/>
          </w:tcPr>
          <w:p w:rsidR="00CA73FB" w:rsidRPr="008F7CE0" w:rsidRDefault="00CA73FB" w:rsidP="00EA5736">
            <w:pPr>
              <w:spacing w:before="20" w:after="20"/>
              <w:jc w:val="center"/>
              <w:rPr>
                <w:sz w:val="22"/>
                <w:szCs w:val="22"/>
                <w:lang w:val="es-ES" w:eastAsia="es-ES"/>
              </w:rPr>
            </w:pPr>
            <w:r w:rsidRPr="008F7CE0">
              <w:rPr>
                <w:sz w:val="22"/>
                <w:szCs w:val="22"/>
                <w:lang w:val="es-ES" w:eastAsia="es-ES"/>
              </w:rPr>
              <w:t>Jueves</w:t>
            </w:r>
          </w:p>
          <w:p w:rsidR="00CA73FB" w:rsidRPr="008F7CE0" w:rsidRDefault="00CA73FB" w:rsidP="00EA5736">
            <w:pPr>
              <w:spacing w:before="20" w:after="20"/>
              <w:jc w:val="center"/>
              <w:rPr>
                <w:sz w:val="22"/>
                <w:szCs w:val="22"/>
                <w:lang w:val="es-ES" w:eastAsia="es-ES"/>
              </w:rPr>
            </w:pPr>
            <w:r w:rsidRPr="008F7CE0">
              <w:rPr>
                <w:sz w:val="22"/>
                <w:szCs w:val="22"/>
                <w:lang w:val="es-ES" w:eastAsia="es-ES"/>
              </w:rPr>
              <w:t>13 de febrero de 2020</w:t>
            </w:r>
          </w:p>
          <w:p w:rsidR="00CA73FB" w:rsidRPr="008F7CE0" w:rsidRDefault="00CA73FB" w:rsidP="00EA5736">
            <w:pPr>
              <w:spacing w:before="20" w:after="20"/>
              <w:jc w:val="center"/>
              <w:rPr>
                <w:sz w:val="22"/>
                <w:szCs w:val="22"/>
                <w:lang w:val="es-ES" w:eastAsia="es-ES"/>
              </w:rPr>
            </w:pPr>
            <w:r w:rsidRPr="008F7CE0">
              <w:rPr>
                <w:sz w:val="22"/>
                <w:szCs w:val="22"/>
                <w:lang w:val="es-ES" w:eastAsia="es-ES"/>
              </w:rPr>
              <w:t>2:30 p.m. - 5:30 p.m.</w:t>
            </w:r>
          </w:p>
          <w:p w:rsidR="00CA73FB" w:rsidRPr="008F7CE0" w:rsidRDefault="00CA73FB" w:rsidP="00EA5736">
            <w:pPr>
              <w:spacing w:before="20" w:after="20"/>
              <w:jc w:val="both"/>
              <w:rPr>
                <w:sz w:val="22"/>
                <w:szCs w:val="22"/>
                <w:lang w:val="es-ES"/>
              </w:rPr>
            </w:pPr>
            <w:r w:rsidRPr="008F7CE0">
              <w:rPr>
                <w:sz w:val="22"/>
                <w:szCs w:val="22"/>
                <w:lang w:val="es-ES" w:eastAsia="es-ES"/>
              </w:rPr>
              <w:t>Salón L. Simón Bolívar</w:t>
            </w:r>
          </w:p>
        </w:tc>
        <w:tc>
          <w:tcPr>
            <w:tcW w:w="11602" w:type="dxa"/>
            <w:shd w:val="clear" w:color="auto" w:fill="auto"/>
            <w:vAlign w:val="center"/>
          </w:tcPr>
          <w:p w:rsidR="001B040D" w:rsidRPr="005470C2" w:rsidRDefault="001B040D" w:rsidP="001B040D">
            <w:pPr>
              <w:numPr>
                <w:ilvl w:val="0"/>
                <w:numId w:val="28"/>
              </w:numPr>
              <w:spacing w:before="20" w:after="20"/>
              <w:jc w:val="both"/>
              <w:rPr>
                <w:sz w:val="22"/>
                <w:szCs w:val="22"/>
                <w:lang w:val="es-ES" w:eastAsia="es-ES"/>
              </w:rPr>
            </w:pPr>
            <w:r w:rsidRPr="005470C2">
              <w:rPr>
                <w:sz w:val="22"/>
                <w:szCs w:val="22"/>
                <w:lang w:val="es-ES_tradnl"/>
              </w:rPr>
              <w:t>Seguimiento a los mandatos de la resolución AG/RES. 2941 (XLIX-O/19) “Promoción y protección de derechos humanos”:</w:t>
            </w:r>
          </w:p>
          <w:p w:rsidR="00CA73FB" w:rsidRPr="005470C2" w:rsidRDefault="001B040D" w:rsidP="002B6E89">
            <w:pPr>
              <w:numPr>
                <w:ilvl w:val="0"/>
                <w:numId w:val="6"/>
              </w:numPr>
              <w:spacing w:before="20" w:after="20"/>
              <w:jc w:val="both"/>
              <w:rPr>
                <w:strike/>
                <w:sz w:val="22"/>
                <w:szCs w:val="22"/>
                <w:lang w:val="es-ES" w:eastAsia="es-ES"/>
              </w:rPr>
            </w:pPr>
            <w:r w:rsidRPr="005470C2">
              <w:rPr>
                <w:sz w:val="22"/>
                <w:szCs w:val="22"/>
                <w:u w:val="single"/>
                <w:lang w:val="es-ES"/>
              </w:rPr>
              <w:t>Sección v</w:t>
            </w:r>
            <w:r w:rsidRPr="005470C2">
              <w:rPr>
                <w:sz w:val="22"/>
                <w:szCs w:val="22"/>
                <w:lang w:val="es-ES"/>
              </w:rPr>
              <w:t>. Derechos del niño, la niña y adolescentes</w:t>
            </w:r>
          </w:p>
          <w:p w:rsidR="00045B88" w:rsidRPr="00EA5736" w:rsidRDefault="00045B88" w:rsidP="00045B88">
            <w:pPr>
              <w:numPr>
                <w:ilvl w:val="0"/>
                <w:numId w:val="6"/>
              </w:numPr>
              <w:spacing w:before="20" w:after="20"/>
              <w:jc w:val="both"/>
              <w:rPr>
                <w:sz w:val="22"/>
                <w:szCs w:val="22"/>
                <w:lang w:val="es-ES"/>
              </w:rPr>
            </w:pPr>
            <w:r w:rsidRPr="00EA5736">
              <w:rPr>
                <w:sz w:val="22"/>
                <w:szCs w:val="22"/>
                <w:u w:val="single"/>
                <w:lang w:val="es-ES"/>
              </w:rPr>
              <w:t>Sección</w:t>
            </w:r>
            <w:r w:rsidRPr="00EA5736">
              <w:rPr>
                <w:sz w:val="22"/>
                <w:szCs w:val="22"/>
                <w:u w:val="single"/>
                <w:lang w:val="es-ES" w:eastAsia="es-ES"/>
              </w:rPr>
              <w:t xml:space="preserve"> ix.</w:t>
            </w:r>
            <w:r w:rsidRPr="00EA5736">
              <w:rPr>
                <w:sz w:val="22"/>
                <w:szCs w:val="22"/>
                <w:lang w:val="es-ES" w:eastAsia="es-ES"/>
              </w:rPr>
              <w:t xml:space="preserve">: </w:t>
            </w:r>
            <w:r w:rsidRPr="00EA5736">
              <w:rPr>
                <w:sz w:val="22"/>
                <w:szCs w:val="22"/>
                <w:lang w:val="es-MX"/>
              </w:rPr>
              <w:t>El poder de la inclusión y las ventajas de la diversidad:</w:t>
            </w:r>
          </w:p>
          <w:p w:rsidR="00045B88" w:rsidRPr="00EA5736" w:rsidRDefault="00045B88" w:rsidP="00045B88">
            <w:pPr>
              <w:numPr>
                <w:ilvl w:val="1"/>
                <w:numId w:val="33"/>
              </w:numPr>
              <w:tabs>
                <w:tab w:val="left" w:pos="843"/>
              </w:tabs>
              <w:spacing w:before="20" w:after="20"/>
              <w:jc w:val="both"/>
              <w:rPr>
                <w:sz w:val="22"/>
                <w:szCs w:val="22"/>
                <w:lang w:val="es-ES_tradnl"/>
              </w:rPr>
            </w:pPr>
            <w:r w:rsidRPr="00EA5736">
              <w:rPr>
                <w:sz w:val="22"/>
                <w:szCs w:val="22"/>
                <w:lang w:val="es-ES"/>
              </w:rPr>
              <w:t>Preparativos</w:t>
            </w:r>
            <w:r w:rsidRPr="00EA5736">
              <w:rPr>
                <w:sz w:val="22"/>
                <w:szCs w:val="22"/>
                <w:lang w:val="es-ES" w:eastAsia="es-ES"/>
              </w:rPr>
              <w:t xml:space="preserve"> de la sesión extraordinaria “</w:t>
            </w:r>
            <w:r w:rsidRPr="00EA5736">
              <w:rPr>
                <w:sz w:val="22"/>
                <w:szCs w:val="22"/>
                <w:lang w:val="es-MX"/>
              </w:rPr>
              <w:t>El poder de la inclusión y las ventajas de la diversidad”.</w:t>
            </w:r>
            <w:r w:rsidRPr="00EA5736">
              <w:rPr>
                <w:sz w:val="22"/>
                <w:szCs w:val="22"/>
                <w:lang w:val="es-ES"/>
              </w:rPr>
              <w:t xml:space="preserve"> </w:t>
            </w:r>
          </w:p>
          <w:p w:rsidR="0046751E" w:rsidRPr="0046751E" w:rsidRDefault="005470C2" w:rsidP="0046751E">
            <w:pPr>
              <w:numPr>
                <w:ilvl w:val="0"/>
                <w:numId w:val="28"/>
              </w:numPr>
              <w:spacing w:before="20" w:after="20"/>
              <w:jc w:val="both"/>
              <w:rPr>
                <w:strike/>
                <w:sz w:val="22"/>
                <w:szCs w:val="22"/>
                <w:lang w:val="es-ES" w:eastAsia="es-ES"/>
              </w:rPr>
            </w:pPr>
            <w:r w:rsidRPr="005470C2">
              <w:rPr>
                <w:sz w:val="22"/>
                <w:szCs w:val="22"/>
                <w:lang w:val="es-ES_tradnl"/>
              </w:rPr>
              <w:t>Protección</w:t>
            </w:r>
            <w:r w:rsidRPr="005470C2">
              <w:rPr>
                <w:sz w:val="22"/>
                <w:szCs w:val="22"/>
                <w:lang w:val="es-ES"/>
              </w:rPr>
              <w:t xml:space="preserve"> de los derechos humanos de las personas mayores. </w:t>
            </w:r>
          </w:p>
          <w:p w:rsidR="0046751E" w:rsidRPr="008F7CE0" w:rsidRDefault="0046751E" w:rsidP="0046751E">
            <w:pPr>
              <w:numPr>
                <w:ilvl w:val="0"/>
                <w:numId w:val="28"/>
              </w:numPr>
              <w:spacing w:before="20" w:after="20"/>
              <w:jc w:val="both"/>
              <w:rPr>
                <w:strike/>
                <w:sz w:val="22"/>
                <w:szCs w:val="22"/>
                <w:lang w:val="es-ES" w:eastAsia="es-ES"/>
              </w:rPr>
            </w:pPr>
            <w:r w:rsidRPr="0046751E">
              <w:rPr>
                <w:sz w:val="22"/>
                <w:szCs w:val="22"/>
                <w:lang w:val="es-ES_tradnl"/>
              </w:rPr>
              <w:t xml:space="preserve">Consideración de la propuesta de metodología para la presentación y negociación de proyectos de resolución en la </w:t>
            </w:r>
            <w:r w:rsidR="005B0571" w:rsidRPr="0046751E">
              <w:rPr>
                <w:sz w:val="22"/>
                <w:szCs w:val="22"/>
                <w:lang w:val="es-ES_tradnl"/>
              </w:rPr>
              <w:t xml:space="preserve">Comisión </w:t>
            </w:r>
            <w:r w:rsidRPr="0046751E">
              <w:rPr>
                <w:sz w:val="22"/>
                <w:szCs w:val="22"/>
                <w:lang w:val="es-ES_tradnl"/>
              </w:rPr>
              <w:t xml:space="preserve">de </w:t>
            </w:r>
            <w:r w:rsidR="005B0571" w:rsidRPr="0046751E">
              <w:rPr>
                <w:sz w:val="22"/>
                <w:szCs w:val="22"/>
                <w:lang w:val="es-ES_tradnl"/>
              </w:rPr>
              <w:t xml:space="preserve">Asuntos Jurídicos </w:t>
            </w:r>
            <w:r w:rsidRPr="0046751E">
              <w:rPr>
                <w:sz w:val="22"/>
                <w:szCs w:val="22"/>
                <w:lang w:val="es-ES_tradnl"/>
              </w:rPr>
              <w:t xml:space="preserve">y </w:t>
            </w:r>
            <w:r w:rsidR="005B0571" w:rsidRPr="0046751E">
              <w:rPr>
                <w:sz w:val="22"/>
                <w:szCs w:val="22"/>
                <w:lang w:val="es-ES_tradnl"/>
              </w:rPr>
              <w:t xml:space="preserve">Políticos </w:t>
            </w:r>
            <w:r w:rsidRPr="0046751E">
              <w:rPr>
                <w:sz w:val="22"/>
                <w:szCs w:val="22"/>
                <w:lang w:val="es-ES_tradnl"/>
              </w:rPr>
              <w:t xml:space="preserve">a ser transmitidos al quincuagésimo período ordinario de sesiones de la </w:t>
            </w:r>
            <w:r w:rsidR="005B0571" w:rsidRPr="0046751E">
              <w:rPr>
                <w:sz w:val="22"/>
                <w:szCs w:val="22"/>
                <w:lang w:val="es-ES_tradnl"/>
              </w:rPr>
              <w:t>Asamblea General</w:t>
            </w:r>
          </w:p>
        </w:tc>
      </w:tr>
      <w:tr w:rsidR="00BC1D0C" w:rsidRPr="00850278" w:rsidTr="009379BD">
        <w:trPr>
          <w:jc w:val="center"/>
        </w:trPr>
        <w:tc>
          <w:tcPr>
            <w:tcW w:w="2577" w:type="dxa"/>
            <w:shd w:val="clear" w:color="auto" w:fill="auto"/>
          </w:tcPr>
          <w:p w:rsidR="00BC1D0C" w:rsidRPr="00EA5736" w:rsidRDefault="00BC1D0C" w:rsidP="009379BD">
            <w:pPr>
              <w:spacing w:before="20" w:after="20"/>
              <w:jc w:val="center"/>
              <w:rPr>
                <w:sz w:val="22"/>
                <w:szCs w:val="22"/>
                <w:lang w:val="es-ES" w:eastAsia="es-ES"/>
              </w:rPr>
            </w:pPr>
            <w:r w:rsidRPr="00EA5736">
              <w:rPr>
                <w:sz w:val="22"/>
                <w:szCs w:val="22"/>
                <w:lang w:val="es-ES" w:eastAsia="es-ES"/>
              </w:rPr>
              <w:t>Jueves</w:t>
            </w:r>
          </w:p>
          <w:p w:rsidR="00BC1D0C" w:rsidRPr="00EA5736" w:rsidRDefault="00BC1D0C" w:rsidP="009379BD">
            <w:pPr>
              <w:spacing w:before="20" w:after="20"/>
              <w:jc w:val="center"/>
              <w:rPr>
                <w:sz w:val="22"/>
                <w:szCs w:val="22"/>
                <w:lang w:val="es-ES" w:eastAsia="es-ES"/>
              </w:rPr>
            </w:pPr>
            <w:r>
              <w:rPr>
                <w:sz w:val="22"/>
                <w:szCs w:val="22"/>
                <w:lang w:val="es-ES" w:eastAsia="es-ES"/>
              </w:rPr>
              <w:t>20</w:t>
            </w:r>
            <w:r w:rsidRPr="00EA5736">
              <w:rPr>
                <w:sz w:val="22"/>
                <w:szCs w:val="22"/>
                <w:lang w:val="es-ES" w:eastAsia="es-ES"/>
              </w:rPr>
              <w:t xml:space="preserve"> de </w:t>
            </w:r>
            <w:r>
              <w:rPr>
                <w:sz w:val="22"/>
                <w:szCs w:val="22"/>
                <w:lang w:val="es-ES" w:eastAsia="es-ES"/>
              </w:rPr>
              <w:t>febrero</w:t>
            </w:r>
            <w:r w:rsidRPr="00EA5736">
              <w:rPr>
                <w:sz w:val="22"/>
                <w:szCs w:val="22"/>
                <w:lang w:val="es-ES" w:eastAsia="es-ES"/>
              </w:rPr>
              <w:t xml:space="preserve"> de 2020</w:t>
            </w:r>
          </w:p>
          <w:p w:rsidR="00BC1D0C" w:rsidRPr="00EA5736" w:rsidRDefault="00BC1D0C" w:rsidP="009379BD">
            <w:pPr>
              <w:spacing w:before="20" w:after="20"/>
              <w:jc w:val="center"/>
              <w:rPr>
                <w:sz w:val="22"/>
                <w:szCs w:val="22"/>
                <w:lang w:val="es-ES" w:eastAsia="es-ES"/>
              </w:rPr>
            </w:pPr>
            <w:r w:rsidRPr="00EA5736">
              <w:rPr>
                <w:sz w:val="22"/>
                <w:szCs w:val="22"/>
                <w:lang w:val="es-ES" w:eastAsia="es-ES"/>
              </w:rPr>
              <w:t>2:30 p.m. - 5:30 p.m.</w:t>
            </w:r>
          </w:p>
          <w:p w:rsidR="00BC1D0C" w:rsidRPr="00EA5736" w:rsidRDefault="00BC1D0C" w:rsidP="009379BD">
            <w:pPr>
              <w:spacing w:before="20" w:after="20"/>
              <w:jc w:val="center"/>
              <w:rPr>
                <w:sz w:val="22"/>
                <w:szCs w:val="22"/>
                <w:lang w:val="es-ES" w:eastAsia="es-ES"/>
              </w:rPr>
            </w:pPr>
            <w:r w:rsidRPr="00EA5736">
              <w:rPr>
                <w:sz w:val="22"/>
                <w:szCs w:val="22"/>
                <w:lang w:val="es-ES" w:eastAsia="es-ES"/>
              </w:rPr>
              <w:t>Salón L. Simón Bolívar</w:t>
            </w:r>
          </w:p>
        </w:tc>
        <w:tc>
          <w:tcPr>
            <w:tcW w:w="11602" w:type="dxa"/>
            <w:shd w:val="clear" w:color="auto" w:fill="auto"/>
            <w:vAlign w:val="center"/>
          </w:tcPr>
          <w:p w:rsidR="00BC1D0C" w:rsidRPr="00EA5736" w:rsidRDefault="00BC1D0C" w:rsidP="009379BD">
            <w:pPr>
              <w:spacing w:before="20" w:after="20"/>
              <w:rPr>
                <w:sz w:val="22"/>
                <w:szCs w:val="22"/>
                <w:lang w:val="es-ES"/>
              </w:rPr>
            </w:pPr>
            <w:r w:rsidRPr="004D0462">
              <w:rPr>
                <w:sz w:val="22"/>
                <w:szCs w:val="22"/>
                <w:lang w:val="es-MX"/>
              </w:rPr>
              <w:t xml:space="preserve">Sesión extraordinaria </w:t>
            </w:r>
            <w:r>
              <w:rPr>
                <w:sz w:val="22"/>
                <w:szCs w:val="22"/>
                <w:lang w:val="es-MX"/>
              </w:rPr>
              <w:t>para compartir lecciones aprendidas e intercambiar buenas prácticas a fin de promover un diálogo regional sobre el derecho a la libertad de pensamiento, de conciencia y de religión o creencia</w:t>
            </w:r>
            <w:r w:rsidRPr="00EA5736">
              <w:rPr>
                <w:sz w:val="22"/>
                <w:szCs w:val="22"/>
                <w:lang w:val="es-ES"/>
              </w:rPr>
              <w:t xml:space="preserve"> - sección </w:t>
            </w:r>
            <w:r w:rsidRPr="00EA5736">
              <w:rPr>
                <w:sz w:val="22"/>
                <w:szCs w:val="22"/>
                <w:lang w:val="es-ES" w:eastAsia="es-ES"/>
              </w:rPr>
              <w:t xml:space="preserve">xviii. de la resolución </w:t>
            </w:r>
            <w:r w:rsidRPr="00EA5736">
              <w:rPr>
                <w:sz w:val="22"/>
                <w:szCs w:val="22"/>
                <w:lang w:val="es-ES_tradnl"/>
              </w:rPr>
              <w:t>AG/RES. 2941 (XLIX-O/19).</w:t>
            </w:r>
          </w:p>
        </w:tc>
      </w:tr>
      <w:tr w:rsidR="00CC52BA" w:rsidRPr="00850278" w:rsidTr="002D7ADC">
        <w:trPr>
          <w:jc w:val="center"/>
        </w:trPr>
        <w:tc>
          <w:tcPr>
            <w:tcW w:w="2577" w:type="dxa"/>
            <w:shd w:val="clear" w:color="auto" w:fill="auto"/>
          </w:tcPr>
          <w:p w:rsidR="00CC52BA" w:rsidRPr="00EA5736" w:rsidRDefault="00CC52BA" w:rsidP="00EA5736">
            <w:pPr>
              <w:spacing w:before="20" w:after="20"/>
              <w:jc w:val="center"/>
              <w:rPr>
                <w:sz w:val="22"/>
                <w:szCs w:val="22"/>
                <w:lang w:val="es-ES" w:eastAsia="es-ES"/>
              </w:rPr>
            </w:pPr>
            <w:r w:rsidRPr="00EA5736">
              <w:rPr>
                <w:sz w:val="22"/>
                <w:szCs w:val="22"/>
                <w:lang w:val="es-ES" w:eastAsia="es-ES"/>
              </w:rPr>
              <w:t>Jueves</w:t>
            </w:r>
          </w:p>
          <w:p w:rsidR="00CC52BA" w:rsidRPr="00EA5736" w:rsidRDefault="00CC52BA" w:rsidP="00EA5736">
            <w:pPr>
              <w:tabs>
                <w:tab w:val="center" w:pos="1180"/>
              </w:tabs>
              <w:spacing w:before="20" w:after="20"/>
              <w:rPr>
                <w:sz w:val="22"/>
                <w:szCs w:val="22"/>
                <w:lang w:val="es-ES" w:eastAsia="es-ES"/>
              </w:rPr>
            </w:pPr>
            <w:r w:rsidRPr="00EA5736">
              <w:rPr>
                <w:sz w:val="22"/>
                <w:szCs w:val="22"/>
                <w:lang w:val="es-ES" w:eastAsia="es-ES"/>
              </w:rPr>
              <w:tab/>
              <w:t>27 de febrero de 2020</w:t>
            </w:r>
          </w:p>
          <w:p w:rsidR="00CC52BA" w:rsidRPr="00EA5736" w:rsidRDefault="00CC52BA" w:rsidP="00EA5736">
            <w:pPr>
              <w:spacing w:before="20" w:after="20"/>
              <w:jc w:val="center"/>
              <w:rPr>
                <w:sz w:val="22"/>
                <w:szCs w:val="22"/>
                <w:lang w:val="es-ES" w:eastAsia="es-ES"/>
              </w:rPr>
            </w:pPr>
            <w:r w:rsidRPr="00EA5736">
              <w:rPr>
                <w:sz w:val="22"/>
                <w:szCs w:val="22"/>
                <w:lang w:val="es-ES" w:eastAsia="es-ES"/>
              </w:rPr>
              <w:t xml:space="preserve">2:30 p.m. </w:t>
            </w:r>
            <w:r w:rsidR="003C1E96" w:rsidRPr="00EA5736">
              <w:rPr>
                <w:sz w:val="22"/>
                <w:szCs w:val="22"/>
                <w:lang w:val="es-ES" w:eastAsia="es-ES"/>
              </w:rPr>
              <w:t>–</w:t>
            </w:r>
            <w:r w:rsidRPr="00EA5736">
              <w:rPr>
                <w:sz w:val="22"/>
                <w:szCs w:val="22"/>
                <w:lang w:val="es-ES" w:eastAsia="es-ES"/>
              </w:rPr>
              <w:t xml:space="preserve"> </w:t>
            </w:r>
            <w:r w:rsidR="003C1E96" w:rsidRPr="00EA5736">
              <w:rPr>
                <w:sz w:val="22"/>
                <w:szCs w:val="22"/>
                <w:lang w:val="es-ES" w:eastAsia="es-ES"/>
              </w:rPr>
              <w:t>4:00</w:t>
            </w:r>
            <w:r w:rsidRPr="00EA5736">
              <w:rPr>
                <w:sz w:val="22"/>
                <w:szCs w:val="22"/>
                <w:lang w:val="es-ES" w:eastAsia="es-ES"/>
              </w:rPr>
              <w:t xml:space="preserve"> p.m.</w:t>
            </w:r>
          </w:p>
          <w:p w:rsidR="00CC52BA" w:rsidRPr="00EA5736" w:rsidRDefault="00CC52BA" w:rsidP="00EA5736">
            <w:pPr>
              <w:spacing w:before="20" w:after="20"/>
              <w:jc w:val="both"/>
              <w:rPr>
                <w:sz w:val="22"/>
                <w:szCs w:val="22"/>
                <w:lang w:val="es-ES"/>
              </w:rPr>
            </w:pPr>
            <w:r w:rsidRPr="00EA5736">
              <w:rPr>
                <w:sz w:val="22"/>
                <w:szCs w:val="22"/>
                <w:lang w:val="es-ES" w:eastAsia="es-ES"/>
              </w:rPr>
              <w:t>Salón L. Simón Bolívar</w:t>
            </w:r>
          </w:p>
        </w:tc>
        <w:tc>
          <w:tcPr>
            <w:tcW w:w="11602" w:type="dxa"/>
            <w:shd w:val="clear" w:color="auto" w:fill="auto"/>
            <w:vAlign w:val="center"/>
          </w:tcPr>
          <w:p w:rsidR="00CC52BA" w:rsidRPr="00EA5736" w:rsidRDefault="00703EC5" w:rsidP="00EA5736">
            <w:pPr>
              <w:spacing w:before="20" w:after="20"/>
              <w:jc w:val="both"/>
              <w:rPr>
                <w:strike/>
                <w:sz w:val="22"/>
                <w:szCs w:val="22"/>
                <w:lang w:val="es-ES" w:eastAsia="es-ES"/>
              </w:rPr>
            </w:pPr>
            <w:r w:rsidRPr="00EA5736">
              <w:rPr>
                <w:sz w:val="22"/>
                <w:szCs w:val="22"/>
                <w:lang w:val="es-ES" w:eastAsia="es-ES"/>
              </w:rPr>
              <w:t xml:space="preserve">Sesión extraordinaria </w:t>
            </w:r>
            <w:r w:rsidR="00CC52BA" w:rsidRPr="00EA5736">
              <w:rPr>
                <w:sz w:val="22"/>
                <w:szCs w:val="22"/>
                <w:lang w:val="es-ES" w:eastAsia="es-ES"/>
              </w:rPr>
              <w:t>“</w:t>
            </w:r>
            <w:r w:rsidR="00A04FAA" w:rsidRPr="00A04FAA">
              <w:rPr>
                <w:sz w:val="22"/>
                <w:szCs w:val="22"/>
                <w:lang w:val="es-MX"/>
              </w:rPr>
              <w:t>Diálogo inclusivo para la prevención, gestión eficaz y solución integral de la conflictividad social en la inversión para el desarrollo integral</w:t>
            </w:r>
            <w:r w:rsidR="00CC52BA" w:rsidRPr="00EA5736">
              <w:rPr>
                <w:sz w:val="22"/>
                <w:szCs w:val="22"/>
                <w:lang w:val="es-US"/>
              </w:rPr>
              <w:t>”</w:t>
            </w:r>
            <w:r w:rsidRPr="00EA5736">
              <w:rPr>
                <w:sz w:val="22"/>
                <w:szCs w:val="22"/>
                <w:lang w:val="es-US"/>
              </w:rPr>
              <w:t xml:space="preserve"> - </w:t>
            </w:r>
            <w:r w:rsidRPr="00EA5736">
              <w:rPr>
                <w:sz w:val="22"/>
                <w:szCs w:val="22"/>
                <w:lang w:val="es-ES"/>
              </w:rPr>
              <w:t>sección</w:t>
            </w:r>
            <w:r w:rsidR="00CC52BA" w:rsidRPr="00EA5736">
              <w:rPr>
                <w:sz w:val="22"/>
                <w:szCs w:val="22"/>
                <w:lang w:val="es-ES"/>
              </w:rPr>
              <w:t xml:space="preserve"> v</w:t>
            </w:r>
            <w:r w:rsidR="00CC52BA" w:rsidRPr="00EA5736">
              <w:rPr>
                <w:sz w:val="22"/>
                <w:szCs w:val="22"/>
                <w:lang w:val="es-ES" w:eastAsia="es-ES"/>
              </w:rPr>
              <w:t xml:space="preserve">. de la resolución </w:t>
            </w:r>
            <w:r w:rsidR="00CC52BA" w:rsidRPr="00EA5736">
              <w:rPr>
                <w:sz w:val="22"/>
                <w:szCs w:val="22"/>
                <w:lang w:val="es-ES_tradnl"/>
              </w:rPr>
              <w:t>AG/RES. 2931 (XLIX-O/19).</w:t>
            </w:r>
          </w:p>
        </w:tc>
      </w:tr>
    </w:tbl>
    <w:p w:rsidR="00516F41" w:rsidRPr="00401894" w:rsidRDefault="00516F41">
      <w:pPr>
        <w:rPr>
          <w:lang w:val="es-US"/>
        </w:rPr>
      </w:pPr>
      <w:r w:rsidRPr="00401894">
        <w:rPr>
          <w:lang w:val="es-US"/>
        </w:rPr>
        <w:br w:type="page"/>
      </w:r>
    </w:p>
    <w:tbl>
      <w:tblPr>
        <w:tblW w:w="14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11602"/>
      </w:tblGrid>
      <w:tr w:rsidR="00CC52BA" w:rsidRPr="00850278" w:rsidTr="002D7ADC">
        <w:trPr>
          <w:jc w:val="center"/>
        </w:trPr>
        <w:tc>
          <w:tcPr>
            <w:tcW w:w="2577" w:type="dxa"/>
            <w:shd w:val="clear" w:color="auto" w:fill="auto"/>
          </w:tcPr>
          <w:p w:rsidR="00CC52BA" w:rsidRPr="00EA5736" w:rsidRDefault="00CC52BA" w:rsidP="00EA5736">
            <w:pPr>
              <w:spacing w:before="20" w:after="20"/>
              <w:jc w:val="center"/>
              <w:rPr>
                <w:sz w:val="22"/>
                <w:szCs w:val="22"/>
                <w:lang w:val="es-ES" w:eastAsia="es-ES"/>
              </w:rPr>
            </w:pPr>
            <w:r w:rsidRPr="00EA5736">
              <w:rPr>
                <w:sz w:val="22"/>
                <w:szCs w:val="22"/>
                <w:lang w:val="es-ES" w:eastAsia="es-ES"/>
              </w:rPr>
              <w:lastRenderedPageBreak/>
              <w:t>Jueves</w:t>
            </w:r>
          </w:p>
          <w:p w:rsidR="00CC52BA" w:rsidRPr="00EA5736" w:rsidRDefault="00CC52BA" w:rsidP="00EA5736">
            <w:pPr>
              <w:tabs>
                <w:tab w:val="center" w:pos="1180"/>
              </w:tabs>
              <w:spacing w:before="20" w:after="20"/>
              <w:rPr>
                <w:sz w:val="22"/>
                <w:szCs w:val="22"/>
                <w:lang w:val="es-ES" w:eastAsia="es-ES"/>
              </w:rPr>
            </w:pPr>
            <w:r w:rsidRPr="00EA5736">
              <w:rPr>
                <w:sz w:val="22"/>
                <w:szCs w:val="22"/>
                <w:lang w:val="es-ES" w:eastAsia="es-ES"/>
              </w:rPr>
              <w:tab/>
              <w:t>27 de febrero de 2020</w:t>
            </w:r>
          </w:p>
          <w:p w:rsidR="00CC52BA" w:rsidRPr="00EA5736" w:rsidRDefault="003C1E96" w:rsidP="00EA5736">
            <w:pPr>
              <w:spacing w:before="20" w:after="20"/>
              <w:jc w:val="center"/>
              <w:rPr>
                <w:sz w:val="22"/>
                <w:szCs w:val="22"/>
                <w:lang w:val="es-ES" w:eastAsia="es-ES"/>
              </w:rPr>
            </w:pPr>
            <w:r w:rsidRPr="00EA5736">
              <w:rPr>
                <w:sz w:val="22"/>
                <w:szCs w:val="22"/>
                <w:lang w:val="es-ES" w:eastAsia="es-ES"/>
              </w:rPr>
              <w:t>4:00</w:t>
            </w:r>
            <w:r w:rsidR="00CC52BA" w:rsidRPr="00EA5736">
              <w:rPr>
                <w:sz w:val="22"/>
                <w:szCs w:val="22"/>
                <w:lang w:val="es-ES" w:eastAsia="es-ES"/>
              </w:rPr>
              <w:t xml:space="preserve"> p.m. - 5:30 p.m.</w:t>
            </w:r>
          </w:p>
          <w:p w:rsidR="00CC52BA" w:rsidRPr="00EA5736" w:rsidRDefault="00CC52BA" w:rsidP="00EA5736">
            <w:pPr>
              <w:spacing w:before="20" w:after="20"/>
              <w:jc w:val="both"/>
              <w:rPr>
                <w:sz w:val="22"/>
                <w:szCs w:val="22"/>
                <w:lang w:val="es-ES"/>
              </w:rPr>
            </w:pPr>
            <w:r w:rsidRPr="00EA5736">
              <w:rPr>
                <w:sz w:val="22"/>
                <w:szCs w:val="22"/>
                <w:lang w:val="es-ES" w:eastAsia="es-ES"/>
              </w:rPr>
              <w:t>Salón L. Simón Bolívar</w:t>
            </w:r>
          </w:p>
        </w:tc>
        <w:tc>
          <w:tcPr>
            <w:tcW w:w="11602" w:type="dxa"/>
            <w:shd w:val="clear" w:color="auto" w:fill="auto"/>
            <w:vAlign w:val="center"/>
          </w:tcPr>
          <w:p w:rsidR="00BC1D0C" w:rsidRPr="00EA5736" w:rsidRDefault="00BC1D0C" w:rsidP="00BC1D0C">
            <w:pPr>
              <w:numPr>
                <w:ilvl w:val="0"/>
                <w:numId w:val="26"/>
              </w:numPr>
              <w:spacing w:before="20" w:after="20"/>
              <w:ind w:left="393"/>
              <w:jc w:val="both"/>
              <w:rPr>
                <w:sz w:val="22"/>
                <w:szCs w:val="22"/>
                <w:lang w:val="es-ES" w:eastAsia="es-ES"/>
              </w:rPr>
            </w:pPr>
            <w:r w:rsidRPr="0046751E">
              <w:rPr>
                <w:sz w:val="22"/>
                <w:szCs w:val="22"/>
                <w:lang w:val="es-ES"/>
              </w:rPr>
              <w:t>Retos</w:t>
            </w:r>
            <w:r w:rsidRPr="00EA5736">
              <w:rPr>
                <w:sz w:val="22"/>
                <w:szCs w:val="22"/>
                <w:lang w:val="es-MX"/>
              </w:rPr>
              <w:t xml:space="preserve"> de la Secretaría para el Fortalecimiento de la Democracia para el año 2020.</w:t>
            </w:r>
          </w:p>
          <w:p w:rsidR="00BC1D0C" w:rsidRPr="00EA5736" w:rsidRDefault="00BC1D0C" w:rsidP="00BC1D0C">
            <w:pPr>
              <w:widowControl w:val="0"/>
              <w:spacing w:before="20" w:after="20"/>
              <w:ind w:left="360"/>
              <w:jc w:val="both"/>
              <w:rPr>
                <w:i/>
                <w:sz w:val="22"/>
                <w:szCs w:val="22"/>
                <w:lang w:val="es-ES" w:eastAsia="es-ES"/>
              </w:rPr>
            </w:pPr>
            <w:r w:rsidRPr="00EA5736">
              <w:rPr>
                <w:i/>
                <w:sz w:val="22"/>
                <w:szCs w:val="22"/>
                <w:lang w:val="es-MX"/>
              </w:rPr>
              <w:t>Presentación a cargo del Secretario para el F</w:t>
            </w:r>
            <w:r w:rsidR="00516F41">
              <w:rPr>
                <w:i/>
                <w:sz w:val="22"/>
                <w:szCs w:val="22"/>
                <w:lang w:val="es-MX"/>
              </w:rPr>
              <w:t>ortalecimiento de la Democracia.</w:t>
            </w:r>
          </w:p>
          <w:p w:rsidR="003C1E96" w:rsidRPr="00EA5736" w:rsidRDefault="003C1E96" w:rsidP="00EA5736">
            <w:pPr>
              <w:numPr>
                <w:ilvl w:val="0"/>
                <w:numId w:val="26"/>
              </w:numPr>
              <w:spacing w:before="20" w:after="20"/>
              <w:ind w:left="393"/>
              <w:jc w:val="both"/>
              <w:rPr>
                <w:sz w:val="22"/>
                <w:szCs w:val="22"/>
                <w:u w:val="single"/>
                <w:lang w:val="es-ES"/>
              </w:rPr>
            </w:pPr>
            <w:r w:rsidRPr="00EA5736">
              <w:rPr>
                <w:sz w:val="22"/>
                <w:szCs w:val="22"/>
                <w:lang w:val="es-ES_tradnl"/>
              </w:rPr>
              <w:t>Seguimiento a los mandatos de la resolución AG/RES. 2931 (XLIX-O/19) “Fortalecimiento de la democracia”:</w:t>
            </w:r>
          </w:p>
          <w:p w:rsidR="00CC52BA" w:rsidRPr="00EA5736" w:rsidRDefault="003C1E96" w:rsidP="00EA5736">
            <w:pPr>
              <w:numPr>
                <w:ilvl w:val="0"/>
                <w:numId w:val="6"/>
              </w:numPr>
              <w:spacing w:before="20" w:after="20"/>
              <w:jc w:val="both"/>
              <w:rPr>
                <w:strike/>
                <w:sz w:val="22"/>
                <w:szCs w:val="22"/>
                <w:lang w:val="es-MX" w:eastAsia="es-ES"/>
              </w:rPr>
            </w:pPr>
            <w:r w:rsidRPr="00EA5736">
              <w:rPr>
                <w:sz w:val="22"/>
                <w:szCs w:val="22"/>
                <w:u w:val="single"/>
                <w:lang w:val="es-MX"/>
              </w:rPr>
              <w:t>Sección i</w:t>
            </w:r>
            <w:r w:rsidRPr="00EA5736">
              <w:rPr>
                <w:sz w:val="22"/>
                <w:szCs w:val="22"/>
                <w:lang w:val="es-MX"/>
              </w:rPr>
              <w:t xml:space="preserve">.: Seguimiento de la Carta Democrática Interamericana. </w:t>
            </w:r>
          </w:p>
        </w:tc>
      </w:tr>
      <w:tr w:rsidR="00CC52BA" w:rsidRPr="00EA5736" w:rsidTr="002D7ADC">
        <w:trPr>
          <w:jc w:val="center"/>
        </w:trPr>
        <w:tc>
          <w:tcPr>
            <w:tcW w:w="14179" w:type="dxa"/>
            <w:gridSpan w:val="2"/>
            <w:shd w:val="pct15" w:color="auto" w:fill="auto"/>
          </w:tcPr>
          <w:p w:rsidR="00CC52BA" w:rsidRPr="00EA5736" w:rsidRDefault="00D61679" w:rsidP="00EA5736">
            <w:pPr>
              <w:tabs>
                <w:tab w:val="left" w:pos="342"/>
              </w:tabs>
              <w:spacing w:before="20" w:after="20"/>
              <w:ind w:left="360" w:hanging="360"/>
              <w:jc w:val="center"/>
              <w:rPr>
                <w:b/>
                <w:sz w:val="22"/>
                <w:szCs w:val="22"/>
                <w:lang w:val="es-ES" w:eastAsia="es-ES"/>
              </w:rPr>
            </w:pPr>
            <w:r>
              <w:rPr>
                <w:b/>
                <w:sz w:val="22"/>
                <w:szCs w:val="22"/>
                <w:lang w:val="es-ES" w:eastAsia="es-ES"/>
              </w:rPr>
              <w:t>ABRIL</w:t>
            </w:r>
            <w:r w:rsidR="00CC52BA" w:rsidRPr="00EA5736">
              <w:rPr>
                <w:b/>
                <w:sz w:val="22"/>
                <w:szCs w:val="22"/>
                <w:lang w:val="es-ES" w:eastAsia="es-ES"/>
              </w:rPr>
              <w:t xml:space="preserve"> DE 2020</w:t>
            </w:r>
          </w:p>
        </w:tc>
      </w:tr>
      <w:tr w:rsidR="00CC52BA" w:rsidRPr="00850278" w:rsidTr="005A5260">
        <w:trPr>
          <w:jc w:val="center"/>
        </w:trPr>
        <w:tc>
          <w:tcPr>
            <w:tcW w:w="2577" w:type="dxa"/>
            <w:shd w:val="clear" w:color="auto" w:fill="auto"/>
            <w:vAlign w:val="center"/>
          </w:tcPr>
          <w:p w:rsidR="00CC52BA" w:rsidRPr="005470C2" w:rsidRDefault="00D61679" w:rsidP="00EA5736">
            <w:pPr>
              <w:spacing w:before="20" w:after="20"/>
              <w:jc w:val="center"/>
              <w:rPr>
                <w:sz w:val="22"/>
                <w:szCs w:val="22"/>
                <w:lang w:val="es-ES" w:eastAsia="es-ES"/>
              </w:rPr>
            </w:pPr>
            <w:r>
              <w:rPr>
                <w:sz w:val="22"/>
                <w:szCs w:val="22"/>
                <w:lang w:val="es-ES" w:eastAsia="es-ES"/>
              </w:rPr>
              <w:t>Jueves</w:t>
            </w:r>
          </w:p>
          <w:p w:rsidR="00CC52BA" w:rsidRPr="005470C2" w:rsidRDefault="00D61679" w:rsidP="00EA5736">
            <w:pPr>
              <w:tabs>
                <w:tab w:val="center" w:pos="1180"/>
              </w:tabs>
              <w:spacing w:before="20" w:after="20"/>
              <w:jc w:val="center"/>
              <w:rPr>
                <w:sz w:val="22"/>
                <w:szCs w:val="22"/>
                <w:lang w:val="es-ES" w:eastAsia="es-ES"/>
              </w:rPr>
            </w:pPr>
            <w:r>
              <w:rPr>
                <w:sz w:val="22"/>
                <w:szCs w:val="22"/>
                <w:lang w:val="es-ES" w:eastAsia="es-ES"/>
              </w:rPr>
              <w:t xml:space="preserve">23 </w:t>
            </w:r>
            <w:r w:rsidR="00CC52BA" w:rsidRPr="005470C2">
              <w:rPr>
                <w:sz w:val="22"/>
                <w:szCs w:val="22"/>
                <w:lang w:val="es-ES" w:eastAsia="es-ES"/>
              </w:rPr>
              <w:t xml:space="preserve">de </w:t>
            </w:r>
            <w:r>
              <w:rPr>
                <w:sz w:val="22"/>
                <w:szCs w:val="22"/>
                <w:lang w:val="es-ES" w:eastAsia="es-ES"/>
              </w:rPr>
              <w:t xml:space="preserve">abril </w:t>
            </w:r>
            <w:r w:rsidR="00CC52BA" w:rsidRPr="005470C2">
              <w:rPr>
                <w:sz w:val="22"/>
                <w:szCs w:val="22"/>
                <w:lang w:val="es-ES" w:eastAsia="es-ES"/>
              </w:rPr>
              <w:t>de 2020</w:t>
            </w:r>
          </w:p>
          <w:p w:rsidR="00CC52BA" w:rsidRPr="005470C2" w:rsidRDefault="00CC52BA" w:rsidP="00EA5736">
            <w:pPr>
              <w:spacing w:before="20" w:after="20"/>
              <w:jc w:val="center"/>
              <w:rPr>
                <w:sz w:val="22"/>
                <w:szCs w:val="22"/>
                <w:lang w:val="es-ES" w:eastAsia="es-ES"/>
              </w:rPr>
            </w:pPr>
            <w:r w:rsidRPr="005470C2">
              <w:rPr>
                <w:sz w:val="22"/>
                <w:szCs w:val="22"/>
                <w:lang w:val="es-ES" w:eastAsia="es-ES"/>
              </w:rPr>
              <w:t xml:space="preserve">2:30 p.m. - </w:t>
            </w:r>
            <w:r w:rsidR="00D61679">
              <w:rPr>
                <w:sz w:val="22"/>
                <w:szCs w:val="22"/>
                <w:lang w:val="es-ES" w:eastAsia="es-ES"/>
              </w:rPr>
              <w:t>4</w:t>
            </w:r>
            <w:r w:rsidRPr="005470C2">
              <w:rPr>
                <w:sz w:val="22"/>
                <w:szCs w:val="22"/>
                <w:lang w:val="es-ES" w:eastAsia="es-ES"/>
              </w:rPr>
              <w:t>:30 p.m.</w:t>
            </w:r>
          </w:p>
          <w:p w:rsidR="00CC52BA" w:rsidRPr="005470C2" w:rsidRDefault="00D61679" w:rsidP="00EA5736">
            <w:pPr>
              <w:spacing w:before="20" w:after="20"/>
              <w:jc w:val="center"/>
              <w:rPr>
                <w:sz w:val="22"/>
                <w:szCs w:val="22"/>
                <w:lang w:val="es-ES" w:eastAsia="es-ES"/>
              </w:rPr>
            </w:pPr>
            <w:r>
              <w:rPr>
                <w:sz w:val="22"/>
                <w:szCs w:val="22"/>
                <w:lang w:val="es-ES" w:eastAsia="es-ES"/>
              </w:rPr>
              <w:t>Virtual</w:t>
            </w:r>
          </w:p>
        </w:tc>
        <w:tc>
          <w:tcPr>
            <w:tcW w:w="11602" w:type="dxa"/>
            <w:shd w:val="clear" w:color="auto" w:fill="auto"/>
          </w:tcPr>
          <w:p w:rsidR="00D61679" w:rsidRPr="002B5E84" w:rsidRDefault="00D61679" w:rsidP="00D61679">
            <w:pPr>
              <w:numPr>
                <w:ilvl w:val="0"/>
                <w:numId w:val="7"/>
              </w:numPr>
              <w:spacing w:before="20" w:after="20"/>
              <w:jc w:val="both"/>
              <w:rPr>
                <w:sz w:val="22"/>
                <w:szCs w:val="22"/>
                <w:lang w:val="es-ES"/>
              </w:rPr>
            </w:pPr>
            <w:r w:rsidRPr="002B5E84">
              <w:rPr>
                <w:sz w:val="22"/>
                <w:szCs w:val="22"/>
                <w:lang w:val="es-ES"/>
              </w:rPr>
              <w:t xml:space="preserve">Reorganización de los trabajos de la Comisión </w:t>
            </w:r>
            <w:r w:rsidRPr="002B5E84">
              <w:rPr>
                <w:sz w:val="22"/>
                <w:szCs w:val="22"/>
                <w:lang w:val="es-US"/>
              </w:rPr>
              <w:t>durante las medidas de confinamiento y distanciamiento social por mot</w:t>
            </w:r>
            <w:r>
              <w:rPr>
                <w:sz w:val="22"/>
                <w:szCs w:val="22"/>
                <w:lang w:val="es-US"/>
              </w:rPr>
              <w:t>ivo de la pandemia de COVID-19</w:t>
            </w:r>
            <w:r w:rsidR="007B1766">
              <w:rPr>
                <w:sz w:val="22"/>
                <w:szCs w:val="22"/>
                <w:lang w:val="es-US"/>
              </w:rPr>
              <w:t>.</w:t>
            </w:r>
          </w:p>
          <w:p w:rsidR="002D7ADC" w:rsidRPr="00D61679" w:rsidRDefault="00CC52BA" w:rsidP="00D61679">
            <w:pPr>
              <w:numPr>
                <w:ilvl w:val="0"/>
                <w:numId w:val="7"/>
              </w:numPr>
              <w:spacing w:before="20" w:after="20"/>
              <w:jc w:val="both"/>
              <w:rPr>
                <w:sz w:val="22"/>
                <w:szCs w:val="22"/>
                <w:lang w:val="es-ES" w:eastAsia="es-ES"/>
              </w:rPr>
            </w:pPr>
            <w:r w:rsidRPr="00D61679">
              <w:rPr>
                <w:sz w:val="22"/>
                <w:szCs w:val="22"/>
                <w:lang w:val="es-ES" w:eastAsia="es-ES"/>
              </w:rPr>
              <w:t xml:space="preserve">Seguimiento al mandato de la resolución </w:t>
            </w:r>
            <w:r w:rsidRPr="00D61679">
              <w:rPr>
                <w:sz w:val="22"/>
                <w:szCs w:val="22"/>
                <w:lang w:val="es-ES_tradnl"/>
              </w:rPr>
              <w:t>AG/RES. 2931 (XLIX-O/19) “Fortalecimiento de la democracia</w:t>
            </w:r>
            <w:r w:rsidRPr="00D61679">
              <w:rPr>
                <w:sz w:val="22"/>
                <w:szCs w:val="22"/>
                <w:lang w:val="es-ES" w:eastAsia="es-ES"/>
              </w:rPr>
              <w:t>”</w:t>
            </w:r>
            <w:r w:rsidR="002D7ADC" w:rsidRPr="00D61679">
              <w:rPr>
                <w:sz w:val="22"/>
                <w:szCs w:val="22"/>
                <w:lang w:val="es-ES" w:eastAsia="es-ES"/>
              </w:rPr>
              <w:t>:</w:t>
            </w:r>
          </w:p>
          <w:p w:rsidR="00CC52BA" w:rsidRPr="005470C2" w:rsidRDefault="00CC52BA" w:rsidP="00D61679">
            <w:pPr>
              <w:numPr>
                <w:ilvl w:val="0"/>
                <w:numId w:val="6"/>
              </w:numPr>
              <w:spacing w:before="20" w:after="20"/>
              <w:jc w:val="both"/>
              <w:rPr>
                <w:sz w:val="22"/>
                <w:szCs w:val="22"/>
                <w:lang w:val="es-ES" w:eastAsia="es-ES"/>
              </w:rPr>
            </w:pPr>
            <w:r w:rsidRPr="00D61679">
              <w:rPr>
                <w:sz w:val="22"/>
                <w:szCs w:val="22"/>
                <w:u w:val="single"/>
                <w:lang w:val="es-MX"/>
              </w:rPr>
              <w:t>Sección</w:t>
            </w:r>
            <w:r w:rsidRPr="005470C2">
              <w:rPr>
                <w:sz w:val="22"/>
                <w:szCs w:val="22"/>
                <w:u w:val="single"/>
                <w:lang w:val="es-ES"/>
              </w:rPr>
              <w:t xml:space="preserve"> </w:t>
            </w:r>
            <w:r w:rsidR="007E21D7" w:rsidRPr="005470C2">
              <w:rPr>
                <w:sz w:val="22"/>
                <w:szCs w:val="22"/>
                <w:u w:val="single"/>
                <w:lang w:val="es-ES"/>
              </w:rPr>
              <w:t>xii</w:t>
            </w:r>
            <w:r w:rsidRPr="005470C2">
              <w:rPr>
                <w:sz w:val="22"/>
                <w:szCs w:val="22"/>
                <w:lang w:val="es-ES"/>
              </w:rPr>
              <w:t>: Acceso a la información pública y protección de datos personales</w:t>
            </w:r>
            <w:r w:rsidRPr="005470C2">
              <w:rPr>
                <w:sz w:val="22"/>
                <w:szCs w:val="22"/>
                <w:lang w:val="es-ES" w:eastAsia="es-ES"/>
              </w:rPr>
              <w:t>.</w:t>
            </w:r>
            <w:r w:rsidRPr="005470C2">
              <w:rPr>
                <w:sz w:val="22"/>
                <w:szCs w:val="22"/>
                <w:lang w:val="es-ES" w:eastAsia="es-ES"/>
              </w:rPr>
              <w:tab/>
            </w:r>
            <w:r w:rsidRPr="005470C2">
              <w:rPr>
                <w:sz w:val="22"/>
                <w:szCs w:val="22"/>
                <w:lang w:val="es-ES" w:eastAsia="es-ES"/>
              </w:rPr>
              <w:tab/>
            </w:r>
          </w:p>
          <w:p w:rsidR="00CC52BA" w:rsidRPr="004B6A0F" w:rsidRDefault="00CC52BA" w:rsidP="002655FD">
            <w:pPr>
              <w:numPr>
                <w:ilvl w:val="1"/>
                <w:numId w:val="5"/>
              </w:numPr>
              <w:tabs>
                <w:tab w:val="left" w:pos="843"/>
              </w:tabs>
              <w:spacing w:before="20" w:after="20"/>
              <w:jc w:val="both"/>
              <w:rPr>
                <w:i/>
                <w:sz w:val="22"/>
                <w:szCs w:val="22"/>
                <w:lang w:val="es-PE" w:eastAsia="es-ES"/>
              </w:rPr>
            </w:pPr>
            <w:r w:rsidRPr="002655FD">
              <w:rPr>
                <w:sz w:val="22"/>
                <w:szCs w:val="22"/>
                <w:lang w:val="es-ES"/>
              </w:rPr>
              <w:t>Presentación</w:t>
            </w:r>
            <w:r w:rsidRPr="002655FD">
              <w:rPr>
                <w:sz w:val="22"/>
                <w:szCs w:val="22"/>
                <w:lang w:val="es-ES" w:eastAsia="es-ES"/>
              </w:rPr>
              <w:t xml:space="preserve"> de los informes nacionales de avance e </w:t>
            </w:r>
            <w:r w:rsidRPr="002655FD">
              <w:rPr>
                <w:sz w:val="22"/>
                <w:szCs w:val="22"/>
                <w:lang w:val="es-MX"/>
              </w:rPr>
              <w:t>intercambio de buenas prácticas en la implementación del Programa Interamericano sobre Acceso a la Información Pública.</w:t>
            </w:r>
          </w:p>
        </w:tc>
      </w:tr>
      <w:tr w:rsidR="00CC52BA" w:rsidRPr="00850278" w:rsidTr="005A5260">
        <w:trPr>
          <w:jc w:val="center"/>
        </w:trPr>
        <w:tc>
          <w:tcPr>
            <w:tcW w:w="2577" w:type="dxa"/>
            <w:shd w:val="clear" w:color="auto" w:fill="auto"/>
            <w:vAlign w:val="center"/>
          </w:tcPr>
          <w:p w:rsidR="00CC52BA" w:rsidRPr="00EA5736" w:rsidRDefault="00CC52BA" w:rsidP="00EA5736">
            <w:pPr>
              <w:spacing w:before="20" w:after="20"/>
              <w:jc w:val="center"/>
              <w:rPr>
                <w:sz w:val="22"/>
                <w:szCs w:val="22"/>
                <w:lang w:val="es-ES" w:eastAsia="es-ES"/>
              </w:rPr>
            </w:pPr>
            <w:r w:rsidRPr="00EA5736">
              <w:rPr>
                <w:sz w:val="22"/>
                <w:szCs w:val="22"/>
                <w:lang w:val="es-ES" w:eastAsia="es-ES"/>
              </w:rPr>
              <w:t>Jueves</w:t>
            </w:r>
            <w:r w:rsidRPr="00EA5736">
              <w:rPr>
                <w:sz w:val="22"/>
                <w:szCs w:val="22"/>
                <w:lang w:val="es-ES" w:eastAsia="es-ES"/>
              </w:rPr>
              <w:br/>
            </w:r>
            <w:r w:rsidR="00D61679">
              <w:rPr>
                <w:sz w:val="22"/>
                <w:szCs w:val="22"/>
                <w:lang w:val="es-ES" w:eastAsia="es-ES"/>
              </w:rPr>
              <w:t>30</w:t>
            </w:r>
            <w:r w:rsidRPr="00EA5736">
              <w:rPr>
                <w:sz w:val="22"/>
                <w:szCs w:val="22"/>
                <w:lang w:val="es-ES" w:eastAsia="es-ES"/>
              </w:rPr>
              <w:t xml:space="preserve"> de </w:t>
            </w:r>
            <w:r w:rsidR="00D61679">
              <w:rPr>
                <w:sz w:val="22"/>
                <w:szCs w:val="22"/>
                <w:lang w:val="es-ES" w:eastAsia="es-ES"/>
              </w:rPr>
              <w:t xml:space="preserve">abril </w:t>
            </w:r>
            <w:r w:rsidRPr="00EA5736">
              <w:rPr>
                <w:sz w:val="22"/>
                <w:szCs w:val="22"/>
                <w:lang w:val="es-ES" w:eastAsia="es-ES"/>
              </w:rPr>
              <w:t>de 2020</w:t>
            </w:r>
          </w:p>
          <w:p w:rsidR="00CC52BA" w:rsidRPr="004A6B64" w:rsidRDefault="00CC52BA" w:rsidP="00EA5736">
            <w:pPr>
              <w:spacing w:before="20" w:after="20"/>
              <w:jc w:val="center"/>
              <w:rPr>
                <w:sz w:val="22"/>
                <w:szCs w:val="22"/>
                <w:lang w:eastAsia="es-ES"/>
              </w:rPr>
            </w:pPr>
            <w:r w:rsidRPr="004A6B64">
              <w:rPr>
                <w:sz w:val="22"/>
                <w:szCs w:val="22"/>
                <w:lang w:eastAsia="es-ES"/>
              </w:rPr>
              <w:t>2:</w:t>
            </w:r>
            <w:r w:rsidR="004A6B64" w:rsidRPr="004A6B64">
              <w:rPr>
                <w:sz w:val="22"/>
                <w:szCs w:val="22"/>
                <w:lang w:eastAsia="es-ES"/>
              </w:rPr>
              <w:t>30</w:t>
            </w:r>
            <w:r w:rsidRPr="004A6B64">
              <w:rPr>
                <w:sz w:val="22"/>
                <w:szCs w:val="22"/>
                <w:lang w:eastAsia="es-ES"/>
              </w:rPr>
              <w:t xml:space="preserve"> p.m. – </w:t>
            </w:r>
            <w:r w:rsidR="004A6B64" w:rsidRPr="004A6B64">
              <w:rPr>
                <w:sz w:val="22"/>
                <w:szCs w:val="22"/>
                <w:lang w:eastAsia="es-ES"/>
              </w:rPr>
              <w:t>5</w:t>
            </w:r>
            <w:r w:rsidRPr="004A6B64">
              <w:rPr>
                <w:sz w:val="22"/>
                <w:szCs w:val="22"/>
                <w:lang w:eastAsia="es-ES"/>
              </w:rPr>
              <w:t>:00 p.m.</w:t>
            </w:r>
          </w:p>
          <w:p w:rsidR="00CC52BA" w:rsidRPr="004A6B64" w:rsidRDefault="004A6B64" w:rsidP="00EA5736">
            <w:pPr>
              <w:spacing w:before="20" w:after="20"/>
              <w:jc w:val="center"/>
              <w:rPr>
                <w:sz w:val="22"/>
                <w:szCs w:val="22"/>
                <w:lang w:eastAsia="es-ES"/>
              </w:rPr>
            </w:pPr>
            <w:r w:rsidRPr="004A6B64">
              <w:rPr>
                <w:sz w:val="22"/>
                <w:szCs w:val="22"/>
                <w:lang w:eastAsia="es-ES"/>
              </w:rPr>
              <w:t>Virtual</w:t>
            </w:r>
          </w:p>
        </w:tc>
        <w:tc>
          <w:tcPr>
            <w:tcW w:w="11602" w:type="dxa"/>
            <w:shd w:val="clear" w:color="auto" w:fill="auto"/>
            <w:vAlign w:val="center"/>
          </w:tcPr>
          <w:p w:rsidR="004A6B64" w:rsidRPr="0047008A" w:rsidRDefault="004A6B64" w:rsidP="004A6B64">
            <w:pPr>
              <w:numPr>
                <w:ilvl w:val="0"/>
                <w:numId w:val="23"/>
              </w:numPr>
              <w:spacing w:before="20" w:after="20"/>
              <w:jc w:val="both"/>
              <w:rPr>
                <w:sz w:val="22"/>
                <w:szCs w:val="22"/>
                <w:lang w:val="es-ES" w:eastAsia="es-ES"/>
              </w:rPr>
            </w:pPr>
            <w:r w:rsidRPr="0047008A">
              <w:rPr>
                <w:sz w:val="22"/>
                <w:szCs w:val="22"/>
                <w:lang w:val="es-ES" w:eastAsia="es-ES"/>
              </w:rPr>
              <w:t>Presentación del informe anual de la CIDH al quincuagésimo período ordinario de sesiones de la Asamblea General.</w:t>
            </w:r>
          </w:p>
          <w:p w:rsidR="00CC52BA" w:rsidRPr="00EA5736" w:rsidRDefault="004A6B64" w:rsidP="007B1766">
            <w:pPr>
              <w:numPr>
                <w:ilvl w:val="0"/>
                <w:numId w:val="23"/>
              </w:numPr>
              <w:spacing w:before="20" w:after="20"/>
              <w:jc w:val="both"/>
              <w:rPr>
                <w:sz w:val="22"/>
                <w:szCs w:val="22"/>
                <w:lang w:val="es-ES" w:eastAsia="es-ES"/>
              </w:rPr>
            </w:pPr>
            <w:r w:rsidRPr="007B1766">
              <w:rPr>
                <w:sz w:val="22"/>
                <w:szCs w:val="22"/>
                <w:lang w:val="es-ES" w:eastAsia="es-ES"/>
              </w:rPr>
              <w:t>Presentación del informe anual de la CoIDH al quincuagésimo período ordinario de sesiones de la Asamblea General.</w:t>
            </w:r>
          </w:p>
        </w:tc>
      </w:tr>
      <w:tr w:rsidR="004A6B64" w:rsidRPr="00EA5736" w:rsidTr="00C4349A">
        <w:trPr>
          <w:jc w:val="center"/>
        </w:trPr>
        <w:tc>
          <w:tcPr>
            <w:tcW w:w="14179" w:type="dxa"/>
            <w:gridSpan w:val="2"/>
            <w:shd w:val="pct15" w:color="auto" w:fill="auto"/>
          </w:tcPr>
          <w:p w:rsidR="004A6B64" w:rsidRPr="00EA5736" w:rsidRDefault="004A6B64" w:rsidP="00C4349A">
            <w:pPr>
              <w:tabs>
                <w:tab w:val="left" w:pos="342"/>
              </w:tabs>
              <w:spacing w:before="20" w:after="20"/>
              <w:ind w:left="360" w:hanging="360"/>
              <w:jc w:val="center"/>
              <w:rPr>
                <w:b/>
                <w:sz w:val="22"/>
                <w:szCs w:val="22"/>
                <w:lang w:val="es-ES" w:eastAsia="es-ES"/>
              </w:rPr>
            </w:pPr>
            <w:r>
              <w:rPr>
                <w:b/>
                <w:sz w:val="22"/>
                <w:szCs w:val="22"/>
                <w:lang w:val="es-ES" w:eastAsia="es-ES"/>
              </w:rPr>
              <w:t>MAYO</w:t>
            </w:r>
            <w:r w:rsidRPr="00EA5736">
              <w:rPr>
                <w:b/>
                <w:sz w:val="22"/>
                <w:szCs w:val="22"/>
                <w:lang w:val="es-ES" w:eastAsia="es-ES"/>
              </w:rPr>
              <w:t xml:space="preserve"> DE 2020</w:t>
            </w:r>
          </w:p>
        </w:tc>
      </w:tr>
      <w:tr w:rsidR="00CC52BA" w:rsidRPr="00850278" w:rsidTr="005A5260">
        <w:trPr>
          <w:jc w:val="center"/>
        </w:trPr>
        <w:tc>
          <w:tcPr>
            <w:tcW w:w="2577" w:type="dxa"/>
            <w:shd w:val="clear" w:color="auto" w:fill="auto"/>
            <w:vAlign w:val="center"/>
          </w:tcPr>
          <w:p w:rsidR="00CC52BA" w:rsidRPr="00EA5736" w:rsidRDefault="00CC52BA" w:rsidP="00EA5736">
            <w:pPr>
              <w:spacing w:before="20" w:after="20"/>
              <w:jc w:val="center"/>
              <w:rPr>
                <w:sz w:val="22"/>
                <w:szCs w:val="22"/>
                <w:lang w:val="es-ES" w:eastAsia="es-ES"/>
              </w:rPr>
            </w:pPr>
            <w:r w:rsidRPr="00EA5736">
              <w:rPr>
                <w:sz w:val="22"/>
                <w:szCs w:val="22"/>
                <w:lang w:val="es-ES" w:eastAsia="es-ES"/>
              </w:rPr>
              <w:t>Jueves,</w:t>
            </w:r>
            <w:r w:rsidRPr="00EA5736">
              <w:rPr>
                <w:sz w:val="22"/>
                <w:szCs w:val="22"/>
                <w:lang w:val="es-ES" w:eastAsia="es-ES"/>
              </w:rPr>
              <w:br/>
            </w:r>
            <w:r w:rsidR="004A6B64">
              <w:rPr>
                <w:sz w:val="22"/>
                <w:szCs w:val="22"/>
                <w:lang w:val="es-ES" w:eastAsia="es-ES"/>
              </w:rPr>
              <w:t>14</w:t>
            </w:r>
            <w:r w:rsidRPr="00EA5736">
              <w:rPr>
                <w:sz w:val="22"/>
                <w:szCs w:val="22"/>
                <w:lang w:val="es-ES" w:eastAsia="es-ES"/>
              </w:rPr>
              <w:t xml:space="preserve"> de </w:t>
            </w:r>
            <w:r w:rsidR="004A6B64">
              <w:rPr>
                <w:sz w:val="22"/>
                <w:szCs w:val="22"/>
                <w:lang w:val="es-ES" w:eastAsia="es-ES"/>
              </w:rPr>
              <w:t>mayo</w:t>
            </w:r>
            <w:r w:rsidRPr="00EA5736">
              <w:rPr>
                <w:sz w:val="22"/>
                <w:szCs w:val="22"/>
                <w:lang w:val="es-ES" w:eastAsia="es-ES"/>
              </w:rPr>
              <w:t xml:space="preserve"> de 2020</w:t>
            </w:r>
          </w:p>
          <w:p w:rsidR="00CC52BA" w:rsidRPr="00401894" w:rsidRDefault="004A6B64" w:rsidP="00EA5736">
            <w:pPr>
              <w:spacing w:before="20" w:after="20"/>
              <w:jc w:val="center"/>
              <w:rPr>
                <w:sz w:val="22"/>
                <w:szCs w:val="22"/>
                <w:lang w:val="es-US" w:eastAsia="es-ES"/>
              </w:rPr>
            </w:pPr>
            <w:r w:rsidRPr="00401894">
              <w:rPr>
                <w:sz w:val="22"/>
                <w:szCs w:val="22"/>
                <w:lang w:val="es-US" w:eastAsia="es-ES"/>
              </w:rPr>
              <w:t>2</w:t>
            </w:r>
            <w:r w:rsidR="00CC52BA" w:rsidRPr="00401894">
              <w:rPr>
                <w:sz w:val="22"/>
                <w:szCs w:val="22"/>
                <w:lang w:val="es-US" w:eastAsia="es-ES"/>
              </w:rPr>
              <w:t>:</w:t>
            </w:r>
            <w:r w:rsidRPr="00401894">
              <w:rPr>
                <w:sz w:val="22"/>
                <w:szCs w:val="22"/>
                <w:lang w:val="es-US" w:eastAsia="es-ES"/>
              </w:rPr>
              <w:t>30</w:t>
            </w:r>
            <w:r w:rsidR="00CC52BA" w:rsidRPr="00401894">
              <w:rPr>
                <w:sz w:val="22"/>
                <w:szCs w:val="22"/>
                <w:lang w:val="es-US" w:eastAsia="es-ES"/>
              </w:rPr>
              <w:t xml:space="preserve"> p.m. – 5:</w:t>
            </w:r>
            <w:r w:rsidRPr="00401894">
              <w:rPr>
                <w:sz w:val="22"/>
                <w:szCs w:val="22"/>
                <w:lang w:val="es-US" w:eastAsia="es-ES"/>
              </w:rPr>
              <w:t>00</w:t>
            </w:r>
            <w:r w:rsidR="00CC52BA" w:rsidRPr="00401894">
              <w:rPr>
                <w:sz w:val="22"/>
                <w:szCs w:val="22"/>
                <w:lang w:val="es-US" w:eastAsia="es-ES"/>
              </w:rPr>
              <w:t xml:space="preserve"> p.m.</w:t>
            </w:r>
          </w:p>
          <w:p w:rsidR="00CC52BA" w:rsidRPr="004A6B64" w:rsidRDefault="004A6B64" w:rsidP="00EA5736">
            <w:pPr>
              <w:spacing w:before="20" w:after="20"/>
              <w:jc w:val="center"/>
              <w:rPr>
                <w:sz w:val="22"/>
                <w:szCs w:val="22"/>
                <w:lang w:eastAsia="es-ES"/>
              </w:rPr>
            </w:pPr>
            <w:r w:rsidRPr="004A6B64">
              <w:rPr>
                <w:sz w:val="22"/>
                <w:szCs w:val="22"/>
                <w:lang w:eastAsia="es-ES"/>
              </w:rPr>
              <w:t>Virtual</w:t>
            </w:r>
          </w:p>
        </w:tc>
        <w:tc>
          <w:tcPr>
            <w:tcW w:w="11602" w:type="dxa"/>
            <w:shd w:val="clear" w:color="auto" w:fill="auto"/>
            <w:vAlign w:val="center"/>
          </w:tcPr>
          <w:p w:rsidR="004A6B64" w:rsidRPr="00AB33FA" w:rsidRDefault="004A6B64" w:rsidP="004A6B64">
            <w:pPr>
              <w:numPr>
                <w:ilvl w:val="0"/>
                <w:numId w:val="8"/>
              </w:numPr>
              <w:spacing w:before="20" w:after="20"/>
              <w:jc w:val="both"/>
              <w:rPr>
                <w:sz w:val="22"/>
                <w:szCs w:val="22"/>
                <w:lang w:val="es-ES" w:eastAsia="es-ES"/>
              </w:rPr>
            </w:pPr>
            <w:r w:rsidRPr="00AB33FA">
              <w:rPr>
                <w:sz w:val="22"/>
                <w:szCs w:val="22"/>
                <w:lang w:val="es-ES" w:eastAsia="es-ES"/>
              </w:rPr>
              <w:t xml:space="preserve">Presentación del informe anual del </w:t>
            </w:r>
            <w:r>
              <w:rPr>
                <w:sz w:val="22"/>
                <w:szCs w:val="22"/>
                <w:lang w:val="es-ES" w:eastAsia="es-ES"/>
              </w:rPr>
              <w:t>CJI</w:t>
            </w:r>
            <w:r w:rsidRPr="00AB33FA">
              <w:rPr>
                <w:sz w:val="22"/>
                <w:szCs w:val="22"/>
                <w:lang w:val="es-ES" w:eastAsia="es-ES"/>
              </w:rPr>
              <w:t xml:space="preserve"> al quincuagésimo período ordinario de sesiones de la Asamblea General.</w:t>
            </w:r>
          </w:p>
          <w:p w:rsidR="00896D62" w:rsidRPr="00225F61" w:rsidRDefault="004A6B64" w:rsidP="004A6B64">
            <w:pPr>
              <w:numPr>
                <w:ilvl w:val="0"/>
                <w:numId w:val="8"/>
              </w:numPr>
              <w:spacing w:before="20" w:after="20"/>
              <w:jc w:val="both"/>
              <w:rPr>
                <w:sz w:val="22"/>
                <w:szCs w:val="22"/>
                <w:lang w:val="es-PE" w:eastAsia="es-ES"/>
              </w:rPr>
            </w:pPr>
            <w:r w:rsidRPr="004A6B64">
              <w:rPr>
                <w:sz w:val="22"/>
                <w:szCs w:val="22"/>
                <w:lang w:val="es-ES" w:eastAsia="es-ES"/>
              </w:rPr>
              <w:t>Presentación del informe anual del CEJA al quincuagésimo período ordinario de sesiones de la Asamblea General.</w:t>
            </w:r>
          </w:p>
        </w:tc>
      </w:tr>
      <w:tr w:rsidR="00CC52BA" w:rsidRPr="00850278" w:rsidTr="005A5260">
        <w:trPr>
          <w:jc w:val="center"/>
        </w:trPr>
        <w:tc>
          <w:tcPr>
            <w:tcW w:w="2577" w:type="dxa"/>
            <w:shd w:val="clear" w:color="auto" w:fill="auto"/>
            <w:vAlign w:val="center"/>
          </w:tcPr>
          <w:p w:rsidR="00CC52BA" w:rsidRPr="00EA5736" w:rsidRDefault="00CC52BA" w:rsidP="00EA5736">
            <w:pPr>
              <w:spacing w:before="20" w:after="20"/>
              <w:jc w:val="center"/>
              <w:rPr>
                <w:sz w:val="22"/>
                <w:szCs w:val="22"/>
                <w:lang w:val="es-ES" w:eastAsia="es-ES"/>
              </w:rPr>
            </w:pPr>
            <w:r w:rsidRPr="00EA5736">
              <w:rPr>
                <w:sz w:val="22"/>
                <w:szCs w:val="22"/>
                <w:lang w:val="es-ES" w:eastAsia="es-ES"/>
              </w:rPr>
              <w:t>Jueves,</w:t>
            </w:r>
          </w:p>
          <w:p w:rsidR="00CC52BA" w:rsidRPr="00EA5736" w:rsidRDefault="004A6B64" w:rsidP="00EA5736">
            <w:pPr>
              <w:tabs>
                <w:tab w:val="center" w:pos="1180"/>
              </w:tabs>
              <w:spacing w:before="20" w:after="20"/>
              <w:jc w:val="center"/>
              <w:rPr>
                <w:sz w:val="22"/>
                <w:szCs w:val="22"/>
                <w:lang w:val="es-ES" w:eastAsia="es-ES"/>
              </w:rPr>
            </w:pPr>
            <w:r>
              <w:rPr>
                <w:sz w:val="22"/>
                <w:szCs w:val="22"/>
                <w:lang w:val="es-ES" w:eastAsia="es-ES"/>
              </w:rPr>
              <w:t>28</w:t>
            </w:r>
            <w:r w:rsidR="00CC52BA" w:rsidRPr="00EA5736">
              <w:rPr>
                <w:sz w:val="22"/>
                <w:szCs w:val="22"/>
                <w:lang w:val="es-ES" w:eastAsia="es-ES"/>
              </w:rPr>
              <w:t xml:space="preserve"> de </w:t>
            </w:r>
            <w:r>
              <w:rPr>
                <w:sz w:val="22"/>
                <w:szCs w:val="22"/>
                <w:lang w:val="es-ES" w:eastAsia="es-ES"/>
              </w:rPr>
              <w:t>mayo</w:t>
            </w:r>
            <w:r w:rsidR="00CC52BA" w:rsidRPr="00EA5736">
              <w:rPr>
                <w:sz w:val="22"/>
                <w:szCs w:val="22"/>
                <w:lang w:val="es-ES" w:eastAsia="es-ES"/>
              </w:rPr>
              <w:t xml:space="preserve"> de 2020</w:t>
            </w:r>
          </w:p>
          <w:p w:rsidR="00CC52BA" w:rsidRPr="00401894" w:rsidRDefault="00CC52BA" w:rsidP="00EA5736">
            <w:pPr>
              <w:spacing w:before="20" w:after="20"/>
              <w:jc w:val="center"/>
              <w:rPr>
                <w:sz w:val="22"/>
                <w:szCs w:val="22"/>
                <w:lang w:val="es-US" w:eastAsia="es-ES"/>
              </w:rPr>
            </w:pPr>
            <w:r w:rsidRPr="00401894">
              <w:rPr>
                <w:sz w:val="22"/>
                <w:szCs w:val="22"/>
                <w:lang w:val="es-US" w:eastAsia="es-ES"/>
              </w:rPr>
              <w:t>2:</w:t>
            </w:r>
            <w:r w:rsidR="004A6B64" w:rsidRPr="00401894">
              <w:rPr>
                <w:sz w:val="22"/>
                <w:szCs w:val="22"/>
                <w:lang w:val="es-US" w:eastAsia="es-ES"/>
              </w:rPr>
              <w:t>3</w:t>
            </w:r>
            <w:r w:rsidRPr="00401894">
              <w:rPr>
                <w:sz w:val="22"/>
                <w:szCs w:val="22"/>
                <w:lang w:val="es-US" w:eastAsia="es-ES"/>
              </w:rPr>
              <w:t xml:space="preserve">0 p.m. - </w:t>
            </w:r>
            <w:r w:rsidR="004A6B64" w:rsidRPr="00401894">
              <w:rPr>
                <w:sz w:val="22"/>
                <w:szCs w:val="22"/>
                <w:lang w:val="es-US" w:eastAsia="es-ES"/>
              </w:rPr>
              <w:t>5</w:t>
            </w:r>
            <w:r w:rsidRPr="00401894">
              <w:rPr>
                <w:sz w:val="22"/>
                <w:szCs w:val="22"/>
                <w:lang w:val="es-US" w:eastAsia="es-ES"/>
              </w:rPr>
              <w:t>:</w:t>
            </w:r>
            <w:r w:rsidR="0031668D" w:rsidRPr="00401894">
              <w:rPr>
                <w:sz w:val="22"/>
                <w:szCs w:val="22"/>
                <w:lang w:val="es-US" w:eastAsia="es-ES"/>
              </w:rPr>
              <w:t>3</w:t>
            </w:r>
            <w:r w:rsidRPr="00401894">
              <w:rPr>
                <w:sz w:val="22"/>
                <w:szCs w:val="22"/>
                <w:lang w:val="es-US" w:eastAsia="es-ES"/>
              </w:rPr>
              <w:t>0 p.m.</w:t>
            </w:r>
          </w:p>
          <w:p w:rsidR="00CC52BA" w:rsidRPr="004A6B64" w:rsidRDefault="004A6B64" w:rsidP="00EA5736">
            <w:pPr>
              <w:spacing w:before="20" w:after="20"/>
              <w:jc w:val="center"/>
              <w:rPr>
                <w:sz w:val="22"/>
                <w:szCs w:val="22"/>
              </w:rPr>
            </w:pPr>
            <w:r w:rsidRPr="004A6B64">
              <w:rPr>
                <w:sz w:val="22"/>
                <w:szCs w:val="22"/>
                <w:lang w:eastAsia="es-ES"/>
              </w:rPr>
              <w:t>Virtual</w:t>
            </w:r>
          </w:p>
        </w:tc>
        <w:tc>
          <w:tcPr>
            <w:tcW w:w="11602" w:type="dxa"/>
            <w:shd w:val="clear" w:color="auto" w:fill="auto"/>
            <w:vAlign w:val="center"/>
          </w:tcPr>
          <w:p w:rsidR="004A6B64" w:rsidRPr="0047008A" w:rsidRDefault="004A6B64" w:rsidP="004A6B64">
            <w:pPr>
              <w:numPr>
                <w:ilvl w:val="0"/>
                <w:numId w:val="35"/>
              </w:numPr>
              <w:spacing w:before="20" w:after="20"/>
              <w:jc w:val="both"/>
              <w:rPr>
                <w:sz w:val="22"/>
                <w:szCs w:val="22"/>
                <w:lang w:val="es-ES" w:eastAsia="es-ES"/>
              </w:rPr>
            </w:pPr>
            <w:r w:rsidRPr="0047008A">
              <w:rPr>
                <w:sz w:val="22"/>
                <w:szCs w:val="22"/>
                <w:lang w:val="es-ES" w:eastAsia="es-ES"/>
              </w:rPr>
              <w:t>Seguimiento</w:t>
            </w:r>
            <w:r w:rsidRPr="0047008A">
              <w:rPr>
                <w:sz w:val="22"/>
                <w:szCs w:val="22"/>
                <w:lang w:val="es-ES_tradnl"/>
              </w:rPr>
              <w:t xml:space="preserve"> a los mandatos de la resolución AG/RES. 2941 (XLIX-O/19) “Promoción y protección de derechos humanos”:</w:t>
            </w:r>
          </w:p>
          <w:p w:rsidR="004A6B64" w:rsidRPr="0047008A" w:rsidRDefault="004A6B64" w:rsidP="007B1766">
            <w:pPr>
              <w:numPr>
                <w:ilvl w:val="0"/>
                <w:numId w:val="6"/>
              </w:numPr>
              <w:spacing w:before="20" w:after="20"/>
              <w:jc w:val="both"/>
              <w:rPr>
                <w:sz w:val="22"/>
                <w:szCs w:val="22"/>
                <w:lang w:val="es-ES"/>
              </w:rPr>
            </w:pPr>
            <w:r w:rsidRPr="0047008A">
              <w:rPr>
                <w:sz w:val="22"/>
                <w:szCs w:val="22"/>
                <w:u w:val="single"/>
                <w:lang w:val="es-ES"/>
              </w:rPr>
              <w:t>Sección vi.</w:t>
            </w:r>
            <w:r w:rsidRPr="0047008A">
              <w:rPr>
                <w:sz w:val="22"/>
                <w:szCs w:val="22"/>
                <w:lang w:val="es-ES"/>
              </w:rPr>
              <w:t>: Fortalecimiento del Mecanismo de Seguimiento para la implementación del Protocolo de San Salvador:</w:t>
            </w:r>
          </w:p>
          <w:p w:rsidR="004A6B64" w:rsidRPr="0047008A" w:rsidRDefault="004A6B64" w:rsidP="007B1766">
            <w:pPr>
              <w:numPr>
                <w:ilvl w:val="1"/>
                <w:numId w:val="5"/>
              </w:numPr>
              <w:tabs>
                <w:tab w:val="left" w:pos="843"/>
              </w:tabs>
              <w:spacing w:before="20" w:after="20"/>
              <w:jc w:val="both"/>
              <w:rPr>
                <w:i/>
                <w:sz w:val="22"/>
                <w:szCs w:val="22"/>
                <w:lang w:val="es-PE"/>
              </w:rPr>
            </w:pPr>
            <w:r w:rsidRPr="0047008A">
              <w:rPr>
                <w:sz w:val="22"/>
                <w:szCs w:val="22"/>
                <w:lang w:val="es-ES"/>
              </w:rPr>
              <w:t>Presentación</w:t>
            </w:r>
            <w:r w:rsidRPr="0047008A">
              <w:rPr>
                <w:sz w:val="22"/>
                <w:szCs w:val="22"/>
                <w:lang w:val="es-PE"/>
              </w:rPr>
              <w:t xml:space="preserve"> del informe del Grupo de Trabajo para el análisis de los informes nacionales previstos en el Protocolo de San Salvador (GTPSS). </w:t>
            </w:r>
          </w:p>
          <w:p w:rsidR="004A6B64" w:rsidRDefault="007B1766" w:rsidP="007B1766">
            <w:pPr>
              <w:tabs>
                <w:tab w:val="left" w:pos="1064"/>
              </w:tabs>
              <w:spacing w:before="20" w:after="20"/>
              <w:ind w:left="360"/>
              <w:jc w:val="both"/>
              <w:rPr>
                <w:i/>
                <w:sz w:val="22"/>
                <w:szCs w:val="22"/>
                <w:lang w:val="es-PE"/>
              </w:rPr>
            </w:pPr>
            <w:r>
              <w:rPr>
                <w:i/>
                <w:sz w:val="22"/>
                <w:szCs w:val="22"/>
                <w:lang w:val="es-PE"/>
              </w:rPr>
              <w:tab/>
            </w:r>
            <w:r w:rsidR="004A6B64" w:rsidRPr="0047008A">
              <w:rPr>
                <w:i/>
                <w:sz w:val="22"/>
                <w:szCs w:val="22"/>
                <w:lang w:val="es-PE"/>
              </w:rPr>
              <w:t xml:space="preserve">Presentación a cargo </w:t>
            </w:r>
            <w:r>
              <w:rPr>
                <w:i/>
                <w:sz w:val="22"/>
                <w:szCs w:val="22"/>
                <w:lang w:val="es-PE"/>
              </w:rPr>
              <w:t>de la Presidencia d</w:t>
            </w:r>
            <w:r w:rsidR="004A6B64" w:rsidRPr="0047008A">
              <w:rPr>
                <w:i/>
                <w:sz w:val="22"/>
                <w:szCs w:val="22"/>
                <w:lang w:val="es-PE"/>
              </w:rPr>
              <w:t>el GTPSS.</w:t>
            </w:r>
          </w:p>
          <w:p w:rsidR="00D374C8" w:rsidRPr="0047008A" w:rsidRDefault="00D374C8" w:rsidP="00D374C8">
            <w:pPr>
              <w:numPr>
                <w:ilvl w:val="0"/>
                <w:numId w:val="35"/>
              </w:numPr>
              <w:spacing w:before="20" w:after="20"/>
              <w:jc w:val="both"/>
              <w:rPr>
                <w:sz w:val="22"/>
                <w:szCs w:val="22"/>
                <w:lang w:val="es-ES" w:eastAsia="es-ES"/>
              </w:rPr>
            </w:pPr>
            <w:r w:rsidRPr="0047008A">
              <w:rPr>
                <w:sz w:val="22"/>
                <w:szCs w:val="22"/>
                <w:lang w:val="es-ES" w:eastAsia="es-ES"/>
              </w:rPr>
              <w:t>Seguimiento</w:t>
            </w:r>
            <w:r w:rsidRPr="0047008A">
              <w:rPr>
                <w:sz w:val="22"/>
                <w:szCs w:val="22"/>
                <w:lang w:val="es-ES_tradnl"/>
              </w:rPr>
              <w:t xml:space="preserve"> a los mandatos de la resolución AG/RES. 2941 (XLIX-O/19) “Promoción y protección de derechos humanos”:</w:t>
            </w:r>
          </w:p>
          <w:p w:rsidR="007B1766" w:rsidRPr="00AB33FA" w:rsidRDefault="007B1766" w:rsidP="00D374C8">
            <w:pPr>
              <w:numPr>
                <w:ilvl w:val="0"/>
                <w:numId w:val="6"/>
              </w:numPr>
              <w:spacing w:before="20" w:after="20"/>
              <w:jc w:val="both"/>
              <w:rPr>
                <w:sz w:val="22"/>
                <w:szCs w:val="22"/>
                <w:lang w:val="es-ES" w:eastAsia="es-ES"/>
              </w:rPr>
            </w:pPr>
            <w:r w:rsidRPr="00AB33FA">
              <w:rPr>
                <w:sz w:val="22"/>
                <w:szCs w:val="22"/>
                <w:u w:val="single"/>
                <w:lang w:val="es-ES"/>
              </w:rPr>
              <w:t xml:space="preserve">Sección xx.: </w:t>
            </w:r>
            <w:r w:rsidRPr="00AB33FA">
              <w:rPr>
                <w:sz w:val="22"/>
                <w:szCs w:val="22"/>
                <w:lang w:val="es-ES"/>
              </w:rPr>
              <w:t>Programa de Acción para el Decenio de las Américas por los Derechos y la Dignidad de las Personas con Discapacidad 2016-2026 y Apoyo al Comité para la Eliminación de Todas las Formas de Discriminación contra las Personas con Discapacidad.</w:t>
            </w:r>
          </w:p>
          <w:p w:rsidR="00D374C8" w:rsidRPr="00D374C8" w:rsidRDefault="007B1766" w:rsidP="00D374C8">
            <w:pPr>
              <w:numPr>
                <w:ilvl w:val="1"/>
                <w:numId w:val="5"/>
              </w:numPr>
              <w:tabs>
                <w:tab w:val="left" w:pos="843"/>
              </w:tabs>
              <w:spacing w:before="20" w:after="20"/>
              <w:jc w:val="both"/>
              <w:rPr>
                <w:sz w:val="22"/>
                <w:szCs w:val="22"/>
                <w:lang w:val="es-ES" w:eastAsia="es-ES"/>
              </w:rPr>
            </w:pPr>
            <w:r w:rsidRPr="00D374C8">
              <w:rPr>
                <w:i/>
                <w:sz w:val="22"/>
                <w:szCs w:val="22"/>
                <w:lang w:val="es-ES"/>
              </w:rPr>
              <w:t>Informe de seguimiento a cargo del Departamento de Inclusión Social – Secretaría Técnica del CEDDIS.</w:t>
            </w:r>
          </w:p>
          <w:p w:rsidR="00D374C8" w:rsidRPr="00D374C8" w:rsidRDefault="00D374C8" w:rsidP="00D374C8">
            <w:pPr>
              <w:numPr>
                <w:ilvl w:val="0"/>
                <w:numId w:val="35"/>
              </w:numPr>
              <w:spacing w:before="20" w:after="20"/>
              <w:jc w:val="both"/>
              <w:rPr>
                <w:sz w:val="22"/>
                <w:szCs w:val="22"/>
                <w:lang w:val="es-ES" w:eastAsia="es-ES"/>
              </w:rPr>
            </w:pPr>
            <w:r w:rsidRPr="00D374C8">
              <w:rPr>
                <w:sz w:val="22"/>
                <w:szCs w:val="22"/>
                <w:lang w:val="es-ES" w:eastAsia="es-ES"/>
              </w:rPr>
              <w:t>Seguimiento</w:t>
            </w:r>
            <w:r w:rsidRPr="00D374C8">
              <w:rPr>
                <w:sz w:val="22"/>
                <w:szCs w:val="22"/>
                <w:lang w:val="es-ES_tradnl"/>
              </w:rPr>
              <w:t xml:space="preserve"> a los mandatos de la resolución AG/RES. 2941 (XLIX-O/19) “Promoción y protección de derechos humanos”:</w:t>
            </w:r>
          </w:p>
          <w:p w:rsidR="007B1766" w:rsidRPr="00AB33FA" w:rsidRDefault="007B1766" w:rsidP="007B1766">
            <w:pPr>
              <w:numPr>
                <w:ilvl w:val="0"/>
                <w:numId w:val="6"/>
              </w:numPr>
              <w:spacing w:before="20" w:after="20"/>
              <w:jc w:val="both"/>
              <w:rPr>
                <w:sz w:val="22"/>
                <w:szCs w:val="22"/>
                <w:lang w:val="es-ES" w:eastAsia="es-ES"/>
              </w:rPr>
            </w:pPr>
            <w:r w:rsidRPr="00AB33FA">
              <w:rPr>
                <w:sz w:val="22"/>
                <w:szCs w:val="22"/>
                <w:u w:val="single"/>
                <w:lang w:val="es-ES" w:eastAsia="es-ES"/>
              </w:rPr>
              <w:t xml:space="preserve">Sección </w:t>
            </w:r>
            <w:r w:rsidRPr="00AB33FA">
              <w:rPr>
                <w:sz w:val="22"/>
                <w:szCs w:val="22"/>
                <w:u w:val="single"/>
                <w:lang w:val="es-ES"/>
              </w:rPr>
              <w:t>xii.</w:t>
            </w:r>
            <w:r w:rsidRPr="00AB33FA">
              <w:rPr>
                <w:sz w:val="22"/>
                <w:szCs w:val="22"/>
                <w:lang w:val="es-ES"/>
              </w:rPr>
              <w:t>: Reconocimiento y promoción de los derechos de los y las afrodescendientes en las Américas.</w:t>
            </w:r>
          </w:p>
          <w:p w:rsidR="007B1766" w:rsidRPr="00AB33FA" w:rsidRDefault="007B1766" w:rsidP="007B1766">
            <w:pPr>
              <w:numPr>
                <w:ilvl w:val="0"/>
                <w:numId w:val="6"/>
              </w:numPr>
              <w:spacing w:before="20" w:after="20"/>
              <w:jc w:val="both"/>
              <w:rPr>
                <w:sz w:val="22"/>
                <w:szCs w:val="22"/>
                <w:lang w:val="es-ES" w:eastAsia="es-ES"/>
              </w:rPr>
            </w:pPr>
            <w:r w:rsidRPr="00AB33FA">
              <w:rPr>
                <w:sz w:val="22"/>
                <w:szCs w:val="22"/>
                <w:u w:val="single"/>
                <w:lang w:val="es-ES" w:eastAsia="es-ES"/>
              </w:rPr>
              <w:t>Sección xix.</w:t>
            </w:r>
            <w:r w:rsidRPr="00AB33FA">
              <w:rPr>
                <w:sz w:val="22"/>
                <w:szCs w:val="22"/>
                <w:lang w:val="es-ES" w:eastAsia="es-ES"/>
              </w:rPr>
              <w:t xml:space="preserve">: </w:t>
            </w:r>
            <w:r w:rsidRPr="00AB33FA">
              <w:rPr>
                <w:sz w:val="22"/>
                <w:szCs w:val="22"/>
                <w:lang w:val="es-ES"/>
              </w:rPr>
              <w:t xml:space="preserve">Seguimiento a la implementación de la Declaración Americana sobre los Derechos de los Pueblos </w:t>
            </w:r>
            <w:r w:rsidRPr="00AB33FA">
              <w:rPr>
                <w:sz w:val="22"/>
                <w:szCs w:val="22"/>
                <w:lang w:val="es-ES"/>
              </w:rPr>
              <w:lastRenderedPageBreak/>
              <w:t>Indígenas y del Plan de Acción sobre la Declaración Americana sobre los Derechos de los Pueblos Indígenas (2017-2021).</w:t>
            </w:r>
          </w:p>
          <w:p w:rsidR="003C1E96" w:rsidRPr="00EA5736" w:rsidRDefault="007B1766" w:rsidP="007E1645">
            <w:pPr>
              <w:tabs>
                <w:tab w:val="left" w:pos="794"/>
              </w:tabs>
              <w:spacing w:before="20" w:after="20"/>
              <w:ind w:left="360"/>
              <w:jc w:val="both"/>
              <w:rPr>
                <w:sz w:val="22"/>
                <w:szCs w:val="22"/>
                <w:lang w:val="es-ES" w:eastAsia="es-ES"/>
              </w:rPr>
            </w:pPr>
            <w:r>
              <w:rPr>
                <w:i/>
                <w:sz w:val="22"/>
                <w:szCs w:val="22"/>
                <w:lang w:val="es-ES" w:eastAsia="es-ES"/>
              </w:rPr>
              <w:tab/>
            </w:r>
            <w:r w:rsidRPr="00AB33FA">
              <w:rPr>
                <w:i/>
                <w:sz w:val="22"/>
                <w:szCs w:val="22"/>
                <w:lang w:val="es-ES" w:eastAsia="es-ES"/>
              </w:rPr>
              <w:t>Presentaciones a cargo de la Oficina del Secretario General Adjunto y del Departamento de Inclusión Social</w:t>
            </w:r>
          </w:p>
        </w:tc>
      </w:tr>
      <w:tr w:rsidR="007B1766" w:rsidRPr="00EA5736" w:rsidTr="00C4349A">
        <w:trPr>
          <w:jc w:val="center"/>
        </w:trPr>
        <w:tc>
          <w:tcPr>
            <w:tcW w:w="14179" w:type="dxa"/>
            <w:gridSpan w:val="2"/>
            <w:shd w:val="pct15" w:color="auto" w:fill="auto"/>
          </w:tcPr>
          <w:p w:rsidR="007B1766" w:rsidRPr="00EA5736" w:rsidRDefault="007B1766" w:rsidP="00C4349A">
            <w:pPr>
              <w:tabs>
                <w:tab w:val="left" w:pos="342"/>
              </w:tabs>
              <w:spacing w:before="20" w:after="20"/>
              <w:ind w:left="360" w:hanging="360"/>
              <w:jc w:val="center"/>
              <w:rPr>
                <w:b/>
                <w:sz w:val="22"/>
                <w:szCs w:val="22"/>
                <w:lang w:val="es-ES" w:eastAsia="es-ES"/>
              </w:rPr>
            </w:pPr>
            <w:r>
              <w:rPr>
                <w:b/>
                <w:sz w:val="22"/>
                <w:szCs w:val="22"/>
                <w:lang w:val="es-ES" w:eastAsia="es-ES"/>
              </w:rPr>
              <w:lastRenderedPageBreak/>
              <w:t>JUNIO</w:t>
            </w:r>
            <w:r w:rsidRPr="00EA5736">
              <w:rPr>
                <w:b/>
                <w:sz w:val="22"/>
                <w:szCs w:val="22"/>
                <w:lang w:val="es-ES" w:eastAsia="es-ES"/>
              </w:rPr>
              <w:t xml:space="preserve"> DE 2020</w:t>
            </w:r>
          </w:p>
        </w:tc>
      </w:tr>
      <w:tr w:rsidR="00D374C8" w:rsidRPr="00850278" w:rsidTr="005A5260">
        <w:trPr>
          <w:jc w:val="center"/>
        </w:trPr>
        <w:tc>
          <w:tcPr>
            <w:tcW w:w="2577" w:type="dxa"/>
            <w:vMerge w:val="restart"/>
            <w:shd w:val="clear" w:color="auto" w:fill="auto"/>
            <w:vAlign w:val="center"/>
          </w:tcPr>
          <w:p w:rsidR="00D374C8" w:rsidRPr="00EA5736" w:rsidRDefault="00D374C8" w:rsidP="00EA5736">
            <w:pPr>
              <w:spacing w:before="20" w:after="20"/>
              <w:jc w:val="center"/>
              <w:rPr>
                <w:sz w:val="22"/>
                <w:szCs w:val="22"/>
                <w:lang w:val="es-ES" w:eastAsia="es-ES"/>
              </w:rPr>
            </w:pPr>
            <w:r w:rsidRPr="00EA5736">
              <w:rPr>
                <w:sz w:val="22"/>
                <w:szCs w:val="22"/>
                <w:lang w:val="es-ES" w:eastAsia="es-ES"/>
              </w:rPr>
              <w:t>Jueves,</w:t>
            </w:r>
          </w:p>
          <w:p w:rsidR="00D374C8" w:rsidRPr="00EA5736" w:rsidRDefault="00D374C8" w:rsidP="00EA5736">
            <w:pPr>
              <w:spacing w:before="20" w:after="20"/>
              <w:jc w:val="center"/>
              <w:rPr>
                <w:sz w:val="22"/>
                <w:szCs w:val="22"/>
                <w:lang w:val="es-ES" w:eastAsia="es-ES"/>
              </w:rPr>
            </w:pPr>
            <w:r>
              <w:rPr>
                <w:sz w:val="22"/>
                <w:szCs w:val="22"/>
                <w:lang w:val="es-ES" w:eastAsia="es-ES"/>
              </w:rPr>
              <w:t>11</w:t>
            </w:r>
            <w:r w:rsidRPr="00EA5736">
              <w:rPr>
                <w:sz w:val="22"/>
                <w:szCs w:val="22"/>
                <w:lang w:val="es-ES" w:eastAsia="es-ES"/>
              </w:rPr>
              <w:t xml:space="preserve"> de </w:t>
            </w:r>
            <w:r>
              <w:rPr>
                <w:sz w:val="22"/>
                <w:szCs w:val="22"/>
                <w:lang w:val="es-ES" w:eastAsia="es-ES"/>
              </w:rPr>
              <w:t xml:space="preserve">junio </w:t>
            </w:r>
            <w:r w:rsidRPr="00EA5736">
              <w:rPr>
                <w:sz w:val="22"/>
                <w:szCs w:val="22"/>
                <w:lang w:val="es-ES" w:eastAsia="es-ES"/>
              </w:rPr>
              <w:t>de 2020</w:t>
            </w:r>
          </w:p>
          <w:p w:rsidR="00D374C8" w:rsidRPr="00401894" w:rsidRDefault="00D374C8" w:rsidP="002655FD">
            <w:pPr>
              <w:spacing w:before="20" w:after="20"/>
              <w:jc w:val="center"/>
              <w:rPr>
                <w:sz w:val="22"/>
                <w:szCs w:val="22"/>
                <w:lang w:val="es-US" w:eastAsia="es-ES"/>
              </w:rPr>
            </w:pPr>
            <w:r w:rsidRPr="00401894">
              <w:rPr>
                <w:sz w:val="22"/>
                <w:szCs w:val="22"/>
                <w:lang w:val="es-US" w:eastAsia="es-ES"/>
              </w:rPr>
              <w:t>2:30 p.m. – 5:30 p.m.</w:t>
            </w:r>
          </w:p>
          <w:p w:rsidR="00D374C8" w:rsidRPr="002655FD" w:rsidRDefault="00D374C8" w:rsidP="002655FD">
            <w:pPr>
              <w:spacing w:before="20" w:after="20"/>
              <w:jc w:val="center"/>
              <w:rPr>
                <w:sz w:val="22"/>
                <w:szCs w:val="22"/>
                <w:lang w:eastAsia="es-ES"/>
              </w:rPr>
            </w:pPr>
            <w:r w:rsidRPr="002655FD">
              <w:rPr>
                <w:sz w:val="22"/>
                <w:szCs w:val="22"/>
                <w:lang w:eastAsia="es-ES"/>
              </w:rPr>
              <w:t>Virtual</w:t>
            </w:r>
          </w:p>
        </w:tc>
        <w:tc>
          <w:tcPr>
            <w:tcW w:w="11602" w:type="dxa"/>
            <w:shd w:val="clear" w:color="auto" w:fill="auto"/>
            <w:vAlign w:val="center"/>
          </w:tcPr>
          <w:p w:rsidR="00D374C8" w:rsidRPr="00EA5736" w:rsidRDefault="00D374C8" w:rsidP="002655FD">
            <w:pPr>
              <w:numPr>
                <w:ilvl w:val="0"/>
                <w:numId w:val="37"/>
              </w:numPr>
              <w:spacing w:before="20" w:after="20"/>
              <w:jc w:val="both"/>
              <w:rPr>
                <w:sz w:val="22"/>
                <w:szCs w:val="22"/>
                <w:lang w:val="es-ES" w:eastAsia="es-ES"/>
              </w:rPr>
            </w:pPr>
            <w:r w:rsidRPr="002655FD">
              <w:rPr>
                <w:sz w:val="22"/>
                <w:szCs w:val="22"/>
                <w:lang w:val="es-ES" w:eastAsia="es-ES"/>
              </w:rPr>
              <w:t>Seguimiento</w:t>
            </w:r>
            <w:r w:rsidRPr="00EA5736">
              <w:rPr>
                <w:sz w:val="22"/>
                <w:szCs w:val="22"/>
                <w:lang w:val="es-ES_tradnl"/>
              </w:rPr>
              <w:t xml:space="preserve"> a los mandatos de la resolución AG/RES. 2941 (XLIX-O/19) “Promoción y protección de derechos humanos”:</w:t>
            </w:r>
          </w:p>
          <w:p w:rsidR="00D374C8" w:rsidRPr="00EA5736" w:rsidRDefault="00D374C8" w:rsidP="002655FD">
            <w:pPr>
              <w:numPr>
                <w:ilvl w:val="0"/>
                <w:numId w:val="6"/>
              </w:numPr>
              <w:spacing w:before="20" w:after="20"/>
              <w:jc w:val="both"/>
              <w:rPr>
                <w:sz w:val="22"/>
                <w:szCs w:val="22"/>
                <w:lang w:val="es-ES"/>
              </w:rPr>
            </w:pPr>
            <w:r w:rsidRPr="00EA5736">
              <w:rPr>
                <w:sz w:val="22"/>
                <w:szCs w:val="22"/>
                <w:u w:val="single"/>
                <w:lang w:val="es-ES" w:eastAsia="es-ES"/>
              </w:rPr>
              <w:t>Sección xiii</w:t>
            </w:r>
            <w:r w:rsidRPr="00EA5736">
              <w:rPr>
                <w:sz w:val="22"/>
                <w:szCs w:val="22"/>
                <w:lang w:val="es-ES"/>
              </w:rPr>
              <w:t>: Integración</w:t>
            </w:r>
            <w:r w:rsidRPr="00EA5736">
              <w:rPr>
                <w:color w:val="000000"/>
                <w:sz w:val="22"/>
                <w:szCs w:val="22"/>
                <w:lang w:val="es-ES"/>
              </w:rPr>
              <w:t xml:space="preserve"> equilibrada en género y con representatividad geográfica y de los diferentes sistemas jurídicos, de la Comisión Interamericana de Derechos Humanos y la Corte Interamericana de Derechos Humanos</w:t>
            </w:r>
            <w:r w:rsidRPr="00EA5736">
              <w:rPr>
                <w:sz w:val="22"/>
                <w:szCs w:val="22"/>
                <w:lang w:val="es-ES"/>
              </w:rPr>
              <w:t>:</w:t>
            </w:r>
          </w:p>
          <w:p w:rsidR="00D374C8" w:rsidRPr="00EA5736" w:rsidRDefault="00D374C8" w:rsidP="007C46FA">
            <w:pPr>
              <w:numPr>
                <w:ilvl w:val="1"/>
                <w:numId w:val="5"/>
              </w:numPr>
              <w:tabs>
                <w:tab w:val="left" w:pos="843"/>
              </w:tabs>
              <w:spacing w:before="20" w:after="20"/>
              <w:jc w:val="both"/>
              <w:rPr>
                <w:sz w:val="22"/>
                <w:szCs w:val="22"/>
                <w:lang w:val="es-ES" w:eastAsia="es-ES"/>
              </w:rPr>
            </w:pPr>
            <w:r w:rsidRPr="007C46FA">
              <w:rPr>
                <w:sz w:val="22"/>
                <w:szCs w:val="22"/>
                <w:lang w:val="es-ES"/>
              </w:rPr>
              <w:t>Sesión de seguimiento para compartir buenas prácticas en el ejercicio de nominación y selección de candidatos/as a la CIDH y en la CoIDH cuando corresponda con miras a promover la paridad de género y equilibrio entre las diferentes regiones y sistemas jurídicos del hemisferio en los dos órganos.</w:t>
            </w:r>
          </w:p>
        </w:tc>
      </w:tr>
      <w:tr w:rsidR="00D374C8" w:rsidRPr="00850278" w:rsidTr="00C4349A">
        <w:trPr>
          <w:jc w:val="center"/>
        </w:trPr>
        <w:tc>
          <w:tcPr>
            <w:tcW w:w="2577" w:type="dxa"/>
            <w:vMerge/>
            <w:shd w:val="clear" w:color="auto" w:fill="auto"/>
            <w:vAlign w:val="center"/>
          </w:tcPr>
          <w:p w:rsidR="00D374C8" w:rsidRPr="00401894" w:rsidRDefault="00D374C8" w:rsidP="00C4349A">
            <w:pPr>
              <w:spacing w:before="20" w:after="20"/>
              <w:jc w:val="center"/>
              <w:rPr>
                <w:sz w:val="22"/>
                <w:szCs w:val="22"/>
                <w:lang w:val="es-US" w:eastAsia="es-ES"/>
              </w:rPr>
            </w:pPr>
          </w:p>
        </w:tc>
        <w:tc>
          <w:tcPr>
            <w:tcW w:w="11602" w:type="dxa"/>
            <w:shd w:val="clear" w:color="auto" w:fill="auto"/>
            <w:vAlign w:val="center"/>
          </w:tcPr>
          <w:p w:rsidR="008E19CB" w:rsidRPr="008E19CB" w:rsidRDefault="00D374C8" w:rsidP="00FD2925">
            <w:pPr>
              <w:numPr>
                <w:ilvl w:val="0"/>
                <w:numId w:val="38"/>
              </w:numPr>
              <w:spacing w:before="20" w:after="20"/>
              <w:jc w:val="both"/>
              <w:rPr>
                <w:sz w:val="22"/>
                <w:szCs w:val="22"/>
                <w:lang w:val="es-MX" w:eastAsia="es-ES"/>
              </w:rPr>
            </w:pPr>
            <w:r w:rsidRPr="008E19CB">
              <w:rPr>
                <w:sz w:val="22"/>
                <w:szCs w:val="22"/>
                <w:lang w:val="es-MX" w:eastAsia="es-ES"/>
              </w:rPr>
              <w:t xml:space="preserve">Buenas </w:t>
            </w:r>
            <w:r w:rsidRPr="008E19CB">
              <w:rPr>
                <w:sz w:val="22"/>
                <w:szCs w:val="22"/>
                <w:lang w:val="es-MX"/>
              </w:rPr>
              <w:t>prácticas de los Estados en relación con las personas LGBTI en el contexto de la pandemia COVID-19 (</w:t>
            </w:r>
            <w:hyperlink r:id="rId16" w:history="1">
              <w:r w:rsidRPr="008E19CB">
                <w:rPr>
                  <w:rStyle w:val="Hyperlink"/>
                  <w:sz w:val="22"/>
                  <w:szCs w:val="22"/>
                  <w:lang w:val="es-MX"/>
                </w:rPr>
                <w:t>CP/CAJP/INF. 758/20</w:t>
              </w:r>
            </w:hyperlink>
            <w:r w:rsidRPr="008E19CB">
              <w:rPr>
                <w:sz w:val="22"/>
                <w:szCs w:val="22"/>
                <w:lang w:val="es-MX"/>
              </w:rPr>
              <w:t>)</w:t>
            </w:r>
            <w:r w:rsidR="008E19CB" w:rsidRPr="008E19CB">
              <w:rPr>
                <w:sz w:val="22"/>
                <w:szCs w:val="22"/>
                <w:lang w:val="es-MX"/>
              </w:rPr>
              <w:t>.</w:t>
            </w:r>
          </w:p>
          <w:p w:rsidR="00D374C8" w:rsidRPr="008E19CB" w:rsidRDefault="008E19CB" w:rsidP="008E19CB">
            <w:pPr>
              <w:numPr>
                <w:ilvl w:val="0"/>
                <w:numId w:val="38"/>
              </w:numPr>
              <w:spacing w:before="20" w:after="20"/>
              <w:jc w:val="both"/>
              <w:rPr>
                <w:sz w:val="22"/>
                <w:szCs w:val="22"/>
                <w:lang w:val="es-MX" w:eastAsia="es-ES"/>
              </w:rPr>
            </w:pPr>
            <w:r w:rsidRPr="008E19CB">
              <w:rPr>
                <w:sz w:val="22"/>
                <w:szCs w:val="22"/>
                <w:lang w:val="es-MX"/>
              </w:rPr>
              <w:t>Respuesta de la comunidad religiosa a la pandemia global de COVID-19: mejores prácticas y perspectivas</w:t>
            </w:r>
            <w:r>
              <w:rPr>
                <w:sz w:val="22"/>
                <w:szCs w:val="22"/>
                <w:lang w:val="es-MX"/>
              </w:rPr>
              <w:t xml:space="preserve"> </w:t>
            </w:r>
            <w:r w:rsidRPr="008E19CB">
              <w:rPr>
                <w:sz w:val="22"/>
                <w:szCs w:val="22"/>
                <w:lang w:val="es-MX"/>
              </w:rPr>
              <w:t>(</w:t>
            </w:r>
            <w:hyperlink r:id="rId17" w:history="1">
              <w:r w:rsidRPr="008E19CB">
                <w:rPr>
                  <w:rStyle w:val="Hyperlink"/>
                  <w:sz w:val="22"/>
                  <w:szCs w:val="22"/>
                  <w:lang w:val="es-MX"/>
                </w:rPr>
                <w:t xml:space="preserve">CP/CAJP/INF. </w:t>
              </w:r>
              <w:r>
                <w:rPr>
                  <w:rStyle w:val="Hyperlink"/>
                  <w:sz w:val="22"/>
                  <w:szCs w:val="22"/>
                  <w:lang w:val="es-MX"/>
                </w:rPr>
                <w:t>767</w:t>
              </w:r>
              <w:r w:rsidRPr="008E19CB">
                <w:rPr>
                  <w:rStyle w:val="Hyperlink"/>
                  <w:sz w:val="22"/>
                  <w:szCs w:val="22"/>
                  <w:lang w:val="es-MX"/>
                </w:rPr>
                <w:t>/20</w:t>
              </w:r>
            </w:hyperlink>
            <w:r w:rsidRPr="008E19CB">
              <w:rPr>
                <w:sz w:val="22"/>
                <w:szCs w:val="22"/>
                <w:lang w:val="es-MX"/>
              </w:rPr>
              <w:t xml:space="preserve">). </w:t>
            </w:r>
          </w:p>
        </w:tc>
      </w:tr>
      <w:tr w:rsidR="00D374C8" w:rsidRPr="00850278" w:rsidTr="005A5260">
        <w:trPr>
          <w:trHeight w:val="890"/>
          <w:jc w:val="center"/>
        </w:trPr>
        <w:tc>
          <w:tcPr>
            <w:tcW w:w="2577" w:type="dxa"/>
            <w:vMerge w:val="restart"/>
            <w:shd w:val="clear" w:color="auto" w:fill="auto"/>
            <w:vAlign w:val="center"/>
          </w:tcPr>
          <w:p w:rsidR="00D374C8" w:rsidRPr="00EA5736" w:rsidRDefault="00D374C8" w:rsidP="00EA5736">
            <w:pPr>
              <w:spacing w:before="20" w:after="20"/>
              <w:jc w:val="center"/>
              <w:rPr>
                <w:sz w:val="22"/>
                <w:szCs w:val="22"/>
                <w:lang w:val="es-ES" w:eastAsia="es-ES"/>
              </w:rPr>
            </w:pPr>
            <w:r w:rsidRPr="00EA5736">
              <w:rPr>
                <w:sz w:val="22"/>
                <w:szCs w:val="22"/>
                <w:lang w:val="es-ES" w:eastAsia="es-ES"/>
              </w:rPr>
              <w:t>Jueves,</w:t>
            </w:r>
            <w:r w:rsidRPr="00EA5736">
              <w:rPr>
                <w:sz w:val="22"/>
                <w:szCs w:val="22"/>
                <w:lang w:val="es-ES" w:eastAsia="es-ES"/>
              </w:rPr>
              <w:br/>
            </w:r>
            <w:r>
              <w:rPr>
                <w:sz w:val="22"/>
                <w:szCs w:val="22"/>
                <w:lang w:val="es-ES" w:eastAsia="es-ES"/>
              </w:rPr>
              <w:t>25</w:t>
            </w:r>
            <w:r w:rsidRPr="00EA5736">
              <w:rPr>
                <w:sz w:val="22"/>
                <w:szCs w:val="22"/>
                <w:lang w:val="es-ES" w:eastAsia="es-ES"/>
              </w:rPr>
              <w:t xml:space="preserve"> de </w:t>
            </w:r>
            <w:r>
              <w:rPr>
                <w:sz w:val="22"/>
                <w:szCs w:val="22"/>
                <w:lang w:val="es-ES" w:eastAsia="es-ES"/>
              </w:rPr>
              <w:t xml:space="preserve">junio </w:t>
            </w:r>
            <w:r w:rsidRPr="00EA5736">
              <w:rPr>
                <w:sz w:val="22"/>
                <w:szCs w:val="22"/>
                <w:lang w:val="es-ES" w:eastAsia="es-ES"/>
              </w:rPr>
              <w:t>de 2020</w:t>
            </w:r>
          </w:p>
          <w:p w:rsidR="00D374C8" w:rsidRPr="00EA5736" w:rsidRDefault="00D374C8" w:rsidP="00EA5736">
            <w:pPr>
              <w:spacing w:before="20" w:after="20"/>
              <w:jc w:val="center"/>
              <w:rPr>
                <w:sz w:val="22"/>
                <w:szCs w:val="22"/>
                <w:lang w:val="es-ES" w:eastAsia="es-ES"/>
              </w:rPr>
            </w:pPr>
            <w:r w:rsidRPr="00EA5736">
              <w:rPr>
                <w:sz w:val="22"/>
                <w:szCs w:val="22"/>
                <w:lang w:val="es-ES" w:eastAsia="es-ES"/>
              </w:rPr>
              <w:t xml:space="preserve">2:30 p.m. - </w:t>
            </w:r>
            <w:r>
              <w:rPr>
                <w:sz w:val="22"/>
                <w:szCs w:val="22"/>
                <w:lang w:val="es-ES" w:eastAsia="es-ES"/>
              </w:rPr>
              <w:t>5</w:t>
            </w:r>
            <w:r w:rsidRPr="00EA5736">
              <w:rPr>
                <w:sz w:val="22"/>
                <w:szCs w:val="22"/>
                <w:lang w:val="es-ES" w:eastAsia="es-ES"/>
              </w:rPr>
              <w:t>:30 p.m.</w:t>
            </w:r>
          </w:p>
          <w:p w:rsidR="00D374C8" w:rsidRPr="00EA5736" w:rsidRDefault="00D374C8" w:rsidP="00EA5736">
            <w:pPr>
              <w:spacing w:before="20" w:after="20"/>
              <w:jc w:val="center"/>
              <w:rPr>
                <w:sz w:val="22"/>
                <w:szCs w:val="22"/>
                <w:lang w:val="es-ES" w:eastAsia="es-ES"/>
              </w:rPr>
            </w:pPr>
            <w:r>
              <w:rPr>
                <w:sz w:val="22"/>
                <w:szCs w:val="22"/>
                <w:lang w:val="es-ES" w:eastAsia="es-ES"/>
              </w:rPr>
              <w:t>Virtual</w:t>
            </w:r>
          </w:p>
        </w:tc>
        <w:tc>
          <w:tcPr>
            <w:tcW w:w="11602" w:type="dxa"/>
            <w:shd w:val="clear" w:color="auto" w:fill="auto"/>
            <w:vAlign w:val="center"/>
          </w:tcPr>
          <w:p w:rsidR="00D374C8" w:rsidRPr="00EA5736" w:rsidRDefault="00D374C8" w:rsidP="00D374C8">
            <w:pPr>
              <w:numPr>
                <w:ilvl w:val="0"/>
                <w:numId w:val="12"/>
              </w:numPr>
              <w:spacing w:before="20" w:after="20"/>
              <w:ind w:left="33"/>
              <w:jc w:val="both"/>
              <w:rPr>
                <w:sz w:val="22"/>
                <w:szCs w:val="22"/>
                <w:lang w:val="es-ES" w:eastAsia="es-ES"/>
              </w:rPr>
            </w:pPr>
            <w:r w:rsidRPr="00D374C8">
              <w:rPr>
                <w:sz w:val="22"/>
                <w:szCs w:val="22"/>
                <w:lang w:val="es-ES" w:eastAsia="es-ES"/>
              </w:rPr>
              <w:t xml:space="preserve">OCTAVA SESIÓN EXTRAORDINARIA </w:t>
            </w:r>
            <w:r w:rsidRPr="00D374C8">
              <w:rPr>
                <w:sz w:val="22"/>
                <w:szCs w:val="22"/>
                <w:lang w:val="es-ES"/>
              </w:rPr>
              <w:t xml:space="preserve">sobre los mecanismos de monitoreo de los centros de detención que lleva adelante cada institución de defensa pública oficial de la región. - Sección </w:t>
            </w:r>
            <w:r w:rsidRPr="00D374C8">
              <w:rPr>
                <w:sz w:val="22"/>
                <w:szCs w:val="22"/>
                <w:lang w:val="es-ES" w:eastAsia="es-ES"/>
              </w:rPr>
              <w:t xml:space="preserve">vi. de la resolución </w:t>
            </w:r>
            <w:r w:rsidRPr="00D374C8">
              <w:rPr>
                <w:sz w:val="22"/>
                <w:szCs w:val="22"/>
                <w:lang w:val="es-ES_tradnl"/>
              </w:rPr>
              <w:t>AG/RES. 2941 (XLIX-O/19).</w:t>
            </w:r>
          </w:p>
        </w:tc>
      </w:tr>
      <w:tr w:rsidR="00D374C8" w:rsidRPr="00850278" w:rsidTr="001B040D">
        <w:trPr>
          <w:trHeight w:val="377"/>
          <w:jc w:val="center"/>
        </w:trPr>
        <w:tc>
          <w:tcPr>
            <w:tcW w:w="2577" w:type="dxa"/>
            <w:vMerge/>
            <w:shd w:val="clear" w:color="auto" w:fill="auto"/>
            <w:vAlign w:val="center"/>
          </w:tcPr>
          <w:p w:rsidR="00D374C8" w:rsidRPr="008F7CE0" w:rsidRDefault="00D374C8" w:rsidP="001B040D">
            <w:pPr>
              <w:spacing w:before="20" w:after="20"/>
              <w:jc w:val="center"/>
              <w:rPr>
                <w:sz w:val="22"/>
                <w:szCs w:val="22"/>
                <w:lang w:val="es-ES" w:eastAsia="es-ES"/>
              </w:rPr>
            </w:pPr>
          </w:p>
        </w:tc>
        <w:tc>
          <w:tcPr>
            <w:tcW w:w="11602" w:type="dxa"/>
            <w:shd w:val="clear" w:color="auto" w:fill="auto"/>
            <w:vAlign w:val="center"/>
          </w:tcPr>
          <w:p w:rsidR="00D374C8" w:rsidRPr="0031668D" w:rsidRDefault="00D374C8" w:rsidP="00D374C8">
            <w:pPr>
              <w:numPr>
                <w:ilvl w:val="0"/>
                <w:numId w:val="40"/>
              </w:numPr>
              <w:spacing w:before="20" w:after="20"/>
              <w:jc w:val="both"/>
              <w:rPr>
                <w:sz w:val="22"/>
                <w:szCs w:val="22"/>
                <w:lang w:val="es-ES" w:eastAsia="es-ES"/>
              </w:rPr>
            </w:pPr>
            <w:r w:rsidRPr="0031668D">
              <w:rPr>
                <w:sz w:val="22"/>
                <w:szCs w:val="22"/>
                <w:lang w:val="es-ES" w:eastAsia="es-ES"/>
              </w:rPr>
              <w:t>Seguimiento</w:t>
            </w:r>
            <w:r w:rsidRPr="0031668D">
              <w:rPr>
                <w:sz w:val="22"/>
                <w:szCs w:val="22"/>
                <w:lang w:val="es-ES_tradnl"/>
              </w:rPr>
              <w:t xml:space="preserve"> a los mandatos de la resolución AG/RES. 2941 (XLIX-O/19) “Promoción y protección de derechos humanos”:</w:t>
            </w:r>
          </w:p>
          <w:p w:rsidR="00D374C8" w:rsidRPr="00EA5736" w:rsidRDefault="00D374C8" w:rsidP="00D374C8">
            <w:pPr>
              <w:numPr>
                <w:ilvl w:val="0"/>
                <w:numId w:val="6"/>
              </w:numPr>
              <w:spacing w:before="20" w:after="20"/>
              <w:jc w:val="both"/>
              <w:rPr>
                <w:sz w:val="22"/>
                <w:szCs w:val="22"/>
                <w:lang w:val="es-ES"/>
              </w:rPr>
            </w:pPr>
            <w:r w:rsidRPr="00EA5736">
              <w:rPr>
                <w:sz w:val="22"/>
                <w:szCs w:val="22"/>
                <w:u w:val="single"/>
                <w:lang w:val="es-ES" w:eastAsia="es-ES"/>
              </w:rPr>
              <w:t>Sección ix</w:t>
            </w:r>
            <w:r w:rsidRPr="00EA5736">
              <w:rPr>
                <w:sz w:val="22"/>
                <w:szCs w:val="22"/>
                <w:lang w:val="es-ES"/>
              </w:rPr>
              <w:t>: Derechos de las personas privadas de libertad:</w:t>
            </w:r>
          </w:p>
          <w:p w:rsidR="00D374C8" w:rsidRDefault="00D374C8" w:rsidP="00D374C8">
            <w:pPr>
              <w:numPr>
                <w:ilvl w:val="1"/>
                <w:numId w:val="5"/>
              </w:numPr>
              <w:tabs>
                <w:tab w:val="left" w:pos="843"/>
              </w:tabs>
              <w:spacing w:before="20" w:after="20"/>
              <w:jc w:val="both"/>
              <w:rPr>
                <w:sz w:val="22"/>
                <w:szCs w:val="22"/>
                <w:lang w:val="es-ES"/>
              </w:rPr>
            </w:pPr>
            <w:r w:rsidRPr="00EA5736">
              <w:rPr>
                <w:sz w:val="22"/>
                <w:szCs w:val="22"/>
                <w:lang w:val="es-ES"/>
              </w:rPr>
              <w:t xml:space="preserve">Diálogo </w:t>
            </w:r>
            <w:r w:rsidRPr="00EA5736">
              <w:rPr>
                <w:sz w:val="22"/>
                <w:szCs w:val="22"/>
                <w:lang w:val="es-MX"/>
              </w:rPr>
              <w:t>sobre buenas prácticas en materia de políticas carcelarias, penitenciarias y en instituciones psiquiátricas, con especial énfasis en estrategias y acciones que aseguren el respeto, garantía y protección de los derechos de las personas privadas de libertad</w:t>
            </w:r>
            <w:r w:rsidRPr="00EA5736">
              <w:rPr>
                <w:sz w:val="22"/>
                <w:szCs w:val="22"/>
                <w:lang w:val="es-ES"/>
              </w:rPr>
              <w:t>.</w:t>
            </w:r>
          </w:p>
          <w:p w:rsidR="00D374C8" w:rsidRPr="008F7CE0" w:rsidRDefault="00D374C8" w:rsidP="00D374C8">
            <w:pPr>
              <w:numPr>
                <w:ilvl w:val="0"/>
                <w:numId w:val="40"/>
              </w:numPr>
              <w:spacing w:before="20" w:after="20"/>
              <w:jc w:val="both"/>
              <w:rPr>
                <w:sz w:val="22"/>
                <w:szCs w:val="22"/>
                <w:lang w:val="es-ES" w:eastAsia="es-ES"/>
              </w:rPr>
            </w:pPr>
            <w:r w:rsidRPr="00D374C8">
              <w:rPr>
                <w:sz w:val="22"/>
                <w:szCs w:val="22"/>
                <w:lang w:val="es-ES" w:eastAsia="es-ES"/>
              </w:rPr>
              <w:t>Continuación</w:t>
            </w:r>
            <w:r>
              <w:rPr>
                <w:sz w:val="22"/>
                <w:szCs w:val="22"/>
                <w:lang w:val="es-ES_tradnl"/>
              </w:rPr>
              <w:t xml:space="preserve"> del d</w:t>
            </w:r>
            <w:r w:rsidRPr="00F64FF2">
              <w:rPr>
                <w:sz w:val="22"/>
                <w:szCs w:val="22"/>
                <w:lang w:val="es-ES_tradnl"/>
              </w:rPr>
              <w:t>iálogo</w:t>
            </w:r>
            <w:r>
              <w:rPr>
                <w:sz w:val="22"/>
                <w:szCs w:val="22"/>
                <w:lang w:val="es-ES_tradnl"/>
              </w:rPr>
              <w:t xml:space="preserve"> sobre algunas reformas a procedimientos de la OEA.</w:t>
            </w:r>
          </w:p>
        </w:tc>
      </w:tr>
      <w:tr w:rsidR="007E1645" w:rsidRPr="00EA5736" w:rsidTr="00C4349A">
        <w:trPr>
          <w:jc w:val="center"/>
        </w:trPr>
        <w:tc>
          <w:tcPr>
            <w:tcW w:w="14179" w:type="dxa"/>
            <w:gridSpan w:val="2"/>
            <w:shd w:val="pct15" w:color="auto" w:fill="auto"/>
            <w:vAlign w:val="center"/>
          </w:tcPr>
          <w:p w:rsidR="007E1645" w:rsidRPr="00EA5736" w:rsidRDefault="007E1645" w:rsidP="00C4349A">
            <w:pPr>
              <w:tabs>
                <w:tab w:val="left" w:pos="342"/>
              </w:tabs>
              <w:spacing w:before="20" w:after="20"/>
              <w:ind w:left="360" w:hanging="360"/>
              <w:jc w:val="center"/>
              <w:rPr>
                <w:b/>
                <w:sz w:val="22"/>
                <w:szCs w:val="22"/>
                <w:lang w:val="es-ES" w:eastAsia="es-ES"/>
              </w:rPr>
            </w:pPr>
            <w:r>
              <w:rPr>
                <w:b/>
                <w:sz w:val="22"/>
                <w:szCs w:val="22"/>
                <w:lang w:val="es-ES" w:eastAsia="es-ES"/>
              </w:rPr>
              <w:t>AGOSTO</w:t>
            </w:r>
            <w:r w:rsidRPr="00EA5736">
              <w:rPr>
                <w:b/>
                <w:sz w:val="22"/>
                <w:szCs w:val="22"/>
                <w:lang w:val="es-ES" w:eastAsia="es-ES"/>
              </w:rPr>
              <w:t xml:space="preserve"> DE 2020</w:t>
            </w:r>
          </w:p>
        </w:tc>
      </w:tr>
      <w:tr w:rsidR="007E1645" w:rsidRPr="00850278" w:rsidTr="00C4349A">
        <w:trPr>
          <w:jc w:val="center"/>
        </w:trPr>
        <w:tc>
          <w:tcPr>
            <w:tcW w:w="2577" w:type="dxa"/>
            <w:tcBorders>
              <w:bottom w:val="single" w:sz="4" w:space="0" w:color="000000"/>
            </w:tcBorders>
            <w:shd w:val="clear" w:color="auto" w:fill="auto"/>
            <w:vAlign w:val="center"/>
          </w:tcPr>
          <w:p w:rsidR="003C112E" w:rsidRDefault="003C112E" w:rsidP="007E1645">
            <w:pPr>
              <w:spacing w:before="20" w:after="20"/>
              <w:jc w:val="center"/>
              <w:rPr>
                <w:sz w:val="22"/>
                <w:szCs w:val="22"/>
                <w:lang w:val="es-ES" w:eastAsia="es-ES"/>
              </w:rPr>
            </w:pPr>
            <w:r>
              <w:rPr>
                <w:sz w:val="22"/>
                <w:szCs w:val="22"/>
                <w:lang w:val="es-ES" w:eastAsia="es-ES"/>
              </w:rPr>
              <w:t>Viernes</w:t>
            </w:r>
          </w:p>
          <w:p w:rsidR="007E1645" w:rsidRPr="00EA5736" w:rsidRDefault="007E1645" w:rsidP="007E1645">
            <w:pPr>
              <w:spacing w:before="20" w:after="20"/>
              <w:jc w:val="center"/>
              <w:rPr>
                <w:sz w:val="22"/>
                <w:szCs w:val="22"/>
                <w:lang w:val="es-ES" w:eastAsia="es-ES"/>
              </w:rPr>
            </w:pPr>
            <w:r>
              <w:rPr>
                <w:sz w:val="22"/>
                <w:szCs w:val="22"/>
                <w:lang w:val="es-ES" w:eastAsia="es-ES"/>
              </w:rPr>
              <w:t>14</w:t>
            </w:r>
            <w:r w:rsidRPr="00EA5736">
              <w:rPr>
                <w:sz w:val="22"/>
                <w:szCs w:val="22"/>
                <w:lang w:val="es-ES" w:eastAsia="es-ES"/>
              </w:rPr>
              <w:t xml:space="preserve"> de </w:t>
            </w:r>
            <w:r>
              <w:rPr>
                <w:sz w:val="22"/>
                <w:szCs w:val="22"/>
                <w:lang w:val="es-ES" w:eastAsia="es-ES"/>
              </w:rPr>
              <w:t>agosto</w:t>
            </w:r>
            <w:r w:rsidRPr="00EA5736">
              <w:rPr>
                <w:sz w:val="22"/>
                <w:szCs w:val="22"/>
                <w:lang w:val="es-ES" w:eastAsia="es-ES"/>
              </w:rPr>
              <w:t xml:space="preserve"> de 2020</w:t>
            </w:r>
          </w:p>
        </w:tc>
        <w:tc>
          <w:tcPr>
            <w:tcW w:w="11602" w:type="dxa"/>
            <w:tcBorders>
              <w:bottom w:val="single" w:sz="4" w:space="0" w:color="000000"/>
            </w:tcBorders>
            <w:shd w:val="clear" w:color="auto" w:fill="auto"/>
            <w:vAlign w:val="center"/>
          </w:tcPr>
          <w:p w:rsidR="007E1645" w:rsidRPr="00EA5736" w:rsidRDefault="007E1645" w:rsidP="008964D8">
            <w:pPr>
              <w:spacing w:before="20" w:after="20"/>
              <w:rPr>
                <w:sz w:val="22"/>
                <w:szCs w:val="22"/>
                <w:lang w:val="es-ES" w:eastAsia="es-ES"/>
              </w:rPr>
            </w:pPr>
            <w:r w:rsidRPr="00EA5736">
              <w:rPr>
                <w:sz w:val="22"/>
                <w:szCs w:val="22"/>
                <w:lang w:val="es-ES" w:eastAsia="es-ES"/>
              </w:rPr>
              <w:t>Plazo</w:t>
            </w:r>
            <w:r w:rsidR="00930667">
              <w:rPr>
                <w:sz w:val="22"/>
                <w:szCs w:val="22"/>
                <w:lang w:val="es-ES" w:eastAsia="es-ES"/>
              </w:rPr>
              <w:t xml:space="preserve"> </w:t>
            </w:r>
            <w:r w:rsidRPr="00EA5736">
              <w:rPr>
                <w:sz w:val="22"/>
                <w:szCs w:val="22"/>
                <w:lang w:val="es-ES" w:eastAsia="es-ES"/>
              </w:rPr>
              <w:t>para la present</w:t>
            </w:r>
            <w:r w:rsidR="00F34163">
              <w:rPr>
                <w:sz w:val="22"/>
                <w:szCs w:val="22"/>
                <w:lang w:val="es-ES" w:eastAsia="es-ES"/>
              </w:rPr>
              <w:t xml:space="preserve">ación de textos a ser incluidos </w:t>
            </w:r>
            <w:r w:rsidRPr="00EA5736">
              <w:rPr>
                <w:sz w:val="22"/>
                <w:szCs w:val="22"/>
                <w:lang w:val="es-ES" w:eastAsia="es-ES"/>
              </w:rPr>
              <w:t xml:space="preserve">en los proyectos de resoluciones ómnibus. </w:t>
            </w:r>
          </w:p>
        </w:tc>
      </w:tr>
      <w:tr w:rsidR="00097C1E" w:rsidRPr="00EA5736" w:rsidTr="00C4349A">
        <w:trPr>
          <w:jc w:val="center"/>
        </w:trPr>
        <w:tc>
          <w:tcPr>
            <w:tcW w:w="14179" w:type="dxa"/>
            <w:gridSpan w:val="2"/>
            <w:shd w:val="pct15" w:color="auto" w:fill="auto"/>
            <w:vAlign w:val="center"/>
          </w:tcPr>
          <w:p w:rsidR="00097C1E" w:rsidRPr="00EA5736" w:rsidRDefault="00097C1E" w:rsidP="00097C1E">
            <w:pPr>
              <w:tabs>
                <w:tab w:val="left" w:pos="342"/>
              </w:tabs>
              <w:spacing w:before="20" w:after="20"/>
              <w:ind w:left="360" w:hanging="360"/>
              <w:jc w:val="center"/>
              <w:rPr>
                <w:b/>
                <w:sz w:val="22"/>
                <w:szCs w:val="22"/>
                <w:lang w:val="es-ES" w:eastAsia="es-ES"/>
              </w:rPr>
            </w:pPr>
            <w:r>
              <w:rPr>
                <w:b/>
                <w:sz w:val="22"/>
                <w:szCs w:val="22"/>
                <w:lang w:val="es-ES" w:eastAsia="es-ES"/>
              </w:rPr>
              <w:t>SEPTIEMBRE</w:t>
            </w:r>
            <w:r w:rsidRPr="00EA5736">
              <w:rPr>
                <w:b/>
                <w:sz w:val="22"/>
                <w:szCs w:val="22"/>
                <w:lang w:val="es-ES" w:eastAsia="es-ES"/>
              </w:rPr>
              <w:t xml:space="preserve"> DE 2020</w:t>
            </w:r>
          </w:p>
        </w:tc>
      </w:tr>
      <w:tr w:rsidR="00097C1E" w:rsidRPr="00850278" w:rsidTr="003C112E">
        <w:trPr>
          <w:trHeight w:val="70"/>
          <w:jc w:val="center"/>
        </w:trPr>
        <w:tc>
          <w:tcPr>
            <w:tcW w:w="2577" w:type="dxa"/>
            <w:shd w:val="clear" w:color="auto" w:fill="auto"/>
            <w:vAlign w:val="center"/>
          </w:tcPr>
          <w:p w:rsidR="00331DB8" w:rsidRDefault="00331DB8" w:rsidP="00331DB8">
            <w:pPr>
              <w:spacing w:before="20" w:after="20"/>
              <w:jc w:val="center"/>
              <w:rPr>
                <w:sz w:val="22"/>
                <w:szCs w:val="22"/>
                <w:lang w:val="es-ES" w:eastAsia="es-ES"/>
              </w:rPr>
            </w:pPr>
            <w:r>
              <w:rPr>
                <w:sz w:val="22"/>
                <w:szCs w:val="22"/>
                <w:lang w:val="es-ES" w:eastAsia="es-ES"/>
              </w:rPr>
              <w:t xml:space="preserve">Jueves </w:t>
            </w:r>
          </w:p>
          <w:p w:rsidR="00331DB8" w:rsidRDefault="004B0575" w:rsidP="00331DB8">
            <w:pPr>
              <w:spacing w:before="20" w:after="20"/>
              <w:jc w:val="center"/>
              <w:rPr>
                <w:sz w:val="22"/>
                <w:szCs w:val="22"/>
                <w:lang w:val="es-ES" w:eastAsia="es-ES"/>
              </w:rPr>
            </w:pPr>
            <w:r>
              <w:rPr>
                <w:sz w:val="22"/>
                <w:szCs w:val="22"/>
                <w:lang w:val="es-ES" w:eastAsia="es-ES"/>
              </w:rPr>
              <w:t>3</w:t>
            </w:r>
            <w:r w:rsidR="00331DB8">
              <w:rPr>
                <w:sz w:val="22"/>
                <w:szCs w:val="22"/>
                <w:lang w:val="es-ES" w:eastAsia="es-ES"/>
              </w:rPr>
              <w:t xml:space="preserve"> de septiembre de 2020</w:t>
            </w:r>
          </w:p>
          <w:p w:rsidR="00097C1E" w:rsidRDefault="00331DB8" w:rsidP="00331DB8">
            <w:pPr>
              <w:spacing w:before="20" w:after="20"/>
              <w:jc w:val="center"/>
              <w:rPr>
                <w:sz w:val="22"/>
                <w:szCs w:val="22"/>
                <w:lang w:val="es-ES" w:eastAsia="es-ES"/>
              </w:rPr>
            </w:pPr>
            <w:r w:rsidRPr="00EA5736">
              <w:rPr>
                <w:sz w:val="22"/>
                <w:szCs w:val="22"/>
                <w:lang w:val="es-ES" w:eastAsia="es-ES"/>
              </w:rPr>
              <w:t xml:space="preserve">2:30 p.m. - </w:t>
            </w:r>
            <w:r>
              <w:rPr>
                <w:sz w:val="22"/>
                <w:szCs w:val="22"/>
                <w:lang w:val="es-ES" w:eastAsia="es-ES"/>
              </w:rPr>
              <w:t>5</w:t>
            </w:r>
            <w:r w:rsidRPr="00EA5736">
              <w:rPr>
                <w:sz w:val="22"/>
                <w:szCs w:val="22"/>
                <w:lang w:val="es-ES" w:eastAsia="es-ES"/>
              </w:rPr>
              <w:t>:30 p.m</w:t>
            </w:r>
            <w:r>
              <w:rPr>
                <w:sz w:val="22"/>
                <w:szCs w:val="22"/>
                <w:lang w:val="es-ES" w:eastAsia="es-ES"/>
              </w:rPr>
              <w:t>.</w:t>
            </w:r>
          </w:p>
          <w:p w:rsidR="004B0575" w:rsidRPr="00EA5736" w:rsidRDefault="004B0575" w:rsidP="00331DB8">
            <w:pPr>
              <w:spacing w:before="20" w:after="20"/>
              <w:jc w:val="center"/>
              <w:rPr>
                <w:sz w:val="22"/>
                <w:szCs w:val="22"/>
                <w:lang w:val="es-ES" w:eastAsia="es-ES"/>
              </w:rPr>
            </w:pPr>
            <w:r>
              <w:rPr>
                <w:sz w:val="22"/>
                <w:szCs w:val="22"/>
                <w:lang w:val="es-ES" w:eastAsia="es-ES"/>
              </w:rPr>
              <w:t>Virtual</w:t>
            </w:r>
          </w:p>
        </w:tc>
        <w:tc>
          <w:tcPr>
            <w:tcW w:w="11602" w:type="dxa"/>
            <w:shd w:val="clear" w:color="auto" w:fill="auto"/>
            <w:vAlign w:val="center"/>
          </w:tcPr>
          <w:p w:rsidR="00097C1E" w:rsidRPr="00EA5736" w:rsidRDefault="00097C1E" w:rsidP="00331DB8">
            <w:pPr>
              <w:spacing w:before="20" w:after="20"/>
              <w:rPr>
                <w:sz w:val="22"/>
                <w:szCs w:val="22"/>
                <w:lang w:val="es-ES" w:eastAsia="es-ES"/>
              </w:rPr>
            </w:pPr>
            <w:r w:rsidRPr="00EA5736">
              <w:rPr>
                <w:sz w:val="22"/>
                <w:szCs w:val="22"/>
                <w:lang w:val="es-ES" w:eastAsia="es-ES"/>
              </w:rPr>
              <w:t>Negociación de proyectos de resolución para el quincuagésimo período ordinario de sesiones de la Asamblea General.</w:t>
            </w:r>
          </w:p>
        </w:tc>
      </w:tr>
    </w:tbl>
    <w:p w:rsidR="004B0575" w:rsidRPr="00850278" w:rsidRDefault="004B0575">
      <w:pPr>
        <w:rPr>
          <w:lang w:val="es-PE"/>
        </w:rPr>
      </w:pPr>
      <w:r w:rsidRPr="00850278">
        <w:rPr>
          <w:lang w:val="es-PE"/>
        </w:rPr>
        <w:br w:type="page"/>
      </w:r>
    </w:p>
    <w:tbl>
      <w:tblPr>
        <w:tblW w:w="14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11602"/>
      </w:tblGrid>
      <w:tr w:rsidR="00331DB8" w:rsidRPr="00850278" w:rsidTr="0022512D">
        <w:trPr>
          <w:trHeight w:val="70"/>
          <w:jc w:val="center"/>
        </w:trPr>
        <w:tc>
          <w:tcPr>
            <w:tcW w:w="2577" w:type="dxa"/>
            <w:shd w:val="clear" w:color="auto" w:fill="auto"/>
            <w:vAlign w:val="center"/>
          </w:tcPr>
          <w:p w:rsidR="00331DB8" w:rsidRDefault="00331DB8" w:rsidP="0022512D">
            <w:pPr>
              <w:spacing w:before="20" w:after="20"/>
              <w:jc w:val="center"/>
              <w:rPr>
                <w:sz w:val="22"/>
                <w:szCs w:val="22"/>
                <w:lang w:val="es-ES" w:eastAsia="es-ES"/>
              </w:rPr>
            </w:pPr>
            <w:r>
              <w:rPr>
                <w:sz w:val="22"/>
                <w:szCs w:val="22"/>
                <w:lang w:val="es-ES" w:eastAsia="es-ES"/>
              </w:rPr>
              <w:lastRenderedPageBreak/>
              <w:t xml:space="preserve">Jueves </w:t>
            </w:r>
          </w:p>
          <w:p w:rsidR="00331DB8" w:rsidRDefault="004B0575" w:rsidP="0022512D">
            <w:pPr>
              <w:spacing w:before="20" w:after="20"/>
              <w:jc w:val="center"/>
              <w:rPr>
                <w:sz w:val="22"/>
                <w:szCs w:val="22"/>
                <w:lang w:val="es-ES" w:eastAsia="es-ES"/>
              </w:rPr>
            </w:pPr>
            <w:r>
              <w:rPr>
                <w:sz w:val="22"/>
                <w:szCs w:val="22"/>
                <w:lang w:val="es-ES" w:eastAsia="es-ES"/>
              </w:rPr>
              <w:t>10</w:t>
            </w:r>
            <w:r w:rsidR="00331DB8">
              <w:rPr>
                <w:sz w:val="22"/>
                <w:szCs w:val="22"/>
                <w:lang w:val="es-ES" w:eastAsia="es-ES"/>
              </w:rPr>
              <w:t xml:space="preserve"> de septiembre de 2020</w:t>
            </w:r>
          </w:p>
          <w:p w:rsidR="00331DB8" w:rsidRDefault="00331DB8" w:rsidP="0022512D">
            <w:pPr>
              <w:spacing w:before="20" w:after="20"/>
              <w:jc w:val="center"/>
              <w:rPr>
                <w:sz w:val="22"/>
                <w:szCs w:val="22"/>
                <w:lang w:val="es-ES" w:eastAsia="es-ES"/>
              </w:rPr>
            </w:pPr>
            <w:r w:rsidRPr="00EA5736">
              <w:rPr>
                <w:sz w:val="22"/>
                <w:szCs w:val="22"/>
                <w:lang w:val="es-ES" w:eastAsia="es-ES"/>
              </w:rPr>
              <w:t xml:space="preserve">2:30 p.m. - </w:t>
            </w:r>
            <w:r>
              <w:rPr>
                <w:sz w:val="22"/>
                <w:szCs w:val="22"/>
                <w:lang w:val="es-ES" w:eastAsia="es-ES"/>
              </w:rPr>
              <w:t>5</w:t>
            </w:r>
            <w:r w:rsidRPr="00EA5736">
              <w:rPr>
                <w:sz w:val="22"/>
                <w:szCs w:val="22"/>
                <w:lang w:val="es-ES" w:eastAsia="es-ES"/>
              </w:rPr>
              <w:t>:30 p.m</w:t>
            </w:r>
            <w:r>
              <w:rPr>
                <w:sz w:val="22"/>
                <w:szCs w:val="22"/>
                <w:lang w:val="es-ES" w:eastAsia="es-ES"/>
              </w:rPr>
              <w:t>.</w:t>
            </w:r>
          </w:p>
          <w:p w:rsidR="004B0575" w:rsidRPr="00EA5736" w:rsidRDefault="004B0575" w:rsidP="0022512D">
            <w:pPr>
              <w:spacing w:before="20" w:after="20"/>
              <w:jc w:val="center"/>
              <w:rPr>
                <w:sz w:val="22"/>
                <w:szCs w:val="22"/>
                <w:lang w:val="es-ES" w:eastAsia="es-ES"/>
              </w:rPr>
            </w:pPr>
            <w:r>
              <w:rPr>
                <w:sz w:val="22"/>
                <w:szCs w:val="22"/>
                <w:lang w:val="es-ES" w:eastAsia="es-ES"/>
              </w:rPr>
              <w:t>Virtual</w:t>
            </w:r>
          </w:p>
        </w:tc>
        <w:tc>
          <w:tcPr>
            <w:tcW w:w="11602" w:type="dxa"/>
            <w:shd w:val="clear" w:color="auto" w:fill="auto"/>
            <w:vAlign w:val="center"/>
          </w:tcPr>
          <w:p w:rsidR="00331DB8" w:rsidRPr="00EA5736" w:rsidRDefault="00331DB8" w:rsidP="00331DB8">
            <w:pPr>
              <w:spacing w:before="20" w:after="20"/>
              <w:rPr>
                <w:sz w:val="22"/>
                <w:szCs w:val="22"/>
                <w:lang w:val="es-ES" w:eastAsia="es-ES"/>
              </w:rPr>
            </w:pPr>
            <w:r w:rsidRPr="00EA5736">
              <w:rPr>
                <w:sz w:val="22"/>
                <w:szCs w:val="22"/>
                <w:lang w:val="es-ES" w:eastAsia="es-ES"/>
              </w:rPr>
              <w:t>Negociación de proyectos de resolución para el quincuagésimo período ordinario de sesiones de la Asamblea General.</w:t>
            </w:r>
          </w:p>
        </w:tc>
      </w:tr>
      <w:tr w:rsidR="004B0575" w:rsidRPr="00850278" w:rsidTr="0022512D">
        <w:trPr>
          <w:trHeight w:val="70"/>
          <w:jc w:val="center"/>
        </w:trPr>
        <w:tc>
          <w:tcPr>
            <w:tcW w:w="2577" w:type="dxa"/>
            <w:shd w:val="clear" w:color="auto" w:fill="auto"/>
            <w:vAlign w:val="center"/>
          </w:tcPr>
          <w:p w:rsidR="004B0575" w:rsidRDefault="004B0575" w:rsidP="0022512D">
            <w:pPr>
              <w:spacing w:before="20" w:after="20"/>
              <w:jc w:val="center"/>
              <w:rPr>
                <w:sz w:val="22"/>
                <w:szCs w:val="22"/>
                <w:lang w:val="es-ES" w:eastAsia="es-ES"/>
              </w:rPr>
            </w:pPr>
            <w:r>
              <w:rPr>
                <w:sz w:val="22"/>
                <w:szCs w:val="22"/>
                <w:lang w:val="es-ES" w:eastAsia="es-ES"/>
              </w:rPr>
              <w:t xml:space="preserve">Jueves </w:t>
            </w:r>
          </w:p>
          <w:p w:rsidR="004B0575" w:rsidRDefault="004B0575" w:rsidP="0022512D">
            <w:pPr>
              <w:spacing w:before="20" w:after="20"/>
              <w:jc w:val="center"/>
              <w:rPr>
                <w:sz w:val="22"/>
                <w:szCs w:val="22"/>
                <w:lang w:val="es-ES" w:eastAsia="es-ES"/>
              </w:rPr>
            </w:pPr>
            <w:r>
              <w:rPr>
                <w:sz w:val="22"/>
                <w:szCs w:val="22"/>
                <w:lang w:val="es-ES" w:eastAsia="es-ES"/>
              </w:rPr>
              <w:t>24 de septiembre de 2020</w:t>
            </w:r>
          </w:p>
          <w:p w:rsidR="004B0575" w:rsidRDefault="004B0575" w:rsidP="0022512D">
            <w:pPr>
              <w:spacing w:before="20" w:after="20"/>
              <w:jc w:val="center"/>
              <w:rPr>
                <w:sz w:val="22"/>
                <w:szCs w:val="22"/>
                <w:lang w:val="es-ES" w:eastAsia="es-ES"/>
              </w:rPr>
            </w:pPr>
            <w:r w:rsidRPr="00EA5736">
              <w:rPr>
                <w:sz w:val="22"/>
                <w:szCs w:val="22"/>
                <w:lang w:val="es-ES" w:eastAsia="es-ES"/>
              </w:rPr>
              <w:t xml:space="preserve">2:30 p.m. - </w:t>
            </w:r>
            <w:r>
              <w:rPr>
                <w:sz w:val="22"/>
                <w:szCs w:val="22"/>
                <w:lang w:val="es-ES" w:eastAsia="es-ES"/>
              </w:rPr>
              <w:t>5</w:t>
            </w:r>
            <w:r w:rsidRPr="00EA5736">
              <w:rPr>
                <w:sz w:val="22"/>
                <w:szCs w:val="22"/>
                <w:lang w:val="es-ES" w:eastAsia="es-ES"/>
              </w:rPr>
              <w:t>:30 p.m</w:t>
            </w:r>
            <w:r>
              <w:rPr>
                <w:sz w:val="22"/>
                <w:szCs w:val="22"/>
                <w:lang w:val="es-ES" w:eastAsia="es-ES"/>
              </w:rPr>
              <w:t>.</w:t>
            </w:r>
          </w:p>
          <w:p w:rsidR="004B0575" w:rsidRPr="00EA5736" w:rsidRDefault="004B0575" w:rsidP="0022512D">
            <w:pPr>
              <w:spacing w:before="20" w:after="20"/>
              <w:jc w:val="center"/>
              <w:rPr>
                <w:sz w:val="22"/>
                <w:szCs w:val="22"/>
                <w:lang w:val="es-ES" w:eastAsia="es-ES"/>
              </w:rPr>
            </w:pPr>
            <w:r>
              <w:rPr>
                <w:sz w:val="22"/>
                <w:szCs w:val="22"/>
                <w:lang w:val="es-ES" w:eastAsia="es-ES"/>
              </w:rPr>
              <w:t>Virtual</w:t>
            </w:r>
          </w:p>
        </w:tc>
        <w:tc>
          <w:tcPr>
            <w:tcW w:w="11602" w:type="dxa"/>
            <w:shd w:val="clear" w:color="auto" w:fill="auto"/>
            <w:vAlign w:val="center"/>
          </w:tcPr>
          <w:p w:rsidR="004B0575" w:rsidRPr="00EA5736" w:rsidRDefault="004B0575" w:rsidP="0022512D">
            <w:pPr>
              <w:spacing w:before="20" w:after="20"/>
              <w:rPr>
                <w:sz w:val="22"/>
                <w:szCs w:val="22"/>
                <w:lang w:val="es-ES" w:eastAsia="es-ES"/>
              </w:rPr>
            </w:pPr>
            <w:r w:rsidRPr="00EA5736">
              <w:rPr>
                <w:sz w:val="22"/>
                <w:szCs w:val="22"/>
                <w:lang w:val="es-ES" w:eastAsia="es-ES"/>
              </w:rPr>
              <w:t>Negociación de proyectos de resolución para el quincuagésimo período ordinario de sesiones de la Asamblea General.</w:t>
            </w:r>
          </w:p>
        </w:tc>
      </w:tr>
      <w:tr w:rsidR="00331DB8" w:rsidRPr="00EA5736" w:rsidTr="0022512D">
        <w:trPr>
          <w:jc w:val="center"/>
        </w:trPr>
        <w:tc>
          <w:tcPr>
            <w:tcW w:w="14179" w:type="dxa"/>
            <w:gridSpan w:val="2"/>
            <w:shd w:val="pct15" w:color="auto" w:fill="auto"/>
            <w:vAlign w:val="center"/>
          </w:tcPr>
          <w:p w:rsidR="00331DB8" w:rsidRPr="00EA5736" w:rsidRDefault="00331DB8" w:rsidP="0022512D">
            <w:pPr>
              <w:tabs>
                <w:tab w:val="left" w:pos="342"/>
              </w:tabs>
              <w:spacing w:before="20" w:after="20"/>
              <w:ind w:left="360" w:hanging="360"/>
              <w:jc w:val="center"/>
              <w:rPr>
                <w:b/>
                <w:sz w:val="22"/>
                <w:szCs w:val="22"/>
                <w:lang w:val="es-ES" w:eastAsia="es-ES"/>
              </w:rPr>
            </w:pPr>
            <w:r>
              <w:rPr>
                <w:b/>
                <w:sz w:val="22"/>
                <w:szCs w:val="22"/>
                <w:lang w:val="es-ES" w:eastAsia="es-ES"/>
              </w:rPr>
              <w:t>OCTUBRE</w:t>
            </w:r>
            <w:r w:rsidRPr="00EA5736">
              <w:rPr>
                <w:b/>
                <w:sz w:val="22"/>
                <w:szCs w:val="22"/>
                <w:lang w:val="es-ES" w:eastAsia="es-ES"/>
              </w:rPr>
              <w:t xml:space="preserve"> DE 2020</w:t>
            </w:r>
          </w:p>
        </w:tc>
      </w:tr>
      <w:tr w:rsidR="00331DB8" w:rsidRPr="00850278" w:rsidTr="0022512D">
        <w:trPr>
          <w:trHeight w:val="70"/>
          <w:jc w:val="center"/>
        </w:trPr>
        <w:tc>
          <w:tcPr>
            <w:tcW w:w="2577" w:type="dxa"/>
            <w:shd w:val="clear" w:color="auto" w:fill="auto"/>
            <w:vAlign w:val="center"/>
          </w:tcPr>
          <w:p w:rsidR="00331DB8" w:rsidRDefault="00331DB8" w:rsidP="0022512D">
            <w:pPr>
              <w:spacing w:before="20" w:after="20"/>
              <w:jc w:val="center"/>
              <w:rPr>
                <w:sz w:val="22"/>
                <w:szCs w:val="22"/>
                <w:lang w:val="es-ES" w:eastAsia="es-ES"/>
              </w:rPr>
            </w:pPr>
            <w:r>
              <w:rPr>
                <w:sz w:val="22"/>
                <w:szCs w:val="22"/>
                <w:lang w:val="es-ES" w:eastAsia="es-ES"/>
              </w:rPr>
              <w:t xml:space="preserve">Jueves </w:t>
            </w:r>
          </w:p>
          <w:p w:rsidR="00331DB8" w:rsidRDefault="004B0575" w:rsidP="0022512D">
            <w:pPr>
              <w:spacing w:before="20" w:after="20"/>
              <w:jc w:val="center"/>
              <w:rPr>
                <w:sz w:val="22"/>
                <w:szCs w:val="22"/>
                <w:lang w:val="es-ES" w:eastAsia="es-ES"/>
              </w:rPr>
            </w:pPr>
            <w:r>
              <w:rPr>
                <w:sz w:val="22"/>
                <w:szCs w:val="22"/>
                <w:lang w:val="es-ES" w:eastAsia="es-ES"/>
              </w:rPr>
              <w:t>1</w:t>
            </w:r>
            <w:r w:rsidR="00331DB8">
              <w:rPr>
                <w:sz w:val="22"/>
                <w:szCs w:val="22"/>
                <w:lang w:val="es-ES" w:eastAsia="es-ES"/>
              </w:rPr>
              <w:t xml:space="preserve"> de octubre de 2020</w:t>
            </w:r>
          </w:p>
          <w:p w:rsidR="00331DB8" w:rsidRDefault="00331DB8" w:rsidP="0022512D">
            <w:pPr>
              <w:spacing w:before="20" w:after="20"/>
              <w:jc w:val="center"/>
              <w:rPr>
                <w:sz w:val="22"/>
                <w:szCs w:val="22"/>
                <w:lang w:val="es-ES" w:eastAsia="es-ES"/>
              </w:rPr>
            </w:pPr>
            <w:r w:rsidRPr="00EA5736">
              <w:rPr>
                <w:sz w:val="22"/>
                <w:szCs w:val="22"/>
                <w:lang w:val="es-ES" w:eastAsia="es-ES"/>
              </w:rPr>
              <w:t xml:space="preserve">2:30 p.m. - </w:t>
            </w:r>
            <w:r>
              <w:rPr>
                <w:sz w:val="22"/>
                <w:szCs w:val="22"/>
                <w:lang w:val="es-ES" w:eastAsia="es-ES"/>
              </w:rPr>
              <w:t>5</w:t>
            </w:r>
            <w:r w:rsidRPr="00EA5736">
              <w:rPr>
                <w:sz w:val="22"/>
                <w:szCs w:val="22"/>
                <w:lang w:val="es-ES" w:eastAsia="es-ES"/>
              </w:rPr>
              <w:t>:30 p.m</w:t>
            </w:r>
            <w:r>
              <w:rPr>
                <w:sz w:val="22"/>
                <w:szCs w:val="22"/>
                <w:lang w:val="es-ES" w:eastAsia="es-ES"/>
              </w:rPr>
              <w:t>.</w:t>
            </w:r>
          </w:p>
          <w:p w:rsidR="004B0575" w:rsidRPr="00EA5736" w:rsidRDefault="004B0575" w:rsidP="0022512D">
            <w:pPr>
              <w:spacing w:before="20" w:after="20"/>
              <w:jc w:val="center"/>
              <w:rPr>
                <w:sz w:val="22"/>
                <w:szCs w:val="22"/>
                <w:lang w:val="es-ES" w:eastAsia="es-ES"/>
              </w:rPr>
            </w:pPr>
            <w:r>
              <w:rPr>
                <w:sz w:val="22"/>
                <w:szCs w:val="22"/>
                <w:lang w:val="es-ES" w:eastAsia="es-ES"/>
              </w:rPr>
              <w:t>Virtual</w:t>
            </w:r>
          </w:p>
        </w:tc>
        <w:tc>
          <w:tcPr>
            <w:tcW w:w="11602" w:type="dxa"/>
            <w:shd w:val="clear" w:color="auto" w:fill="auto"/>
            <w:vAlign w:val="center"/>
          </w:tcPr>
          <w:p w:rsidR="00331DB8" w:rsidRPr="00EA5736" w:rsidRDefault="00331DB8" w:rsidP="00331DB8">
            <w:pPr>
              <w:spacing w:before="20" w:after="20"/>
              <w:rPr>
                <w:sz w:val="22"/>
                <w:szCs w:val="22"/>
                <w:lang w:val="es-ES" w:eastAsia="es-ES"/>
              </w:rPr>
            </w:pPr>
            <w:r w:rsidRPr="00EA5736">
              <w:rPr>
                <w:sz w:val="22"/>
                <w:szCs w:val="22"/>
                <w:lang w:val="es-ES" w:eastAsia="es-ES"/>
              </w:rPr>
              <w:t>Negociación de proyectos de resolución para el quincuagésimo período ordinario de sesiones de la Asamblea General.</w:t>
            </w:r>
          </w:p>
        </w:tc>
      </w:tr>
    </w:tbl>
    <w:p w:rsidR="00401894" w:rsidRDefault="00850278" w:rsidP="00331DB8">
      <w:pPr>
        <w:rPr>
          <w:sz w:val="22"/>
          <w:szCs w:val="22"/>
          <w:lang w:val="es-ES" w:eastAsia="es-ES"/>
        </w:rPr>
      </w:pPr>
      <w:r>
        <w:rPr>
          <w:noProof/>
          <w:sz w:val="22"/>
          <w:szCs w:val="22"/>
        </w:rPr>
        <mc:AlternateContent>
          <mc:Choice Requires="wps">
            <w:drawing>
              <wp:anchor distT="0" distB="0" distL="118745" distR="118745" simplePos="0" relativeHeight="251661312" behindDoc="0" locked="1" layoutInCell="1" allowOverlap="1" wp14:anchorId="2990FB0F" wp14:editId="39FC33C2">
                <wp:simplePos x="0" y="0"/>
                <wp:positionH relativeFrom="column">
                  <wp:posOffset>-266700</wp:posOffset>
                </wp:positionH>
                <wp:positionV relativeFrom="page">
                  <wp:posOffset>6726555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bookmarkStart w:id="1" w:name="_GoBack"/>
                          <w:p w:rsidR="00850278" w:rsidRPr="00850278" w:rsidRDefault="00850278" w:rsidP="00850278">
                            <w:pPr>
                              <w:rPr>
                                <w:sz w:val="18"/>
                              </w:rPr>
                            </w:pPr>
                            <w:r>
                              <w:rPr>
                                <w:sz w:val="18"/>
                              </w:rPr>
                              <w:fldChar w:fldCharType="begin"/>
                            </w:r>
                            <w:r>
                              <w:rPr>
                                <w:sz w:val="18"/>
                              </w:rPr>
                              <w:instrText xml:space="preserve"> FILENAME  \* MERGEFORMAT </w:instrText>
                            </w:r>
                            <w:r>
                              <w:rPr>
                                <w:sz w:val="18"/>
                              </w:rPr>
                              <w:fldChar w:fldCharType="separate"/>
                            </w:r>
                            <w:r>
                              <w:rPr>
                                <w:noProof/>
                                <w:sz w:val="18"/>
                              </w:rPr>
                              <w:t>CP42699S01</w:t>
                            </w:r>
                            <w:r>
                              <w:rPr>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90FB0F" id="_x0000_t202" coordsize="21600,21600" o:spt="202" path="m,l,21600r21600,l21600,xe">
                <v:stroke joinstyle="miter"/>
                <v:path gradientshapeok="t" o:connecttype="rect"/>
              </v:shapetype>
              <v:shape id="Text Box 2" o:spid="_x0000_s1026" type="#_x0000_t202" style="position:absolute;margin-left:-21pt;margin-top:529.65pt;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" filled="f" stroked="f">
                <v:stroke joinstyle="round"/>
                <v:path arrowok="t"/>
                <v:textbox>
                  <w:txbxContent>
                    <w:bookmarkStart w:id="2" w:name="_GoBack"/>
                    <w:p w:rsidR="00850278" w:rsidRPr="00850278" w:rsidRDefault="00850278" w:rsidP="00850278">
                      <w:pPr>
                        <w:rPr>
                          <w:sz w:val="18"/>
                        </w:rPr>
                      </w:pPr>
                      <w:r>
                        <w:rPr>
                          <w:sz w:val="18"/>
                        </w:rPr>
                        <w:fldChar w:fldCharType="begin"/>
                      </w:r>
                      <w:r>
                        <w:rPr>
                          <w:sz w:val="18"/>
                        </w:rPr>
                        <w:instrText xml:space="preserve"> FILENAME  \* MERGEFORMAT </w:instrText>
                      </w:r>
                      <w:r>
                        <w:rPr>
                          <w:sz w:val="18"/>
                        </w:rPr>
                        <w:fldChar w:fldCharType="separate"/>
                      </w:r>
                      <w:r>
                        <w:rPr>
                          <w:noProof/>
                          <w:sz w:val="18"/>
                        </w:rPr>
                        <w:t>CP42699S01</w:t>
                      </w:r>
                      <w:r>
                        <w:rPr>
                          <w:sz w:val="18"/>
                        </w:rPr>
                        <w:fldChar w:fldCharType="end"/>
                      </w:r>
                      <w:bookmarkEnd w:id="2"/>
                    </w:p>
                  </w:txbxContent>
                </v:textbox>
                <w10:wrap anchory="page"/>
                <w10:anchorlock/>
              </v:shape>
            </w:pict>
          </mc:Fallback>
        </mc:AlternateContent>
      </w:r>
      <w:r>
        <w:rPr>
          <w:noProof/>
          <w:sz w:val="22"/>
          <w:szCs w:val="22"/>
        </w:rPr>
        <mc:AlternateContent>
          <mc:Choice Requires="wps">
            <w:drawing>
              <wp:anchor distT="0" distB="0" distL="118745" distR="118745"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50278" w:rsidRPr="00850278" w:rsidRDefault="00850278">
                            <w:pPr>
                              <w:rPr>
                                <w:sz w:val="18"/>
                              </w:rPr>
                            </w:pPr>
                            <w:r>
                              <w:rPr>
                                <w:sz w:val="18"/>
                              </w:rPr>
                              <w:fldChar w:fldCharType="begin"/>
                            </w:r>
                            <w:r>
                              <w:rPr>
                                <w:sz w:val="18"/>
                              </w:rPr>
                              <w:instrText xml:space="preserve"> FILENAME  \* MERGEFORMAT </w:instrText>
                            </w:r>
                            <w:r>
                              <w:rPr>
                                <w:sz w:val="18"/>
                              </w:rPr>
                              <w:fldChar w:fldCharType="separate"/>
                            </w:r>
                            <w:r>
                              <w:rPr>
                                <w:noProof/>
                                <w:sz w:val="18"/>
                              </w:rPr>
                              <w:t>CP42699S01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" fillcolor="black" stroked="f">
                <v:stroke joinstyle="round"/>
                <v:path arrowok="t"/>
                <v:textbox>
                  <w:txbxContent>
                    <w:p w:rsidR="00850278" w:rsidRPr="00850278" w:rsidRDefault="00850278">
                      <w:pPr>
                        <w:rPr>
                          <w:sz w:val="18"/>
                        </w:rPr>
                      </w:pPr>
                      <w:r>
                        <w:rPr>
                          <w:sz w:val="18"/>
                        </w:rPr>
                        <w:fldChar w:fldCharType="begin"/>
                      </w:r>
                      <w:r>
                        <w:rPr>
                          <w:sz w:val="18"/>
                        </w:rPr>
                        <w:instrText xml:space="preserve"> FILENAME  \* MERGEFORMAT </w:instrText>
                      </w:r>
                      <w:r>
                        <w:rPr>
                          <w:sz w:val="18"/>
                        </w:rPr>
                        <w:fldChar w:fldCharType="separate"/>
                      </w:r>
                      <w:r>
                        <w:rPr>
                          <w:noProof/>
                          <w:sz w:val="18"/>
                        </w:rPr>
                        <w:t>CP42699S01</w:t>
                      </w:r>
                      <w:r>
                        <w:rPr>
                          <w:sz w:val="18"/>
                        </w:rPr>
                        <w:fldChar w:fldCharType="end"/>
                      </w:r>
                    </w:p>
                  </w:txbxContent>
                </v:textbox>
                <w10:wrap anchory="page"/>
                <w10:anchorlock/>
              </v:shape>
            </w:pict>
          </mc:Fallback>
        </mc:AlternateContent>
      </w:r>
    </w:p>
    <w:sectPr w:rsidR="00401894" w:rsidSect="006467CF">
      <w:pgSz w:w="15840" w:h="12240" w:orient="landscape" w:code="1"/>
      <w:pgMar w:top="1620" w:right="1699" w:bottom="270" w:left="1699" w:header="720" w:footer="1161" w:gutter="0"/>
      <w:pgNumType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55" w:rsidRDefault="00A60755">
      <w:r>
        <w:separator/>
      </w:r>
    </w:p>
  </w:endnote>
  <w:endnote w:type="continuationSeparator" w:id="0">
    <w:p w:rsidR="00A60755" w:rsidRDefault="00A6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A5" w:rsidRPr="00BE253D" w:rsidRDefault="008037A5" w:rsidP="004D158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A5" w:rsidRPr="00E034D4" w:rsidRDefault="008037A5"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55" w:rsidRDefault="00A60755">
      <w:r>
        <w:separator/>
      </w:r>
    </w:p>
  </w:footnote>
  <w:footnote w:type="continuationSeparator" w:id="0">
    <w:p w:rsidR="00A60755" w:rsidRDefault="00A60755">
      <w:r>
        <w:continuationSeparator/>
      </w:r>
    </w:p>
  </w:footnote>
  <w:footnote w:id="1">
    <w:p w:rsidR="00C72E36" w:rsidRPr="00C72E36" w:rsidRDefault="003C112E" w:rsidP="00C72E36">
      <w:pPr>
        <w:pStyle w:val="Header"/>
        <w:tabs>
          <w:tab w:val="center" w:pos="2880"/>
          <w:tab w:val="left" w:pos="7200"/>
        </w:tabs>
        <w:ind w:left="720" w:hanging="360"/>
        <w:jc w:val="both"/>
        <w:rPr>
          <w:sz w:val="20"/>
          <w:szCs w:val="20"/>
          <w:lang w:val="es-MX"/>
        </w:rPr>
      </w:pPr>
      <w:r w:rsidRPr="00A47030">
        <w:rPr>
          <w:rStyle w:val="FootnoteReference"/>
          <w:sz w:val="20"/>
          <w:szCs w:val="20"/>
        </w:rPr>
        <w:footnoteRef/>
      </w:r>
      <w:r w:rsidR="000A2280" w:rsidRPr="00401894">
        <w:rPr>
          <w:sz w:val="20"/>
          <w:szCs w:val="20"/>
          <w:lang w:val="es-US"/>
        </w:rPr>
        <w:t>.</w:t>
      </w:r>
      <w:r w:rsidR="000A2280" w:rsidRPr="00401894">
        <w:rPr>
          <w:sz w:val="20"/>
          <w:szCs w:val="20"/>
          <w:lang w:val="es-US"/>
        </w:rPr>
        <w:tab/>
      </w:r>
      <w:r w:rsidR="000A2280" w:rsidRPr="00A47030">
        <w:rPr>
          <w:sz w:val="20"/>
          <w:szCs w:val="20"/>
          <w:lang w:val="es-MX"/>
        </w:rPr>
        <w:t xml:space="preserve">Véase nota de la Misión Permanente de Canadá a la Presidencia de la CAJP mediante la que </w:t>
      </w:r>
      <w:r w:rsidR="00C72E36" w:rsidRPr="00A47030">
        <w:rPr>
          <w:sz w:val="20"/>
          <w:szCs w:val="20"/>
          <w:lang w:val="es-MX"/>
        </w:rPr>
        <w:t xml:space="preserve">se </w:t>
      </w:r>
      <w:r w:rsidR="000A2280" w:rsidRPr="00A47030">
        <w:rPr>
          <w:sz w:val="20"/>
          <w:szCs w:val="20"/>
          <w:lang w:val="es-MX"/>
        </w:rPr>
        <w:t xml:space="preserve">solicita que la sesión extraordinaria </w:t>
      </w:r>
      <w:r w:rsidR="00C72E36" w:rsidRPr="00A47030">
        <w:rPr>
          <w:sz w:val="20"/>
          <w:szCs w:val="20"/>
          <w:lang w:val="es-MX"/>
        </w:rPr>
        <w:t xml:space="preserve">a que se refiere </w:t>
      </w:r>
      <w:r w:rsidR="000A2280" w:rsidRPr="00A47030">
        <w:rPr>
          <w:sz w:val="20"/>
          <w:szCs w:val="20"/>
          <w:lang w:val="es-MX"/>
        </w:rPr>
        <w:t>la sección xi. de la resolución AG/RES. 2941 (XLIX-O/19)</w:t>
      </w:r>
      <w:r w:rsidR="00C72E36" w:rsidRPr="00A47030">
        <w:rPr>
          <w:sz w:val="20"/>
          <w:szCs w:val="20"/>
          <w:lang w:val="es-MX"/>
        </w:rPr>
        <w:t xml:space="preserve"> </w:t>
      </w:r>
      <w:r w:rsidR="000A2280" w:rsidRPr="00A47030">
        <w:rPr>
          <w:sz w:val="20"/>
          <w:szCs w:val="20"/>
          <w:lang w:val="es-MX"/>
        </w:rPr>
        <w:t>se celebre en 2020-2021</w:t>
      </w:r>
      <w:r w:rsidR="00C72E36" w:rsidRPr="00A47030">
        <w:rPr>
          <w:sz w:val="20"/>
          <w:szCs w:val="20"/>
          <w:lang w:val="es-MX"/>
        </w:rPr>
        <w:t xml:space="preserve">, </w:t>
      </w:r>
      <w:r w:rsidR="000A2280" w:rsidRPr="00A47030">
        <w:rPr>
          <w:sz w:val="20"/>
          <w:szCs w:val="20"/>
          <w:lang w:val="es-MX"/>
        </w:rPr>
        <w:t>(</w:t>
      </w:r>
      <w:hyperlink r:id="rId1" w:history="1">
        <w:r w:rsidR="00C72E36" w:rsidRPr="00A47030">
          <w:rPr>
            <w:rStyle w:val="Hyperlink"/>
            <w:sz w:val="20"/>
            <w:szCs w:val="20"/>
            <w:lang w:val="es-MX"/>
          </w:rPr>
          <w:t>CP/CAJP/INF.763/20</w:t>
        </w:r>
      </w:hyperlink>
      <w:r w:rsidR="00C72E36" w:rsidRPr="00A47030">
        <w:rPr>
          <w:sz w:val="20"/>
          <w:szCs w:val="20"/>
          <w:lang w:val="es-MX"/>
        </w:rPr>
        <w:t>).</w:t>
      </w:r>
    </w:p>
    <w:p w:rsidR="003C112E" w:rsidRPr="000A2280" w:rsidRDefault="003C112E" w:rsidP="000A2280">
      <w:pPr>
        <w:pStyle w:val="FootnoteText"/>
        <w:tabs>
          <w:tab w:val="clear" w:pos="360"/>
          <w:tab w:val="left" w:pos="1080"/>
        </w:tabs>
        <w:ind w:left="1080"/>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A5" w:rsidRPr="00D946BD" w:rsidRDefault="008037A5" w:rsidP="004D1587">
    <w:pPr>
      <w:pStyle w:val="Header"/>
      <w:framePr w:wrap="around" w:vAnchor="text" w:hAnchor="margin" w:xAlign="center" w:y="1"/>
      <w:rPr>
        <w:rStyle w:val="PageNumber"/>
        <w:sz w:val="20"/>
        <w:szCs w:val="20"/>
      </w:rPr>
    </w:pPr>
    <w:r w:rsidRPr="00D946BD">
      <w:rPr>
        <w:rStyle w:val="PageNumber"/>
        <w:sz w:val="20"/>
        <w:szCs w:val="20"/>
      </w:rPr>
      <w:t xml:space="preserve">- </w:t>
    </w:r>
    <w:r w:rsidRPr="00D946BD">
      <w:rPr>
        <w:rStyle w:val="PageNumber"/>
        <w:sz w:val="20"/>
        <w:szCs w:val="20"/>
      </w:rPr>
      <w:fldChar w:fldCharType="begin"/>
    </w:r>
    <w:r w:rsidRPr="00D946BD">
      <w:rPr>
        <w:rStyle w:val="PageNumber"/>
        <w:sz w:val="20"/>
        <w:szCs w:val="20"/>
      </w:rPr>
      <w:instrText xml:space="preserve">PAGE  </w:instrText>
    </w:r>
    <w:r w:rsidRPr="00D946BD">
      <w:rPr>
        <w:rStyle w:val="PageNumber"/>
        <w:sz w:val="20"/>
        <w:szCs w:val="20"/>
      </w:rPr>
      <w:fldChar w:fldCharType="separate"/>
    </w:r>
    <w:r w:rsidR="00850278">
      <w:rPr>
        <w:rStyle w:val="PageNumber"/>
        <w:noProof/>
        <w:sz w:val="20"/>
        <w:szCs w:val="20"/>
      </w:rPr>
      <w:t>3</w:t>
    </w:r>
    <w:r w:rsidRPr="00D946BD">
      <w:rPr>
        <w:rStyle w:val="PageNumber"/>
        <w:sz w:val="20"/>
        <w:szCs w:val="20"/>
      </w:rPr>
      <w:fldChar w:fldCharType="end"/>
    </w:r>
    <w:r w:rsidRPr="00D946BD">
      <w:rPr>
        <w:rStyle w:val="PageNumber"/>
        <w:sz w:val="20"/>
        <w:szCs w:val="20"/>
      </w:rPr>
      <w:t xml:space="preserve"> -</w:t>
    </w:r>
  </w:p>
  <w:p w:rsidR="008037A5" w:rsidRPr="00BE253D" w:rsidRDefault="00803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A5" w:rsidRDefault="00803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A5" w:rsidRPr="00027F23" w:rsidRDefault="008037A5" w:rsidP="004D1587">
    <w:pPr>
      <w:pStyle w:val="Header"/>
      <w:jc w:val="center"/>
      <w:rPr>
        <w:sz w:val="20"/>
        <w:szCs w:val="20"/>
      </w:rPr>
    </w:pPr>
    <w:r w:rsidRPr="00027F23">
      <w:rPr>
        <w:sz w:val="20"/>
        <w:szCs w:val="20"/>
      </w:rPr>
      <w:t xml:space="preserve">- </w:t>
    </w:r>
    <w:r w:rsidRPr="00027F23">
      <w:rPr>
        <w:rStyle w:val="PageNumber"/>
        <w:sz w:val="20"/>
        <w:szCs w:val="20"/>
      </w:rPr>
      <w:fldChar w:fldCharType="begin"/>
    </w:r>
    <w:r w:rsidRPr="00027F23">
      <w:rPr>
        <w:rStyle w:val="PageNumber"/>
        <w:sz w:val="20"/>
        <w:szCs w:val="20"/>
      </w:rPr>
      <w:instrText xml:space="preserve"> PAGE </w:instrText>
    </w:r>
    <w:r w:rsidRPr="00027F23">
      <w:rPr>
        <w:rStyle w:val="PageNumber"/>
        <w:sz w:val="20"/>
        <w:szCs w:val="20"/>
      </w:rPr>
      <w:fldChar w:fldCharType="separate"/>
    </w:r>
    <w:r w:rsidR="00850278">
      <w:rPr>
        <w:rStyle w:val="PageNumber"/>
        <w:noProof/>
        <w:sz w:val="20"/>
        <w:szCs w:val="20"/>
      </w:rPr>
      <w:t>17</w:t>
    </w:r>
    <w:r w:rsidRPr="00027F23">
      <w:rPr>
        <w:rStyle w:val="PageNumber"/>
        <w:sz w:val="20"/>
        <w:szCs w:val="20"/>
      </w:rPr>
      <w:fldChar w:fldCharType="end"/>
    </w:r>
    <w:r w:rsidRPr="00027F23">
      <w:rPr>
        <w:rStyle w:val="PageNumber"/>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A5" w:rsidRPr="00BE253D" w:rsidRDefault="008037A5" w:rsidP="004D158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1" w15:restartNumberingAfterBreak="0">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191"/>
    <w:multiLevelType w:val="hybridMultilevel"/>
    <w:tmpl w:val="327AF80E"/>
    <w:lvl w:ilvl="0" w:tplc="C284EA34">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52596"/>
    <w:multiLevelType w:val="hybridMultilevel"/>
    <w:tmpl w:val="2CB226C6"/>
    <w:lvl w:ilvl="0" w:tplc="720E1D0E">
      <w:start w:val="1"/>
      <w:numFmt w:val="decimal"/>
      <w:lvlText w:val="%1."/>
      <w:lvlJc w:val="left"/>
      <w:pPr>
        <w:ind w:left="720" w:hanging="360"/>
      </w:pPr>
      <w:rPr>
        <w:rFonts w:hint="default"/>
        <w:sz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webHidden w:val="0"/>
        <w:specVanish w:val="0"/>
      </w:rPr>
    </w:lvl>
    <w:lvl w:ilvl="1" w:tplc="10090003">
      <w:start w:val="1"/>
      <w:numFmt w:val="bullet"/>
      <w:lvlText w:val="o"/>
      <w:lvlJc w:val="left"/>
      <w:pPr>
        <w:ind w:left="1530" w:hanging="360"/>
      </w:pPr>
      <w:rPr>
        <w:rFonts w:ascii="Courier New" w:hAnsi="Courier New" w:cs="Times New Roman"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Times New Roman"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Times New Roman" w:hint="default"/>
      </w:rPr>
    </w:lvl>
    <w:lvl w:ilvl="8" w:tplc="10090005">
      <w:start w:val="1"/>
      <w:numFmt w:val="bullet"/>
      <w:lvlText w:val=""/>
      <w:lvlJc w:val="left"/>
      <w:pPr>
        <w:ind w:left="6570" w:hanging="360"/>
      </w:pPr>
      <w:rPr>
        <w:rFonts w:ascii="Wingdings" w:hAnsi="Wingdings" w:hint="default"/>
      </w:rPr>
    </w:lvl>
  </w:abstractNum>
  <w:abstractNum w:abstractNumId="6" w15:restartNumberingAfterBreak="0">
    <w:nsid w:val="13F54234"/>
    <w:multiLevelType w:val="hybridMultilevel"/>
    <w:tmpl w:val="5510A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7C35C5"/>
    <w:multiLevelType w:val="hybridMultilevel"/>
    <w:tmpl w:val="F0904564"/>
    <w:lvl w:ilvl="0" w:tplc="A2EE345E">
      <w:start w:val="1"/>
      <w:numFmt w:val="decimal"/>
      <w:lvlText w:val="%1."/>
      <w:lvlJc w:val="left"/>
      <w:pPr>
        <w:ind w:left="360" w:hanging="360"/>
      </w:pPr>
      <w:rPr>
        <w:rFonts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286551"/>
    <w:multiLevelType w:val="hybridMultilevel"/>
    <w:tmpl w:val="C52A976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A81810"/>
    <w:multiLevelType w:val="hybridMultilevel"/>
    <w:tmpl w:val="8FBCBC7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E055D2C"/>
    <w:multiLevelType w:val="hybridMultilevel"/>
    <w:tmpl w:val="E578E2F6"/>
    <w:lvl w:ilvl="0" w:tplc="8892F4B8">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DE5518"/>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3" w15:restartNumberingAfterBreak="0">
    <w:nsid w:val="251F6086"/>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841F79"/>
    <w:multiLevelType w:val="hybridMultilevel"/>
    <w:tmpl w:val="44FA76D2"/>
    <w:lvl w:ilvl="0" w:tplc="FFFFFFFF">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22C22"/>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FD5038"/>
    <w:multiLevelType w:val="hybridMultilevel"/>
    <w:tmpl w:val="05806D2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3C6ACE"/>
    <w:multiLevelType w:val="hybridMultilevel"/>
    <w:tmpl w:val="4E98903C"/>
    <w:lvl w:ilvl="0" w:tplc="EE82912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1347AB"/>
    <w:multiLevelType w:val="hybridMultilevel"/>
    <w:tmpl w:val="F0904564"/>
    <w:lvl w:ilvl="0" w:tplc="A2EE345E">
      <w:start w:val="1"/>
      <w:numFmt w:val="decimal"/>
      <w:lvlText w:val="%1."/>
      <w:lvlJc w:val="left"/>
      <w:pPr>
        <w:ind w:left="360" w:hanging="360"/>
      </w:pPr>
      <w:rPr>
        <w:rFonts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BA91153"/>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0" w15:restartNumberingAfterBreak="0">
    <w:nsid w:val="3BB55C62"/>
    <w:multiLevelType w:val="hybridMultilevel"/>
    <w:tmpl w:val="EDDE0962"/>
    <w:lvl w:ilvl="0" w:tplc="8892F4B8">
      <w:start w:val="1"/>
      <w:numFmt w:val="low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C15B9"/>
    <w:multiLevelType w:val="hybridMultilevel"/>
    <w:tmpl w:val="31DC2516"/>
    <w:lvl w:ilvl="0" w:tplc="3E38369E">
      <w:start w:val="1"/>
      <w:numFmt w:val="lowerRoman"/>
      <w:lvlText w:val="%1."/>
      <w:lvlJc w:val="left"/>
      <w:pPr>
        <w:ind w:left="1080" w:hanging="72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31C2F"/>
    <w:multiLevelType w:val="hybridMultilevel"/>
    <w:tmpl w:val="AD0C356A"/>
    <w:lvl w:ilvl="0" w:tplc="0409000F">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0952B2D"/>
    <w:multiLevelType w:val="hybridMultilevel"/>
    <w:tmpl w:val="9834B27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32E636D"/>
    <w:multiLevelType w:val="hybridMultilevel"/>
    <w:tmpl w:val="D278D07E"/>
    <w:lvl w:ilvl="0" w:tplc="2CD0A8F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0119FF"/>
    <w:multiLevelType w:val="hybridMultilevel"/>
    <w:tmpl w:val="0952F822"/>
    <w:lvl w:ilvl="0" w:tplc="C15A140E">
      <w:start w:val="1"/>
      <w:numFmt w:val="decimal"/>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976C1"/>
    <w:multiLevelType w:val="hybridMultilevel"/>
    <w:tmpl w:val="3DB21E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0C10BAD"/>
    <w:multiLevelType w:val="hybridMultilevel"/>
    <w:tmpl w:val="15ACC3C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F93454"/>
    <w:multiLevelType w:val="hybridMultilevel"/>
    <w:tmpl w:val="8BF4B24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31" w15:restartNumberingAfterBreak="0">
    <w:nsid w:val="716746BA"/>
    <w:multiLevelType w:val="hybridMultilevel"/>
    <w:tmpl w:val="E9AAA70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4A06DD7"/>
    <w:multiLevelType w:val="hybridMultilevel"/>
    <w:tmpl w:val="10B41100"/>
    <w:lvl w:ilvl="0" w:tplc="A12C8F0E">
      <w:start w:val="1"/>
      <w:numFmt w:val="decimal"/>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7071F3D"/>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4A1384"/>
    <w:multiLevelType w:val="hybridMultilevel"/>
    <w:tmpl w:val="CEF665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
  </w:num>
  <w:num w:numId="3">
    <w:abstractNumId w:val="16"/>
  </w:num>
  <w:num w:numId="4">
    <w:abstractNumId w:val="17"/>
  </w:num>
  <w:num w:numId="5">
    <w:abstractNumId w:val="30"/>
  </w:num>
  <w:num w:numId="6">
    <w:abstractNumId w:val="1"/>
  </w:num>
  <w:num w:numId="7">
    <w:abstractNumId w:val="25"/>
  </w:num>
  <w:num w:numId="8">
    <w:abstractNumId w:val="15"/>
  </w:num>
  <w:num w:numId="9">
    <w:abstractNumId w:val="7"/>
  </w:num>
  <w:num w:numId="10">
    <w:abstractNumId w:val="2"/>
  </w:num>
  <w:num w:numId="11">
    <w:abstractNumId w:val="26"/>
  </w:num>
  <w:num w:numId="12">
    <w:abstractNumId w:val="22"/>
  </w:num>
  <w:num w:numId="13">
    <w:abstractNumId w:val="34"/>
  </w:num>
  <w:num w:numId="14">
    <w:abstractNumId w:val="28"/>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21"/>
  </w:num>
  <w:num w:numId="20">
    <w:abstractNumId w:val="14"/>
  </w:num>
  <w:num w:numId="21">
    <w:abstractNumId w:val="30"/>
    <w:lvlOverride w:ilvl="0">
      <w:startOverride w:val="1"/>
    </w:lvlOverride>
    <w:lvlOverride w:ilvl="1"/>
    <w:lvlOverride w:ilvl="2">
      <w:startOverride w:val="1"/>
    </w:lvlOverride>
    <w:lvlOverride w:ilvl="3"/>
    <w:lvlOverride w:ilvl="4"/>
    <w:lvlOverride w:ilvl="5"/>
    <w:lvlOverride w:ilvl="6"/>
    <w:lvlOverride w:ilvl="7"/>
    <w:lvlOverride w:ilvl="8"/>
  </w:num>
  <w:num w:numId="22">
    <w:abstractNumId w:val="18"/>
  </w:num>
  <w:num w:numId="23">
    <w:abstractNumId w:val="24"/>
  </w:num>
  <w:num w:numId="24">
    <w:abstractNumId w:val="29"/>
  </w:num>
  <w:num w:numId="25">
    <w:abstractNumId w:val="31"/>
  </w:num>
  <w:num w:numId="26">
    <w:abstractNumId w:val="4"/>
  </w:num>
  <w:num w:numId="27">
    <w:abstractNumId w:val="27"/>
  </w:num>
  <w:num w:numId="28">
    <w:abstractNumId w:val="32"/>
  </w:num>
  <w:num w:numId="29">
    <w:abstractNumId w:val="19"/>
  </w:num>
  <w:num w:numId="30">
    <w:abstractNumId w:val="0"/>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27"/>
  </w:num>
  <w:num w:numId="33">
    <w:abstractNumId w:val="12"/>
  </w:num>
  <w:num w:numId="34">
    <w:abstractNumId w:val="8"/>
  </w:num>
  <w:num w:numId="35">
    <w:abstractNumId w:val="33"/>
  </w:num>
  <w:num w:numId="36">
    <w:abstractNumId w:val="5"/>
  </w:num>
  <w:num w:numId="37">
    <w:abstractNumId w:val="10"/>
  </w:num>
  <w:num w:numId="38">
    <w:abstractNumId w:val="9"/>
  </w:num>
  <w:num w:numId="39">
    <w:abstractNumId w:val="0"/>
  </w:num>
  <w:num w:numId="4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F"/>
    <w:rsid w:val="00002400"/>
    <w:rsid w:val="0000415E"/>
    <w:rsid w:val="00005B0E"/>
    <w:rsid w:val="000070D4"/>
    <w:rsid w:val="00007FB4"/>
    <w:rsid w:val="00007FFB"/>
    <w:rsid w:val="000105BE"/>
    <w:rsid w:val="00015EE8"/>
    <w:rsid w:val="000258A8"/>
    <w:rsid w:val="00027F23"/>
    <w:rsid w:val="00031DF3"/>
    <w:rsid w:val="00032023"/>
    <w:rsid w:val="000333D9"/>
    <w:rsid w:val="00034556"/>
    <w:rsid w:val="000427F5"/>
    <w:rsid w:val="0004511C"/>
    <w:rsid w:val="00045B88"/>
    <w:rsid w:val="00047052"/>
    <w:rsid w:val="0005062B"/>
    <w:rsid w:val="0005440F"/>
    <w:rsid w:val="00056D12"/>
    <w:rsid w:val="000621D3"/>
    <w:rsid w:val="000625C5"/>
    <w:rsid w:val="00064723"/>
    <w:rsid w:val="00070592"/>
    <w:rsid w:val="0007762D"/>
    <w:rsid w:val="0008028D"/>
    <w:rsid w:val="00082578"/>
    <w:rsid w:val="00084323"/>
    <w:rsid w:val="000911F9"/>
    <w:rsid w:val="00097C1E"/>
    <w:rsid w:val="000A20E1"/>
    <w:rsid w:val="000A2280"/>
    <w:rsid w:val="000A43E5"/>
    <w:rsid w:val="000B09BC"/>
    <w:rsid w:val="000B2786"/>
    <w:rsid w:val="000B34BC"/>
    <w:rsid w:val="000B72A1"/>
    <w:rsid w:val="000B760C"/>
    <w:rsid w:val="000C29A1"/>
    <w:rsid w:val="000C68EA"/>
    <w:rsid w:val="000C6BCE"/>
    <w:rsid w:val="000D5145"/>
    <w:rsid w:val="000E0921"/>
    <w:rsid w:val="000E58EC"/>
    <w:rsid w:val="000F158F"/>
    <w:rsid w:val="000F2320"/>
    <w:rsid w:val="000F2D96"/>
    <w:rsid w:val="000F35FC"/>
    <w:rsid w:val="000F4D9E"/>
    <w:rsid w:val="000F5EA3"/>
    <w:rsid w:val="001073C4"/>
    <w:rsid w:val="00107F93"/>
    <w:rsid w:val="001216F9"/>
    <w:rsid w:val="00121928"/>
    <w:rsid w:val="00121C92"/>
    <w:rsid w:val="0012376B"/>
    <w:rsid w:val="00124DD9"/>
    <w:rsid w:val="00127357"/>
    <w:rsid w:val="00133FE2"/>
    <w:rsid w:val="00147A60"/>
    <w:rsid w:val="00151442"/>
    <w:rsid w:val="00152829"/>
    <w:rsid w:val="00155325"/>
    <w:rsid w:val="00161BB4"/>
    <w:rsid w:val="00164420"/>
    <w:rsid w:val="001648F5"/>
    <w:rsid w:val="00171124"/>
    <w:rsid w:val="00171AD7"/>
    <w:rsid w:val="00172790"/>
    <w:rsid w:val="001734A9"/>
    <w:rsid w:val="00174294"/>
    <w:rsid w:val="00182E8D"/>
    <w:rsid w:val="001906CA"/>
    <w:rsid w:val="00191A80"/>
    <w:rsid w:val="00193B60"/>
    <w:rsid w:val="001954DF"/>
    <w:rsid w:val="00195D11"/>
    <w:rsid w:val="001A0191"/>
    <w:rsid w:val="001A191E"/>
    <w:rsid w:val="001A5BEB"/>
    <w:rsid w:val="001B040D"/>
    <w:rsid w:val="001B1488"/>
    <w:rsid w:val="001B2548"/>
    <w:rsid w:val="001B40A3"/>
    <w:rsid w:val="001C03AE"/>
    <w:rsid w:val="001C3F69"/>
    <w:rsid w:val="001C4F0E"/>
    <w:rsid w:val="001C5339"/>
    <w:rsid w:val="001C5A15"/>
    <w:rsid w:val="001D1938"/>
    <w:rsid w:val="001D1E73"/>
    <w:rsid w:val="001D258D"/>
    <w:rsid w:val="001D5119"/>
    <w:rsid w:val="001E29A7"/>
    <w:rsid w:val="001E2DD7"/>
    <w:rsid w:val="001E37E3"/>
    <w:rsid w:val="001F05C8"/>
    <w:rsid w:val="002007AD"/>
    <w:rsid w:val="00200FE5"/>
    <w:rsid w:val="00203452"/>
    <w:rsid w:val="00203A66"/>
    <w:rsid w:val="0020589C"/>
    <w:rsid w:val="00205930"/>
    <w:rsid w:val="00211ECC"/>
    <w:rsid w:val="00212DD3"/>
    <w:rsid w:val="00215417"/>
    <w:rsid w:val="0021564B"/>
    <w:rsid w:val="00221391"/>
    <w:rsid w:val="00222D46"/>
    <w:rsid w:val="00225170"/>
    <w:rsid w:val="00225F61"/>
    <w:rsid w:val="0022680B"/>
    <w:rsid w:val="002306FE"/>
    <w:rsid w:val="00233B96"/>
    <w:rsid w:val="0023456F"/>
    <w:rsid w:val="002353C1"/>
    <w:rsid w:val="002354E7"/>
    <w:rsid w:val="002362E4"/>
    <w:rsid w:val="00242794"/>
    <w:rsid w:val="00244B47"/>
    <w:rsid w:val="00252120"/>
    <w:rsid w:val="00252F9E"/>
    <w:rsid w:val="002535FD"/>
    <w:rsid w:val="00261557"/>
    <w:rsid w:val="00262FD5"/>
    <w:rsid w:val="002642CB"/>
    <w:rsid w:val="00264D73"/>
    <w:rsid w:val="002655FD"/>
    <w:rsid w:val="00273EE1"/>
    <w:rsid w:val="00281B35"/>
    <w:rsid w:val="00282B18"/>
    <w:rsid w:val="002865BE"/>
    <w:rsid w:val="00286F65"/>
    <w:rsid w:val="00295A7F"/>
    <w:rsid w:val="00296DCF"/>
    <w:rsid w:val="002A0F0C"/>
    <w:rsid w:val="002A3E0B"/>
    <w:rsid w:val="002A3F6D"/>
    <w:rsid w:val="002A4449"/>
    <w:rsid w:val="002A6947"/>
    <w:rsid w:val="002B1973"/>
    <w:rsid w:val="002B2DA6"/>
    <w:rsid w:val="002B3285"/>
    <w:rsid w:val="002B5DB5"/>
    <w:rsid w:val="002B649E"/>
    <w:rsid w:val="002B6E89"/>
    <w:rsid w:val="002B7AE4"/>
    <w:rsid w:val="002B7F40"/>
    <w:rsid w:val="002C2203"/>
    <w:rsid w:val="002C3170"/>
    <w:rsid w:val="002C6A44"/>
    <w:rsid w:val="002D105F"/>
    <w:rsid w:val="002D178C"/>
    <w:rsid w:val="002D54CA"/>
    <w:rsid w:val="002D7ADC"/>
    <w:rsid w:val="002E2646"/>
    <w:rsid w:val="002E3FFA"/>
    <w:rsid w:val="002E4E53"/>
    <w:rsid w:val="002E562F"/>
    <w:rsid w:val="002F067A"/>
    <w:rsid w:val="0030039B"/>
    <w:rsid w:val="00301ABE"/>
    <w:rsid w:val="00302513"/>
    <w:rsid w:val="00302B6B"/>
    <w:rsid w:val="00307491"/>
    <w:rsid w:val="00307EB1"/>
    <w:rsid w:val="0031668D"/>
    <w:rsid w:val="0032596E"/>
    <w:rsid w:val="003260C2"/>
    <w:rsid w:val="00331DB8"/>
    <w:rsid w:val="00335EB1"/>
    <w:rsid w:val="00340787"/>
    <w:rsid w:val="003407BE"/>
    <w:rsid w:val="00343BA3"/>
    <w:rsid w:val="00350C9F"/>
    <w:rsid w:val="003621CF"/>
    <w:rsid w:val="00364B54"/>
    <w:rsid w:val="003656F8"/>
    <w:rsid w:val="00367B85"/>
    <w:rsid w:val="00370B7C"/>
    <w:rsid w:val="00381C55"/>
    <w:rsid w:val="00382850"/>
    <w:rsid w:val="00382FEC"/>
    <w:rsid w:val="003919C2"/>
    <w:rsid w:val="00391A8F"/>
    <w:rsid w:val="003937E4"/>
    <w:rsid w:val="0039387D"/>
    <w:rsid w:val="003A0547"/>
    <w:rsid w:val="003A402E"/>
    <w:rsid w:val="003A4808"/>
    <w:rsid w:val="003B1F97"/>
    <w:rsid w:val="003B3FD3"/>
    <w:rsid w:val="003B7024"/>
    <w:rsid w:val="003B7EE4"/>
    <w:rsid w:val="003C112E"/>
    <w:rsid w:val="003C1430"/>
    <w:rsid w:val="003C1DB6"/>
    <w:rsid w:val="003C1E96"/>
    <w:rsid w:val="003D3DD3"/>
    <w:rsid w:val="003D5287"/>
    <w:rsid w:val="003E7FE5"/>
    <w:rsid w:val="003F112D"/>
    <w:rsid w:val="003F3B91"/>
    <w:rsid w:val="003F44D6"/>
    <w:rsid w:val="003F588A"/>
    <w:rsid w:val="003F74FC"/>
    <w:rsid w:val="00401894"/>
    <w:rsid w:val="00404CF5"/>
    <w:rsid w:val="00411F58"/>
    <w:rsid w:val="004325D2"/>
    <w:rsid w:val="00432F7C"/>
    <w:rsid w:val="004359DE"/>
    <w:rsid w:val="004361F7"/>
    <w:rsid w:val="004431B4"/>
    <w:rsid w:val="00447588"/>
    <w:rsid w:val="0045384D"/>
    <w:rsid w:val="00454D04"/>
    <w:rsid w:val="00462D67"/>
    <w:rsid w:val="0046726F"/>
    <w:rsid w:val="0046751E"/>
    <w:rsid w:val="0047008A"/>
    <w:rsid w:val="004712F5"/>
    <w:rsid w:val="004720CD"/>
    <w:rsid w:val="004750DF"/>
    <w:rsid w:val="004766B2"/>
    <w:rsid w:val="00476E82"/>
    <w:rsid w:val="00490334"/>
    <w:rsid w:val="00495899"/>
    <w:rsid w:val="00497112"/>
    <w:rsid w:val="004A184D"/>
    <w:rsid w:val="004A4B27"/>
    <w:rsid w:val="004A608F"/>
    <w:rsid w:val="004A6B64"/>
    <w:rsid w:val="004B0575"/>
    <w:rsid w:val="004B3CE8"/>
    <w:rsid w:val="004B519C"/>
    <w:rsid w:val="004B56C2"/>
    <w:rsid w:val="004B6187"/>
    <w:rsid w:val="004B62A5"/>
    <w:rsid w:val="004B6A0F"/>
    <w:rsid w:val="004C3FB2"/>
    <w:rsid w:val="004D0462"/>
    <w:rsid w:val="004D0976"/>
    <w:rsid w:val="004D0B0F"/>
    <w:rsid w:val="004D1587"/>
    <w:rsid w:val="004D1A65"/>
    <w:rsid w:val="004D2DFF"/>
    <w:rsid w:val="004D401C"/>
    <w:rsid w:val="004E0688"/>
    <w:rsid w:val="004F0974"/>
    <w:rsid w:val="004F7FE2"/>
    <w:rsid w:val="00505A1E"/>
    <w:rsid w:val="00507284"/>
    <w:rsid w:val="00510A04"/>
    <w:rsid w:val="005117BF"/>
    <w:rsid w:val="00516F41"/>
    <w:rsid w:val="005256DC"/>
    <w:rsid w:val="00536114"/>
    <w:rsid w:val="0054097D"/>
    <w:rsid w:val="0054393A"/>
    <w:rsid w:val="005448C6"/>
    <w:rsid w:val="00546393"/>
    <w:rsid w:val="005470C2"/>
    <w:rsid w:val="00550175"/>
    <w:rsid w:val="005537BB"/>
    <w:rsid w:val="00554484"/>
    <w:rsid w:val="005604CC"/>
    <w:rsid w:val="005605FF"/>
    <w:rsid w:val="0056121E"/>
    <w:rsid w:val="0056474C"/>
    <w:rsid w:val="0056609A"/>
    <w:rsid w:val="00566C89"/>
    <w:rsid w:val="00567BF9"/>
    <w:rsid w:val="00571131"/>
    <w:rsid w:val="00576E24"/>
    <w:rsid w:val="0058023B"/>
    <w:rsid w:val="00585983"/>
    <w:rsid w:val="0058794C"/>
    <w:rsid w:val="0059452C"/>
    <w:rsid w:val="00596E9E"/>
    <w:rsid w:val="00597DF5"/>
    <w:rsid w:val="005A4C1D"/>
    <w:rsid w:val="005A5260"/>
    <w:rsid w:val="005A5421"/>
    <w:rsid w:val="005A55C9"/>
    <w:rsid w:val="005B0571"/>
    <w:rsid w:val="005B1CB2"/>
    <w:rsid w:val="005B6106"/>
    <w:rsid w:val="005B6919"/>
    <w:rsid w:val="005C46AA"/>
    <w:rsid w:val="005C6945"/>
    <w:rsid w:val="005D2794"/>
    <w:rsid w:val="005D307E"/>
    <w:rsid w:val="005D3A5F"/>
    <w:rsid w:val="005D4D9F"/>
    <w:rsid w:val="005D6E87"/>
    <w:rsid w:val="005D6FD2"/>
    <w:rsid w:val="005E17BA"/>
    <w:rsid w:val="005E6ED9"/>
    <w:rsid w:val="005F054B"/>
    <w:rsid w:val="005F18E9"/>
    <w:rsid w:val="005F7283"/>
    <w:rsid w:val="00602DEA"/>
    <w:rsid w:val="00603C34"/>
    <w:rsid w:val="00604332"/>
    <w:rsid w:val="00605EB2"/>
    <w:rsid w:val="00610E6C"/>
    <w:rsid w:val="0061599A"/>
    <w:rsid w:val="00616426"/>
    <w:rsid w:val="00621F94"/>
    <w:rsid w:val="0062283C"/>
    <w:rsid w:val="00624573"/>
    <w:rsid w:val="00625A0C"/>
    <w:rsid w:val="0062681B"/>
    <w:rsid w:val="00630742"/>
    <w:rsid w:val="00632727"/>
    <w:rsid w:val="00642C79"/>
    <w:rsid w:val="006467CF"/>
    <w:rsid w:val="00647564"/>
    <w:rsid w:val="00650CF4"/>
    <w:rsid w:val="0066426F"/>
    <w:rsid w:val="00666407"/>
    <w:rsid w:val="00666C1A"/>
    <w:rsid w:val="00680AB9"/>
    <w:rsid w:val="00681E51"/>
    <w:rsid w:val="006822F1"/>
    <w:rsid w:val="00682A91"/>
    <w:rsid w:val="006831E5"/>
    <w:rsid w:val="00684C5A"/>
    <w:rsid w:val="006951C0"/>
    <w:rsid w:val="0069697D"/>
    <w:rsid w:val="00697546"/>
    <w:rsid w:val="006A0365"/>
    <w:rsid w:val="006A2094"/>
    <w:rsid w:val="006A53EE"/>
    <w:rsid w:val="006C216B"/>
    <w:rsid w:val="006C249F"/>
    <w:rsid w:val="006E73B2"/>
    <w:rsid w:val="006F3DFF"/>
    <w:rsid w:val="006F50F5"/>
    <w:rsid w:val="006F5A5D"/>
    <w:rsid w:val="006F72DD"/>
    <w:rsid w:val="006F775E"/>
    <w:rsid w:val="006F7F9D"/>
    <w:rsid w:val="00701E82"/>
    <w:rsid w:val="00702ED3"/>
    <w:rsid w:val="00703EC5"/>
    <w:rsid w:val="0070411B"/>
    <w:rsid w:val="00707997"/>
    <w:rsid w:val="00710342"/>
    <w:rsid w:val="007134F7"/>
    <w:rsid w:val="00715D6D"/>
    <w:rsid w:val="00730E29"/>
    <w:rsid w:val="00732A12"/>
    <w:rsid w:val="00732DDE"/>
    <w:rsid w:val="00735D20"/>
    <w:rsid w:val="00741CCA"/>
    <w:rsid w:val="00746278"/>
    <w:rsid w:val="00746F9C"/>
    <w:rsid w:val="00747083"/>
    <w:rsid w:val="0074724D"/>
    <w:rsid w:val="007475F3"/>
    <w:rsid w:val="00747866"/>
    <w:rsid w:val="007538D8"/>
    <w:rsid w:val="0075772B"/>
    <w:rsid w:val="00763011"/>
    <w:rsid w:val="00770B8C"/>
    <w:rsid w:val="0077135F"/>
    <w:rsid w:val="00774772"/>
    <w:rsid w:val="00780DA9"/>
    <w:rsid w:val="00784C0F"/>
    <w:rsid w:val="0078719E"/>
    <w:rsid w:val="00790395"/>
    <w:rsid w:val="0079064E"/>
    <w:rsid w:val="00791A94"/>
    <w:rsid w:val="007A5B04"/>
    <w:rsid w:val="007A7E7F"/>
    <w:rsid w:val="007B1766"/>
    <w:rsid w:val="007B1A0F"/>
    <w:rsid w:val="007B5AD7"/>
    <w:rsid w:val="007B683B"/>
    <w:rsid w:val="007C07A1"/>
    <w:rsid w:val="007C0A97"/>
    <w:rsid w:val="007C2932"/>
    <w:rsid w:val="007C32E0"/>
    <w:rsid w:val="007C46FA"/>
    <w:rsid w:val="007C4F52"/>
    <w:rsid w:val="007D4BAA"/>
    <w:rsid w:val="007E0584"/>
    <w:rsid w:val="007E1645"/>
    <w:rsid w:val="007E21D7"/>
    <w:rsid w:val="007E319A"/>
    <w:rsid w:val="007E504A"/>
    <w:rsid w:val="007F001D"/>
    <w:rsid w:val="007F6134"/>
    <w:rsid w:val="008019D3"/>
    <w:rsid w:val="008020C3"/>
    <w:rsid w:val="008028DC"/>
    <w:rsid w:val="008037A5"/>
    <w:rsid w:val="00804773"/>
    <w:rsid w:val="00807B0D"/>
    <w:rsid w:val="0081286F"/>
    <w:rsid w:val="00815289"/>
    <w:rsid w:val="0081783B"/>
    <w:rsid w:val="00820B86"/>
    <w:rsid w:val="00826216"/>
    <w:rsid w:val="0083034D"/>
    <w:rsid w:val="00833898"/>
    <w:rsid w:val="00841295"/>
    <w:rsid w:val="00841510"/>
    <w:rsid w:val="00842E91"/>
    <w:rsid w:val="0084693C"/>
    <w:rsid w:val="00850278"/>
    <w:rsid w:val="00850E14"/>
    <w:rsid w:val="00853566"/>
    <w:rsid w:val="0085629D"/>
    <w:rsid w:val="008626E5"/>
    <w:rsid w:val="00862FFE"/>
    <w:rsid w:val="00864865"/>
    <w:rsid w:val="00864B23"/>
    <w:rsid w:val="00864B7C"/>
    <w:rsid w:val="008663C1"/>
    <w:rsid w:val="008674DF"/>
    <w:rsid w:val="008675B2"/>
    <w:rsid w:val="008714F0"/>
    <w:rsid w:val="008738E8"/>
    <w:rsid w:val="00877512"/>
    <w:rsid w:val="00880635"/>
    <w:rsid w:val="00880AB3"/>
    <w:rsid w:val="00887805"/>
    <w:rsid w:val="008917BC"/>
    <w:rsid w:val="008952D3"/>
    <w:rsid w:val="008964D8"/>
    <w:rsid w:val="00896D62"/>
    <w:rsid w:val="008B10EC"/>
    <w:rsid w:val="008B2965"/>
    <w:rsid w:val="008B706D"/>
    <w:rsid w:val="008C24D4"/>
    <w:rsid w:val="008C51B4"/>
    <w:rsid w:val="008D1406"/>
    <w:rsid w:val="008D34FA"/>
    <w:rsid w:val="008E09B2"/>
    <w:rsid w:val="008E13DE"/>
    <w:rsid w:val="008E19CB"/>
    <w:rsid w:val="008F0B80"/>
    <w:rsid w:val="008F28BA"/>
    <w:rsid w:val="008F3B83"/>
    <w:rsid w:val="008F49AF"/>
    <w:rsid w:val="008F5F33"/>
    <w:rsid w:val="008F645B"/>
    <w:rsid w:val="008F67DD"/>
    <w:rsid w:val="008F7CE0"/>
    <w:rsid w:val="00900F3B"/>
    <w:rsid w:val="00904EAB"/>
    <w:rsid w:val="00917E0F"/>
    <w:rsid w:val="009204F6"/>
    <w:rsid w:val="009248D7"/>
    <w:rsid w:val="00925F9F"/>
    <w:rsid w:val="00930667"/>
    <w:rsid w:val="009379BD"/>
    <w:rsid w:val="00937F8C"/>
    <w:rsid w:val="009416B1"/>
    <w:rsid w:val="009423B6"/>
    <w:rsid w:val="00943E11"/>
    <w:rsid w:val="009465C6"/>
    <w:rsid w:val="00950781"/>
    <w:rsid w:val="0097581F"/>
    <w:rsid w:val="009803CB"/>
    <w:rsid w:val="00983AF7"/>
    <w:rsid w:val="009878A7"/>
    <w:rsid w:val="00990F26"/>
    <w:rsid w:val="009919D4"/>
    <w:rsid w:val="00991E57"/>
    <w:rsid w:val="009949D6"/>
    <w:rsid w:val="00996E87"/>
    <w:rsid w:val="00997049"/>
    <w:rsid w:val="009A0BFE"/>
    <w:rsid w:val="009A335D"/>
    <w:rsid w:val="009B018C"/>
    <w:rsid w:val="009B19B9"/>
    <w:rsid w:val="009B1DF5"/>
    <w:rsid w:val="009B286E"/>
    <w:rsid w:val="009B3501"/>
    <w:rsid w:val="009B70B5"/>
    <w:rsid w:val="009C27CD"/>
    <w:rsid w:val="009C2D1E"/>
    <w:rsid w:val="009C5958"/>
    <w:rsid w:val="009C59BE"/>
    <w:rsid w:val="009C7B03"/>
    <w:rsid w:val="009C7CD7"/>
    <w:rsid w:val="009D03AD"/>
    <w:rsid w:val="009D1ABE"/>
    <w:rsid w:val="009D305D"/>
    <w:rsid w:val="009D73B1"/>
    <w:rsid w:val="009E202C"/>
    <w:rsid w:val="009E7CD9"/>
    <w:rsid w:val="009F0DCF"/>
    <w:rsid w:val="009F36B3"/>
    <w:rsid w:val="009F4D1C"/>
    <w:rsid w:val="009F5689"/>
    <w:rsid w:val="00A01B3E"/>
    <w:rsid w:val="00A04FAA"/>
    <w:rsid w:val="00A0653F"/>
    <w:rsid w:val="00A06F4F"/>
    <w:rsid w:val="00A163E3"/>
    <w:rsid w:val="00A17C83"/>
    <w:rsid w:val="00A20D27"/>
    <w:rsid w:val="00A2622C"/>
    <w:rsid w:val="00A27456"/>
    <w:rsid w:val="00A2749B"/>
    <w:rsid w:val="00A3161E"/>
    <w:rsid w:val="00A31683"/>
    <w:rsid w:val="00A31F54"/>
    <w:rsid w:val="00A3293C"/>
    <w:rsid w:val="00A32A51"/>
    <w:rsid w:val="00A40927"/>
    <w:rsid w:val="00A440CA"/>
    <w:rsid w:val="00A47030"/>
    <w:rsid w:val="00A47111"/>
    <w:rsid w:val="00A50C67"/>
    <w:rsid w:val="00A530E8"/>
    <w:rsid w:val="00A54F9A"/>
    <w:rsid w:val="00A553C4"/>
    <w:rsid w:val="00A5674D"/>
    <w:rsid w:val="00A60755"/>
    <w:rsid w:val="00A60D92"/>
    <w:rsid w:val="00A619D8"/>
    <w:rsid w:val="00A64451"/>
    <w:rsid w:val="00A6711A"/>
    <w:rsid w:val="00A72C5F"/>
    <w:rsid w:val="00A775E7"/>
    <w:rsid w:val="00A81BE7"/>
    <w:rsid w:val="00A84399"/>
    <w:rsid w:val="00A875B7"/>
    <w:rsid w:val="00A919D0"/>
    <w:rsid w:val="00A94E7B"/>
    <w:rsid w:val="00A9774E"/>
    <w:rsid w:val="00AA0408"/>
    <w:rsid w:val="00AA1766"/>
    <w:rsid w:val="00AA1886"/>
    <w:rsid w:val="00AA29DC"/>
    <w:rsid w:val="00AA3572"/>
    <w:rsid w:val="00AB1EBF"/>
    <w:rsid w:val="00AB27F4"/>
    <w:rsid w:val="00AB33FA"/>
    <w:rsid w:val="00AB5E76"/>
    <w:rsid w:val="00AB6EB4"/>
    <w:rsid w:val="00AC320F"/>
    <w:rsid w:val="00AC41D3"/>
    <w:rsid w:val="00AD01C0"/>
    <w:rsid w:val="00AD227B"/>
    <w:rsid w:val="00AD655A"/>
    <w:rsid w:val="00AD6CA4"/>
    <w:rsid w:val="00AE1754"/>
    <w:rsid w:val="00AE1A5A"/>
    <w:rsid w:val="00AE576A"/>
    <w:rsid w:val="00AE6E93"/>
    <w:rsid w:val="00AF016A"/>
    <w:rsid w:val="00AF03F4"/>
    <w:rsid w:val="00AF15B3"/>
    <w:rsid w:val="00AF37BB"/>
    <w:rsid w:val="00AF7DD0"/>
    <w:rsid w:val="00B034B9"/>
    <w:rsid w:val="00B04709"/>
    <w:rsid w:val="00B04D99"/>
    <w:rsid w:val="00B10728"/>
    <w:rsid w:val="00B159FA"/>
    <w:rsid w:val="00B15E2D"/>
    <w:rsid w:val="00B17B0F"/>
    <w:rsid w:val="00B20B17"/>
    <w:rsid w:val="00B20FC0"/>
    <w:rsid w:val="00B214FC"/>
    <w:rsid w:val="00B27DBA"/>
    <w:rsid w:val="00B36C71"/>
    <w:rsid w:val="00B3744C"/>
    <w:rsid w:val="00B374FC"/>
    <w:rsid w:val="00B37739"/>
    <w:rsid w:val="00B41C84"/>
    <w:rsid w:val="00B42076"/>
    <w:rsid w:val="00B44175"/>
    <w:rsid w:val="00B474BC"/>
    <w:rsid w:val="00B50410"/>
    <w:rsid w:val="00B54B5B"/>
    <w:rsid w:val="00B57A44"/>
    <w:rsid w:val="00B61840"/>
    <w:rsid w:val="00B679B0"/>
    <w:rsid w:val="00B80A38"/>
    <w:rsid w:val="00B81040"/>
    <w:rsid w:val="00B840E8"/>
    <w:rsid w:val="00B84EA2"/>
    <w:rsid w:val="00B961A7"/>
    <w:rsid w:val="00B9686F"/>
    <w:rsid w:val="00BA4E80"/>
    <w:rsid w:val="00BA6898"/>
    <w:rsid w:val="00BA7E12"/>
    <w:rsid w:val="00BB30AB"/>
    <w:rsid w:val="00BB6D23"/>
    <w:rsid w:val="00BB74C8"/>
    <w:rsid w:val="00BC03FE"/>
    <w:rsid w:val="00BC0EE0"/>
    <w:rsid w:val="00BC1D0C"/>
    <w:rsid w:val="00BC31C6"/>
    <w:rsid w:val="00BD11B8"/>
    <w:rsid w:val="00BD46AF"/>
    <w:rsid w:val="00BD5BED"/>
    <w:rsid w:val="00BD61E3"/>
    <w:rsid w:val="00BE1FB9"/>
    <w:rsid w:val="00BF07C0"/>
    <w:rsid w:val="00BF3904"/>
    <w:rsid w:val="00BF70A9"/>
    <w:rsid w:val="00BF724D"/>
    <w:rsid w:val="00C012C9"/>
    <w:rsid w:val="00C119B8"/>
    <w:rsid w:val="00C14854"/>
    <w:rsid w:val="00C1650E"/>
    <w:rsid w:val="00C1666F"/>
    <w:rsid w:val="00C171A8"/>
    <w:rsid w:val="00C17CE6"/>
    <w:rsid w:val="00C24DB8"/>
    <w:rsid w:val="00C26867"/>
    <w:rsid w:val="00C32931"/>
    <w:rsid w:val="00C330B3"/>
    <w:rsid w:val="00C35474"/>
    <w:rsid w:val="00C360A2"/>
    <w:rsid w:val="00C369EA"/>
    <w:rsid w:val="00C379E4"/>
    <w:rsid w:val="00C42B32"/>
    <w:rsid w:val="00C4349A"/>
    <w:rsid w:val="00C43B3D"/>
    <w:rsid w:val="00C44EFD"/>
    <w:rsid w:val="00C51B67"/>
    <w:rsid w:val="00C536A0"/>
    <w:rsid w:val="00C606B2"/>
    <w:rsid w:val="00C651B9"/>
    <w:rsid w:val="00C670A2"/>
    <w:rsid w:val="00C67752"/>
    <w:rsid w:val="00C72E36"/>
    <w:rsid w:val="00C84931"/>
    <w:rsid w:val="00C926A5"/>
    <w:rsid w:val="00C95BB4"/>
    <w:rsid w:val="00CA0155"/>
    <w:rsid w:val="00CA2145"/>
    <w:rsid w:val="00CA32EE"/>
    <w:rsid w:val="00CA46FA"/>
    <w:rsid w:val="00CA73FB"/>
    <w:rsid w:val="00CB1F6A"/>
    <w:rsid w:val="00CB1F90"/>
    <w:rsid w:val="00CB3D1F"/>
    <w:rsid w:val="00CB45D7"/>
    <w:rsid w:val="00CB5A00"/>
    <w:rsid w:val="00CB5BBA"/>
    <w:rsid w:val="00CC291B"/>
    <w:rsid w:val="00CC52BA"/>
    <w:rsid w:val="00CC6B63"/>
    <w:rsid w:val="00CC7A76"/>
    <w:rsid w:val="00CC7BAA"/>
    <w:rsid w:val="00CD62DC"/>
    <w:rsid w:val="00CD7FF8"/>
    <w:rsid w:val="00CE5D51"/>
    <w:rsid w:val="00CF38E0"/>
    <w:rsid w:val="00CF6F7E"/>
    <w:rsid w:val="00CF7807"/>
    <w:rsid w:val="00D00192"/>
    <w:rsid w:val="00D02F43"/>
    <w:rsid w:val="00D04327"/>
    <w:rsid w:val="00D07B4A"/>
    <w:rsid w:val="00D10DCB"/>
    <w:rsid w:val="00D23D9C"/>
    <w:rsid w:val="00D2462F"/>
    <w:rsid w:val="00D374C8"/>
    <w:rsid w:val="00D37C19"/>
    <w:rsid w:val="00D439A8"/>
    <w:rsid w:val="00D45F59"/>
    <w:rsid w:val="00D47081"/>
    <w:rsid w:val="00D51CA7"/>
    <w:rsid w:val="00D530CA"/>
    <w:rsid w:val="00D549F3"/>
    <w:rsid w:val="00D57034"/>
    <w:rsid w:val="00D61679"/>
    <w:rsid w:val="00D61FD7"/>
    <w:rsid w:val="00D62A7D"/>
    <w:rsid w:val="00D6409E"/>
    <w:rsid w:val="00D6440F"/>
    <w:rsid w:val="00D64DEE"/>
    <w:rsid w:val="00D6583C"/>
    <w:rsid w:val="00D674F1"/>
    <w:rsid w:val="00D678D1"/>
    <w:rsid w:val="00D8254B"/>
    <w:rsid w:val="00D90A55"/>
    <w:rsid w:val="00D932FA"/>
    <w:rsid w:val="00D946BD"/>
    <w:rsid w:val="00DA3C96"/>
    <w:rsid w:val="00DA404A"/>
    <w:rsid w:val="00DA64DB"/>
    <w:rsid w:val="00DB0DF8"/>
    <w:rsid w:val="00DB0E6A"/>
    <w:rsid w:val="00DB5475"/>
    <w:rsid w:val="00DB745D"/>
    <w:rsid w:val="00DC6365"/>
    <w:rsid w:val="00DD559F"/>
    <w:rsid w:val="00DF0D01"/>
    <w:rsid w:val="00DF3C14"/>
    <w:rsid w:val="00E01B3D"/>
    <w:rsid w:val="00E02495"/>
    <w:rsid w:val="00E034D4"/>
    <w:rsid w:val="00E04B40"/>
    <w:rsid w:val="00E05008"/>
    <w:rsid w:val="00E07E6B"/>
    <w:rsid w:val="00E11CAB"/>
    <w:rsid w:val="00E1280A"/>
    <w:rsid w:val="00E13222"/>
    <w:rsid w:val="00E21922"/>
    <w:rsid w:val="00E34B66"/>
    <w:rsid w:val="00E378CB"/>
    <w:rsid w:val="00E41A4B"/>
    <w:rsid w:val="00E42714"/>
    <w:rsid w:val="00E462D7"/>
    <w:rsid w:val="00E50379"/>
    <w:rsid w:val="00E50D42"/>
    <w:rsid w:val="00E53625"/>
    <w:rsid w:val="00E55625"/>
    <w:rsid w:val="00E6077B"/>
    <w:rsid w:val="00E64AE1"/>
    <w:rsid w:val="00E73F6A"/>
    <w:rsid w:val="00E74F03"/>
    <w:rsid w:val="00E76D60"/>
    <w:rsid w:val="00E76E3D"/>
    <w:rsid w:val="00E8359B"/>
    <w:rsid w:val="00E86E73"/>
    <w:rsid w:val="00E9104B"/>
    <w:rsid w:val="00E95C5F"/>
    <w:rsid w:val="00EA2DC3"/>
    <w:rsid w:val="00EA4335"/>
    <w:rsid w:val="00EA521E"/>
    <w:rsid w:val="00EA5736"/>
    <w:rsid w:val="00EB41BF"/>
    <w:rsid w:val="00EB59D4"/>
    <w:rsid w:val="00EC22F6"/>
    <w:rsid w:val="00EC4D78"/>
    <w:rsid w:val="00EC5746"/>
    <w:rsid w:val="00EC7D2D"/>
    <w:rsid w:val="00ED1B43"/>
    <w:rsid w:val="00ED2E32"/>
    <w:rsid w:val="00ED2EA3"/>
    <w:rsid w:val="00ED4313"/>
    <w:rsid w:val="00ED5F9F"/>
    <w:rsid w:val="00EE24C8"/>
    <w:rsid w:val="00EE47D5"/>
    <w:rsid w:val="00EE553A"/>
    <w:rsid w:val="00EF2D99"/>
    <w:rsid w:val="00EF2E59"/>
    <w:rsid w:val="00EF457E"/>
    <w:rsid w:val="00EF641F"/>
    <w:rsid w:val="00EF6F01"/>
    <w:rsid w:val="00F00952"/>
    <w:rsid w:val="00F01EC8"/>
    <w:rsid w:val="00F04EAA"/>
    <w:rsid w:val="00F31EE6"/>
    <w:rsid w:val="00F322C6"/>
    <w:rsid w:val="00F32D40"/>
    <w:rsid w:val="00F34163"/>
    <w:rsid w:val="00F36DE7"/>
    <w:rsid w:val="00F3742F"/>
    <w:rsid w:val="00F45D6E"/>
    <w:rsid w:val="00F464CA"/>
    <w:rsid w:val="00F4750C"/>
    <w:rsid w:val="00F52883"/>
    <w:rsid w:val="00F5298F"/>
    <w:rsid w:val="00F53914"/>
    <w:rsid w:val="00F620FB"/>
    <w:rsid w:val="00F626F5"/>
    <w:rsid w:val="00F64FF2"/>
    <w:rsid w:val="00F70C90"/>
    <w:rsid w:val="00F740F6"/>
    <w:rsid w:val="00F74897"/>
    <w:rsid w:val="00F761C7"/>
    <w:rsid w:val="00F8043A"/>
    <w:rsid w:val="00F82052"/>
    <w:rsid w:val="00F8539D"/>
    <w:rsid w:val="00F87A12"/>
    <w:rsid w:val="00F9181F"/>
    <w:rsid w:val="00F91E59"/>
    <w:rsid w:val="00F92504"/>
    <w:rsid w:val="00F967E9"/>
    <w:rsid w:val="00F97E8E"/>
    <w:rsid w:val="00FA0326"/>
    <w:rsid w:val="00FA5903"/>
    <w:rsid w:val="00FB0CB3"/>
    <w:rsid w:val="00FB382A"/>
    <w:rsid w:val="00FB614F"/>
    <w:rsid w:val="00FC1350"/>
    <w:rsid w:val="00FC18A6"/>
    <w:rsid w:val="00FC2657"/>
    <w:rsid w:val="00FC31B6"/>
    <w:rsid w:val="00FC428B"/>
    <w:rsid w:val="00FC566C"/>
    <w:rsid w:val="00FC5AB3"/>
    <w:rsid w:val="00FD2925"/>
    <w:rsid w:val="00FE20A7"/>
    <w:rsid w:val="00FE2A95"/>
    <w:rsid w:val="00FE719D"/>
    <w:rsid w:val="00FF4E2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C472B0-65D6-4B1D-8627-1C1C241C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306FE"/>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295A7F"/>
    <w:pPr>
      <w:tabs>
        <w:tab w:val="center" w:pos="4680"/>
        <w:tab w:val="right" w:pos="9360"/>
      </w:tabs>
    </w:pPr>
  </w:style>
  <w:style w:type="character" w:customStyle="1" w:styleId="HeaderChar">
    <w:name w:val="Header Char"/>
    <w:aliases w:val="encabezado Char"/>
    <w:link w:val="Header"/>
    <w:rsid w:val="00295A7F"/>
    <w:rPr>
      <w:sz w:val="24"/>
      <w:szCs w:val="24"/>
    </w:rPr>
  </w:style>
  <w:style w:type="paragraph" w:styleId="Footer">
    <w:name w:val="footer"/>
    <w:basedOn w:val="Normal"/>
    <w:link w:val="FooterChar"/>
    <w:rsid w:val="00295A7F"/>
    <w:pPr>
      <w:tabs>
        <w:tab w:val="center" w:pos="4680"/>
        <w:tab w:val="right" w:pos="9360"/>
      </w:tabs>
    </w:pPr>
  </w:style>
  <w:style w:type="character" w:customStyle="1" w:styleId="FooterChar">
    <w:name w:val="Footer Char"/>
    <w:link w:val="Footer"/>
    <w:rsid w:val="00295A7F"/>
    <w:rPr>
      <w:sz w:val="24"/>
      <w:szCs w:val="24"/>
    </w:rPr>
  </w:style>
  <w:style w:type="character" w:styleId="PageNumber">
    <w:name w:val="page number"/>
    <w:rsid w:val="00295A7F"/>
  </w:style>
  <w:style w:type="paragraph" w:styleId="ListParagraph">
    <w:name w:val="List Paragraph"/>
    <w:basedOn w:val="Normal"/>
    <w:uiPriority w:val="72"/>
    <w:qFormat/>
    <w:rsid w:val="006F775E"/>
    <w:pPr>
      <w:ind w:left="720"/>
    </w:pPr>
  </w:style>
  <w:style w:type="character" w:styleId="Hyperlink">
    <w:name w:val="Hyperlink"/>
    <w:rsid w:val="007A5B04"/>
    <w:rPr>
      <w:color w:val="0000FF"/>
      <w:u w:val="single"/>
    </w:rPr>
  </w:style>
  <w:style w:type="character" w:styleId="CommentReference">
    <w:name w:val="annotation reference"/>
    <w:rsid w:val="00710342"/>
    <w:rPr>
      <w:sz w:val="16"/>
      <w:szCs w:val="16"/>
    </w:rPr>
  </w:style>
  <w:style w:type="paragraph" w:styleId="CommentText">
    <w:name w:val="annotation text"/>
    <w:basedOn w:val="Normal"/>
    <w:link w:val="CommentTextChar"/>
    <w:rsid w:val="00710342"/>
    <w:rPr>
      <w:sz w:val="20"/>
      <w:szCs w:val="20"/>
    </w:rPr>
  </w:style>
  <w:style w:type="character" w:customStyle="1" w:styleId="CommentTextChar">
    <w:name w:val="Comment Text Char"/>
    <w:basedOn w:val="DefaultParagraphFont"/>
    <w:link w:val="CommentText"/>
    <w:rsid w:val="00710342"/>
  </w:style>
  <w:style w:type="paragraph" w:styleId="CommentSubject">
    <w:name w:val="annotation subject"/>
    <w:basedOn w:val="CommentText"/>
    <w:next w:val="CommentText"/>
    <w:link w:val="CommentSubjectChar"/>
    <w:rsid w:val="00710342"/>
    <w:rPr>
      <w:b/>
      <w:bCs/>
    </w:rPr>
  </w:style>
  <w:style w:type="character" w:customStyle="1" w:styleId="CommentSubjectChar">
    <w:name w:val="Comment Subject Char"/>
    <w:link w:val="CommentSubject"/>
    <w:rsid w:val="00710342"/>
    <w:rPr>
      <w:b/>
      <w:bCs/>
    </w:rPr>
  </w:style>
  <w:style w:type="paragraph" w:styleId="BalloonText">
    <w:name w:val="Balloon Text"/>
    <w:basedOn w:val="Normal"/>
    <w:link w:val="BalloonTextChar"/>
    <w:rsid w:val="00710342"/>
    <w:rPr>
      <w:rFonts w:ascii="Tahoma" w:hAnsi="Tahoma" w:cs="Tahoma"/>
      <w:sz w:val="16"/>
      <w:szCs w:val="16"/>
    </w:rPr>
  </w:style>
  <w:style w:type="character" w:customStyle="1" w:styleId="BalloonTextChar">
    <w:name w:val="Balloon Text Char"/>
    <w:link w:val="BalloonText"/>
    <w:rsid w:val="00710342"/>
    <w:rPr>
      <w:rFonts w:ascii="Tahoma" w:hAnsi="Tahoma" w:cs="Tahoma"/>
      <w:sz w:val="16"/>
      <w:szCs w:val="16"/>
    </w:rPr>
  </w:style>
  <w:style w:type="character" w:styleId="FollowedHyperlink">
    <w:name w:val="FollowedHyperlink"/>
    <w:rsid w:val="00EE553A"/>
    <w:rPr>
      <w:color w:val="800080"/>
      <w:u w:val="single"/>
    </w:rPr>
  </w:style>
  <w:style w:type="table" w:styleId="TableGrid">
    <w:name w:val="Table Grid"/>
    <w:basedOn w:val="TableNormal"/>
    <w:rsid w:val="003B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C43B3D"/>
    <w:pPr>
      <w:tabs>
        <w:tab w:val="left" w:pos="360"/>
      </w:tabs>
      <w:ind w:left="360" w:hanging="360"/>
      <w:jc w:val="both"/>
    </w:pPr>
    <w:rPr>
      <w:rFonts w:ascii="CG Times" w:eastAsia="MS Mincho" w:hAnsi="CG Times"/>
      <w:sz w:val="18"/>
      <w:szCs w:val="20"/>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C43B3D"/>
    <w:rPr>
      <w:rFonts w:ascii="CG Times" w:eastAsia="MS Mincho" w:hAnsi="CG Times"/>
      <w:sz w:val="18"/>
      <w:lang w:val="es-CO" w:eastAsia="es-ES_tradnl"/>
    </w:rPr>
  </w:style>
  <w:style w:type="character" w:styleId="FootnoteReference">
    <w:name w:val="footnote reference"/>
    <w:uiPriority w:val="99"/>
    <w:rsid w:val="00C43B3D"/>
    <w:rPr>
      <w:rFonts w:cs="Times New Roman"/>
      <w:color w:val="auto"/>
      <w:vertAlign w:val="baseline"/>
    </w:rPr>
  </w:style>
  <w:style w:type="paragraph" w:styleId="NoSpacing">
    <w:name w:val="No Spacing"/>
    <w:uiPriority w:val="1"/>
    <w:qFormat/>
    <w:rsid w:val="00070592"/>
    <w:rPr>
      <w:rFonts w:ascii="Calibri" w:eastAsia="Calibri" w:hAnsi="Calibri"/>
      <w:sz w:val="22"/>
      <w:szCs w:val="22"/>
      <w:lang w:val="es-ES"/>
    </w:rPr>
  </w:style>
  <w:style w:type="paragraph" w:customStyle="1" w:styleId="Default">
    <w:name w:val="Default"/>
    <w:rsid w:val="00084323"/>
    <w:pPr>
      <w:widowControl w:val="0"/>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unhideWhenUsed/>
    <w:rsid w:val="000A20E1"/>
    <w:pPr>
      <w:spacing w:before="100" w:beforeAutospacing="1" w:after="100" w:afterAutospacing="1"/>
    </w:pPr>
    <w:rPr>
      <w:rFonts w:eastAsia="Calibri"/>
    </w:rPr>
  </w:style>
  <w:style w:type="character" w:customStyle="1" w:styleId="Heading1Char">
    <w:name w:val="Heading 1 Char"/>
    <w:link w:val="Heading1"/>
    <w:rsid w:val="002306F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34">
      <w:bodyDiv w:val="1"/>
      <w:marLeft w:val="0"/>
      <w:marRight w:val="0"/>
      <w:marTop w:val="0"/>
      <w:marBottom w:val="0"/>
      <w:divBdr>
        <w:top w:val="none" w:sz="0" w:space="0" w:color="auto"/>
        <w:left w:val="none" w:sz="0" w:space="0" w:color="auto"/>
        <w:bottom w:val="none" w:sz="0" w:space="0" w:color="auto"/>
        <w:right w:val="none" w:sz="0" w:space="0" w:color="auto"/>
      </w:divBdr>
    </w:div>
    <w:div w:id="114953544">
      <w:bodyDiv w:val="1"/>
      <w:marLeft w:val="0"/>
      <w:marRight w:val="0"/>
      <w:marTop w:val="0"/>
      <w:marBottom w:val="0"/>
      <w:divBdr>
        <w:top w:val="none" w:sz="0" w:space="0" w:color="auto"/>
        <w:left w:val="none" w:sz="0" w:space="0" w:color="auto"/>
        <w:bottom w:val="none" w:sz="0" w:space="0" w:color="auto"/>
        <w:right w:val="none" w:sz="0" w:space="0" w:color="auto"/>
      </w:divBdr>
    </w:div>
    <w:div w:id="118963637">
      <w:bodyDiv w:val="1"/>
      <w:marLeft w:val="0"/>
      <w:marRight w:val="0"/>
      <w:marTop w:val="0"/>
      <w:marBottom w:val="0"/>
      <w:divBdr>
        <w:top w:val="none" w:sz="0" w:space="0" w:color="auto"/>
        <w:left w:val="none" w:sz="0" w:space="0" w:color="auto"/>
        <w:bottom w:val="none" w:sz="0" w:space="0" w:color="auto"/>
        <w:right w:val="none" w:sz="0" w:space="0" w:color="auto"/>
      </w:divBdr>
    </w:div>
    <w:div w:id="126750887">
      <w:bodyDiv w:val="1"/>
      <w:marLeft w:val="0"/>
      <w:marRight w:val="0"/>
      <w:marTop w:val="0"/>
      <w:marBottom w:val="0"/>
      <w:divBdr>
        <w:top w:val="none" w:sz="0" w:space="0" w:color="auto"/>
        <w:left w:val="none" w:sz="0" w:space="0" w:color="auto"/>
        <w:bottom w:val="none" w:sz="0" w:space="0" w:color="auto"/>
        <w:right w:val="none" w:sz="0" w:space="0" w:color="auto"/>
      </w:divBdr>
    </w:div>
    <w:div w:id="144008493">
      <w:bodyDiv w:val="1"/>
      <w:marLeft w:val="0"/>
      <w:marRight w:val="0"/>
      <w:marTop w:val="0"/>
      <w:marBottom w:val="0"/>
      <w:divBdr>
        <w:top w:val="none" w:sz="0" w:space="0" w:color="auto"/>
        <w:left w:val="none" w:sz="0" w:space="0" w:color="auto"/>
        <w:bottom w:val="none" w:sz="0" w:space="0" w:color="auto"/>
        <w:right w:val="none" w:sz="0" w:space="0" w:color="auto"/>
      </w:divBdr>
    </w:div>
    <w:div w:id="414742460">
      <w:bodyDiv w:val="1"/>
      <w:marLeft w:val="0"/>
      <w:marRight w:val="0"/>
      <w:marTop w:val="0"/>
      <w:marBottom w:val="0"/>
      <w:divBdr>
        <w:top w:val="none" w:sz="0" w:space="0" w:color="auto"/>
        <w:left w:val="none" w:sz="0" w:space="0" w:color="auto"/>
        <w:bottom w:val="none" w:sz="0" w:space="0" w:color="auto"/>
        <w:right w:val="none" w:sz="0" w:space="0" w:color="auto"/>
      </w:divBdr>
    </w:div>
    <w:div w:id="582881868">
      <w:bodyDiv w:val="1"/>
      <w:marLeft w:val="0"/>
      <w:marRight w:val="0"/>
      <w:marTop w:val="0"/>
      <w:marBottom w:val="0"/>
      <w:divBdr>
        <w:top w:val="none" w:sz="0" w:space="0" w:color="auto"/>
        <w:left w:val="none" w:sz="0" w:space="0" w:color="auto"/>
        <w:bottom w:val="none" w:sz="0" w:space="0" w:color="auto"/>
        <w:right w:val="none" w:sz="0" w:space="0" w:color="auto"/>
      </w:divBdr>
    </w:div>
    <w:div w:id="754402167">
      <w:bodyDiv w:val="1"/>
      <w:marLeft w:val="0"/>
      <w:marRight w:val="0"/>
      <w:marTop w:val="0"/>
      <w:marBottom w:val="0"/>
      <w:divBdr>
        <w:top w:val="none" w:sz="0" w:space="0" w:color="auto"/>
        <w:left w:val="none" w:sz="0" w:space="0" w:color="auto"/>
        <w:bottom w:val="none" w:sz="0" w:space="0" w:color="auto"/>
        <w:right w:val="none" w:sz="0" w:space="0" w:color="auto"/>
      </w:divBdr>
    </w:div>
    <w:div w:id="781808336">
      <w:bodyDiv w:val="1"/>
      <w:marLeft w:val="0"/>
      <w:marRight w:val="0"/>
      <w:marTop w:val="0"/>
      <w:marBottom w:val="0"/>
      <w:divBdr>
        <w:top w:val="none" w:sz="0" w:space="0" w:color="auto"/>
        <w:left w:val="none" w:sz="0" w:space="0" w:color="auto"/>
        <w:bottom w:val="none" w:sz="0" w:space="0" w:color="auto"/>
        <w:right w:val="none" w:sz="0" w:space="0" w:color="auto"/>
      </w:divBdr>
    </w:div>
    <w:div w:id="820003280">
      <w:bodyDiv w:val="1"/>
      <w:marLeft w:val="0"/>
      <w:marRight w:val="0"/>
      <w:marTop w:val="0"/>
      <w:marBottom w:val="0"/>
      <w:divBdr>
        <w:top w:val="none" w:sz="0" w:space="0" w:color="auto"/>
        <w:left w:val="none" w:sz="0" w:space="0" w:color="auto"/>
        <w:bottom w:val="none" w:sz="0" w:space="0" w:color="auto"/>
        <w:right w:val="none" w:sz="0" w:space="0" w:color="auto"/>
      </w:divBdr>
    </w:div>
    <w:div w:id="825242904">
      <w:bodyDiv w:val="1"/>
      <w:marLeft w:val="0"/>
      <w:marRight w:val="0"/>
      <w:marTop w:val="0"/>
      <w:marBottom w:val="0"/>
      <w:divBdr>
        <w:top w:val="none" w:sz="0" w:space="0" w:color="auto"/>
        <w:left w:val="none" w:sz="0" w:space="0" w:color="auto"/>
        <w:bottom w:val="none" w:sz="0" w:space="0" w:color="auto"/>
        <w:right w:val="none" w:sz="0" w:space="0" w:color="auto"/>
      </w:divBdr>
    </w:div>
    <w:div w:id="834997554">
      <w:bodyDiv w:val="1"/>
      <w:marLeft w:val="0"/>
      <w:marRight w:val="0"/>
      <w:marTop w:val="0"/>
      <w:marBottom w:val="0"/>
      <w:divBdr>
        <w:top w:val="none" w:sz="0" w:space="0" w:color="auto"/>
        <w:left w:val="none" w:sz="0" w:space="0" w:color="auto"/>
        <w:bottom w:val="none" w:sz="0" w:space="0" w:color="auto"/>
        <w:right w:val="none" w:sz="0" w:space="0" w:color="auto"/>
      </w:divBdr>
    </w:div>
    <w:div w:id="838619013">
      <w:bodyDiv w:val="1"/>
      <w:marLeft w:val="0"/>
      <w:marRight w:val="0"/>
      <w:marTop w:val="0"/>
      <w:marBottom w:val="0"/>
      <w:divBdr>
        <w:top w:val="none" w:sz="0" w:space="0" w:color="auto"/>
        <w:left w:val="none" w:sz="0" w:space="0" w:color="auto"/>
        <w:bottom w:val="none" w:sz="0" w:space="0" w:color="auto"/>
        <w:right w:val="none" w:sz="0" w:space="0" w:color="auto"/>
      </w:divBdr>
    </w:div>
    <w:div w:id="898399319">
      <w:bodyDiv w:val="1"/>
      <w:marLeft w:val="0"/>
      <w:marRight w:val="0"/>
      <w:marTop w:val="0"/>
      <w:marBottom w:val="0"/>
      <w:divBdr>
        <w:top w:val="none" w:sz="0" w:space="0" w:color="auto"/>
        <w:left w:val="none" w:sz="0" w:space="0" w:color="auto"/>
        <w:bottom w:val="none" w:sz="0" w:space="0" w:color="auto"/>
        <w:right w:val="none" w:sz="0" w:space="0" w:color="auto"/>
      </w:divBdr>
    </w:div>
    <w:div w:id="1019115993">
      <w:bodyDiv w:val="1"/>
      <w:marLeft w:val="0"/>
      <w:marRight w:val="0"/>
      <w:marTop w:val="0"/>
      <w:marBottom w:val="0"/>
      <w:divBdr>
        <w:top w:val="none" w:sz="0" w:space="0" w:color="auto"/>
        <w:left w:val="none" w:sz="0" w:space="0" w:color="auto"/>
        <w:bottom w:val="none" w:sz="0" w:space="0" w:color="auto"/>
        <w:right w:val="none" w:sz="0" w:space="0" w:color="auto"/>
      </w:divBdr>
    </w:div>
    <w:div w:id="1134526089">
      <w:bodyDiv w:val="1"/>
      <w:marLeft w:val="0"/>
      <w:marRight w:val="0"/>
      <w:marTop w:val="0"/>
      <w:marBottom w:val="0"/>
      <w:divBdr>
        <w:top w:val="none" w:sz="0" w:space="0" w:color="auto"/>
        <w:left w:val="none" w:sz="0" w:space="0" w:color="auto"/>
        <w:bottom w:val="none" w:sz="0" w:space="0" w:color="auto"/>
        <w:right w:val="none" w:sz="0" w:space="0" w:color="auto"/>
      </w:divBdr>
    </w:div>
    <w:div w:id="1446729050">
      <w:bodyDiv w:val="1"/>
      <w:marLeft w:val="0"/>
      <w:marRight w:val="0"/>
      <w:marTop w:val="0"/>
      <w:marBottom w:val="0"/>
      <w:divBdr>
        <w:top w:val="none" w:sz="0" w:space="0" w:color="auto"/>
        <w:left w:val="none" w:sz="0" w:space="0" w:color="auto"/>
        <w:bottom w:val="none" w:sz="0" w:space="0" w:color="auto"/>
        <w:right w:val="none" w:sz="0" w:space="0" w:color="auto"/>
      </w:divBdr>
    </w:div>
    <w:div w:id="1676882041">
      <w:bodyDiv w:val="1"/>
      <w:marLeft w:val="0"/>
      <w:marRight w:val="0"/>
      <w:marTop w:val="0"/>
      <w:marBottom w:val="0"/>
      <w:divBdr>
        <w:top w:val="none" w:sz="0" w:space="0" w:color="auto"/>
        <w:left w:val="none" w:sz="0" w:space="0" w:color="auto"/>
        <w:bottom w:val="none" w:sz="0" w:space="0" w:color="auto"/>
        <w:right w:val="none" w:sz="0" w:space="0" w:color="auto"/>
      </w:divBdr>
    </w:div>
    <w:div w:id="1736508331">
      <w:bodyDiv w:val="1"/>
      <w:marLeft w:val="0"/>
      <w:marRight w:val="0"/>
      <w:marTop w:val="0"/>
      <w:marBottom w:val="0"/>
      <w:divBdr>
        <w:top w:val="none" w:sz="0" w:space="0" w:color="auto"/>
        <w:left w:val="none" w:sz="0" w:space="0" w:color="auto"/>
        <w:bottom w:val="none" w:sz="0" w:space="0" w:color="auto"/>
        <w:right w:val="none" w:sz="0" w:space="0" w:color="auto"/>
      </w:divBdr>
    </w:div>
    <w:div w:id="1911114405">
      <w:bodyDiv w:val="1"/>
      <w:marLeft w:val="0"/>
      <w:marRight w:val="0"/>
      <w:marTop w:val="0"/>
      <w:marBottom w:val="0"/>
      <w:divBdr>
        <w:top w:val="none" w:sz="0" w:space="0" w:color="auto"/>
        <w:left w:val="none" w:sz="0" w:space="0" w:color="auto"/>
        <w:bottom w:val="none" w:sz="0" w:space="0" w:color="auto"/>
        <w:right w:val="none" w:sz="0" w:space="0" w:color="auto"/>
      </w:divBdr>
    </w:div>
    <w:div w:id="2035494420">
      <w:bodyDiv w:val="1"/>
      <w:marLeft w:val="0"/>
      <w:marRight w:val="0"/>
      <w:marTop w:val="0"/>
      <w:marBottom w:val="0"/>
      <w:divBdr>
        <w:top w:val="none" w:sz="0" w:space="0" w:color="auto"/>
        <w:left w:val="none" w:sz="0" w:space="0" w:color="auto"/>
        <w:bottom w:val="none" w:sz="0" w:space="0" w:color="auto"/>
        <w:right w:val="none" w:sz="0" w:space="0" w:color="auto"/>
      </w:divBdr>
    </w:div>
    <w:div w:id="20565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SPANISH/HIST_19/CP41368S03.doc"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m.oas.org/doc_public/SPANISH/HIST_20/CP42412S03.docx" TargetMode="External"/><Relationship Id="rId2" Type="http://schemas.openxmlformats.org/officeDocument/2006/relationships/numbering" Target="numbering.xml"/><Relationship Id="rId16" Type="http://schemas.openxmlformats.org/officeDocument/2006/relationships/hyperlink" Target="http://scm.oas.org/doc_public/SPANISH/HIST_20/CP42368S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as.org/es/sla/cji/docs/informes_culminados_recientemente_Contratos_Internacionales_resolucion.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SPANISH/HIST_20/CP42392S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A294-7E17-4193-B3DB-9AE05195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18</Pages>
  <Words>5188</Words>
  <Characters>29576</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34695</CharactersWithSpaces>
  <SharedDoc>false</SharedDoc>
  <HLinks>
    <vt:vector size="30" baseType="variant">
      <vt:variant>
        <vt:i4>262235</vt:i4>
      </vt:variant>
      <vt:variant>
        <vt:i4>9</vt:i4>
      </vt:variant>
      <vt:variant>
        <vt:i4>0</vt:i4>
      </vt:variant>
      <vt:variant>
        <vt:i4>5</vt:i4>
      </vt:variant>
      <vt:variant>
        <vt:lpwstr>http://scm.oas.org/doc_public/SPANISH/HIST_20/CP42412S03.docx</vt:lpwstr>
      </vt:variant>
      <vt:variant>
        <vt:lpwstr/>
      </vt:variant>
      <vt:variant>
        <vt:i4>196694</vt:i4>
      </vt:variant>
      <vt:variant>
        <vt:i4>6</vt:i4>
      </vt:variant>
      <vt:variant>
        <vt:i4>0</vt:i4>
      </vt:variant>
      <vt:variant>
        <vt:i4>5</vt:i4>
      </vt:variant>
      <vt:variant>
        <vt:lpwstr>http://scm.oas.org/doc_public/SPANISH/HIST_20/CP42368S03.docx</vt:lpwstr>
      </vt:variant>
      <vt:variant>
        <vt:lpwstr/>
      </vt:variant>
      <vt:variant>
        <vt:i4>6946832</vt:i4>
      </vt:variant>
      <vt:variant>
        <vt:i4>3</vt:i4>
      </vt:variant>
      <vt:variant>
        <vt:i4>0</vt:i4>
      </vt:variant>
      <vt:variant>
        <vt:i4>5</vt:i4>
      </vt:variant>
      <vt:variant>
        <vt:lpwstr>http://www.oas.org/es/sla/cji/docs/informes_culminados_recientemente_Contratos_Internacionales_resolucion.pdf</vt:lpwstr>
      </vt:variant>
      <vt:variant>
        <vt:lpwstr/>
      </vt:variant>
      <vt:variant>
        <vt:i4>196703</vt:i4>
      </vt:variant>
      <vt:variant>
        <vt:i4>0</vt:i4>
      </vt:variant>
      <vt:variant>
        <vt:i4>0</vt:i4>
      </vt:variant>
      <vt:variant>
        <vt:i4>5</vt:i4>
      </vt:variant>
      <vt:variant>
        <vt:lpwstr>http://scm.oas.org/doc_public/SPANISH/HIST_19/CP41368S03.doc</vt:lpwstr>
      </vt:variant>
      <vt:variant>
        <vt:lpwstr/>
      </vt:variant>
      <vt:variant>
        <vt:i4>589916</vt:i4>
      </vt:variant>
      <vt:variant>
        <vt:i4>0</vt:i4>
      </vt:variant>
      <vt:variant>
        <vt:i4>0</vt:i4>
      </vt:variant>
      <vt:variant>
        <vt:i4>5</vt:i4>
      </vt:variant>
      <vt:variant>
        <vt:lpwstr>http://scm.oas.org/doc_public/SPANISH/HIST_20/CP42392S06.docx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%username%;E. Díaz-Avalos</dc:creator>
  <cp:lastModifiedBy>Loredo, Carmen</cp:lastModifiedBy>
  <cp:revision>7</cp:revision>
  <cp:lastPrinted>2019-09-30T14:17:00Z</cp:lastPrinted>
  <dcterms:created xsi:type="dcterms:W3CDTF">2020-07-22T18:59:00Z</dcterms:created>
  <dcterms:modified xsi:type="dcterms:W3CDTF">2020-07-24T15:50:00Z</dcterms:modified>
</cp:coreProperties>
</file>