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ook w:val="04A0" w:firstRow="1" w:lastRow="0" w:firstColumn="1" w:lastColumn="0" w:noHBand="0" w:noVBand="1"/>
      </w:tblPr>
      <w:tblGrid>
        <w:gridCol w:w="6489"/>
        <w:gridCol w:w="3681"/>
      </w:tblGrid>
      <w:tr w:rsidR="00227869" w:rsidRPr="00833CCD" w14:paraId="5DAC7D6D" w14:textId="77777777" w:rsidTr="00DD0D64">
        <w:tc>
          <w:tcPr>
            <w:tcW w:w="6489" w:type="dxa"/>
            <w:shd w:val="clear" w:color="auto" w:fill="auto"/>
          </w:tcPr>
          <w:p w14:paraId="25688CBC" w14:textId="77777777" w:rsidR="00227869" w:rsidRPr="00833CCD" w:rsidRDefault="00227869" w:rsidP="00BD30C1">
            <w:pPr>
              <w:tabs>
                <w:tab w:val="center" w:pos="2880"/>
                <w:tab w:val="left" w:pos="7200"/>
                <w:tab w:val="left" w:pos="7965"/>
              </w:tabs>
              <w:jc w:val="center"/>
              <w:rPr>
                <w:sz w:val="22"/>
                <w:szCs w:val="22"/>
              </w:rPr>
            </w:pPr>
            <w:r w:rsidRPr="00833CCD">
              <w:rPr>
                <w:sz w:val="22"/>
                <w:szCs w:val="22"/>
              </w:rPr>
              <w:t>CONSEJO PERMANENTE DE LA</w:t>
            </w:r>
          </w:p>
          <w:p w14:paraId="36EBDC24" w14:textId="77777777" w:rsidR="00227869" w:rsidRPr="00833CCD" w:rsidRDefault="00227869" w:rsidP="00BD30C1">
            <w:pPr>
              <w:tabs>
                <w:tab w:val="center" w:pos="2880"/>
                <w:tab w:val="left" w:pos="7200"/>
                <w:tab w:val="left" w:pos="7965"/>
              </w:tabs>
              <w:jc w:val="center"/>
              <w:rPr>
                <w:sz w:val="22"/>
                <w:szCs w:val="22"/>
              </w:rPr>
            </w:pPr>
            <w:r w:rsidRPr="00833CCD">
              <w:rPr>
                <w:sz w:val="22"/>
                <w:szCs w:val="22"/>
              </w:rPr>
              <w:t>ORGANIZACIÓN DE LOS ESTADOS AMERICANOS</w:t>
            </w:r>
          </w:p>
          <w:p w14:paraId="116934BC" w14:textId="77777777" w:rsidR="00227869" w:rsidRPr="00833CCD" w:rsidRDefault="00227869" w:rsidP="00BD30C1">
            <w:pPr>
              <w:tabs>
                <w:tab w:val="center" w:pos="2880"/>
                <w:tab w:val="left" w:pos="7200"/>
                <w:tab w:val="left" w:pos="7965"/>
              </w:tabs>
              <w:jc w:val="center"/>
              <w:rPr>
                <w:sz w:val="22"/>
                <w:szCs w:val="22"/>
              </w:rPr>
            </w:pPr>
          </w:p>
          <w:p w14:paraId="0C18DA1B" w14:textId="77777777" w:rsidR="00227869" w:rsidRPr="00833CCD" w:rsidRDefault="00227869" w:rsidP="00BD30C1">
            <w:pPr>
              <w:jc w:val="center"/>
              <w:rPr>
                <w:sz w:val="22"/>
                <w:szCs w:val="22"/>
              </w:rPr>
            </w:pPr>
            <w:r w:rsidRPr="00833CCD">
              <w:rPr>
                <w:sz w:val="22"/>
                <w:szCs w:val="22"/>
              </w:rPr>
              <w:t>COMISIÓN DE ASUNTOS JURÍDICOS Y POLÍTICOS</w:t>
            </w:r>
          </w:p>
        </w:tc>
        <w:tc>
          <w:tcPr>
            <w:tcW w:w="3681" w:type="dxa"/>
            <w:shd w:val="clear" w:color="auto" w:fill="auto"/>
          </w:tcPr>
          <w:p w14:paraId="3073EE10" w14:textId="77777777" w:rsidR="00DE389E" w:rsidRPr="00833CCD" w:rsidRDefault="00227869" w:rsidP="00DE389E">
            <w:pPr>
              <w:tabs>
                <w:tab w:val="left" w:pos="717"/>
                <w:tab w:val="center" w:pos="2880"/>
                <w:tab w:val="left" w:pos="7200"/>
                <w:tab w:val="left" w:pos="7965"/>
              </w:tabs>
              <w:ind w:left="702" w:right="-760"/>
              <w:rPr>
                <w:sz w:val="22"/>
                <w:szCs w:val="22"/>
              </w:rPr>
            </w:pPr>
            <w:r w:rsidRPr="00833CCD">
              <w:rPr>
                <w:sz w:val="22"/>
                <w:szCs w:val="22"/>
              </w:rPr>
              <w:t>OEA/</w:t>
            </w:r>
            <w:proofErr w:type="spellStart"/>
            <w:r w:rsidRPr="00833CCD">
              <w:rPr>
                <w:sz w:val="22"/>
                <w:szCs w:val="22"/>
              </w:rPr>
              <w:t>Ser.G</w:t>
            </w:r>
            <w:proofErr w:type="spellEnd"/>
          </w:p>
          <w:p w14:paraId="6A80B4C0" w14:textId="5E8F0D8C" w:rsidR="00227869" w:rsidRPr="00833CCD" w:rsidRDefault="00227869" w:rsidP="00DE389E">
            <w:pPr>
              <w:tabs>
                <w:tab w:val="left" w:pos="717"/>
                <w:tab w:val="center" w:pos="3591"/>
                <w:tab w:val="left" w:pos="7200"/>
                <w:tab w:val="left" w:pos="7965"/>
              </w:tabs>
              <w:ind w:left="702" w:right="-1120"/>
              <w:rPr>
                <w:sz w:val="22"/>
                <w:szCs w:val="22"/>
              </w:rPr>
            </w:pPr>
            <w:r w:rsidRPr="00AB4B50">
              <w:rPr>
                <w:sz w:val="22"/>
                <w:szCs w:val="22"/>
              </w:rPr>
              <w:t>CP/CAJP</w:t>
            </w:r>
            <w:r w:rsidR="00C6312E" w:rsidRPr="00AB4B50">
              <w:rPr>
                <w:sz w:val="22"/>
                <w:szCs w:val="22"/>
              </w:rPr>
              <w:t>-</w:t>
            </w:r>
            <w:r w:rsidR="00376C2B" w:rsidRPr="00AB4B50">
              <w:rPr>
                <w:sz w:val="22"/>
                <w:szCs w:val="22"/>
              </w:rPr>
              <w:t>35</w:t>
            </w:r>
            <w:r w:rsidR="00285A38" w:rsidRPr="00AB4B50">
              <w:rPr>
                <w:sz w:val="22"/>
                <w:szCs w:val="22"/>
              </w:rPr>
              <w:t>53</w:t>
            </w:r>
            <w:r w:rsidR="00833CCD" w:rsidRPr="00AB4B50">
              <w:rPr>
                <w:sz w:val="22"/>
                <w:szCs w:val="22"/>
              </w:rPr>
              <w:t>/</w:t>
            </w:r>
            <w:r w:rsidR="009638D4" w:rsidRPr="00AB4B50">
              <w:rPr>
                <w:sz w:val="22"/>
                <w:szCs w:val="22"/>
              </w:rPr>
              <w:t>21</w:t>
            </w:r>
            <w:r w:rsidR="001A50A2" w:rsidRPr="00AB4B50">
              <w:rPr>
                <w:sz w:val="22"/>
                <w:szCs w:val="22"/>
              </w:rPr>
              <w:t xml:space="preserve"> </w:t>
            </w:r>
            <w:proofErr w:type="spellStart"/>
            <w:r w:rsidR="001A50A2" w:rsidRPr="00AB4B50">
              <w:rPr>
                <w:sz w:val="22"/>
                <w:szCs w:val="22"/>
              </w:rPr>
              <w:t>rev.</w:t>
            </w:r>
            <w:proofErr w:type="spellEnd"/>
            <w:r w:rsidR="00AB4B50">
              <w:rPr>
                <w:sz w:val="22"/>
                <w:szCs w:val="22"/>
              </w:rPr>
              <w:t xml:space="preserve"> </w:t>
            </w:r>
            <w:r w:rsidR="000D0C03">
              <w:rPr>
                <w:sz w:val="22"/>
                <w:szCs w:val="22"/>
              </w:rPr>
              <w:t>3</w:t>
            </w:r>
          </w:p>
          <w:p w14:paraId="66A31AE4" w14:textId="310799D7" w:rsidR="009638D4" w:rsidRDefault="00322941" w:rsidP="00833CCD">
            <w:pPr>
              <w:tabs>
                <w:tab w:val="left" w:pos="717"/>
                <w:tab w:val="center" w:pos="2880"/>
                <w:tab w:val="left" w:pos="7200"/>
                <w:tab w:val="left" w:pos="7965"/>
              </w:tabs>
              <w:ind w:left="702"/>
              <w:rPr>
                <w:sz w:val="22"/>
                <w:szCs w:val="22"/>
              </w:rPr>
            </w:pPr>
            <w:r>
              <w:rPr>
                <w:sz w:val="22"/>
                <w:szCs w:val="22"/>
              </w:rPr>
              <w:t>2</w:t>
            </w:r>
            <w:r w:rsidR="001D5564">
              <w:rPr>
                <w:sz w:val="22"/>
                <w:szCs w:val="22"/>
              </w:rPr>
              <w:t>6</w:t>
            </w:r>
            <w:r>
              <w:rPr>
                <w:sz w:val="22"/>
                <w:szCs w:val="22"/>
              </w:rPr>
              <w:t xml:space="preserve"> </w:t>
            </w:r>
            <w:r w:rsidR="000D0C03">
              <w:rPr>
                <w:sz w:val="22"/>
                <w:szCs w:val="22"/>
              </w:rPr>
              <w:t xml:space="preserve">abril </w:t>
            </w:r>
            <w:r w:rsidR="009638D4">
              <w:rPr>
                <w:sz w:val="22"/>
                <w:szCs w:val="22"/>
              </w:rPr>
              <w:t>2021</w:t>
            </w:r>
          </w:p>
          <w:p w14:paraId="1A4B814F" w14:textId="77777777" w:rsidR="00227869" w:rsidRPr="00833CCD" w:rsidRDefault="00227869" w:rsidP="00833CCD">
            <w:pPr>
              <w:tabs>
                <w:tab w:val="left" w:pos="717"/>
                <w:tab w:val="center" w:pos="2880"/>
                <w:tab w:val="left" w:pos="7200"/>
                <w:tab w:val="left" w:pos="7965"/>
              </w:tabs>
              <w:ind w:left="702"/>
              <w:rPr>
                <w:sz w:val="22"/>
                <w:szCs w:val="22"/>
              </w:rPr>
            </w:pPr>
            <w:r w:rsidRPr="00833CCD">
              <w:rPr>
                <w:sz w:val="22"/>
                <w:szCs w:val="22"/>
              </w:rPr>
              <w:t>Original: español</w:t>
            </w:r>
          </w:p>
        </w:tc>
      </w:tr>
    </w:tbl>
    <w:p w14:paraId="3D54B49C" w14:textId="77777777" w:rsidR="00CD1F3E" w:rsidRPr="00833CCD" w:rsidRDefault="00CD1F3E" w:rsidP="00000073">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75A1A1BB" w14:textId="77777777" w:rsidR="00227869" w:rsidRPr="00833CCD" w:rsidRDefault="00227869" w:rsidP="00000073">
      <w:pPr>
        <w:widowControl w:val="0"/>
        <w:jc w:val="center"/>
        <w:outlineLvl w:val="0"/>
        <w:rPr>
          <w:sz w:val="22"/>
          <w:szCs w:val="22"/>
        </w:rPr>
      </w:pPr>
    </w:p>
    <w:p w14:paraId="54C673B3" w14:textId="77777777" w:rsidR="009C6196" w:rsidRDefault="009C6196" w:rsidP="007E2F00">
      <w:pPr>
        <w:autoSpaceDE w:val="0"/>
        <w:autoSpaceDN w:val="0"/>
        <w:adjustRightInd w:val="0"/>
        <w:jc w:val="center"/>
        <w:rPr>
          <w:sz w:val="22"/>
          <w:szCs w:val="22"/>
          <w:lang w:val="es-CL"/>
        </w:rPr>
      </w:pPr>
    </w:p>
    <w:p w14:paraId="3DF904C0" w14:textId="77777777" w:rsidR="007E2F00" w:rsidRDefault="007E2F00" w:rsidP="007E2F00">
      <w:pPr>
        <w:autoSpaceDE w:val="0"/>
        <w:autoSpaceDN w:val="0"/>
        <w:adjustRightInd w:val="0"/>
        <w:jc w:val="center"/>
        <w:rPr>
          <w:sz w:val="22"/>
          <w:szCs w:val="22"/>
          <w:lang w:val="es-CL"/>
        </w:rPr>
      </w:pPr>
    </w:p>
    <w:p w14:paraId="15950BBF" w14:textId="77777777" w:rsidR="0044140F" w:rsidRDefault="0044140F" w:rsidP="007E2F00">
      <w:pPr>
        <w:autoSpaceDE w:val="0"/>
        <w:autoSpaceDN w:val="0"/>
        <w:adjustRightInd w:val="0"/>
        <w:jc w:val="center"/>
        <w:rPr>
          <w:sz w:val="22"/>
          <w:szCs w:val="22"/>
          <w:lang w:val="es-CL"/>
        </w:rPr>
      </w:pPr>
    </w:p>
    <w:p w14:paraId="4C16D63B" w14:textId="77777777" w:rsidR="0044140F" w:rsidRDefault="0044140F" w:rsidP="007E2F00">
      <w:pPr>
        <w:autoSpaceDE w:val="0"/>
        <w:autoSpaceDN w:val="0"/>
        <w:adjustRightInd w:val="0"/>
        <w:jc w:val="center"/>
        <w:rPr>
          <w:sz w:val="22"/>
          <w:szCs w:val="22"/>
          <w:lang w:val="es-CL"/>
        </w:rPr>
      </w:pPr>
    </w:p>
    <w:p w14:paraId="707AC775" w14:textId="77777777" w:rsidR="0044140F" w:rsidRDefault="0044140F" w:rsidP="007E2F00">
      <w:pPr>
        <w:autoSpaceDE w:val="0"/>
        <w:autoSpaceDN w:val="0"/>
        <w:adjustRightInd w:val="0"/>
        <w:jc w:val="center"/>
        <w:rPr>
          <w:sz w:val="22"/>
          <w:szCs w:val="22"/>
          <w:lang w:val="es-CL"/>
        </w:rPr>
      </w:pPr>
    </w:p>
    <w:p w14:paraId="6AF1A1CF" w14:textId="77777777" w:rsidR="0044140F" w:rsidRDefault="0044140F" w:rsidP="007E2F00">
      <w:pPr>
        <w:autoSpaceDE w:val="0"/>
        <w:autoSpaceDN w:val="0"/>
        <w:adjustRightInd w:val="0"/>
        <w:jc w:val="center"/>
        <w:rPr>
          <w:sz w:val="22"/>
          <w:szCs w:val="22"/>
          <w:lang w:val="es-CL"/>
        </w:rPr>
      </w:pPr>
    </w:p>
    <w:p w14:paraId="7CDFA193" w14:textId="77777777" w:rsidR="0044140F" w:rsidRDefault="0044140F" w:rsidP="007E2F00">
      <w:pPr>
        <w:autoSpaceDE w:val="0"/>
        <w:autoSpaceDN w:val="0"/>
        <w:adjustRightInd w:val="0"/>
        <w:jc w:val="center"/>
        <w:rPr>
          <w:sz w:val="22"/>
          <w:szCs w:val="22"/>
          <w:lang w:val="es-CL"/>
        </w:rPr>
      </w:pPr>
    </w:p>
    <w:p w14:paraId="6C23B99B" w14:textId="77777777" w:rsidR="0044140F" w:rsidRDefault="0044140F" w:rsidP="007E2F00">
      <w:pPr>
        <w:autoSpaceDE w:val="0"/>
        <w:autoSpaceDN w:val="0"/>
        <w:adjustRightInd w:val="0"/>
        <w:jc w:val="center"/>
        <w:rPr>
          <w:sz w:val="22"/>
          <w:szCs w:val="22"/>
          <w:lang w:val="es-CL"/>
        </w:rPr>
      </w:pPr>
    </w:p>
    <w:p w14:paraId="23BB069E" w14:textId="77777777" w:rsidR="0044140F" w:rsidRDefault="0044140F" w:rsidP="007E2F00">
      <w:pPr>
        <w:autoSpaceDE w:val="0"/>
        <w:autoSpaceDN w:val="0"/>
        <w:adjustRightInd w:val="0"/>
        <w:jc w:val="center"/>
        <w:rPr>
          <w:sz w:val="22"/>
          <w:szCs w:val="22"/>
          <w:lang w:val="es-CL"/>
        </w:rPr>
      </w:pPr>
    </w:p>
    <w:p w14:paraId="797D9273" w14:textId="77777777" w:rsidR="0044140F" w:rsidRDefault="0044140F" w:rsidP="007E2F00">
      <w:pPr>
        <w:autoSpaceDE w:val="0"/>
        <w:autoSpaceDN w:val="0"/>
        <w:adjustRightInd w:val="0"/>
        <w:jc w:val="center"/>
        <w:rPr>
          <w:sz w:val="22"/>
          <w:szCs w:val="22"/>
          <w:lang w:val="es-CL"/>
        </w:rPr>
      </w:pPr>
    </w:p>
    <w:p w14:paraId="75800050" w14:textId="77777777" w:rsidR="0044140F" w:rsidRDefault="0044140F" w:rsidP="007E2F00">
      <w:pPr>
        <w:autoSpaceDE w:val="0"/>
        <w:autoSpaceDN w:val="0"/>
        <w:adjustRightInd w:val="0"/>
        <w:jc w:val="center"/>
        <w:rPr>
          <w:sz w:val="22"/>
          <w:szCs w:val="22"/>
          <w:lang w:val="es-CL"/>
        </w:rPr>
      </w:pPr>
    </w:p>
    <w:p w14:paraId="15380368" w14:textId="6168332C" w:rsidR="007E2F00" w:rsidRDefault="007E2F00" w:rsidP="007E2F00">
      <w:pPr>
        <w:autoSpaceDE w:val="0"/>
        <w:autoSpaceDN w:val="0"/>
        <w:adjustRightInd w:val="0"/>
        <w:jc w:val="center"/>
        <w:rPr>
          <w:sz w:val="22"/>
          <w:szCs w:val="22"/>
        </w:rPr>
      </w:pPr>
      <w:r>
        <w:rPr>
          <w:sz w:val="22"/>
          <w:szCs w:val="22"/>
          <w:lang w:val="es-CL"/>
        </w:rPr>
        <w:t xml:space="preserve">NOVENA SESIÓN ESPECIAL </w:t>
      </w:r>
      <w:r>
        <w:rPr>
          <w:sz w:val="22"/>
          <w:szCs w:val="22"/>
          <w:lang w:val="es-AR"/>
        </w:rPr>
        <w:t>SOBRE BUENAS PRÁCTICAS DESTINADAS A GARANTIZAR EL ACCESO A LA JUSTICIA DE LOS PUEBLOS INDÍGENAS EN DEFENSA DE SUS DERECHOS HUMANOS QUE REALIZA CADA INSTITUCIÓN DE DEFENSA PÚBLICA OFICIAL DE LA REGIÓN</w:t>
      </w:r>
    </w:p>
    <w:p w14:paraId="20E77577" w14:textId="77777777" w:rsidR="007E2F00" w:rsidRDefault="007E2F00" w:rsidP="007E2F00">
      <w:pPr>
        <w:autoSpaceDE w:val="0"/>
        <w:autoSpaceDN w:val="0"/>
        <w:adjustRightInd w:val="0"/>
        <w:jc w:val="center"/>
        <w:rPr>
          <w:sz w:val="22"/>
          <w:szCs w:val="22"/>
          <w:lang w:eastAsia="en-US"/>
        </w:rPr>
      </w:pPr>
    </w:p>
    <w:p w14:paraId="19D077A7" w14:textId="77777777" w:rsidR="00322941" w:rsidRDefault="00322941" w:rsidP="00322941">
      <w:pPr>
        <w:autoSpaceDE w:val="0"/>
        <w:autoSpaceDN w:val="0"/>
        <w:adjustRightInd w:val="0"/>
        <w:jc w:val="center"/>
        <w:rPr>
          <w:sz w:val="22"/>
          <w:szCs w:val="22"/>
          <w:lang w:val="es-CL"/>
        </w:rPr>
      </w:pPr>
      <w:r>
        <w:rPr>
          <w:sz w:val="22"/>
          <w:szCs w:val="22"/>
          <w:lang w:val="es-CL"/>
        </w:rPr>
        <w:t>AGENDA</w:t>
      </w:r>
    </w:p>
    <w:p w14:paraId="2D421849" w14:textId="77777777" w:rsidR="00322941" w:rsidRDefault="00322941" w:rsidP="00322941">
      <w:pPr>
        <w:jc w:val="center"/>
        <w:rPr>
          <w:sz w:val="22"/>
          <w:szCs w:val="22"/>
          <w:lang w:val="es-CL"/>
        </w:rPr>
      </w:pPr>
      <w:r>
        <w:rPr>
          <w:sz w:val="22"/>
          <w:szCs w:val="22"/>
          <w:lang w:val="es-CL"/>
        </w:rPr>
        <w:t xml:space="preserve"> </w:t>
      </w:r>
    </w:p>
    <w:p w14:paraId="6A92110C" w14:textId="56F5622E" w:rsidR="007E2F00" w:rsidRDefault="009E55EA" w:rsidP="00322941">
      <w:pPr>
        <w:jc w:val="center"/>
        <w:rPr>
          <w:sz w:val="22"/>
          <w:szCs w:val="22"/>
          <w:lang w:val="es-CL"/>
        </w:rPr>
      </w:pPr>
      <w:r>
        <w:rPr>
          <w:sz w:val="22"/>
          <w:szCs w:val="22"/>
          <w:lang w:val="es-CL"/>
        </w:rPr>
        <w:t>30</w:t>
      </w:r>
      <w:r w:rsidR="0028145F">
        <w:rPr>
          <w:sz w:val="22"/>
          <w:szCs w:val="22"/>
          <w:lang w:val="es-CL"/>
        </w:rPr>
        <w:t xml:space="preserve"> </w:t>
      </w:r>
      <w:r>
        <w:rPr>
          <w:sz w:val="22"/>
          <w:szCs w:val="22"/>
          <w:lang w:val="es-CL"/>
        </w:rPr>
        <w:t>de abril de 202</w:t>
      </w:r>
      <w:r w:rsidR="00322941">
        <w:rPr>
          <w:sz w:val="22"/>
          <w:szCs w:val="22"/>
          <w:lang w:val="es-CL"/>
        </w:rPr>
        <w:t>1</w:t>
      </w:r>
    </w:p>
    <w:p w14:paraId="00A4E9C2" w14:textId="77777777" w:rsidR="007E2F00" w:rsidRDefault="007E2F00" w:rsidP="007E2F00">
      <w:pPr>
        <w:tabs>
          <w:tab w:val="left" w:pos="720"/>
          <w:tab w:val="left" w:pos="1440"/>
          <w:tab w:val="left" w:pos="1800"/>
          <w:tab w:val="left" w:pos="2340"/>
          <w:tab w:val="left" w:pos="2880"/>
        </w:tabs>
        <w:jc w:val="center"/>
        <w:rPr>
          <w:sz w:val="22"/>
          <w:szCs w:val="22"/>
          <w:lang w:val="es-AR"/>
        </w:rPr>
      </w:pPr>
    </w:p>
    <w:p w14:paraId="63B28029" w14:textId="77777777" w:rsidR="00DD0D64" w:rsidRDefault="007E2F00" w:rsidP="00322941">
      <w:pPr>
        <w:autoSpaceDE w:val="0"/>
        <w:autoSpaceDN w:val="0"/>
        <w:adjustRightInd w:val="0"/>
        <w:jc w:val="center"/>
        <w:rPr>
          <w:sz w:val="22"/>
          <w:szCs w:val="22"/>
          <w:lang w:val="es-AR"/>
        </w:rPr>
        <w:sectPr w:rsidR="00DD0D64" w:rsidSect="00ED3103">
          <w:headerReference w:type="default" r:id="rId8"/>
          <w:pgSz w:w="12240" w:h="15840" w:code="1"/>
          <w:pgMar w:top="2160" w:right="1570" w:bottom="1296" w:left="1714" w:header="1296" w:footer="1296" w:gutter="0"/>
          <w:cols w:space="720"/>
          <w:titlePg/>
          <w:docGrid w:linePitch="360"/>
        </w:sectPr>
      </w:pPr>
      <w:r>
        <w:rPr>
          <w:sz w:val="22"/>
          <w:szCs w:val="22"/>
          <w:lang w:val="es-AR"/>
        </w:rPr>
        <w:t>(</w:t>
      </w:r>
      <w:r w:rsidR="005D7176">
        <w:rPr>
          <w:sz w:val="22"/>
          <w:szCs w:val="22"/>
          <w:lang w:val="es-AR"/>
        </w:rPr>
        <w:t>Aprobada por</w:t>
      </w:r>
      <w:r w:rsidRPr="007E2F00">
        <w:rPr>
          <w:sz w:val="22"/>
          <w:szCs w:val="22"/>
          <w:lang w:val="es-AR"/>
        </w:rPr>
        <w:t xml:space="preserve"> la CAJP</w:t>
      </w:r>
      <w:r w:rsidR="00322941">
        <w:rPr>
          <w:sz w:val="22"/>
          <w:szCs w:val="22"/>
          <w:lang w:val="es-AR"/>
        </w:rPr>
        <w:t xml:space="preserve"> en su sesión del</w:t>
      </w:r>
      <w:r w:rsidR="005D7176">
        <w:rPr>
          <w:sz w:val="22"/>
          <w:szCs w:val="22"/>
          <w:lang w:val="es-AR"/>
        </w:rPr>
        <w:t xml:space="preserve"> 11 de febrero</w:t>
      </w:r>
      <w:r w:rsidR="001D5564">
        <w:rPr>
          <w:sz w:val="22"/>
          <w:szCs w:val="22"/>
          <w:lang w:val="es-AR"/>
        </w:rPr>
        <w:t xml:space="preserve"> de 2021</w:t>
      </w:r>
      <w:r>
        <w:rPr>
          <w:sz w:val="22"/>
          <w:szCs w:val="22"/>
          <w:lang w:val="es-AR"/>
        </w:rPr>
        <w:t>)</w:t>
      </w:r>
    </w:p>
    <w:p w14:paraId="1BBFE764" w14:textId="34380206" w:rsidR="00322941" w:rsidRPr="00C86643" w:rsidRDefault="00322941" w:rsidP="00322941">
      <w:pPr>
        <w:autoSpaceDE w:val="0"/>
        <w:autoSpaceDN w:val="0"/>
        <w:adjustRightInd w:val="0"/>
        <w:jc w:val="center"/>
        <w:rPr>
          <w:sz w:val="22"/>
          <w:szCs w:val="22"/>
        </w:rPr>
      </w:pPr>
      <w:r w:rsidRPr="00C86643">
        <w:rPr>
          <w:sz w:val="22"/>
          <w:szCs w:val="22"/>
          <w:lang w:val="es-CL"/>
        </w:rPr>
        <w:lastRenderedPageBreak/>
        <w:t xml:space="preserve">NOVENA SESIÓN ESPECIAL </w:t>
      </w:r>
      <w:r w:rsidRPr="00C86643">
        <w:rPr>
          <w:sz w:val="22"/>
          <w:szCs w:val="22"/>
          <w:lang w:val="es-AR"/>
        </w:rPr>
        <w:t>SOBRE BUENAS PRÁCTICAS DESTINADAS A GARANTIZAR EL ACCESO A LA JUSTICIA DE LOS PUEBLOS INDÍGENAS EN DEFENSA DE SUS DERECHOS HUMANOS QUE REALIZA CADA INSTITUCIÓN DE DEFENSA PÚBLICA OFICIAL DE LA REGIÓN</w:t>
      </w:r>
    </w:p>
    <w:p w14:paraId="2C1CA093" w14:textId="77777777" w:rsidR="00322941" w:rsidRPr="00C86643" w:rsidRDefault="00322941" w:rsidP="00322941">
      <w:pPr>
        <w:jc w:val="center"/>
        <w:rPr>
          <w:b/>
          <w:sz w:val="22"/>
          <w:szCs w:val="22"/>
        </w:rPr>
      </w:pPr>
    </w:p>
    <w:p w14:paraId="6148F88C" w14:textId="77777777" w:rsidR="00322941" w:rsidRPr="00C86643" w:rsidRDefault="00322941" w:rsidP="00322941">
      <w:pPr>
        <w:jc w:val="center"/>
        <w:rPr>
          <w:sz w:val="22"/>
          <w:szCs w:val="22"/>
        </w:rPr>
      </w:pPr>
      <w:r w:rsidRPr="00C86643">
        <w:rPr>
          <w:sz w:val="22"/>
          <w:szCs w:val="22"/>
        </w:rPr>
        <w:t>AGENDA</w:t>
      </w:r>
    </w:p>
    <w:p w14:paraId="47740832" w14:textId="77777777" w:rsidR="00322941" w:rsidRPr="00C86643" w:rsidRDefault="00322941" w:rsidP="00322941">
      <w:pPr>
        <w:rPr>
          <w:sz w:val="22"/>
          <w:szCs w:val="22"/>
        </w:rPr>
      </w:pPr>
    </w:p>
    <w:p w14:paraId="496B513D" w14:textId="77777777" w:rsidR="00322941" w:rsidRPr="00C86643" w:rsidRDefault="00322941" w:rsidP="00322941">
      <w:pPr>
        <w:ind w:left="2880"/>
        <w:jc w:val="both"/>
        <w:rPr>
          <w:sz w:val="22"/>
          <w:szCs w:val="22"/>
          <w:lang w:eastAsia="en-US"/>
        </w:rPr>
      </w:pPr>
      <w:r w:rsidRPr="00C86643">
        <w:rPr>
          <w:sz w:val="22"/>
          <w:szCs w:val="22"/>
          <w:u w:val="single"/>
          <w:lang w:eastAsia="en-US"/>
        </w:rPr>
        <w:t>Fecha</w:t>
      </w:r>
      <w:r w:rsidRPr="00C86643">
        <w:rPr>
          <w:sz w:val="22"/>
          <w:szCs w:val="22"/>
          <w:lang w:eastAsia="en-US"/>
        </w:rPr>
        <w:t>:</w:t>
      </w:r>
      <w:r w:rsidRPr="00C86643">
        <w:rPr>
          <w:sz w:val="22"/>
          <w:szCs w:val="22"/>
          <w:lang w:eastAsia="en-US"/>
        </w:rPr>
        <w:tab/>
        <w:t>30 de abril de 2021</w:t>
      </w:r>
    </w:p>
    <w:p w14:paraId="35185A4B" w14:textId="77777777" w:rsidR="00322941" w:rsidRPr="00C86643" w:rsidRDefault="00322941" w:rsidP="00322941">
      <w:pPr>
        <w:ind w:left="2160" w:firstLine="720"/>
        <w:rPr>
          <w:sz w:val="22"/>
          <w:szCs w:val="22"/>
          <w:lang w:val="es-CL"/>
        </w:rPr>
      </w:pPr>
      <w:r w:rsidRPr="00C86643">
        <w:rPr>
          <w:sz w:val="22"/>
          <w:szCs w:val="22"/>
          <w:u w:val="single"/>
          <w:lang w:eastAsia="en-US"/>
        </w:rPr>
        <w:t>Hora</w:t>
      </w:r>
      <w:r w:rsidRPr="00C86643">
        <w:rPr>
          <w:sz w:val="22"/>
          <w:szCs w:val="22"/>
          <w:lang w:eastAsia="en-US"/>
        </w:rPr>
        <w:t>:</w:t>
      </w:r>
      <w:r w:rsidRPr="00C86643">
        <w:rPr>
          <w:sz w:val="22"/>
          <w:szCs w:val="22"/>
          <w:lang w:eastAsia="en-US"/>
        </w:rPr>
        <w:tab/>
      </w:r>
      <w:r w:rsidRPr="00C86643">
        <w:rPr>
          <w:sz w:val="22"/>
          <w:szCs w:val="22"/>
          <w:lang w:val="es-CL"/>
        </w:rPr>
        <w:t>10:00 a.m. – 1:00 p.m.</w:t>
      </w:r>
    </w:p>
    <w:p w14:paraId="024CAD84" w14:textId="77777777" w:rsidR="00322941" w:rsidRPr="00C86643" w:rsidRDefault="00322941" w:rsidP="00322941">
      <w:pPr>
        <w:ind w:left="2880"/>
        <w:rPr>
          <w:sz w:val="22"/>
          <w:szCs w:val="22"/>
          <w:lang w:eastAsia="en-US"/>
        </w:rPr>
      </w:pPr>
      <w:r w:rsidRPr="00C86643">
        <w:rPr>
          <w:sz w:val="22"/>
          <w:szCs w:val="22"/>
          <w:u w:val="single"/>
          <w:lang w:eastAsia="en-US"/>
        </w:rPr>
        <w:t>Lugar</w:t>
      </w:r>
      <w:r w:rsidRPr="00C86643">
        <w:rPr>
          <w:sz w:val="22"/>
          <w:szCs w:val="22"/>
          <w:lang w:eastAsia="en-US"/>
        </w:rPr>
        <w:t>:</w:t>
      </w:r>
      <w:r w:rsidRPr="00C86643">
        <w:rPr>
          <w:sz w:val="22"/>
          <w:szCs w:val="22"/>
          <w:lang w:eastAsia="en-US"/>
        </w:rPr>
        <w:tab/>
        <w:t>Virtual</w:t>
      </w:r>
    </w:p>
    <w:p w14:paraId="2439EED1" w14:textId="77777777" w:rsidR="00322941" w:rsidRDefault="00322941" w:rsidP="007E2F00">
      <w:pPr>
        <w:autoSpaceDE w:val="0"/>
        <w:autoSpaceDN w:val="0"/>
        <w:adjustRightInd w:val="0"/>
        <w:ind w:firstLine="720"/>
        <w:jc w:val="both"/>
        <w:rPr>
          <w:sz w:val="22"/>
          <w:szCs w:val="22"/>
          <w:lang w:val="es-CL"/>
        </w:rPr>
      </w:pPr>
    </w:p>
    <w:p w14:paraId="288BF1E4" w14:textId="77777777" w:rsidR="00322941" w:rsidRDefault="00322941" w:rsidP="007E2F00">
      <w:pPr>
        <w:autoSpaceDE w:val="0"/>
        <w:autoSpaceDN w:val="0"/>
        <w:adjustRightInd w:val="0"/>
        <w:ind w:firstLine="720"/>
        <w:jc w:val="both"/>
        <w:rPr>
          <w:sz w:val="22"/>
          <w:szCs w:val="22"/>
          <w:lang w:val="es-CL"/>
        </w:rPr>
      </w:pPr>
    </w:p>
    <w:p w14:paraId="0C93469E" w14:textId="6D45C463" w:rsidR="007E2F00" w:rsidRDefault="007E2F00" w:rsidP="007E2F00">
      <w:pPr>
        <w:autoSpaceDE w:val="0"/>
        <w:autoSpaceDN w:val="0"/>
        <w:adjustRightInd w:val="0"/>
        <w:ind w:firstLine="720"/>
        <w:jc w:val="both"/>
        <w:rPr>
          <w:sz w:val="22"/>
          <w:szCs w:val="22"/>
          <w:lang w:val="es-419"/>
        </w:rPr>
      </w:pPr>
      <w:r>
        <w:rPr>
          <w:sz w:val="22"/>
          <w:szCs w:val="22"/>
          <w:lang w:val="es-CL"/>
        </w:rPr>
        <w:t xml:space="preserve">La </w:t>
      </w:r>
      <w:r>
        <w:rPr>
          <w:sz w:val="22"/>
          <w:szCs w:val="22"/>
          <w:lang w:val="es-ES_tradnl"/>
        </w:rPr>
        <w:t xml:space="preserve">resolución </w:t>
      </w:r>
      <w:r>
        <w:rPr>
          <w:sz w:val="22"/>
          <w:szCs w:val="22"/>
        </w:rPr>
        <w:t xml:space="preserve">AG/RES. 2961 (L-O/20) “Promoción y protección de derechos humanos” aprobada por la Asamblea General en octubre de 2020, </w:t>
      </w:r>
      <w:r>
        <w:rPr>
          <w:sz w:val="22"/>
          <w:szCs w:val="22"/>
          <w:lang w:val="es-CL"/>
        </w:rPr>
        <w:t>afirmó la importancia fundamental que tiene el servicio de defensa jurídica gratuita prestada por las defensorías públicas oficiales de las Américas para la promoción y protección del derecho de acceso a la justicia de todas las personas, en particular de aquellas que se encuentran en una situación de vulnerabilidad, lo cual constituye un aspecto esencial para la consolidación de la democracia, y destacó el trabajo de las/os defensoras/es públicas/os oficiales de las Américas que llevan adelante en el contexto de la pandemia del COVID-19, en especial con relación a las personas privadas de libertad a fin de que se les garanticen las condiciones de higiene y el efectivo acceso a la salud de este grupo vulnerable, entre otras cuestiones.</w:t>
      </w:r>
    </w:p>
    <w:p w14:paraId="0908E369" w14:textId="77777777" w:rsidR="007E2F00" w:rsidRDefault="007E2F00" w:rsidP="007E2F00">
      <w:pPr>
        <w:autoSpaceDE w:val="0"/>
        <w:autoSpaceDN w:val="0"/>
        <w:adjustRightInd w:val="0"/>
        <w:jc w:val="both"/>
        <w:rPr>
          <w:sz w:val="22"/>
          <w:szCs w:val="22"/>
        </w:rPr>
      </w:pPr>
    </w:p>
    <w:p w14:paraId="3508D59D" w14:textId="77777777" w:rsidR="007E2F00" w:rsidRDefault="007E2F00" w:rsidP="007E2F00">
      <w:pPr>
        <w:autoSpaceDE w:val="0"/>
        <w:autoSpaceDN w:val="0"/>
        <w:adjustRightInd w:val="0"/>
        <w:ind w:firstLine="720"/>
        <w:jc w:val="both"/>
        <w:rPr>
          <w:sz w:val="22"/>
          <w:szCs w:val="22"/>
        </w:rPr>
      </w:pPr>
      <w:r>
        <w:rPr>
          <w:sz w:val="22"/>
          <w:szCs w:val="22"/>
        </w:rPr>
        <w:t>La Asamblea General además alentó a los Estados Miembros, de conformidad con su legislación y políticas nacionales y en particular a las instituciones de defensa pública oficial, para que garanticen el acceso a la justicia con un abordaje intercultural para el goce efectivo de todos los derechos humanos de los pueblos indígenas, en especial sus derechos económicos, sociales y culturales.</w:t>
      </w:r>
    </w:p>
    <w:p w14:paraId="2EF7B0CB" w14:textId="77777777" w:rsidR="007E2F00" w:rsidRDefault="007E2F00" w:rsidP="007E2F00">
      <w:pPr>
        <w:autoSpaceDE w:val="0"/>
        <w:autoSpaceDN w:val="0"/>
        <w:adjustRightInd w:val="0"/>
        <w:ind w:firstLine="720"/>
        <w:jc w:val="both"/>
        <w:rPr>
          <w:sz w:val="22"/>
          <w:szCs w:val="22"/>
        </w:rPr>
      </w:pPr>
    </w:p>
    <w:p w14:paraId="75C11E82" w14:textId="77777777" w:rsidR="00DD0D64" w:rsidRDefault="0044140F" w:rsidP="00DD0D64">
      <w:pPr>
        <w:autoSpaceDE w:val="0"/>
        <w:autoSpaceDN w:val="0"/>
        <w:adjustRightInd w:val="0"/>
        <w:ind w:firstLine="720"/>
        <w:jc w:val="both"/>
        <w:rPr>
          <w:sz w:val="22"/>
          <w:szCs w:val="22"/>
          <w:lang w:val="es-PE"/>
        </w:rPr>
      </w:pPr>
      <w:r>
        <w:rPr>
          <w:sz w:val="22"/>
          <w:szCs w:val="22"/>
        </w:rPr>
        <w:t>Asimismo</w:t>
      </w:r>
      <w:r w:rsidR="007E2F00">
        <w:rPr>
          <w:sz w:val="22"/>
          <w:szCs w:val="22"/>
          <w:lang w:val="es-PE"/>
        </w:rPr>
        <w:t>, solicitó al Consejo Permanente que instruya a la CAJP que incluya en su plan de trabajo, con el fin de promover el intercambio de experiencias y buenas prácticas, y antes del 51 período ordinario de sesiones de la Asamblea General, el tema “La defensa pública oficial autónoma como salvaguarda de los derechos humanos de todas las personas sin ningún tipo de discriminación, en especial de los pueblos indígenas”. En ese sentido, instruyó la realización de una novena sesión extraordinaria de la CAJP sobre las buenas prácticas destinadas a garantizar el acceso a la justicia de los pueblos indígenas en defensa de sus derechos humanos que realiza cada institución de defensa pública oficial de la región en el primer trimestre de 2021, con la presencia de los Estados miembros y sus respectivas instituciones públicas oficiales de asistencia jurídica, de integrantes de la Asociación Interamericana de Defensorías Públicas (AIDEF), expertos del sector académico y de la sociedad civil, así como de las organizaciones internacionales. La resolución estableció que la asistencia de los miembros de AIDEF estará garantizada por esa organización.</w:t>
      </w:r>
    </w:p>
    <w:p w14:paraId="3015602D" w14:textId="77777777" w:rsidR="00DD0D64" w:rsidRDefault="00DD0D64">
      <w:pPr>
        <w:rPr>
          <w:sz w:val="22"/>
          <w:szCs w:val="22"/>
          <w:lang w:val="es-PE"/>
        </w:rPr>
      </w:pPr>
      <w:r>
        <w:rPr>
          <w:sz w:val="22"/>
          <w:szCs w:val="22"/>
          <w:lang w:val="es-PE"/>
        </w:rPr>
        <w:br w:type="page"/>
      </w:r>
    </w:p>
    <w:p w14:paraId="6490A478" w14:textId="0CBC54FF" w:rsidR="007E2F00" w:rsidRDefault="009C6196" w:rsidP="00DD0D64">
      <w:pPr>
        <w:autoSpaceDE w:val="0"/>
        <w:autoSpaceDN w:val="0"/>
        <w:adjustRightInd w:val="0"/>
        <w:ind w:firstLine="720"/>
        <w:jc w:val="both"/>
        <w:rPr>
          <w:sz w:val="22"/>
          <w:szCs w:val="22"/>
          <w:lang w:eastAsia="en-US"/>
        </w:rPr>
      </w:pPr>
      <w:r>
        <w:rPr>
          <w:sz w:val="22"/>
          <w:szCs w:val="22"/>
        </w:rPr>
        <w:lastRenderedPageBreak/>
        <w:t>AGENDA</w:t>
      </w:r>
    </w:p>
    <w:p w14:paraId="1C028E00" w14:textId="77777777" w:rsidR="007E2F00" w:rsidRDefault="007E2F00" w:rsidP="007E2F00">
      <w:pPr>
        <w:suppressAutoHyphens/>
        <w:rPr>
          <w:sz w:val="22"/>
          <w:szCs w:val="22"/>
        </w:rPr>
      </w:pPr>
    </w:p>
    <w:p w14:paraId="290E59E3" w14:textId="77777777" w:rsidR="007E2F00" w:rsidRDefault="007E2F00" w:rsidP="007E2F00">
      <w:pPr>
        <w:numPr>
          <w:ilvl w:val="0"/>
          <w:numId w:val="15"/>
        </w:numPr>
        <w:suppressAutoHyphens/>
        <w:rPr>
          <w:sz w:val="22"/>
          <w:szCs w:val="22"/>
        </w:rPr>
      </w:pPr>
      <w:r>
        <w:rPr>
          <w:sz w:val="22"/>
          <w:szCs w:val="22"/>
        </w:rPr>
        <w:t>Palabras de apertura:</w:t>
      </w:r>
    </w:p>
    <w:p w14:paraId="269B22AC" w14:textId="77777777" w:rsidR="007E2F00" w:rsidRDefault="007E2F00" w:rsidP="007E2F00">
      <w:pPr>
        <w:suppressAutoHyphens/>
        <w:ind w:left="720"/>
        <w:jc w:val="both"/>
        <w:rPr>
          <w:sz w:val="22"/>
          <w:szCs w:val="22"/>
        </w:rPr>
      </w:pPr>
    </w:p>
    <w:p w14:paraId="288DE5B8" w14:textId="7C09DB00" w:rsidR="007E2F00" w:rsidRDefault="007E2F00" w:rsidP="0044140F">
      <w:pPr>
        <w:numPr>
          <w:ilvl w:val="0"/>
          <w:numId w:val="16"/>
        </w:numPr>
        <w:contextualSpacing/>
        <w:jc w:val="both"/>
        <w:rPr>
          <w:sz w:val="22"/>
          <w:szCs w:val="22"/>
        </w:rPr>
      </w:pPr>
      <w:r w:rsidRPr="0044140F">
        <w:rPr>
          <w:sz w:val="22"/>
          <w:szCs w:val="22"/>
          <w:lang w:val="es-CL"/>
        </w:rPr>
        <w:t>Palabras</w:t>
      </w:r>
      <w:r>
        <w:rPr>
          <w:sz w:val="22"/>
          <w:szCs w:val="22"/>
        </w:rPr>
        <w:t xml:space="preserve"> del </w:t>
      </w:r>
      <w:proofErr w:type="gramStart"/>
      <w:r>
        <w:rPr>
          <w:sz w:val="22"/>
          <w:szCs w:val="22"/>
        </w:rPr>
        <w:t>Presidente</w:t>
      </w:r>
      <w:proofErr w:type="gramEnd"/>
      <w:r>
        <w:rPr>
          <w:sz w:val="22"/>
          <w:szCs w:val="22"/>
        </w:rPr>
        <w:t xml:space="preserve"> de la Comisión de Asuntos Jurídicos y Políticos</w:t>
      </w:r>
      <w:r w:rsidR="00322941" w:rsidRPr="00322941">
        <w:rPr>
          <w:sz w:val="22"/>
          <w:szCs w:val="22"/>
        </w:rPr>
        <w:t>, Embajador Josué Fiallo, Representante Permanente de la República Dominicana</w:t>
      </w:r>
    </w:p>
    <w:p w14:paraId="1B72F9B0" w14:textId="071D84D2" w:rsidR="00322941" w:rsidRPr="00322941" w:rsidRDefault="007E2F00" w:rsidP="00322941">
      <w:pPr>
        <w:pStyle w:val="ListParagraph"/>
        <w:numPr>
          <w:ilvl w:val="0"/>
          <w:numId w:val="16"/>
        </w:numPr>
        <w:rPr>
          <w:sz w:val="22"/>
          <w:szCs w:val="22"/>
        </w:rPr>
      </w:pPr>
      <w:r w:rsidRPr="00322941">
        <w:rPr>
          <w:sz w:val="22"/>
          <w:szCs w:val="22"/>
        </w:rPr>
        <w:t xml:space="preserve">Palabras del </w:t>
      </w:r>
      <w:proofErr w:type="gramStart"/>
      <w:r w:rsidRPr="00322941">
        <w:rPr>
          <w:sz w:val="22"/>
          <w:szCs w:val="22"/>
        </w:rPr>
        <w:t>Director</w:t>
      </w:r>
      <w:proofErr w:type="gramEnd"/>
      <w:r w:rsidRPr="00322941">
        <w:rPr>
          <w:sz w:val="22"/>
          <w:szCs w:val="22"/>
        </w:rPr>
        <w:t xml:space="preserve"> del Departamento de Derecho Internacional</w:t>
      </w:r>
      <w:r w:rsidR="00322941" w:rsidRPr="00322941">
        <w:t xml:space="preserve"> </w:t>
      </w:r>
      <w:r w:rsidR="00322941" w:rsidRPr="00322941">
        <w:rPr>
          <w:sz w:val="22"/>
          <w:szCs w:val="22"/>
        </w:rPr>
        <w:t>de la Secretaría General de la OEA, Dante Negro</w:t>
      </w:r>
      <w:r w:rsidR="00077446">
        <w:rPr>
          <w:sz w:val="22"/>
          <w:szCs w:val="22"/>
        </w:rPr>
        <w:t xml:space="preserve">: </w:t>
      </w:r>
      <w:hyperlink r:id="rId9" w:history="1">
        <w:r w:rsidR="00077446" w:rsidRPr="00DD0D64">
          <w:rPr>
            <w:rStyle w:val="Hyperlink"/>
            <w:sz w:val="22"/>
            <w:szCs w:val="22"/>
          </w:rPr>
          <w:t>Enla</w:t>
        </w:r>
        <w:r w:rsidR="00077446" w:rsidRPr="00DD0D64">
          <w:rPr>
            <w:rStyle w:val="Hyperlink"/>
            <w:sz w:val="22"/>
            <w:szCs w:val="22"/>
          </w:rPr>
          <w:t>c</w:t>
        </w:r>
        <w:r w:rsidR="00077446" w:rsidRPr="00DD0D64">
          <w:rPr>
            <w:rStyle w:val="Hyperlink"/>
            <w:sz w:val="22"/>
            <w:szCs w:val="22"/>
          </w:rPr>
          <w:t>e</w:t>
        </w:r>
      </w:hyperlink>
    </w:p>
    <w:p w14:paraId="66B29763" w14:textId="21239952" w:rsidR="007E2F00" w:rsidRDefault="007E2F00" w:rsidP="0044140F">
      <w:pPr>
        <w:suppressAutoHyphens/>
        <w:ind w:left="1080"/>
        <w:rPr>
          <w:sz w:val="22"/>
          <w:szCs w:val="22"/>
        </w:rPr>
      </w:pPr>
    </w:p>
    <w:p w14:paraId="6C669F1B" w14:textId="77777777" w:rsidR="007E2F00" w:rsidRDefault="007E2F00" w:rsidP="007E2F00">
      <w:pPr>
        <w:suppressAutoHyphens/>
        <w:ind w:left="720"/>
        <w:rPr>
          <w:sz w:val="22"/>
          <w:szCs w:val="22"/>
        </w:rPr>
      </w:pPr>
    </w:p>
    <w:p w14:paraId="37F2CF76" w14:textId="77777777" w:rsidR="007E2F00" w:rsidRDefault="007E2F00" w:rsidP="007E2F00">
      <w:pPr>
        <w:numPr>
          <w:ilvl w:val="0"/>
          <w:numId w:val="15"/>
        </w:numPr>
        <w:suppressAutoHyphens/>
        <w:jc w:val="both"/>
        <w:rPr>
          <w:sz w:val="22"/>
          <w:szCs w:val="22"/>
        </w:rPr>
      </w:pPr>
      <w:r>
        <w:rPr>
          <w:sz w:val="22"/>
          <w:szCs w:val="22"/>
        </w:rPr>
        <w:t>Buenas prácticas destinadas a garantizar el acceso a la justicia de los pueblos indígenas en defensa de sus derechos humanos que realiza cada institución de defensa pública oficial de la región</w:t>
      </w:r>
    </w:p>
    <w:p w14:paraId="790DB70F" w14:textId="77777777" w:rsidR="007E2F00" w:rsidRDefault="007E2F00" w:rsidP="007E2F00">
      <w:pPr>
        <w:suppressAutoHyphens/>
        <w:jc w:val="both"/>
        <w:rPr>
          <w:sz w:val="22"/>
          <w:szCs w:val="22"/>
        </w:rPr>
      </w:pPr>
    </w:p>
    <w:p w14:paraId="3BED6424" w14:textId="2FB2982C" w:rsidR="00322941" w:rsidRPr="00322941" w:rsidRDefault="00322941" w:rsidP="00322941">
      <w:pPr>
        <w:numPr>
          <w:ilvl w:val="0"/>
          <w:numId w:val="16"/>
        </w:numPr>
        <w:suppressAutoHyphens/>
        <w:jc w:val="both"/>
        <w:rPr>
          <w:sz w:val="22"/>
          <w:szCs w:val="22"/>
        </w:rPr>
      </w:pPr>
      <w:r w:rsidRPr="00322941">
        <w:rPr>
          <w:sz w:val="22"/>
          <w:szCs w:val="22"/>
        </w:rPr>
        <w:t>Intervención de la Dra. Stella Maris Martínez, Defensora General de la Nación de Argentina y Coordinadora General de la Asociación Interamericana de Defensorías Públicas (AIDEF)</w:t>
      </w:r>
      <w:r w:rsidR="00077446">
        <w:rPr>
          <w:sz w:val="22"/>
          <w:szCs w:val="22"/>
        </w:rPr>
        <w:t xml:space="preserve">: </w:t>
      </w:r>
      <w:hyperlink r:id="rId10" w:history="1">
        <w:r w:rsidR="00077446" w:rsidRPr="00DD0D64">
          <w:rPr>
            <w:rStyle w:val="Hyperlink"/>
            <w:sz w:val="22"/>
            <w:szCs w:val="22"/>
          </w:rPr>
          <w:t>Enla</w:t>
        </w:r>
        <w:r w:rsidR="00077446" w:rsidRPr="00DD0D64">
          <w:rPr>
            <w:rStyle w:val="Hyperlink"/>
            <w:sz w:val="22"/>
            <w:szCs w:val="22"/>
          </w:rPr>
          <w:t>c</w:t>
        </w:r>
        <w:r w:rsidR="00077446" w:rsidRPr="00DD0D64">
          <w:rPr>
            <w:rStyle w:val="Hyperlink"/>
            <w:sz w:val="22"/>
            <w:szCs w:val="22"/>
          </w:rPr>
          <w:t>e</w:t>
        </w:r>
      </w:hyperlink>
    </w:p>
    <w:p w14:paraId="1D277ED7" w14:textId="097309F0" w:rsidR="00322941" w:rsidRPr="00322941" w:rsidRDefault="00322941" w:rsidP="00322941">
      <w:pPr>
        <w:numPr>
          <w:ilvl w:val="0"/>
          <w:numId w:val="16"/>
        </w:numPr>
        <w:suppressAutoHyphens/>
        <w:jc w:val="both"/>
        <w:rPr>
          <w:sz w:val="22"/>
          <w:szCs w:val="22"/>
        </w:rPr>
      </w:pPr>
      <w:r w:rsidRPr="00322941">
        <w:rPr>
          <w:sz w:val="22"/>
          <w:szCs w:val="22"/>
        </w:rPr>
        <w:t>Intervención del Dr. Marco Montero, Defensor Nacional (Sustituto) de Chile y Secretario General de la AIDEF</w:t>
      </w:r>
      <w:r w:rsidR="00077446">
        <w:rPr>
          <w:sz w:val="22"/>
          <w:szCs w:val="22"/>
        </w:rPr>
        <w:t xml:space="preserve">: </w:t>
      </w:r>
      <w:hyperlink r:id="rId11" w:history="1">
        <w:r w:rsidR="00077446" w:rsidRPr="00DD0D64">
          <w:rPr>
            <w:rStyle w:val="Hyperlink"/>
            <w:sz w:val="22"/>
            <w:szCs w:val="22"/>
          </w:rPr>
          <w:t>Enl</w:t>
        </w:r>
        <w:r w:rsidR="00077446" w:rsidRPr="00DD0D64">
          <w:rPr>
            <w:rStyle w:val="Hyperlink"/>
            <w:sz w:val="22"/>
            <w:szCs w:val="22"/>
          </w:rPr>
          <w:t>a</w:t>
        </w:r>
        <w:r w:rsidR="00077446" w:rsidRPr="00DD0D64">
          <w:rPr>
            <w:rStyle w:val="Hyperlink"/>
            <w:sz w:val="22"/>
            <w:szCs w:val="22"/>
          </w:rPr>
          <w:t>ce</w:t>
        </w:r>
      </w:hyperlink>
    </w:p>
    <w:p w14:paraId="0F39B5B5" w14:textId="13F8EFAC" w:rsidR="00322941" w:rsidRPr="00322941" w:rsidRDefault="00322941" w:rsidP="00322941">
      <w:pPr>
        <w:numPr>
          <w:ilvl w:val="0"/>
          <w:numId w:val="16"/>
        </w:numPr>
        <w:suppressAutoHyphens/>
        <w:jc w:val="both"/>
        <w:rPr>
          <w:sz w:val="22"/>
          <w:szCs w:val="22"/>
        </w:rPr>
      </w:pPr>
      <w:r w:rsidRPr="00322941">
        <w:rPr>
          <w:sz w:val="22"/>
          <w:szCs w:val="22"/>
        </w:rPr>
        <w:t>Intervención Comisionada Antonia Urrejola, Relatora sobre los Derechos de los Pueblos Indígenas de la Comisión Interamericana de Derechos Humanos</w:t>
      </w:r>
    </w:p>
    <w:p w14:paraId="652EE9C4" w14:textId="71F245CA" w:rsidR="007E2F00" w:rsidRDefault="001D5564" w:rsidP="007E2F00">
      <w:pPr>
        <w:numPr>
          <w:ilvl w:val="0"/>
          <w:numId w:val="16"/>
        </w:numPr>
        <w:suppressAutoHyphens/>
        <w:jc w:val="both"/>
        <w:rPr>
          <w:sz w:val="22"/>
          <w:szCs w:val="22"/>
        </w:rPr>
      </w:pPr>
      <w:r>
        <w:rPr>
          <w:sz w:val="22"/>
          <w:szCs w:val="22"/>
        </w:rPr>
        <w:t xml:space="preserve">Intervenciones </w:t>
      </w:r>
      <w:r w:rsidR="007E2F00">
        <w:rPr>
          <w:sz w:val="22"/>
          <w:szCs w:val="22"/>
        </w:rPr>
        <w:t>de los Estados miembros.</w:t>
      </w:r>
    </w:p>
    <w:p w14:paraId="53CAE190" w14:textId="77777777" w:rsidR="007E2F00" w:rsidRDefault="007E2F00" w:rsidP="007E2F00">
      <w:pPr>
        <w:suppressAutoHyphens/>
        <w:jc w:val="both"/>
        <w:rPr>
          <w:sz w:val="22"/>
          <w:szCs w:val="22"/>
        </w:rPr>
      </w:pPr>
    </w:p>
    <w:p w14:paraId="293C3797" w14:textId="77777777" w:rsidR="007E2F00" w:rsidRDefault="007E2F00" w:rsidP="007E2F00">
      <w:pPr>
        <w:numPr>
          <w:ilvl w:val="0"/>
          <w:numId w:val="15"/>
        </w:numPr>
        <w:suppressAutoHyphens/>
        <w:jc w:val="both"/>
        <w:rPr>
          <w:sz w:val="22"/>
          <w:szCs w:val="22"/>
        </w:rPr>
      </w:pPr>
      <w:r>
        <w:rPr>
          <w:sz w:val="22"/>
          <w:szCs w:val="22"/>
        </w:rPr>
        <w:t>Palabras de clausura:</w:t>
      </w:r>
    </w:p>
    <w:p w14:paraId="062D7360" w14:textId="77777777" w:rsidR="007E2F00" w:rsidRDefault="007E2F00" w:rsidP="007E2F00">
      <w:pPr>
        <w:suppressAutoHyphens/>
        <w:ind w:left="360"/>
        <w:jc w:val="both"/>
        <w:rPr>
          <w:sz w:val="22"/>
          <w:szCs w:val="22"/>
        </w:rPr>
      </w:pPr>
    </w:p>
    <w:p w14:paraId="516723AC" w14:textId="77777777" w:rsidR="00322941" w:rsidRPr="00322941" w:rsidRDefault="007E2F00" w:rsidP="00322941">
      <w:pPr>
        <w:pStyle w:val="ListParagraph"/>
        <w:numPr>
          <w:ilvl w:val="0"/>
          <w:numId w:val="16"/>
        </w:numPr>
        <w:rPr>
          <w:sz w:val="22"/>
          <w:szCs w:val="22"/>
        </w:rPr>
      </w:pPr>
      <w:r w:rsidRPr="00322941">
        <w:rPr>
          <w:sz w:val="22"/>
          <w:szCs w:val="22"/>
        </w:rPr>
        <w:t xml:space="preserve">Palabras del </w:t>
      </w:r>
      <w:proofErr w:type="gramStart"/>
      <w:r w:rsidRPr="00322941">
        <w:rPr>
          <w:sz w:val="22"/>
          <w:szCs w:val="22"/>
        </w:rPr>
        <w:t>Presidente</w:t>
      </w:r>
      <w:proofErr w:type="gramEnd"/>
      <w:r w:rsidRPr="00322941">
        <w:rPr>
          <w:sz w:val="22"/>
          <w:szCs w:val="22"/>
        </w:rPr>
        <w:t xml:space="preserve"> de la Comisión de Asuntos Jurídicos y Políticos</w:t>
      </w:r>
      <w:r w:rsidR="00322941" w:rsidRPr="00322941">
        <w:rPr>
          <w:sz w:val="22"/>
          <w:szCs w:val="22"/>
        </w:rPr>
        <w:t>, Embajador Josué Fiallo, Representante Permanente de la República Dominicana</w:t>
      </w:r>
    </w:p>
    <w:p w14:paraId="18AFE359" w14:textId="766C414D" w:rsidR="007E2F00" w:rsidRDefault="007E2F00" w:rsidP="0044140F">
      <w:pPr>
        <w:suppressAutoHyphens/>
        <w:ind w:left="1080"/>
        <w:jc w:val="both"/>
        <w:rPr>
          <w:sz w:val="22"/>
          <w:szCs w:val="22"/>
        </w:rPr>
      </w:pPr>
    </w:p>
    <w:p w14:paraId="2EB18D06" w14:textId="77777777" w:rsidR="007E2F00" w:rsidRDefault="007E2F00" w:rsidP="007E2F00">
      <w:pPr>
        <w:suppressAutoHyphens/>
        <w:jc w:val="center"/>
        <w:rPr>
          <w:sz w:val="22"/>
          <w:szCs w:val="22"/>
        </w:rPr>
      </w:pPr>
    </w:p>
    <w:p w14:paraId="6C7BE1CA" w14:textId="642D7857" w:rsidR="00FE3F7D" w:rsidRPr="00833CCD" w:rsidRDefault="00564317" w:rsidP="007E2F00">
      <w:pPr>
        <w:pStyle w:val="TitleUppercase"/>
        <w:tabs>
          <w:tab w:val="clear" w:pos="720"/>
          <w:tab w:val="clear" w:pos="1440"/>
          <w:tab w:val="clear" w:pos="2160"/>
          <w:tab w:val="clear" w:pos="2880"/>
          <w:tab w:val="clear" w:pos="7200"/>
          <w:tab w:val="clear" w:pos="7920"/>
          <w:tab w:val="clear" w:pos="8640"/>
        </w:tabs>
        <w:suppressAutoHyphens/>
        <w:rPr>
          <w:szCs w:val="22"/>
        </w:rPr>
      </w:pPr>
      <w:r>
        <w:rPr>
          <w:noProof/>
          <w:szCs w:val="22"/>
          <w:lang w:val="en-US"/>
        </w:rPr>
        <mc:AlternateContent>
          <mc:Choice Requires="wps">
            <w:drawing>
              <wp:anchor distT="0" distB="0" distL="114300" distR="114300" simplePos="0" relativeHeight="251659264" behindDoc="0" locked="1" layoutInCell="1" allowOverlap="1" wp14:anchorId="5663A9A7" wp14:editId="5654F6D5">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AD575C2" w14:textId="32122EF8" w:rsidR="00564317" w:rsidRPr="00564317" w:rsidRDefault="0056431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63A9A7"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" filled="f" stroked="f">
                <v:stroke joinstyle="round"/>
                <v:textbox>
                  <w:txbxContent>
                    <w:p w14:paraId="4AD575C2" w14:textId="32122EF8" w:rsidR="00564317" w:rsidRPr="00564317" w:rsidRDefault="00564317">
                      <w:pPr>
                        <w:rPr>
                          <w:sz w:val="18"/>
                        </w:rPr>
                      </w:pPr>
                    </w:p>
                  </w:txbxContent>
                </v:textbox>
                <w10:wrap anchory="page"/>
                <w10:anchorlock/>
              </v:shape>
            </w:pict>
          </mc:Fallback>
        </mc:AlternateContent>
      </w:r>
      <w:r w:rsidR="00DD0D64">
        <w:rPr>
          <w:noProof/>
          <w:szCs w:val="22"/>
        </w:rPr>
        <mc:AlternateContent>
          <mc:Choice Requires="wps">
            <w:drawing>
              <wp:anchor distT="0" distB="0" distL="118745" distR="118745" simplePos="0" relativeHeight="251660288" behindDoc="0" locked="1" layoutInCell="1" allowOverlap="1" wp14:anchorId="3F6E93A6" wp14:editId="6F2E6A34">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B9C3E11" w14:textId="62B765C4" w:rsidR="00DD0D64" w:rsidRPr="00DD0D64" w:rsidRDefault="00DD0D64">
                            <w:pPr>
                              <w:rPr>
                                <w:sz w:val="18"/>
                              </w:rPr>
                            </w:pPr>
                            <w:r>
                              <w:rPr>
                                <w:sz w:val="18"/>
                              </w:rPr>
                              <w:fldChar w:fldCharType="begin"/>
                            </w:r>
                            <w:r>
                              <w:rPr>
                                <w:sz w:val="18"/>
                              </w:rPr>
                              <w:instrText xml:space="preserve"> FILENAME  \* MERGEFORMAT </w:instrText>
                            </w:r>
                            <w:r>
                              <w:rPr>
                                <w:sz w:val="18"/>
                              </w:rPr>
                              <w:fldChar w:fldCharType="separate"/>
                            </w:r>
                            <w:r>
                              <w:rPr>
                                <w:noProof/>
                                <w:sz w:val="18"/>
                              </w:rPr>
                              <w:t>CP43915S01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E93A6" id="Text Box 3" o:spid="_x0000_s1027" type="#_x0000_t202" style="position:absolute;left:0;text-align:left;margin-left:-7.2pt;margin-top:10in;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efgIAAAI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wRJppLU+3QCGcGIXsrbls8dEE+PJCDcsEjpjHcY6mV&#10;wWvM3uKsMe7nn84jHoKCF8/HJKDaH2tyKEZ91ZDaxfj0NI5O2pyefcyxccee5bFHr7trA8bGmHsr&#10;khnxQR3M2pnuGUM7j1nhIi2Qu+Toy2Beh2E+MfRCzucJhGGxFBb60YqD/mKDnvpncnaviwBF3ZnD&#10;zFDxRh4DdhDIfB1M3SbtvLK65x2DliS1/ynEST7eJ9Trr2v2Cw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EI5sZ5+AgAA&#10;AgUAAA4AAAAAAAAAAAAAAAAALgIAAGRycy9lMm9Eb2MueG1sUEsBAi0AFAAGAAgAAAAhAKIiY4/e&#10;AAAADQEAAA8AAAAAAAAAAAAAAAAA2AQAAGRycy9kb3ducmV2LnhtbFBLBQYAAAAABAAEAPMAAADj&#10;BQAAAAA=&#10;" filled="f" stroked="f">
                <v:stroke joinstyle="round"/>
                <v:textbox>
                  <w:txbxContent>
                    <w:p w14:paraId="2B9C3E11" w14:textId="62B765C4" w:rsidR="00DD0D64" w:rsidRPr="00DD0D64" w:rsidRDefault="00DD0D64">
                      <w:pPr>
                        <w:rPr>
                          <w:sz w:val="18"/>
                        </w:rPr>
                      </w:pPr>
                      <w:r>
                        <w:rPr>
                          <w:sz w:val="18"/>
                        </w:rPr>
                        <w:fldChar w:fldCharType="begin"/>
                      </w:r>
                      <w:r>
                        <w:rPr>
                          <w:sz w:val="18"/>
                        </w:rPr>
                        <w:instrText xml:space="preserve"> FILENAME  \* MERGEFORMAT </w:instrText>
                      </w:r>
                      <w:r>
                        <w:rPr>
                          <w:sz w:val="18"/>
                        </w:rPr>
                        <w:fldChar w:fldCharType="separate"/>
                      </w:r>
                      <w:r>
                        <w:rPr>
                          <w:noProof/>
                          <w:sz w:val="18"/>
                        </w:rPr>
                        <w:t>CP43915S01</w:t>
                      </w:r>
                      <w:r>
                        <w:rPr>
                          <w:sz w:val="18"/>
                        </w:rPr>
                        <w:fldChar w:fldCharType="end"/>
                      </w:r>
                    </w:p>
                  </w:txbxContent>
                </v:textbox>
                <w10:wrap anchory="page"/>
                <w10:anchorlock/>
              </v:shape>
            </w:pict>
          </mc:Fallback>
        </mc:AlternateContent>
      </w:r>
    </w:p>
    <w:sectPr w:rsidR="00FE3F7D" w:rsidRPr="00833CCD" w:rsidSect="00DD0D64">
      <w:type w:val="oddPage"/>
      <w:pgSz w:w="12240" w:h="15840" w:code="1"/>
      <w:pgMar w:top="2160" w:right="1570" w:bottom="1296" w:left="1714" w:header="1296"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9782" w14:textId="77777777" w:rsidR="00A62797" w:rsidRPr="003F39B1" w:rsidRDefault="00A62797" w:rsidP="00000073">
      <w:r>
        <w:separator/>
      </w:r>
    </w:p>
  </w:endnote>
  <w:endnote w:type="continuationSeparator" w:id="0">
    <w:p w14:paraId="1FAB5696" w14:textId="77777777" w:rsidR="00A62797" w:rsidRPr="003F39B1" w:rsidRDefault="00A62797"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9701" w14:textId="77777777" w:rsidR="00A62797" w:rsidRPr="003F39B1" w:rsidRDefault="00A62797" w:rsidP="00000073">
      <w:r>
        <w:separator/>
      </w:r>
    </w:p>
  </w:footnote>
  <w:footnote w:type="continuationSeparator" w:id="0">
    <w:p w14:paraId="1400F4AD" w14:textId="77777777" w:rsidR="00A62797" w:rsidRPr="003F39B1" w:rsidRDefault="00A62797" w:rsidP="0000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26297522"/>
      <w:docPartObj>
        <w:docPartGallery w:val="Page Numbers (Top of Page)"/>
        <w:docPartUnique/>
      </w:docPartObj>
    </w:sdtPr>
    <w:sdtEndPr>
      <w:rPr>
        <w:noProof/>
      </w:rPr>
    </w:sdtEndPr>
    <w:sdtContent>
      <w:p w14:paraId="4BE58F38" w14:textId="31EEFE5F" w:rsidR="00DD0D64" w:rsidRPr="00DD0D64" w:rsidRDefault="00DD0D64">
        <w:pPr>
          <w:pStyle w:val="Header"/>
          <w:jc w:val="center"/>
          <w:rPr>
            <w:sz w:val="22"/>
            <w:szCs w:val="22"/>
          </w:rPr>
        </w:pPr>
        <w:r w:rsidRPr="00DD0D64">
          <w:rPr>
            <w:sz w:val="22"/>
            <w:szCs w:val="22"/>
          </w:rPr>
          <w:t xml:space="preserve"> - </w:t>
        </w:r>
        <w:r w:rsidRPr="00DD0D64">
          <w:rPr>
            <w:sz w:val="22"/>
            <w:szCs w:val="22"/>
          </w:rPr>
          <w:fldChar w:fldCharType="begin"/>
        </w:r>
        <w:r w:rsidRPr="00DD0D64">
          <w:rPr>
            <w:sz w:val="22"/>
            <w:szCs w:val="22"/>
          </w:rPr>
          <w:instrText xml:space="preserve"> PAGE   \* MERGEFORMAT </w:instrText>
        </w:r>
        <w:r w:rsidRPr="00DD0D64">
          <w:rPr>
            <w:sz w:val="22"/>
            <w:szCs w:val="22"/>
          </w:rPr>
          <w:fldChar w:fldCharType="separate"/>
        </w:r>
        <w:r w:rsidRPr="00DD0D64">
          <w:rPr>
            <w:noProof/>
            <w:sz w:val="22"/>
            <w:szCs w:val="22"/>
          </w:rPr>
          <w:t>2</w:t>
        </w:r>
        <w:r w:rsidRPr="00DD0D64">
          <w:rPr>
            <w:noProof/>
            <w:sz w:val="22"/>
            <w:szCs w:val="22"/>
          </w:rPr>
          <w:fldChar w:fldCharType="end"/>
        </w:r>
        <w:r w:rsidRPr="00DD0D64">
          <w:rPr>
            <w:noProof/>
            <w:sz w:val="22"/>
            <w:szCs w:val="22"/>
          </w:rPr>
          <w:t xml:space="preserve"> - </w:t>
        </w:r>
      </w:p>
    </w:sdtContent>
  </w:sdt>
  <w:p w14:paraId="4BDAE1D7" w14:textId="77777777" w:rsidR="00ED3103" w:rsidRDefault="00ED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3"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B0F3D"/>
    <w:multiLevelType w:val="hybridMultilevel"/>
    <w:tmpl w:val="EC1A69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7"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0"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3764B7"/>
    <w:multiLevelType w:val="hybridMultilevel"/>
    <w:tmpl w:val="BA40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
  </w:num>
  <w:num w:numId="4">
    <w:abstractNumId w:val="6"/>
  </w:num>
  <w:num w:numId="5">
    <w:abstractNumId w:val="1"/>
  </w:num>
  <w:num w:numId="6">
    <w:abstractNumId w:val="4"/>
  </w:num>
  <w:num w:numId="7">
    <w:abstractNumId w:val="11"/>
  </w:num>
  <w:num w:numId="8">
    <w:abstractNumId w:val="8"/>
  </w:num>
  <w:num w:numId="9">
    <w:abstractNumId w:val="0"/>
  </w:num>
  <w:num w:numId="10">
    <w:abstractNumId w:val="9"/>
  </w:num>
  <w:num w:numId="11">
    <w:abstractNumId w:val="13"/>
  </w:num>
  <w:num w:numId="12">
    <w:abstractNumId w:val="7"/>
  </w:num>
  <w:num w:numId="13">
    <w:abstractNumId w:val="10"/>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6741"/>
    <w:rsid w:val="00020E86"/>
    <w:rsid w:val="000323C6"/>
    <w:rsid w:val="00052817"/>
    <w:rsid w:val="000667CB"/>
    <w:rsid w:val="00070336"/>
    <w:rsid w:val="0007714F"/>
    <w:rsid w:val="00077446"/>
    <w:rsid w:val="00091FCC"/>
    <w:rsid w:val="00093588"/>
    <w:rsid w:val="000A277F"/>
    <w:rsid w:val="000A621E"/>
    <w:rsid w:val="000B529D"/>
    <w:rsid w:val="000B5F51"/>
    <w:rsid w:val="000D0C03"/>
    <w:rsid w:val="000E1670"/>
    <w:rsid w:val="000E37F7"/>
    <w:rsid w:val="000E6223"/>
    <w:rsid w:val="000F3687"/>
    <w:rsid w:val="000F5072"/>
    <w:rsid w:val="000F5988"/>
    <w:rsid w:val="001053B7"/>
    <w:rsid w:val="001118CF"/>
    <w:rsid w:val="00132259"/>
    <w:rsid w:val="001369D5"/>
    <w:rsid w:val="00174845"/>
    <w:rsid w:val="00174D1D"/>
    <w:rsid w:val="001803D5"/>
    <w:rsid w:val="00186DC0"/>
    <w:rsid w:val="00191FC1"/>
    <w:rsid w:val="001924E8"/>
    <w:rsid w:val="001966B2"/>
    <w:rsid w:val="001A3802"/>
    <w:rsid w:val="001A50A2"/>
    <w:rsid w:val="001B38E1"/>
    <w:rsid w:val="001B4C07"/>
    <w:rsid w:val="001D4C88"/>
    <w:rsid w:val="001D5564"/>
    <w:rsid w:val="001E0B60"/>
    <w:rsid w:val="001E3C99"/>
    <w:rsid w:val="001F21FF"/>
    <w:rsid w:val="001F4626"/>
    <w:rsid w:val="001F6B6E"/>
    <w:rsid w:val="00200C7C"/>
    <w:rsid w:val="0021364F"/>
    <w:rsid w:val="00227869"/>
    <w:rsid w:val="00233D6E"/>
    <w:rsid w:val="00241904"/>
    <w:rsid w:val="002535C1"/>
    <w:rsid w:val="002561A7"/>
    <w:rsid w:val="002642D1"/>
    <w:rsid w:val="0027370D"/>
    <w:rsid w:val="0028145F"/>
    <w:rsid w:val="00284A35"/>
    <w:rsid w:val="00285A38"/>
    <w:rsid w:val="002B1754"/>
    <w:rsid w:val="002B44F8"/>
    <w:rsid w:val="002B63E8"/>
    <w:rsid w:val="002C66A1"/>
    <w:rsid w:val="002D5C61"/>
    <w:rsid w:val="002F3C8A"/>
    <w:rsid w:val="002F555B"/>
    <w:rsid w:val="0030653E"/>
    <w:rsid w:val="003114E1"/>
    <w:rsid w:val="00322941"/>
    <w:rsid w:val="003316A8"/>
    <w:rsid w:val="0033584A"/>
    <w:rsid w:val="00340F48"/>
    <w:rsid w:val="003670E0"/>
    <w:rsid w:val="00367159"/>
    <w:rsid w:val="0037242D"/>
    <w:rsid w:val="00376C2B"/>
    <w:rsid w:val="003805F9"/>
    <w:rsid w:val="00387166"/>
    <w:rsid w:val="00390E6F"/>
    <w:rsid w:val="00397E48"/>
    <w:rsid w:val="003A3B37"/>
    <w:rsid w:val="003B590A"/>
    <w:rsid w:val="003C13D4"/>
    <w:rsid w:val="0040131F"/>
    <w:rsid w:val="00401E9C"/>
    <w:rsid w:val="004270B0"/>
    <w:rsid w:val="004354A9"/>
    <w:rsid w:val="004377F0"/>
    <w:rsid w:val="0044140F"/>
    <w:rsid w:val="00446E81"/>
    <w:rsid w:val="00451F0F"/>
    <w:rsid w:val="00453963"/>
    <w:rsid w:val="00455C4C"/>
    <w:rsid w:val="00461602"/>
    <w:rsid w:val="004624B6"/>
    <w:rsid w:val="004B1CF2"/>
    <w:rsid w:val="004B47B9"/>
    <w:rsid w:val="004B5A2F"/>
    <w:rsid w:val="004C1633"/>
    <w:rsid w:val="004C316C"/>
    <w:rsid w:val="004C4EB7"/>
    <w:rsid w:val="004D5C2F"/>
    <w:rsid w:val="004F1FA1"/>
    <w:rsid w:val="004F4C29"/>
    <w:rsid w:val="004F5C50"/>
    <w:rsid w:val="005162A8"/>
    <w:rsid w:val="0051741B"/>
    <w:rsid w:val="0052117B"/>
    <w:rsid w:val="005239EB"/>
    <w:rsid w:val="00532194"/>
    <w:rsid w:val="00533B43"/>
    <w:rsid w:val="00534807"/>
    <w:rsid w:val="00553C02"/>
    <w:rsid w:val="00556BD5"/>
    <w:rsid w:val="005611BE"/>
    <w:rsid w:val="00564317"/>
    <w:rsid w:val="005700DF"/>
    <w:rsid w:val="00584928"/>
    <w:rsid w:val="005B2399"/>
    <w:rsid w:val="005B7C10"/>
    <w:rsid w:val="005D7176"/>
    <w:rsid w:val="005E3816"/>
    <w:rsid w:val="005E3F5A"/>
    <w:rsid w:val="005F1A0A"/>
    <w:rsid w:val="005F5CC2"/>
    <w:rsid w:val="006128F7"/>
    <w:rsid w:val="00613B3F"/>
    <w:rsid w:val="00654785"/>
    <w:rsid w:val="00656CF7"/>
    <w:rsid w:val="00670214"/>
    <w:rsid w:val="00682894"/>
    <w:rsid w:val="006A354D"/>
    <w:rsid w:val="006C2C49"/>
    <w:rsid w:val="006F0BDA"/>
    <w:rsid w:val="006F293C"/>
    <w:rsid w:val="00717308"/>
    <w:rsid w:val="00727FC9"/>
    <w:rsid w:val="007447AF"/>
    <w:rsid w:val="00770077"/>
    <w:rsid w:val="007909FB"/>
    <w:rsid w:val="00791994"/>
    <w:rsid w:val="00797716"/>
    <w:rsid w:val="007A3C14"/>
    <w:rsid w:val="007A7243"/>
    <w:rsid w:val="007D1A11"/>
    <w:rsid w:val="007E0010"/>
    <w:rsid w:val="007E2F00"/>
    <w:rsid w:val="007E6EB9"/>
    <w:rsid w:val="007E7296"/>
    <w:rsid w:val="00810FF2"/>
    <w:rsid w:val="008277AB"/>
    <w:rsid w:val="00830821"/>
    <w:rsid w:val="00833CCD"/>
    <w:rsid w:val="0085022B"/>
    <w:rsid w:val="008529DC"/>
    <w:rsid w:val="00862642"/>
    <w:rsid w:val="00862F15"/>
    <w:rsid w:val="008801AE"/>
    <w:rsid w:val="00881D1B"/>
    <w:rsid w:val="00884973"/>
    <w:rsid w:val="008919F2"/>
    <w:rsid w:val="00892B43"/>
    <w:rsid w:val="008A416E"/>
    <w:rsid w:val="008A57EB"/>
    <w:rsid w:val="008C4EA8"/>
    <w:rsid w:val="008E4F6E"/>
    <w:rsid w:val="008E5351"/>
    <w:rsid w:val="008E68FE"/>
    <w:rsid w:val="008F0A69"/>
    <w:rsid w:val="008F2922"/>
    <w:rsid w:val="008F63D0"/>
    <w:rsid w:val="00906795"/>
    <w:rsid w:val="009105E9"/>
    <w:rsid w:val="009141C3"/>
    <w:rsid w:val="0092465E"/>
    <w:rsid w:val="00937D25"/>
    <w:rsid w:val="0094580B"/>
    <w:rsid w:val="009638D4"/>
    <w:rsid w:val="009641E0"/>
    <w:rsid w:val="00975128"/>
    <w:rsid w:val="00987D16"/>
    <w:rsid w:val="00992A66"/>
    <w:rsid w:val="009A0714"/>
    <w:rsid w:val="009B38AF"/>
    <w:rsid w:val="009C5B8F"/>
    <w:rsid w:val="009C6196"/>
    <w:rsid w:val="009C7996"/>
    <w:rsid w:val="009D6B7C"/>
    <w:rsid w:val="009E3476"/>
    <w:rsid w:val="009E55EA"/>
    <w:rsid w:val="009F3603"/>
    <w:rsid w:val="00A017FE"/>
    <w:rsid w:val="00A07275"/>
    <w:rsid w:val="00A1067D"/>
    <w:rsid w:val="00A20224"/>
    <w:rsid w:val="00A2446F"/>
    <w:rsid w:val="00A4569C"/>
    <w:rsid w:val="00A45E1D"/>
    <w:rsid w:val="00A5145B"/>
    <w:rsid w:val="00A552B4"/>
    <w:rsid w:val="00A62797"/>
    <w:rsid w:val="00A71A1B"/>
    <w:rsid w:val="00A741DC"/>
    <w:rsid w:val="00A8220B"/>
    <w:rsid w:val="00A83EC5"/>
    <w:rsid w:val="00AA48FF"/>
    <w:rsid w:val="00AB0B8A"/>
    <w:rsid w:val="00AB4B50"/>
    <w:rsid w:val="00AB634F"/>
    <w:rsid w:val="00B108DA"/>
    <w:rsid w:val="00B61043"/>
    <w:rsid w:val="00B6606D"/>
    <w:rsid w:val="00B67725"/>
    <w:rsid w:val="00B7545D"/>
    <w:rsid w:val="00B90B4A"/>
    <w:rsid w:val="00BA0466"/>
    <w:rsid w:val="00BA1823"/>
    <w:rsid w:val="00BA5547"/>
    <w:rsid w:val="00BA5B70"/>
    <w:rsid w:val="00BB7C4C"/>
    <w:rsid w:val="00BC0335"/>
    <w:rsid w:val="00BC0F03"/>
    <w:rsid w:val="00BC4697"/>
    <w:rsid w:val="00BD30C1"/>
    <w:rsid w:val="00BE43A4"/>
    <w:rsid w:val="00C03468"/>
    <w:rsid w:val="00C05DD6"/>
    <w:rsid w:val="00C12D07"/>
    <w:rsid w:val="00C151BB"/>
    <w:rsid w:val="00C171E8"/>
    <w:rsid w:val="00C26C86"/>
    <w:rsid w:val="00C62BC3"/>
    <w:rsid w:val="00C6312E"/>
    <w:rsid w:val="00C70E23"/>
    <w:rsid w:val="00C7451F"/>
    <w:rsid w:val="00C81556"/>
    <w:rsid w:val="00C8208F"/>
    <w:rsid w:val="00C84922"/>
    <w:rsid w:val="00C9490B"/>
    <w:rsid w:val="00CA280C"/>
    <w:rsid w:val="00CB22CC"/>
    <w:rsid w:val="00CB5F1D"/>
    <w:rsid w:val="00CB769D"/>
    <w:rsid w:val="00CD1F3E"/>
    <w:rsid w:val="00CD2F1F"/>
    <w:rsid w:val="00CD30B9"/>
    <w:rsid w:val="00CE6669"/>
    <w:rsid w:val="00CE6865"/>
    <w:rsid w:val="00CF21C5"/>
    <w:rsid w:val="00CF3B0E"/>
    <w:rsid w:val="00D00C76"/>
    <w:rsid w:val="00D140A8"/>
    <w:rsid w:val="00D170C5"/>
    <w:rsid w:val="00D202B7"/>
    <w:rsid w:val="00D2322F"/>
    <w:rsid w:val="00D3011E"/>
    <w:rsid w:val="00D33568"/>
    <w:rsid w:val="00D81CD5"/>
    <w:rsid w:val="00D91A22"/>
    <w:rsid w:val="00D92216"/>
    <w:rsid w:val="00D92951"/>
    <w:rsid w:val="00D92B9C"/>
    <w:rsid w:val="00D961E5"/>
    <w:rsid w:val="00DB27C7"/>
    <w:rsid w:val="00DC6693"/>
    <w:rsid w:val="00DC7380"/>
    <w:rsid w:val="00DD0D64"/>
    <w:rsid w:val="00DE389E"/>
    <w:rsid w:val="00DE3972"/>
    <w:rsid w:val="00DF1259"/>
    <w:rsid w:val="00E02BB7"/>
    <w:rsid w:val="00E074AF"/>
    <w:rsid w:val="00E14A21"/>
    <w:rsid w:val="00E21B54"/>
    <w:rsid w:val="00E34C01"/>
    <w:rsid w:val="00E50B6C"/>
    <w:rsid w:val="00E54C2F"/>
    <w:rsid w:val="00E551E6"/>
    <w:rsid w:val="00E56817"/>
    <w:rsid w:val="00E84158"/>
    <w:rsid w:val="00EB1899"/>
    <w:rsid w:val="00ED1F8C"/>
    <w:rsid w:val="00ED3103"/>
    <w:rsid w:val="00ED34B6"/>
    <w:rsid w:val="00ED5322"/>
    <w:rsid w:val="00EE1F9C"/>
    <w:rsid w:val="00F019A7"/>
    <w:rsid w:val="00F054EA"/>
    <w:rsid w:val="00F15E1C"/>
    <w:rsid w:val="00F23EB6"/>
    <w:rsid w:val="00F75C80"/>
    <w:rsid w:val="00F8151D"/>
    <w:rsid w:val="00F82A08"/>
    <w:rsid w:val="00F87817"/>
    <w:rsid w:val="00FA4FF6"/>
    <w:rsid w:val="00FA6F3C"/>
    <w:rsid w:val="00FB6322"/>
    <w:rsid w:val="00FC5526"/>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D5A17"/>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styleId="UnresolvedMention">
    <w:name w:val="Unresolved Mention"/>
    <w:basedOn w:val="DefaultParagraphFont"/>
    <w:uiPriority w:val="99"/>
    <w:semiHidden/>
    <w:unhideWhenUsed/>
    <w:rsid w:val="00DD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80204">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3915CAJPMontero.pdf" TargetMode="External"/><Relationship Id="rId5" Type="http://schemas.openxmlformats.org/officeDocument/2006/relationships/webSettings" Target="webSettings.xml"/><Relationship Id="rId10" Type="http://schemas.openxmlformats.org/officeDocument/2006/relationships/hyperlink" Target="http://scm.oas.org/pdfs/2021/CP43915CAJPMaris.pdf" TargetMode="External"/><Relationship Id="rId4" Type="http://schemas.openxmlformats.org/officeDocument/2006/relationships/settings" Target="settings.xml"/><Relationship Id="rId9" Type="http://schemas.openxmlformats.org/officeDocument/2006/relationships/hyperlink" Target="http://scm.oas.org/pdfs/2021/CP43915CAJPNegr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D770-E8F5-44FF-BAF2-B2681599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5</cp:revision>
  <cp:lastPrinted>2017-02-03T19:23:00Z</cp:lastPrinted>
  <dcterms:created xsi:type="dcterms:W3CDTF">2021-04-26T14:47:00Z</dcterms:created>
  <dcterms:modified xsi:type="dcterms:W3CDTF">2021-04-26T15:30:00Z</dcterms:modified>
</cp:coreProperties>
</file>