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A810" w14:textId="77777777" w:rsidR="0076068F" w:rsidRPr="0037637D" w:rsidRDefault="0076068F" w:rsidP="0076068F">
      <w:pPr>
        <w:tabs>
          <w:tab w:val="center" w:pos="2880"/>
          <w:tab w:val="left" w:pos="7200"/>
        </w:tabs>
        <w:jc w:val="both"/>
        <w:rPr>
          <w:sz w:val="22"/>
          <w:szCs w:val="22"/>
        </w:rPr>
      </w:pPr>
      <w:r w:rsidRPr="0037637D">
        <w:rPr>
          <w:sz w:val="22"/>
          <w:szCs w:val="22"/>
        </w:rPr>
        <w:tab/>
        <w:t>PERMANENT COUNCIL OF THE</w:t>
      </w:r>
      <w:r w:rsidRPr="0037637D">
        <w:rPr>
          <w:sz w:val="22"/>
          <w:szCs w:val="22"/>
        </w:rPr>
        <w:tab/>
        <w:t>OEA/Ser.G</w:t>
      </w:r>
    </w:p>
    <w:p w14:paraId="33522E2D" w14:textId="77777777" w:rsidR="0076068F" w:rsidRPr="0037637D" w:rsidRDefault="0076068F" w:rsidP="0076068F">
      <w:pPr>
        <w:tabs>
          <w:tab w:val="center" w:pos="2880"/>
          <w:tab w:val="left" w:pos="7200"/>
        </w:tabs>
        <w:ind w:right="-764"/>
        <w:jc w:val="both"/>
        <w:rPr>
          <w:sz w:val="22"/>
          <w:szCs w:val="22"/>
        </w:rPr>
      </w:pPr>
      <w:r w:rsidRPr="0037637D">
        <w:rPr>
          <w:sz w:val="22"/>
          <w:szCs w:val="22"/>
        </w:rPr>
        <w:tab/>
        <w:t>ORGANIZATION OF AMERICAN STATES</w:t>
      </w:r>
      <w:r w:rsidRPr="0037637D">
        <w:rPr>
          <w:sz w:val="22"/>
          <w:szCs w:val="22"/>
        </w:rPr>
        <w:tab/>
        <w:t>CP/CAJP-3557/21 rev. 4</w:t>
      </w:r>
    </w:p>
    <w:p w14:paraId="72C24F4F" w14:textId="77777777" w:rsidR="0076068F" w:rsidRPr="0037637D" w:rsidRDefault="0076068F" w:rsidP="0076068F">
      <w:pPr>
        <w:tabs>
          <w:tab w:val="center" w:pos="2880"/>
          <w:tab w:val="left" w:pos="7200"/>
        </w:tabs>
        <w:jc w:val="both"/>
        <w:rPr>
          <w:sz w:val="22"/>
          <w:szCs w:val="22"/>
        </w:rPr>
      </w:pPr>
      <w:r w:rsidRPr="0037637D">
        <w:rPr>
          <w:sz w:val="22"/>
          <w:szCs w:val="22"/>
        </w:rPr>
        <w:tab/>
      </w:r>
      <w:r w:rsidRPr="0037637D">
        <w:rPr>
          <w:sz w:val="22"/>
          <w:szCs w:val="22"/>
        </w:rPr>
        <w:tab/>
        <w:t>27 April 2021</w:t>
      </w:r>
    </w:p>
    <w:p w14:paraId="2369772C" w14:textId="77777777" w:rsidR="0076068F" w:rsidRPr="0037637D" w:rsidRDefault="0076068F" w:rsidP="0076068F">
      <w:pPr>
        <w:tabs>
          <w:tab w:val="left" w:pos="717"/>
          <w:tab w:val="center" w:pos="2880"/>
          <w:tab w:val="left" w:pos="7200"/>
        </w:tabs>
        <w:ind w:right="-760"/>
        <w:jc w:val="both"/>
        <w:rPr>
          <w:sz w:val="22"/>
          <w:szCs w:val="22"/>
        </w:rPr>
      </w:pPr>
      <w:r w:rsidRPr="0037637D">
        <w:rPr>
          <w:sz w:val="22"/>
          <w:szCs w:val="22"/>
        </w:rPr>
        <w:tab/>
        <w:t>COMMITTEE ON JURIDICAL AND POLITICAL AFFAIRS</w:t>
      </w:r>
      <w:r w:rsidRPr="0037637D">
        <w:rPr>
          <w:sz w:val="22"/>
          <w:szCs w:val="22"/>
        </w:rPr>
        <w:tab/>
        <w:t>Original: Spanish</w:t>
      </w:r>
    </w:p>
    <w:p w14:paraId="200D9500" w14:textId="77777777" w:rsidR="0076068F" w:rsidRPr="0037637D" w:rsidRDefault="0076068F" w:rsidP="0076068F">
      <w:pPr>
        <w:tabs>
          <w:tab w:val="left" w:pos="717"/>
          <w:tab w:val="center" w:pos="2880"/>
          <w:tab w:val="center" w:pos="3591"/>
          <w:tab w:val="left" w:pos="7200"/>
        </w:tabs>
        <w:ind w:right="-1120"/>
        <w:jc w:val="both"/>
        <w:rPr>
          <w:sz w:val="22"/>
          <w:szCs w:val="22"/>
        </w:rPr>
      </w:pPr>
    </w:p>
    <w:p w14:paraId="4419D573" w14:textId="77777777" w:rsidR="0076068F" w:rsidRPr="0037637D" w:rsidRDefault="0076068F" w:rsidP="0076068F">
      <w:pPr>
        <w:tabs>
          <w:tab w:val="left" w:pos="717"/>
          <w:tab w:val="center" w:pos="2880"/>
          <w:tab w:val="left" w:pos="7200"/>
        </w:tabs>
        <w:jc w:val="both"/>
        <w:rPr>
          <w:sz w:val="22"/>
          <w:szCs w:val="22"/>
        </w:rPr>
      </w:pPr>
    </w:p>
    <w:p w14:paraId="2E1E7C50" w14:textId="77777777" w:rsidR="0076068F" w:rsidRPr="0037637D" w:rsidRDefault="0076068F" w:rsidP="0076068F">
      <w:pPr>
        <w:tabs>
          <w:tab w:val="center" w:pos="2880"/>
          <w:tab w:val="left" w:pos="6597"/>
          <w:tab w:val="left" w:pos="7200"/>
        </w:tabs>
        <w:jc w:val="both"/>
        <w:rPr>
          <w:sz w:val="22"/>
          <w:szCs w:val="22"/>
        </w:rPr>
      </w:pPr>
    </w:p>
    <w:p w14:paraId="6293D33D" w14:textId="77777777" w:rsidR="0076068F" w:rsidRPr="0037637D" w:rsidRDefault="0076068F" w:rsidP="0076068F">
      <w:pPr>
        <w:widowControl w:val="0"/>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14:paraId="5C1BC49E" w14:textId="77777777" w:rsidR="0076068F" w:rsidRPr="0037637D" w:rsidRDefault="0076068F" w:rsidP="0076068F">
      <w:pPr>
        <w:jc w:val="both"/>
        <w:rPr>
          <w:color w:val="000000" w:themeColor="text1"/>
          <w:sz w:val="22"/>
          <w:szCs w:val="22"/>
        </w:rPr>
      </w:pPr>
    </w:p>
    <w:p w14:paraId="3052CC19" w14:textId="77777777" w:rsidR="0076068F" w:rsidRPr="0037637D" w:rsidRDefault="0076068F" w:rsidP="0076068F">
      <w:pPr>
        <w:jc w:val="both"/>
        <w:rPr>
          <w:color w:val="000000" w:themeColor="text1"/>
          <w:sz w:val="22"/>
          <w:szCs w:val="22"/>
        </w:rPr>
      </w:pPr>
    </w:p>
    <w:p w14:paraId="736CA7BB" w14:textId="77777777" w:rsidR="0076068F" w:rsidRPr="0037637D" w:rsidRDefault="0076068F" w:rsidP="0076068F">
      <w:pPr>
        <w:jc w:val="both"/>
        <w:rPr>
          <w:color w:val="000000" w:themeColor="text1"/>
          <w:sz w:val="22"/>
          <w:szCs w:val="22"/>
        </w:rPr>
      </w:pPr>
    </w:p>
    <w:p w14:paraId="2A6BAA2B" w14:textId="77777777" w:rsidR="0076068F" w:rsidRPr="0037637D" w:rsidRDefault="0076068F" w:rsidP="0076068F">
      <w:pPr>
        <w:jc w:val="both"/>
        <w:rPr>
          <w:color w:val="000000" w:themeColor="text1"/>
          <w:sz w:val="22"/>
          <w:szCs w:val="22"/>
        </w:rPr>
      </w:pPr>
    </w:p>
    <w:p w14:paraId="7F6C098F" w14:textId="77777777" w:rsidR="0076068F" w:rsidRPr="0037637D" w:rsidRDefault="0076068F" w:rsidP="0076068F">
      <w:pPr>
        <w:jc w:val="both"/>
        <w:rPr>
          <w:color w:val="000000" w:themeColor="text1"/>
          <w:sz w:val="22"/>
          <w:szCs w:val="22"/>
        </w:rPr>
      </w:pPr>
    </w:p>
    <w:p w14:paraId="6EB7C043" w14:textId="77777777" w:rsidR="0076068F" w:rsidRPr="0037637D" w:rsidRDefault="0076068F" w:rsidP="0076068F">
      <w:pPr>
        <w:jc w:val="both"/>
        <w:rPr>
          <w:color w:val="000000" w:themeColor="text1"/>
          <w:sz w:val="22"/>
          <w:szCs w:val="22"/>
        </w:rPr>
      </w:pPr>
    </w:p>
    <w:p w14:paraId="1A57BA5C" w14:textId="77777777" w:rsidR="0076068F" w:rsidRPr="0037637D" w:rsidRDefault="0076068F" w:rsidP="0076068F">
      <w:pPr>
        <w:jc w:val="both"/>
        <w:rPr>
          <w:color w:val="000000" w:themeColor="text1"/>
          <w:sz w:val="22"/>
          <w:szCs w:val="22"/>
        </w:rPr>
      </w:pPr>
    </w:p>
    <w:p w14:paraId="3295242E" w14:textId="77777777" w:rsidR="0076068F" w:rsidRPr="0037637D" w:rsidRDefault="0076068F" w:rsidP="0076068F">
      <w:pPr>
        <w:jc w:val="both"/>
        <w:rPr>
          <w:color w:val="000000" w:themeColor="text1"/>
          <w:sz w:val="22"/>
          <w:szCs w:val="22"/>
        </w:rPr>
      </w:pPr>
    </w:p>
    <w:p w14:paraId="1E99BA80" w14:textId="77777777" w:rsidR="0076068F" w:rsidRPr="0037637D" w:rsidRDefault="0076068F" w:rsidP="0076068F">
      <w:pPr>
        <w:jc w:val="both"/>
        <w:rPr>
          <w:color w:val="000000" w:themeColor="text1"/>
          <w:sz w:val="22"/>
          <w:szCs w:val="22"/>
        </w:rPr>
      </w:pPr>
    </w:p>
    <w:p w14:paraId="0A948669" w14:textId="77777777" w:rsidR="0076068F" w:rsidRPr="0037637D" w:rsidRDefault="0076068F" w:rsidP="0076068F">
      <w:pPr>
        <w:jc w:val="both"/>
        <w:rPr>
          <w:color w:val="000000" w:themeColor="text1"/>
          <w:sz w:val="22"/>
          <w:szCs w:val="22"/>
        </w:rPr>
      </w:pPr>
    </w:p>
    <w:p w14:paraId="7EF52FAD" w14:textId="77777777" w:rsidR="0076068F" w:rsidRPr="0037637D" w:rsidRDefault="0076068F" w:rsidP="0076068F">
      <w:pPr>
        <w:jc w:val="both"/>
        <w:rPr>
          <w:color w:val="000000" w:themeColor="text1"/>
          <w:sz w:val="22"/>
          <w:szCs w:val="22"/>
        </w:rPr>
      </w:pPr>
    </w:p>
    <w:p w14:paraId="1F32EF45" w14:textId="77777777" w:rsidR="0076068F" w:rsidRPr="0037637D" w:rsidRDefault="0076068F" w:rsidP="0076068F">
      <w:pPr>
        <w:jc w:val="both"/>
        <w:rPr>
          <w:color w:val="000000" w:themeColor="text1"/>
          <w:sz w:val="22"/>
          <w:szCs w:val="22"/>
        </w:rPr>
      </w:pPr>
    </w:p>
    <w:p w14:paraId="0011E171" w14:textId="77777777" w:rsidR="0076068F" w:rsidRPr="0037637D" w:rsidRDefault="0076068F" w:rsidP="0076068F">
      <w:pPr>
        <w:jc w:val="center"/>
        <w:rPr>
          <w:color w:val="000000" w:themeColor="text1"/>
          <w:sz w:val="22"/>
          <w:szCs w:val="22"/>
        </w:rPr>
      </w:pPr>
      <w:r w:rsidRPr="0037637D">
        <w:rPr>
          <w:color w:val="000000" w:themeColor="text1"/>
          <w:sz w:val="22"/>
          <w:szCs w:val="22"/>
        </w:rPr>
        <w:t>AGENDA</w:t>
      </w:r>
    </w:p>
    <w:p w14:paraId="49026871" w14:textId="77777777" w:rsidR="0076068F" w:rsidRPr="0037637D" w:rsidRDefault="0076068F" w:rsidP="0076068F">
      <w:pPr>
        <w:jc w:val="center"/>
        <w:rPr>
          <w:color w:val="000000" w:themeColor="text1"/>
          <w:sz w:val="22"/>
          <w:szCs w:val="22"/>
        </w:rPr>
      </w:pPr>
    </w:p>
    <w:p w14:paraId="7C6DA053" w14:textId="77777777" w:rsidR="0076068F" w:rsidRPr="0037637D" w:rsidRDefault="0076068F" w:rsidP="0076068F">
      <w:pPr>
        <w:ind w:right="-29"/>
        <w:jc w:val="center"/>
        <w:rPr>
          <w:color w:val="000000" w:themeColor="text1"/>
          <w:sz w:val="22"/>
          <w:szCs w:val="22"/>
        </w:rPr>
      </w:pPr>
      <w:r w:rsidRPr="0037637D">
        <w:rPr>
          <w:color w:val="000000" w:themeColor="text1"/>
          <w:sz w:val="22"/>
          <w:szCs w:val="22"/>
        </w:rPr>
        <w:t xml:space="preserve">SPECIAL MEETING ON TOPICS OF CURRENT INTEREST </w:t>
      </w:r>
      <w:r w:rsidRPr="0037637D">
        <w:rPr>
          <w:color w:val="000000" w:themeColor="text1"/>
          <w:sz w:val="22"/>
          <w:szCs w:val="22"/>
        </w:rPr>
        <w:br/>
        <w:t xml:space="preserve">IN INTERNATIONAL HUMANITARIAN LAW </w:t>
      </w:r>
    </w:p>
    <w:p w14:paraId="14AC7F80" w14:textId="77777777" w:rsidR="0076068F" w:rsidRPr="0037637D" w:rsidRDefault="0076068F" w:rsidP="0076068F">
      <w:pPr>
        <w:ind w:right="-29"/>
        <w:jc w:val="center"/>
        <w:rPr>
          <w:color w:val="000000" w:themeColor="text1"/>
          <w:sz w:val="22"/>
          <w:szCs w:val="22"/>
        </w:rPr>
      </w:pPr>
    </w:p>
    <w:p w14:paraId="38A401FB" w14:textId="77777777" w:rsidR="0076068F" w:rsidRPr="0037637D" w:rsidRDefault="0076068F" w:rsidP="0076068F">
      <w:pPr>
        <w:ind w:right="-29"/>
        <w:jc w:val="center"/>
        <w:rPr>
          <w:sz w:val="22"/>
          <w:szCs w:val="22"/>
        </w:rPr>
      </w:pPr>
      <w:r w:rsidRPr="0037637D">
        <w:rPr>
          <w:sz w:val="22"/>
          <w:szCs w:val="22"/>
        </w:rPr>
        <w:t>(April 29, 2021)</w:t>
      </w:r>
    </w:p>
    <w:p w14:paraId="06ECC1AB" w14:textId="77777777" w:rsidR="0076068F" w:rsidRPr="0037637D" w:rsidRDefault="0076068F" w:rsidP="0076068F">
      <w:pPr>
        <w:jc w:val="center"/>
        <w:rPr>
          <w:color w:val="000000" w:themeColor="text1"/>
          <w:sz w:val="22"/>
          <w:szCs w:val="22"/>
        </w:rPr>
      </w:pPr>
    </w:p>
    <w:p w14:paraId="43CE7B89" w14:textId="77777777" w:rsidR="0076068F" w:rsidRPr="0037637D" w:rsidRDefault="0076068F" w:rsidP="0076068F">
      <w:pPr>
        <w:jc w:val="center"/>
        <w:rPr>
          <w:color w:val="000000" w:themeColor="text1"/>
          <w:sz w:val="22"/>
          <w:szCs w:val="22"/>
        </w:rPr>
      </w:pPr>
      <w:r w:rsidRPr="0037637D">
        <w:rPr>
          <w:color w:val="000000" w:themeColor="text1"/>
          <w:sz w:val="22"/>
          <w:szCs w:val="22"/>
        </w:rPr>
        <w:t>(Approved by the CAJP on February 18, 2021)</w:t>
      </w:r>
    </w:p>
    <w:p w14:paraId="63661C5F" w14:textId="77777777" w:rsidR="0076068F" w:rsidRPr="0037637D" w:rsidRDefault="0076068F" w:rsidP="0076068F">
      <w:pPr>
        <w:rPr>
          <w:color w:val="000000" w:themeColor="text1"/>
          <w:sz w:val="22"/>
          <w:szCs w:val="22"/>
        </w:rPr>
        <w:sectPr w:rsidR="0076068F" w:rsidRPr="0037637D" w:rsidSect="00BD77BD">
          <w:pgSz w:w="12240" w:h="15840" w:code="1"/>
          <w:pgMar w:top="2160" w:right="1570" w:bottom="1296" w:left="1699" w:header="1296" w:footer="1296" w:gutter="0"/>
          <w:cols w:space="720"/>
        </w:sectPr>
      </w:pPr>
    </w:p>
    <w:p w14:paraId="5F5B4E0A" w14:textId="77777777" w:rsidR="0076068F" w:rsidRPr="0037637D" w:rsidRDefault="0076068F" w:rsidP="0076068F">
      <w:pPr>
        <w:tabs>
          <w:tab w:val="center" w:pos="2160"/>
        </w:tabs>
        <w:ind w:right="241"/>
        <w:jc w:val="center"/>
        <w:rPr>
          <w:sz w:val="22"/>
          <w:szCs w:val="22"/>
        </w:rPr>
      </w:pPr>
      <w:r w:rsidRPr="0037637D">
        <w:rPr>
          <w:sz w:val="22"/>
          <w:szCs w:val="22"/>
        </w:rPr>
        <w:lastRenderedPageBreak/>
        <w:t xml:space="preserve">SPECIAL MEETING ON TOPICS OF CURRENT INTEREST </w:t>
      </w:r>
      <w:r w:rsidRPr="0037637D">
        <w:rPr>
          <w:sz w:val="22"/>
          <w:szCs w:val="22"/>
        </w:rPr>
        <w:br/>
        <w:t>IN INTERNATIONAL HUMANITARIAN LAW</w:t>
      </w:r>
    </w:p>
    <w:p w14:paraId="4CCDB431" w14:textId="77777777" w:rsidR="0076068F" w:rsidRPr="0037637D" w:rsidRDefault="0076068F" w:rsidP="0076068F">
      <w:pPr>
        <w:tabs>
          <w:tab w:val="center" w:pos="2160"/>
        </w:tabs>
        <w:ind w:right="1883"/>
        <w:rPr>
          <w:sz w:val="22"/>
          <w:szCs w:val="22"/>
        </w:rPr>
      </w:pPr>
    </w:p>
    <w:p w14:paraId="0A869E7C" w14:textId="77777777" w:rsidR="0076068F" w:rsidRPr="0037637D" w:rsidRDefault="0076068F" w:rsidP="0076068F">
      <w:pPr>
        <w:tabs>
          <w:tab w:val="center" w:pos="2160"/>
        </w:tabs>
        <w:ind w:right="1883"/>
        <w:rPr>
          <w:sz w:val="22"/>
          <w:szCs w:val="22"/>
        </w:rPr>
      </w:pPr>
    </w:p>
    <w:p w14:paraId="697AB6FD" w14:textId="77777777" w:rsidR="0076068F" w:rsidRPr="0037637D" w:rsidRDefault="0076068F" w:rsidP="0076068F">
      <w:pPr>
        <w:ind w:left="2880"/>
        <w:jc w:val="both"/>
        <w:rPr>
          <w:sz w:val="22"/>
          <w:szCs w:val="22"/>
        </w:rPr>
      </w:pPr>
      <w:r w:rsidRPr="0037637D">
        <w:rPr>
          <w:sz w:val="22"/>
          <w:szCs w:val="22"/>
          <w:u w:val="single"/>
        </w:rPr>
        <w:t>Date</w:t>
      </w:r>
      <w:r w:rsidRPr="0037637D">
        <w:rPr>
          <w:sz w:val="22"/>
          <w:szCs w:val="22"/>
        </w:rPr>
        <w:t>:</w:t>
      </w:r>
      <w:r w:rsidRPr="0037637D">
        <w:rPr>
          <w:sz w:val="22"/>
          <w:szCs w:val="22"/>
        </w:rPr>
        <w:tab/>
        <w:t>Thursday, April 29, 2021</w:t>
      </w:r>
    </w:p>
    <w:p w14:paraId="23CAEDBD" w14:textId="77777777" w:rsidR="0076068F" w:rsidRPr="0037637D" w:rsidRDefault="0076068F" w:rsidP="0076068F">
      <w:pPr>
        <w:ind w:left="2880"/>
        <w:rPr>
          <w:sz w:val="22"/>
          <w:szCs w:val="22"/>
        </w:rPr>
      </w:pPr>
      <w:r w:rsidRPr="0037637D">
        <w:rPr>
          <w:sz w:val="22"/>
          <w:szCs w:val="22"/>
          <w:u w:val="single"/>
        </w:rPr>
        <w:t>Time</w:t>
      </w:r>
      <w:r w:rsidRPr="0037637D">
        <w:rPr>
          <w:sz w:val="22"/>
          <w:szCs w:val="22"/>
        </w:rPr>
        <w:t>:</w:t>
      </w:r>
      <w:r w:rsidRPr="0037637D">
        <w:rPr>
          <w:sz w:val="22"/>
          <w:szCs w:val="22"/>
        </w:rPr>
        <w:tab/>
        <w:t>2:30 p.m. to 5:30 p.m.</w:t>
      </w:r>
    </w:p>
    <w:p w14:paraId="3B0F3FBB" w14:textId="77777777" w:rsidR="0076068F" w:rsidRPr="0037637D" w:rsidRDefault="0076068F" w:rsidP="0076068F">
      <w:pPr>
        <w:ind w:left="2880"/>
        <w:jc w:val="both"/>
        <w:rPr>
          <w:sz w:val="22"/>
          <w:szCs w:val="22"/>
        </w:rPr>
      </w:pPr>
      <w:r w:rsidRPr="0037637D">
        <w:rPr>
          <w:sz w:val="22"/>
          <w:szCs w:val="22"/>
          <w:u w:val="single"/>
        </w:rPr>
        <w:t>Place</w:t>
      </w:r>
      <w:r w:rsidRPr="0037637D">
        <w:rPr>
          <w:sz w:val="22"/>
          <w:szCs w:val="22"/>
        </w:rPr>
        <w:t>:</w:t>
      </w:r>
      <w:r w:rsidRPr="0037637D">
        <w:rPr>
          <w:sz w:val="22"/>
          <w:szCs w:val="22"/>
        </w:rPr>
        <w:tab/>
        <w:t>Virtual</w:t>
      </w:r>
    </w:p>
    <w:p w14:paraId="530CBB21" w14:textId="77777777" w:rsidR="0076068F" w:rsidRPr="0037637D" w:rsidRDefault="0076068F" w:rsidP="0076068F">
      <w:pPr>
        <w:autoSpaceDE w:val="0"/>
        <w:autoSpaceDN w:val="0"/>
        <w:adjustRightInd w:val="0"/>
        <w:jc w:val="both"/>
        <w:rPr>
          <w:color w:val="000000"/>
          <w:sz w:val="22"/>
          <w:szCs w:val="22"/>
          <w:lang w:eastAsia="fr-CH"/>
        </w:rPr>
      </w:pPr>
    </w:p>
    <w:p w14:paraId="2A73C4CB" w14:textId="77777777" w:rsidR="0076068F" w:rsidRPr="0037637D" w:rsidRDefault="0076068F" w:rsidP="0076068F">
      <w:pPr>
        <w:autoSpaceDE w:val="0"/>
        <w:autoSpaceDN w:val="0"/>
        <w:adjustRightInd w:val="0"/>
        <w:ind w:firstLine="720"/>
        <w:jc w:val="both"/>
        <w:rPr>
          <w:sz w:val="22"/>
          <w:szCs w:val="22"/>
        </w:rPr>
      </w:pPr>
      <w:r w:rsidRPr="0037637D">
        <w:rPr>
          <w:sz w:val="22"/>
          <w:szCs w:val="22"/>
        </w:rPr>
        <w:t>General Assembly resolution AG/RES.</w:t>
      </w:r>
      <w:r w:rsidRPr="0037637D">
        <w:rPr>
          <w:bCs/>
          <w:sz w:val="22"/>
          <w:szCs w:val="22"/>
        </w:rPr>
        <w:t xml:space="preserve"> 2959 (L-O/20)</w:t>
      </w:r>
      <w:r w:rsidRPr="0037637D">
        <w:rPr>
          <w:sz w:val="22"/>
          <w:szCs w:val="22"/>
        </w:rPr>
        <w:t>, “Promotion of and respect for international humanitarian law,” instructed the General Secretariat to continue strengthening cooperation between the OAS and the International Committee of the Red Cross (ICRC)</w:t>
      </w:r>
      <w:r w:rsidRPr="0037637D">
        <w:rPr>
          <w:color w:val="000000"/>
          <w:sz w:val="22"/>
          <w:szCs w:val="22"/>
        </w:rPr>
        <w:t xml:space="preserve"> in promoting respect for international humanitarian law and the principles that govern that law; and instructed the Permanent Council to hold a special meeting in the first half of 2021 on topics of current interest in international humanitarian law, such as the applicability of this regulation to the issue of lethal autonomous weapons.</w:t>
      </w:r>
    </w:p>
    <w:p w14:paraId="3651777D" w14:textId="77777777" w:rsidR="0076068F" w:rsidRPr="0037637D" w:rsidRDefault="0076068F" w:rsidP="0076068F">
      <w:pPr>
        <w:autoSpaceDE w:val="0"/>
        <w:autoSpaceDN w:val="0"/>
        <w:adjustRightInd w:val="0"/>
        <w:jc w:val="both"/>
        <w:rPr>
          <w:sz w:val="22"/>
          <w:szCs w:val="22"/>
        </w:rPr>
      </w:pPr>
    </w:p>
    <w:p w14:paraId="6E61C4C8" w14:textId="77777777" w:rsidR="0076068F" w:rsidRPr="0037637D" w:rsidRDefault="0076068F" w:rsidP="0076068F">
      <w:pPr>
        <w:autoSpaceDE w:val="0"/>
        <w:autoSpaceDN w:val="0"/>
        <w:adjustRightInd w:val="0"/>
        <w:jc w:val="both"/>
        <w:rPr>
          <w:sz w:val="22"/>
          <w:szCs w:val="22"/>
        </w:rPr>
      </w:pPr>
    </w:p>
    <w:p w14:paraId="37C72CB6" w14:textId="77777777" w:rsidR="0076068F" w:rsidRPr="0037637D" w:rsidRDefault="0076068F" w:rsidP="0076068F">
      <w:pPr>
        <w:suppressAutoHyphens/>
        <w:jc w:val="center"/>
        <w:rPr>
          <w:sz w:val="22"/>
          <w:szCs w:val="22"/>
        </w:rPr>
      </w:pPr>
      <w:r w:rsidRPr="0037637D">
        <w:rPr>
          <w:sz w:val="22"/>
          <w:szCs w:val="22"/>
        </w:rPr>
        <w:t>AGENDA</w:t>
      </w:r>
    </w:p>
    <w:p w14:paraId="6F0B05ED" w14:textId="77777777" w:rsidR="0076068F" w:rsidRPr="0037637D" w:rsidRDefault="0076068F" w:rsidP="0076068F">
      <w:pPr>
        <w:autoSpaceDE w:val="0"/>
        <w:autoSpaceDN w:val="0"/>
        <w:adjustRightInd w:val="0"/>
        <w:jc w:val="both"/>
        <w:rPr>
          <w:sz w:val="22"/>
          <w:szCs w:val="22"/>
        </w:rPr>
      </w:pPr>
    </w:p>
    <w:p w14:paraId="14EF3DB3" w14:textId="77777777" w:rsidR="0076068F" w:rsidRPr="0037637D" w:rsidRDefault="0076068F" w:rsidP="0076068F">
      <w:pPr>
        <w:widowControl w:val="0"/>
        <w:numPr>
          <w:ilvl w:val="0"/>
          <w:numId w:val="20"/>
        </w:numPr>
        <w:snapToGrid w:val="0"/>
        <w:ind w:left="720" w:hanging="720"/>
        <w:jc w:val="both"/>
        <w:rPr>
          <w:sz w:val="22"/>
          <w:szCs w:val="22"/>
        </w:rPr>
      </w:pPr>
      <w:r w:rsidRPr="0037637D">
        <w:rPr>
          <w:sz w:val="22"/>
          <w:szCs w:val="22"/>
        </w:rPr>
        <w:t>Opening remarks</w:t>
      </w:r>
    </w:p>
    <w:p w14:paraId="391EC562" w14:textId="77777777" w:rsidR="0076068F" w:rsidRPr="0037637D" w:rsidRDefault="0076068F" w:rsidP="0076068F">
      <w:pPr>
        <w:widowControl w:val="0"/>
        <w:snapToGrid w:val="0"/>
        <w:jc w:val="both"/>
        <w:rPr>
          <w:sz w:val="22"/>
          <w:szCs w:val="22"/>
        </w:rPr>
      </w:pPr>
    </w:p>
    <w:p w14:paraId="6C8713C5" w14:textId="77777777" w:rsidR="0076068F" w:rsidRPr="0037637D" w:rsidRDefault="0076068F" w:rsidP="0076068F">
      <w:pPr>
        <w:numPr>
          <w:ilvl w:val="1"/>
          <w:numId w:val="18"/>
        </w:numPr>
        <w:ind w:hanging="720"/>
        <w:contextualSpacing/>
        <w:jc w:val="both"/>
        <w:rPr>
          <w:sz w:val="22"/>
          <w:szCs w:val="22"/>
        </w:rPr>
      </w:pPr>
      <w:r w:rsidRPr="0037637D">
        <w:rPr>
          <w:sz w:val="22"/>
          <w:szCs w:val="22"/>
        </w:rPr>
        <w:t>Remarks by the Chair of the Committee on Juridical and Political Affairs, Ambassador Josué Fiallo, Permanent Representative of the Dominican Republic</w:t>
      </w:r>
    </w:p>
    <w:p w14:paraId="150E5E3C" w14:textId="77777777" w:rsidR="0076068F" w:rsidRPr="0037637D" w:rsidRDefault="0076068F" w:rsidP="0076068F">
      <w:pPr>
        <w:contextualSpacing/>
        <w:jc w:val="both"/>
        <w:rPr>
          <w:sz w:val="22"/>
          <w:szCs w:val="22"/>
        </w:rPr>
      </w:pPr>
    </w:p>
    <w:p w14:paraId="6341EC67" w14:textId="77777777" w:rsidR="0076068F" w:rsidRPr="0037637D" w:rsidRDefault="0076068F" w:rsidP="0076068F">
      <w:pPr>
        <w:numPr>
          <w:ilvl w:val="1"/>
          <w:numId w:val="18"/>
        </w:numPr>
        <w:ind w:hanging="720"/>
        <w:contextualSpacing/>
        <w:jc w:val="both"/>
        <w:rPr>
          <w:sz w:val="22"/>
          <w:szCs w:val="22"/>
        </w:rPr>
      </w:pPr>
      <w:r w:rsidRPr="0037637D">
        <w:rPr>
          <w:sz w:val="22"/>
          <w:szCs w:val="22"/>
        </w:rPr>
        <w:t xml:space="preserve">Remarks by the Director of the Department of International Law, OAS General Secretariat, Dante Negro: </w:t>
      </w:r>
      <w:hyperlink r:id="rId8" w:history="1">
        <w:r w:rsidRPr="0037637D">
          <w:rPr>
            <w:rStyle w:val="Hyperlink"/>
            <w:sz w:val="22"/>
            <w:szCs w:val="22"/>
            <w:lang w:val="en-US"/>
          </w:rPr>
          <w:t>Presentation</w:t>
        </w:r>
      </w:hyperlink>
    </w:p>
    <w:p w14:paraId="731705A1" w14:textId="77777777" w:rsidR="0076068F" w:rsidRPr="0037637D" w:rsidRDefault="0076068F" w:rsidP="0076068F">
      <w:pPr>
        <w:jc w:val="both"/>
        <w:rPr>
          <w:sz w:val="22"/>
          <w:szCs w:val="22"/>
        </w:rPr>
      </w:pPr>
    </w:p>
    <w:p w14:paraId="553FE600" w14:textId="77777777" w:rsidR="0076068F" w:rsidRPr="0037637D" w:rsidRDefault="0076068F" w:rsidP="0076068F">
      <w:pPr>
        <w:widowControl w:val="0"/>
        <w:numPr>
          <w:ilvl w:val="0"/>
          <w:numId w:val="20"/>
        </w:numPr>
        <w:snapToGrid w:val="0"/>
        <w:ind w:left="720" w:hanging="720"/>
        <w:jc w:val="both"/>
        <w:rPr>
          <w:sz w:val="22"/>
          <w:szCs w:val="22"/>
        </w:rPr>
      </w:pPr>
      <w:r w:rsidRPr="0037637D">
        <w:rPr>
          <w:sz w:val="22"/>
          <w:szCs w:val="22"/>
        </w:rPr>
        <w:t>Follow-up on the pledges and resolutions from the XXXIII International Conference of the Red Cross and Red Crescent and in particular the resolution on national implementation of international humanitarian law, including the meeting and digital platform of national commissions.</w:t>
      </w:r>
    </w:p>
    <w:p w14:paraId="0F67793A" w14:textId="77777777" w:rsidR="0076068F" w:rsidRPr="0037637D" w:rsidRDefault="0076068F" w:rsidP="0076068F">
      <w:pPr>
        <w:widowControl w:val="0"/>
        <w:snapToGrid w:val="0"/>
        <w:jc w:val="both"/>
        <w:rPr>
          <w:sz w:val="22"/>
          <w:szCs w:val="22"/>
        </w:rPr>
      </w:pPr>
    </w:p>
    <w:p w14:paraId="0FA256C7" w14:textId="77777777" w:rsidR="0076068F" w:rsidRPr="0037637D" w:rsidRDefault="0076068F" w:rsidP="0076068F">
      <w:pPr>
        <w:numPr>
          <w:ilvl w:val="0"/>
          <w:numId w:val="18"/>
        </w:numPr>
        <w:tabs>
          <w:tab w:val="left" w:pos="1440"/>
        </w:tabs>
        <w:ind w:left="1440" w:hanging="720"/>
        <w:jc w:val="both"/>
        <w:rPr>
          <w:sz w:val="22"/>
          <w:szCs w:val="22"/>
        </w:rPr>
      </w:pPr>
      <w:r w:rsidRPr="0037637D">
        <w:rPr>
          <w:sz w:val="22"/>
          <w:szCs w:val="22"/>
        </w:rPr>
        <w:t xml:space="preserve">Report by </w:t>
      </w:r>
      <w:hyperlink w:anchor="Romina" w:history="1">
        <w:r w:rsidRPr="0037637D">
          <w:rPr>
            <w:color w:val="0000FF"/>
            <w:sz w:val="22"/>
            <w:szCs w:val="22"/>
            <w:u w:val="single"/>
            <w:lang w:eastAsia="es-ES"/>
          </w:rPr>
          <w:t>Romina Morello</w:t>
        </w:r>
      </w:hyperlink>
      <w:r w:rsidRPr="0037637D">
        <w:rPr>
          <w:sz w:val="22"/>
          <w:szCs w:val="22"/>
        </w:rPr>
        <w:t xml:space="preserve"> ICRC Regional Legal Advisor for the Americas, on recent developments in IHL: </w:t>
      </w:r>
      <w:hyperlink r:id="rId9" w:history="1">
        <w:r w:rsidRPr="0037637D">
          <w:rPr>
            <w:rStyle w:val="Hyperlink"/>
            <w:sz w:val="22"/>
            <w:szCs w:val="22"/>
            <w:lang w:val="en-US"/>
          </w:rPr>
          <w:t>Presentation</w:t>
        </w:r>
      </w:hyperlink>
    </w:p>
    <w:p w14:paraId="61E7C651" w14:textId="77777777" w:rsidR="0076068F" w:rsidRPr="0037637D" w:rsidRDefault="0076068F" w:rsidP="0076068F">
      <w:pPr>
        <w:jc w:val="both"/>
        <w:rPr>
          <w:sz w:val="22"/>
          <w:szCs w:val="22"/>
        </w:rPr>
      </w:pPr>
    </w:p>
    <w:p w14:paraId="13AFE9D8" w14:textId="77777777" w:rsidR="0076068F" w:rsidRPr="0037637D" w:rsidRDefault="0076068F" w:rsidP="0076068F">
      <w:pPr>
        <w:numPr>
          <w:ilvl w:val="0"/>
          <w:numId w:val="18"/>
        </w:numPr>
        <w:tabs>
          <w:tab w:val="left" w:pos="1440"/>
        </w:tabs>
        <w:ind w:left="1440" w:hanging="720"/>
        <w:jc w:val="both"/>
        <w:rPr>
          <w:sz w:val="22"/>
          <w:szCs w:val="22"/>
        </w:rPr>
      </w:pPr>
      <w:r w:rsidRPr="0037637D">
        <w:rPr>
          <w:sz w:val="22"/>
          <w:szCs w:val="22"/>
        </w:rPr>
        <w:t>Comments by delegations of the member states</w:t>
      </w:r>
    </w:p>
    <w:p w14:paraId="5EAAC3D5" w14:textId="77777777" w:rsidR="0076068F" w:rsidRPr="0037637D" w:rsidRDefault="0076068F" w:rsidP="0076068F">
      <w:pPr>
        <w:jc w:val="both"/>
        <w:rPr>
          <w:sz w:val="22"/>
          <w:szCs w:val="22"/>
        </w:rPr>
      </w:pPr>
    </w:p>
    <w:p w14:paraId="58279D57" w14:textId="77777777" w:rsidR="0076068F" w:rsidRPr="0037637D" w:rsidRDefault="0076068F" w:rsidP="0076068F">
      <w:pPr>
        <w:widowControl w:val="0"/>
        <w:numPr>
          <w:ilvl w:val="0"/>
          <w:numId w:val="20"/>
        </w:numPr>
        <w:snapToGrid w:val="0"/>
        <w:ind w:left="720" w:hanging="720"/>
        <w:jc w:val="both"/>
        <w:rPr>
          <w:sz w:val="22"/>
          <w:szCs w:val="22"/>
        </w:rPr>
      </w:pPr>
      <w:r w:rsidRPr="0037637D">
        <w:rPr>
          <w:sz w:val="22"/>
          <w:szCs w:val="22"/>
        </w:rPr>
        <w:t xml:space="preserve">Topic of current interest in international humanitarian law </w:t>
      </w:r>
    </w:p>
    <w:p w14:paraId="02CC0014" w14:textId="77777777" w:rsidR="0076068F" w:rsidRPr="0037637D" w:rsidRDefault="0076068F" w:rsidP="0076068F">
      <w:pPr>
        <w:widowControl w:val="0"/>
        <w:snapToGrid w:val="0"/>
        <w:jc w:val="both"/>
        <w:rPr>
          <w:sz w:val="22"/>
          <w:szCs w:val="22"/>
        </w:rPr>
      </w:pPr>
    </w:p>
    <w:p w14:paraId="672BC133" w14:textId="77777777" w:rsidR="0076068F" w:rsidRPr="0037637D" w:rsidRDefault="0076068F" w:rsidP="0076068F">
      <w:pPr>
        <w:numPr>
          <w:ilvl w:val="0"/>
          <w:numId w:val="18"/>
        </w:numPr>
        <w:tabs>
          <w:tab w:val="left" w:pos="1440"/>
        </w:tabs>
        <w:ind w:left="1440" w:hanging="720"/>
        <w:jc w:val="both"/>
        <w:rPr>
          <w:color w:val="000000" w:themeColor="text1"/>
          <w:sz w:val="22"/>
          <w:szCs w:val="22"/>
          <w:u w:val="single"/>
        </w:rPr>
      </w:pPr>
      <w:r w:rsidRPr="0037637D">
        <w:rPr>
          <w:sz w:val="22"/>
          <w:szCs w:val="22"/>
        </w:rPr>
        <w:t xml:space="preserve">Presentation by </w:t>
      </w:r>
      <w:hyperlink w:anchor="Helen" w:history="1">
        <w:r w:rsidRPr="0037637D">
          <w:rPr>
            <w:color w:val="0000FF"/>
            <w:sz w:val="22"/>
            <w:szCs w:val="22"/>
            <w:u w:val="single"/>
            <w:lang w:eastAsia="es-ES"/>
          </w:rPr>
          <w:t>Helen Obregón Gieseken</w:t>
        </w:r>
      </w:hyperlink>
      <w:r w:rsidRPr="0037637D">
        <w:rPr>
          <w:sz w:val="22"/>
          <w:szCs w:val="22"/>
        </w:rPr>
        <w:t xml:space="preserve">, ICRC Legal Advisor, on </w:t>
      </w:r>
      <w:r w:rsidRPr="0037637D">
        <w:rPr>
          <w:color w:val="0000FF"/>
          <w:sz w:val="22"/>
          <w:szCs w:val="22"/>
        </w:rPr>
        <w:t>“</w:t>
      </w:r>
      <w:hyperlink r:id="rId10" w:history="1">
        <w:r w:rsidRPr="0037637D">
          <w:rPr>
            <w:color w:val="0000FF"/>
            <w:sz w:val="22"/>
            <w:szCs w:val="22"/>
            <w:u w:val="single"/>
            <w:lang w:eastAsia="es-ES"/>
          </w:rPr>
          <w:t>Guidelines on the Protection of the Natural Environment in Armed Conflict</w:t>
        </w:r>
      </w:hyperlink>
      <w:r w:rsidRPr="0037637D">
        <w:rPr>
          <w:color w:val="0000FF"/>
          <w:sz w:val="22"/>
          <w:szCs w:val="22"/>
        </w:rPr>
        <w:t xml:space="preserve">”: </w:t>
      </w:r>
      <w:hyperlink r:id="rId11" w:history="1">
        <w:r w:rsidRPr="0037637D">
          <w:rPr>
            <w:rStyle w:val="Hyperlink"/>
            <w:sz w:val="22"/>
            <w:szCs w:val="22"/>
            <w:lang w:val="en-US"/>
          </w:rPr>
          <w:t>Presentation</w:t>
        </w:r>
      </w:hyperlink>
    </w:p>
    <w:p w14:paraId="149FBBBE" w14:textId="77777777" w:rsidR="0076068F" w:rsidRPr="0037637D" w:rsidRDefault="0076068F" w:rsidP="0076068F">
      <w:pPr>
        <w:rPr>
          <w:color w:val="000000"/>
          <w:sz w:val="22"/>
          <w:szCs w:val="22"/>
        </w:rPr>
      </w:pPr>
    </w:p>
    <w:p w14:paraId="4EF215F4" w14:textId="77777777" w:rsidR="0076068F" w:rsidRPr="0037637D" w:rsidRDefault="0076068F" w:rsidP="0076068F">
      <w:pPr>
        <w:numPr>
          <w:ilvl w:val="0"/>
          <w:numId w:val="18"/>
        </w:numPr>
        <w:tabs>
          <w:tab w:val="left" w:pos="1440"/>
        </w:tabs>
        <w:ind w:left="1440" w:hanging="720"/>
        <w:jc w:val="both"/>
        <w:rPr>
          <w:color w:val="000000"/>
          <w:sz w:val="22"/>
          <w:szCs w:val="22"/>
        </w:rPr>
      </w:pPr>
      <w:r w:rsidRPr="0037637D">
        <w:rPr>
          <w:sz w:val="22"/>
          <w:szCs w:val="22"/>
        </w:rPr>
        <w:t xml:space="preserve">Presentation by </w:t>
      </w:r>
      <w:hyperlink w:anchor="Maya" w:history="1">
        <w:r w:rsidRPr="0037637D">
          <w:rPr>
            <w:color w:val="0000FF"/>
            <w:sz w:val="22"/>
            <w:szCs w:val="22"/>
            <w:u w:val="single"/>
            <w:lang w:eastAsia="es-ES"/>
          </w:rPr>
          <w:t>Maya Brehm</w:t>
        </w:r>
      </w:hyperlink>
      <w:r w:rsidRPr="0037637D">
        <w:rPr>
          <w:sz w:val="22"/>
          <w:szCs w:val="22"/>
        </w:rPr>
        <w:t>, legal adviser in the ICRC Arms and Conduct of Hostilities Unit, on the topic: “New technologies</w:t>
      </w:r>
      <w:r w:rsidRPr="0037637D">
        <w:rPr>
          <w:color w:val="000000"/>
          <w:sz w:val="22"/>
          <w:szCs w:val="22"/>
        </w:rPr>
        <w:t>: autonomous weapons systems:”</w:t>
      </w:r>
      <w:r w:rsidRPr="0037637D">
        <w:rPr>
          <w:color w:val="000000"/>
          <w:sz w:val="22"/>
          <w:szCs w:val="22"/>
          <w:u w:val="single"/>
          <w:vertAlign w:val="superscript"/>
          <w:lang w:val="es-MX"/>
        </w:rPr>
        <w:footnoteReference w:id="1"/>
      </w:r>
      <w:r w:rsidRPr="0037637D">
        <w:rPr>
          <w:color w:val="000000"/>
          <w:sz w:val="22"/>
          <w:szCs w:val="22"/>
          <w:vertAlign w:val="superscript"/>
        </w:rPr>
        <w:t xml:space="preserve">/ </w:t>
      </w:r>
      <w:r w:rsidRPr="0037637D">
        <w:rPr>
          <w:color w:val="000000"/>
          <w:sz w:val="22"/>
          <w:szCs w:val="22"/>
        </w:rPr>
        <w:t xml:space="preserve">: </w:t>
      </w:r>
      <w:hyperlink r:id="rId12" w:history="1">
        <w:r w:rsidRPr="0037637D">
          <w:rPr>
            <w:rStyle w:val="Hyperlink"/>
            <w:sz w:val="22"/>
            <w:szCs w:val="22"/>
            <w:lang w:val="en-US"/>
          </w:rPr>
          <w:t>Presentation</w:t>
        </w:r>
      </w:hyperlink>
    </w:p>
    <w:p w14:paraId="384118BE" w14:textId="77777777" w:rsidR="0076068F" w:rsidRPr="0037637D" w:rsidRDefault="0076068F" w:rsidP="0076068F">
      <w:pPr>
        <w:numPr>
          <w:ilvl w:val="0"/>
          <w:numId w:val="18"/>
        </w:numPr>
        <w:tabs>
          <w:tab w:val="left" w:pos="1440"/>
        </w:tabs>
        <w:ind w:left="1440" w:hanging="720"/>
        <w:jc w:val="both"/>
        <w:rPr>
          <w:sz w:val="22"/>
          <w:szCs w:val="22"/>
        </w:rPr>
      </w:pPr>
      <w:r w:rsidRPr="0037637D">
        <w:rPr>
          <w:sz w:val="22"/>
          <w:szCs w:val="22"/>
        </w:rPr>
        <w:t>Comments by delegations of the member states</w:t>
      </w:r>
    </w:p>
    <w:p w14:paraId="345F0877" w14:textId="5C2AB45C" w:rsidR="0076068F" w:rsidRPr="0037637D" w:rsidRDefault="0076068F" w:rsidP="0076068F">
      <w:pPr>
        <w:ind w:left="708"/>
        <w:rPr>
          <w:sz w:val="22"/>
          <w:szCs w:val="22"/>
        </w:rPr>
      </w:pPr>
      <w:r w:rsidRPr="0037637D">
        <w:rPr>
          <w:noProof/>
          <w:sz w:val="22"/>
          <w:szCs w:val="22"/>
        </w:rPr>
        <w:lastRenderedPageBreak/>
        <w:drawing>
          <wp:inline distT="0" distB="0" distL="0" distR="0" wp14:anchorId="0AB890D6" wp14:editId="395A66E8">
            <wp:extent cx="1137285" cy="970280"/>
            <wp:effectExtent l="0" t="0" r="5715" b="1270"/>
            <wp:docPr id="11" name="Picture 11"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970280"/>
                    </a:xfrm>
                    <a:prstGeom prst="rect">
                      <a:avLst/>
                    </a:prstGeom>
                    <a:noFill/>
                    <a:ln>
                      <a:noFill/>
                    </a:ln>
                  </pic:spPr>
                </pic:pic>
              </a:graphicData>
            </a:graphic>
          </wp:inline>
        </w:drawing>
      </w:r>
    </w:p>
    <w:p w14:paraId="3CD49619" w14:textId="77777777" w:rsidR="0076068F" w:rsidRPr="0037637D" w:rsidRDefault="0076068F" w:rsidP="0076068F">
      <w:pPr>
        <w:ind w:left="708"/>
        <w:rPr>
          <w:sz w:val="22"/>
          <w:szCs w:val="22"/>
        </w:rPr>
      </w:pPr>
    </w:p>
    <w:p w14:paraId="428F00E4" w14:textId="77777777" w:rsidR="0076068F" w:rsidRPr="0037637D" w:rsidRDefault="0076068F" w:rsidP="0076068F">
      <w:pPr>
        <w:ind w:left="708"/>
        <w:jc w:val="center"/>
        <w:rPr>
          <w:b/>
          <w:bCs/>
          <w:sz w:val="22"/>
          <w:szCs w:val="22"/>
        </w:rPr>
      </w:pPr>
      <w:bookmarkStart w:id="0" w:name="Romina"/>
      <w:r w:rsidRPr="0037637D">
        <w:rPr>
          <w:b/>
          <w:bCs/>
          <w:sz w:val="22"/>
          <w:szCs w:val="22"/>
        </w:rPr>
        <w:t>Romina Morello</w:t>
      </w:r>
    </w:p>
    <w:bookmarkEnd w:id="0"/>
    <w:p w14:paraId="0322136F" w14:textId="77777777" w:rsidR="0076068F" w:rsidRPr="0037637D" w:rsidRDefault="0076068F" w:rsidP="0076068F">
      <w:pPr>
        <w:ind w:left="708"/>
        <w:jc w:val="center"/>
        <w:rPr>
          <w:b/>
          <w:bCs/>
          <w:sz w:val="22"/>
          <w:szCs w:val="22"/>
        </w:rPr>
      </w:pPr>
      <w:r w:rsidRPr="0037637D">
        <w:rPr>
          <w:b/>
          <w:bCs/>
          <w:sz w:val="22"/>
          <w:szCs w:val="22"/>
        </w:rPr>
        <w:t>Regional Legal Advisor for the Americas</w:t>
      </w:r>
    </w:p>
    <w:p w14:paraId="4D502C51" w14:textId="77777777" w:rsidR="0076068F" w:rsidRPr="0037637D" w:rsidRDefault="0076068F" w:rsidP="0076068F">
      <w:pPr>
        <w:ind w:left="708"/>
        <w:jc w:val="center"/>
        <w:rPr>
          <w:sz w:val="22"/>
          <w:szCs w:val="22"/>
        </w:rPr>
      </w:pPr>
      <w:r w:rsidRPr="0037637D">
        <w:rPr>
          <w:b/>
          <w:bCs/>
          <w:sz w:val="22"/>
          <w:szCs w:val="22"/>
        </w:rPr>
        <w:t>International Committee of the Red Cross</w:t>
      </w:r>
    </w:p>
    <w:p w14:paraId="17C0F29A" w14:textId="77777777" w:rsidR="0076068F" w:rsidRPr="0037637D" w:rsidRDefault="0076068F" w:rsidP="0076068F">
      <w:pPr>
        <w:spacing w:before="100" w:beforeAutospacing="1" w:after="100" w:afterAutospacing="1"/>
        <w:ind w:left="708"/>
        <w:jc w:val="both"/>
        <w:rPr>
          <w:sz w:val="22"/>
          <w:szCs w:val="22"/>
        </w:rPr>
      </w:pPr>
      <w:r w:rsidRPr="0037637D">
        <w:rPr>
          <w:sz w:val="22"/>
          <w:szCs w:val="22"/>
        </w:rPr>
        <w:t xml:space="preserve">Romina Morello is the Regional Legal Advisor for the Americas of the ICRC. She focuses, inter alia, on coordinating the ICRC ́s Legal Advisors of the Americas to reach the institutional and the delegations’ objectives aimed at promoting and integrating IHL and other relevant norms, with a view to enhancing respect thereof, improving the ICRC’s dialogue with national authorities and relevant regional organizations, and facilitating the ICRC operational activities and priorities of the Americas Region. Moreover, Romina contributes to the operationalization of the Panama Regional Delegation Prevention strategy responding to identified humanitarian problems in each context. Her work as part of the ICRC Pan-American Center of Expertise (PACE) includes supporting key thematic issues, researching and drafting ICRC position papers. Before joining the ICRC, Romina worked at the International Criminal Court, Parliamentarians for Global Action, the Prosecution Office in Argentina and an international law firm. Romina holds a Master of Laws (LL.M.) in International Public Law (Leiden University, the Netherlands) and a Law degree (Universidad Católica de Córdoba, Argentina). </w:t>
      </w:r>
    </w:p>
    <w:p w14:paraId="6027B9E3" w14:textId="5B4A99A1" w:rsidR="0076068F" w:rsidRPr="0037637D" w:rsidRDefault="0076068F" w:rsidP="0076068F">
      <w:pPr>
        <w:autoSpaceDE w:val="0"/>
        <w:autoSpaceDN w:val="0"/>
        <w:adjustRightInd w:val="0"/>
        <w:ind w:left="708"/>
        <w:contextualSpacing/>
        <w:jc w:val="both"/>
        <w:rPr>
          <w:sz w:val="22"/>
          <w:szCs w:val="22"/>
        </w:rPr>
      </w:pPr>
      <w:r w:rsidRPr="0037637D">
        <w:rPr>
          <w:noProof/>
          <w:sz w:val="22"/>
          <w:szCs w:val="22"/>
        </w:rPr>
        <mc:AlternateContent>
          <mc:Choice Requires="wps">
            <w:drawing>
              <wp:anchor distT="0" distB="0" distL="114300" distR="114300" simplePos="0" relativeHeight="251659264" behindDoc="0" locked="1" layoutInCell="1" allowOverlap="1" wp14:anchorId="6BB9D101" wp14:editId="12C644D0">
                <wp:simplePos x="0" y="0"/>
                <wp:positionH relativeFrom="column">
                  <wp:posOffset>-91440</wp:posOffset>
                </wp:positionH>
                <wp:positionV relativeFrom="page">
                  <wp:posOffset>10469880</wp:posOffset>
                </wp:positionV>
                <wp:extent cx="1792605" cy="1206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wps:spPr>
                      <wps:txbx>
                        <w:txbxContent>
                          <w:p w14:paraId="5320AC11" w14:textId="77777777" w:rsidR="0076068F" w:rsidRDefault="0076068F" w:rsidP="0076068F">
                            <w:pPr>
                              <w:rPr>
                                <w:sz w:val="18"/>
                              </w:rPr>
                            </w:pPr>
                            <w:r>
                              <w:rPr>
                                <w:sz w:val="18"/>
                              </w:rPr>
                              <w:fldChar w:fldCharType="begin"/>
                            </w:r>
                            <w:r>
                              <w:rPr>
                                <w:sz w:val="18"/>
                              </w:rPr>
                              <w:instrText xml:space="preserve"> FILENAME  \* MERGEFORMAT </w:instrText>
                            </w:r>
                            <w:r>
                              <w:rPr>
                                <w:sz w:val="18"/>
                              </w:rPr>
                              <w:fldChar w:fldCharType="separate"/>
                            </w:r>
                            <w:r>
                              <w:rPr>
                                <w:noProof/>
                                <w:sz w:val="18"/>
                              </w:rPr>
                              <w:t>CP43621E05.docx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D101" id="_x0000_t202" coordsize="21600,21600" o:spt="202" path="m,l,21600r21600,l21600,xe">
                <v:stroke joinstyle="miter"/>
                <v:path gradientshapeok="t" o:connecttype="rect"/>
              </v:shapetype>
              <v:shape id="Text Box 14" o:spid="_x0000_s1026" type="#_x0000_t202" style="position:absolute;left:0;text-align:left;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" filled="f" stroked="f">
                <v:textbox>
                  <w:txbxContent>
                    <w:p w14:paraId="5320AC11" w14:textId="77777777" w:rsidR="0076068F" w:rsidRDefault="0076068F" w:rsidP="0076068F">
                      <w:pPr>
                        <w:rPr>
                          <w:sz w:val="18"/>
                        </w:rPr>
                      </w:pPr>
                      <w:r>
                        <w:rPr>
                          <w:sz w:val="18"/>
                        </w:rPr>
                        <w:fldChar w:fldCharType="begin"/>
                      </w:r>
                      <w:r>
                        <w:rPr>
                          <w:sz w:val="18"/>
                        </w:rPr>
                        <w:instrText xml:space="preserve"> FILENAME  \* MERGEFORMAT </w:instrText>
                      </w:r>
                      <w:r>
                        <w:rPr>
                          <w:sz w:val="18"/>
                        </w:rPr>
                        <w:fldChar w:fldCharType="separate"/>
                      </w:r>
                      <w:r>
                        <w:rPr>
                          <w:noProof/>
                          <w:sz w:val="18"/>
                        </w:rPr>
                        <w:t>CP43621E05.docx</w:t>
                      </w:r>
                      <w:r>
                        <w:rPr>
                          <w:sz w:val="18"/>
                        </w:rPr>
                        <w:fldChar w:fldCharType="end"/>
                      </w:r>
                    </w:p>
                  </w:txbxContent>
                </v:textbox>
                <w10:wrap anchory="page"/>
                <w10:anchorlock/>
              </v:shape>
            </w:pict>
          </mc:Fallback>
        </mc:AlternateContent>
      </w:r>
      <w:r w:rsidRPr="0037637D">
        <w:rPr>
          <w:noProof/>
          <w:sz w:val="22"/>
          <w:szCs w:val="22"/>
        </w:rPr>
        <mc:AlternateContent>
          <mc:Choice Requires="wps">
            <w:drawing>
              <wp:anchor distT="0" distB="0" distL="118745" distR="118745" simplePos="0" relativeHeight="251660288" behindDoc="0" locked="1" layoutInCell="1" allowOverlap="1" wp14:anchorId="52940195" wp14:editId="4C426443">
                <wp:simplePos x="0" y="0"/>
                <wp:positionH relativeFrom="column">
                  <wp:posOffset>-424815</wp:posOffset>
                </wp:positionH>
                <wp:positionV relativeFrom="page">
                  <wp:posOffset>9439275</wp:posOffset>
                </wp:positionV>
                <wp:extent cx="338328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75DF3F" w14:textId="77777777" w:rsidR="0076068F" w:rsidRDefault="0076068F" w:rsidP="0076068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940195" id="Text Box 13" o:spid="_x0000_s1027" type="#_x0000_t202" style="position:absolute;left:0;text-align:left;margin-left:-33.45pt;margin-top:743.25pt;width:266.4pt;height:18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RsggIAAAs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" filled="f" stroked="f">
                <v:stroke joinstyle="round"/>
                <v:textbox>
                  <w:txbxContent>
                    <w:p w14:paraId="2775DF3F" w14:textId="77777777" w:rsidR="0076068F" w:rsidRDefault="0076068F" w:rsidP="0076068F">
                      <w:pPr>
                        <w:rPr>
                          <w:sz w:val="18"/>
                        </w:rPr>
                      </w:pPr>
                    </w:p>
                  </w:txbxContent>
                </v:textbox>
                <w10:wrap anchory="page"/>
                <w10:anchorlock/>
              </v:shape>
            </w:pict>
          </mc:Fallback>
        </mc:AlternateContent>
      </w:r>
    </w:p>
    <w:p w14:paraId="6F131F4A" w14:textId="3D87D06D" w:rsidR="0076068F" w:rsidRPr="0037637D" w:rsidRDefault="0076068F" w:rsidP="0076068F">
      <w:pPr>
        <w:autoSpaceDE w:val="0"/>
        <w:autoSpaceDN w:val="0"/>
        <w:adjustRightInd w:val="0"/>
        <w:ind w:left="708"/>
        <w:contextualSpacing/>
        <w:jc w:val="both"/>
        <w:rPr>
          <w:sz w:val="22"/>
          <w:szCs w:val="22"/>
        </w:rPr>
      </w:pPr>
      <w:r w:rsidRPr="0037637D">
        <w:rPr>
          <w:noProof/>
          <w:sz w:val="22"/>
          <w:szCs w:val="22"/>
        </w:rPr>
        <w:drawing>
          <wp:inline distT="0" distB="0" distL="0" distR="0" wp14:anchorId="65991EA8" wp14:editId="30F18BAA">
            <wp:extent cx="1137285" cy="970280"/>
            <wp:effectExtent l="0" t="0" r="5715" b="1270"/>
            <wp:docPr id="10" name="Picture 10"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970280"/>
                    </a:xfrm>
                    <a:prstGeom prst="rect">
                      <a:avLst/>
                    </a:prstGeom>
                    <a:noFill/>
                    <a:ln>
                      <a:noFill/>
                    </a:ln>
                  </pic:spPr>
                </pic:pic>
              </a:graphicData>
            </a:graphic>
          </wp:inline>
        </w:drawing>
      </w:r>
    </w:p>
    <w:p w14:paraId="4BA45451" w14:textId="77777777" w:rsidR="0076068F" w:rsidRPr="0037637D" w:rsidRDefault="0076068F" w:rsidP="0076068F">
      <w:pPr>
        <w:autoSpaceDE w:val="0"/>
        <w:autoSpaceDN w:val="0"/>
        <w:adjustRightInd w:val="0"/>
        <w:ind w:left="708"/>
        <w:contextualSpacing/>
        <w:jc w:val="both"/>
        <w:rPr>
          <w:sz w:val="22"/>
          <w:szCs w:val="22"/>
        </w:rPr>
      </w:pPr>
    </w:p>
    <w:p w14:paraId="7A4379C5" w14:textId="77777777" w:rsidR="0076068F" w:rsidRPr="0037637D" w:rsidRDefault="0076068F" w:rsidP="0076068F">
      <w:pPr>
        <w:ind w:left="708"/>
        <w:jc w:val="center"/>
        <w:rPr>
          <w:b/>
          <w:bCs/>
          <w:sz w:val="22"/>
          <w:szCs w:val="22"/>
        </w:rPr>
      </w:pPr>
      <w:bookmarkStart w:id="1" w:name="Helen"/>
      <w:r w:rsidRPr="0037637D">
        <w:rPr>
          <w:b/>
          <w:bCs/>
          <w:sz w:val="22"/>
          <w:szCs w:val="22"/>
        </w:rPr>
        <w:t>Helen Obregón Gieseken</w:t>
      </w:r>
      <w:bookmarkEnd w:id="1"/>
      <w:r w:rsidRPr="0037637D">
        <w:rPr>
          <w:b/>
          <w:bCs/>
          <w:sz w:val="22"/>
          <w:szCs w:val="22"/>
        </w:rPr>
        <w:br/>
        <w:t>Legal Adviser</w:t>
      </w:r>
      <w:r w:rsidRPr="0037637D">
        <w:rPr>
          <w:b/>
          <w:bCs/>
          <w:sz w:val="22"/>
          <w:szCs w:val="22"/>
        </w:rPr>
        <w:br/>
        <w:t xml:space="preserve">International Committee of the Red Cross </w:t>
      </w:r>
    </w:p>
    <w:p w14:paraId="09A36C50" w14:textId="77777777" w:rsidR="0076068F" w:rsidRPr="0037637D" w:rsidRDefault="0076068F" w:rsidP="0076068F">
      <w:pPr>
        <w:spacing w:before="100" w:beforeAutospacing="1" w:after="100" w:afterAutospacing="1"/>
        <w:ind w:left="708"/>
        <w:jc w:val="both"/>
        <w:rPr>
          <w:sz w:val="22"/>
          <w:szCs w:val="22"/>
        </w:rPr>
      </w:pPr>
      <w:r w:rsidRPr="0037637D">
        <w:rPr>
          <w:sz w:val="22"/>
          <w:szCs w:val="22"/>
        </w:rPr>
        <w:t xml:space="preserve">Helen Obregón Gieseken has served as Legal Adviser within the ICRC’s Legal Division in Geneva since 2014. She focuses, among other issues, on the protection of the environment in situations of armed conflict. Previously, she worked for the ICRC/British Red Cross project on customary international humanitarian law. Before joining the ICRC, Helen worked for Oxfam International, TRIAL International and for the international cooperation agency of the Colombian government. Helen holds a Master of Laws (LL.M.) in International Humanitarian Law and Human Rights (Geneva Academy of International Humanitarian Law and Human Rights, Switzerland) and a Bachelor of Science in Foreign Service (Georgetown University, Washington, D.C.). </w:t>
      </w:r>
    </w:p>
    <w:p w14:paraId="5D7EE259" w14:textId="3EBA933F" w:rsidR="0076068F" w:rsidRPr="0037637D" w:rsidRDefault="0076068F" w:rsidP="0076068F">
      <w:pPr>
        <w:autoSpaceDE w:val="0"/>
        <w:autoSpaceDN w:val="0"/>
        <w:adjustRightInd w:val="0"/>
        <w:ind w:left="708"/>
        <w:contextualSpacing/>
        <w:jc w:val="both"/>
        <w:rPr>
          <w:sz w:val="22"/>
          <w:szCs w:val="22"/>
        </w:rPr>
      </w:pPr>
      <w:r w:rsidRPr="0037637D">
        <w:rPr>
          <w:noProof/>
          <w:sz w:val="22"/>
          <w:szCs w:val="22"/>
        </w:rPr>
        <w:lastRenderedPageBreak/>
        <w:drawing>
          <wp:inline distT="0" distB="0" distL="0" distR="0" wp14:anchorId="3E3A06B9" wp14:editId="5B895624">
            <wp:extent cx="1137285" cy="970280"/>
            <wp:effectExtent l="0" t="0" r="5715" b="1270"/>
            <wp:docPr id="6" name="Picture 6"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970280"/>
                    </a:xfrm>
                    <a:prstGeom prst="rect">
                      <a:avLst/>
                    </a:prstGeom>
                    <a:noFill/>
                    <a:ln>
                      <a:noFill/>
                    </a:ln>
                  </pic:spPr>
                </pic:pic>
              </a:graphicData>
            </a:graphic>
          </wp:inline>
        </w:drawing>
      </w:r>
    </w:p>
    <w:p w14:paraId="67BE4D64" w14:textId="77777777" w:rsidR="0076068F" w:rsidRPr="0037637D" w:rsidRDefault="0076068F" w:rsidP="0076068F">
      <w:pPr>
        <w:autoSpaceDE w:val="0"/>
        <w:autoSpaceDN w:val="0"/>
        <w:adjustRightInd w:val="0"/>
        <w:ind w:left="708"/>
        <w:contextualSpacing/>
        <w:jc w:val="both"/>
        <w:rPr>
          <w:sz w:val="22"/>
          <w:szCs w:val="22"/>
        </w:rPr>
      </w:pPr>
    </w:p>
    <w:p w14:paraId="0AABE619" w14:textId="77777777" w:rsidR="0076068F" w:rsidRPr="0037637D" w:rsidRDefault="0076068F" w:rsidP="0076068F">
      <w:pPr>
        <w:ind w:left="708"/>
        <w:jc w:val="center"/>
        <w:rPr>
          <w:b/>
          <w:bCs/>
          <w:sz w:val="22"/>
          <w:szCs w:val="22"/>
        </w:rPr>
      </w:pPr>
      <w:bookmarkStart w:id="2" w:name="Maya"/>
      <w:r w:rsidRPr="0037637D">
        <w:rPr>
          <w:b/>
          <w:bCs/>
          <w:sz w:val="22"/>
          <w:szCs w:val="22"/>
        </w:rPr>
        <w:t>Maya Brehm</w:t>
      </w:r>
      <w:bookmarkEnd w:id="2"/>
      <w:r w:rsidRPr="0037637D">
        <w:rPr>
          <w:b/>
          <w:bCs/>
          <w:sz w:val="22"/>
          <w:szCs w:val="22"/>
        </w:rPr>
        <w:br/>
        <w:t>Legal Adviser</w:t>
      </w:r>
      <w:r w:rsidRPr="0037637D">
        <w:rPr>
          <w:b/>
          <w:bCs/>
          <w:sz w:val="22"/>
          <w:szCs w:val="22"/>
        </w:rPr>
        <w:br/>
        <w:t xml:space="preserve">International Committee of the Red Cross </w:t>
      </w:r>
    </w:p>
    <w:p w14:paraId="7FA70EB7" w14:textId="77777777" w:rsidR="0076068F" w:rsidRPr="0037637D" w:rsidRDefault="0076068F" w:rsidP="0076068F">
      <w:pPr>
        <w:spacing w:before="100" w:beforeAutospacing="1" w:after="100" w:afterAutospacing="1"/>
        <w:ind w:left="708"/>
        <w:jc w:val="both"/>
        <w:rPr>
          <w:sz w:val="22"/>
          <w:szCs w:val="22"/>
        </w:rPr>
      </w:pPr>
      <w:r w:rsidRPr="0037637D">
        <w:rPr>
          <w:sz w:val="22"/>
          <w:szCs w:val="22"/>
        </w:rPr>
        <w:t xml:space="preserve">Maya Brehm is a legal adviser in the Arms and Conduct of Hostilities Unit of the Legal Division of the International Committee of the Red Cross (ICRC). Her present work focuses on IHL questions raised by new technologies of warfare, including increasing autonomy in weapons systems, and on the promotion of responsible arms transfers. Before joining the ICRC, Maya worked as a researcher, lecturer and policy advisor for academic institutions, civil society organizations and UN bodies in the fields of humanitarian action, disarmament and human rights. Maya holds an MA in international relations and an LLM in international humanitarian law. </w:t>
      </w:r>
    </w:p>
    <w:p w14:paraId="46EC872E" w14:textId="6D8D3B4D" w:rsidR="0076068F" w:rsidRPr="0037637D" w:rsidRDefault="0076068F" w:rsidP="0076068F">
      <w:pPr>
        <w:autoSpaceDE w:val="0"/>
        <w:autoSpaceDN w:val="0"/>
        <w:adjustRightInd w:val="0"/>
        <w:jc w:val="both"/>
        <w:rPr>
          <w:sz w:val="22"/>
          <w:szCs w:val="22"/>
        </w:rPr>
      </w:pPr>
      <w:r w:rsidRPr="0037637D">
        <w:rPr>
          <w:noProof/>
          <w:sz w:val="22"/>
          <w:szCs w:val="22"/>
        </w:rPr>
        <mc:AlternateContent>
          <mc:Choice Requires="wps">
            <w:drawing>
              <wp:anchor distT="0" distB="0" distL="118745" distR="118745" simplePos="0" relativeHeight="251661312" behindDoc="0" locked="1" layoutInCell="1" allowOverlap="1" wp14:anchorId="130D9277" wp14:editId="5EEAB777">
                <wp:simplePos x="0" y="0"/>
                <wp:positionH relativeFrom="column">
                  <wp:posOffset>-91440</wp:posOffset>
                </wp:positionH>
                <wp:positionV relativeFrom="page">
                  <wp:posOffset>9144000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00229E8" w14:textId="77777777" w:rsidR="0076068F" w:rsidRDefault="0076068F" w:rsidP="0076068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0D9277" id="Text Box 12" o:spid="_x0000_s1028" type="#_x0000_t202" style="position:absolute;left:0;text-align:left;margin-left:-7.2pt;margin-top:10in;width:266.4pt;height:18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ArZJi&#10;ggIAAAsFAAAOAAAAAAAAAAAAAAAAAC4CAABkcnMvZTJvRG9jLnhtbFBLAQItABQABgAIAAAAIQCi&#10;ImOP3gAAAA0BAAAPAAAAAAAAAAAAAAAAANwEAABkcnMvZG93bnJldi54bWxQSwUGAAAAAAQABADz&#10;AAAA5wUAAAAA&#10;" filled="f" stroked="f">
                <v:stroke joinstyle="round"/>
                <v:textbox>
                  <w:txbxContent>
                    <w:p w14:paraId="700229E8" w14:textId="77777777" w:rsidR="0076068F" w:rsidRDefault="0076068F" w:rsidP="0076068F">
                      <w:pPr>
                        <w:rPr>
                          <w:sz w:val="18"/>
                        </w:rPr>
                      </w:pPr>
                    </w:p>
                  </w:txbxContent>
                </v:textbox>
                <w10:wrap anchory="page"/>
                <w10:anchorlock/>
              </v:shape>
            </w:pict>
          </mc:Fallback>
        </mc:AlternateContent>
      </w:r>
    </w:p>
    <w:p w14:paraId="7B0ABD8F" w14:textId="77777777" w:rsidR="0076068F" w:rsidRPr="0037637D" w:rsidRDefault="0076068F" w:rsidP="0076068F">
      <w:pPr>
        <w:rPr>
          <w:sz w:val="22"/>
          <w:szCs w:val="22"/>
        </w:rPr>
      </w:pPr>
    </w:p>
    <w:p w14:paraId="1EBEDDB0" w14:textId="6FE97EFE" w:rsidR="00AB2219" w:rsidRPr="0037637D" w:rsidRDefault="00AB2219" w:rsidP="0076068F">
      <w:pPr>
        <w:rPr>
          <w:sz w:val="22"/>
          <w:szCs w:val="22"/>
        </w:rPr>
      </w:pPr>
    </w:p>
    <w:sectPr w:rsidR="00AB2219" w:rsidRPr="0037637D" w:rsidSect="00F569E7">
      <w:headerReference w:type="even" r:id="rId14"/>
      <w:headerReference w:type="default" r:id="rId15"/>
      <w:footerReference w:type="even" r:id="rId16"/>
      <w:footerReference w:type="default" r:id="rId17"/>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DDD" w14:textId="77777777" w:rsidR="00B06FB2" w:rsidRPr="003F39B1" w:rsidRDefault="00B06FB2" w:rsidP="00000073">
      <w:r>
        <w:separator/>
      </w:r>
    </w:p>
  </w:endnote>
  <w:endnote w:type="continuationSeparator" w:id="0">
    <w:p w14:paraId="656EE2B8" w14:textId="77777777" w:rsidR="00B06FB2" w:rsidRPr="003F39B1" w:rsidRDefault="00B06FB2"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4304"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4CBDE" w14:textId="77777777" w:rsidR="00BF4702" w:rsidRDefault="004539BB"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7078" w14:textId="77777777" w:rsidR="00BF4702" w:rsidRDefault="004539BB"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2312" w14:textId="77777777" w:rsidR="00B06FB2" w:rsidRPr="003F39B1" w:rsidRDefault="00B06FB2" w:rsidP="00000073">
      <w:r>
        <w:separator/>
      </w:r>
    </w:p>
  </w:footnote>
  <w:footnote w:type="continuationSeparator" w:id="0">
    <w:p w14:paraId="29FE1788" w14:textId="77777777" w:rsidR="00B06FB2" w:rsidRPr="003F39B1" w:rsidRDefault="00B06FB2" w:rsidP="00000073">
      <w:r>
        <w:continuationSeparator/>
      </w:r>
    </w:p>
  </w:footnote>
  <w:footnote w:id="1">
    <w:p w14:paraId="66170C96" w14:textId="4F2D7ABD" w:rsidR="0076068F" w:rsidRDefault="0076068F" w:rsidP="0076068F">
      <w:pPr>
        <w:pStyle w:val="FootnoteText"/>
        <w:ind w:left="720"/>
      </w:pPr>
      <w:r w:rsidRPr="00FA2E79">
        <w:rPr>
          <w:rFonts w:ascii="Times New Roman" w:hAnsi="Times New Roman"/>
        </w:rPr>
        <w:footnoteRef/>
      </w:r>
      <w:r>
        <w:rPr>
          <w:rFonts w:ascii="Times New Roman" w:hAnsi="Times New Roman"/>
        </w:rPr>
        <w:t>.</w:t>
      </w:r>
      <w:r w:rsidR="0037637D">
        <w:rPr>
          <w:rFonts w:ascii="Times New Roman" w:hAnsi="Times New Roman"/>
        </w:rPr>
        <w:tab/>
      </w:r>
      <w:hyperlink r:id="rId1" w:history="1">
        <w:r w:rsidRPr="0037637D">
          <w:rPr>
            <w:rStyle w:val="Hyperlink"/>
            <w:rFonts w:cs="Arial"/>
            <w:lang w:val="en-US"/>
          </w:rPr>
          <w:t>https://www.icrc.org/en/download/file/121024/icrc_sipri_limits_on_autonomy_june_2020.pdf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99A3"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90783" w14:textId="77777777" w:rsidR="00BF4702" w:rsidRDefault="004539BB" w:rsidP="00D84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252" w14:textId="37C881BF" w:rsidR="00AF7069" w:rsidRPr="00DA6790" w:rsidRDefault="00493F60">
    <w:pPr>
      <w:pStyle w:val="Header"/>
      <w:jc w:val="center"/>
      <w:rPr>
        <w:sz w:val="22"/>
        <w:szCs w:val="22"/>
      </w:rPr>
    </w:pPr>
    <w:r w:rsidRPr="00DA6790">
      <w:rPr>
        <w:sz w:val="22"/>
        <w:szCs w:val="22"/>
      </w:rPr>
      <w:fldChar w:fldCharType="begin"/>
    </w:r>
    <w:r w:rsidRPr="00DA6790">
      <w:rPr>
        <w:sz w:val="22"/>
        <w:szCs w:val="22"/>
      </w:rPr>
      <w:instrText xml:space="preserve"> PAGE   \* MERGEFORMAT </w:instrText>
    </w:r>
    <w:r w:rsidRPr="00DA6790">
      <w:rPr>
        <w:sz w:val="22"/>
        <w:szCs w:val="22"/>
      </w:rPr>
      <w:fldChar w:fldCharType="separate"/>
    </w:r>
    <w:r w:rsidR="009F75D0">
      <w:rPr>
        <w:noProof/>
        <w:sz w:val="22"/>
        <w:szCs w:val="22"/>
      </w:rPr>
      <w:t>- 3 -</w:t>
    </w:r>
    <w:r w:rsidRPr="00DA6790">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82A62"/>
    <w:multiLevelType w:val="hybridMultilevel"/>
    <w:tmpl w:val="30B028C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2"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7"/>
  </w:num>
  <w:num w:numId="5">
    <w:abstractNumId w:val="1"/>
  </w:num>
  <w:num w:numId="6">
    <w:abstractNumId w:val="5"/>
  </w:num>
  <w:num w:numId="7">
    <w:abstractNumId w:val="13"/>
  </w:num>
  <w:num w:numId="8">
    <w:abstractNumId w:val="10"/>
  </w:num>
  <w:num w:numId="9">
    <w:abstractNumId w:val="0"/>
  </w:num>
  <w:num w:numId="10">
    <w:abstractNumId w:val="11"/>
  </w:num>
  <w:num w:numId="11">
    <w:abstractNumId w:val="14"/>
  </w:num>
  <w:num w:numId="12">
    <w:abstractNumId w:val="8"/>
  </w:num>
  <w:num w:numId="13">
    <w:abstractNumId w:val="12"/>
  </w:num>
  <w:num w:numId="14">
    <w:abstractNumId w:val="2"/>
  </w:num>
  <w:num w:numId="15">
    <w:abstractNumId w:val="6"/>
  </w:num>
  <w:num w:numId="16">
    <w:abstractNumId w:val="18"/>
  </w:num>
  <w:num w:numId="17">
    <w:abstractNumId w:val="16"/>
  </w:num>
  <w:num w:numId="18">
    <w:abstractNumId w:val="9"/>
  </w:num>
  <w:num w:numId="19">
    <w:abstractNumId w:val="4"/>
  </w:num>
  <w:num w:numId="20">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3576D"/>
    <w:rsid w:val="00046E97"/>
    <w:rsid w:val="00052817"/>
    <w:rsid w:val="000667CB"/>
    <w:rsid w:val="00070336"/>
    <w:rsid w:val="00091FCC"/>
    <w:rsid w:val="00093588"/>
    <w:rsid w:val="000A277F"/>
    <w:rsid w:val="000A621E"/>
    <w:rsid w:val="000B529D"/>
    <w:rsid w:val="000B5F51"/>
    <w:rsid w:val="000E1670"/>
    <w:rsid w:val="000E37F7"/>
    <w:rsid w:val="000E4245"/>
    <w:rsid w:val="000E6223"/>
    <w:rsid w:val="000F3687"/>
    <w:rsid w:val="000F5072"/>
    <w:rsid w:val="000F5988"/>
    <w:rsid w:val="00102299"/>
    <w:rsid w:val="001053B7"/>
    <w:rsid w:val="001118CF"/>
    <w:rsid w:val="00132259"/>
    <w:rsid w:val="001369D5"/>
    <w:rsid w:val="00143A38"/>
    <w:rsid w:val="0015312C"/>
    <w:rsid w:val="00157CF2"/>
    <w:rsid w:val="00174D1D"/>
    <w:rsid w:val="001803D5"/>
    <w:rsid w:val="00186DC0"/>
    <w:rsid w:val="00191FC1"/>
    <w:rsid w:val="001924E8"/>
    <w:rsid w:val="001966B2"/>
    <w:rsid w:val="001A3802"/>
    <w:rsid w:val="001B38E1"/>
    <w:rsid w:val="001C4E71"/>
    <w:rsid w:val="001E0B60"/>
    <w:rsid w:val="001E3C99"/>
    <w:rsid w:val="001F21FF"/>
    <w:rsid w:val="001F4626"/>
    <w:rsid w:val="001F6B6E"/>
    <w:rsid w:val="002014DB"/>
    <w:rsid w:val="0021364F"/>
    <w:rsid w:val="002165D7"/>
    <w:rsid w:val="00227869"/>
    <w:rsid w:val="00233D6E"/>
    <w:rsid w:val="00241904"/>
    <w:rsid w:val="002535C1"/>
    <w:rsid w:val="002561A7"/>
    <w:rsid w:val="002642D1"/>
    <w:rsid w:val="0027370D"/>
    <w:rsid w:val="002A2C48"/>
    <w:rsid w:val="002B1754"/>
    <w:rsid w:val="002B44F8"/>
    <w:rsid w:val="002B63E8"/>
    <w:rsid w:val="002C66A1"/>
    <w:rsid w:val="002D4F75"/>
    <w:rsid w:val="002D5C61"/>
    <w:rsid w:val="002F3C8A"/>
    <w:rsid w:val="002F555B"/>
    <w:rsid w:val="0030653E"/>
    <w:rsid w:val="003114E1"/>
    <w:rsid w:val="003316A8"/>
    <w:rsid w:val="0033584A"/>
    <w:rsid w:val="00340F48"/>
    <w:rsid w:val="00350AF9"/>
    <w:rsid w:val="00352C0A"/>
    <w:rsid w:val="003670E0"/>
    <w:rsid w:val="00367159"/>
    <w:rsid w:val="00370354"/>
    <w:rsid w:val="0037242D"/>
    <w:rsid w:val="0037637D"/>
    <w:rsid w:val="00376C2B"/>
    <w:rsid w:val="003805F9"/>
    <w:rsid w:val="00386839"/>
    <w:rsid w:val="00387166"/>
    <w:rsid w:val="00387B6A"/>
    <w:rsid w:val="00390E6F"/>
    <w:rsid w:val="00397E48"/>
    <w:rsid w:val="003A3B37"/>
    <w:rsid w:val="003B590A"/>
    <w:rsid w:val="003C13D4"/>
    <w:rsid w:val="0040131F"/>
    <w:rsid w:val="00401E9C"/>
    <w:rsid w:val="0042352F"/>
    <w:rsid w:val="004270B0"/>
    <w:rsid w:val="004354A9"/>
    <w:rsid w:val="004377F0"/>
    <w:rsid w:val="004457D2"/>
    <w:rsid w:val="00446E81"/>
    <w:rsid w:val="00451F0F"/>
    <w:rsid w:val="00453963"/>
    <w:rsid w:val="004539BB"/>
    <w:rsid w:val="00455C4C"/>
    <w:rsid w:val="00461602"/>
    <w:rsid w:val="004624B6"/>
    <w:rsid w:val="00472D14"/>
    <w:rsid w:val="00493F60"/>
    <w:rsid w:val="004B1CF2"/>
    <w:rsid w:val="004B47B9"/>
    <w:rsid w:val="004B5A2F"/>
    <w:rsid w:val="004C1633"/>
    <w:rsid w:val="004C316C"/>
    <w:rsid w:val="004C4EB7"/>
    <w:rsid w:val="004D5C2F"/>
    <w:rsid w:val="004F1FA1"/>
    <w:rsid w:val="004F4C29"/>
    <w:rsid w:val="004F5C50"/>
    <w:rsid w:val="00503B57"/>
    <w:rsid w:val="005162A8"/>
    <w:rsid w:val="0051741B"/>
    <w:rsid w:val="0052117B"/>
    <w:rsid w:val="005239EB"/>
    <w:rsid w:val="00532194"/>
    <w:rsid w:val="00533B43"/>
    <w:rsid w:val="00534807"/>
    <w:rsid w:val="00553C02"/>
    <w:rsid w:val="00556BD5"/>
    <w:rsid w:val="005611BE"/>
    <w:rsid w:val="005700DF"/>
    <w:rsid w:val="00572011"/>
    <w:rsid w:val="005779D2"/>
    <w:rsid w:val="00584928"/>
    <w:rsid w:val="005B2399"/>
    <w:rsid w:val="005B7C10"/>
    <w:rsid w:val="005E3816"/>
    <w:rsid w:val="005E3F5A"/>
    <w:rsid w:val="005F1A0A"/>
    <w:rsid w:val="005F5CC2"/>
    <w:rsid w:val="006102F6"/>
    <w:rsid w:val="006128F7"/>
    <w:rsid w:val="00613B3F"/>
    <w:rsid w:val="00654785"/>
    <w:rsid w:val="00656CF7"/>
    <w:rsid w:val="00670214"/>
    <w:rsid w:val="00682894"/>
    <w:rsid w:val="00684564"/>
    <w:rsid w:val="006A354D"/>
    <w:rsid w:val="006C2C49"/>
    <w:rsid w:val="006E3888"/>
    <w:rsid w:val="006F0BDA"/>
    <w:rsid w:val="006F293C"/>
    <w:rsid w:val="00717308"/>
    <w:rsid w:val="00727FC9"/>
    <w:rsid w:val="007447AF"/>
    <w:rsid w:val="0076068F"/>
    <w:rsid w:val="00770077"/>
    <w:rsid w:val="00783368"/>
    <w:rsid w:val="007909FB"/>
    <w:rsid w:val="00791994"/>
    <w:rsid w:val="00797716"/>
    <w:rsid w:val="007A034B"/>
    <w:rsid w:val="007A7243"/>
    <w:rsid w:val="007D1A11"/>
    <w:rsid w:val="007E0010"/>
    <w:rsid w:val="007E6EB9"/>
    <w:rsid w:val="007E7296"/>
    <w:rsid w:val="00810FF2"/>
    <w:rsid w:val="008277AB"/>
    <w:rsid w:val="00830821"/>
    <w:rsid w:val="00833CCD"/>
    <w:rsid w:val="00842F7B"/>
    <w:rsid w:val="0085022B"/>
    <w:rsid w:val="008529DC"/>
    <w:rsid w:val="00862642"/>
    <w:rsid w:val="00862F15"/>
    <w:rsid w:val="008801AE"/>
    <w:rsid w:val="00881D1B"/>
    <w:rsid w:val="00884973"/>
    <w:rsid w:val="008919F2"/>
    <w:rsid w:val="00892B43"/>
    <w:rsid w:val="008A416E"/>
    <w:rsid w:val="008A57EB"/>
    <w:rsid w:val="008B636C"/>
    <w:rsid w:val="008C4EA8"/>
    <w:rsid w:val="008E4F6E"/>
    <w:rsid w:val="008E5351"/>
    <w:rsid w:val="008E68FE"/>
    <w:rsid w:val="008F0A69"/>
    <w:rsid w:val="008F2922"/>
    <w:rsid w:val="008F5897"/>
    <w:rsid w:val="008F63D0"/>
    <w:rsid w:val="00906795"/>
    <w:rsid w:val="009105E9"/>
    <w:rsid w:val="009141C3"/>
    <w:rsid w:val="0092465E"/>
    <w:rsid w:val="00942C29"/>
    <w:rsid w:val="00943FBF"/>
    <w:rsid w:val="0094580B"/>
    <w:rsid w:val="009638D4"/>
    <w:rsid w:val="009641E0"/>
    <w:rsid w:val="00975128"/>
    <w:rsid w:val="00987D16"/>
    <w:rsid w:val="00992A66"/>
    <w:rsid w:val="009A0714"/>
    <w:rsid w:val="009B38AF"/>
    <w:rsid w:val="009C5B8F"/>
    <w:rsid w:val="009C7996"/>
    <w:rsid w:val="009E3476"/>
    <w:rsid w:val="009E48CD"/>
    <w:rsid w:val="009F3603"/>
    <w:rsid w:val="009F75D0"/>
    <w:rsid w:val="00A017FE"/>
    <w:rsid w:val="00A07275"/>
    <w:rsid w:val="00A20224"/>
    <w:rsid w:val="00A2446F"/>
    <w:rsid w:val="00A4569C"/>
    <w:rsid w:val="00A45E1D"/>
    <w:rsid w:val="00A5145B"/>
    <w:rsid w:val="00A552B4"/>
    <w:rsid w:val="00A71A1B"/>
    <w:rsid w:val="00A741DC"/>
    <w:rsid w:val="00A82286"/>
    <w:rsid w:val="00AB0B8A"/>
    <w:rsid w:val="00AB2219"/>
    <w:rsid w:val="00AB634F"/>
    <w:rsid w:val="00AE540B"/>
    <w:rsid w:val="00B06FB2"/>
    <w:rsid w:val="00B108DA"/>
    <w:rsid w:val="00B36406"/>
    <w:rsid w:val="00B61043"/>
    <w:rsid w:val="00B6606D"/>
    <w:rsid w:val="00B67725"/>
    <w:rsid w:val="00B723B4"/>
    <w:rsid w:val="00B7545D"/>
    <w:rsid w:val="00B90B4A"/>
    <w:rsid w:val="00BA0466"/>
    <w:rsid w:val="00BA1823"/>
    <w:rsid w:val="00BA5547"/>
    <w:rsid w:val="00BA5B70"/>
    <w:rsid w:val="00BB229B"/>
    <w:rsid w:val="00BB6430"/>
    <w:rsid w:val="00BB7C4C"/>
    <w:rsid w:val="00BC0335"/>
    <w:rsid w:val="00BC0F03"/>
    <w:rsid w:val="00BC4697"/>
    <w:rsid w:val="00BD30C1"/>
    <w:rsid w:val="00BE43A4"/>
    <w:rsid w:val="00C03468"/>
    <w:rsid w:val="00C05DD6"/>
    <w:rsid w:val="00C12D07"/>
    <w:rsid w:val="00C151BB"/>
    <w:rsid w:val="00C17069"/>
    <w:rsid w:val="00C171E8"/>
    <w:rsid w:val="00C26C86"/>
    <w:rsid w:val="00C62BC3"/>
    <w:rsid w:val="00C6312E"/>
    <w:rsid w:val="00C70E23"/>
    <w:rsid w:val="00C7451F"/>
    <w:rsid w:val="00C77B14"/>
    <w:rsid w:val="00C81556"/>
    <w:rsid w:val="00C8208F"/>
    <w:rsid w:val="00C84922"/>
    <w:rsid w:val="00C9490B"/>
    <w:rsid w:val="00CA280C"/>
    <w:rsid w:val="00CB22CC"/>
    <w:rsid w:val="00CB5F1D"/>
    <w:rsid w:val="00CB769D"/>
    <w:rsid w:val="00CC71BC"/>
    <w:rsid w:val="00CD1F3E"/>
    <w:rsid w:val="00CD2F1F"/>
    <w:rsid w:val="00CD30B9"/>
    <w:rsid w:val="00CE6669"/>
    <w:rsid w:val="00CF16C1"/>
    <w:rsid w:val="00CF21C5"/>
    <w:rsid w:val="00CF2211"/>
    <w:rsid w:val="00CF3B0E"/>
    <w:rsid w:val="00D00C76"/>
    <w:rsid w:val="00D140A8"/>
    <w:rsid w:val="00D170C5"/>
    <w:rsid w:val="00D202B7"/>
    <w:rsid w:val="00D2322F"/>
    <w:rsid w:val="00D3011E"/>
    <w:rsid w:val="00D33568"/>
    <w:rsid w:val="00D42110"/>
    <w:rsid w:val="00D81CD5"/>
    <w:rsid w:val="00D91A22"/>
    <w:rsid w:val="00D92216"/>
    <w:rsid w:val="00D92951"/>
    <w:rsid w:val="00D92B9C"/>
    <w:rsid w:val="00D961E5"/>
    <w:rsid w:val="00DA6790"/>
    <w:rsid w:val="00DB27C7"/>
    <w:rsid w:val="00DC6693"/>
    <w:rsid w:val="00DC7380"/>
    <w:rsid w:val="00DE389E"/>
    <w:rsid w:val="00DE3972"/>
    <w:rsid w:val="00DF1259"/>
    <w:rsid w:val="00E02BB7"/>
    <w:rsid w:val="00E074AF"/>
    <w:rsid w:val="00E13E88"/>
    <w:rsid w:val="00E14A21"/>
    <w:rsid w:val="00E21B54"/>
    <w:rsid w:val="00E2738E"/>
    <w:rsid w:val="00E34C01"/>
    <w:rsid w:val="00E50B6C"/>
    <w:rsid w:val="00E54C2F"/>
    <w:rsid w:val="00E551E6"/>
    <w:rsid w:val="00E5578F"/>
    <w:rsid w:val="00E56817"/>
    <w:rsid w:val="00E84158"/>
    <w:rsid w:val="00EB1899"/>
    <w:rsid w:val="00ED1F8C"/>
    <w:rsid w:val="00ED3103"/>
    <w:rsid w:val="00ED34B6"/>
    <w:rsid w:val="00ED5322"/>
    <w:rsid w:val="00EE1F9C"/>
    <w:rsid w:val="00F019A7"/>
    <w:rsid w:val="00F15E1C"/>
    <w:rsid w:val="00F23EB6"/>
    <w:rsid w:val="00F569E7"/>
    <w:rsid w:val="00F61B3D"/>
    <w:rsid w:val="00F654FA"/>
    <w:rsid w:val="00F75C80"/>
    <w:rsid w:val="00F8151D"/>
    <w:rsid w:val="00F82A08"/>
    <w:rsid w:val="00F87817"/>
    <w:rsid w:val="00FA2E90"/>
    <w:rsid w:val="00FA4FF6"/>
    <w:rsid w:val="00FA6F3C"/>
    <w:rsid w:val="00FB6322"/>
    <w:rsid w:val="00FC10DE"/>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2CF329"/>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57"/>
    <w:rPr>
      <w:sz w:val="24"/>
      <w:szCs w:val="24"/>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rPr>
      <w:lang w:val="es-ES" w:eastAsia="es-ES"/>
    </w:r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rPr>
      <w:lang w:val="es-ES" w:eastAsia="es-ES"/>
    </w:r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rPr>
      <w:lang w:val="es-ES" w:eastAsia="es-ES"/>
    </w:r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lang w:val="es-ES" w:eastAsia="es-ES"/>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lang w:val="es-ES" w:eastAsia="es-ES"/>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customStyle="1" w:styleId="UnresolvedMention1">
    <w:name w:val="Unresolved Mention1"/>
    <w:basedOn w:val="DefaultParagraphFont"/>
    <w:uiPriority w:val="99"/>
    <w:semiHidden/>
    <w:unhideWhenUsed/>
    <w:rsid w:val="00503B57"/>
    <w:rPr>
      <w:color w:val="605E5C"/>
      <w:shd w:val="clear" w:color="auto" w:fill="E1DFDD"/>
    </w:rPr>
  </w:style>
  <w:style w:type="paragraph" w:styleId="NormalWeb">
    <w:name w:val="Normal (Web)"/>
    <w:basedOn w:val="Normal"/>
    <w:uiPriority w:val="99"/>
    <w:unhideWhenUsed/>
    <w:rsid w:val="00352C0A"/>
    <w:pPr>
      <w:spacing w:before="100" w:beforeAutospacing="1" w:after="100" w:afterAutospacing="1"/>
    </w:pPr>
  </w:style>
  <w:style w:type="character" w:styleId="UnresolvedMention">
    <w:name w:val="Unresolved Mention"/>
    <w:basedOn w:val="DefaultParagraphFont"/>
    <w:uiPriority w:val="99"/>
    <w:semiHidden/>
    <w:unhideWhenUsed/>
    <w:rsid w:val="0038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5816">
      <w:bodyDiv w:val="1"/>
      <w:marLeft w:val="0"/>
      <w:marRight w:val="0"/>
      <w:marTop w:val="0"/>
      <w:marBottom w:val="0"/>
      <w:divBdr>
        <w:top w:val="none" w:sz="0" w:space="0" w:color="auto"/>
        <w:left w:val="none" w:sz="0" w:space="0" w:color="auto"/>
        <w:bottom w:val="none" w:sz="0" w:space="0" w:color="auto"/>
        <w:right w:val="none" w:sz="0" w:space="0" w:color="auto"/>
      </w:divBdr>
    </w:div>
    <w:div w:id="627322949">
      <w:bodyDiv w:val="1"/>
      <w:marLeft w:val="0"/>
      <w:marRight w:val="0"/>
      <w:marTop w:val="0"/>
      <w:marBottom w:val="0"/>
      <w:divBdr>
        <w:top w:val="none" w:sz="0" w:space="0" w:color="auto"/>
        <w:left w:val="none" w:sz="0" w:space="0" w:color="auto"/>
        <w:bottom w:val="none" w:sz="0" w:space="0" w:color="auto"/>
        <w:right w:val="none" w:sz="0" w:space="0" w:color="auto"/>
      </w:divBdr>
    </w:div>
    <w:div w:id="627854292">
      <w:bodyDiv w:val="1"/>
      <w:marLeft w:val="0"/>
      <w:marRight w:val="0"/>
      <w:marTop w:val="0"/>
      <w:marBottom w:val="0"/>
      <w:divBdr>
        <w:top w:val="none" w:sz="0" w:space="0" w:color="auto"/>
        <w:left w:val="none" w:sz="0" w:space="0" w:color="auto"/>
        <w:bottom w:val="none" w:sz="0" w:space="0" w:color="auto"/>
        <w:right w:val="none" w:sz="0" w:space="0" w:color="auto"/>
      </w:divBdr>
      <w:divsChild>
        <w:div w:id="867987001">
          <w:marLeft w:val="0"/>
          <w:marRight w:val="0"/>
          <w:marTop w:val="0"/>
          <w:marBottom w:val="0"/>
          <w:divBdr>
            <w:top w:val="none" w:sz="0" w:space="0" w:color="auto"/>
            <w:left w:val="none" w:sz="0" w:space="0" w:color="auto"/>
            <w:bottom w:val="none" w:sz="0" w:space="0" w:color="auto"/>
            <w:right w:val="none" w:sz="0" w:space="0" w:color="auto"/>
          </w:divBdr>
          <w:divsChild>
            <w:div w:id="992879940">
              <w:marLeft w:val="0"/>
              <w:marRight w:val="0"/>
              <w:marTop w:val="0"/>
              <w:marBottom w:val="0"/>
              <w:divBdr>
                <w:top w:val="none" w:sz="0" w:space="0" w:color="auto"/>
                <w:left w:val="none" w:sz="0" w:space="0" w:color="auto"/>
                <w:bottom w:val="none" w:sz="0" w:space="0" w:color="auto"/>
                <w:right w:val="none" w:sz="0" w:space="0" w:color="auto"/>
              </w:divBdr>
              <w:divsChild>
                <w:div w:id="1116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371">
      <w:bodyDiv w:val="1"/>
      <w:marLeft w:val="0"/>
      <w:marRight w:val="0"/>
      <w:marTop w:val="0"/>
      <w:marBottom w:val="0"/>
      <w:divBdr>
        <w:top w:val="none" w:sz="0" w:space="0" w:color="auto"/>
        <w:left w:val="none" w:sz="0" w:space="0" w:color="auto"/>
        <w:bottom w:val="none" w:sz="0" w:space="0" w:color="auto"/>
        <w:right w:val="none" w:sz="0" w:space="0" w:color="auto"/>
      </w:divBdr>
      <w:divsChild>
        <w:div w:id="485242281">
          <w:marLeft w:val="0"/>
          <w:marRight w:val="0"/>
          <w:marTop w:val="0"/>
          <w:marBottom w:val="0"/>
          <w:divBdr>
            <w:top w:val="none" w:sz="0" w:space="0" w:color="auto"/>
            <w:left w:val="none" w:sz="0" w:space="0" w:color="auto"/>
            <w:bottom w:val="none" w:sz="0" w:space="0" w:color="auto"/>
            <w:right w:val="none" w:sz="0" w:space="0" w:color="auto"/>
          </w:divBdr>
          <w:divsChild>
            <w:div w:id="700714389">
              <w:marLeft w:val="0"/>
              <w:marRight w:val="0"/>
              <w:marTop w:val="0"/>
              <w:marBottom w:val="0"/>
              <w:divBdr>
                <w:top w:val="none" w:sz="0" w:space="0" w:color="auto"/>
                <w:left w:val="none" w:sz="0" w:space="0" w:color="auto"/>
                <w:bottom w:val="none" w:sz="0" w:space="0" w:color="auto"/>
                <w:right w:val="none" w:sz="0" w:space="0" w:color="auto"/>
              </w:divBdr>
              <w:divsChild>
                <w:div w:id="1993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97">
      <w:bodyDiv w:val="1"/>
      <w:marLeft w:val="0"/>
      <w:marRight w:val="0"/>
      <w:marTop w:val="0"/>
      <w:marBottom w:val="0"/>
      <w:divBdr>
        <w:top w:val="none" w:sz="0" w:space="0" w:color="auto"/>
        <w:left w:val="none" w:sz="0" w:space="0" w:color="auto"/>
        <w:bottom w:val="none" w:sz="0" w:space="0" w:color="auto"/>
        <w:right w:val="none" w:sz="0" w:space="0" w:color="auto"/>
      </w:divBdr>
      <w:divsChild>
        <w:div w:id="228923692">
          <w:marLeft w:val="0"/>
          <w:marRight w:val="0"/>
          <w:marTop w:val="0"/>
          <w:marBottom w:val="0"/>
          <w:divBdr>
            <w:top w:val="none" w:sz="0" w:space="0" w:color="auto"/>
            <w:left w:val="none" w:sz="0" w:space="0" w:color="auto"/>
            <w:bottom w:val="none" w:sz="0" w:space="0" w:color="auto"/>
            <w:right w:val="none" w:sz="0" w:space="0" w:color="auto"/>
          </w:divBdr>
          <w:divsChild>
            <w:div w:id="209271712">
              <w:marLeft w:val="0"/>
              <w:marRight w:val="0"/>
              <w:marTop w:val="0"/>
              <w:marBottom w:val="0"/>
              <w:divBdr>
                <w:top w:val="none" w:sz="0" w:space="0" w:color="auto"/>
                <w:left w:val="none" w:sz="0" w:space="0" w:color="auto"/>
                <w:bottom w:val="none" w:sz="0" w:space="0" w:color="auto"/>
                <w:right w:val="none" w:sz="0" w:space="0" w:color="auto"/>
              </w:divBdr>
              <w:divsChild>
                <w:div w:id="21245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465">
      <w:bodyDiv w:val="1"/>
      <w:marLeft w:val="0"/>
      <w:marRight w:val="0"/>
      <w:marTop w:val="0"/>
      <w:marBottom w:val="0"/>
      <w:divBdr>
        <w:top w:val="none" w:sz="0" w:space="0" w:color="auto"/>
        <w:left w:val="none" w:sz="0" w:space="0" w:color="auto"/>
        <w:bottom w:val="none" w:sz="0" w:space="0" w:color="auto"/>
        <w:right w:val="none" w:sz="0" w:space="0" w:color="auto"/>
      </w:divBdr>
    </w:div>
    <w:div w:id="1101338313">
      <w:bodyDiv w:val="1"/>
      <w:marLeft w:val="0"/>
      <w:marRight w:val="0"/>
      <w:marTop w:val="0"/>
      <w:marBottom w:val="0"/>
      <w:divBdr>
        <w:top w:val="none" w:sz="0" w:space="0" w:color="auto"/>
        <w:left w:val="none" w:sz="0" w:space="0" w:color="auto"/>
        <w:bottom w:val="none" w:sz="0" w:space="0" w:color="auto"/>
        <w:right w:val="none" w:sz="0" w:space="0" w:color="auto"/>
      </w:divBdr>
      <w:divsChild>
        <w:div w:id="1477335648">
          <w:marLeft w:val="0"/>
          <w:marRight w:val="0"/>
          <w:marTop w:val="0"/>
          <w:marBottom w:val="0"/>
          <w:divBdr>
            <w:top w:val="none" w:sz="0" w:space="0" w:color="auto"/>
            <w:left w:val="none" w:sz="0" w:space="0" w:color="auto"/>
            <w:bottom w:val="none" w:sz="0" w:space="0" w:color="auto"/>
            <w:right w:val="none" w:sz="0" w:space="0" w:color="auto"/>
          </w:divBdr>
          <w:divsChild>
            <w:div w:id="669405439">
              <w:marLeft w:val="0"/>
              <w:marRight w:val="0"/>
              <w:marTop w:val="0"/>
              <w:marBottom w:val="0"/>
              <w:divBdr>
                <w:top w:val="none" w:sz="0" w:space="0" w:color="auto"/>
                <w:left w:val="none" w:sz="0" w:space="0" w:color="auto"/>
                <w:bottom w:val="none" w:sz="0" w:space="0" w:color="auto"/>
                <w:right w:val="none" w:sz="0" w:space="0" w:color="auto"/>
              </w:divBdr>
              <w:divsChild>
                <w:div w:id="2501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187">
      <w:bodyDiv w:val="1"/>
      <w:marLeft w:val="0"/>
      <w:marRight w:val="0"/>
      <w:marTop w:val="0"/>
      <w:marBottom w:val="0"/>
      <w:divBdr>
        <w:top w:val="none" w:sz="0" w:space="0" w:color="auto"/>
        <w:left w:val="none" w:sz="0" w:space="0" w:color="auto"/>
        <w:bottom w:val="none" w:sz="0" w:space="0" w:color="auto"/>
        <w:right w:val="none" w:sz="0" w:space="0" w:color="auto"/>
      </w:divBdr>
    </w:div>
    <w:div w:id="1471095594">
      <w:bodyDiv w:val="1"/>
      <w:marLeft w:val="0"/>
      <w:marRight w:val="0"/>
      <w:marTop w:val="0"/>
      <w:marBottom w:val="0"/>
      <w:divBdr>
        <w:top w:val="none" w:sz="0" w:space="0" w:color="auto"/>
        <w:left w:val="none" w:sz="0" w:space="0" w:color="auto"/>
        <w:bottom w:val="none" w:sz="0" w:space="0" w:color="auto"/>
        <w:right w:val="none" w:sz="0" w:space="0" w:color="auto"/>
      </w:divBdr>
      <w:divsChild>
        <w:div w:id="1336415412">
          <w:marLeft w:val="0"/>
          <w:marRight w:val="0"/>
          <w:marTop w:val="0"/>
          <w:marBottom w:val="0"/>
          <w:divBdr>
            <w:top w:val="none" w:sz="0" w:space="0" w:color="auto"/>
            <w:left w:val="none" w:sz="0" w:space="0" w:color="auto"/>
            <w:bottom w:val="none" w:sz="0" w:space="0" w:color="auto"/>
            <w:right w:val="none" w:sz="0" w:space="0" w:color="auto"/>
          </w:divBdr>
          <w:divsChild>
            <w:div w:id="1990554457">
              <w:marLeft w:val="0"/>
              <w:marRight w:val="0"/>
              <w:marTop w:val="0"/>
              <w:marBottom w:val="0"/>
              <w:divBdr>
                <w:top w:val="none" w:sz="0" w:space="0" w:color="auto"/>
                <w:left w:val="none" w:sz="0" w:space="0" w:color="auto"/>
                <w:bottom w:val="none" w:sz="0" w:space="0" w:color="auto"/>
                <w:right w:val="none" w:sz="0" w:space="0" w:color="auto"/>
              </w:divBdr>
              <w:divsChild>
                <w:div w:id="703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920">
      <w:bodyDiv w:val="1"/>
      <w:marLeft w:val="0"/>
      <w:marRight w:val="0"/>
      <w:marTop w:val="0"/>
      <w:marBottom w:val="0"/>
      <w:divBdr>
        <w:top w:val="none" w:sz="0" w:space="0" w:color="auto"/>
        <w:left w:val="none" w:sz="0" w:space="0" w:color="auto"/>
        <w:bottom w:val="none" w:sz="0" w:space="0" w:color="auto"/>
        <w:right w:val="none" w:sz="0" w:space="0" w:color="auto"/>
      </w:divBdr>
    </w:div>
    <w:div w:id="1498884168">
      <w:bodyDiv w:val="1"/>
      <w:marLeft w:val="0"/>
      <w:marRight w:val="0"/>
      <w:marTop w:val="0"/>
      <w:marBottom w:val="0"/>
      <w:divBdr>
        <w:top w:val="none" w:sz="0" w:space="0" w:color="auto"/>
        <w:left w:val="none" w:sz="0" w:space="0" w:color="auto"/>
        <w:bottom w:val="none" w:sz="0" w:space="0" w:color="auto"/>
        <w:right w:val="none" w:sz="0" w:space="0" w:color="auto"/>
      </w:divBdr>
      <w:divsChild>
        <w:div w:id="1591815734">
          <w:marLeft w:val="0"/>
          <w:marRight w:val="0"/>
          <w:marTop w:val="0"/>
          <w:marBottom w:val="0"/>
          <w:divBdr>
            <w:top w:val="none" w:sz="0" w:space="0" w:color="auto"/>
            <w:left w:val="none" w:sz="0" w:space="0" w:color="auto"/>
            <w:bottom w:val="none" w:sz="0" w:space="0" w:color="auto"/>
            <w:right w:val="none" w:sz="0" w:space="0" w:color="auto"/>
          </w:divBdr>
        </w:div>
      </w:divsChild>
    </w:div>
    <w:div w:id="1554737350">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2003778356">
      <w:bodyDiv w:val="1"/>
      <w:marLeft w:val="0"/>
      <w:marRight w:val="0"/>
      <w:marTop w:val="0"/>
      <w:marBottom w:val="0"/>
      <w:divBdr>
        <w:top w:val="none" w:sz="0" w:space="0" w:color="auto"/>
        <w:left w:val="none" w:sz="0" w:space="0" w:color="auto"/>
        <w:bottom w:val="none" w:sz="0" w:space="0" w:color="auto"/>
        <w:right w:val="none" w:sz="0" w:space="0" w:color="auto"/>
      </w:divBdr>
      <w:divsChild>
        <w:div w:id="22429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CP43918CAJPNegro.doc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1/CP43928CAJPBreh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3928CAJPObreg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hop.icrc.org/guidelines-on-the-protection-of-the-natural-environment-in-armed-conflict-pdf-en?mc_phishing_protection_id=28048-c0qh2kf0s0vd587ve2e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pdfs/2021/CP43928CAJPMorello.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rc.org/en/download/file/121024/icrc_sipri_limits_on_autonomy_jun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AD7E-8AA4-45E6-8BEE-2AD92B9C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734</Words>
  <Characters>4308</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5</cp:revision>
  <cp:lastPrinted>2017-02-03T19:23:00Z</cp:lastPrinted>
  <dcterms:created xsi:type="dcterms:W3CDTF">2021-04-27T21:33:00Z</dcterms:created>
  <dcterms:modified xsi:type="dcterms:W3CDTF">2021-04-27T21:44:00Z</dcterms:modified>
</cp:coreProperties>
</file>