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A16C" w14:textId="04F52474" w:rsidR="007C4F90" w:rsidRPr="002014DB" w:rsidRDefault="007C4F90" w:rsidP="007C4F90">
      <w:pPr>
        <w:tabs>
          <w:tab w:val="center" w:pos="2880"/>
          <w:tab w:val="left" w:pos="7200"/>
        </w:tabs>
        <w:jc w:val="both"/>
        <w:rPr>
          <w:sz w:val="22"/>
          <w:szCs w:val="22"/>
        </w:rPr>
      </w:pPr>
      <w:r>
        <w:rPr>
          <w:sz w:val="22"/>
        </w:rPr>
        <w:tab/>
        <w:t>CONSEIL PERMANENT DE</w:t>
      </w:r>
      <w:r>
        <w:rPr>
          <w:sz w:val="22"/>
        </w:rPr>
        <w:tab/>
      </w:r>
      <w:r>
        <w:rPr>
          <w:sz w:val="22"/>
        </w:rPr>
        <w:t>OEA/Ser.G</w:t>
      </w:r>
    </w:p>
    <w:p w14:paraId="08D976A4" w14:textId="15473877" w:rsidR="007C4F90" w:rsidRPr="002014DB" w:rsidRDefault="007C4F90" w:rsidP="007C4F90">
      <w:pPr>
        <w:tabs>
          <w:tab w:val="center" w:pos="2880"/>
          <w:tab w:val="left" w:pos="7200"/>
        </w:tabs>
        <w:ind w:right="-584"/>
        <w:jc w:val="both"/>
        <w:rPr>
          <w:sz w:val="22"/>
          <w:szCs w:val="22"/>
        </w:rPr>
      </w:pPr>
      <w:r>
        <w:rPr>
          <w:sz w:val="22"/>
        </w:rPr>
        <w:tab/>
        <w:t>L’ORGANISATION DES ÉTATS AMÉRICAINS</w:t>
      </w:r>
      <w:r>
        <w:rPr>
          <w:sz w:val="22"/>
        </w:rPr>
        <w:tab/>
      </w:r>
      <w:r>
        <w:rPr>
          <w:sz w:val="22"/>
        </w:rPr>
        <w:t>CP/CAJP-3557/21 rev. 4</w:t>
      </w:r>
    </w:p>
    <w:p w14:paraId="19A93338" w14:textId="4BFFF68C" w:rsidR="007C4F90" w:rsidRPr="006E7C72" w:rsidRDefault="007C4F90" w:rsidP="007C4F90">
      <w:pPr>
        <w:tabs>
          <w:tab w:val="center" w:pos="2880"/>
          <w:tab w:val="left" w:pos="7200"/>
        </w:tabs>
        <w:jc w:val="both"/>
        <w:rPr>
          <w:sz w:val="22"/>
          <w:szCs w:val="22"/>
          <w:lang w:val="fr-FR"/>
        </w:rPr>
      </w:pPr>
      <w:r>
        <w:rPr>
          <w:sz w:val="22"/>
          <w:szCs w:val="22"/>
          <w:lang w:val="fr-FR"/>
        </w:rPr>
        <w:tab/>
      </w:r>
      <w:r>
        <w:rPr>
          <w:sz w:val="22"/>
          <w:szCs w:val="22"/>
          <w:lang w:val="fr-FR"/>
        </w:rPr>
        <w:tab/>
      </w:r>
      <w:r>
        <w:rPr>
          <w:sz w:val="22"/>
        </w:rPr>
        <w:t>27 avril 2021</w:t>
      </w:r>
    </w:p>
    <w:p w14:paraId="0B1EA352" w14:textId="65E29E0B" w:rsidR="007C4F90" w:rsidRDefault="007C4F90" w:rsidP="007C4F90">
      <w:pPr>
        <w:tabs>
          <w:tab w:val="center" w:pos="2880"/>
          <w:tab w:val="left" w:pos="7200"/>
        </w:tabs>
        <w:ind w:right="-760"/>
        <w:jc w:val="both"/>
        <w:rPr>
          <w:sz w:val="22"/>
        </w:rPr>
      </w:pPr>
      <w:r>
        <w:rPr>
          <w:sz w:val="22"/>
        </w:rPr>
        <w:tab/>
        <w:t>COMMISSION DES QUESTIONS JURIDIQUES</w:t>
      </w:r>
      <w:r w:rsidRPr="002014DB">
        <w:rPr>
          <w:sz w:val="22"/>
          <w:szCs w:val="22"/>
        </w:rPr>
        <w:tab/>
      </w:r>
      <w:r>
        <w:rPr>
          <w:sz w:val="22"/>
        </w:rPr>
        <w:t>Original: espagnol</w:t>
      </w:r>
    </w:p>
    <w:p w14:paraId="41D5F306" w14:textId="6A87CCA7" w:rsidR="007C4F90" w:rsidRPr="002014DB" w:rsidRDefault="007C4F90" w:rsidP="007C4F90">
      <w:pPr>
        <w:tabs>
          <w:tab w:val="center" w:pos="2880"/>
          <w:tab w:val="left" w:pos="7200"/>
        </w:tabs>
        <w:ind w:right="-760"/>
        <w:jc w:val="both"/>
        <w:rPr>
          <w:sz w:val="22"/>
          <w:szCs w:val="22"/>
        </w:rPr>
      </w:pPr>
      <w:r>
        <w:rPr>
          <w:sz w:val="22"/>
        </w:rPr>
        <w:tab/>
      </w:r>
      <w:r>
        <w:rPr>
          <w:sz w:val="22"/>
        </w:rPr>
        <w:t>ET POLITIQUES</w:t>
      </w:r>
    </w:p>
    <w:p w14:paraId="316C2834" w14:textId="7988EF09" w:rsidR="007C4F90" w:rsidRPr="007C4F90" w:rsidRDefault="007C4F90" w:rsidP="007C4F90">
      <w:pPr>
        <w:ind w:right="-1120"/>
        <w:jc w:val="both"/>
        <w:rPr>
          <w:sz w:val="22"/>
          <w:szCs w:val="22"/>
        </w:rPr>
      </w:pPr>
    </w:p>
    <w:p w14:paraId="1D4F1B33" w14:textId="23854DA2" w:rsidR="007C4F90" w:rsidRPr="007C4F90" w:rsidRDefault="007C4F90" w:rsidP="007C4F90">
      <w:pPr>
        <w:jc w:val="both"/>
        <w:rPr>
          <w:sz w:val="22"/>
          <w:szCs w:val="22"/>
        </w:rPr>
      </w:pPr>
    </w:p>
    <w:p w14:paraId="7ED331DD" w14:textId="545414F5" w:rsidR="007C4F90" w:rsidRPr="007C4F90" w:rsidRDefault="007C4F90" w:rsidP="007C4F90">
      <w:pPr>
        <w:jc w:val="both"/>
        <w:rPr>
          <w:sz w:val="22"/>
          <w:szCs w:val="22"/>
        </w:rPr>
      </w:pPr>
    </w:p>
    <w:p w14:paraId="5773F220" w14:textId="77777777" w:rsidR="00CD1F3E" w:rsidRPr="007C4F90" w:rsidRDefault="00CD1F3E" w:rsidP="007C4F90">
      <w:pPr>
        <w:widowControl w:val="0"/>
        <w:jc w:val="both"/>
        <w:rPr>
          <w:rFonts w:eastAsia="Calibri"/>
          <w:sz w:val="22"/>
          <w:szCs w:val="22"/>
          <w:lang w:val="fr-FR"/>
        </w:rPr>
      </w:pPr>
    </w:p>
    <w:p w14:paraId="161CA280" w14:textId="77777777" w:rsidR="006E3888" w:rsidRPr="007C4F90" w:rsidRDefault="006E3888" w:rsidP="007C4F90">
      <w:pPr>
        <w:jc w:val="both"/>
        <w:rPr>
          <w:rFonts w:eastAsiaTheme="minorHAnsi"/>
          <w:color w:val="000000" w:themeColor="text1"/>
          <w:sz w:val="22"/>
          <w:szCs w:val="22"/>
          <w:lang w:val="fr-FR"/>
        </w:rPr>
      </w:pPr>
    </w:p>
    <w:p w14:paraId="6392B90D" w14:textId="77777777" w:rsidR="006E3888" w:rsidRPr="007C4F90" w:rsidRDefault="006E3888" w:rsidP="007C4F90">
      <w:pPr>
        <w:jc w:val="both"/>
        <w:rPr>
          <w:rFonts w:eastAsiaTheme="minorHAnsi"/>
          <w:color w:val="000000" w:themeColor="text1"/>
          <w:sz w:val="22"/>
          <w:szCs w:val="22"/>
          <w:lang w:val="fr-FR"/>
        </w:rPr>
      </w:pPr>
    </w:p>
    <w:p w14:paraId="0ED21C8A" w14:textId="77777777" w:rsidR="006E3888" w:rsidRPr="007C4F90" w:rsidRDefault="006E3888" w:rsidP="007C4F90">
      <w:pPr>
        <w:jc w:val="both"/>
        <w:rPr>
          <w:rFonts w:eastAsiaTheme="minorHAnsi"/>
          <w:color w:val="000000" w:themeColor="text1"/>
          <w:sz w:val="22"/>
          <w:szCs w:val="22"/>
          <w:lang w:val="fr-FR"/>
        </w:rPr>
      </w:pPr>
    </w:p>
    <w:p w14:paraId="2D9D946E" w14:textId="77777777" w:rsidR="006E3888" w:rsidRPr="007C4F90" w:rsidRDefault="006E3888" w:rsidP="007C4F90">
      <w:pPr>
        <w:jc w:val="both"/>
        <w:rPr>
          <w:rFonts w:eastAsiaTheme="minorHAnsi"/>
          <w:color w:val="000000" w:themeColor="text1"/>
          <w:sz w:val="22"/>
          <w:szCs w:val="22"/>
          <w:lang w:val="fr-FR"/>
        </w:rPr>
      </w:pPr>
    </w:p>
    <w:p w14:paraId="1153FF94" w14:textId="77777777" w:rsidR="00143A38" w:rsidRPr="007C4F90" w:rsidRDefault="00143A38" w:rsidP="007C4F90">
      <w:pPr>
        <w:jc w:val="both"/>
        <w:rPr>
          <w:rFonts w:eastAsiaTheme="minorHAnsi"/>
          <w:color w:val="000000" w:themeColor="text1"/>
          <w:sz w:val="22"/>
          <w:szCs w:val="22"/>
          <w:lang w:val="fr-FR"/>
        </w:rPr>
      </w:pPr>
    </w:p>
    <w:p w14:paraId="5E808C68" w14:textId="77777777" w:rsidR="00143A38" w:rsidRPr="007C4F90" w:rsidRDefault="00143A38" w:rsidP="007C4F90">
      <w:pPr>
        <w:jc w:val="both"/>
        <w:rPr>
          <w:rFonts w:eastAsiaTheme="minorHAnsi"/>
          <w:color w:val="000000" w:themeColor="text1"/>
          <w:sz w:val="22"/>
          <w:szCs w:val="22"/>
          <w:lang w:val="fr-FR"/>
        </w:rPr>
      </w:pPr>
    </w:p>
    <w:p w14:paraId="0497621A" w14:textId="77777777" w:rsidR="00143A38" w:rsidRPr="007C4F90" w:rsidRDefault="00143A38" w:rsidP="007C4F90">
      <w:pPr>
        <w:jc w:val="both"/>
        <w:rPr>
          <w:rFonts w:eastAsiaTheme="minorHAnsi"/>
          <w:color w:val="000000" w:themeColor="text1"/>
          <w:sz w:val="22"/>
          <w:szCs w:val="22"/>
          <w:lang w:val="fr-FR"/>
        </w:rPr>
      </w:pPr>
    </w:p>
    <w:p w14:paraId="3E9B3DA3" w14:textId="77777777" w:rsidR="00143A38" w:rsidRPr="007C4F90" w:rsidRDefault="00143A38" w:rsidP="007C4F90">
      <w:pPr>
        <w:jc w:val="both"/>
        <w:rPr>
          <w:rFonts w:eastAsiaTheme="minorHAnsi"/>
          <w:color w:val="000000" w:themeColor="text1"/>
          <w:sz w:val="22"/>
          <w:szCs w:val="22"/>
          <w:lang w:val="fr-FR"/>
        </w:rPr>
      </w:pPr>
    </w:p>
    <w:p w14:paraId="2F226735" w14:textId="77777777" w:rsidR="00143A38" w:rsidRPr="007C4F90" w:rsidRDefault="00143A38" w:rsidP="007C4F90">
      <w:pPr>
        <w:jc w:val="both"/>
        <w:rPr>
          <w:rFonts w:eastAsiaTheme="minorHAnsi"/>
          <w:color w:val="000000" w:themeColor="text1"/>
          <w:sz w:val="22"/>
          <w:szCs w:val="22"/>
          <w:lang w:val="fr-FR"/>
        </w:rPr>
      </w:pPr>
    </w:p>
    <w:p w14:paraId="55DE2323" w14:textId="77777777" w:rsidR="00143A38" w:rsidRPr="007C4F90" w:rsidRDefault="00143A38" w:rsidP="007C4F90">
      <w:pPr>
        <w:jc w:val="both"/>
        <w:rPr>
          <w:rFonts w:eastAsiaTheme="minorHAnsi"/>
          <w:color w:val="000000" w:themeColor="text1"/>
          <w:sz w:val="22"/>
          <w:szCs w:val="22"/>
          <w:lang w:val="fr-FR"/>
        </w:rPr>
      </w:pPr>
    </w:p>
    <w:p w14:paraId="45F6C91C" w14:textId="77777777" w:rsidR="006E3888" w:rsidRPr="007C4F90" w:rsidRDefault="006E3888" w:rsidP="007C4F90">
      <w:pPr>
        <w:jc w:val="both"/>
        <w:rPr>
          <w:rFonts w:eastAsiaTheme="minorHAnsi"/>
          <w:color w:val="000000" w:themeColor="text1"/>
          <w:sz w:val="22"/>
          <w:szCs w:val="22"/>
          <w:lang w:val="fr-FR"/>
        </w:rPr>
      </w:pPr>
    </w:p>
    <w:p w14:paraId="278E1762" w14:textId="77777777" w:rsidR="006E3888" w:rsidRPr="007C4F90" w:rsidRDefault="00783368" w:rsidP="007C4F90">
      <w:pPr>
        <w:jc w:val="center"/>
        <w:rPr>
          <w:rFonts w:eastAsiaTheme="minorHAnsi"/>
          <w:color w:val="000000" w:themeColor="text1"/>
          <w:sz w:val="22"/>
          <w:szCs w:val="22"/>
        </w:rPr>
      </w:pPr>
      <w:r w:rsidRPr="007C4F90">
        <w:rPr>
          <w:color w:val="000000" w:themeColor="text1"/>
          <w:sz w:val="22"/>
          <w:szCs w:val="22"/>
        </w:rPr>
        <w:t>PROGRAMME</w:t>
      </w:r>
    </w:p>
    <w:p w14:paraId="1123C6C6" w14:textId="77777777" w:rsidR="00143A38" w:rsidRPr="007C4F90" w:rsidRDefault="00143A38" w:rsidP="007C4F90">
      <w:pPr>
        <w:jc w:val="center"/>
        <w:rPr>
          <w:rFonts w:eastAsiaTheme="minorHAnsi"/>
          <w:color w:val="000000" w:themeColor="text1"/>
          <w:sz w:val="22"/>
          <w:szCs w:val="22"/>
          <w:lang w:val="es-PE"/>
        </w:rPr>
      </w:pPr>
    </w:p>
    <w:p w14:paraId="248D47F0" w14:textId="77777777" w:rsidR="00143A38" w:rsidRPr="007C4F90" w:rsidRDefault="00F569E7" w:rsidP="007C4F90">
      <w:pPr>
        <w:ind w:right="-29"/>
        <w:jc w:val="center"/>
        <w:rPr>
          <w:rFonts w:eastAsiaTheme="minorHAnsi"/>
          <w:color w:val="000000" w:themeColor="text1"/>
          <w:sz w:val="22"/>
          <w:szCs w:val="22"/>
        </w:rPr>
      </w:pPr>
      <w:r w:rsidRPr="007C4F90">
        <w:rPr>
          <w:color w:val="000000" w:themeColor="text1"/>
          <w:sz w:val="22"/>
          <w:szCs w:val="22"/>
        </w:rPr>
        <w:t xml:space="preserve">RÉUNION EXTRAORDINAIRE SUR DES THÈMES D’ACTUALITÉ DU DROIT INTERNATIONAL HUMANITAIRE </w:t>
      </w:r>
    </w:p>
    <w:p w14:paraId="5B0D89E4" w14:textId="77777777" w:rsidR="00143A38" w:rsidRPr="007C4F90" w:rsidRDefault="00143A38" w:rsidP="007C4F90">
      <w:pPr>
        <w:ind w:right="-29"/>
        <w:jc w:val="center"/>
        <w:rPr>
          <w:rFonts w:eastAsiaTheme="minorHAnsi"/>
          <w:color w:val="000000" w:themeColor="text1"/>
          <w:sz w:val="22"/>
          <w:szCs w:val="22"/>
          <w:lang w:val="fr-FR"/>
        </w:rPr>
      </w:pPr>
    </w:p>
    <w:p w14:paraId="316FE983" w14:textId="77777777" w:rsidR="00143A38" w:rsidRPr="007C4F90" w:rsidRDefault="00143A38" w:rsidP="007C4F90">
      <w:pPr>
        <w:ind w:right="-29"/>
        <w:jc w:val="center"/>
        <w:rPr>
          <w:sz w:val="22"/>
          <w:szCs w:val="22"/>
        </w:rPr>
      </w:pPr>
      <w:r w:rsidRPr="007C4F90">
        <w:rPr>
          <w:sz w:val="22"/>
          <w:szCs w:val="22"/>
        </w:rPr>
        <w:t>(29 avril 2021)</w:t>
      </w:r>
    </w:p>
    <w:p w14:paraId="2D5E1FD5" w14:textId="77777777" w:rsidR="00F569E7" w:rsidRPr="007C4F90" w:rsidRDefault="00F569E7" w:rsidP="007C4F90">
      <w:pPr>
        <w:jc w:val="center"/>
        <w:rPr>
          <w:rFonts w:eastAsiaTheme="minorHAnsi"/>
          <w:color w:val="000000" w:themeColor="text1"/>
          <w:sz w:val="22"/>
          <w:szCs w:val="22"/>
          <w:lang w:val="fr-FR"/>
        </w:rPr>
      </w:pPr>
    </w:p>
    <w:p w14:paraId="0EF7EEAC" w14:textId="77777777" w:rsidR="006E3888" w:rsidRPr="007C4F90" w:rsidRDefault="00143A38" w:rsidP="007C4F90">
      <w:pPr>
        <w:jc w:val="center"/>
        <w:rPr>
          <w:rFonts w:eastAsiaTheme="minorHAnsi"/>
          <w:color w:val="000000" w:themeColor="text1"/>
          <w:sz w:val="22"/>
          <w:szCs w:val="22"/>
        </w:rPr>
      </w:pPr>
      <w:r w:rsidRPr="007C4F90">
        <w:rPr>
          <w:color w:val="000000" w:themeColor="text1"/>
          <w:sz w:val="22"/>
          <w:szCs w:val="22"/>
        </w:rPr>
        <w:t>(Approuvé par la CAJP le 18 février 2021)</w:t>
      </w:r>
    </w:p>
    <w:p w14:paraId="588BEA1D" w14:textId="77777777" w:rsidR="008B636C" w:rsidRPr="007C4F90" w:rsidRDefault="008B636C" w:rsidP="007C4F90">
      <w:pPr>
        <w:jc w:val="both"/>
        <w:rPr>
          <w:rFonts w:eastAsiaTheme="minorHAnsi"/>
          <w:color w:val="000000" w:themeColor="text1"/>
          <w:sz w:val="22"/>
          <w:szCs w:val="22"/>
          <w:lang w:val="fr-FR"/>
        </w:rPr>
        <w:sectPr w:rsidR="008B636C" w:rsidRPr="007C4F90" w:rsidSect="008B636C">
          <w:headerReference w:type="default" r:id="rId8"/>
          <w:pgSz w:w="12240" w:h="15840" w:code="1"/>
          <w:pgMar w:top="2160" w:right="1570" w:bottom="1296" w:left="1714" w:header="1296" w:footer="1296" w:gutter="0"/>
          <w:cols w:space="720"/>
          <w:titlePg/>
          <w:docGrid w:linePitch="360"/>
        </w:sectPr>
      </w:pPr>
    </w:p>
    <w:p w14:paraId="0AA14C21" w14:textId="77777777" w:rsidR="00F569E7" w:rsidRPr="007C4F90" w:rsidRDefault="00F569E7" w:rsidP="007C4F90">
      <w:pPr>
        <w:ind w:right="241"/>
        <w:jc w:val="center"/>
        <w:rPr>
          <w:sz w:val="22"/>
          <w:szCs w:val="22"/>
        </w:rPr>
      </w:pPr>
      <w:r w:rsidRPr="007C4F90">
        <w:rPr>
          <w:sz w:val="22"/>
          <w:szCs w:val="22"/>
        </w:rPr>
        <w:lastRenderedPageBreak/>
        <w:t>RÉUNION EXTRAORDINAIRE SUR DES THÈMES D’ACTUALITÉ DU DROIT INTERNATIONAL HUMANITAIRE</w:t>
      </w:r>
    </w:p>
    <w:p w14:paraId="68F24F8C" w14:textId="77777777" w:rsidR="00F569E7" w:rsidRPr="007C4F90" w:rsidRDefault="00F569E7" w:rsidP="007C4F90">
      <w:pPr>
        <w:ind w:right="1883"/>
        <w:rPr>
          <w:sz w:val="22"/>
          <w:szCs w:val="22"/>
          <w:lang w:val="fr-FR"/>
        </w:rPr>
      </w:pPr>
    </w:p>
    <w:p w14:paraId="32E2AB97" w14:textId="77777777" w:rsidR="00350AF9" w:rsidRPr="007C4F90" w:rsidRDefault="00350AF9" w:rsidP="007C4F90">
      <w:pPr>
        <w:ind w:left="2880"/>
        <w:jc w:val="both"/>
        <w:rPr>
          <w:sz w:val="22"/>
          <w:szCs w:val="22"/>
        </w:rPr>
      </w:pPr>
      <w:r w:rsidRPr="007C4F90">
        <w:rPr>
          <w:sz w:val="22"/>
          <w:szCs w:val="22"/>
          <w:u w:val="single"/>
        </w:rPr>
        <w:t>Date</w:t>
      </w:r>
      <w:r w:rsidRPr="007C4F90">
        <w:rPr>
          <w:sz w:val="22"/>
          <w:szCs w:val="22"/>
        </w:rPr>
        <w:t> :</w:t>
      </w:r>
      <w:r w:rsidRPr="007C4F90">
        <w:rPr>
          <w:sz w:val="22"/>
          <w:szCs w:val="22"/>
        </w:rPr>
        <w:tab/>
        <w:t>29 avril 2021</w:t>
      </w:r>
    </w:p>
    <w:p w14:paraId="3CDD91C1" w14:textId="77777777" w:rsidR="00350AF9" w:rsidRPr="007C4F90" w:rsidRDefault="00350AF9" w:rsidP="007C4F90">
      <w:pPr>
        <w:ind w:left="2880"/>
        <w:rPr>
          <w:sz w:val="22"/>
          <w:szCs w:val="22"/>
        </w:rPr>
      </w:pPr>
      <w:r w:rsidRPr="007C4F90">
        <w:rPr>
          <w:sz w:val="22"/>
          <w:szCs w:val="22"/>
          <w:u w:val="single"/>
        </w:rPr>
        <w:t>Heure</w:t>
      </w:r>
      <w:r w:rsidRPr="007C4F90">
        <w:rPr>
          <w:sz w:val="22"/>
          <w:szCs w:val="22"/>
        </w:rPr>
        <w:t xml:space="preserve"> :</w:t>
      </w:r>
      <w:r w:rsidRPr="007C4F90">
        <w:rPr>
          <w:sz w:val="22"/>
          <w:szCs w:val="22"/>
        </w:rPr>
        <w:tab/>
        <w:t>14 h 30 – 17 h 30</w:t>
      </w:r>
    </w:p>
    <w:p w14:paraId="1B2D610C" w14:textId="77777777" w:rsidR="00350AF9" w:rsidRPr="007C4F90" w:rsidRDefault="00350AF9" w:rsidP="007C4F90">
      <w:pPr>
        <w:ind w:left="2880"/>
        <w:jc w:val="both"/>
        <w:rPr>
          <w:sz w:val="22"/>
          <w:szCs w:val="22"/>
        </w:rPr>
      </w:pPr>
      <w:r w:rsidRPr="007C4F90">
        <w:rPr>
          <w:sz w:val="22"/>
          <w:szCs w:val="22"/>
          <w:u w:val="single"/>
        </w:rPr>
        <w:t>Lieu</w:t>
      </w:r>
      <w:r w:rsidRPr="007C4F90">
        <w:rPr>
          <w:sz w:val="22"/>
          <w:szCs w:val="22"/>
        </w:rPr>
        <w:t xml:space="preserve"> :</w:t>
      </w:r>
      <w:r w:rsidRPr="007C4F90">
        <w:rPr>
          <w:sz w:val="22"/>
          <w:szCs w:val="22"/>
        </w:rPr>
        <w:tab/>
        <w:t>virtuel</w:t>
      </w:r>
    </w:p>
    <w:p w14:paraId="36F0CB39" w14:textId="77777777" w:rsidR="00F569E7" w:rsidRPr="007C4F90" w:rsidRDefault="00F569E7" w:rsidP="007C4F90">
      <w:pPr>
        <w:autoSpaceDE w:val="0"/>
        <w:autoSpaceDN w:val="0"/>
        <w:adjustRightInd w:val="0"/>
        <w:jc w:val="both"/>
        <w:rPr>
          <w:color w:val="000000"/>
          <w:sz w:val="22"/>
          <w:szCs w:val="22"/>
          <w:lang w:val="fr-FR" w:eastAsia="fr-CH"/>
        </w:rPr>
      </w:pPr>
    </w:p>
    <w:p w14:paraId="7ABC39E7" w14:textId="0EAD36A3" w:rsidR="00F569E7" w:rsidRPr="007C4F90" w:rsidRDefault="00F569E7" w:rsidP="007C4F90">
      <w:pPr>
        <w:autoSpaceDE w:val="0"/>
        <w:autoSpaceDN w:val="0"/>
        <w:adjustRightInd w:val="0"/>
        <w:ind w:firstLine="720"/>
        <w:jc w:val="both"/>
        <w:rPr>
          <w:sz w:val="22"/>
          <w:szCs w:val="22"/>
        </w:rPr>
      </w:pPr>
      <w:r w:rsidRPr="007C4F90">
        <w:rPr>
          <w:sz w:val="22"/>
          <w:szCs w:val="22"/>
        </w:rPr>
        <w:t>Aux termes de la résolution AG/RES. 2959 (L-O/20), « Promotion et respect du droit international humanitaire », l’Assemblée générale a chargé le Secrétariat général de continuer de renforcer la coopération entre l’OEA et le Comité international de la Croix-Rouge (CICR) dans le domaine de la promotion du respect du droit international humanitaire et des principes qui le régissent et le Conseil permanent de tenir une séance extraordinaire au cours du premier semestre de 2021 qui sera consacrée aux questions d’actualité en matière de droit international humanitaire entre autres, l’applicabilité desdites règles à la question des armes autonomes létales.</w:t>
      </w:r>
    </w:p>
    <w:p w14:paraId="220642B7" w14:textId="77777777" w:rsidR="00F569E7" w:rsidRPr="007C4F90" w:rsidRDefault="00F569E7" w:rsidP="007C4F90">
      <w:pPr>
        <w:autoSpaceDE w:val="0"/>
        <w:autoSpaceDN w:val="0"/>
        <w:adjustRightInd w:val="0"/>
        <w:jc w:val="both"/>
        <w:rPr>
          <w:sz w:val="22"/>
          <w:szCs w:val="22"/>
          <w:lang w:val="fr-FR"/>
        </w:rPr>
      </w:pPr>
    </w:p>
    <w:p w14:paraId="653A1A41" w14:textId="77777777" w:rsidR="00F569E7" w:rsidRPr="007C4F90" w:rsidRDefault="00F569E7" w:rsidP="007C4F90">
      <w:pPr>
        <w:suppressAutoHyphens/>
        <w:jc w:val="center"/>
        <w:rPr>
          <w:sz w:val="22"/>
          <w:szCs w:val="22"/>
        </w:rPr>
      </w:pPr>
      <w:r w:rsidRPr="007C4F90">
        <w:rPr>
          <w:sz w:val="22"/>
          <w:szCs w:val="22"/>
        </w:rPr>
        <w:t>PROGRAMME</w:t>
      </w:r>
    </w:p>
    <w:p w14:paraId="010E1D2A" w14:textId="77777777" w:rsidR="00F569E7" w:rsidRPr="007C4F90" w:rsidRDefault="00F569E7" w:rsidP="007C4F90">
      <w:pPr>
        <w:autoSpaceDE w:val="0"/>
        <w:autoSpaceDN w:val="0"/>
        <w:adjustRightInd w:val="0"/>
        <w:jc w:val="both"/>
        <w:rPr>
          <w:sz w:val="22"/>
          <w:szCs w:val="22"/>
        </w:rPr>
      </w:pPr>
    </w:p>
    <w:p w14:paraId="158176CD" w14:textId="77777777" w:rsidR="00F569E7" w:rsidRPr="007C4F90" w:rsidRDefault="00F569E7" w:rsidP="007C4F90">
      <w:pPr>
        <w:widowControl w:val="0"/>
        <w:numPr>
          <w:ilvl w:val="0"/>
          <w:numId w:val="5"/>
        </w:numPr>
        <w:snapToGrid w:val="0"/>
        <w:ind w:left="720" w:hanging="720"/>
        <w:jc w:val="both"/>
        <w:rPr>
          <w:sz w:val="22"/>
          <w:szCs w:val="22"/>
        </w:rPr>
      </w:pPr>
      <w:r w:rsidRPr="007C4F90">
        <w:rPr>
          <w:sz w:val="22"/>
          <w:szCs w:val="22"/>
        </w:rPr>
        <w:t>Allocutions d’ouverture</w:t>
      </w:r>
    </w:p>
    <w:p w14:paraId="22B76633" w14:textId="77777777" w:rsidR="00143A38" w:rsidRPr="007C4F90" w:rsidRDefault="00143A38" w:rsidP="007C4F90">
      <w:pPr>
        <w:widowControl w:val="0"/>
        <w:snapToGrid w:val="0"/>
        <w:jc w:val="both"/>
        <w:rPr>
          <w:sz w:val="22"/>
          <w:szCs w:val="22"/>
        </w:rPr>
      </w:pPr>
    </w:p>
    <w:p w14:paraId="70D87BB1" w14:textId="77777777" w:rsidR="00F569E7" w:rsidRPr="007C4F90" w:rsidRDefault="00F569E7" w:rsidP="007C4F90">
      <w:pPr>
        <w:numPr>
          <w:ilvl w:val="1"/>
          <w:numId w:val="18"/>
        </w:numPr>
        <w:ind w:hanging="720"/>
        <w:contextualSpacing/>
        <w:jc w:val="both"/>
        <w:rPr>
          <w:sz w:val="22"/>
          <w:szCs w:val="22"/>
        </w:rPr>
      </w:pPr>
      <w:r w:rsidRPr="007C4F90">
        <w:rPr>
          <w:sz w:val="22"/>
          <w:szCs w:val="22"/>
        </w:rPr>
        <w:t>Allocution de l’Ambassadeur Josué Fiallo, Représentant permanent de la République dominicaine et Président de la Commission des questions juridiques et politiques</w:t>
      </w:r>
    </w:p>
    <w:p w14:paraId="3C0E3099" w14:textId="77777777" w:rsidR="00143A38" w:rsidRPr="007C4F90" w:rsidRDefault="00143A38" w:rsidP="007C4F90">
      <w:pPr>
        <w:widowControl w:val="0"/>
        <w:snapToGrid w:val="0"/>
        <w:jc w:val="both"/>
        <w:rPr>
          <w:sz w:val="22"/>
          <w:szCs w:val="22"/>
        </w:rPr>
      </w:pPr>
    </w:p>
    <w:p w14:paraId="076B200C" w14:textId="6889EF46" w:rsidR="00F569E7" w:rsidRPr="007C4F90" w:rsidRDefault="00F569E7" w:rsidP="007C4F90">
      <w:pPr>
        <w:numPr>
          <w:ilvl w:val="1"/>
          <w:numId w:val="18"/>
        </w:numPr>
        <w:ind w:hanging="720"/>
        <w:contextualSpacing/>
        <w:jc w:val="both"/>
        <w:rPr>
          <w:sz w:val="22"/>
          <w:szCs w:val="22"/>
        </w:rPr>
      </w:pPr>
      <w:r w:rsidRPr="007C4F90">
        <w:rPr>
          <w:sz w:val="22"/>
          <w:szCs w:val="22"/>
        </w:rPr>
        <w:t>Allocution de M. Dante Negro, Directeur du Département du droit international du Secrétariat général de l’OEA</w:t>
      </w:r>
      <w:r w:rsidR="00434C41" w:rsidRPr="007C4F90">
        <w:rPr>
          <w:sz w:val="22"/>
          <w:szCs w:val="22"/>
        </w:rPr>
        <w:t xml:space="preserve"> : </w:t>
      </w:r>
      <w:hyperlink r:id="rId9" w:history="1">
        <w:r w:rsidR="00320F7E" w:rsidRPr="007C4F90">
          <w:rPr>
            <w:rStyle w:val="Hyperlink"/>
            <w:sz w:val="22"/>
            <w:szCs w:val="22"/>
            <w:lang w:val="fr-FR"/>
          </w:rPr>
          <w:t>Exposé</w:t>
        </w:r>
      </w:hyperlink>
    </w:p>
    <w:p w14:paraId="33B92442" w14:textId="77777777" w:rsidR="00143A38" w:rsidRPr="007C4F90" w:rsidRDefault="00143A38" w:rsidP="007C4F90">
      <w:pPr>
        <w:contextualSpacing/>
        <w:jc w:val="both"/>
        <w:rPr>
          <w:sz w:val="22"/>
          <w:szCs w:val="22"/>
          <w:lang w:val="fr-FR"/>
        </w:rPr>
      </w:pPr>
    </w:p>
    <w:p w14:paraId="60B0BEC8" w14:textId="77777777" w:rsidR="00F569E7" w:rsidRPr="007C4F90" w:rsidRDefault="00F569E7" w:rsidP="007C4F90">
      <w:pPr>
        <w:widowControl w:val="0"/>
        <w:numPr>
          <w:ilvl w:val="0"/>
          <w:numId w:val="5"/>
        </w:numPr>
        <w:snapToGrid w:val="0"/>
        <w:ind w:left="720" w:hanging="720"/>
        <w:jc w:val="both"/>
        <w:rPr>
          <w:sz w:val="22"/>
          <w:szCs w:val="22"/>
        </w:rPr>
      </w:pPr>
      <w:r w:rsidRPr="007C4F90">
        <w:rPr>
          <w:sz w:val="22"/>
          <w:szCs w:val="22"/>
        </w:rPr>
        <w:t>Suivi des engagements et des résolutions de la 33</w:t>
      </w:r>
      <w:r w:rsidRPr="007C4F90">
        <w:rPr>
          <w:sz w:val="22"/>
          <w:szCs w:val="22"/>
          <w:vertAlign w:val="superscript"/>
        </w:rPr>
        <w:t>e</w:t>
      </w:r>
      <w:r w:rsidRPr="007C4F90">
        <w:rPr>
          <w:sz w:val="22"/>
          <w:szCs w:val="22"/>
        </w:rPr>
        <w:t xml:space="preserve"> Conférence internationale de la Croix-Rouge et du Croissant-Rouge et en particulier de la résolution sur la mise en œuvre nationale du droit international humanitaire, y compris la réunion et la plateforme numérique des commissions nationales</w:t>
      </w:r>
    </w:p>
    <w:p w14:paraId="7793F171" w14:textId="77777777" w:rsidR="00143A38" w:rsidRPr="007C4F90" w:rsidRDefault="00143A38" w:rsidP="007C4F90">
      <w:pPr>
        <w:widowControl w:val="0"/>
        <w:snapToGrid w:val="0"/>
        <w:jc w:val="both"/>
        <w:rPr>
          <w:sz w:val="22"/>
          <w:szCs w:val="22"/>
          <w:lang w:val="fr-FR"/>
        </w:rPr>
      </w:pPr>
    </w:p>
    <w:p w14:paraId="01A286BF" w14:textId="78E4A57D" w:rsidR="00783368" w:rsidRPr="007C4F90" w:rsidRDefault="00783368" w:rsidP="007C4F90">
      <w:pPr>
        <w:numPr>
          <w:ilvl w:val="0"/>
          <w:numId w:val="18"/>
        </w:numPr>
        <w:ind w:left="1440" w:hanging="720"/>
        <w:jc w:val="both"/>
        <w:rPr>
          <w:sz w:val="22"/>
          <w:szCs w:val="22"/>
        </w:rPr>
      </w:pPr>
      <w:r w:rsidRPr="007C4F90">
        <w:rPr>
          <w:sz w:val="22"/>
          <w:szCs w:val="22"/>
        </w:rPr>
        <w:t xml:space="preserve">Rapport de </w:t>
      </w:r>
      <w:hyperlink w:anchor="Romina" w:history="1">
        <w:r w:rsidRPr="007C4F90">
          <w:rPr>
            <w:rStyle w:val="Hyperlink"/>
            <w:sz w:val="22"/>
            <w:szCs w:val="22"/>
          </w:rPr>
          <w:t>Romina Morello</w:t>
        </w:r>
      </w:hyperlink>
      <w:r w:rsidRPr="007C4F90">
        <w:rPr>
          <w:sz w:val="22"/>
          <w:szCs w:val="22"/>
        </w:rPr>
        <w:t>, Conseillère juridique régionale du CICR pour les Amériques sur les développements récents dans le domaine du DIH</w:t>
      </w:r>
      <w:r w:rsidR="00FB2962" w:rsidRPr="007C4F90">
        <w:rPr>
          <w:sz w:val="22"/>
          <w:szCs w:val="22"/>
        </w:rPr>
        <w:t xml:space="preserve"> : </w:t>
      </w:r>
      <w:hyperlink r:id="rId10" w:history="1">
        <w:r w:rsidR="00FB2962" w:rsidRPr="007C4F90">
          <w:rPr>
            <w:rStyle w:val="Hyperlink"/>
            <w:sz w:val="22"/>
            <w:szCs w:val="22"/>
            <w:lang w:val="fr-FR" w:eastAsia="en-US"/>
          </w:rPr>
          <w:t>Exposé</w:t>
        </w:r>
      </w:hyperlink>
    </w:p>
    <w:p w14:paraId="53180941" w14:textId="77777777" w:rsidR="00143A38" w:rsidRPr="007C4F90" w:rsidRDefault="00143A38" w:rsidP="007C4F90">
      <w:pPr>
        <w:widowControl w:val="0"/>
        <w:snapToGrid w:val="0"/>
        <w:jc w:val="both"/>
        <w:rPr>
          <w:sz w:val="22"/>
          <w:szCs w:val="22"/>
          <w:lang w:val="fr-FR"/>
        </w:rPr>
      </w:pPr>
    </w:p>
    <w:p w14:paraId="5C27E179" w14:textId="77777777" w:rsidR="00F569E7" w:rsidRPr="007C4F90" w:rsidRDefault="00F569E7" w:rsidP="007C4F90">
      <w:pPr>
        <w:numPr>
          <w:ilvl w:val="0"/>
          <w:numId w:val="18"/>
        </w:numPr>
        <w:ind w:left="1440" w:hanging="720"/>
        <w:jc w:val="both"/>
        <w:rPr>
          <w:sz w:val="22"/>
          <w:szCs w:val="22"/>
        </w:rPr>
      </w:pPr>
      <w:r w:rsidRPr="007C4F90">
        <w:rPr>
          <w:sz w:val="22"/>
          <w:szCs w:val="22"/>
        </w:rPr>
        <w:t>Interventions des délégations des États membres</w:t>
      </w:r>
    </w:p>
    <w:p w14:paraId="0101C29E" w14:textId="77777777" w:rsidR="00F569E7" w:rsidRPr="007C4F90" w:rsidRDefault="00F569E7" w:rsidP="007C4F90">
      <w:pPr>
        <w:jc w:val="both"/>
        <w:rPr>
          <w:sz w:val="22"/>
          <w:szCs w:val="22"/>
          <w:lang w:val="fr-FR"/>
        </w:rPr>
      </w:pPr>
    </w:p>
    <w:p w14:paraId="3B93CAD7" w14:textId="77777777" w:rsidR="00F569E7" w:rsidRPr="007C4F90" w:rsidRDefault="00F569E7" w:rsidP="007C4F90">
      <w:pPr>
        <w:widowControl w:val="0"/>
        <w:numPr>
          <w:ilvl w:val="0"/>
          <w:numId w:val="5"/>
        </w:numPr>
        <w:snapToGrid w:val="0"/>
        <w:ind w:left="720" w:hanging="720"/>
        <w:jc w:val="both"/>
        <w:rPr>
          <w:sz w:val="22"/>
          <w:szCs w:val="22"/>
        </w:rPr>
      </w:pPr>
      <w:r w:rsidRPr="007C4F90">
        <w:rPr>
          <w:sz w:val="22"/>
          <w:szCs w:val="22"/>
        </w:rPr>
        <w:t xml:space="preserve">Question d'actualité dans le domaine du droit international humanitaire </w:t>
      </w:r>
    </w:p>
    <w:p w14:paraId="2FD970BA" w14:textId="77777777" w:rsidR="00783368" w:rsidRPr="007C4F90" w:rsidRDefault="00783368" w:rsidP="007C4F90">
      <w:pPr>
        <w:widowControl w:val="0"/>
        <w:snapToGrid w:val="0"/>
        <w:jc w:val="both"/>
        <w:rPr>
          <w:sz w:val="22"/>
          <w:szCs w:val="22"/>
          <w:lang w:val="fr-FR"/>
        </w:rPr>
      </w:pPr>
    </w:p>
    <w:p w14:paraId="43C64D9C" w14:textId="36009D8D" w:rsidR="00783368" w:rsidRPr="007C4F90" w:rsidRDefault="00783368" w:rsidP="007C4F90">
      <w:pPr>
        <w:numPr>
          <w:ilvl w:val="0"/>
          <w:numId w:val="19"/>
        </w:numPr>
        <w:ind w:left="1440" w:hanging="732"/>
        <w:jc w:val="both"/>
        <w:rPr>
          <w:color w:val="0000FF"/>
          <w:sz w:val="22"/>
          <w:szCs w:val="22"/>
          <w:u w:val="single"/>
        </w:rPr>
      </w:pPr>
      <w:r w:rsidRPr="007C4F90">
        <w:rPr>
          <w:sz w:val="22"/>
          <w:szCs w:val="22"/>
        </w:rPr>
        <w:t xml:space="preserve">Intervention de </w:t>
      </w:r>
      <w:hyperlink w:anchor="Helen" w:history="1">
        <w:r w:rsidRPr="007C4F90">
          <w:rPr>
            <w:rStyle w:val="Hyperlink"/>
            <w:sz w:val="22"/>
            <w:szCs w:val="22"/>
          </w:rPr>
          <w:t>Helen Obregón Gieseken</w:t>
        </w:r>
      </w:hyperlink>
      <w:r w:rsidRPr="007C4F90">
        <w:rPr>
          <w:sz w:val="22"/>
          <w:szCs w:val="22"/>
        </w:rPr>
        <w:t>, Conseillère juridique du CICR sur le « </w:t>
      </w:r>
      <w:hyperlink r:id="rId11" w:history="1">
        <w:r w:rsidRPr="007C4F90">
          <w:rPr>
            <w:color w:val="0000FF"/>
            <w:sz w:val="22"/>
            <w:szCs w:val="22"/>
            <w:u w:val="single"/>
          </w:rPr>
          <w:t>Guide pour la protection de l’environnement naturel dans les conflits armés »</w:t>
        </w:r>
      </w:hyperlink>
      <w:r w:rsidR="00FB2962" w:rsidRPr="007C4F90">
        <w:rPr>
          <w:color w:val="0000FF"/>
          <w:sz w:val="22"/>
          <w:szCs w:val="22"/>
        </w:rPr>
        <w:t xml:space="preserve"> </w:t>
      </w:r>
      <w:r w:rsidR="00320F7E" w:rsidRPr="007C4F90">
        <w:rPr>
          <w:color w:val="000000"/>
          <w:sz w:val="22"/>
          <w:szCs w:val="22"/>
        </w:rPr>
        <w:t>:</w:t>
      </w:r>
      <w:r w:rsidR="00FB2962" w:rsidRPr="007C4F90">
        <w:rPr>
          <w:sz w:val="22"/>
          <w:szCs w:val="22"/>
        </w:rPr>
        <w:t xml:space="preserve"> </w:t>
      </w:r>
      <w:hyperlink r:id="rId12" w:history="1">
        <w:r w:rsidR="00FB2962" w:rsidRPr="007C4F90">
          <w:rPr>
            <w:rStyle w:val="Hyperlink"/>
            <w:sz w:val="22"/>
            <w:szCs w:val="22"/>
            <w:lang w:val="fr-FR" w:eastAsia="en-US"/>
          </w:rPr>
          <w:t>Exposé</w:t>
        </w:r>
      </w:hyperlink>
    </w:p>
    <w:p w14:paraId="299C42CC" w14:textId="77777777" w:rsidR="00783368" w:rsidRPr="007C4F90" w:rsidRDefault="00783368" w:rsidP="007C4F90">
      <w:pPr>
        <w:widowControl w:val="0"/>
        <w:snapToGrid w:val="0"/>
        <w:jc w:val="both"/>
        <w:rPr>
          <w:color w:val="000000"/>
          <w:sz w:val="22"/>
          <w:szCs w:val="22"/>
          <w:lang w:val="fr-FR"/>
        </w:rPr>
      </w:pPr>
    </w:p>
    <w:p w14:paraId="6ABB5FE0" w14:textId="3F0E2796" w:rsidR="00F569E7" w:rsidRPr="007C4F90" w:rsidRDefault="00783368" w:rsidP="007C4F90">
      <w:pPr>
        <w:numPr>
          <w:ilvl w:val="0"/>
          <w:numId w:val="19"/>
        </w:numPr>
        <w:ind w:left="1440" w:hanging="732"/>
        <w:jc w:val="both"/>
        <w:rPr>
          <w:color w:val="000000"/>
          <w:sz w:val="22"/>
          <w:szCs w:val="22"/>
        </w:rPr>
      </w:pPr>
      <w:r w:rsidRPr="007C4F90">
        <w:rPr>
          <w:sz w:val="22"/>
          <w:szCs w:val="22"/>
        </w:rPr>
        <w:t xml:space="preserve">Intervention de </w:t>
      </w:r>
      <w:hyperlink w:anchor="Maya" w:history="1">
        <w:r w:rsidRPr="007C4F90">
          <w:rPr>
            <w:rStyle w:val="Hyperlink"/>
            <w:sz w:val="22"/>
            <w:szCs w:val="22"/>
          </w:rPr>
          <w:t>Maya Brehm</w:t>
        </w:r>
      </w:hyperlink>
      <w:r w:rsidRPr="007C4F90">
        <w:rPr>
          <w:sz w:val="22"/>
          <w:szCs w:val="22"/>
        </w:rPr>
        <w:t>, Conseillère juridique de l’Unité des armes et de la conduite des hostilités du CICR sur le sujet : « Nouvelles technologies : systèmes d’armes autonomes »</w:t>
      </w:r>
      <w:r w:rsidR="00F569E7" w:rsidRPr="007C4F90">
        <w:rPr>
          <w:color w:val="000000"/>
          <w:sz w:val="22"/>
          <w:szCs w:val="22"/>
          <w:u w:val="single"/>
          <w:vertAlign w:val="superscript"/>
          <w:lang w:val="es-MX"/>
        </w:rPr>
        <w:footnoteReference w:id="1"/>
      </w:r>
      <w:r w:rsidRPr="007C4F90">
        <w:rPr>
          <w:color w:val="000000"/>
          <w:sz w:val="22"/>
          <w:szCs w:val="22"/>
          <w:vertAlign w:val="superscript"/>
        </w:rPr>
        <w:t>/</w:t>
      </w:r>
      <w:r w:rsidR="00FB2962" w:rsidRPr="007C4F90">
        <w:rPr>
          <w:color w:val="000000"/>
          <w:sz w:val="22"/>
          <w:szCs w:val="22"/>
          <w:vertAlign w:val="superscript"/>
        </w:rPr>
        <w:t> </w:t>
      </w:r>
      <w:r w:rsidR="00FB2962" w:rsidRPr="007C4F90">
        <w:rPr>
          <w:color w:val="000000"/>
          <w:sz w:val="22"/>
          <w:szCs w:val="22"/>
        </w:rPr>
        <w:t xml:space="preserve">: </w:t>
      </w:r>
      <w:hyperlink r:id="rId13" w:history="1">
        <w:r w:rsidR="00FB2962" w:rsidRPr="007C4F90">
          <w:rPr>
            <w:rStyle w:val="Hyperlink"/>
            <w:sz w:val="22"/>
            <w:szCs w:val="22"/>
            <w:lang w:val="fr-FR" w:eastAsia="en-US"/>
          </w:rPr>
          <w:t>Exposé</w:t>
        </w:r>
      </w:hyperlink>
    </w:p>
    <w:p w14:paraId="315A176D" w14:textId="77777777" w:rsidR="00F569E7" w:rsidRPr="007C4F90" w:rsidRDefault="00F569E7" w:rsidP="007C4F90">
      <w:pPr>
        <w:widowControl w:val="0"/>
        <w:snapToGrid w:val="0"/>
        <w:jc w:val="both"/>
        <w:rPr>
          <w:color w:val="000000"/>
          <w:sz w:val="22"/>
          <w:szCs w:val="22"/>
          <w:lang w:val="fr-FR"/>
        </w:rPr>
      </w:pPr>
    </w:p>
    <w:p w14:paraId="68417E85" w14:textId="77777777" w:rsidR="00352C0A" w:rsidRPr="007C4F90" w:rsidRDefault="00F569E7" w:rsidP="007C4F90">
      <w:pPr>
        <w:numPr>
          <w:ilvl w:val="0"/>
          <w:numId w:val="19"/>
        </w:numPr>
        <w:autoSpaceDE w:val="0"/>
        <w:autoSpaceDN w:val="0"/>
        <w:adjustRightInd w:val="0"/>
        <w:ind w:left="1440" w:hanging="732"/>
        <w:contextualSpacing/>
        <w:jc w:val="both"/>
        <w:rPr>
          <w:sz w:val="22"/>
          <w:szCs w:val="22"/>
        </w:rPr>
      </w:pPr>
      <w:r w:rsidRPr="007C4F90">
        <w:rPr>
          <w:sz w:val="22"/>
          <w:szCs w:val="22"/>
        </w:rPr>
        <w:t>Interventions des délégations des États membres</w:t>
      </w:r>
    </w:p>
    <w:p w14:paraId="37FFD4C4" w14:textId="26B2D2DC" w:rsidR="00065C0E" w:rsidRPr="00065C0E" w:rsidRDefault="00065C0E" w:rsidP="006E7C72">
      <w:pPr>
        <w:pStyle w:val="ListParagraph"/>
        <w:ind w:left="1068"/>
        <w:rPr>
          <w:sz w:val="22"/>
          <w:szCs w:val="22"/>
        </w:rPr>
      </w:pPr>
      <w:r>
        <w:rPr>
          <w:noProof/>
          <w:lang w:val="en-US" w:eastAsia="en-US"/>
        </w:rPr>
        <w:lastRenderedPageBreak/>
        <w:drawing>
          <wp:inline distT="0" distB="0" distL="0" distR="0" wp14:anchorId="062941E8" wp14:editId="56C6E101">
            <wp:extent cx="1143000" cy="97155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a:ln>
                      <a:noFill/>
                    </a:ln>
                  </pic:spPr>
                </pic:pic>
              </a:graphicData>
            </a:graphic>
          </wp:inline>
        </w:drawing>
      </w:r>
    </w:p>
    <w:p w14:paraId="6C9239F8" w14:textId="77777777" w:rsidR="00065C0E" w:rsidRDefault="00065C0E" w:rsidP="006E7C72">
      <w:pPr>
        <w:pStyle w:val="ListParagraph"/>
        <w:ind w:left="1068"/>
      </w:pPr>
    </w:p>
    <w:p w14:paraId="40C6C5F8" w14:textId="77777777" w:rsidR="00065C0E" w:rsidRDefault="00065C0E" w:rsidP="00065C0E">
      <w:pPr>
        <w:pStyle w:val="NormalWeb"/>
        <w:numPr>
          <w:ilvl w:val="0"/>
          <w:numId w:val="19"/>
        </w:numPr>
        <w:spacing w:before="0" w:beforeAutospacing="0" w:after="0" w:afterAutospacing="0"/>
        <w:jc w:val="center"/>
        <w:rPr>
          <w:rFonts w:ascii="Arial" w:hAnsi="Arial" w:cs="Arial"/>
          <w:b/>
          <w:bCs/>
          <w:sz w:val="22"/>
          <w:szCs w:val="22"/>
        </w:rPr>
      </w:pPr>
      <w:bookmarkStart w:id="0" w:name="Romina"/>
      <w:r>
        <w:rPr>
          <w:rFonts w:ascii="Arial" w:hAnsi="Arial"/>
          <w:b/>
          <w:sz w:val="22"/>
        </w:rPr>
        <w:t>Romina Morello</w:t>
      </w:r>
    </w:p>
    <w:bookmarkEnd w:id="0"/>
    <w:p w14:paraId="24A5A412" w14:textId="190375CF" w:rsidR="00065C0E" w:rsidRDefault="00065C0E" w:rsidP="006E7C72">
      <w:pPr>
        <w:pStyle w:val="NormalWeb"/>
        <w:spacing w:before="0" w:beforeAutospacing="0" w:after="0" w:afterAutospacing="0"/>
        <w:ind w:left="1068"/>
        <w:jc w:val="center"/>
        <w:rPr>
          <w:rFonts w:ascii="Arial" w:hAnsi="Arial" w:cs="Arial"/>
          <w:b/>
          <w:bCs/>
          <w:sz w:val="22"/>
          <w:szCs w:val="22"/>
        </w:rPr>
      </w:pPr>
      <w:r>
        <w:rPr>
          <w:rFonts w:ascii="Arial" w:hAnsi="Arial"/>
          <w:b/>
          <w:sz w:val="22"/>
        </w:rPr>
        <w:t>Conseill</w:t>
      </w:r>
      <w:r w:rsidR="00692D41">
        <w:rPr>
          <w:rFonts w:ascii="Arial" w:hAnsi="Arial"/>
          <w:b/>
          <w:sz w:val="22"/>
        </w:rPr>
        <w:t>è</w:t>
      </w:r>
      <w:r>
        <w:rPr>
          <w:rFonts w:ascii="Arial" w:hAnsi="Arial"/>
          <w:b/>
          <w:sz w:val="22"/>
        </w:rPr>
        <w:t>r</w:t>
      </w:r>
      <w:r w:rsidR="00692D41">
        <w:rPr>
          <w:rFonts w:ascii="Arial" w:hAnsi="Arial"/>
          <w:b/>
          <w:sz w:val="22"/>
        </w:rPr>
        <w:t>e</w:t>
      </w:r>
      <w:r>
        <w:rPr>
          <w:rFonts w:ascii="Arial" w:hAnsi="Arial"/>
          <w:b/>
          <w:sz w:val="22"/>
        </w:rPr>
        <w:t xml:space="preserve"> juridique régional</w:t>
      </w:r>
      <w:r w:rsidR="00692D41">
        <w:rPr>
          <w:rFonts w:ascii="Arial" w:hAnsi="Arial"/>
          <w:b/>
          <w:sz w:val="22"/>
        </w:rPr>
        <w:t>e</w:t>
      </w:r>
      <w:r>
        <w:rPr>
          <w:rFonts w:ascii="Arial" w:hAnsi="Arial"/>
          <w:b/>
          <w:sz w:val="22"/>
        </w:rPr>
        <w:t xml:space="preserve"> pour les Amériques</w:t>
      </w:r>
    </w:p>
    <w:p w14:paraId="01940C60" w14:textId="77777777" w:rsidR="00065C0E" w:rsidRDefault="00065C0E" w:rsidP="006E7C72">
      <w:pPr>
        <w:pStyle w:val="NormalWeb"/>
        <w:spacing w:before="0" w:beforeAutospacing="0" w:after="0" w:afterAutospacing="0"/>
        <w:ind w:left="1068"/>
        <w:jc w:val="center"/>
      </w:pPr>
      <w:r>
        <w:rPr>
          <w:rFonts w:ascii="Arial" w:hAnsi="Arial"/>
          <w:b/>
          <w:sz w:val="22"/>
        </w:rPr>
        <w:t>Comité international de la Croix-Rouge</w:t>
      </w:r>
    </w:p>
    <w:p w14:paraId="27AB7D71" w14:textId="43C1974E" w:rsidR="00065C0E" w:rsidRDefault="00065C0E" w:rsidP="00065C0E">
      <w:pPr>
        <w:pStyle w:val="NormalWeb"/>
        <w:numPr>
          <w:ilvl w:val="0"/>
          <w:numId w:val="19"/>
        </w:numPr>
        <w:jc w:val="both"/>
      </w:pPr>
      <w:r>
        <w:rPr>
          <w:rFonts w:ascii="ArialMT" w:hAnsi="ArialMT"/>
          <w:sz w:val="22"/>
        </w:rPr>
        <w:t xml:space="preserve">Romina Morello est la conseillère juridique régionale pour les Amériques du CICR. Elle se concentre, entre autres, sur la coordination des conseillers juridiques du CICR des Amériques afin d'atteindre les objectifs institutionnels et ceux des délégations visant à promouvoir et à intégrer le DIH et les autres normes pertinentes, en vue d'en renforcer le respect, d'améliorer le dialogue du CICR avec les autorités nationales et les organisations régionales concernées, et de faciliter les activités opérationnelles et les priorités du CICR de la région des Amériques. De plus, Romina contribue à l'opérationnalisation de la stratégie de prévention de la délégation régionale de Panama en répondant aux problèmes humanitaires identifiés dans chaque contexte. Son travail au sein du </w:t>
      </w:r>
      <w:r w:rsidR="00692D41">
        <w:rPr>
          <w:rFonts w:ascii="ArialMT" w:hAnsi="ArialMT"/>
          <w:sz w:val="22"/>
        </w:rPr>
        <w:t>Centre panaméricain</w:t>
      </w:r>
      <w:r>
        <w:rPr>
          <w:rFonts w:ascii="ArialMT" w:hAnsi="ArialMT"/>
          <w:sz w:val="22"/>
        </w:rPr>
        <w:t xml:space="preserve"> d’expertise du CICR (PACE) comprend le soutien de questions thématiques clés, la recherche et la rédaction de déclarations de principes du CICR. Avant de rejoindre le CICR, Romina a travaillé à la Cour pénale internationale, à l'organisation Parliamentarians for Global Action, au bureau du procureur en Argentine et dans un cabinet d'avocats international. Romina est titulaire d'un Master of Laws (LL.M.) en droit international public (Université de Leiden, Pays-Bas) et d'un diplôme de droit (Universidad Católica de Córdoba, Argentine). </w:t>
      </w:r>
    </w:p>
    <w:p w14:paraId="6FE261A0" w14:textId="51AEE081" w:rsidR="00065C0E" w:rsidRPr="006E7C72" w:rsidRDefault="00065C0E" w:rsidP="006E7C72">
      <w:pPr>
        <w:pStyle w:val="ListParagraph"/>
        <w:autoSpaceDE w:val="0"/>
        <w:autoSpaceDN w:val="0"/>
        <w:adjustRightInd w:val="0"/>
        <w:ind w:left="1068"/>
        <w:contextualSpacing/>
        <w:jc w:val="both"/>
        <w:rPr>
          <w:sz w:val="22"/>
          <w:szCs w:val="22"/>
        </w:rPr>
      </w:pPr>
      <w:r>
        <w:rPr>
          <w:noProof/>
          <w:lang w:val="en-US" w:eastAsia="en-US"/>
        </w:rPr>
        <mc:AlternateContent>
          <mc:Choice Requires="wps">
            <w:drawing>
              <wp:anchor distT="0" distB="0" distL="114300" distR="114300" simplePos="0" relativeHeight="251659264" behindDoc="0" locked="1" layoutInCell="1" allowOverlap="1" wp14:anchorId="324BF3ED" wp14:editId="27A6403E">
                <wp:simplePos x="0" y="0"/>
                <wp:positionH relativeFrom="column">
                  <wp:posOffset>-91440</wp:posOffset>
                </wp:positionH>
                <wp:positionV relativeFrom="page">
                  <wp:posOffset>10469880</wp:posOffset>
                </wp:positionV>
                <wp:extent cx="1792605" cy="1206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FB751" w14:textId="77777777" w:rsidR="00065C0E" w:rsidRDefault="00065C0E" w:rsidP="00065C0E">
                            <w:pPr>
                              <w:rPr>
                                <w:sz w:val="18"/>
                              </w:rPr>
                            </w:pPr>
                            <w:r>
                              <w:rPr>
                                <w:sz w:val="18"/>
                              </w:rPr>
                              <w:fldChar w:fldCharType="begin"/>
                            </w:r>
                            <w:r>
                              <w:rPr>
                                <w:sz w:val="18"/>
                              </w:rPr>
                              <w:instrText xml:space="preserve"> FILENAME  \* MERGEFORMAT </w:instrText>
                            </w:r>
                            <w:r>
                              <w:rPr>
                                <w:sz w:val="18"/>
                              </w:rPr>
                              <w:fldChar w:fldCharType="separate"/>
                            </w:r>
                            <w:r>
                              <w:rPr>
                                <w:sz w:val="18"/>
                              </w:rPr>
                              <w:t>CP32168S01.doc</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BF3ED" id="_x0000_t202" coordsize="21600,21600" o:spt="202" path="m,l,21600r21600,l21600,xe">
                <v:stroke joinstyle="miter"/>
                <v:path gradientshapeok="t" o:connecttype="rect"/>
              </v:shapetype>
              <v:shape id="Text Box 5" o:spid="_x0000_s1026" type="#_x0000_t202" style="position:absolute;left:0;text-align:left;margin-left:-7.2pt;margin-top:824.4pt;width:141.1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" filled="f" stroked="f">
                <v:textbox>
                  <w:txbxContent>
                    <w:p w14:paraId="7CDFB751" w14:textId="77777777" w:rsidR="00065C0E" w:rsidRDefault="00065C0E" w:rsidP="00065C0E">
                      <w:pPr>
                        <w:rPr>
                          <w:sz w:val="18"/>
                        </w:rPr>
                      </w:pPr>
                      <w:r>
                        <w:rPr>
                          <w:sz w:val="18"/>
                        </w:rPr>
                        <w:fldChar w:fldCharType="begin"/>
                      </w:r>
                      <w:r>
                        <w:rPr>
                          <w:sz w:val="18"/>
                        </w:rPr>
                        <w:instrText xml:space="preserve"> FILENAME  \* MERGEFORMAT </w:instrText>
                      </w:r>
                      <w:r>
                        <w:rPr>
                          <w:sz w:val="18"/>
                        </w:rPr>
                        <w:fldChar w:fldCharType="separate"/>
                      </w:r>
                      <w:r>
                        <w:rPr>
                          <w:sz w:val="18"/>
                        </w:rPr>
                        <w:t>CP32168S01.doc</w:t>
                      </w:r>
                      <w:r>
                        <w:rPr>
                          <w:sz w:val="18"/>
                        </w:rPr>
                        <w:fldChar w:fldCharType="end"/>
                      </w:r>
                    </w:p>
                  </w:txbxContent>
                </v:textbox>
                <w10:wrap anchory="page"/>
                <w10:anchorlock/>
              </v:shape>
            </w:pict>
          </mc:Fallback>
        </mc:AlternateContent>
      </w:r>
      <w:r>
        <w:rPr>
          <w:noProof/>
          <w:lang w:val="en-US" w:eastAsia="en-US"/>
        </w:rPr>
        <mc:AlternateContent>
          <mc:Choice Requires="wps">
            <w:drawing>
              <wp:anchor distT="0" distB="0" distL="118745" distR="118745" simplePos="0" relativeHeight="251660288" behindDoc="0" locked="1" layoutInCell="1" allowOverlap="1" wp14:anchorId="26D9A204" wp14:editId="3E73D3CB">
                <wp:simplePos x="0" y="0"/>
                <wp:positionH relativeFrom="column">
                  <wp:posOffset>-424815</wp:posOffset>
                </wp:positionH>
                <wp:positionV relativeFrom="page">
                  <wp:posOffset>9439275</wp:posOffset>
                </wp:positionV>
                <wp:extent cx="338328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BE4478C" w14:textId="77777777" w:rsidR="00065C0E" w:rsidRDefault="00065C0E" w:rsidP="00065C0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D9A204" id="Text Box 4" o:spid="_x0000_s1027" type="#_x0000_t202" style="position:absolute;left:0;text-align:left;margin-left:-33.45pt;margin-top:743.25pt;width:266.4pt;height:18pt;z-index:251660288;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ReggIAAAkFAAAOAAAAZHJzL2Uyb0RvYy54bWysVMFu2zAMvQ/YPwi6r07ctE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" filled="f" stroked="f">
                <v:stroke joinstyle="round"/>
                <v:textbox>
                  <w:txbxContent>
                    <w:p w14:paraId="6BE4478C" w14:textId="77777777" w:rsidR="00065C0E" w:rsidRDefault="00065C0E" w:rsidP="00065C0E">
                      <w:pPr>
                        <w:rPr>
                          <w:sz w:val="18"/>
                        </w:rPr>
                      </w:pPr>
                    </w:p>
                  </w:txbxContent>
                </v:textbox>
                <w10:wrap anchory="page"/>
                <w10:anchorlock/>
              </v:shape>
            </w:pict>
          </mc:Fallback>
        </mc:AlternateContent>
      </w:r>
    </w:p>
    <w:p w14:paraId="5AC830CF" w14:textId="1712C119" w:rsidR="00065C0E" w:rsidRPr="00065C0E" w:rsidRDefault="00065C0E" w:rsidP="006E7C72">
      <w:pPr>
        <w:pStyle w:val="ListParagraph"/>
        <w:autoSpaceDE w:val="0"/>
        <w:autoSpaceDN w:val="0"/>
        <w:adjustRightInd w:val="0"/>
        <w:ind w:left="1068"/>
        <w:contextualSpacing/>
        <w:jc w:val="both"/>
        <w:rPr>
          <w:sz w:val="22"/>
          <w:szCs w:val="22"/>
        </w:rPr>
      </w:pPr>
      <w:r>
        <w:rPr>
          <w:noProof/>
          <w:lang w:val="en-US" w:eastAsia="en-US"/>
        </w:rPr>
        <w:drawing>
          <wp:inline distT="0" distB="0" distL="0" distR="0" wp14:anchorId="77D21B93" wp14:editId="29E37BD7">
            <wp:extent cx="1143000" cy="9715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a:ln>
                      <a:noFill/>
                    </a:ln>
                  </pic:spPr>
                </pic:pic>
              </a:graphicData>
            </a:graphic>
          </wp:inline>
        </w:drawing>
      </w:r>
    </w:p>
    <w:p w14:paraId="4D054E70" w14:textId="77777777" w:rsidR="00065C0E" w:rsidRPr="00065C0E" w:rsidRDefault="00065C0E" w:rsidP="006E7C72">
      <w:pPr>
        <w:pStyle w:val="ListParagraph"/>
        <w:autoSpaceDE w:val="0"/>
        <w:autoSpaceDN w:val="0"/>
        <w:adjustRightInd w:val="0"/>
        <w:ind w:left="1068"/>
        <w:contextualSpacing/>
        <w:jc w:val="both"/>
        <w:rPr>
          <w:sz w:val="22"/>
          <w:szCs w:val="22"/>
        </w:rPr>
      </w:pPr>
    </w:p>
    <w:p w14:paraId="5F9F0556" w14:textId="77777777" w:rsidR="00065C0E" w:rsidRDefault="00065C0E" w:rsidP="00065C0E">
      <w:pPr>
        <w:pStyle w:val="NormalWeb"/>
        <w:numPr>
          <w:ilvl w:val="0"/>
          <w:numId w:val="19"/>
        </w:numPr>
        <w:spacing w:before="0" w:beforeAutospacing="0" w:after="0" w:afterAutospacing="0"/>
        <w:jc w:val="center"/>
        <w:rPr>
          <w:rFonts w:ascii="Arial" w:hAnsi="Arial" w:cs="Arial"/>
          <w:b/>
          <w:bCs/>
          <w:sz w:val="22"/>
          <w:szCs w:val="22"/>
        </w:rPr>
      </w:pPr>
      <w:bookmarkStart w:id="1" w:name="Helen"/>
      <w:r>
        <w:rPr>
          <w:rFonts w:ascii="Arial" w:hAnsi="Arial"/>
          <w:b/>
          <w:sz w:val="22"/>
        </w:rPr>
        <w:t>Helen Obregón Gieseken</w:t>
      </w:r>
      <w:bookmarkEnd w:id="1"/>
      <w:r>
        <w:rPr>
          <w:rFonts w:ascii="Arial" w:hAnsi="Arial"/>
          <w:b/>
          <w:sz w:val="22"/>
        </w:rPr>
        <w:br/>
        <w:t xml:space="preserve">Conseillère juridique du Comité international de la Croix-Rouge </w:t>
      </w:r>
    </w:p>
    <w:p w14:paraId="729CAE99" w14:textId="77777777" w:rsidR="00065C0E" w:rsidRDefault="00065C0E" w:rsidP="00065C0E">
      <w:pPr>
        <w:pStyle w:val="NormalWeb"/>
        <w:numPr>
          <w:ilvl w:val="0"/>
          <w:numId w:val="19"/>
        </w:numPr>
        <w:jc w:val="both"/>
      </w:pPr>
      <w:r>
        <w:rPr>
          <w:rFonts w:ascii="ArialMT" w:hAnsi="ArialMT"/>
          <w:sz w:val="22"/>
        </w:rPr>
        <w:t xml:space="preserve">Helen Obregón Gieseken est conseillère juridique au sein de la division juridique du CICR à Genève depuis 2014. Elle s'intéresse, entre autres, à la protection de l'environnement dans les situations de conflit armé. Auparavant, elle a travaillé pour le projet CICR/Croix-Rouge britannique sur le droit international humanitaire coutumier. Avant de rejoindre le CICR, Helen a travaillé pour Oxfam International, TRIAL International et pour l'agence de coopération internationale du gouvernement colombien. Helen est titulaire d'un Master of Laws (LL.M.) en droit international humanitaire et droits de l'homme (Académie de droit international </w:t>
      </w:r>
      <w:r>
        <w:rPr>
          <w:rFonts w:ascii="ArialMT" w:hAnsi="ArialMT"/>
          <w:sz w:val="22"/>
        </w:rPr>
        <w:lastRenderedPageBreak/>
        <w:t xml:space="preserve">humanitaire et droits de l'homme de Genève, Suisse) et d'un Bachelor of Science in Foreign Service (Georgetown University, Washington, D.C.). </w:t>
      </w:r>
    </w:p>
    <w:p w14:paraId="7FE3152B" w14:textId="77777777" w:rsidR="00065C0E" w:rsidRPr="006E7C72" w:rsidRDefault="00065C0E" w:rsidP="006E7C72">
      <w:pPr>
        <w:autoSpaceDE w:val="0"/>
        <w:autoSpaceDN w:val="0"/>
        <w:adjustRightInd w:val="0"/>
        <w:contextualSpacing/>
        <w:jc w:val="both"/>
        <w:rPr>
          <w:sz w:val="22"/>
          <w:szCs w:val="22"/>
        </w:rPr>
      </w:pPr>
    </w:p>
    <w:p w14:paraId="45B020E9" w14:textId="5E33A31E" w:rsidR="00065C0E" w:rsidRPr="00065C0E" w:rsidRDefault="00065C0E" w:rsidP="006E7C72">
      <w:pPr>
        <w:pStyle w:val="ListParagraph"/>
        <w:autoSpaceDE w:val="0"/>
        <w:autoSpaceDN w:val="0"/>
        <w:adjustRightInd w:val="0"/>
        <w:ind w:left="1068"/>
        <w:contextualSpacing/>
        <w:jc w:val="both"/>
        <w:rPr>
          <w:sz w:val="22"/>
          <w:szCs w:val="22"/>
        </w:rPr>
      </w:pPr>
      <w:r>
        <w:rPr>
          <w:noProof/>
          <w:lang w:val="en-US" w:eastAsia="en-US"/>
        </w:rPr>
        <w:drawing>
          <wp:inline distT="0" distB="0" distL="0" distR="0" wp14:anchorId="5278BC61" wp14:editId="24C61580">
            <wp:extent cx="1143000" cy="9715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a:ln>
                      <a:noFill/>
                    </a:ln>
                  </pic:spPr>
                </pic:pic>
              </a:graphicData>
            </a:graphic>
          </wp:inline>
        </w:drawing>
      </w:r>
    </w:p>
    <w:p w14:paraId="10EB6217" w14:textId="77777777" w:rsidR="00065C0E" w:rsidRPr="00065C0E" w:rsidRDefault="00065C0E" w:rsidP="006E7C72">
      <w:pPr>
        <w:pStyle w:val="ListParagraph"/>
        <w:autoSpaceDE w:val="0"/>
        <w:autoSpaceDN w:val="0"/>
        <w:adjustRightInd w:val="0"/>
        <w:ind w:left="1068"/>
        <w:contextualSpacing/>
        <w:jc w:val="both"/>
        <w:rPr>
          <w:sz w:val="22"/>
          <w:szCs w:val="22"/>
        </w:rPr>
      </w:pPr>
    </w:p>
    <w:p w14:paraId="311EBEDC" w14:textId="77777777" w:rsidR="00065C0E" w:rsidRDefault="00065C0E" w:rsidP="00065C0E">
      <w:pPr>
        <w:pStyle w:val="NormalWeb"/>
        <w:numPr>
          <w:ilvl w:val="0"/>
          <w:numId w:val="19"/>
        </w:numPr>
        <w:spacing w:before="0" w:beforeAutospacing="0" w:after="0" w:afterAutospacing="0"/>
        <w:jc w:val="center"/>
        <w:rPr>
          <w:rFonts w:ascii="Arial" w:hAnsi="Arial" w:cs="Arial"/>
          <w:b/>
          <w:bCs/>
          <w:sz w:val="22"/>
          <w:szCs w:val="22"/>
        </w:rPr>
      </w:pPr>
      <w:bookmarkStart w:id="2" w:name="Maya"/>
      <w:r>
        <w:rPr>
          <w:rFonts w:ascii="Arial" w:hAnsi="Arial"/>
          <w:b/>
          <w:sz w:val="22"/>
        </w:rPr>
        <w:t>Maya Brehm</w:t>
      </w:r>
      <w:bookmarkEnd w:id="2"/>
      <w:r>
        <w:rPr>
          <w:rFonts w:ascii="Arial" w:hAnsi="Arial"/>
          <w:b/>
          <w:sz w:val="22"/>
        </w:rPr>
        <w:br/>
        <w:t xml:space="preserve">Conseillère juridique du Comité international de la Croix-Rouge </w:t>
      </w:r>
    </w:p>
    <w:p w14:paraId="038CC1BC" w14:textId="77777777" w:rsidR="00065C0E" w:rsidRDefault="00065C0E" w:rsidP="00065C0E">
      <w:pPr>
        <w:pStyle w:val="NormalWeb"/>
        <w:numPr>
          <w:ilvl w:val="0"/>
          <w:numId w:val="19"/>
        </w:numPr>
        <w:jc w:val="both"/>
      </w:pPr>
      <w:r>
        <w:rPr>
          <w:rFonts w:ascii="ArialMT" w:hAnsi="ArialMT"/>
          <w:sz w:val="22"/>
        </w:rPr>
        <w:t xml:space="preserve">Maya Brehm est conseillère juridique à l'Unité des armes et de la conduite des hostilités de la Division juridique du Comité international de la Croix-Rouge (CICR). Ses travaux actuels portent sur les questions de droit international humanitaire surgissant à la lumière des nouvelles technologies de guerre, notamment l'autonomie croissante des systèmes d'armes, et sur la promotion de transferts d'armes responsables. Avant de rejoindre le CICR, Maya a travaillé comme chercheuse, conférencière et conseillère politique pour des institutions universitaires, des organisations de la société civile et des organes des Nations Unies dans les domaines de l'action humanitaire, du désarmement et des droits de l'homme. Maya est titulaire d’une maîtrise en relations internationales et d’un LLM en droit international humanitaire. </w:t>
      </w:r>
    </w:p>
    <w:p w14:paraId="74CDE38A" w14:textId="1D56EA52" w:rsidR="00AB2219" w:rsidRPr="00E13E88" w:rsidRDefault="006E7C72" w:rsidP="00AB2219">
      <w:pPr>
        <w:autoSpaceDE w:val="0"/>
        <w:autoSpaceDN w:val="0"/>
        <w:adjustRightInd w:val="0"/>
        <w:contextualSpacing/>
        <w:jc w:val="both"/>
        <w:rPr>
          <w:sz w:val="22"/>
          <w:szCs w:val="22"/>
        </w:rPr>
      </w:pPr>
      <w:r>
        <w:rPr>
          <w:noProof/>
          <w:sz w:val="22"/>
          <w:szCs w:val="22"/>
          <w:lang w:val="en-US"/>
        </w:rPr>
        <mc:AlternateContent>
          <mc:Choice Requires="wps">
            <w:drawing>
              <wp:anchor distT="0" distB="0" distL="114300" distR="114300" simplePos="0" relativeHeight="251661312" behindDoc="0" locked="1" layoutInCell="1" allowOverlap="1" wp14:anchorId="2A68032A" wp14:editId="30B24396">
                <wp:simplePos x="0" y="0"/>
                <wp:positionH relativeFrom="column">
                  <wp:posOffset>-91440</wp:posOffset>
                </wp:positionH>
                <wp:positionV relativeFrom="page">
                  <wp:posOffset>9144000</wp:posOffset>
                </wp:positionV>
                <wp:extent cx="3384467" cy="231568"/>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4467" cy="231568"/>
                        </a:xfrm>
                        <a:prstGeom prst="rect">
                          <a:avLst/>
                        </a:prstGeom>
                        <a:no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16FAAF95" w14:textId="2E3C302E" w:rsidR="006E7C72" w:rsidRPr="006E7C72" w:rsidRDefault="006E7C72">
                            <w:pPr>
                              <w:rPr>
                                <w:sz w:val="18"/>
                              </w:rPr>
                            </w:pPr>
                            <w:r>
                              <w:rPr>
                                <w:sz w:val="18"/>
                              </w:rPr>
                              <w:fldChar w:fldCharType="begin"/>
                            </w:r>
                            <w:r>
                              <w:rPr>
                                <w:sz w:val="18"/>
                              </w:rPr>
                              <w:instrText xml:space="preserve"> FILENAME  \* MERGEFORMAT </w:instrText>
                            </w:r>
                            <w:r>
                              <w:rPr>
                                <w:sz w:val="18"/>
                              </w:rPr>
                              <w:fldChar w:fldCharType="separate"/>
                            </w:r>
                            <w:r>
                              <w:rPr>
                                <w:noProof/>
                                <w:sz w:val="18"/>
                              </w:rPr>
                              <w:t>CP439</w:t>
                            </w:r>
                            <w:r w:rsidR="00FB2962">
                              <w:rPr>
                                <w:noProof/>
                                <w:sz w:val="18"/>
                              </w:rPr>
                              <w:t>2</w:t>
                            </w:r>
                            <w:r>
                              <w:rPr>
                                <w:noProof/>
                                <w:sz w:val="18"/>
                              </w:rPr>
                              <w:t>8F0</w:t>
                            </w:r>
                            <w:r w:rsidR="00DC2B79">
                              <w:rPr>
                                <w:noProof/>
                                <w:sz w:val="18"/>
                              </w:rPr>
                              <w:t>6</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68032A" id="Text Box 7" o:spid="_x0000_s1028" type="#_x0000_t202" style="position:absolute;left:0;text-align:left;margin-left:-7.2pt;margin-top:10in;width:266.5pt;height:18.25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" filled="f" stroked="f">
                <v:stroke joinstyle="round"/>
                <v:textbox>
                  <w:txbxContent>
                    <w:p w14:paraId="16FAAF95" w14:textId="2E3C302E" w:rsidR="006E7C72" w:rsidRPr="006E7C72" w:rsidRDefault="006E7C72">
                      <w:pPr>
                        <w:rPr>
                          <w:sz w:val="18"/>
                        </w:rPr>
                      </w:pPr>
                      <w:r>
                        <w:rPr>
                          <w:sz w:val="18"/>
                        </w:rPr>
                        <w:fldChar w:fldCharType="begin"/>
                      </w:r>
                      <w:r>
                        <w:rPr>
                          <w:sz w:val="18"/>
                        </w:rPr>
                        <w:instrText xml:space="preserve"> FILENAME  \* MERGEFORMAT </w:instrText>
                      </w:r>
                      <w:r>
                        <w:rPr>
                          <w:sz w:val="18"/>
                        </w:rPr>
                        <w:fldChar w:fldCharType="separate"/>
                      </w:r>
                      <w:r>
                        <w:rPr>
                          <w:noProof/>
                          <w:sz w:val="18"/>
                        </w:rPr>
                        <w:t>CP439</w:t>
                      </w:r>
                      <w:r w:rsidR="00FB2962">
                        <w:rPr>
                          <w:noProof/>
                          <w:sz w:val="18"/>
                        </w:rPr>
                        <w:t>2</w:t>
                      </w:r>
                      <w:r>
                        <w:rPr>
                          <w:noProof/>
                          <w:sz w:val="18"/>
                        </w:rPr>
                        <w:t>8F0</w:t>
                      </w:r>
                      <w:r w:rsidR="00DC2B79">
                        <w:rPr>
                          <w:noProof/>
                          <w:sz w:val="18"/>
                        </w:rPr>
                        <w:t>6</w:t>
                      </w:r>
                      <w:r>
                        <w:rPr>
                          <w:sz w:val="18"/>
                        </w:rPr>
                        <w:fldChar w:fldCharType="end"/>
                      </w:r>
                    </w:p>
                  </w:txbxContent>
                </v:textbox>
                <w10:wrap anchory="page"/>
                <w10:anchorlock/>
              </v:shape>
            </w:pict>
          </mc:Fallback>
        </mc:AlternateContent>
      </w:r>
    </w:p>
    <w:sectPr w:rsidR="00AB2219" w:rsidRPr="00E13E88" w:rsidSect="00F569E7">
      <w:headerReference w:type="even" r:id="rId15"/>
      <w:headerReference w:type="default" r:id="rId16"/>
      <w:footerReference w:type="even" r:id="rId17"/>
      <w:footerReference w:type="default" r:id="rId18"/>
      <w:type w:val="oddPage"/>
      <w:pgSz w:w="12240" w:h="15840" w:code="1"/>
      <w:pgMar w:top="2160" w:right="1570" w:bottom="1296" w:left="1699" w:header="1296" w:footer="1296"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AA95" w14:textId="77777777" w:rsidR="0085134C" w:rsidRPr="003F39B1" w:rsidRDefault="0085134C" w:rsidP="00000073">
      <w:r>
        <w:separator/>
      </w:r>
    </w:p>
  </w:endnote>
  <w:endnote w:type="continuationSeparator" w:id="0">
    <w:p w14:paraId="1A3A80F2" w14:textId="77777777" w:rsidR="0085134C" w:rsidRPr="003F39B1" w:rsidRDefault="0085134C" w:rsidP="0000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8E4C" w14:textId="77777777" w:rsidR="00BF4702" w:rsidRDefault="00493F60" w:rsidP="00D544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96BDF2" w14:textId="77777777" w:rsidR="00BF4702" w:rsidRDefault="00DC2B79" w:rsidP="005A13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C28C" w14:textId="77777777" w:rsidR="00BF4702" w:rsidRDefault="00DC2B79" w:rsidP="005A13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4441" w14:textId="77777777" w:rsidR="0085134C" w:rsidRPr="003F39B1" w:rsidRDefault="0085134C" w:rsidP="00000073">
      <w:r>
        <w:separator/>
      </w:r>
    </w:p>
  </w:footnote>
  <w:footnote w:type="continuationSeparator" w:id="0">
    <w:p w14:paraId="2B730B04" w14:textId="77777777" w:rsidR="0085134C" w:rsidRPr="003F39B1" w:rsidRDefault="0085134C" w:rsidP="00000073">
      <w:r>
        <w:continuationSeparator/>
      </w:r>
    </w:p>
  </w:footnote>
  <w:footnote w:id="1">
    <w:p w14:paraId="6ECB2852" w14:textId="4AAB9FF8" w:rsidR="00F569E7" w:rsidRPr="00714445" w:rsidRDefault="00F569E7" w:rsidP="00F569E7">
      <w:pPr>
        <w:pStyle w:val="FootnoteText"/>
      </w:pPr>
      <w:r w:rsidRPr="00714445">
        <w:rPr>
          <w:rStyle w:val="FootnoteReference"/>
        </w:rPr>
        <w:footnoteRef/>
      </w:r>
      <w:r w:rsidR="00714445">
        <w:t>.</w:t>
      </w:r>
      <w:r w:rsidR="00714445">
        <w:tab/>
      </w:r>
      <w:r w:rsidRPr="00714445">
        <w:t xml:space="preserve"> </w:t>
      </w:r>
      <w:hyperlink r:id="rId1" w:history="1">
        <w:r w:rsidRPr="00714445">
          <w:rPr>
            <w:rStyle w:val="Hyperlink"/>
          </w:rPr>
          <w:t>https://www.icrc.org/en/download/file/121024/icrc_sipri_limits_on_autonomy_june_2020.pdf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938236"/>
      <w:docPartObj>
        <w:docPartGallery w:val="Page Numbers (Top of Page)"/>
        <w:docPartUnique/>
      </w:docPartObj>
    </w:sdtPr>
    <w:sdtEndPr>
      <w:rPr>
        <w:noProof/>
      </w:rPr>
    </w:sdtEndPr>
    <w:sdtContent>
      <w:p w14:paraId="3C756A35" w14:textId="77777777" w:rsidR="00ED3103" w:rsidRDefault="00ED3103">
        <w:pPr>
          <w:pStyle w:val="Header"/>
          <w:jc w:val="center"/>
        </w:pPr>
        <w:r>
          <w:t xml:space="preserve">- </w:t>
        </w:r>
        <w:r>
          <w:fldChar w:fldCharType="begin"/>
        </w:r>
        <w:r>
          <w:instrText xml:space="preserve"> PAGE   \* MERGEFORMAT </w:instrText>
        </w:r>
        <w:r>
          <w:fldChar w:fldCharType="separate"/>
        </w:r>
        <w:r w:rsidR="00F569E7">
          <w:t>3</w:t>
        </w:r>
        <w:r>
          <w:fldChar w:fldCharType="end"/>
        </w:r>
        <w:r>
          <w:t xml:space="preserve"> -</w:t>
        </w:r>
      </w:p>
    </w:sdtContent>
  </w:sdt>
  <w:p w14:paraId="7F784CDD" w14:textId="77777777" w:rsidR="00ED3103" w:rsidRDefault="00ED3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8F1E" w14:textId="77777777" w:rsidR="00BF4702" w:rsidRDefault="00493F60" w:rsidP="00582B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A76C54" w14:textId="77777777" w:rsidR="00BF4702" w:rsidRDefault="00DC2B79" w:rsidP="00D84A0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3B85" w14:textId="48F7D925" w:rsidR="00AF7069" w:rsidRPr="00DF71DD" w:rsidRDefault="00493F60">
    <w:pPr>
      <w:pStyle w:val="Header"/>
      <w:jc w:val="center"/>
      <w:rPr>
        <w:sz w:val="22"/>
        <w:szCs w:val="22"/>
      </w:rPr>
    </w:pPr>
    <w:r w:rsidRPr="00DF71DD">
      <w:rPr>
        <w:sz w:val="22"/>
      </w:rPr>
      <w:fldChar w:fldCharType="begin"/>
    </w:r>
    <w:r w:rsidRPr="00DF71DD">
      <w:rPr>
        <w:sz w:val="22"/>
      </w:rPr>
      <w:instrText xml:space="preserve"> PAGE   \* MERGEFORMAT </w:instrText>
    </w:r>
    <w:r w:rsidRPr="00DF71DD">
      <w:rPr>
        <w:sz w:val="22"/>
      </w:rPr>
      <w:fldChar w:fldCharType="separate"/>
    </w:r>
    <w:r w:rsidR="006E7C72">
      <w:rPr>
        <w:noProof/>
        <w:sz w:val="22"/>
      </w:rPr>
      <w:t>- 3 -</w:t>
    </w:r>
    <w:r w:rsidRPr="00DF71DD">
      <w:rPr>
        <w:sz w:val="22"/>
      </w:rPr>
      <w:fldChar w:fldCharType="end"/>
    </w:r>
  </w:p>
  <w:p w14:paraId="7CA05A25" w14:textId="77777777" w:rsidR="00BF4702" w:rsidRDefault="00DC2B79" w:rsidP="00582BBE">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236"/>
    <w:multiLevelType w:val="hybridMultilevel"/>
    <w:tmpl w:val="B0A07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2022D"/>
    <w:multiLevelType w:val="hybridMultilevel"/>
    <w:tmpl w:val="CCFEBE16"/>
    <w:lvl w:ilvl="0" w:tplc="B442BAFA">
      <w:start w:val="1"/>
      <w:numFmt w:val="decimal"/>
      <w:lvlText w:val="%1."/>
      <w:lvlJc w:val="left"/>
      <w:pPr>
        <w:ind w:left="810" w:hanging="360"/>
      </w:pPr>
      <w:rPr>
        <w:rFonts w:ascii="Times New Roman" w:eastAsia="Times New Roman" w:hAnsi="Times New Roman" w:cs="Times New Roman"/>
        <w:vanish w:val="0"/>
      </w:rPr>
    </w:lvl>
    <w:lvl w:ilvl="1" w:tplc="10090003" w:tentative="1">
      <w:start w:val="1"/>
      <w:numFmt w:val="bullet"/>
      <w:lvlText w:val="o"/>
      <w:lvlJc w:val="left"/>
      <w:pPr>
        <w:ind w:left="1530" w:hanging="360"/>
      </w:pPr>
      <w:rPr>
        <w:rFonts w:ascii="Courier New" w:hAnsi="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 w15:restartNumberingAfterBreak="0">
    <w:nsid w:val="144E24BE"/>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rPr>
        <w:rFonts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3" w15:restartNumberingAfterBreak="0">
    <w:nsid w:val="1A515DD6"/>
    <w:multiLevelType w:val="hybridMultilevel"/>
    <w:tmpl w:val="CBDAE9C4"/>
    <w:lvl w:ilvl="0" w:tplc="5350A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E82A62"/>
    <w:multiLevelType w:val="hybridMultilevel"/>
    <w:tmpl w:val="30B028CA"/>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5" w15:restartNumberingAfterBreak="0">
    <w:nsid w:val="323C6ACE"/>
    <w:multiLevelType w:val="hybridMultilevel"/>
    <w:tmpl w:val="443A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923D6"/>
    <w:multiLevelType w:val="hybridMultilevel"/>
    <w:tmpl w:val="C40C8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F534D"/>
    <w:multiLevelType w:val="hybridMultilevel"/>
    <w:tmpl w:val="88A81C80"/>
    <w:lvl w:ilvl="0" w:tplc="9FB46A90">
      <w:numFmt w:val="bullet"/>
      <w:lvlText w:val="-"/>
      <w:lvlJc w:val="left"/>
      <w:pPr>
        <w:ind w:left="1082" w:hanging="360"/>
      </w:pPr>
      <w:rPr>
        <w:rFonts w:ascii="Times New Roman" w:eastAsia="Times New Roman" w:hAnsi="Times New Roman" w:cs="Times New Roman"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8" w15:restartNumberingAfterBreak="0">
    <w:nsid w:val="36C738BC"/>
    <w:multiLevelType w:val="hybridMultilevel"/>
    <w:tmpl w:val="AB86E47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9" w15:restartNumberingAfterBreak="0">
    <w:nsid w:val="38F665D7"/>
    <w:multiLevelType w:val="hybridMultilevel"/>
    <w:tmpl w:val="8588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775C8B"/>
    <w:multiLevelType w:val="hybridMultilevel"/>
    <w:tmpl w:val="0D725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9BC74AD"/>
    <w:multiLevelType w:val="hybridMultilevel"/>
    <w:tmpl w:val="C9D0ECB4"/>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12" w15:restartNumberingAfterBreak="0">
    <w:nsid w:val="4C2E4C6B"/>
    <w:multiLevelType w:val="hybridMultilevel"/>
    <w:tmpl w:val="9E22F51A"/>
    <w:lvl w:ilvl="0" w:tplc="04090019">
      <w:start w:val="1"/>
      <w:numFmt w:val="lowerLetter"/>
      <w:lvlText w:val="%1."/>
      <w:lvlJc w:val="left"/>
      <w:pPr>
        <w:ind w:left="394" w:hanging="360"/>
      </w:pPr>
      <w:rPr>
        <w:rFonts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B">
      <w:start w:val="1"/>
      <w:numFmt w:val="bullet"/>
      <w:lvlText w:val=""/>
      <w:lvlJc w:val="left"/>
      <w:pPr>
        <w:ind w:left="2554" w:hanging="360"/>
      </w:pPr>
      <w:rPr>
        <w:rFonts w:ascii="Wingdings" w:hAnsi="Wingdings"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3" w15:restartNumberingAfterBreak="0">
    <w:nsid w:val="4D2D0D82"/>
    <w:multiLevelType w:val="hybridMultilevel"/>
    <w:tmpl w:val="E042C00C"/>
    <w:lvl w:ilvl="0" w:tplc="7BBC7C3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3495FC6"/>
    <w:multiLevelType w:val="hybridMultilevel"/>
    <w:tmpl w:val="0B9832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5CD64944"/>
    <w:multiLevelType w:val="hybridMultilevel"/>
    <w:tmpl w:val="1916D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6C6248"/>
    <w:multiLevelType w:val="hybridMultilevel"/>
    <w:tmpl w:val="5D60C0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FE141F"/>
    <w:multiLevelType w:val="hybridMultilevel"/>
    <w:tmpl w:val="B890FDD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B90FB1"/>
    <w:multiLevelType w:val="hybridMultilevel"/>
    <w:tmpl w:val="39D89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3"/>
  </w:num>
  <w:num w:numId="4">
    <w:abstractNumId w:val="7"/>
  </w:num>
  <w:num w:numId="5">
    <w:abstractNumId w:val="1"/>
  </w:num>
  <w:num w:numId="6">
    <w:abstractNumId w:val="5"/>
  </w:num>
  <w:num w:numId="7">
    <w:abstractNumId w:val="13"/>
  </w:num>
  <w:num w:numId="8">
    <w:abstractNumId w:val="10"/>
  </w:num>
  <w:num w:numId="9">
    <w:abstractNumId w:val="0"/>
  </w:num>
  <w:num w:numId="10">
    <w:abstractNumId w:val="11"/>
  </w:num>
  <w:num w:numId="11">
    <w:abstractNumId w:val="14"/>
  </w:num>
  <w:num w:numId="12">
    <w:abstractNumId w:val="8"/>
  </w:num>
  <w:num w:numId="13">
    <w:abstractNumId w:val="12"/>
  </w:num>
  <w:num w:numId="14">
    <w:abstractNumId w:val="2"/>
  </w:num>
  <w:num w:numId="15">
    <w:abstractNumId w:val="6"/>
  </w:num>
  <w:num w:numId="16">
    <w:abstractNumId w:val="18"/>
  </w:num>
  <w:num w:numId="17">
    <w:abstractNumId w:val="16"/>
  </w:num>
  <w:num w:numId="18">
    <w:abstractNumId w:val="9"/>
  </w:num>
  <w:num w:numId="1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2D"/>
    <w:rsid w:val="00000073"/>
    <w:rsid w:val="00006741"/>
    <w:rsid w:val="00020E86"/>
    <w:rsid w:val="000323C6"/>
    <w:rsid w:val="00052817"/>
    <w:rsid w:val="00065C0E"/>
    <w:rsid w:val="000667CB"/>
    <w:rsid w:val="00070336"/>
    <w:rsid w:val="00091FCC"/>
    <w:rsid w:val="00093588"/>
    <w:rsid w:val="000A277F"/>
    <w:rsid w:val="000A621E"/>
    <w:rsid w:val="000B529D"/>
    <w:rsid w:val="000B5F51"/>
    <w:rsid w:val="000E1670"/>
    <w:rsid w:val="000E37F7"/>
    <w:rsid w:val="000E6223"/>
    <w:rsid w:val="000F3687"/>
    <w:rsid w:val="000F5072"/>
    <w:rsid w:val="000F5988"/>
    <w:rsid w:val="001053B7"/>
    <w:rsid w:val="001118CF"/>
    <w:rsid w:val="00132259"/>
    <w:rsid w:val="001369D5"/>
    <w:rsid w:val="00143A38"/>
    <w:rsid w:val="0015312C"/>
    <w:rsid w:val="00174D1D"/>
    <w:rsid w:val="001803D5"/>
    <w:rsid w:val="00186DC0"/>
    <w:rsid w:val="00191FC1"/>
    <w:rsid w:val="001924E8"/>
    <w:rsid w:val="001966B2"/>
    <w:rsid w:val="001A3802"/>
    <w:rsid w:val="001B38E1"/>
    <w:rsid w:val="001C4E71"/>
    <w:rsid w:val="001E0B60"/>
    <w:rsid w:val="001E3C99"/>
    <w:rsid w:val="001F21FF"/>
    <w:rsid w:val="001F4626"/>
    <w:rsid w:val="001F6B6E"/>
    <w:rsid w:val="002014DB"/>
    <w:rsid w:val="0021364F"/>
    <w:rsid w:val="002165D7"/>
    <w:rsid w:val="00227869"/>
    <w:rsid w:val="00233D6E"/>
    <w:rsid w:val="00241904"/>
    <w:rsid w:val="002535C1"/>
    <w:rsid w:val="002561A7"/>
    <w:rsid w:val="002642D1"/>
    <w:rsid w:val="0027370D"/>
    <w:rsid w:val="002B1754"/>
    <w:rsid w:val="002B44F8"/>
    <w:rsid w:val="002B63E8"/>
    <w:rsid w:val="002C66A1"/>
    <w:rsid w:val="002D4F75"/>
    <w:rsid w:val="002D5C61"/>
    <w:rsid w:val="002F3C8A"/>
    <w:rsid w:val="002F555B"/>
    <w:rsid w:val="0030653E"/>
    <w:rsid w:val="003114E1"/>
    <w:rsid w:val="00320F7E"/>
    <w:rsid w:val="003316A8"/>
    <w:rsid w:val="0033584A"/>
    <w:rsid w:val="00340F48"/>
    <w:rsid w:val="00350AF9"/>
    <w:rsid w:val="00352C0A"/>
    <w:rsid w:val="003670E0"/>
    <w:rsid w:val="00367159"/>
    <w:rsid w:val="00370354"/>
    <w:rsid w:val="0037242D"/>
    <w:rsid w:val="00376C2B"/>
    <w:rsid w:val="003805F9"/>
    <w:rsid w:val="00387166"/>
    <w:rsid w:val="00390E6F"/>
    <w:rsid w:val="00397E48"/>
    <w:rsid w:val="003A3B37"/>
    <w:rsid w:val="003B590A"/>
    <w:rsid w:val="003C13D4"/>
    <w:rsid w:val="0040131F"/>
    <w:rsid w:val="00401E9C"/>
    <w:rsid w:val="0042352F"/>
    <w:rsid w:val="004270B0"/>
    <w:rsid w:val="00434C41"/>
    <w:rsid w:val="004354A9"/>
    <w:rsid w:val="004377F0"/>
    <w:rsid w:val="004457D2"/>
    <w:rsid w:val="00445D23"/>
    <w:rsid w:val="00446E81"/>
    <w:rsid w:val="00451F0F"/>
    <w:rsid w:val="00453963"/>
    <w:rsid w:val="00455C4C"/>
    <w:rsid w:val="00461602"/>
    <w:rsid w:val="004624B6"/>
    <w:rsid w:val="00472D14"/>
    <w:rsid w:val="00493F60"/>
    <w:rsid w:val="004B1CF2"/>
    <w:rsid w:val="004B47B9"/>
    <w:rsid w:val="004B5A2F"/>
    <w:rsid w:val="004C1633"/>
    <w:rsid w:val="004C316C"/>
    <w:rsid w:val="004C4EB7"/>
    <w:rsid w:val="004D5C2F"/>
    <w:rsid w:val="004F1FA1"/>
    <w:rsid w:val="004F4C29"/>
    <w:rsid w:val="004F5C50"/>
    <w:rsid w:val="00503B57"/>
    <w:rsid w:val="005162A8"/>
    <w:rsid w:val="0051741B"/>
    <w:rsid w:val="0052117B"/>
    <w:rsid w:val="005239EB"/>
    <w:rsid w:val="00532194"/>
    <w:rsid w:val="00533B43"/>
    <w:rsid w:val="00534807"/>
    <w:rsid w:val="00553C02"/>
    <w:rsid w:val="00556BD5"/>
    <w:rsid w:val="005611BE"/>
    <w:rsid w:val="005700DF"/>
    <w:rsid w:val="00584928"/>
    <w:rsid w:val="005B2399"/>
    <w:rsid w:val="005B7C10"/>
    <w:rsid w:val="005E3816"/>
    <w:rsid w:val="005E3F5A"/>
    <w:rsid w:val="005F1A0A"/>
    <w:rsid w:val="005F5CC2"/>
    <w:rsid w:val="006102F6"/>
    <w:rsid w:val="006128F7"/>
    <w:rsid w:val="00613B3F"/>
    <w:rsid w:val="00654785"/>
    <w:rsid w:val="00656CF7"/>
    <w:rsid w:val="00670214"/>
    <w:rsid w:val="00682894"/>
    <w:rsid w:val="00684564"/>
    <w:rsid w:val="00692D41"/>
    <w:rsid w:val="006A354D"/>
    <w:rsid w:val="006C2C49"/>
    <w:rsid w:val="006E3888"/>
    <w:rsid w:val="006E7C72"/>
    <w:rsid w:val="006F00D9"/>
    <w:rsid w:val="006F0BDA"/>
    <w:rsid w:val="006F293C"/>
    <w:rsid w:val="00714445"/>
    <w:rsid w:val="00717308"/>
    <w:rsid w:val="00727FC9"/>
    <w:rsid w:val="007447AF"/>
    <w:rsid w:val="00770077"/>
    <w:rsid w:val="00774431"/>
    <w:rsid w:val="00783368"/>
    <w:rsid w:val="007909FB"/>
    <w:rsid w:val="00791994"/>
    <w:rsid w:val="00797716"/>
    <w:rsid w:val="007A7243"/>
    <w:rsid w:val="007B3C4A"/>
    <w:rsid w:val="007C4F90"/>
    <w:rsid w:val="007D1A11"/>
    <w:rsid w:val="007E0010"/>
    <w:rsid w:val="007E6EB9"/>
    <w:rsid w:val="007E7296"/>
    <w:rsid w:val="00810FF2"/>
    <w:rsid w:val="00822EB0"/>
    <w:rsid w:val="008277AB"/>
    <w:rsid w:val="00830821"/>
    <w:rsid w:val="00833CCD"/>
    <w:rsid w:val="00842F7B"/>
    <w:rsid w:val="0085022B"/>
    <w:rsid w:val="0085134C"/>
    <w:rsid w:val="008529DC"/>
    <w:rsid w:val="00862642"/>
    <w:rsid w:val="00862F15"/>
    <w:rsid w:val="008801AE"/>
    <w:rsid w:val="00881D1B"/>
    <w:rsid w:val="00884973"/>
    <w:rsid w:val="008919F2"/>
    <w:rsid w:val="00892B43"/>
    <w:rsid w:val="008A416E"/>
    <w:rsid w:val="008A57EB"/>
    <w:rsid w:val="008B636C"/>
    <w:rsid w:val="008C4EA8"/>
    <w:rsid w:val="008E4F6E"/>
    <w:rsid w:val="008E5351"/>
    <w:rsid w:val="008E68FE"/>
    <w:rsid w:val="008F0A69"/>
    <w:rsid w:val="008F2922"/>
    <w:rsid w:val="008F5897"/>
    <w:rsid w:val="008F63D0"/>
    <w:rsid w:val="00906795"/>
    <w:rsid w:val="009105E9"/>
    <w:rsid w:val="009141C3"/>
    <w:rsid w:val="0092465E"/>
    <w:rsid w:val="00942C29"/>
    <w:rsid w:val="00943FBF"/>
    <w:rsid w:val="0094580B"/>
    <w:rsid w:val="009638D4"/>
    <w:rsid w:val="009641E0"/>
    <w:rsid w:val="00975128"/>
    <w:rsid w:val="00987D16"/>
    <w:rsid w:val="00992A66"/>
    <w:rsid w:val="009A0714"/>
    <w:rsid w:val="009B38AF"/>
    <w:rsid w:val="009C5B8F"/>
    <w:rsid w:val="009C7996"/>
    <w:rsid w:val="009E3476"/>
    <w:rsid w:val="009F3603"/>
    <w:rsid w:val="009F630E"/>
    <w:rsid w:val="00A017FE"/>
    <w:rsid w:val="00A07275"/>
    <w:rsid w:val="00A076BA"/>
    <w:rsid w:val="00A20224"/>
    <w:rsid w:val="00A2446F"/>
    <w:rsid w:val="00A4569C"/>
    <w:rsid w:val="00A45E1D"/>
    <w:rsid w:val="00A5145B"/>
    <w:rsid w:val="00A552B4"/>
    <w:rsid w:val="00A71A1B"/>
    <w:rsid w:val="00A741DC"/>
    <w:rsid w:val="00A82286"/>
    <w:rsid w:val="00AB0B8A"/>
    <w:rsid w:val="00AB2219"/>
    <w:rsid w:val="00AB634F"/>
    <w:rsid w:val="00AE540B"/>
    <w:rsid w:val="00B108DA"/>
    <w:rsid w:val="00B51928"/>
    <w:rsid w:val="00B61043"/>
    <w:rsid w:val="00B6606D"/>
    <w:rsid w:val="00B67725"/>
    <w:rsid w:val="00B7545D"/>
    <w:rsid w:val="00B90B4A"/>
    <w:rsid w:val="00BA0466"/>
    <w:rsid w:val="00BA1823"/>
    <w:rsid w:val="00BA23BD"/>
    <w:rsid w:val="00BA5547"/>
    <w:rsid w:val="00BA5B70"/>
    <w:rsid w:val="00BB7C4C"/>
    <w:rsid w:val="00BC0335"/>
    <w:rsid w:val="00BC0F03"/>
    <w:rsid w:val="00BC4697"/>
    <w:rsid w:val="00BD30C1"/>
    <w:rsid w:val="00BE43A4"/>
    <w:rsid w:val="00C03468"/>
    <w:rsid w:val="00C05DD6"/>
    <w:rsid w:val="00C12D07"/>
    <w:rsid w:val="00C151BB"/>
    <w:rsid w:val="00C171E8"/>
    <w:rsid w:val="00C26C86"/>
    <w:rsid w:val="00C31369"/>
    <w:rsid w:val="00C62BC3"/>
    <w:rsid w:val="00C6312E"/>
    <w:rsid w:val="00C70E23"/>
    <w:rsid w:val="00C7451F"/>
    <w:rsid w:val="00C77B14"/>
    <w:rsid w:val="00C81556"/>
    <w:rsid w:val="00C8208F"/>
    <w:rsid w:val="00C84922"/>
    <w:rsid w:val="00C9490B"/>
    <w:rsid w:val="00CA280C"/>
    <w:rsid w:val="00CB22CC"/>
    <w:rsid w:val="00CB5F1D"/>
    <w:rsid w:val="00CB6427"/>
    <w:rsid w:val="00CB769D"/>
    <w:rsid w:val="00CC71BC"/>
    <w:rsid w:val="00CD1F3E"/>
    <w:rsid w:val="00CD2F1F"/>
    <w:rsid w:val="00CD30B9"/>
    <w:rsid w:val="00CE6669"/>
    <w:rsid w:val="00CF16C1"/>
    <w:rsid w:val="00CF21C5"/>
    <w:rsid w:val="00CF3B0E"/>
    <w:rsid w:val="00D00C76"/>
    <w:rsid w:val="00D140A8"/>
    <w:rsid w:val="00D170C5"/>
    <w:rsid w:val="00D202B7"/>
    <w:rsid w:val="00D2322F"/>
    <w:rsid w:val="00D3011E"/>
    <w:rsid w:val="00D33568"/>
    <w:rsid w:val="00D81CD5"/>
    <w:rsid w:val="00D91A22"/>
    <w:rsid w:val="00D92216"/>
    <w:rsid w:val="00D92951"/>
    <w:rsid w:val="00D92B9C"/>
    <w:rsid w:val="00D961E5"/>
    <w:rsid w:val="00DB27C7"/>
    <w:rsid w:val="00DC2B79"/>
    <w:rsid w:val="00DC6693"/>
    <w:rsid w:val="00DC7380"/>
    <w:rsid w:val="00DE389E"/>
    <w:rsid w:val="00DE3972"/>
    <w:rsid w:val="00DF1259"/>
    <w:rsid w:val="00DF71DD"/>
    <w:rsid w:val="00E02BB7"/>
    <w:rsid w:val="00E074AF"/>
    <w:rsid w:val="00E13E88"/>
    <w:rsid w:val="00E14A21"/>
    <w:rsid w:val="00E21B54"/>
    <w:rsid w:val="00E2738E"/>
    <w:rsid w:val="00E34C01"/>
    <w:rsid w:val="00E50B6C"/>
    <w:rsid w:val="00E54C2F"/>
    <w:rsid w:val="00E551E6"/>
    <w:rsid w:val="00E5578F"/>
    <w:rsid w:val="00E56817"/>
    <w:rsid w:val="00E84158"/>
    <w:rsid w:val="00EB1899"/>
    <w:rsid w:val="00ED1F8C"/>
    <w:rsid w:val="00ED3103"/>
    <w:rsid w:val="00ED34B6"/>
    <w:rsid w:val="00ED5322"/>
    <w:rsid w:val="00EE1F9C"/>
    <w:rsid w:val="00F019A7"/>
    <w:rsid w:val="00F15E1C"/>
    <w:rsid w:val="00F23EB6"/>
    <w:rsid w:val="00F569E7"/>
    <w:rsid w:val="00F654FA"/>
    <w:rsid w:val="00F75C80"/>
    <w:rsid w:val="00F8151D"/>
    <w:rsid w:val="00F82A08"/>
    <w:rsid w:val="00F87817"/>
    <w:rsid w:val="00FA2E90"/>
    <w:rsid w:val="00FA38C6"/>
    <w:rsid w:val="00FA4FF6"/>
    <w:rsid w:val="00FA6F3C"/>
    <w:rsid w:val="00FB2962"/>
    <w:rsid w:val="00FB6322"/>
    <w:rsid w:val="00FC10DE"/>
    <w:rsid w:val="00FC5526"/>
    <w:rsid w:val="00FE3F7D"/>
    <w:rsid w:val="00FE57AF"/>
    <w:rsid w:val="00FF3ECE"/>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10FDC"/>
  <w15:docId w15:val="{6AEB0878-116F-E34A-B9AB-F2408C37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B57"/>
    <w:rPr>
      <w:sz w:val="24"/>
      <w:szCs w:val="24"/>
    </w:rPr>
  </w:style>
  <w:style w:type="paragraph" w:styleId="Heading1">
    <w:name w:val="heading 1"/>
    <w:basedOn w:val="Normal"/>
    <w:next w:val="Normal"/>
    <w:link w:val="Heading1Char"/>
    <w:uiPriority w:val="9"/>
    <w:qFormat/>
    <w:rsid w:val="006E388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1AED"/>
    <w:pPr>
      <w:ind w:left="720"/>
    </w:pPr>
    <w:rPr>
      <w:lang w:eastAsia="es-ES"/>
    </w:rPr>
  </w:style>
  <w:style w:type="character" w:styleId="Hyperlink">
    <w:name w:val="Hyperlink"/>
    <w:rsid w:val="001E4E96"/>
    <w:rPr>
      <w:color w:val="0000FF"/>
      <w:u w:val="single"/>
      <w:lang w:val="fr-CA" w:eastAsia="es-ES"/>
    </w:rPr>
  </w:style>
  <w:style w:type="character" w:styleId="FollowedHyperlink">
    <w:name w:val="FollowedHyperlink"/>
    <w:rsid w:val="001E4E96"/>
    <w:rPr>
      <w:color w:val="800080"/>
      <w:u w:val="single"/>
      <w:lang w:val="fr-CA" w:eastAsia="es-ES"/>
    </w:rPr>
  </w:style>
  <w:style w:type="paragraph" w:styleId="Header">
    <w:name w:val="header"/>
    <w:basedOn w:val="Normal"/>
    <w:link w:val="HeaderChar"/>
    <w:uiPriority w:val="99"/>
    <w:rsid w:val="006122EA"/>
    <w:pPr>
      <w:tabs>
        <w:tab w:val="center" w:pos="4680"/>
        <w:tab w:val="right" w:pos="9360"/>
      </w:tabs>
    </w:pPr>
    <w:rPr>
      <w:lang w:eastAsia="es-ES"/>
    </w:rPr>
  </w:style>
  <w:style w:type="character" w:customStyle="1" w:styleId="HeaderChar">
    <w:name w:val="Header Char"/>
    <w:link w:val="Header"/>
    <w:uiPriority w:val="99"/>
    <w:rsid w:val="006122EA"/>
    <w:rPr>
      <w:sz w:val="24"/>
      <w:szCs w:val="24"/>
      <w:lang w:val="fr-CA" w:eastAsia="es-ES"/>
    </w:rPr>
  </w:style>
  <w:style w:type="paragraph" w:styleId="Footer">
    <w:name w:val="footer"/>
    <w:basedOn w:val="Normal"/>
    <w:link w:val="FooterChar"/>
    <w:rsid w:val="006122EA"/>
    <w:pPr>
      <w:tabs>
        <w:tab w:val="center" w:pos="4680"/>
        <w:tab w:val="right" w:pos="9360"/>
      </w:tabs>
    </w:pPr>
    <w:rPr>
      <w:lang w:eastAsia="es-ES"/>
    </w:rPr>
  </w:style>
  <w:style w:type="character" w:customStyle="1" w:styleId="FooterChar">
    <w:name w:val="Footer Char"/>
    <w:link w:val="Footer"/>
    <w:rsid w:val="006122EA"/>
    <w:rPr>
      <w:sz w:val="24"/>
      <w:szCs w:val="24"/>
      <w:lang w:val="fr-CA" w:eastAsia="es-ES"/>
    </w:rPr>
  </w:style>
  <w:style w:type="paragraph" w:styleId="BalloonText">
    <w:name w:val="Balloon Text"/>
    <w:basedOn w:val="Normal"/>
    <w:link w:val="BalloonTextChar"/>
    <w:rsid w:val="00225721"/>
    <w:rPr>
      <w:rFonts w:ascii="Tahoma" w:hAnsi="Tahoma" w:cs="Tahoma"/>
      <w:sz w:val="16"/>
      <w:szCs w:val="16"/>
      <w:lang w:eastAsia="es-ES"/>
    </w:rPr>
  </w:style>
  <w:style w:type="character" w:customStyle="1" w:styleId="BalloonTextChar">
    <w:name w:val="Balloon Text Char"/>
    <w:link w:val="BalloonText"/>
    <w:rsid w:val="00225721"/>
    <w:rPr>
      <w:rFonts w:ascii="Tahoma" w:hAnsi="Tahoma" w:cs="Tahoma"/>
      <w:sz w:val="16"/>
      <w:szCs w:val="16"/>
      <w:lang w:val="fr-CA" w:eastAsia="es-ES"/>
    </w:rPr>
  </w:style>
  <w:style w:type="paragraph" w:customStyle="1" w:styleId="Default">
    <w:name w:val="Default"/>
    <w:rsid w:val="00BF3E4E"/>
    <w:pPr>
      <w:autoSpaceDE w:val="0"/>
      <w:autoSpaceDN w:val="0"/>
      <w:adjustRightInd w:val="0"/>
    </w:pPr>
    <w:rPr>
      <w:color w:val="000000"/>
      <w:sz w:val="24"/>
      <w:szCs w:val="24"/>
      <w:lang w:eastAsia="es-ES"/>
    </w:rPr>
  </w:style>
  <w:style w:type="character" w:styleId="CommentReference">
    <w:name w:val="annotation reference"/>
    <w:rsid w:val="00682894"/>
    <w:rPr>
      <w:sz w:val="16"/>
      <w:szCs w:val="16"/>
      <w:lang w:val="fr-CA" w:eastAsia="es-ES"/>
    </w:rPr>
  </w:style>
  <w:style w:type="paragraph" w:styleId="CommentText">
    <w:name w:val="annotation text"/>
    <w:basedOn w:val="Normal"/>
    <w:link w:val="CommentTextChar"/>
    <w:rsid w:val="00682894"/>
    <w:rPr>
      <w:sz w:val="20"/>
      <w:szCs w:val="20"/>
      <w:lang w:eastAsia="es-ES"/>
    </w:rPr>
  </w:style>
  <w:style w:type="character" w:customStyle="1" w:styleId="CommentTextChar">
    <w:name w:val="Comment Text Char"/>
    <w:link w:val="CommentText"/>
    <w:rsid w:val="00682894"/>
    <w:rPr>
      <w:lang w:val="fr-CA" w:eastAsia="es-ES"/>
    </w:rPr>
  </w:style>
  <w:style w:type="table" w:styleId="TableGrid">
    <w:name w:val="Table Grid"/>
    <w:basedOn w:val="TableNormal"/>
    <w:rsid w:val="00227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Uppercase">
    <w:name w:val="Title Uppercase"/>
    <w:basedOn w:val="Normal"/>
    <w:rsid w:val="00227869"/>
    <w:pPr>
      <w:tabs>
        <w:tab w:val="left" w:pos="720"/>
        <w:tab w:val="left" w:pos="1440"/>
        <w:tab w:val="left" w:pos="2160"/>
        <w:tab w:val="left" w:pos="2880"/>
        <w:tab w:val="left" w:pos="7200"/>
        <w:tab w:val="left" w:pos="7920"/>
        <w:tab w:val="left" w:pos="8640"/>
      </w:tabs>
      <w:jc w:val="center"/>
    </w:pPr>
    <w:rPr>
      <w:sz w:val="22"/>
      <w:szCs w:val="20"/>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link w:val="FootnoteText"/>
    <w:uiPriority w:val="99"/>
    <w:locked/>
    <w:rsid w:val="00FE3F7D"/>
    <w:rPr>
      <w:rFonts w:ascii="CG Times" w:hAnsi="CG Times"/>
      <w:lang w:eastAsia="es-ES_tradnl"/>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w:basedOn w:val="Normal"/>
    <w:link w:val="FootnoteTextChar"/>
    <w:uiPriority w:val="99"/>
    <w:unhideWhenUsed/>
    <w:rsid w:val="00FE3F7D"/>
    <w:pPr>
      <w:ind w:left="360" w:hanging="360"/>
      <w:jc w:val="both"/>
    </w:pPr>
    <w:rPr>
      <w:rFonts w:ascii="CG Times" w:hAnsi="CG Times"/>
      <w:sz w:val="20"/>
      <w:szCs w:val="20"/>
      <w:lang w:eastAsia="es-ES_tradnl"/>
    </w:rPr>
  </w:style>
  <w:style w:type="character" w:customStyle="1" w:styleId="FootnoteTextChar1">
    <w:name w:val="Footnote Text Char1"/>
    <w:rsid w:val="00FE3F7D"/>
    <w:rPr>
      <w:lang w:val="fr-CA" w:eastAsia="es-ES"/>
    </w:rPr>
  </w:style>
  <w:style w:type="character" w:styleId="FootnoteReference">
    <w:name w:val="footnote reference"/>
    <w:uiPriority w:val="99"/>
    <w:unhideWhenUsed/>
    <w:rsid w:val="00FE3F7D"/>
    <w:rPr>
      <w:rFonts w:ascii="Times New Roman" w:hAnsi="Times New Roman" w:cs="Times New Roman" w:hint="default"/>
      <w:color w:val="auto"/>
      <w:vertAlign w:val="baseline"/>
    </w:rPr>
  </w:style>
  <w:style w:type="character" w:customStyle="1" w:styleId="Heading1Char">
    <w:name w:val="Heading 1 Char"/>
    <w:basedOn w:val="DefaultParagraphFont"/>
    <w:link w:val="Heading1"/>
    <w:uiPriority w:val="9"/>
    <w:rsid w:val="006E3888"/>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rsid w:val="00F569E7"/>
  </w:style>
  <w:style w:type="character" w:customStyle="1" w:styleId="UnresolvedMention1">
    <w:name w:val="Unresolved Mention1"/>
    <w:basedOn w:val="DefaultParagraphFont"/>
    <w:uiPriority w:val="99"/>
    <w:semiHidden/>
    <w:unhideWhenUsed/>
    <w:rsid w:val="00503B57"/>
    <w:rPr>
      <w:color w:val="605E5C"/>
      <w:shd w:val="clear" w:color="auto" w:fill="E1DFDD"/>
    </w:rPr>
  </w:style>
  <w:style w:type="paragraph" w:styleId="NormalWeb">
    <w:name w:val="Normal (Web)"/>
    <w:basedOn w:val="Normal"/>
    <w:uiPriority w:val="99"/>
    <w:unhideWhenUsed/>
    <w:rsid w:val="00352C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25816">
      <w:bodyDiv w:val="1"/>
      <w:marLeft w:val="0"/>
      <w:marRight w:val="0"/>
      <w:marTop w:val="0"/>
      <w:marBottom w:val="0"/>
      <w:divBdr>
        <w:top w:val="none" w:sz="0" w:space="0" w:color="auto"/>
        <w:left w:val="none" w:sz="0" w:space="0" w:color="auto"/>
        <w:bottom w:val="none" w:sz="0" w:space="0" w:color="auto"/>
        <w:right w:val="none" w:sz="0" w:space="0" w:color="auto"/>
      </w:divBdr>
    </w:div>
    <w:div w:id="627322949">
      <w:bodyDiv w:val="1"/>
      <w:marLeft w:val="0"/>
      <w:marRight w:val="0"/>
      <w:marTop w:val="0"/>
      <w:marBottom w:val="0"/>
      <w:divBdr>
        <w:top w:val="none" w:sz="0" w:space="0" w:color="auto"/>
        <w:left w:val="none" w:sz="0" w:space="0" w:color="auto"/>
        <w:bottom w:val="none" w:sz="0" w:space="0" w:color="auto"/>
        <w:right w:val="none" w:sz="0" w:space="0" w:color="auto"/>
      </w:divBdr>
    </w:div>
    <w:div w:id="627854292">
      <w:bodyDiv w:val="1"/>
      <w:marLeft w:val="0"/>
      <w:marRight w:val="0"/>
      <w:marTop w:val="0"/>
      <w:marBottom w:val="0"/>
      <w:divBdr>
        <w:top w:val="none" w:sz="0" w:space="0" w:color="auto"/>
        <w:left w:val="none" w:sz="0" w:space="0" w:color="auto"/>
        <w:bottom w:val="none" w:sz="0" w:space="0" w:color="auto"/>
        <w:right w:val="none" w:sz="0" w:space="0" w:color="auto"/>
      </w:divBdr>
      <w:divsChild>
        <w:div w:id="867987001">
          <w:marLeft w:val="0"/>
          <w:marRight w:val="0"/>
          <w:marTop w:val="0"/>
          <w:marBottom w:val="0"/>
          <w:divBdr>
            <w:top w:val="none" w:sz="0" w:space="0" w:color="auto"/>
            <w:left w:val="none" w:sz="0" w:space="0" w:color="auto"/>
            <w:bottom w:val="none" w:sz="0" w:space="0" w:color="auto"/>
            <w:right w:val="none" w:sz="0" w:space="0" w:color="auto"/>
          </w:divBdr>
          <w:divsChild>
            <w:div w:id="992879940">
              <w:marLeft w:val="0"/>
              <w:marRight w:val="0"/>
              <w:marTop w:val="0"/>
              <w:marBottom w:val="0"/>
              <w:divBdr>
                <w:top w:val="none" w:sz="0" w:space="0" w:color="auto"/>
                <w:left w:val="none" w:sz="0" w:space="0" w:color="auto"/>
                <w:bottom w:val="none" w:sz="0" w:space="0" w:color="auto"/>
                <w:right w:val="none" w:sz="0" w:space="0" w:color="auto"/>
              </w:divBdr>
              <w:divsChild>
                <w:div w:id="11166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1371">
      <w:bodyDiv w:val="1"/>
      <w:marLeft w:val="0"/>
      <w:marRight w:val="0"/>
      <w:marTop w:val="0"/>
      <w:marBottom w:val="0"/>
      <w:divBdr>
        <w:top w:val="none" w:sz="0" w:space="0" w:color="auto"/>
        <w:left w:val="none" w:sz="0" w:space="0" w:color="auto"/>
        <w:bottom w:val="none" w:sz="0" w:space="0" w:color="auto"/>
        <w:right w:val="none" w:sz="0" w:space="0" w:color="auto"/>
      </w:divBdr>
      <w:divsChild>
        <w:div w:id="485242281">
          <w:marLeft w:val="0"/>
          <w:marRight w:val="0"/>
          <w:marTop w:val="0"/>
          <w:marBottom w:val="0"/>
          <w:divBdr>
            <w:top w:val="none" w:sz="0" w:space="0" w:color="auto"/>
            <w:left w:val="none" w:sz="0" w:space="0" w:color="auto"/>
            <w:bottom w:val="none" w:sz="0" w:space="0" w:color="auto"/>
            <w:right w:val="none" w:sz="0" w:space="0" w:color="auto"/>
          </w:divBdr>
          <w:divsChild>
            <w:div w:id="700714389">
              <w:marLeft w:val="0"/>
              <w:marRight w:val="0"/>
              <w:marTop w:val="0"/>
              <w:marBottom w:val="0"/>
              <w:divBdr>
                <w:top w:val="none" w:sz="0" w:space="0" w:color="auto"/>
                <w:left w:val="none" w:sz="0" w:space="0" w:color="auto"/>
                <w:bottom w:val="none" w:sz="0" w:space="0" w:color="auto"/>
                <w:right w:val="none" w:sz="0" w:space="0" w:color="auto"/>
              </w:divBdr>
              <w:divsChild>
                <w:div w:id="19934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8597">
      <w:bodyDiv w:val="1"/>
      <w:marLeft w:val="0"/>
      <w:marRight w:val="0"/>
      <w:marTop w:val="0"/>
      <w:marBottom w:val="0"/>
      <w:divBdr>
        <w:top w:val="none" w:sz="0" w:space="0" w:color="auto"/>
        <w:left w:val="none" w:sz="0" w:space="0" w:color="auto"/>
        <w:bottom w:val="none" w:sz="0" w:space="0" w:color="auto"/>
        <w:right w:val="none" w:sz="0" w:space="0" w:color="auto"/>
      </w:divBdr>
      <w:divsChild>
        <w:div w:id="228923692">
          <w:marLeft w:val="0"/>
          <w:marRight w:val="0"/>
          <w:marTop w:val="0"/>
          <w:marBottom w:val="0"/>
          <w:divBdr>
            <w:top w:val="none" w:sz="0" w:space="0" w:color="auto"/>
            <w:left w:val="none" w:sz="0" w:space="0" w:color="auto"/>
            <w:bottom w:val="none" w:sz="0" w:space="0" w:color="auto"/>
            <w:right w:val="none" w:sz="0" w:space="0" w:color="auto"/>
          </w:divBdr>
          <w:divsChild>
            <w:div w:id="209271712">
              <w:marLeft w:val="0"/>
              <w:marRight w:val="0"/>
              <w:marTop w:val="0"/>
              <w:marBottom w:val="0"/>
              <w:divBdr>
                <w:top w:val="none" w:sz="0" w:space="0" w:color="auto"/>
                <w:left w:val="none" w:sz="0" w:space="0" w:color="auto"/>
                <w:bottom w:val="none" w:sz="0" w:space="0" w:color="auto"/>
                <w:right w:val="none" w:sz="0" w:space="0" w:color="auto"/>
              </w:divBdr>
              <w:divsChild>
                <w:div w:id="21245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6465">
      <w:bodyDiv w:val="1"/>
      <w:marLeft w:val="0"/>
      <w:marRight w:val="0"/>
      <w:marTop w:val="0"/>
      <w:marBottom w:val="0"/>
      <w:divBdr>
        <w:top w:val="none" w:sz="0" w:space="0" w:color="auto"/>
        <w:left w:val="none" w:sz="0" w:space="0" w:color="auto"/>
        <w:bottom w:val="none" w:sz="0" w:space="0" w:color="auto"/>
        <w:right w:val="none" w:sz="0" w:space="0" w:color="auto"/>
      </w:divBdr>
    </w:div>
    <w:div w:id="1101338313">
      <w:bodyDiv w:val="1"/>
      <w:marLeft w:val="0"/>
      <w:marRight w:val="0"/>
      <w:marTop w:val="0"/>
      <w:marBottom w:val="0"/>
      <w:divBdr>
        <w:top w:val="none" w:sz="0" w:space="0" w:color="auto"/>
        <w:left w:val="none" w:sz="0" w:space="0" w:color="auto"/>
        <w:bottom w:val="none" w:sz="0" w:space="0" w:color="auto"/>
        <w:right w:val="none" w:sz="0" w:space="0" w:color="auto"/>
      </w:divBdr>
      <w:divsChild>
        <w:div w:id="1477335648">
          <w:marLeft w:val="0"/>
          <w:marRight w:val="0"/>
          <w:marTop w:val="0"/>
          <w:marBottom w:val="0"/>
          <w:divBdr>
            <w:top w:val="none" w:sz="0" w:space="0" w:color="auto"/>
            <w:left w:val="none" w:sz="0" w:space="0" w:color="auto"/>
            <w:bottom w:val="none" w:sz="0" w:space="0" w:color="auto"/>
            <w:right w:val="none" w:sz="0" w:space="0" w:color="auto"/>
          </w:divBdr>
          <w:divsChild>
            <w:div w:id="669405439">
              <w:marLeft w:val="0"/>
              <w:marRight w:val="0"/>
              <w:marTop w:val="0"/>
              <w:marBottom w:val="0"/>
              <w:divBdr>
                <w:top w:val="none" w:sz="0" w:space="0" w:color="auto"/>
                <w:left w:val="none" w:sz="0" w:space="0" w:color="auto"/>
                <w:bottom w:val="none" w:sz="0" w:space="0" w:color="auto"/>
                <w:right w:val="none" w:sz="0" w:space="0" w:color="auto"/>
              </w:divBdr>
              <w:divsChild>
                <w:div w:id="2501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20187">
      <w:bodyDiv w:val="1"/>
      <w:marLeft w:val="0"/>
      <w:marRight w:val="0"/>
      <w:marTop w:val="0"/>
      <w:marBottom w:val="0"/>
      <w:divBdr>
        <w:top w:val="none" w:sz="0" w:space="0" w:color="auto"/>
        <w:left w:val="none" w:sz="0" w:space="0" w:color="auto"/>
        <w:bottom w:val="none" w:sz="0" w:space="0" w:color="auto"/>
        <w:right w:val="none" w:sz="0" w:space="0" w:color="auto"/>
      </w:divBdr>
    </w:div>
    <w:div w:id="1471095594">
      <w:bodyDiv w:val="1"/>
      <w:marLeft w:val="0"/>
      <w:marRight w:val="0"/>
      <w:marTop w:val="0"/>
      <w:marBottom w:val="0"/>
      <w:divBdr>
        <w:top w:val="none" w:sz="0" w:space="0" w:color="auto"/>
        <w:left w:val="none" w:sz="0" w:space="0" w:color="auto"/>
        <w:bottom w:val="none" w:sz="0" w:space="0" w:color="auto"/>
        <w:right w:val="none" w:sz="0" w:space="0" w:color="auto"/>
      </w:divBdr>
      <w:divsChild>
        <w:div w:id="1336415412">
          <w:marLeft w:val="0"/>
          <w:marRight w:val="0"/>
          <w:marTop w:val="0"/>
          <w:marBottom w:val="0"/>
          <w:divBdr>
            <w:top w:val="none" w:sz="0" w:space="0" w:color="auto"/>
            <w:left w:val="none" w:sz="0" w:space="0" w:color="auto"/>
            <w:bottom w:val="none" w:sz="0" w:space="0" w:color="auto"/>
            <w:right w:val="none" w:sz="0" w:space="0" w:color="auto"/>
          </w:divBdr>
          <w:divsChild>
            <w:div w:id="1990554457">
              <w:marLeft w:val="0"/>
              <w:marRight w:val="0"/>
              <w:marTop w:val="0"/>
              <w:marBottom w:val="0"/>
              <w:divBdr>
                <w:top w:val="none" w:sz="0" w:space="0" w:color="auto"/>
                <w:left w:val="none" w:sz="0" w:space="0" w:color="auto"/>
                <w:bottom w:val="none" w:sz="0" w:space="0" w:color="auto"/>
                <w:right w:val="none" w:sz="0" w:space="0" w:color="auto"/>
              </w:divBdr>
              <w:divsChild>
                <w:div w:id="7031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53920">
      <w:bodyDiv w:val="1"/>
      <w:marLeft w:val="0"/>
      <w:marRight w:val="0"/>
      <w:marTop w:val="0"/>
      <w:marBottom w:val="0"/>
      <w:divBdr>
        <w:top w:val="none" w:sz="0" w:space="0" w:color="auto"/>
        <w:left w:val="none" w:sz="0" w:space="0" w:color="auto"/>
        <w:bottom w:val="none" w:sz="0" w:space="0" w:color="auto"/>
        <w:right w:val="none" w:sz="0" w:space="0" w:color="auto"/>
      </w:divBdr>
    </w:div>
    <w:div w:id="1498884168">
      <w:bodyDiv w:val="1"/>
      <w:marLeft w:val="0"/>
      <w:marRight w:val="0"/>
      <w:marTop w:val="0"/>
      <w:marBottom w:val="0"/>
      <w:divBdr>
        <w:top w:val="none" w:sz="0" w:space="0" w:color="auto"/>
        <w:left w:val="none" w:sz="0" w:space="0" w:color="auto"/>
        <w:bottom w:val="none" w:sz="0" w:space="0" w:color="auto"/>
        <w:right w:val="none" w:sz="0" w:space="0" w:color="auto"/>
      </w:divBdr>
      <w:divsChild>
        <w:div w:id="1591815734">
          <w:marLeft w:val="0"/>
          <w:marRight w:val="0"/>
          <w:marTop w:val="0"/>
          <w:marBottom w:val="0"/>
          <w:divBdr>
            <w:top w:val="none" w:sz="0" w:space="0" w:color="auto"/>
            <w:left w:val="none" w:sz="0" w:space="0" w:color="auto"/>
            <w:bottom w:val="none" w:sz="0" w:space="0" w:color="auto"/>
            <w:right w:val="none" w:sz="0" w:space="0" w:color="auto"/>
          </w:divBdr>
        </w:div>
      </w:divsChild>
    </w:div>
    <w:div w:id="1554737350">
      <w:bodyDiv w:val="1"/>
      <w:marLeft w:val="0"/>
      <w:marRight w:val="0"/>
      <w:marTop w:val="0"/>
      <w:marBottom w:val="0"/>
      <w:divBdr>
        <w:top w:val="none" w:sz="0" w:space="0" w:color="auto"/>
        <w:left w:val="none" w:sz="0" w:space="0" w:color="auto"/>
        <w:bottom w:val="none" w:sz="0" w:space="0" w:color="auto"/>
        <w:right w:val="none" w:sz="0" w:space="0" w:color="auto"/>
      </w:divBdr>
    </w:div>
    <w:div w:id="1670518456">
      <w:bodyDiv w:val="1"/>
      <w:marLeft w:val="0"/>
      <w:marRight w:val="0"/>
      <w:marTop w:val="0"/>
      <w:marBottom w:val="0"/>
      <w:divBdr>
        <w:top w:val="none" w:sz="0" w:space="0" w:color="auto"/>
        <w:left w:val="none" w:sz="0" w:space="0" w:color="auto"/>
        <w:bottom w:val="none" w:sz="0" w:space="0" w:color="auto"/>
        <w:right w:val="none" w:sz="0" w:space="0" w:color="auto"/>
      </w:divBdr>
    </w:div>
    <w:div w:id="1706441760">
      <w:bodyDiv w:val="1"/>
      <w:marLeft w:val="0"/>
      <w:marRight w:val="0"/>
      <w:marTop w:val="0"/>
      <w:marBottom w:val="0"/>
      <w:divBdr>
        <w:top w:val="none" w:sz="0" w:space="0" w:color="auto"/>
        <w:left w:val="none" w:sz="0" w:space="0" w:color="auto"/>
        <w:bottom w:val="none" w:sz="0" w:space="0" w:color="auto"/>
        <w:right w:val="none" w:sz="0" w:space="0" w:color="auto"/>
      </w:divBdr>
    </w:div>
    <w:div w:id="2003778356">
      <w:bodyDiv w:val="1"/>
      <w:marLeft w:val="0"/>
      <w:marRight w:val="0"/>
      <w:marTop w:val="0"/>
      <w:marBottom w:val="0"/>
      <w:divBdr>
        <w:top w:val="none" w:sz="0" w:space="0" w:color="auto"/>
        <w:left w:val="none" w:sz="0" w:space="0" w:color="auto"/>
        <w:bottom w:val="none" w:sz="0" w:space="0" w:color="auto"/>
        <w:right w:val="none" w:sz="0" w:space="0" w:color="auto"/>
      </w:divBdr>
      <w:divsChild>
        <w:div w:id="224293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m.oas.org/pdfs/2021/CP43928CAJPBrehm.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m.oas.org/pdfs/2021/CP43928CAJPObrego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op.icrc.org/guidelines-on-the-protection-of-the-natural-environment-in-armed-conflict-pdf-en?mc_phishing_protection_id=28048-c0qh2kf0s0vd587ve2e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m.oas.org/pdfs/2021/CP43928CAJPMorello.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m.oas.org/pdfs/2021/CP43918CAJPNegro.docx"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icrc.org/en/download/file/121024/icrc_sipri_limits_on_autonomy_june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98DF4-51E9-4C2A-9F34-3246EAEB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901</Words>
  <Characters>5313</Characters>
  <Application>Microsoft Office Word</Application>
  <DocSecurity>0</DocSecurity>
  <Lines>143</Lines>
  <Paragraphs>42</Paragraphs>
  <ScaleCrop>false</ScaleCrop>
  <HeadingPairs>
    <vt:vector size="2" baseType="variant">
      <vt:variant>
        <vt:lpstr>Title</vt:lpstr>
      </vt:variant>
      <vt:variant>
        <vt:i4>1</vt:i4>
      </vt:variant>
    </vt:vector>
  </HeadingPairs>
  <TitlesOfParts>
    <vt:vector size="1" baseType="lpstr">
      <vt:lpstr/>
    </vt:vector>
  </TitlesOfParts>
  <Company>OAS</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Palmer, Margaret</cp:lastModifiedBy>
  <cp:revision>6</cp:revision>
  <cp:lastPrinted>2017-02-03T19:23:00Z</cp:lastPrinted>
  <dcterms:created xsi:type="dcterms:W3CDTF">2021-04-27T21:51:00Z</dcterms:created>
  <dcterms:modified xsi:type="dcterms:W3CDTF">2021-04-27T22:21:00Z</dcterms:modified>
</cp:coreProperties>
</file>