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5DB5" w14:textId="77777777" w:rsidR="0064170F" w:rsidRPr="00EE292B" w:rsidRDefault="0064170F" w:rsidP="00B25DEC">
      <w:pPr>
        <w:pStyle w:val="Header"/>
        <w:widowControl/>
        <w:tabs>
          <w:tab w:val="clear" w:pos="4320"/>
          <w:tab w:val="center" w:pos="2880"/>
          <w:tab w:val="left" w:pos="6840"/>
        </w:tabs>
        <w:rPr>
          <w:sz w:val="22"/>
          <w:szCs w:val="22"/>
          <w:lang w:val="fr-FR"/>
        </w:rPr>
      </w:pPr>
      <w:r w:rsidRPr="000F4DD8">
        <w:rPr>
          <w:sz w:val="22"/>
          <w:szCs w:val="22"/>
          <w:lang w:val="fr-FR"/>
        </w:rPr>
        <w:tab/>
      </w:r>
      <w:r w:rsidRPr="00EE292B">
        <w:rPr>
          <w:sz w:val="22"/>
          <w:szCs w:val="22"/>
          <w:lang w:val="fr-FR"/>
        </w:rPr>
        <w:t>CONSEIL PERMANENT DE</w:t>
      </w:r>
      <w:r w:rsidRPr="00EE292B">
        <w:rPr>
          <w:sz w:val="22"/>
          <w:szCs w:val="22"/>
          <w:lang w:val="fr-FR"/>
        </w:rPr>
        <w:tab/>
        <w:t>OEA/</w:t>
      </w:r>
      <w:proofErr w:type="spellStart"/>
      <w:r w:rsidRPr="00EE292B">
        <w:rPr>
          <w:sz w:val="22"/>
          <w:szCs w:val="22"/>
          <w:lang w:val="fr-FR"/>
        </w:rPr>
        <w:t>Ser.G</w:t>
      </w:r>
      <w:proofErr w:type="spellEnd"/>
    </w:p>
    <w:p w14:paraId="7AFFA2F8" w14:textId="77777777" w:rsidR="0064170F" w:rsidRPr="00EE292B" w:rsidRDefault="0064170F" w:rsidP="00B25DEC">
      <w:pPr>
        <w:tabs>
          <w:tab w:val="center" w:pos="2880"/>
          <w:tab w:val="left" w:pos="6840"/>
        </w:tabs>
        <w:rPr>
          <w:sz w:val="22"/>
          <w:szCs w:val="22"/>
          <w:lang w:val="fr-FR"/>
        </w:rPr>
      </w:pPr>
      <w:r w:rsidRPr="00EE292B">
        <w:rPr>
          <w:sz w:val="22"/>
          <w:szCs w:val="22"/>
          <w:lang w:val="fr-FR"/>
        </w:rPr>
        <w:tab/>
        <w:t>L’ORGANISATION DES ÉTATS AMÉRICAINS</w:t>
      </w:r>
      <w:r w:rsidRPr="00EE292B">
        <w:rPr>
          <w:sz w:val="22"/>
          <w:szCs w:val="22"/>
          <w:lang w:val="fr-FR"/>
        </w:rPr>
        <w:tab/>
      </w:r>
      <w:r w:rsidR="00903901" w:rsidRPr="00EE292B">
        <w:rPr>
          <w:sz w:val="22"/>
          <w:szCs w:val="22"/>
          <w:lang w:val="fr-FR"/>
        </w:rPr>
        <w:t>CP/</w:t>
      </w:r>
      <w:r w:rsidRPr="00EE292B">
        <w:rPr>
          <w:sz w:val="22"/>
          <w:szCs w:val="22"/>
          <w:lang w:val="fr-FR"/>
        </w:rPr>
        <w:t>CSH</w:t>
      </w:r>
      <w:r w:rsidR="00903901" w:rsidRPr="00EE292B">
        <w:rPr>
          <w:sz w:val="22"/>
          <w:szCs w:val="22"/>
          <w:lang w:val="fr-FR"/>
        </w:rPr>
        <w:t>-</w:t>
      </w:r>
      <w:r w:rsidR="00BE3129" w:rsidRPr="00EE292B">
        <w:rPr>
          <w:sz w:val="22"/>
          <w:szCs w:val="22"/>
          <w:lang w:val="fr-FR"/>
        </w:rPr>
        <w:t>2049</w:t>
      </w:r>
      <w:r w:rsidR="00903901" w:rsidRPr="00EE292B">
        <w:rPr>
          <w:sz w:val="22"/>
          <w:szCs w:val="22"/>
          <w:lang w:val="fr-FR"/>
        </w:rPr>
        <w:t>/21</w:t>
      </w:r>
      <w:r w:rsidR="00B25DEC">
        <w:rPr>
          <w:sz w:val="22"/>
          <w:szCs w:val="22"/>
          <w:lang w:val="fr-FR"/>
        </w:rPr>
        <w:t xml:space="preserve"> </w:t>
      </w:r>
      <w:proofErr w:type="spellStart"/>
      <w:r w:rsidR="00B25DEC">
        <w:rPr>
          <w:sz w:val="22"/>
          <w:szCs w:val="22"/>
          <w:lang w:val="fr-FR"/>
        </w:rPr>
        <w:t>rev</w:t>
      </w:r>
      <w:proofErr w:type="spellEnd"/>
      <w:r w:rsidR="00B25DEC">
        <w:rPr>
          <w:sz w:val="22"/>
          <w:szCs w:val="22"/>
          <w:lang w:val="fr-FR"/>
        </w:rPr>
        <w:t>. 1</w:t>
      </w:r>
    </w:p>
    <w:p w14:paraId="3C1C0977" w14:textId="77777777" w:rsidR="0064170F" w:rsidRPr="00EE292B" w:rsidRDefault="0064170F" w:rsidP="00B25DEC">
      <w:pPr>
        <w:tabs>
          <w:tab w:val="center" w:pos="2880"/>
          <w:tab w:val="left" w:pos="6840"/>
        </w:tabs>
        <w:rPr>
          <w:sz w:val="22"/>
          <w:szCs w:val="22"/>
          <w:lang w:val="fr-FR"/>
        </w:rPr>
      </w:pPr>
      <w:r w:rsidRPr="00EE292B">
        <w:rPr>
          <w:sz w:val="22"/>
          <w:szCs w:val="22"/>
          <w:lang w:val="fr-FR"/>
        </w:rPr>
        <w:tab/>
      </w:r>
      <w:r w:rsidRPr="00EE292B">
        <w:rPr>
          <w:sz w:val="22"/>
          <w:szCs w:val="22"/>
          <w:lang w:val="fr-FR"/>
        </w:rPr>
        <w:tab/>
      </w:r>
      <w:r w:rsidR="00903901" w:rsidRPr="00EE292B">
        <w:rPr>
          <w:sz w:val="22"/>
          <w:szCs w:val="22"/>
          <w:lang w:val="fr-FR"/>
        </w:rPr>
        <w:t>2</w:t>
      </w:r>
      <w:r w:rsidR="00B25DEC">
        <w:rPr>
          <w:sz w:val="22"/>
          <w:szCs w:val="22"/>
          <w:lang w:val="fr-FR"/>
        </w:rPr>
        <w:t>9</w:t>
      </w:r>
      <w:r w:rsidR="00903901" w:rsidRPr="00EE292B">
        <w:rPr>
          <w:sz w:val="22"/>
          <w:szCs w:val="22"/>
          <w:lang w:val="fr-FR"/>
        </w:rPr>
        <w:t xml:space="preserve"> avril 2021</w:t>
      </w:r>
    </w:p>
    <w:p w14:paraId="1AA4005C" w14:textId="77777777" w:rsidR="0064170F" w:rsidRPr="00EE292B" w:rsidRDefault="0064170F" w:rsidP="00B25DEC">
      <w:pPr>
        <w:tabs>
          <w:tab w:val="center" w:pos="2880"/>
          <w:tab w:val="left" w:pos="6840"/>
        </w:tabs>
        <w:rPr>
          <w:sz w:val="22"/>
          <w:szCs w:val="22"/>
          <w:lang w:val="fr-FR"/>
        </w:rPr>
      </w:pPr>
      <w:r w:rsidRPr="00EE292B">
        <w:rPr>
          <w:sz w:val="22"/>
          <w:szCs w:val="22"/>
          <w:lang w:val="fr-FR"/>
        </w:rPr>
        <w:tab/>
        <w:t>COMMISSION SUR LA SÉCURITÉ CONTINENTALE</w:t>
      </w:r>
      <w:r w:rsidRPr="00EE292B">
        <w:rPr>
          <w:sz w:val="22"/>
          <w:szCs w:val="22"/>
          <w:lang w:val="fr-FR"/>
        </w:rPr>
        <w:tab/>
      </w:r>
      <w:proofErr w:type="gramStart"/>
      <w:r w:rsidRPr="00EE292B">
        <w:rPr>
          <w:sz w:val="22"/>
          <w:szCs w:val="22"/>
          <w:lang w:val="fr-FR"/>
        </w:rPr>
        <w:t>Original:</w:t>
      </w:r>
      <w:proofErr w:type="gramEnd"/>
      <w:r w:rsidRPr="00EE292B">
        <w:rPr>
          <w:sz w:val="22"/>
          <w:szCs w:val="22"/>
          <w:lang w:val="fr-FR"/>
        </w:rPr>
        <w:t xml:space="preserve"> </w:t>
      </w:r>
      <w:r w:rsidR="00BE3129" w:rsidRPr="00EE292B">
        <w:rPr>
          <w:sz w:val="22"/>
          <w:szCs w:val="22"/>
          <w:lang w:val="fr-FR"/>
        </w:rPr>
        <w:t>espagnol</w:t>
      </w:r>
    </w:p>
    <w:p w14:paraId="20AE9301" w14:textId="77777777" w:rsidR="00903901" w:rsidRPr="00EE292B" w:rsidRDefault="00903901" w:rsidP="00EE292B">
      <w:pPr>
        <w:pStyle w:val="EndnoteText"/>
        <w:widowControl/>
        <w:tabs>
          <w:tab w:val="clear" w:pos="720"/>
          <w:tab w:val="clear" w:pos="1440"/>
          <w:tab w:val="clear" w:pos="2160"/>
          <w:tab w:val="clear" w:pos="3600"/>
          <w:tab w:val="clear" w:pos="4320"/>
          <w:tab w:val="clear" w:pos="5760"/>
          <w:tab w:val="clear" w:pos="6480"/>
          <w:tab w:val="center" w:pos="2880"/>
        </w:tabs>
        <w:jc w:val="left"/>
        <w:outlineLvl w:val="0"/>
        <w:rPr>
          <w:sz w:val="22"/>
          <w:szCs w:val="22"/>
          <w:lang w:val="fr-FR"/>
        </w:rPr>
      </w:pPr>
    </w:p>
    <w:p w14:paraId="644A4F13" w14:textId="77777777" w:rsidR="00903901" w:rsidRPr="00EE292B" w:rsidRDefault="00903901"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sz w:val="22"/>
          <w:szCs w:val="22"/>
          <w:lang w:val="fr-FR"/>
        </w:rPr>
      </w:pPr>
      <w:r w:rsidRPr="00EE292B">
        <w:rPr>
          <w:sz w:val="22"/>
          <w:szCs w:val="22"/>
          <w:lang w:val="fr-FR"/>
        </w:rPr>
        <w:t>LISTE D’INVITÉS</w:t>
      </w:r>
    </w:p>
    <w:p w14:paraId="11C87135" w14:textId="77777777" w:rsidR="00903901" w:rsidRPr="00EE292B" w:rsidRDefault="00903901"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sz w:val="22"/>
          <w:szCs w:val="22"/>
          <w:lang w:val="fr-FR"/>
        </w:rPr>
      </w:pPr>
      <w:r w:rsidRPr="00EE292B">
        <w:rPr>
          <w:sz w:val="22"/>
          <w:szCs w:val="22"/>
          <w:lang w:val="fr-FR"/>
        </w:rPr>
        <w:t>SIXIÈME RÉUNION DES AUTORITÉS NATIONALES EN MATIÈRE</w:t>
      </w:r>
      <w:r w:rsidRPr="00EE292B">
        <w:rPr>
          <w:sz w:val="22"/>
          <w:szCs w:val="22"/>
          <w:lang w:val="fr-FR"/>
        </w:rPr>
        <w:br/>
        <w:t xml:space="preserve"> DE TRAITE DES PERSONNES</w:t>
      </w:r>
      <w:r w:rsidR="00BE3129" w:rsidRPr="00EE292B">
        <w:rPr>
          <w:sz w:val="22"/>
          <w:szCs w:val="22"/>
          <w:lang w:val="fr-FR"/>
        </w:rPr>
        <w:t xml:space="preserve"> (RTP VI)</w:t>
      </w:r>
    </w:p>
    <w:p w14:paraId="51ABC7E8" w14:textId="77777777" w:rsidR="00BE3129" w:rsidRPr="00EE292B" w:rsidRDefault="00BE3129"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sz w:val="22"/>
          <w:szCs w:val="22"/>
          <w:lang w:val="fr-FR"/>
        </w:rPr>
      </w:pPr>
    </w:p>
    <w:p w14:paraId="4620FE53" w14:textId="77777777" w:rsidR="0064170F" w:rsidRPr="00B25DEC" w:rsidRDefault="00B25DEC" w:rsidP="00B25DEC">
      <w:pPr>
        <w:tabs>
          <w:tab w:val="left" w:pos="1350"/>
        </w:tabs>
        <w:jc w:val="center"/>
        <w:rPr>
          <w:sz w:val="22"/>
          <w:szCs w:val="22"/>
          <w:lang w:val="fr-CA"/>
        </w:rPr>
      </w:pPr>
      <w:r>
        <w:rPr>
          <w:lang w:val="fr-CA"/>
        </w:rPr>
        <w:t>(A</w:t>
      </w:r>
      <w:r w:rsidRPr="00B25DEC">
        <w:rPr>
          <w:lang w:val="fr-CA"/>
        </w:rPr>
        <w:t xml:space="preserve">pprouvé </w:t>
      </w:r>
      <w:r>
        <w:rPr>
          <w:lang w:val="fr-CA"/>
        </w:rPr>
        <w:t>par l</w:t>
      </w:r>
      <w:r w:rsidRPr="00B25DEC">
        <w:rPr>
          <w:lang w:val="fr-CA"/>
        </w:rPr>
        <w:t>a Commission le 2</w:t>
      </w:r>
      <w:r>
        <w:rPr>
          <w:lang w:val="fr-CA"/>
        </w:rPr>
        <w:t>9</w:t>
      </w:r>
      <w:r w:rsidRPr="00B25DEC">
        <w:rPr>
          <w:lang w:val="fr-CA"/>
        </w:rPr>
        <w:t xml:space="preserve"> avril 2021</w:t>
      </w:r>
      <w:r>
        <w:rPr>
          <w:lang w:val="fr-CA"/>
        </w:rPr>
        <w:t>)</w:t>
      </w:r>
    </w:p>
    <w:p w14:paraId="7AC99755" w14:textId="77777777" w:rsidR="0064170F" w:rsidRPr="00EE292B" w:rsidRDefault="0064170F" w:rsidP="00EE292B">
      <w:pPr>
        <w:jc w:val="both"/>
        <w:rPr>
          <w:sz w:val="22"/>
          <w:szCs w:val="22"/>
          <w:lang w:val="fr-FR"/>
        </w:rPr>
      </w:pPr>
    </w:p>
    <w:p w14:paraId="22BF8846"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r w:rsidRPr="00EE292B">
        <w:rPr>
          <w:sz w:val="22"/>
          <w:szCs w:val="22"/>
          <w:lang w:val="fr-FR"/>
        </w:rPr>
        <w:t>a</w:t>
      </w:r>
      <w:r w:rsidR="00BE3129" w:rsidRPr="00EE292B">
        <w:rPr>
          <w:sz w:val="22"/>
          <w:szCs w:val="22"/>
          <w:lang w:val="fr-FR"/>
        </w:rPr>
        <w:t>)</w:t>
      </w:r>
      <w:r w:rsidRPr="00EE292B">
        <w:rPr>
          <w:sz w:val="22"/>
          <w:szCs w:val="22"/>
          <w:lang w:val="fr-FR"/>
        </w:rPr>
        <w:tab/>
        <w:t>ÉTATS MEMBRES DE L’OEA</w:t>
      </w:r>
    </w:p>
    <w:p w14:paraId="28DBAA97"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0E2C2F70"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r w:rsidRPr="00EE292B">
        <w:rPr>
          <w:sz w:val="22"/>
          <w:szCs w:val="22"/>
          <w:lang w:val="fr-FR"/>
        </w:rPr>
        <w:t>b</w:t>
      </w:r>
      <w:r w:rsidR="00BE3129" w:rsidRPr="00EE292B">
        <w:rPr>
          <w:sz w:val="22"/>
          <w:szCs w:val="22"/>
          <w:lang w:val="fr-FR"/>
        </w:rPr>
        <w:t>)</w:t>
      </w:r>
      <w:r w:rsidRPr="00EE292B">
        <w:rPr>
          <w:sz w:val="22"/>
          <w:szCs w:val="22"/>
          <w:lang w:val="fr-FR"/>
        </w:rPr>
        <w:tab/>
        <w:t>OBSERVATEURS PERMANENTS PRÈS L'OEA</w:t>
      </w:r>
    </w:p>
    <w:p w14:paraId="5024813A"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237E67FD" w14:textId="77777777" w:rsidR="0064170F" w:rsidRPr="00EE292B" w:rsidRDefault="0064170F" w:rsidP="00EE292B">
      <w:pPr>
        <w:pStyle w:val="EndnoteText"/>
        <w:widowControl/>
        <w:tabs>
          <w:tab w:val="clear" w:pos="1440"/>
          <w:tab w:val="clear" w:pos="2160"/>
          <w:tab w:val="clear" w:pos="2880"/>
          <w:tab w:val="clear" w:pos="3600"/>
          <w:tab w:val="clear" w:pos="4320"/>
          <w:tab w:val="clear" w:pos="5760"/>
          <w:tab w:val="clear" w:pos="6480"/>
          <w:tab w:val="clear" w:pos="7200"/>
          <w:tab w:val="clear" w:pos="7920"/>
        </w:tabs>
        <w:ind w:left="720" w:hanging="720"/>
        <w:rPr>
          <w:sz w:val="22"/>
          <w:szCs w:val="22"/>
          <w:lang w:val="fr-FR"/>
        </w:rPr>
      </w:pPr>
      <w:r w:rsidRPr="00EE292B">
        <w:rPr>
          <w:sz w:val="22"/>
          <w:szCs w:val="22"/>
          <w:lang w:val="fr-FR"/>
        </w:rPr>
        <w:t>c</w:t>
      </w:r>
      <w:r w:rsidR="00BE3129" w:rsidRPr="00EE292B">
        <w:rPr>
          <w:sz w:val="22"/>
          <w:szCs w:val="22"/>
          <w:lang w:val="fr-FR"/>
        </w:rPr>
        <w:t>)</w:t>
      </w:r>
      <w:r w:rsidRPr="00EE292B">
        <w:rPr>
          <w:sz w:val="22"/>
          <w:szCs w:val="22"/>
          <w:lang w:val="fr-FR"/>
        </w:rPr>
        <w:tab/>
        <w:t>ORGANES, ORGANISMES ET AUTRES ENTITÉS DU SYSTÈME INTERAMÉRICAIN (OEA)</w:t>
      </w:r>
    </w:p>
    <w:p w14:paraId="43680730"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08E891B6"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Commission interaméricaine des droits de l’homme (CIDH)</w:t>
      </w:r>
    </w:p>
    <w:p w14:paraId="5D2A9B5A"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Cour interaméricaine des droits de l’homme (Cour IDH)</w:t>
      </w:r>
    </w:p>
    <w:p w14:paraId="4696BA4A"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Commission interaméricaine des femmes (CIM)</w:t>
      </w:r>
    </w:p>
    <w:p w14:paraId="1F75869F"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Institut interaméricain de l’enfance et de l’adolescence (IIN)</w:t>
      </w:r>
    </w:p>
    <w:p w14:paraId="7ABA3E27"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Institut interaméricain des droits de l'homme (IIDH)</w:t>
      </w:r>
    </w:p>
    <w:p w14:paraId="55EF4771"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57949BD5"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sz w:val="22"/>
          <w:szCs w:val="22"/>
          <w:lang w:val="fr-FR"/>
        </w:rPr>
      </w:pPr>
      <w:r w:rsidRPr="00EE292B">
        <w:rPr>
          <w:sz w:val="22"/>
          <w:szCs w:val="22"/>
          <w:lang w:val="fr-FR"/>
        </w:rPr>
        <w:t>d</w:t>
      </w:r>
      <w:r w:rsidR="00BE3129" w:rsidRPr="00EE292B">
        <w:rPr>
          <w:sz w:val="22"/>
          <w:szCs w:val="22"/>
          <w:lang w:val="fr-FR"/>
        </w:rPr>
        <w:t>)</w:t>
      </w:r>
      <w:r w:rsidRPr="00EE292B">
        <w:rPr>
          <w:sz w:val="22"/>
          <w:szCs w:val="22"/>
          <w:lang w:val="fr-FR"/>
        </w:rPr>
        <w:tab/>
        <w:t>ORGANES ET ORGANISMES GOUVERNEMENTAUX SOUS-RÉGIONAUX ET INTERAMÉRICAINS</w:t>
      </w:r>
    </w:p>
    <w:p w14:paraId="7B2B15CA"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3EEFD74D" w14:textId="77777777" w:rsidR="009D7528" w:rsidRPr="00EE292B" w:rsidRDefault="009D7528"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Communauté andine (CAN)</w:t>
      </w:r>
    </w:p>
    <w:p w14:paraId="122374A0" w14:textId="77777777" w:rsidR="009D7528" w:rsidRPr="00EE292B" w:rsidRDefault="009D7528"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Communauté des Caraïbes (CARICOM)</w:t>
      </w:r>
    </w:p>
    <w:p w14:paraId="753DD4D2" w14:textId="77777777" w:rsidR="009D7528" w:rsidRPr="00EE292B" w:rsidRDefault="009D7528"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Marché commun du Cône Sud (MERCOSUR)</w:t>
      </w:r>
    </w:p>
    <w:p w14:paraId="601A6D0E" w14:textId="77777777" w:rsidR="009D7528" w:rsidRPr="00EE292B" w:rsidRDefault="009D7528"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Parlement centraméricain (PARLACEN)</w:t>
      </w:r>
    </w:p>
    <w:p w14:paraId="70D69A29" w14:textId="77777777" w:rsidR="009D7528" w:rsidRPr="00EE292B" w:rsidRDefault="009D7528"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Système d’intégration centraméricaine (SICA)</w:t>
      </w:r>
    </w:p>
    <w:p w14:paraId="73E4FC32" w14:textId="77777777" w:rsidR="009D7528" w:rsidRPr="00EE292B" w:rsidRDefault="009D7528"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Cour de justice centraméricaine</w:t>
      </w:r>
    </w:p>
    <w:p w14:paraId="32ABFA2F" w14:textId="77777777" w:rsidR="009D7528" w:rsidRPr="00EE292B" w:rsidRDefault="009D7528"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Banque de développement des Caraïbes (BDC)</w:t>
      </w:r>
    </w:p>
    <w:p w14:paraId="0AA9A5D5" w14:textId="77777777" w:rsidR="009D7528" w:rsidRPr="00EE292B" w:rsidRDefault="009D7528"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Banque centraméricaine d'intégration économique (BCIE)</w:t>
      </w:r>
    </w:p>
    <w:p w14:paraId="294B9E2B" w14:textId="77777777" w:rsidR="009D7528" w:rsidRPr="00EE292B" w:rsidRDefault="009D7528"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Banque de développement d’Amérique latine (CAF)</w:t>
      </w:r>
    </w:p>
    <w:p w14:paraId="54FF9D87" w14:textId="77777777" w:rsidR="009D7528" w:rsidRPr="00EE292B" w:rsidRDefault="009D7528"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Union des nations sud-américaines (UNASUR)</w:t>
      </w:r>
    </w:p>
    <w:p w14:paraId="6D4B2FF0" w14:textId="77777777" w:rsidR="009D7528" w:rsidRPr="00EE292B" w:rsidRDefault="009D7528"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Alliance du Pacifique</w:t>
      </w:r>
    </w:p>
    <w:p w14:paraId="787AF99A" w14:textId="77777777" w:rsidR="009D7528" w:rsidRPr="00EE292B" w:rsidRDefault="009D7528"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EE292B">
        <w:rPr>
          <w:sz w:val="22"/>
          <w:szCs w:val="22"/>
          <w:lang w:val="fr-FR"/>
        </w:rPr>
        <w:t>Système de sécurité régionale (RSS) des Caraïbes orientales</w:t>
      </w:r>
    </w:p>
    <w:p w14:paraId="20C68D0C" w14:textId="77777777" w:rsidR="00B25DEC" w:rsidRPr="00B25DEC" w:rsidRDefault="00B25DEC" w:rsidP="00B25DEC">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0" w:firstLine="720"/>
        <w:rPr>
          <w:sz w:val="22"/>
          <w:szCs w:val="22"/>
          <w:lang w:val="fr-FR"/>
        </w:rPr>
      </w:pPr>
      <w:r w:rsidRPr="00B25DEC">
        <w:rPr>
          <w:sz w:val="22"/>
          <w:szCs w:val="22"/>
          <w:lang w:val="fr-FR"/>
        </w:rPr>
        <w:t>Forum pour le progrès et le développement de l'Amérique du Sud (PROSUR)</w:t>
      </w:r>
    </w:p>
    <w:p w14:paraId="7C1DC1D3" w14:textId="77777777" w:rsidR="00B25DEC" w:rsidRPr="00EE292B" w:rsidRDefault="00B25DEC"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1CA1ABE6"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sz w:val="22"/>
          <w:szCs w:val="22"/>
          <w:lang w:val="fr-FR"/>
        </w:rPr>
      </w:pPr>
      <w:r w:rsidRPr="00EE292B">
        <w:rPr>
          <w:sz w:val="22"/>
          <w:szCs w:val="22"/>
          <w:lang w:val="fr-FR"/>
        </w:rPr>
        <w:t>e</w:t>
      </w:r>
      <w:r w:rsidR="00BE3129" w:rsidRPr="00EE292B">
        <w:rPr>
          <w:sz w:val="22"/>
          <w:szCs w:val="22"/>
          <w:lang w:val="fr-FR"/>
        </w:rPr>
        <w:t>)</w:t>
      </w:r>
      <w:r w:rsidRPr="00EE292B">
        <w:rPr>
          <w:sz w:val="22"/>
          <w:szCs w:val="22"/>
          <w:lang w:val="fr-FR"/>
        </w:rPr>
        <w:tab/>
        <w:t>NATIONS UNIES, INSTITUTIONS SPÉCIALISÉES DU SYSTÈME DES NATIONS UNIES ET AUTRES ORGANISATIONS INTERNATIONALES</w:t>
      </w:r>
    </w:p>
    <w:p w14:paraId="014C4DEE"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67565FDA"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 xml:space="preserve">Haut-Commissariat des Nations Unies aux droits de l'homme (HCDH) </w:t>
      </w:r>
    </w:p>
    <w:p w14:paraId="77A81778"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Fonds des Nations Unies pour l'enfance (UNICEF)</w:t>
      </w:r>
    </w:p>
    <w:p w14:paraId="069943C5"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Office des Nations Unies contre la drogue et le crime (UNODC)</w:t>
      </w:r>
    </w:p>
    <w:p w14:paraId="40C982B5"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lastRenderedPageBreak/>
        <w:t>Organisation internationale du Travail (OIT)</w:t>
      </w:r>
    </w:p>
    <w:p w14:paraId="0DA81EB1"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Organisation internationale pour les migrations (OIM)</w:t>
      </w:r>
    </w:p>
    <w:p w14:paraId="05AE23FA"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Bureau du Représentant spécial et coordonnateur de la lutte contre la traite des personnes, de l’Organisation pour la sécurité et la coopération en Europe (OSCE)</w:t>
      </w:r>
    </w:p>
    <w:p w14:paraId="04A6DFBA"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Haut-Commissariat des Nations Unies pour les réfugiés (HCR)</w:t>
      </w:r>
    </w:p>
    <w:p w14:paraId="10E19500"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Banque mondiale</w:t>
      </w:r>
    </w:p>
    <w:p w14:paraId="391DDDD8"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ONU-Femmes</w:t>
      </w:r>
    </w:p>
    <w:p w14:paraId="49D46DD3"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Fonds des Nations Unies pour la population (FNUAP)</w:t>
      </w:r>
    </w:p>
    <w:p w14:paraId="758626FE"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Groupe d'experts sur la lutte contre la traite des êtres humains (GRETA) (Conseil de l'Europe)</w:t>
      </w:r>
    </w:p>
    <w:p w14:paraId="3692DB54"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Organisation internationale de police criminelle (INTERPOL)</w:t>
      </w:r>
    </w:p>
    <w:p w14:paraId="3AF50580"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Organisation panaméricaine de la Santé (OPS)/Organisation mondiale de la Santé (OMS)</w:t>
      </w:r>
    </w:p>
    <w:p w14:paraId="64E0CD20"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Programme des Nations Unies pour le développement (PNUD)</w:t>
      </w:r>
    </w:p>
    <w:p w14:paraId="1F2A255C"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Comité international de la Croix-Rouge (CICR)</w:t>
      </w:r>
    </w:p>
    <w:p w14:paraId="2EE80101"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Institut interrégional de recherche des Nations unies sur la criminalité et la justice (UNICRI)</w:t>
      </w:r>
    </w:p>
    <w:p w14:paraId="157B6140"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Institut latinoaméricain des Nations Unies pour la prévention du délit et le traitement des délinquants</w:t>
      </w:r>
    </w:p>
    <w:p w14:paraId="394E9E94"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Commission économique pour l'Amérique latine et les Caraïbes (CEPALC)</w:t>
      </w:r>
    </w:p>
    <w:p w14:paraId="182674CD"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Institut des politiques publiques en droits de l'homme du MERCOSUR (IPPDH)</w:t>
      </w:r>
    </w:p>
    <w:p w14:paraId="165B9891"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Centre international pour l’élaboration de politiques de migration (ICMPD)</w:t>
      </w:r>
    </w:p>
    <w:p w14:paraId="52F8C013"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Centre international pour la prévention de la criminalité (ICPC)</w:t>
      </w:r>
    </w:p>
    <w:p w14:paraId="2BED8B18"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52FDEAAA"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sz w:val="22"/>
          <w:szCs w:val="22"/>
          <w:lang w:val="fr-FR"/>
        </w:rPr>
      </w:pPr>
      <w:r w:rsidRPr="00EE292B">
        <w:rPr>
          <w:sz w:val="22"/>
          <w:szCs w:val="22"/>
          <w:lang w:val="fr-FR"/>
        </w:rPr>
        <w:t>f</w:t>
      </w:r>
      <w:r w:rsidR="00BE3129" w:rsidRPr="00EE292B">
        <w:rPr>
          <w:sz w:val="22"/>
          <w:szCs w:val="22"/>
          <w:lang w:val="fr-FR"/>
        </w:rPr>
        <w:t>)</w:t>
      </w:r>
      <w:r w:rsidRPr="00EE292B">
        <w:rPr>
          <w:sz w:val="22"/>
          <w:szCs w:val="22"/>
          <w:lang w:val="fr-FR"/>
        </w:rPr>
        <w:tab/>
        <w:t xml:space="preserve">PROGRAMMES ET INSTITUTIONS FOURNISSANT UNE AIDE TECHNIQUE OU FINANCIÈRE SOUS LA RUBRIQUE DE LA TRAITE DES PERSONNES </w:t>
      </w:r>
    </w:p>
    <w:p w14:paraId="72205884"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5DF0BB35"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Banque interaméricaine de développement (BID)</w:t>
      </w:r>
    </w:p>
    <w:p w14:paraId="774AD8CF"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Commission européenne, Programme de coopération thématique avec les pays tiers dans les aspects de développement de la migration et de l'asile</w:t>
      </w:r>
      <w:r w:rsidRPr="00EE292B">
        <w:rPr>
          <w:rStyle w:val="FootnoteReference"/>
          <w:sz w:val="22"/>
          <w:szCs w:val="22"/>
          <w:u w:val="single"/>
          <w:lang w:val="fr-FR"/>
        </w:rPr>
        <w:footnoteReference w:id="1"/>
      </w:r>
      <w:r w:rsidRPr="00EE292B">
        <w:rPr>
          <w:sz w:val="22"/>
          <w:szCs w:val="22"/>
          <w:vertAlign w:val="superscript"/>
          <w:lang w:val="fr-FR"/>
        </w:rPr>
        <w:t xml:space="preserve">/ </w:t>
      </w:r>
      <w:r w:rsidRPr="00EE292B">
        <w:rPr>
          <w:sz w:val="22"/>
          <w:szCs w:val="22"/>
          <w:lang w:val="fr-FR"/>
        </w:rPr>
        <w:t>ou d'autres programmes fournissant une aide technique ou financière applicable à la traite des personnes</w:t>
      </w:r>
    </w:p>
    <w:p w14:paraId="0D6C875F"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Fondation Ricky Martin</w:t>
      </w:r>
    </w:p>
    <w:p w14:paraId="1791F8E4"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56061134"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r w:rsidRPr="00EE292B">
        <w:rPr>
          <w:sz w:val="22"/>
          <w:szCs w:val="22"/>
          <w:lang w:val="fr-FR"/>
        </w:rPr>
        <w:t>g</w:t>
      </w:r>
      <w:r w:rsidR="00BE3129" w:rsidRPr="00EE292B">
        <w:rPr>
          <w:sz w:val="22"/>
          <w:szCs w:val="22"/>
          <w:lang w:val="fr-FR"/>
        </w:rPr>
        <w:t>)</w:t>
      </w:r>
      <w:r w:rsidRPr="00EE292B">
        <w:rPr>
          <w:sz w:val="22"/>
          <w:szCs w:val="22"/>
          <w:lang w:val="fr-FR"/>
        </w:rPr>
        <w:tab/>
        <w:t>INVITÉS SPÉCIAUX</w:t>
      </w:r>
    </w:p>
    <w:p w14:paraId="41CED194" w14:textId="77777777" w:rsidR="0064170F" w:rsidRPr="00EE292B" w:rsidRDefault="0064170F" w:rsidP="00EE292B">
      <w:pPr>
        <w:rPr>
          <w:sz w:val="22"/>
          <w:szCs w:val="22"/>
          <w:lang w:val="fr-FR"/>
        </w:rPr>
      </w:pPr>
    </w:p>
    <w:p w14:paraId="364B04DD" w14:textId="77777777" w:rsidR="0064170F" w:rsidRPr="00EE292B" w:rsidRDefault="0064170F" w:rsidP="00EE292B">
      <w:pPr>
        <w:pStyle w:val="EndnoteText"/>
        <w:widowControl/>
        <w:numPr>
          <w:ilvl w:val="0"/>
          <w:numId w:val="9"/>
        </w:numPr>
        <w:tabs>
          <w:tab w:val="clear" w:pos="720"/>
          <w:tab w:val="clear" w:pos="1305"/>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Processus régionaux de consultation sur les migrations</w:t>
      </w:r>
    </w:p>
    <w:p w14:paraId="770673EA" w14:textId="77777777" w:rsidR="0064170F" w:rsidRPr="00EE292B" w:rsidRDefault="0064170F" w:rsidP="00EE292B">
      <w:pPr>
        <w:pStyle w:val="EndnoteText"/>
        <w:widowControl/>
        <w:numPr>
          <w:ilvl w:val="1"/>
          <w:numId w:val="10"/>
        </w:numPr>
        <w:tabs>
          <w:tab w:val="clear" w:pos="720"/>
          <w:tab w:val="clear" w:pos="1457"/>
          <w:tab w:val="clear" w:pos="2160"/>
          <w:tab w:val="clear" w:pos="2880"/>
          <w:tab w:val="clear" w:pos="3600"/>
          <w:tab w:val="clear" w:pos="4320"/>
          <w:tab w:val="clear" w:pos="5760"/>
          <w:tab w:val="clear" w:pos="6480"/>
          <w:tab w:val="clear" w:pos="7200"/>
          <w:tab w:val="clear" w:pos="7920"/>
          <w:tab w:val="left" w:pos="1440"/>
        </w:tabs>
        <w:ind w:left="1440" w:hanging="720"/>
        <w:rPr>
          <w:sz w:val="22"/>
          <w:szCs w:val="22"/>
          <w:lang w:val="fr-FR"/>
        </w:rPr>
      </w:pPr>
      <w:r w:rsidRPr="00EE292B">
        <w:rPr>
          <w:sz w:val="22"/>
          <w:szCs w:val="22"/>
          <w:lang w:val="fr-FR"/>
        </w:rPr>
        <w:t>Conférence régionale sur la migration (Processus de Puebla) (RCM), en particulier le Réseau des responsables de liaison pour la lutte contre le trafic illicite des migrants et la traite des personnes</w:t>
      </w:r>
    </w:p>
    <w:p w14:paraId="4D99CBD9" w14:textId="77777777" w:rsidR="0064170F" w:rsidRPr="00EE292B" w:rsidRDefault="0064170F" w:rsidP="00EE292B">
      <w:pPr>
        <w:pStyle w:val="EndnoteText"/>
        <w:widowControl/>
        <w:numPr>
          <w:ilvl w:val="1"/>
          <w:numId w:val="10"/>
        </w:numPr>
        <w:tabs>
          <w:tab w:val="clear" w:pos="720"/>
          <w:tab w:val="clear" w:pos="1457"/>
          <w:tab w:val="clear" w:pos="2160"/>
          <w:tab w:val="clear" w:pos="2880"/>
          <w:tab w:val="clear" w:pos="3600"/>
          <w:tab w:val="clear" w:pos="4320"/>
          <w:tab w:val="clear" w:pos="5760"/>
          <w:tab w:val="clear" w:pos="6480"/>
          <w:tab w:val="clear" w:pos="7200"/>
          <w:tab w:val="clear" w:pos="7920"/>
          <w:tab w:val="left" w:pos="1440"/>
        </w:tabs>
        <w:ind w:left="1440" w:hanging="720"/>
        <w:rPr>
          <w:sz w:val="22"/>
          <w:szCs w:val="22"/>
          <w:lang w:val="fr-FR"/>
        </w:rPr>
      </w:pPr>
      <w:r w:rsidRPr="00EE292B">
        <w:rPr>
          <w:sz w:val="22"/>
          <w:szCs w:val="22"/>
          <w:lang w:val="fr-FR"/>
        </w:rPr>
        <w:t>Conférence sud-américaine sur la migration (OIM)</w:t>
      </w:r>
    </w:p>
    <w:p w14:paraId="202E16C8" w14:textId="77777777" w:rsidR="0064170F" w:rsidRPr="00EE292B" w:rsidRDefault="0064170F" w:rsidP="00EE292B">
      <w:pPr>
        <w:pStyle w:val="EndnoteText"/>
        <w:widowControl/>
        <w:numPr>
          <w:ilvl w:val="1"/>
          <w:numId w:val="10"/>
        </w:numPr>
        <w:tabs>
          <w:tab w:val="clear" w:pos="720"/>
          <w:tab w:val="clear" w:pos="1457"/>
          <w:tab w:val="clear" w:pos="2160"/>
          <w:tab w:val="clear" w:pos="2880"/>
          <w:tab w:val="clear" w:pos="3600"/>
          <w:tab w:val="clear" w:pos="4320"/>
          <w:tab w:val="clear" w:pos="5760"/>
          <w:tab w:val="clear" w:pos="6480"/>
          <w:tab w:val="clear" w:pos="7200"/>
          <w:tab w:val="clear" w:pos="7920"/>
          <w:tab w:val="left" w:pos="1440"/>
        </w:tabs>
        <w:ind w:left="1440" w:hanging="720"/>
        <w:rPr>
          <w:sz w:val="22"/>
          <w:szCs w:val="22"/>
          <w:lang w:val="fr-FR"/>
        </w:rPr>
      </w:pPr>
      <w:r w:rsidRPr="00EE292B">
        <w:rPr>
          <w:sz w:val="22"/>
          <w:szCs w:val="22"/>
          <w:lang w:val="fr-FR"/>
        </w:rPr>
        <w:t>Forum ibéro-américain sur les migrations et le développement (FIBEMYD)</w:t>
      </w:r>
    </w:p>
    <w:p w14:paraId="232CAD0E"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03F7C6FC" w14:textId="77777777" w:rsidR="0064170F" w:rsidRPr="00EE292B" w:rsidRDefault="0064170F" w:rsidP="00EE292B">
      <w:pPr>
        <w:pStyle w:val="EndnoteText"/>
        <w:widowControl/>
        <w:numPr>
          <w:ilvl w:val="0"/>
          <w:numId w:val="9"/>
        </w:numPr>
        <w:tabs>
          <w:tab w:val="clear" w:pos="720"/>
          <w:tab w:val="clear" w:pos="1305"/>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t>Secrétariat général ibéro-américain (SEGIB)</w:t>
      </w:r>
    </w:p>
    <w:p w14:paraId="53995D4E"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p>
    <w:p w14:paraId="3D9D562C" w14:textId="77777777" w:rsidR="0064170F" w:rsidRPr="00EE292B" w:rsidRDefault="0064170F" w:rsidP="00EE292B">
      <w:pPr>
        <w:pStyle w:val="EndnoteText"/>
        <w:widowControl/>
        <w:numPr>
          <w:ilvl w:val="1"/>
          <w:numId w:val="10"/>
        </w:numPr>
        <w:tabs>
          <w:tab w:val="clear" w:pos="720"/>
          <w:tab w:val="clear" w:pos="1457"/>
          <w:tab w:val="clear" w:pos="2160"/>
          <w:tab w:val="clear" w:pos="2880"/>
          <w:tab w:val="clear" w:pos="3600"/>
          <w:tab w:val="clear" w:pos="4320"/>
          <w:tab w:val="clear" w:pos="5760"/>
          <w:tab w:val="clear" w:pos="6480"/>
          <w:tab w:val="clear" w:pos="7200"/>
          <w:tab w:val="clear" w:pos="7920"/>
        </w:tabs>
        <w:ind w:left="1440" w:hanging="720"/>
        <w:rPr>
          <w:sz w:val="22"/>
          <w:szCs w:val="22"/>
          <w:lang w:val="fr-FR"/>
        </w:rPr>
      </w:pPr>
      <w:r w:rsidRPr="00EE292B">
        <w:rPr>
          <w:sz w:val="22"/>
          <w:szCs w:val="22"/>
          <w:lang w:val="fr-FR"/>
        </w:rPr>
        <w:lastRenderedPageBreak/>
        <w:t>Secrétaire général de la Conférence ibéro-américaine des ministres de la justice (COMJIB)</w:t>
      </w:r>
    </w:p>
    <w:p w14:paraId="57FFB1D8"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07569FD6" w14:textId="77777777" w:rsidR="0064170F" w:rsidRPr="00EE292B" w:rsidRDefault="0064170F" w:rsidP="00EE292B">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vertAlign w:val="superscript"/>
          <w:lang w:val="fr-FR"/>
        </w:rPr>
      </w:pPr>
      <w:r w:rsidRPr="00EE292B">
        <w:rPr>
          <w:sz w:val="22"/>
          <w:szCs w:val="22"/>
          <w:lang w:val="fr-FR"/>
        </w:rPr>
        <w:t>h</w:t>
      </w:r>
      <w:r w:rsidR="00BE3129" w:rsidRPr="00EE292B">
        <w:rPr>
          <w:sz w:val="22"/>
          <w:szCs w:val="22"/>
          <w:lang w:val="fr-FR"/>
        </w:rPr>
        <w:t>)</w:t>
      </w:r>
      <w:r w:rsidRPr="00EE292B">
        <w:rPr>
          <w:sz w:val="22"/>
          <w:szCs w:val="22"/>
          <w:lang w:val="fr-FR"/>
        </w:rPr>
        <w:tab/>
        <w:t>ORGANISATIONS DE LA SOCIÉTÉ CIVILE</w:t>
      </w:r>
      <w:r w:rsidRPr="00EE292B">
        <w:rPr>
          <w:rStyle w:val="FootnoteReference"/>
          <w:sz w:val="22"/>
          <w:szCs w:val="22"/>
          <w:u w:val="single"/>
          <w:lang w:val="fr-FR"/>
        </w:rPr>
        <w:footnoteReference w:id="2"/>
      </w:r>
      <w:r w:rsidRPr="00EE292B">
        <w:rPr>
          <w:sz w:val="22"/>
          <w:szCs w:val="22"/>
          <w:vertAlign w:val="superscript"/>
          <w:lang w:val="fr-FR"/>
        </w:rPr>
        <w:t>/</w:t>
      </w:r>
    </w:p>
    <w:p w14:paraId="213E8B98" w14:textId="304D3CF3" w:rsidR="0064170F" w:rsidRPr="000F4DD8" w:rsidRDefault="0064170F" w:rsidP="00DA4CA6">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lang w:val="fr-FR"/>
        </w:rPr>
      </w:pPr>
    </w:p>
    <w:p w14:paraId="777DF831" w14:textId="1E280E3F" w:rsidR="004C4E6D" w:rsidRPr="000F4DD8" w:rsidRDefault="009B7ED5" w:rsidP="00DA4CA6">
      <w:pPr>
        <w:rPr>
          <w:sz w:val="22"/>
          <w:szCs w:val="22"/>
          <w:lang w:val="fr-FR"/>
        </w:rPr>
      </w:pPr>
      <w:r>
        <w:rPr>
          <w:noProof/>
          <w:sz w:val="22"/>
          <w:szCs w:val="22"/>
          <w:lang w:val="fr-FR"/>
        </w:rPr>
        <w:pict w14:anchorId="01B743CF">
          <v:shapetype id="_x0000_t202" coordsize="21600,21600" o:spt="202" path="m,l,21600r21600,l21600,xe">
            <v:stroke joinstyle="miter"/>
            <v:path gradientshapeok="t" o:connecttype="rect"/>
          </v:shapetype>
          <v:shape id="_x0000_s1028" type="#_x0000_t202" style="position:absolute;margin-left:-7.2pt;margin-top:10in;width:266.4pt;height:18pt;z-index:251658240;mso-wrap-style:tight;mso-wrap-distance-left:9.35pt;mso-wrap-distance-right:9.35pt;mso-position-horizontal:absolute;mso-position-vertical:absolute;mso-position-vertical-relative:page" filled="f" stroked="f">
            <v:textbox>
              <w:txbxContent>
                <w:p w14:paraId="6EB10329" w14:textId="01140CA2" w:rsidR="009B7ED5" w:rsidRPr="009B7ED5" w:rsidRDefault="009B7ED5">
                  <w:pPr>
                    <w:rPr>
                      <w:sz w:val="18"/>
                    </w:rPr>
                  </w:pPr>
                  <w:r>
                    <w:rPr>
                      <w:sz w:val="18"/>
                    </w:rPr>
                    <w:fldChar w:fldCharType="begin"/>
                  </w:r>
                  <w:r>
                    <w:rPr>
                      <w:sz w:val="18"/>
                    </w:rPr>
                    <w:instrText xml:space="preserve"> FILENAME  \* MERGEFORMAT </w:instrText>
                  </w:r>
                  <w:r>
                    <w:rPr>
                      <w:sz w:val="18"/>
                    </w:rPr>
                    <w:fldChar w:fldCharType="separate"/>
                  </w:r>
                  <w:r>
                    <w:rPr>
                      <w:noProof/>
                      <w:sz w:val="18"/>
                    </w:rPr>
                    <w:t>CP44156F01</w:t>
                  </w:r>
                  <w:r>
                    <w:rPr>
                      <w:sz w:val="18"/>
                    </w:rPr>
                    <w:fldChar w:fldCharType="end"/>
                  </w:r>
                </w:p>
              </w:txbxContent>
            </v:textbox>
            <w10:wrap anchory="page"/>
            <w10:anchorlock/>
          </v:shape>
        </w:pict>
      </w:r>
    </w:p>
    <w:sectPr w:rsidR="004C4E6D" w:rsidRPr="000F4DD8" w:rsidSect="00EE292B">
      <w:headerReference w:type="even" r:id="rId8"/>
      <w:headerReference w:type="default" r:id="rId9"/>
      <w:footerReference w:type="even" r:id="rId10"/>
      <w:footerReference w:type="default" r:id="rId11"/>
      <w:headerReference w:type="first" r:id="rId12"/>
      <w:footerReference w:type="first" r:id="rId13"/>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9639" w14:textId="77777777" w:rsidR="00693360" w:rsidRDefault="00693360">
      <w:r>
        <w:separator/>
      </w:r>
    </w:p>
  </w:endnote>
  <w:endnote w:type="continuationSeparator" w:id="0">
    <w:p w14:paraId="3C4F43D1" w14:textId="77777777" w:rsidR="00693360" w:rsidRDefault="0069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383A" w14:textId="77777777" w:rsidR="001A78F8" w:rsidRDefault="007F214D" w:rsidP="002C4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ED904" w14:textId="77777777" w:rsidR="001A78F8" w:rsidRDefault="001A78F8" w:rsidP="002C41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2140" w14:textId="77777777" w:rsidR="001A78F8" w:rsidRPr="00A63F5E" w:rsidRDefault="001A78F8" w:rsidP="00123990">
    <w:pPr>
      <w:pStyle w:val="Footer"/>
      <w:tabs>
        <w:tab w:val="clear" w:pos="4320"/>
        <w:tab w:val="clear" w:pos="8640"/>
      </w:tabs>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4769" w14:textId="77777777" w:rsidR="001A78F8" w:rsidRPr="00123990" w:rsidRDefault="001A78F8" w:rsidP="00123990">
    <w:pPr>
      <w:pStyle w:val="Footer"/>
      <w:tabs>
        <w:tab w:val="clear" w:pos="4320"/>
        <w:tab w:val="clear" w:pos="864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BDF8" w14:textId="77777777" w:rsidR="00693360" w:rsidRDefault="00693360">
      <w:r>
        <w:separator/>
      </w:r>
    </w:p>
  </w:footnote>
  <w:footnote w:type="continuationSeparator" w:id="0">
    <w:p w14:paraId="74DFC76B" w14:textId="77777777" w:rsidR="00693360" w:rsidRDefault="00693360">
      <w:r>
        <w:continuationSeparator/>
      </w:r>
    </w:p>
  </w:footnote>
  <w:footnote w:id="1">
    <w:p w14:paraId="1E415155" w14:textId="77777777" w:rsidR="0064170F" w:rsidRPr="009D7528" w:rsidRDefault="0064170F" w:rsidP="0064170F">
      <w:pPr>
        <w:pStyle w:val="FootnoteText"/>
        <w:ind w:left="720" w:hanging="360"/>
        <w:jc w:val="both"/>
        <w:rPr>
          <w:lang w:val="fr-FR"/>
        </w:rPr>
      </w:pPr>
      <w:r w:rsidRPr="00DA4CA6">
        <w:rPr>
          <w:rStyle w:val="FootnoteReference"/>
          <w:vertAlign w:val="baseline"/>
          <w:lang w:val="fr-FR"/>
        </w:rPr>
        <w:footnoteRef/>
      </w:r>
      <w:r w:rsidRPr="00DA4CA6">
        <w:rPr>
          <w:lang w:val="fr-FR"/>
        </w:rPr>
        <w:t>.</w:t>
      </w:r>
      <w:r w:rsidRPr="009D7528">
        <w:rPr>
          <w:lang w:val="fr-FR"/>
        </w:rPr>
        <w:tab/>
        <w:t>Ce programme remplace le “Programme d'assistance technique et financière en faveur de pays tiers dans le domaine des migrations et de l'asile” (AENEAS).</w:t>
      </w:r>
    </w:p>
  </w:footnote>
  <w:footnote w:id="2">
    <w:p w14:paraId="4AD9F1F6" w14:textId="77777777" w:rsidR="0064170F" w:rsidRPr="009D7528" w:rsidRDefault="0064170F" w:rsidP="0064170F">
      <w:pPr>
        <w:pStyle w:val="FootnoteText"/>
        <w:ind w:left="720" w:hanging="360"/>
        <w:jc w:val="both"/>
        <w:rPr>
          <w:lang w:val="fr-FR"/>
        </w:rPr>
      </w:pPr>
      <w:r w:rsidRPr="00DA4CA6">
        <w:rPr>
          <w:rStyle w:val="FootnoteReference"/>
          <w:vertAlign w:val="baseline"/>
          <w:lang w:val="fr-FR"/>
        </w:rPr>
        <w:footnoteRef/>
      </w:r>
      <w:r w:rsidRPr="00DA4CA6">
        <w:rPr>
          <w:lang w:val="fr-FR"/>
        </w:rPr>
        <w:t>.</w:t>
      </w:r>
      <w:r w:rsidRPr="009D7528">
        <w:rPr>
          <w:sz w:val="22"/>
          <w:lang w:val="fr-FR"/>
        </w:rPr>
        <w:tab/>
      </w:r>
      <w:r w:rsidRPr="009D7528">
        <w:rPr>
          <w:lang w:val="fr-FR"/>
        </w:rPr>
        <w:t>Les organisations de la société civile ont été convoquées, conformément aux dispositions de la résolution CP/RES. 759 (1217/99), "Directives pour la participation des institutions de la société civile aux activités de l'Organisation des États Américains".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9C97" w14:textId="77777777" w:rsidR="001A78F8" w:rsidRDefault="007F214D" w:rsidP="002C41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4441BF" w14:textId="77777777" w:rsidR="001A78F8" w:rsidRDefault="001A7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AB29" w14:textId="77777777" w:rsidR="001A78F8" w:rsidRPr="00A63F5E" w:rsidRDefault="007F214D" w:rsidP="00123990">
    <w:pPr>
      <w:pStyle w:val="Head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93C1D">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4136" w14:textId="77777777" w:rsidR="00D348D2" w:rsidRDefault="00D348D2">
    <w:pPr>
      <w:pStyle w:val="Header"/>
      <w:jc w:val="center"/>
    </w:pPr>
  </w:p>
  <w:p w14:paraId="0A6AA311" w14:textId="77777777" w:rsidR="001A78F8" w:rsidRPr="0080557B" w:rsidRDefault="001A78F8" w:rsidP="0012399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AD7"/>
    <w:multiLevelType w:val="hybridMultilevel"/>
    <w:tmpl w:val="F4F899B2"/>
    <w:lvl w:ilvl="0" w:tplc="FFFFFFFF">
      <w:start w:val="1"/>
      <w:numFmt w:val="bullet"/>
      <w:lvlText w:val="o"/>
      <w:lvlJc w:val="left"/>
      <w:pPr>
        <w:ind w:left="2220" w:hanging="360"/>
      </w:pPr>
      <w:rPr>
        <w:rFonts w:ascii="Courier New" w:hAnsi="Courier New" w:hint="default"/>
      </w:rPr>
    </w:lvl>
    <w:lvl w:ilvl="1" w:tplc="0409000B">
      <w:start w:val="1"/>
      <w:numFmt w:val="bullet"/>
      <w:lvlText w:val=""/>
      <w:lvlJc w:val="left"/>
      <w:pPr>
        <w:ind w:left="2940" w:hanging="360"/>
      </w:pPr>
      <w:rPr>
        <w:rFonts w:ascii="Wingdings" w:hAnsi="Wingdings" w:hint="default"/>
      </w:rPr>
    </w:lvl>
    <w:lvl w:ilvl="2" w:tplc="FFFFFFFF" w:tentative="1">
      <w:start w:val="1"/>
      <w:numFmt w:val="bullet"/>
      <w:lvlText w:val=""/>
      <w:lvlJc w:val="left"/>
      <w:pPr>
        <w:ind w:left="3660" w:hanging="360"/>
      </w:pPr>
      <w:rPr>
        <w:rFonts w:ascii="Wingdings" w:hAnsi="Wingdings" w:hint="default"/>
      </w:rPr>
    </w:lvl>
    <w:lvl w:ilvl="3" w:tplc="FFFFFFFF" w:tentative="1">
      <w:start w:val="1"/>
      <w:numFmt w:val="bullet"/>
      <w:lvlText w:val=""/>
      <w:lvlJc w:val="left"/>
      <w:pPr>
        <w:ind w:left="4380" w:hanging="360"/>
      </w:pPr>
      <w:rPr>
        <w:rFonts w:ascii="Symbol" w:hAnsi="Symbol" w:hint="default"/>
      </w:rPr>
    </w:lvl>
    <w:lvl w:ilvl="4" w:tplc="FFFFFFFF" w:tentative="1">
      <w:start w:val="1"/>
      <w:numFmt w:val="bullet"/>
      <w:lvlText w:val="o"/>
      <w:lvlJc w:val="left"/>
      <w:pPr>
        <w:ind w:left="5100" w:hanging="360"/>
      </w:pPr>
      <w:rPr>
        <w:rFonts w:ascii="Courier New" w:hAnsi="Courier New" w:hint="default"/>
      </w:rPr>
    </w:lvl>
    <w:lvl w:ilvl="5" w:tplc="FFFFFFFF" w:tentative="1">
      <w:start w:val="1"/>
      <w:numFmt w:val="bullet"/>
      <w:lvlText w:val=""/>
      <w:lvlJc w:val="left"/>
      <w:pPr>
        <w:ind w:left="5820" w:hanging="360"/>
      </w:pPr>
      <w:rPr>
        <w:rFonts w:ascii="Wingdings" w:hAnsi="Wingdings" w:hint="default"/>
      </w:rPr>
    </w:lvl>
    <w:lvl w:ilvl="6" w:tplc="FFFFFFFF" w:tentative="1">
      <w:start w:val="1"/>
      <w:numFmt w:val="bullet"/>
      <w:lvlText w:val=""/>
      <w:lvlJc w:val="left"/>
      <w:pPr>
        <w:ind w:left="6540" w:hanging="360"/>
      </w:pPr>
      <w:rPr>
        <w:rFonts w:ascii="Symbol" w:hAnsi="Symbol" w:hint="default"/>
      </w:rPr>
    </w:lvl>
    <w:lvl w:ilvl="7" w:tplc="FFFFFFFF" w:tentative="1">
      <w:start w:val="1"/>
      <w:numFmt w:val="bullet"/>
      <w:lvlText w:val="o"/>
      <w:lvlJc w:val="left"/>
      <w:pPr>
        <w:ind w:left="7260" w:hanging="360"/>
      </w:pPr>
      <w:rPr>
        <w:rFonts w:ascii="Courier New" w:hAnsi="Courier New" w:hint="default"/>
      </w:rPr>
    </w:lvl>
    <w:lvl w:ilvl="8" w:tplc="FFFFFFFF" w:tentative="1">
      <w:start w:val="1"/>
      <w:numFmt w:val="bullet"/>
      <w:lvlText w:val=""/>
      <w:lvlJc w:val="left"/>
      <w:pPr>
        <w:ind w:left="7980" w:hanging="360"/>
      </w:pPr>
      <w:rPr>
        <w:rFonts w:ascii="Wingdings" w:hAnsi="Wingdings" w:hint="default"/>
      </w:rPr>
    </w:lvl>
  </w:abstractNum>
  <w:abstractNum w:abstractNumId="1" w15:restartNumberingAfterBreak="0">
    <w:nsid w:val="08000861"/>
    <w:multiLevelType w:val="hybridMultilevel"/>
    <w:tmpl w:val="4CAAA6A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4F7615"/>
    <w:multiLevelType w:val="hybridMultilevel"/>
    <w:tmpl w:val="BE705936"/>
    <w:lvl w:ilvl="0" w:tplc="FFFFFFFF">
      <w:numFmt w:val="bullet"/>
      <w:lvlText w:val="•"/>
      <w:lvlJc w:val="left"/>
      <w:pPr>
        <w:tabs>
          <w:tab w:val="num" w:pos="1004"/>
        </w:tabs>
        <w:ind w:left="1004" w:hanging="284"/>
      </w:pPr>
      <w:rPr>
        <w:rFonts w:hint="default"/>
        <w:sz w:val="22"/>
      </w:rPr>
    </w:lvl>
    <w:lvl w:ilvl="1" w:tplc="FFFFFFFF">
      <w:start w:val="1"/>
      <w:numFmt w:val="bullet"/>
      <w:lvlText w:val="o"/>
      <w:lvlJc w:val="left"/>
      <w:pPr>
        <w:tabs>
          <w:tab w:val="num" w:pos="1457"/>
        </w:tabs>
        <w:ind w:left="1457" w:hanging="284"/>
      </w:pPr>
      <w:rPr>
        <w:rFonts w:ascii="Courier New" w:hAnsi="Courier New" w:hint="default"/>
        <w:sz w:val="22"/>
      </w:rPr>
    </w:lvl>
    <w:lvl w:ilvl="2" w:tplc="FFFFFFFF">
      <w:start w:val="1"/>
      <w:numFmt w:val="bullet"/>
      <w:lvlText w:val=""/>
      <w:lvlJc w:val="left"/>
      <w:pPr>
        <w:tabs>
          <w:tab w:val="num" w:pos="2143"/>
        </w:tabs>
        <w:ind w:left="2143" w:hanging="360"/>
      </w:pPr>
      <w:rPr>
        <w:rFonts w:ascii="Wingdings" w:hAnsi="Wingdings" w:hint="default"/>
      </w:rPr>
    </w:lvl>
    <w:lvl w:ilvl="3" w:tplc="FFFFFFFF" w:tentative="1">
      <w:start w:val="1"/>
      <w:numFmt w:val="bullet"/>
      <w:lvlText w:val=""/>
      <w:lvlJc w:val="left"/>
      <w:pPr>
        <w:tabs>
          <w:tab w:val="num" w:pos="2863"/>
        </w:tabs>
        <w:ind w:left="2863" w:hanging="360"/>
      </w:pPr>
      <w:rPr>
        <w:rFonts w:ascii="Symbol" w:hAnsi="Symbol" w:hint="default"/>
      </w:rPr>
    </w:lvl>
    <w:lvl w:ilvl="4" w:tplc="FFFFFFFF" w:tentative="1">
      <w:start w:val="1"/>
      <w:numFmt w:val="bullet"/>
      <w:lvlText w:val="o"/>
      <w:lvlJc w:val="left"/>
      <w:pPr>
        <w:tabs>
          <w:tab w:val="num" w:pos="3583"/>
        </w:tabs>
        <w:ind w:left="3583" w:hanging="360"/>
      </w:pPr>
      <w:rPr>
        <w:rFonts w:ascii="Courier New" w:hAnsi="Courier New" w:hint="default"/>
      </w:rPr>
    </w:lvl>
    <w:lvl w:ilvl="5" w:tplc="FFFFFFFF" w:tentative="1">
      <w:start w:val="1"/>
      <w:numFmt w:val="bullet"/>
      <w:lvlText w:val=""/>
      <w:lvlJc w:val="left"/>
      <w:pPr>
        <w:tabs>
          <w:tab w:val="num" w:pos="4303"/>
        </w:tabs>
        <w:ind w:left="4303" w:hanging="360"/>
      </w:pPr>
      <w:rPr>
        <w:rFonts w:ascii="Wingdings" w:hAnsi="Wingdings" w:hint="default"/>
      </w:rPr>
    </w:lvl>
    <w:lvl w:ilvl="6" w:tplc="FFFFFFFF" w:tentative="1">
      <w:start w:val="1"/>
      <w:numFmt w:val="bullet"/>
      <w:lvlText w:val=""/>
      <w:lvlJc w:val="left"/>
      <w:pPr>
        <w:tabs>
          <w:tab w:val="num" w:pos="5023"/>
        </w:tabs>
        <w:ind w:left="5023" w:hanging="360"/>
      </w:pPr>
      <w:rPr>
        <w:rFonts w:ascii="Symbol" w:hAnsi="Symbol" w:hint="default"/>
      </w:rPr>
    </w:lvl>
    <w:lvl w:ilvl="7" w:tplc="FFFFFFFF" w:tentative="1">
      <w:start w:val="1"/>
      <w:numFmt w:val="bullet"/>
      <w:lvlText w:val="o"/>
      <w:lvlJc w:val="left"/>
      <w:pPr>
        <w:tabs>
          <w:tab w:val="num" w:pos="5743"/>
        </w:tabs>
        <w:ind w:left="5743" w:hanging="360"/>
      </w:pPr>
      <w:rPr>
        <w:rFonts w:ascii="Courier New" w:hAnsi="Courier New" w:hint="default"/>
      </w:rPr>
    </w:lvl>
    <w:lvl w:ilvl="8" w:tplc="FFFFFFFF" w:tentative="1">
      <w:start w:val="1"/>
      <w:numFmt w:val="bullet"/>
      <w:lvlText w:val=""/>
      <w:lvlJc w:val="left"/>
      <w:pPr>
        <w:tabs>
          <w:tab w:val="num" w:pos="6463"/>
        </w:tabs>
        <w:ind w:left="6463" w:hanging="360"/>
      </w:pPr>
      <w:rPr>
        <w:rFonts w:ascii="Wingdings" w:hAnsi="Wingdings" w:hint="default"/>
      </w:rPr>
    </w:lvl>
  </w:abstractNum>
  <w:abstractNum w:abstractNumId="3" w15:restartNumberingAfterBreak="0">
    <w:nsid w:val="158A0600"/>
    <w:multiLevelType w:val="hybridMultilevel"/>
    <w:tmpl w:val="E07EFA4E"/>
    <w:lvl w:ilvl="0" w:tplc="FFFFFFFF">
      <w:start w:val="7"/>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5CE3ABB"/>
    <w:multiLevelType w:val="hybridMultilevel"/>
    <w:tmpl w:val="CCF6ACCC"/>
    <w:lvl w:ilvl="0" w:tplc="FFFFFFFF">
      <w:start w:val="8"/>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6ED82982"/>
    <w:multiLevelType w:val="hybridMultilevel"/>
    <w:tmpl w:val="3FA88E7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091948"/>
    <w:multiLevelType w:val="hybridMultilevel"/>
    <w:tmpl w:val="1110F30A"/>
    <w:lvl w:ilvl="0" w:tplc="FFFFFFFF">
      <w:numFmt w:val="bullet"/>
      <w:lvlText w:val="•"/>
      <w:lvlJc w:val="left"/>
      <w:pPr>
        <w:tabs>
          <w:tab w:val="num" w:pos="1305"/>
        </w:tabs>
        <w:ind w:left="1305" w:hanging="284"/>
      </w:pPr>
      <w:rPr>
        <w:rFonts w:hint="default"/>
        <w:sz w:val="22"/>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7F757827"/>
    <w:multiLevelType w:val="hybridMultilevel"/>
    <w:tmpl w:val="9A1825A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6"/>
  </w:num>
  <w:num w:numId="2">
    <w:abstractNumId w:val="2"/>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C023FED-6976-4C12-AD68-94FB4216DFD9}"/>
    <w:docVar w:name="dgnword-eventsink" w:val="151851144"/>
  </w:docVars>
  <w:rsids>
    <w:rsidRoot w:val="0004458C"/>
    <w:rsid w:val="00001B0B"/>
    <w:rsid w:val="000444BD"/>
    <w:rsid w:val="0004458C"/>
    <w:rsid w:val="000503A7"/>
    <w:rsid w:val="000823A7"/>
    <w:rsid w:val="00091F11"/>
    <w:rsid w:val="000925AA"/>
    <w:rsid w:val="000949C6"/>
    <w:rsid w:val="000D0E39"/>
    <w:rsid w:val="000D4E51"/>
    <w:rsid w:val="000E50A9"/>
    <w:rsid w:val="000F4DD8"/>
    <w:rsid w:val="001123FA"/>
    <w:rsid w:val="00123990"/>
    <w:rsid w:val="0014182B"/>
    <w:rsid w:val="00166107"/>
    <w:rsid w:val="001842D2"/>
    <w:rsid w:val="001930DF"/>
    <w:rsid w:val="001A78F8"/>
    <w:rsid w:val="001D11F4"/>
    <w:rsid w:val="00273DF8"/>
    <w:rsid w:val="0027465F"/>
    <w:rsid w:val="002A4A6B"/>
    <w:rsid w:val="002C4122"/>
    <w:rsid w:val="002E2E66"/>
    <w:rsid w:val="0034164E"/>
    <w:rsid w:val="003561B0"/>
    <w:rsid w:val="003A1A4B"/>
    <w:rsid w:val="00431FF8"/>
    <w:rsid w:val="00433FB8"/>
    <w:rsid w:val="00484A65"/>
    <w:rsid w:val="00494D47"/>
    <w:rsid w:val="004B47B7"/>
    <w:rsid w:val="004C4E6D"/>
    <w:rsid w:val="004E2BA3"/>
    <w:rsid w:val="004F4C2F"/>
    <w:rsid w:val="00511B0D"/>
    <w:rsid w:val="00511C6A"/>
    <w:rsid w:val="00524E6A"/>
    <w:rsid w:val="00535D0A"/>
    <w:rsid w:val="00543A16"/>
    <w:rsid w:val="00550DA9"/>
    <w:rsid w:val="00552DC7"/>
    <w:rsid w:val="0055391E"/>
    <w:rsid w:val="00585C83"/>
    <w:rsid w:val="00593C1D"/>
    <w:rsid w:val="005F1D9D"/>
    <w:rsid w:val="00626252"/>
    <w:rsid w:val="0064170F"/>
    <w:rsid w:val="00650005"/>
    <w:rsid w:val="00693360"/>
    <w:rsid w:val="00712FE9"/>
    <w:rsid w:val="00731CD9"/>
    <w:rsid w:val="00786662"/>
    <w:rsid w:val="007A0CE8"/>
    <w:rsid w:val="007A256C"/>
    <w:rsid w:val="007B5275"/>
    <w:rsid w:val="007C658E"/>
    <w:rsid w:val="007F214D"/>
    <w:rsid w:val="0080557B"/>
    <w:rsid w:val="00862BED"/>
    <w:rsid w:val="00863F93"/>
    <w:rsid w:val="008B7B03"/>
    <w:rsid w:val="008C2610"/>
    <w:rsid w:val="008E171D"/>
    <w:rsid w:val="008F1CEB"/>
    <w:rsid w:val="00903901"/>
    <w:rsid w:val="009A5DEE"/>
    <w:rsid w:val="009B4D83"/>
    <w:rsid w:val="009B7ED5"/>
    <w:rsid w:val="009D7528"/>
    <w:rsid w:val="00A0471E"/>
    <w:rsid w:val="00A07238"/>
    <w:rsid w:val="00A403D4"/>
    <w:rsid w:val="00A403DC"/>
    <w:rsid w:val="00A63F5E"/>
    <w:rsid w:val="00AE409A"/>
    <w:rsid w:val="00AF35FD"/>
    <w:rsid w:val="00B06B87"/>
    <w:rsid w:val="00B07B2E"/>
    <w:rsid w:val="00B25DEC"/>
    <w:rsid w:val="00BB7662"/>
    <w:rsid w:val="00BE058E"/>
    <w:rsid w:val="00BE3129"/>
    <w:rsid w:val="00C0757C"/>
    <w:rsid w:val="00C1005D"/>
    <w:rsid w:val="00C2780F"/>
    <w:rsid w:val="00C33D62"/>
    <w:rsid w:val="00C62738"/>
    <w:rsid w:val="00C62A40"/>
    <w:rsid w:val="00C661E8"/>
    <w:rsid w:val="00C831BA"/>
    <w:rsid w:val="00CA04D3"/>
    <w:rsid w:val="00CA2DED"/>
    <w:rsid w:val="00CE2AF1"/>
    <w:rsid w:val="00D172ED"/>
    <w:rsid w:val="00D3111F"/>
    <w:rsid w:val="00D348D2"/>
    <w:rsid w:val="00D414D3"/>
    <w:rsid w:val="00D83BE1"/>
    <w:rsid w:val="00D92AD6"/>
    <w:rsid w:val="00D97AE2"/>
    <w:rsid w:val="00DA4CA6"/>
    <w:rsid w:val="00DC09D4"/>
    <w:rsid w:val="00DF5C2B"/>
    <w:rsid w:val="00E000B9"/>
    <w:rsid w:val="00E10D57"/>
    <w:rsid w:val="00ED4048"/>
    <w:rsid w:val="00EE292B"/>
    <w:rsid w:val="00F552DE"/>
    <w:rsid w:val="00F5567D"/>
    <w:rsid w:val="00FB403B"/>
    <w:rsid w:val="00FC56E2"/>
    <w:rsid w:val="00FF3F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A85009C"/>
  <w15:docId w15:val="{2F08637F-2C7F-45B1-9093-85DFD22D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locked/>
    <w:rPr>
      <w:lang w:val="es-ES" w:eastAsia="es-ES"/>
    </w:rPr>
  </w:style>
  <w:style w:type="character" w:styleId="FootnoteReference">
    <w:name w:val="footnote reference"/>
    <w:semiHidden/>
    <w:rPr>
      <w:vertAlign w:val="superscript"/>
      <w:lang w:val="es-ES" w:eastAsia="es-ES"/>
    </w:rPr>
  </w:style>
  <w:style w:type="paragraph" w:styleId="EndnoteText">
    <w:name w:val="endnote text"/>
    <w:basedOn w:val="Normal"/>
    <w:link w:val="EndnoteTextChar"/>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szCs w:val="20"/>
    </w:rPr>
  </w:style>
  <w:style w:type="character" w:customStyle="1" w:styleId="EndnoteTextChar">
    <w:name w:val="Endnote Text Char"/>
    <w:link w:val="EndnoteText"/>
    <w:semiHidden/>
    <w:locked/>
    <w:rPr>
      <w:lang w:val="es-ES" w:eastAsia="es-ES"/>
    </w:rPr>
  </w:style>
  <w:style w:type="paragraph" w:styleId="Footer">
    <w:name w:val="footer"/>
    <w:basedOn w:val="Normal"/>
    <w:link w:val="FooterChar"/>
    <w:uiPriority w:val="99"/>
    <w:pPr>
      <w:tabs>
        <w:tab w:val="center" w:pos="4320"/>
        <w:tab w:val="right" w:pos="8640"/>
      </w:tabs>
    </w:pPr>
    <w:rPr>
      <w:szCs w:val="20"/>
    </w:rPr>
  </w:style>
  <w:style w:type="character" w:customStyle="1" w:styleId="FooterChar">
    <w:name w:val="Footer Char"/>
    <w:link w:val="Footer"/>
    <w:uiPriority w:val="99"/>
    <w:semiHidden/>
    <w:locked/>
    <w:rPr>
      <w:sz w:val="24"/>
      <w:lang w:val="es-ES" w:eastAsia="es-ES"/>
    </w:rPr>
  </w:style>
  <w:style w:type="character" w:styleId="PageNumber">
    <w:name w:val="page number"/>
    <w:uiPriority w:val="99"/>
    <w:rPr>
      <w:lang w:val="es-ES" w:eastAsia="es-ES"/>
    </w:rPr>
  </w:style>
  <w:style w:type="paragraph" w:styleId="Header">
    <w:name w:val="header"/>
    <w:aliases w:val="encabezado"/>
    <w:basedOn w:val="Normal"/>
    <w:link w:val="HeaderChar"/>
    <w:pPr>
      <w:widowControl w:val="0"/>
      <w:tabs>
        <w:tab w:val="center" w:pos="4320"/>
        <w:tab w:val="right" w:pos="8640"/>
      </w:tabs>
      <w:jc w:val="both"/>
    </w:pPr>
    <w:rPr>
      <w:szCs w:val="20"/>
    </w:rPr>
  </w:style>
  <w:style w:type="character" w:customStyle="1" w:styleId="HeaderChar">
    <w:name w:val="Header Char"/>
    <w:aliases w:val="encabezado Char"/>
    <w:link w:val="Header"/>
    <w:locked/>
    <w:rPr>
      <w:sz w:val="24"/>
      <w:lang w:val="es-ES" w:eastAsia="es-ES"/>
    </w:rPr>
  </w:style>
  <w:style w:type="character" w:customStyle="1" w:styleId="tw4winMark">
    <w:name w:val="tw4winMark"/>
    <w:rPr>
      <w:rFonts w:ascii="Courier New" w:hAnsi="Courier New"/>
      <w:vanish/>
      <w:color w:val="800080"/>
      <w:sz w:val="24"/>
      <w:vertAlign w:val="subscript"/>
      <w:lang w:val="es-ES" w:eastAsia="es-ES"/>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link w:val="BalloonText"/>
    <w:uiPriority w:val="99"/>
    <w:semiHidden/>
    <w:locked/>
    <w:rPr>
      <w:rFonts w:ascii="Tahoma" w:hAnsi="Tahoma"/>
      <w:sz w:val="16"/>
      <w:lang w:val="es-ES" w:eastAsia="es-ES"/>
    </w:rPr>
  </w:style>
  <w:style w:type="paragraph" w:customStyle="1" w:styleId="Default">
    <w:name w:val="Default"/>
    <w:pPr>
      <w:autoSpaceDE w:val="0"/>
      <w:autoSpaceDN w:val="0"/>
      <w:adjustRightInd w:val="0"/>
    </w:pPr>
    <w:rPr>
      <w:rFonts w:ascii="Calibri" w:hAnsi="Calibri" w:cs="Calibri"/>
      <w:color w:val="000000"/>
      <w:sz w:val="24"/>
      <w:szCs w:val="24"/>
      <w:lang w:val="es-ES" w:eastAsia="es-ES"/>
    </w:rPr>
  </w:style>
  <w:style w:type="character" w:customStyle="1" w:styleId="apple-converted-space">
    <w:name w:val="apple-converted-space"/>
    <w:rPr>
      <w:lang w:val="es-ES" w:eastAsia="es-ES"/>
    </w:rPr>
  </w:style>
  <w:style w:type="character" w:styleId="CommentReference">
    <w:name w:val="annotation reference"/>
    <w:uiPriority w:val="99"/>
    <w:rPr>
      <w:sz w:val="16"/>
      <w:lang w:val="es-ES" w:eastAsia="es-ES"/>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lang w:val="es-ES" w:eastAsia="es-ES"/>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link w:val="CommentSubject"/>
    <w:uiPriority w:val="99"/>
    <w:locked/>
    <w:rPr>
      <w:b/>
      <w:lang w:val="es-ES" w:eastAsia="es-ES"/>
    </w:rPr>
  </w:style>
  <w:style w:type="paragraph" w:styleId="ListParagraph">
    <w:name w:val="List Paragraph"/>
    <w:basedOn w:val="Normal"/>
    <w:uiPriority w:val="34"/>
    <w:qFormat/>
    <w:rsid w:val="00C33D62"/>
    <w:pPr>
      <w:ind w:left="720"/>
    </w:pPr>
  </w:style>
  <w:style w:type="paragraph" w:styleId="Title">
    <w:name w:val="Title"/>
    <w:basedOn w:val="Normal"/>
    <w:link w:val="TitleChar"/>
    <w:uiPriority w:val="99"/>
    <w:qFormat/>
    <w:rsid w:val="000949C6"/>
    <w:pPr>
      <w:jc w:val="center"/>
    </w:pPr>
    <w:rPr>
      <w:b/>
      <w:bCs/>
      <w:lang w:val="pt-BR" w:eastAsia="pt-BR"/>
    </w:rPr>
  </w:style>
  <w:style w:type="character" w:customStyle="1" w:styleId="TitleChar">
    <w:name w:val="Title Char"/>
    <w:link w:val="Title"/>
    <w:uiPriority w:val="99"/>
    <w:rsid w:val="000949C6"/>
    <w:rPr>
      <w:b/>
      <w:bCs/>
      <w:sz w:val="24"/>
      <w:szCs w:val="24"/>
      <w:lang w:val="pt-BR" w:eastAsia="pt-BR"/>
    </w:rPr>
  </w:style>
  <w:style w:type="paragraph" w:customStyle="1" w:styleId="CPClassification">
    <w:name w:val="CP Classification"/>
    <w:basedOn w:val="Normal"/>
    <w:rsid w:val="00B06B87"/>
    <w:pPr>
      <w:tabs>
        <w:tab w:val="center" w:pos="2160"/>
        <w:tab w:val="left" w:pos="7200"/>
      </w:tabs>
      <w:ind w:left="7200" w:right="-360"/>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6187">
      <w:bodyDiv w:val="1"/>
      <w:marLeft w:val="0"/>
      <w:marRight w:val="0"/>
      <w:marTop w:val="0"/>
      <w:marBottom w:val="0"/>
      <w:divBdr>
        <w:top w:val="none" w:sz="0" w:space="0" w:color="auto"/>
        <w:left w:val="none" w:sz="0" w:space="0" w:color="auto"/>
        <w:bottom w:val="none" w:sz="0" w:space="0" w:color="auto"/>
        <w:right w:val="none" w:sz="0" w:space="0" w:color="auto"/>
      </w:divBdr>
    </w:div>
    <w:div w:id="1241677175">
      <w:bodyDiv w:val="1"/>
      <w:marLeft w:val="0"/>
      <w:marRight w:val="0"/>
      <w:marTop w:val="0"/>
      <w:marBottom w:val="0"/>
      <w:divBdr>
        <w:top w:val="none" w:sz="0" w:space="0" w:color="auto"/>
        <w:left w:val="none" w:sz="0" w:space="0" w:color="auto"/>
        <w:bottom w:val="none" w:sz="0" w:space="0" w:color="auto"/>
        <w:right w:val="none" w:sz="0" w:space="0" w:color="auto"/>
      </w:divBdr>
    </w:div>
    <w:div w:id="1291787657">
      <w:bodyDiv w:val="1"/>
      <w:marLeft w:val="0"/>
      <w:marRight w:val="0"/>
      <w:marTop w:val="0"/>
      <w:marBottom w:val="0"/>
      <w:divBdr>
        <w:top w:val="none" w:sz="0" w:space="0" w:color="auto"/>
        <w:left w:val="none" w:sz="0" w:space="0" w:color="auto"/>
        <w:bottom w:val="none" w:sz="0" w:space="0" w:color="auto"/>
        <w:right w:val="none" w:sz="0" w:space="0" w:color="auto"/>
      </w:divBdr>
    </w:div>
    <w:div w:id="1293370018">
      <w:bodyDiv w:val="1"/>
      <w:marLeft w:val="0"/>
      <w:marRight w:val="0"/>
      <w:marTop w:val="0"/>
      <w:marBottom w:val="0"/>
      <w:divBdr>
        <w:top w:val="none" w:sz="0" w:space="0" w:color="auto"/>
        <w:left w:val="none" w:sz="0" w:space="0" w:color="auto"/>
        <w:bottom w:val="none" w:sz="0" w:space="0" w:color="auto"/>
        <w:right w:val="none" w:sz="0" w:space="0" w:color="auto"/>
      </w:divBdr>
    </w:div>
    <w:div w:id="1877812871">
      <w:bodyDiv w:val="1"/>
      <w:marLeft w:val="0"/>
      <w:marRight w:val="0"/>
      <w:marTop w:val="0"/>
      <w:marBottom w:val="0"/>
      <w:divBdr>
        <w:top w:val="none" w:sz="0" w:space="0" w:color="auto"/>
        <w:left w:val="none" w:sz="0" w:space="0" w:color="auto"/>
        <w:bottom w:val="none" w:sz="0" w:space="0" w:color="auto"/>
        <w:right w:val="none" w:sz="0" w:space="0" w:color="auto"/>
      </w:divBdr>
    </w:div>
    <w:div w:id="20302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6408-01E7-429C-B8D8-7FEC534D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3294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GUEST LIST</vt:lpstr>
      <vt:lpstr/>
      <vt:lpstr>LISTE D’INVITÉS</vt:lpstr>
      <vt:lpstr>SIXIÈME RÉUNION DES AUTORITÉS NATIONALES EN MATIÈRE  DE TRAITE DES PERSONNES (RT</vt:lpstr>
      <vt:lpstr/>
    </vt:vector>
  </TitlesOfParts>
  <Company>OAS</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LIST</dc:title>
  <dc:subject/>
  <dc:creator>Manuel Fernando Garcia</dc:creator>
  <cp:keywords/>
  <cp:lastModifiedBy>Loredo, Carmen</cp:lastModifiedBy>
  <cp:revision>3</cp:revision>
  <cp:lastPrinted>2014-11-07T23:04:00Z</cp:lastPrinted>
  <dcterms:created xsi:type="dcterms:W3CDTF">2021-06-08T19:16:00Z</dcterms:created>
  <dcterms:modified xsi:type="dcterms:W3CDTF">2021-06-08T19:17:00Z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