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432F" w:rsidRPr="001B7C74" w:rsidRDefault="004E432F" w:rsidP="004E432F">
      <w:pPr>
        <w:pStyle w:val="Heading"/>
        <w:tabs>
          <w:tab w:val="clear" w:pos="2160"/>
          <w:tab w:val="center" w:pos="2880"/>
        </w:tabs>
        <w:suppressAutoHyphens/>
        <w:ind w:right="15"/>
        <w:jc w:val="both"/>
        <w:rPr>
          <w:szCs w:val="22"/>
          <w:lang w:val="fr-CA"/>
        </w:rPr>
      </w:pPr>
      <w:r w:rsidRPr="001B7C74">
        <w:rPr>
          <w:szCs w:val="22"/>
          <w:lang w:val="fr-CA"/>
        </w:rPr>
        <w:tab/>
        <w:t>CONSEIL PERMANENT DE</w:t>
      </w:r>
      <w:r w:rsidRPr="001B7C74">
        <w:rPr>
          <w:szCs w:val="22"/>
          <w:lang w:val="fr-CA"/>
        </w:rPr>
        <w:tab/>
        <w:t>OEA/Ser.G</w:t>
      </w:r>
    </w:p>
    <w:p w:rsidR="004E432F" w:rsidRPr="001B7C74" w:rsidRDefault="004E432F" w:rsidP="004E432F">
      <w:pPr>
        <w:pStyle w:val="Heading"/>
        <w:tabs>
          <w:tab w:val="clear" w:pos="2160"/>
          <w:tab w:val="center" w:pos="2880"/>
        </w:tabs>
        <w:suppressAutoHyphens/>
        <w:ind w:right="-749"/>
        <w:jc w:val="both"/>
        <w:rPr>
          <w:szCs w:val="22"/>
          <w:lang w:val="fr-CA"/>
        </w:rPr>
      </w:pPr>
      <w:r w:rsidRPr="001B7C74">
        <w:rPr>
          <w:szCs w:val="22"/>
          <w:lang w:val="fr-CA"/>
        </w:rPr>
        <w:tab/>
        <w:t>L’ORGANISATION DES ÉTATS AMÉRICAINS</w:t>
      </w:r>
      <w:r w:rsidRPr="001B7C74">
        <w:rPr>
          <w:szCs w:val="22"/>
          <w:lang w:val="fr-CA"/>
        </w:rPr>
        <w:tab/>
        <w:t>CP/CAAP-</w:t>
      </w:r>
      <w:r w:rsidR="00D94A01">
        <w:rPr>
          <w:szCs w:val="22"/>
          <w:lang w:val="fr-CA"/>
        </w:rPr>
        <w:t>3719</w:t>
      </w:r>
      <w:r w:rsidRPr="001B7C74">
        <w:rPr>
          <w:szCs w:val="22"/>
          <w:lang w:val="fr-CA"/>
        </w:rPr>
        <w:t>/21</w:t>
      </w:r>
      <w:r w:rsidR="00740F3C">
        <w:rPr>
          <w:szCs w:val="22"/>
          <w:lang w:val="fr-CA"/>
        </w:rPr>
        <w:t xml:space="preserve"> rev. 1</w:t>
      </w:r>
    </w:p>
    <w:p w:rsidR="004E432F" w:rsidRPr="001B7C74" w:rsidRDefault="00890F89" w:rsidP="004E432F">
      <w:pPr>
        <w:pStyle w:val="Heading"/>
        <w:tabs>
          <w:tab w:val="clear" w:pos="2160"/>
          <w:tab w:val="center" w:pos="2880"/>
        </w:tabs>
        <w:suppressAutoHyphens/>
        <w:ind w:right="-209"/>
        <w:jc w:val="both"/>
        <w:rPr>
          <w:szCs w:val="22"/>
          <w:lang w:val="fr-CA"/>
        </w:rPr>
      </w:pPr>
      <w:r>
        <w:rPr>
          <w:szCs w:val="22"/>
          <w:lang w:val="fr-CA"/>
        </w:rPr>
        <w:tab/>
      </w:r>
      <w:r>
        <w:rPr>
          <w:szCs w:val="22"/>
          <w:lang w:val="fr-CA"/>
        </w:rPr>
        <w:tab/>
      </w:r>
      <w:r w:rsidR="00740F3C">
        <w:rPr>
          <w:szCs w:val="22"/>
          <w:lang w:val="fr-CA"/>
        </w:rPr>
        <w:t>10</w:t>
      </w:r>
      <w:r>
        <w:rPr>
          <w:szCs w:val="22"/>
          <w:lang w:val="fr-CA"/>
        </w:rPr>
        <w:t xml:space="preserve"> </w:t>
      </w:r>
      <w:r w:rsidRPr="00890F89">
        <w:rPr>
          <w:szCs w:val="22"/>
          <w:lang w:val="fr-CA"/>
        </w:rPr>
        <w:t>février</w:t>
      </w:r>
      <w:r>
        <w:rPr>
          <w:szCs w:val="22"/>
          <w:lang w:val="fr-CA"/>
        </w:rPr>
        <w:t xml:space="preserve"> </w:t>
      </w:r>
      <w:r w:rsidR="004E432F" w:rsidRPr="001B7C74">
        <w:rPr>
          <w:szCs w:val="22"/>
          <w:lang w:val="fr-CA"/>
        </w:rPr>
        <w:t>2021</w:t>
      </w:r>
    </w:p>
    <w:p w:rsidR="004E432F" w:rsidRPr="001B7C74" w:rsidRDefault="004E432F" w:rsidP="004E432F">
      <w:pPr>
        <w:pStyle w:val="Heading"/>
        <w:tabs>
          <w:tab w:val="clear" w:pos="2160"/>
          <w:tab w:val="center" w:pos="2880"/>
        </w:tabs>
        <w:suppressAutoHyphens/>
        <w:ind w:right="-389"/>
        <w:jc w:val="both"/>
        <w:rPr>
          <w:szCs w:val="22"/>
          <w:lang w:val="fr-CA"/>
        </w:rPr>
      </w:pPr>
      <w:r w:rsidRPr="001B7C74">
        <w:rPr>
          <w:szCs w:val="22"/>
          <w:lang w:val="fr-CA"/>
        </w:rPr>
        <w:tab/>
        <w:t>COMMISSION DES QUESTIONS ADMINISTRATIVES</w:t>
      </w:r>
      <w:r w:rsidRPr="001B7C74">
        <w:rPr>
          <w:szCs w:val="22"/>
          <w:lang w:val="fr-CA"/>
        </w:rPr>
        <w:tab/>
        <w:t>Original: anglais</w:t>
      </w:r>
    </w:p>
    <w:p w:rsidR="004E432F" w:rsidRPr="001B7C74" w:rsidRDefault="004E432F" w:rsidP="004E432F">
      <w:pPr>
        <w:pStyle w:val="Heading"/>
        <w:tabs>
          <w:tab w:val="clear" w:pos="2160"/>
          <w:tab w:val="center" w:pos="2880"/>
        </w:tabs>
        <w:suppressAutoHyphens/>
        <w:ind w:right="-389"/>
        <w:jc w:val="both"/>
        <w:outlineLvl w:val="0"/>
        <w:rPr>
          <w:szCs w:val="22"/>
          <w:lang w:val="fr-CA"/>
        </w:rPr>
      </w:pPr>
      <w:r w:rsidRPr="001B7C74">
        <w:rPr>
          <w:szCs w:val="22"/>
          <w:lang w:val="fr-CA"/>
        </w:rPr>
        <w:tab/>
        <w:t>ET BUDGÉTAIRES</w:t>
      </w:r>
    </w:p>
    <w:p w:rsidR="004E432F" w:rsidRPr="001B7C74" w:rsidRDefault="004E432F" w:rsidP="004E432F">
      <w:pPr>
        <w:pStyle w:val="Header"/>
        <w:pBdr>
          <w:bottom w:val="single" w:sz="8" w:space="1" w:color="auto"/>
        </w:pBdr>
        <w:tabs>
          <w:tab w:val="left" w:pos="720"/>
        </w:tabs>
        <w:suppressAutoHyphens/>
        <w:ind w:right="-119"/>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outlineLvl w:val="0"/>
        <w:rPr>
          <w:szCs w:val="22"/>
          <w:lang w:val="fr-CA"/>
        </w:rPr>
      </w:pPr>
      <w:r w:rsidRPr="001B7C74">
        <w:rPr>
          <w:szCs w:val="22"/>
          <w:lang w:val="fr-CA"/>
        </w:rPr>
        <w:t xml:space="preserve">PLAN DE TRAVAIL DE LA CAAP </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outlineLvl w:val="0"/>
        <w:rPr>
          <w:szCs w:val="22"/>
          <w:lang w:val="fr-CA"/>
        </w:rPr>
      </w:pPr>
      <w:r w:rsidRPr="001B7C74">
        <w:rPr>
          <w:szCs w:val="22"/>
          <w:lang w:val="fr-CA"/>
        </w:rPr>
        <w:t>DE JANVIER À DÉCEMBRE 2021</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suppressAutoHyphens/>
        <w:rPr>
          <w:szCs w:val="22"/>
          <w:lang w:val="fr-CA"/>
        </w:rPr>
      </w:pPr>
      <w:r w:rsidRPr="001B7C74">
        <w:rPr>
          <w:szCs w:val="22"/>
          <w:lang w:val="fr-CA"/>
        </w:rPr>
        <w:t>(</w:t>
      </w:r>
      <w:r w:rsidR="00740F3C">
        <w:rPr>
          <w:szCs w:val="22"/>
          <w:lang w:val="fr-CA"/>
        </w:rPr>
        <w:t>Approuvé par la Commission à sa réunion du 9 février 2021</w:t>
      </w:r>
      <w:r w:rsidRPr="001B7C74">
        <w:rPr>
          <w:szCs w:val="22"/>
          <w:lang w:val="fr-CA"/>
        </w:rPr>
        <w:t>)</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r w:rsidRPr="001B7C74">
        <w:rPr>
          <w:szCs w:val="22"/>
          <w:lang w:val="fr-CA"/>
        </w:rPr>
        <w:tab/>
        <w:t>En ma qualité de Président de la Commission des questions administratives et budgétaires, j’ai l’honneur de soumettre pour examen aux États membres le présent plan de travail couvrant la période de janvier à décembre 2021.</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suppressAutoHyphens/>
        <w:jc w:val="left"/>
        <w:rPr>
          <w:b/>
          <w:caps/>
          <w:szCs w:val="22"/>
          <w:lang w:val="fr-CA"/>
        </w:rPr>
      </w:pPr>
      <w:r w:rsidRPr="001B7C74">
        <w:rPr>
          <w:b/>
          <w:caps/>
          <w:szCs w:val="22"/>
          <w:lang w:val="fr-CA"/>
        </w:rPr>
        <w:t>I.</w:t>
      </w:r>
      <w:r w:rsidRPr="001B7C74">
        <w:rPr>
          <w:b/>
          <w:caps/>
          <w:szCs w:val="22"/>
          <w:lang w:val="fr-CA"/>
        </w:rPr>
        <w:tab/>
        <w:t>INTRODUCTION</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suppressAutoHyphens/>
        <w:ind w:firstLine="720"/>
        <w:rPr>
          <w:szCs w:val="22"/>
          <w:lang w:val="fr-CA"/>
        </w:rPr>
      </w:pPr>
      <w:r w:rsidRPr="001B7C74">
        <w:rPr>
          <w:szCs w:val="22"/>
          <w:lang w:val="fr-CA"/>
        </w:rPr>
        <w:t>En sa qualité de commission permanente du Conseil permanent, la Commission des questions administratives et budgétaires (CAAP) exerce les attributions ci-après, qui lui sont conférées aux termes de l’article 19 du Règlement du Conseil permanent :</w:t>
      </w:r>
    </w:p>
    <w:p w:rsidR="004E432F" w:rsidRPr="001B7C74" w:rsidRDefault="004E432F" w:rsidP="004E432F">
      <w:pPr>
        <w:suppressAutoHyphens/>
        <w:rPr>
          <w:szCs w:val="22"/>
          <w:lang w:val="fr-CA"/>
        </w:rPr>
      </w:pPr>
    </w:p>
    <w:p w:rsidR="004E432F" w:rsidRPr="001B7C74" w:rsidRDefault="004E432F" w:rsidP="004E432F">
      <w:pPr>
        <w:suppressAutoHyphens/>
        <w:ind w:left="1440" w:hanging="720"/>
        <w:rPr>
          <w:szCs w:val="22"/>
          <w:lang w:val="fr-CA"/>
        </w:rPr>
      </w:pPr>
      <w:r w:rsidRPr="001B7C74">
        <w:rPr>
          <w:szCs w:val="22"/>
          <w:lang w:val="fr-CA"/>
        </w:rPr>
        <w:t>1.</w:t>
      </w:r>
      <w:r w:rsidRPr="001B7C74">
        <w:rPr>
          <w:szCs w:val="22"/>
          <w:lang w:val="fr-CA"/>
        </w:rPr>
        <w:tab/>
        <w:t xml:space="preserve">De recommander au Conseil permanent les programmes qui peuvent servir de base au Secrétariat général pour l’élaboration du projet de Programme-budget de l’Organisation dans la sphère d’attributions dudit Conseil, conformément aux dispositions de l’article 112 </w:t>
      </w:r>
      <w:r w:rsidRPr="001B7C74">
        <w:rPr>
          <w:i/>
          <w:iCs/>
          <w:szCs w:val="22"/>
          <w:lang w:val="fr-CA"/>
        </w:rPr>
        <w:t>c</w:t>
      </w:r>
      <w:r w:rsidRPr="001B7C74">
        <w:rPr>
          <w:szCs w:val="22"/>
          <w:lang w:val="fr-CA"/>
        </w:rPr>
        <w:t xml:space="preserve"> de la Charte ; </w:t>
      </w:r>
    </w:p>
    <w:p w:rsidR="004E432F" w:rsidRPr="001B7C74" w:rsidRDefault="004E432F" w:rsidP="004E432F">
      <w:pPr>
        <w:suppressAutoHyphens/>
        <w:rPr>
          <w:szCs w:val="22"/>
          <w:lang w:val="fr-CA"/>
        </w:rPr>
      </w:pPr>
    </w:p>
    <w:p w:rsidR="004E432F" w:rsidRPr="001B7C74" w:rsidRDefault="004E432F" w:rsidP="004E432F">
      <w:pPr>
        <w:suppressAutoHyphens/>
        <w:ind w:left="1440" w:hanging="720"/>
        <w:rPr>
          <w:szCs w:val="22"/>
          <w:lang w:val="fr-CA"/>
        </w:rPr>
      </w:pPr>
      <w:r w:rsidRPr="001B7C74">
        <w:rPr>
          <w:szCs w:val="22"/>
          <w:lang w:val="fr-CA"/>
        </w:rPr>
        <w:t>2.</w:t>
      </w:r>
      <w:r w:rsidRPr="001B7C74">
        <w:rPr>
          <w:szCs w:val="22"/>
          <w:lang w:val="fr-CA"/>
        </w:rPr>
        <w:tab/>
        <w:t xml:space="preserve">D’examiner le projet de Programme-budget que le Secrétariat général soumet pour avis au Conseil permanent, aux fins prévues à l’article 112 </w:t>
      </w:r>
      <w:r w:rsidRPr="001B7C74">
        <w:rPr>
          <w:i/>
          <w:iCs/>
          <w:szCs w:val="22"/>
          <w:lang w:val="fr-CA"/>
        </w:rPr>
        <w:t>c</w:t>
      </w:r>
      <w:r w:rsidRPr="001B7C74">
        <w:rPr>
          <w:szCs w:val="22"/>
          <w:lang w:val="fr-CA"/>
        </w:rPr>
        <w:t xml:space="preserve"> de la Charte, et de soumettre au Conseil les observations qu’elle estime pertinentes ;</w:t>
      </w:r>
    </w:p>
    <w:p w:rsidR="004E432F" w:rsidRPr="001B7C74" w:rsidRDefault="004E432F" w:rsidP="004E432F">
      <w:pPr>
        <w:suppressAutoHyphens/>
        <w:rPr>
          <w:szCs w:val="22"/>
          <w:lang w:val="fr-CA"/>
        </w:rPr>
      </w:pPr>
    </w:p>
    <w:p w:rsidR="004E432F" w:rsidRPr="001B7C74" w:rsidRDefault="004E432F" w:rsidP="004E432F">
      <w:pPr>
        <w:suppressAutoHyphens/>
        <w:ind w:left="1440" w:hanging="720"/>
        <w:rPr>
          <w:szCs w:val="22"/>
          <w:lang w:val="fr-CA"/>
        </w:rPr>
      </w:pPr>
      <w:r w:rsidRPr="001B7C74">
        <w:rPr>
          <w:szCs w:val="22"/>
          <w:lang w:val="fr-CA"/>
        </w:rPr>
        <w:t>3.</w:t>
      </w:r>
      <w:r w:rsidRPr="001B7C74">
        <w:rPr>
          <w:szCs w:val="22"/>
          <w:lang w:val="fr-CA"/>
        </w:rPr>
        <w:tab/>
        <w:t>D’étudier les autres questions dont le Conseil permanent lui confie l’examen et qui se rapportent aux programmes, au budget, à l’administration et aux autres aspects financiers des opérations du Secrétariat général ;</w:t>
      </w:r>
    </w:p>
    <w:p w:rsidR="004E432F" w:rsidRPr="001B7C74" w:rsidRDefault="004E432F" w:rsidP="004E432F">
      <w:pPr>
        <w:suppressAutoHyphens/>
        <w:rPr>
          <w:szCs w:val="22"/>
          <w:lang w:val="fr-CA"/>
        </w:rPr>
      </w:pPr>
    </w:p>
    <w:p w:rsidR="004E432F" w:rsidRPr="001B7C74" w:rsidRDefault="004E432F" w:rsidP="004E432F">
      <w:pPr>
        <w:suppressAutoHyphens/>
        <w:ind w:left="1440" w:hanging="720"/>
        <w:rPr>
          <w:szCs w:val="22"/>
          <w:lang w:val="fr-CA"/>
        </w:rPr>
      </w:pPr>
      <w:r w:rsidRPr="001B7C74">
        <w:rPr>
          <w:szCs w:val="22"/>
          <w:lang w:val="fr-CA"/>
        </w:rPr>
        <w:t>4.</w:t>
      </w:r>
      <w:r w:rsidRPr="001B7C74">
        <w:rPr>
          <w:szCs w:val="22"/>
          <w:lang w:val="fr-CA"/>
        </w:rPr>
        <w:tab/>
        <w:t>D’examiner les rapports d’évaluation annuelle que le Secrétaire général présente au Conseil permanent conformément aux dispositions des Normes générales de fonctionnement du Secrétariat général. Sur cette base, d’évaluer globalement l’efficacité des programmes, projets et activités de l’Organisation ; De formuler en outre les recommandations estimées pertinentes et de les soumettre à l’examen du Conseil permanent en vue de leur présentation à la Commission préparatoire pour qu’elles soient examinées par l’Assemblée générale en même temps que le projet de Programme-budget.</w:t>
      </w:r>
    </w:p>
    <w:p w:rsidR="004E432F" w:rsidRPr="001B7C74" w:rsidRDefault="004E432F" w:rsidP="004E432F">
      <w:pPr>
        <w:suppressAutoHyphens/>
        <w:rPr>
          <w:szCs w:val="22"/>
          <w:lang w:val="fr-CA"/>
        </w:rPr>
      </w:pPr>
    </w:p>
    <w:p w:rsidR="004E432F" w:rsidRPr="001B7C74" w:rsidRDefault="004E432F" w:rsidP="004E432F">
      <w:pPr>
        <w:keepNext/>
        <w:suppressAutoHyphens/>
        <w:jc w:val="left"/>
        <w:rPr>
          <w:b/>
          <w:caps/>
          <w:szCs w:val="22"/>
          <w:lang w:val="fr-CA"/>
        </w:rPr>
      </w:pPr>
      <w:r w:rsidRPr="001B7C74">
        <w:rPr>
          <w:b/>
          <w:caps/>
          <w:szCs w:val="22"/>
          <w:lang w:val="fr-CA"/>
        </w:rPr>
        <w:lastRenderedPageBreak/>
        <w:t>II.</w:t>
      </w:r>
      <w:r w:rsidRPr="001B7C74">
        <w:rPr>
          <w:b/>
          <w:caps/>
          <w:szCs w:val="22"/>
          <w:lang w:val="fr-CA"/>
        </w:rPr>
        <w:tab/>
        <w:t>BUREAU</w:t>
      </w:r>
    </w:p>
    <w:p w:rsidR="004E432F" w:rsidRPr="001B7C74" w:rsidRDefault="004E432F" w:rsidP="004E432F">
      <w:pPr>
        <w:keepNext/>
        <w:suppressAutoHyphens/>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En vertu de l’article 28 de son Règlement, le Conseil permanent a installé la CAAP le 16 décembre 2020 pour la période 2021 et élu l’Ambassadeur Hugh Adsett, Représentant permanent du Canada près l’OEA, à la présidence de la CAAP pour une période qui prendra fin le 31 décembre 2021.</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suppressAutoHyphens/>
        <w:jc w:val="left"/>
        <w:rPr>
          <w:b/>
          <w:caps/>
          <w:szCs w:val="22"/>
          <w:lang w:val="fr-CA"/>
        </w:rPr>
      </w:pPr>
      <w:r w:rsidRPr="001B7C74">
        <w:rPr>
          <w:b/>
          <w:caps/>
          <w:szCs w:val="22"/>
          <w:lang w:val="fr-CA"/>
        </w:rPr>
        <w:t>III.</w:t>
      </w:r>
      <w:r w:rsidRPr="001B7C74">
        <w:rPr>
          <w:b/>
          <w:caps/>
          <w:szCs w:val="22"/>
          <w:lang w:val="fr-CA"/>
        </w:rPr>
        <w:tab/>
        <w:t>MANDATS</w:t>
      </w:r>
    </w:p>
    <w:p w:rsidR="004E432F" w:rsidRPr="001B7C74" w:rsidRDefault="004E432F" w:rsidP="004E432F">
      <w:pPr>
        <w:suppressAutoHyphens/>
        <w:ind w:right="-29"/>
        <w:rPr>
          <w:color w:val="000000"/>
          <w:szCs w:val="22"/>
          <w:lang w:val="fr-CA"/>
        </w:rPr>
      </w:pPr>
    </w:p>
    <w:p w:rsidR="004E432F" w:rsidRPr="001B7C74" w:rsidRDefault="004E432F" w:rsidP="004E432F">
      <w:pPr>
        <w:pStyle w:val="CPTitl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Conformément à l’article 30 du Règlement du Conseil permanent, à sa séance ordinaire du 16 décembre 2020, le Conseil permanent a adopté la « Répartition des mandats émanés de la cinquantième session ordinaire de l’Assemblée générale et d’autres sessions antérieures » (</w:t>
      </w:r>
      <w:hyperlink r:id="rId11" w:history="1">
        <w:r w:rsidRPr="001B7C74">
          <w:rPr>
            <w:rStyle w:val="Hyperlink"/>
            <w:szCs w:val="22"/>
            <w:lang w:val="fr-CA"/>
          </w:rPr>
          <w:t>CP/doc.5665/20</w:t>
        </w:r>
      </w:hyperlink>
      <w:r w:rsidRPr="001B7C74">
        <w:rPr>
          <w:szCs w:val="22"/>
          <w:lang w:val="fr-CA"/>
        </w:rPr>
        <w:t xml:space="preserve"> rev. 2) et a confié à la CAAP l’examen des mandats contenus dans la résolution ci-après durant la période 2021.</w:t>
      </w:r>
    </w:p>
    <w:p w:rsidR="004E432F" w:rsidRPr="001B7C74" w:rsidRDefault="004E432F" w:rsidP="004E432F">
      <w:pPr>
        <w:tabs>
          <w:tab w:val="left" w:pos="540"/>
          <w:tab w:val="left" w:pos="3780"/>
        </w:tabs>
        <w:suppressAutoHyphens/>
        <w:rPr>
          <w:szCs w:val="22"/>
          <w:u w:val="single"/>
          <w:lang w:val="fr-CA"/>
        </w:rPr>
      </w:pPr>
    </w:p>
    <w:p w:rsidR="004E432F" w:rsidRPr="001B7C74" w:rsidRDefault="004E432F" w:rsidP="004E432F">
      <w:pPr>
        <w:tabs>
          <w:tab w:val="left" w:pos="540"/>
          <w:tab w:val="left" w:pos="3780"/>
        </w:tabs>
        <w:suppressAutoHyphens/>
        <w:ind w:left="3780" w:hanging="3780"/>
        <w:rPr>
          <w:szCs w:val="22"/>
          <w:u w:val="single"/>
          <w:lang w:val="fr-CA"/>
        </w:rPr>
      </w:pPr>
      <w:r w:rsidRPr="001B7C74">
        <w:rPr>
          <w:szCs w:val="22"/>
          <w:u w:val="single"/>
          <w:lang w:val="fr-CA"/>
        </w:rPr>
        <w:t>De la cinquantième session ordinaire, qui s’est déroulée en 2020 :</w:t>
      </w:r>
    </w:p>
    <w:p w:rsidR="004E432F" w:rsidRPr="001B7C74" w:rsidRDefault="004E432F" w:rsidP="004E432F">
      <w:pPr>
        <w:pStyle w:val="NormalWeb"/>
        <w:tabs>
          <w:tab w:val="left" w:pos="720"/>
        </w:tabs>
        <w:suppressAutoHyphens/>
        <w:spacing w:before="0" w:beforeAutospacing="0" w:after="0" w:afterAutospacing="0"/>
        <w:ind w:left="3600" w:hanging="3600"/>
        <w:jc w:val="both"/>
        <w:rPr>
          <w:sz w:val="22"/>
          <w:szCs w:val="22"/>
          <w:lang w:val="fr-CA"/>
        </w:rPr>
      </w:pPr>
    </w:p>
    <w:p w:rsidR="004E432F" w:rsidRPr="001B7C74" w:rsidRDefault="004E432F" w:rsidP="004E432F">
      <w:pPr>
        <w:numPr>
          <w:ilvl w:val="0"/>
          <w:numId w:val="10"/>
        </w:numPr>
        <w:suppressAutoHyphens/>
        <w:ind w:hanging="720"/>
        <w:rPr>
          <w:szCs w:val="22"/>
          <w:lang w:val="fr-CA"/>
        </w:rPr>
      </w:pPr>
      <w:r w:rsidRPr="001B7C74">
        <w:rPr>
          <w:szCs w:val="22"/>
          <w:lang w:val="fr-CA"/>
        </w:rPr>
        <w:t>AG/RES. 2957 (L-O/20)</w:t>
      </w:r>
      <w:r w:rsidRPr="001B7C74">
        <w:rPr>
          <w:szCs w:val="22"/>
          <w:lang w:val="fr-CA"/>
        </w:rPr>
        <w:tab/>
        <w:t>Programme-budget 2021 de l’Organisation</w:t>
      </w:r>
    </w:p>
    <w:p w:rsidR="004E432F" w:rsidRPr="001B7C74" w:rsidRDefault="004E432F" w:rsidP="004E432F">
      <w:pPr>
        <w:suppressAutoHyphens/>
        <w:rPr>
          <w:szCs w:val="22"/>
          <w:lang w:val="fr-CA" w:eastAsia="en-US"/>
        </w:rPr>
      </w:pPr>
    </w:p>
    <w:p w:rsidR="004E432F" w:rsidRPr="001B7C74" w:rsidRDefault="004E432F" w:rsidP="004E432F">
      <w:pPr>
        <w:pStyle w:val="NormalWeb"/>
        <w:numPr>
          <w:ilvl w:val="0"/>
          <w:numId w:val="10"/>
        </w:numPr>
        <w:suppressAutoHyphens/>
        <w:spacing w:before="0" w:beforeAutospacing="0" w:after="0" w:afterAutospacing="0"/>
        <w:ind w:hanging="720"/>
        <w:jc w:val="both"/>
        <w:rPr>
          <w:sz w:val="22"/>
          <w:szCs w:val="22"/>
          <w:lang w:val="fr-CA"/>
        </w:rPr>
      </w:pPr>
      <w:r w:rsidRPr="001B7C74">
        <w:rPr>
          <w:sz w:val="22"/>
          <w:szCs w:val="22"/>
          <w:lang w:val="fr-CA"/>
        </w:rPr>
        <w:t xml:space="preserve">Observations et recommandations relatives aux rapports annuels suivants des organes, organismes et entités de l’Organisation (Article 91 </w:t>
      </w:r>
      <w:r w:rsidRPr="001B7C74">
        <w:rPr>
          <w:i/>
          <w:iCs/>
          <w:sz w:val="22"/>
          <w:szCs w:val="22"/>
          <w:lang w:val="fr-CA"/>
        </w:rPr>
        <w:t>f</w:t>
      </w:r>
      <w:r w:rsidRPr="001B7C74">
        <w:rPr>
          <w:sz w:val="22"/>
          <w:szCs w:val="22"/>
          <w:lang w:val="fr-CA"/>
        </w:rPr>
        <w:t xml:space="preserve"> de la Charte de l’OEA)</w:t>
      </w:r>
    </w:p>
    <w:p w:rsidR="004E432F" w:rsidRPr="001B7C74" w:rsidRDefault="004E432F" w:rsidP="004E432F">
      <w:pPr>
        <w:tabs>
          <w:tab w:val="left" w:pos="540"/>
          <w:tab w:val="left" w:pos="3780"/>
        </w:tabs>
        <w:suppressAutoHyphens/>
        <w:ind w:left="3780" w:hanging="3780"/>
        <w:rPr>
          <w:szCs w:val="22"/>
          <w:lang w:val="fr-CA"/>
        </w:rPr>
      </w:pPr>
    </w:p>
    <w:p w:rsidR="004E432F" w:rsidRPr="001B7C74" w:rsidRDefault="004E432F" w:rsidP="004E432F">
      <w:pPr>
        <w:numPr>
          <w:ilvl w:val="0"/>
          <w:numId w:val="7"/>
        </w:numPr>
        <w:tabs>
          <w:tab w:val="clear" w:pos="2520"/>
          <w:tab w:val="left" w:pos="720"/>
          <w:tab w:val="num" w:pos="1440"/>
        </w:tabs>
        <w:suppressAutoHyphens/>
        <w:ind w:left="1440" w:hanging="720"/>
        <w:rPr>
          <w:szCs w:val="22"/>
          <w:lang w:val="fr-CA"/>
        </w:rPr>
      </w:pPr>
      <w:r w:rsidRPr="001B7C74">
        <w:rPr>
          <w:szCs w:val="22"/>
          <w:lang w:val="fr-CA"/>
        </w:rPr>
        <w:t>Tribunal administratif (TRIBAD)</w:t>
      </w:r>
    </w:p>
    <w:p w:rsidR="004E432F" w:rsidRPr="001B7C74" w:rsidRDefault="004E432F" w:rsidP="004E432F">
      <w:pPr>
        <w:numPr>
          <w:ilvl w:val="0"/>
          <w:numId w:val="7"/>
        </w:numPr>
        <w:tabs>
          <w:tab w:val="clear" w:pos="2520"/>
          <w:tab w:val="left" w:pos="720"/>
          <w:tab w:val="num" w:pos="1440"/>
        </w:tabs>
        <w:suppressAutoHyphens/>
        <w:ind w:left="1440" w:hanging="720"/>
        <w:rPr>
          <w:szCs w:val="22"/>
          <w:lang w:val="fr-CA"/>
        </w:rPr>
      </w:pPr>
      <w:r w:rsidRPr="001B7C74">
        <w:rPr>
          <w:szCs w:val="22"/>
          <w:lang w:val="fr-CA"/>
        </w:rPr>
        <w:t>Commission des vérificateurs extérieurs</w:t>
      </w:r>
    </w:p>
    <w:p w:rsidR="004E432F" w:rsidRPr="001B7C74" w:rsidRDefault="004E432F" w:rsidP="004E432F">
      <w:pPr>
        <w:tabs>
          <w:tab w:val="left" w:pos="720"/>
        </w:tabs>
        <w:suppressAutoHyphens/>
        <w:rPr>
          <w:szCs w:val="22"/>
          <w:lang w:val="fr-CA"/>
        </w:rPr>
      </w:pPr>
    </w:p>
    <w:p w:rsidR="004E432F" w:rsidRPr="001B7C74" w:rsidRDefault="004E432F" w:rsidP="004E432F">
      <w:pPr>
        <w:tabs>
          <w:tab w:val="left" w:pos="720"/>
        </w:tabs>
        <w:suppressAutoHyphens/>
        <w:rPr>
          <w:szCs w:val="22"/>
          <w:lang w:val="fr-CA"/>
        </w:rPr>
      </w:pPr>
    </w:p>
    <w:p w:rsidR="004E432F" w:rsidRPr="001B7C74" w:rsidRDefault="004E432F" w:rsidP="004E432F">
      <w:pPr>
        <w:pStyle w:val="TitleUppercase"/>
        <w:numPr>
          <w:ilvl w:val="0"/>
          <w:numId w:val="14"/>
        </w:numPr>
        <w:tabs>
          <w:tab w:val="clear" w:pos="1440"/>
          <w:tab w:val="clear" w:pos="2160"/>
          <w:tab w:val="clear" w:pos="2880"/>
          <w:tab w:val="clear" w:pos="7200"/>
          <w:tab w:val="clear" w:pos="7920"/>
          <w:tab w:val="clear" w:pos="8640"/>
        </w:tabs>
        <w:suppressAutoHyphens/>
        <w:ind w:left="720"/>
        <w:jc w:val="both"/>
        <w:rPr>
          <w:b/>
          <w:szCs w:val="22"/>
          <w:lang w:val="fr-CA"/>
        </w:rPr>
      </w:pPr>
      <w:r w:rsidRPr="001B7C74">
        <w:rPr>
          <w:b/>
          <w:szCs w:val="22"/>
          <w:lang w:val="fr-CA"/>
        </w:rPr>
        <w:t>GROUPES DE TRAVAIL</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Pour atteindre le consensus nécessaire et pour que la Commission s'acquitte de ses attributions dans les délais impartis, la présidence propose que la CAAP établisse les groupes de travail officiels ci-après :</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numPr>
          <w:ilvl w:val="0"/>
          <w:numId w:val="6"/>
        </w:numPr>
        <w:tabs>
          <w:tab w:val="clear" w:pos="720"/>
          <w:tab w:val="clear" w:pos="1440"/>
          <w:tab w:val="clear" w:pos="1800"/>
          <w:tab w:val="clear" w:pos="2160"/>
          <w:tab w:val="clear" w:pos="2880"/>
          <w:tab w:val="clear" w:pos="7200"/>
          <w:tab w:val="clear" w:pos="7920"/>
          <w:tab w:val="clear" w:pos="8640"/>
        </w:tabs>
        <w:suppressAutoHyphens/>
        <w:ind w:left="1440" w:hanging="720"/>
        <w:jc w:val="both"/>
        <w:rPr>
          <w:szCs w:val="22"/>
          <w:lang w:val="fr-CA"/>
        </w:rPr>
      </w:pPr>
      <w:r w:rsidRPr="001B7C74">
        <w:rPr>
          <w:szCs w:val="22"/>
          <w:lang w:val="fr-CA"/>
        </w:rPr>
        <w:t>Groupe de travail chargé de la révision technique du programme-budget (GT-RTPP) comme énoncé dans les résolutions AG/RES. 2774 (XLIII-O/13) et AG/RES. 2815 (XLIV-O/14).</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numPr>
          <w:ilvl w:val="0"/>
          <w:numId w:val="5"/>
        </w:numPr>
        <w:tabs>
          <w:tab w:val="clear" w:pos="720"/>
          <w:tab w:val="clear" w:pos="1440"/>
          <w:tab w:val="clear" w:pos="1800"/>
          <w:tab w:val="clear" w:pos="2160"/>
          <w:tab w:val="clear" w:pos="2880"/>
          <w:tab w:val="clear" w:pos="7200"/>
          <w:tab w:val="clear" w:pos="7920"/>
          <w:tab w:val="clear" w:pos="8640"/>
        </w:tabs>
        <w:suppressAutoHyphens/>
        <w:ind w:left="2160" w:hanging="720"/>
        <w:jc w:val="both"/>
        <w:rPr>
          <w:szCs w:val="22"/>
          <w:lang w:val="fr-CA"/>
        </w:rPr>
      </w:pPr>
      <w:r w:rsidRPr="001B7C74">
        <w:rPr>
          <w:szCs w:val="22"/>
          <w:lang w:val="fr-CA"/>
        </w:rPr>
        <w:t xml:space="preserve">En vertu des résolutions précitées, la CAAP a été chargée d’établir ce groupe de travail chaque année pour mener la révision technique du programme-budget mais aussi pour examiner plusieurs autres thèmes choisis par la CAAP à son intention. </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numPr>
          <w:ilvl w:val="0"/>
          <w:numId w:val="5"/>
        </w:numPr>
        <w:tabs>
          <w:tab w:val="clear" w:pos="1800"/>
          <w:tab w:val="clear" w:pos="2880"/>
          <w:tab w:val="num" w:pos="1440"/>
        </w:tabs>
        <w:suppressAutoHyphens/>
        <w:ind w:left="2160" w:hanging="720"/>
        <w:jc w:val="both"/>
        <w:rPr>
          <w:szCs w:val="22"/>
          <w:lang w:val="fr-CA"/>
        </w:rPr>
      </w:pPr>
      <w:r w:rsidRPr="001B7C74">
        <w:rPr>
          <w:szCs w:val="22"/>
          <w:lang w:val="fr-CA"/>
        </w:rPr>
        <w:t>En outre, le Groupe de travail disposera de l’orientation et du soutien technique du Secrétariat général pour exécuter les mandats indiqués dans la résolution précitée, y compris :</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left"/>
        <w:rPr>
          <w:szCs w:val="22"/>
          <w:lang w:val="fr-CA"/>
        </w:rPr>
      </w:pPr>
    </w:p>
    <w:p w:rsidR="004E432F" w:rsidRPr="001B7C74" w:rsidRDefault="004E432F" w:rsidP="004E432F">
      <w:pPr>
        <w:pStyle w:val="TitleUppercase"/>
        <w:numPr>
          <w:ilvl w:val="0"/>
          <w:numId w:val="8"/>
        </w:numPr>
        <w:tabs>
          <w:tab w:val="clear" w:pos="1080"/>
          <w:tab w:val="clear" w:pos="1440"/>
          <w:tab w:val="clear" w:pos="2160"/>
          <w:tab w:val="clear" w:pos="7200"/>
        </w:tabs>
        <w:suppressAutoHyphens/>
        <w:ind w:left="2880" w:hanging="720"/>
        <w:jc w:val="both"/>
        <w:rPr>
          <w:szCs w:val="22"/>
          <w:lang w:val="fr-CA"/>
        </w:rPr>
      </w:pPr>
      <w:r w:rsidRPr="001B7C74">
        <w:rPr>
          <w:szCs w:val="22"/>
          <w:lang w:val="fr-CA"/>
        </w:rPr>
        <w:t xml:space="preserve">La révision des incidences budgétaires des mandats en cours de l’Organisation et la présentation de recommandations techniques à la </w:t>
      </w:r>
      <w:r w:rsidRPr="001B7C74">
        <w:rPr>
          <w:szCs w:val="22"/>
          <w:lang w:val="fr-CA"/>
        </w:rPr>
        <w:lastRenderedPageBreak/>
        <w:t>CAAP pour examen, en prévision de l’élaboration du programme-budget de l’exercice budgétaire suivant.</w:t>
      </w:r>
    </w:p>
    <w:p w:rsidR="004E432F" w:rsidRPr="001B7C74" w:rsidRDefault="004E432F" w:rsidP="004E432F">
      <w:pPr>
        <w:pStyle w:val="TitleUppercase"/>
        <w:tabs>
          <w:tab w:val="clear" w:pos="1440"/>
          <w:tab w:val="clear" w:pos="2160"/>
        </w:tabs>
        <w:suppressAutoHyphens/>
        <w:jc w:val="both"/>
        <w:rPr>
          <w:szCs w:val="22"/>
          <w:lang w:val="fr-CA"/>
        </w:rPr>
      </w:pPr>
    </w:p>
    <w:p w:rsidR="004E432F" w:rsidRPr="001B7C74" w:rsidRDefault="004E432F" w:rsidP="004E432F">
      <w:pPr>
        <w:pStyle w:val="TitleUppercase"/>
        <w:numPr>
          <w:ilvl w:val="0"/>
          <w:numId w:val="8"/>
        </w:numPr>
        <w:tabs>
          <w:tab w:val="clear" w:pos="1080"/>
          <w:tab w:val="clear" w:pos="1440"/>
          <w:tab w:val="clear" w:pos="2160"/>
        </w:tabs>
        <w:suppressAutoHyphens/>
        <w:ind w:left="2880" w:hanging="720"/>
        <w:jc w:val="both"/>
        <w:rPr>
          <w:szCs w:val="22"/>
          <w:lang w:val="fr-CA"/>
        </w:rPr>
      </w:pPr>
      <w:r w:rsidRPr="001B7C74">
        <w:rPr>
          <w:szCs w:val="22"/>
          <w:lang w:val="fr-CA"/>
        </w:rPr>
        <w:t>La révision de l’exécution budgétaire des mandats approuvés durant la session antérieure de l’Assemblée générale.</w:t>
      </w:r>
    </w:p>
    <w:p w:rsidR="004E432F" w:rsidRPr="001B7C74" w:rsidRDefault="004E432F" w:rsidP="004E432F">
      <w:pPr>
        <w:pStyle w:val="TitleUppercase"/>
        <w:tabs>
          <w:tab w:val="clear" w:pos="1440"/>
          <w:tab w:val="clear" w:pos="2160"/>
        </w:tabs>
        <w:suppressAutoHyphens/>
        <w:jc w:val="both"/>
        <w:rPr>
          <w:szCs w:val="22"/>
          <w:lang w:val="fr-CA"/>
        </w:rPr>
      </w:pPr>
    </w:p>
    <w:p w:rsidR="004E432F" w:rsidRPr="001B7C74" w:rsidRDefault="004E432F" w:rsidP="004E432F">
      <w:pPr>
        <w:pStyle w:val="TitleUppercase"/>
        <w:numPr>
          <w:ilvl w:val="0"/>
          <w:numId w:val="8"/>
        </w:numPr>
        <w:tabs>
          <w:tab w:val="clear" w:pos="1080"/>
          <w:tab w:val="clear" w:pos="1440"/>
          <w:tab w:val="clear" w:pos="2160"/>
        </w:tabs>
        <w:suppressAutoHyphens/>
        <w:ind w:left="2880" w:hanging="720"/>
        <w:jc w:val="both"/>
        <w:rPr>
          <w:szCs w:val="22"/>
          <w:lang w:val="fr-CA"/>
        </w:rPr>
      </w:pPr>
      <w:r w:rsidRPr="001B7C74">
        <w:rPr>
          <w:szCs w:val="22"/>
          <w:lang w:val="fr-CA"/>
        </w:rPr>
        <w:t xml:space="preserve">La révision et la présentation de commentaires à la CAAP sur les rapports semestriels de gestion des ressources ainsi que l’examen des dépenses réalisées et des résultats obtenus par rapport aux crédits budgétaires alloués. </w:t>
      </w:r>
    </w:p>
    <w:p w:rsidR="004E432F" w:rsidRPr="001B7C74" w:rsidRDefault="004E432F" w:rsidP="004E432F">
      <w:pPr>
        <w:pStyle w:val="TitleUppercase"/>
        <w:tabs>
          <w:tab w:val="clear" w:pos="1440"/>
          <w:tab w:val="clear" w:pos="2160"/>
        </w:tabs>
        <w:suppressAutoHyphens/>
        <w:jc w:val="both"/>
        <w:rPr>
          <w:szCs w:val="22"/>
          <w:lang w:val="fr-CA"/>
        </w:rPr>
      </w:pPr>
    </w:p>
    <w:p w:rsidR="004E432F" w:rsidRPr="001B7C74" w:rsidRDefault="004E432F" w:rsidP="004E432F">
      <w:pPr>
        <w:pStyle w:val="TitleUppercase"/>
        <w:numPr>
          <w:ilvl w:val="0"/>
          <w:numId w:val="8"/>
        </w:numPr>
        <w:tabs>
          <w:tab w:val="clear" w:pos="1080"/>
          <w:tab w:val="clear" w:pos="1440"/>
          <w:tab w:val="clear" w:pos="2160"/>
          <w:tab w:val="num" w:pos="1800"/>
        </w:tabs>
        <w:suppressAutoHyphens/>
        <w:ind w:left="2880" w:hanging="720"/>
        <w:jc w:val="both"/>
        <w:rPr>
          <w:szCs w:val="22"/>
          <w:lang w:val="fr-CA"/>
        </w:rPr>
      </w:pPr>
      <w:r w:rsidRPr="001B7C74">
        <w:rPr>
          <w:szCs w:val="22"/>
          <w:lang w:val="fr-CA"/>
        </w:rPr>
        <w:t>L’examen d’autres requêtes qui peuvent émaner de la CAAP.</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left"/>
        <w:rPr>
          <w:szCs w:val="22"/>
          <w:lang w:val="fr-CA"/>
        </w:rPr>
      </w:pPr>
    </w:p>
    <w:p w:rsidR="004E432F" w:rsidRPr="001B7C74" w:rsidRDefault="004E432F" w:rsidP="004E432F">
      <w:pPr>
        <w:pStyle w:val="TitleUppercase"/>
        <w:numPr>
          <w:ilvl w:val="0"/>
          <w:numId w:val="6"/>
        </w:numPr>
        <w:tabs>
          <w:tab w:val="clear" w:pos="720"/>
          <w:tab w:val="clear" w:pos="1440"/>
          <w:tab w:val="clear" w:pos="1800"/>
          <w:tab w:val="clear" w:pos="2160"/>
          <w:tab w:val="clear" w:pos="2880"/>
          <w:tab w:val="clear" w:pos="7200"/>
          <w:tab w:val="clear" w:pos="7920"/>
          <w:tab w:val="clear" w:pos="8640"/>
        </w:tabs>
        <w:suppressAutoHyphens/>
        <w:ind w:left="1440" w:hanging="720"/>
        <w:jc w:val="left"/>
        <w:rPr>
          <w:szCs w:val="22"/>
          <w:lang w:val="fr-CA"/>
        </w:rPr>
      </w:pPr>
      <w:r w:rsidRPr="001B7C74">
        <w:rPr>
          <w:szCs w:val="22"/>
          <w:lang w:val="fr-CA"/>
        </w:rPr>
        <w:t>Groupe de travail chargé de préparer le projet de résolution sur le programme-budget (GT/RPP)</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left"/>
        <w:rPr>
          <w:szCs w:val="22"/>
          <w:lang w:val="fr-CA"/>
        </w:rPr>
      </w:pPr>
    </w:p>
    <w:p w:rsidR="004E432F" w:rsidRPr="001B7C74" w:rsidRDefault="004E432F" w:rsidP="004E432F">
      <w:pPr>
        <w:pStyle w:val="TitleUppercase"/>
        <w:numPr>
          <w:ilvl w:val="2"/>
          <w:numId w:val="9"/>
        </w:numPr>
        <w:tabs>
          <w:tab w:val="clear" w:pos="720"/>
          <w:tab w:val="clear" w:pos="1440"/>
          <w:tab w:val="clear" w:pos="1800"/>
          <w:tab w:val="clear" w:pos="2160"/>
          <w:tab w:val="clear" w:pos="2880"/>
          <w:tab w:val="clear" w:pos="7200"/>
          <w:tab w:val="clear" w:pos="7920"/>
          <w:tab w:val="clear" w:pos="8640"/>
        </w:tabs>
        <w:suppressAutoHyphens/>
        <w:ind w:left="2160" w:hanging="720"/>
        <w:jc w:val="both"/>
        <w:rPr>
          <w:szCs w:val="22"/>
          <w:lang w:val="fr-CA"/>
        </w:rPr>
      </w:pPr>
      <w:r w:rsidRPr="001B7C74">
        <w:rPr>
          <w:szCs w:val="22"/>
          <w:lang w:val="fr-CA"/>
        </w:rPr>
        <w:t>Comme les années précédentes, la présidence propose, conformément à l’article 13 du Règlement du Conseil permanent, d'installer le Groupe de travail susmentionné.</w:t>
      </w:r>
    </w:p>
    <w:p w:rsidR="004E432F" w:rsidRPr="001B7C74" w:rsidRDefault="004E432F" w:rsidP="004E432F">
      <w:pPr>
        <w:pStyle w:val="TitleUppercase"/>
        <w:numPr>
          <w:ilvl w:val="2"/>
          <w:numId w:val="9"/>
        </w:numPr>
        <w:tabs>
          <w:tab w:val="clear" w:pos="720"/>
          <w:tab w:val="clear" w:pos="1440"/>
          <w:tab w:val="clear" w:pos="1800"/>
          <w:tab w:val="clear" w:pos="2160"/>
          <w:tab w:val="clear" w:pos="2880"/>
          <w:tab w:val="clear" w:pos="7200"/>
          <w:tab w:val="clear" w:pos="7920"/>
          <w:tab w:val="clear" w:pos="8640"/>
        </w:tabs>
        <w:suppressAutoHyphens/>
        <w:ind w:left="2160" w:hanging="720"/>
        <w:jc w:val="both"/>
        <w:rPr>
          <w:szCs w:val="22"/>
          <w:lang w:val="fr-CA"/>
        </w:rPr>
      </w:pPr>
      <w:r w:rsidRPr="001B7C74">
        <w:rPr>
          <w:szCs w:val="22"/>
          <w:lang w:val="fr-CA"/>
        </w:rPr>
        <w:t>Ce groupe de travail sera chargé de négocier le texte du projet de résolution intitulé « Programme-budget 2022 du Fonds ordinaire de l’Organisation ».</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left"/>
        <w:rPr>
          <w:szCs w:val="22"/>
          <w:lang w:val="fr-CA"/>
        </w:rPr>
      </w:pPr>
    </w:p>
    <w:p w:rsidR="004E432F" w:rsidRPr="001B7C74" w:rsidRDefault="004E432F" w:rsidP="004E432F">
      <w:pPr>
        <w:pStyle w:val="TitleUppercase"/>
        <w:numPr>
          <w:ilvl w:val="0"/>
          <w:numId w:val="6"/>
        </w:numPr>
        <w:tabs>
          <w:tab w:val="clear" w:pos="720"/>
          <w:tab w:val="clear" w:pos="1440"/>
          <w:tab w:val="clear" w:pos="1800"/>
          <w:tab w:val="clear" w:pos="2160"/>
          <w:tab w:val="clear" w:pos="2880"/>
          <w:tab w:val="clear" w:pos="7200"/>
          <w:tab w:val="clear" w:pos="7920"/>
          <w:tab w:val="clear" w:pos="8640"/>
        </w:tabs>
        <w:suppressAutoHyphens/>
        <w:ind w:left="1440" w:hanging="720"/>
        <w:jc w:val="both"/>
        <w:rPr>
          <w:szCs w:val="22"/>
          <w:lang w:val="fr-CA"/>
        </w:rPr>
      </w:pPr>
      <w:r w:rsidRPr="001B7C74">
        <w:rPr>
          <w:szCs w:val="22"/>
          <w:lang w:val="fr-CA"/>
        </w:rPr>
        <w:t>Groupe de travail chargé de la révision des programmes de l’OEA (GT/RVPP)</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ListParagraph"/>
        <w:suppressAutoHyphens/>
        <w:ind w:left="1440"/>
        <w:jc w:val="both"/>
        <w:rPr>
          <w:sz w:val="22"/>
          <w:szCs w:val="22"/>
          <w:lang w:val="fr-CA"/>
        </w:rPr>
      </w:pPr>
      <w:r w:rsidRPr="001B7C74">
        <w:rPr>
          <w:sz w:val="22"/>
          <w:szCs w:val="22"/>
          <w:lang w:val="fr-CA"/>
        </w:rPr>
        <w:t>À sa réunion du 11 août 2009, la CAAP a créé le Groupe de travail chargé de la révision des programmes de l'OEA afin d’établir un processus de moyen terme permettant de réviser le programme-budget à partir de 2011 et de satisfaire aux exigences des États membres dans le sens d’un budget axé sur les résultats. Le résultat final devrait être celui d’une organisation viable financièrement et dont la performance s'améliore à l’appui de priorités établies avec clarté par les États membres.</w:t>
      </w:r>
    </w:p>
    <w:p w:rsidR="004E432F" w:rsidRPr="001B7C74" w:rsidRDefault="004E432F" w:rsidP="004E432F">
      <w:pPr>
        <w:pStyle w:val="ListParagraph"/>
        <w:suppressAutoHyphens/>
        <w:jc w:val="both"/>
        <w:rPr>
          <w:sz w:val="22"/>
          <w:szCs w:val="22"/>
          <w:lang w:val="fr-CA"/>
        </w:rPr>
      </w:pPr>
    </w:p>
    <w:p w:rsidR="004E432F" w:rsidRPr="001B7C74" w:rsidRDefault="004E432F" w:rsidP="004E432F">
      <w:pPr>
        <w:pStyle w:val="ListParagraph"/>
        <w:suppressAutoHyphens/>
        <w:ind w:left="1440"/>
        <w:jc w:val="both"/>
        <w:rPr>
          <w:sz w:val="22"/>
          <w:szCs w:val="22"/>
          <w:lang w:val="fr-CA"/>
        </w:rPr>
      </w:pPr>
      <w:r w:rsidRPr="001B7C74">
        <w:rPr>
          <w:sz w:val="22"/>
          <w:szCs w:val="22"/>
          <w:lang w:val="fr-CA"/>
        </w:rPr>
        <w:t>Le groupe de travail continuera de se réunir selon le besoin pour s'acquitter de ses attributions et réaliser tous les autres mandats qui pourraient surgir de résolutions de l’Assemblée générale ou du Conseil permanent.</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numPr>
          <w:ilvl w:val="0"/>
          <w:numId w:val="14"/>
        </w:numPr>
        <w:tabs>
          <w:tab w:val="left" w:pos="720"/>
        </w:tabs>
        <w:suppressAutoHyphens/>
        <w:ind w:left="720"/>
        <w:rPr>
          <w:b/>
          <w:szCs w:val="22"/>
          <w:lang w:val="fr-CA"/>
        </w:rPr>
      </w:pPr>
      <w:r w:rsidRPr="001B7C74">
        <w:rPr>
          <w:b/>
          <w:caps/>
          <w:szCs w:val="22"/>
          <w:lang w:val="fr-CA"/>
        </w:rPr>
        <w:t>ACTIVITÉS DE LA CAAP DURANT LA PÉRIODE 2021</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Au cours de la nouvelle période, la CAAP sera chargée d’examiner les rapports attendus du Secrétariat général en vertu des mandats confiés à la Commission, en établissant le plafond budgétaire pour 2022 et en centrant son attention en particulier sur l’examen et la révision du projet de programme-budget 2022 ainsi que sur la négociation du projet de résolution s’y rapportant.</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La Commission examinera par ailleurs toutes les questions administratives, budgétaires et financières ainsi que les rapports connexes qui lui seront présentés pour examen en sus de ceux déjà établis par l’Assemblée générale à son intention.</w:t>
      </w:r>
    </w:p>
    <w:p w:rsidR="004E432F" w:rsidRPr="001B7C74" w:rsidRDefault="004E432F" w:rsidP="004E432F">
      <w:pPr>
        <w:pStyle w:val="TitleUppercase"/>
        <w:numPr>
          <w:ilvl w:val="0"/>
          <w:numId w:val="4"/>
        </w:numPr>
        <w:tabs>
          <w:tab w:val="clear" w:pos="720"/>
          <w:tab w:val="clear" w:pos="1080"/>
          <w:tab w:val="clear" w:pos="1440"/>
          <w:tab w:val="clear" w:pos="2160"/>
          <w:tab w:val="clear" w:pos="2880"/>
          <w:tab w:val="clear" w:pos="7200"/>
          <w:tab w:val="clear" w:pos="7920"/>
          <w:tab w:val="clear" w:pos="8640"/>
        </w:tabs>
        <w:suppressAutoHyphens/>
        <w:ind w:left="720" w:hanging="720"/>
        <w:jc w:val="both"/>
        <w:rPr>
          <w:szCs w:val="22"/>
          <w:u w:val="single"/>
          <w:lang w:val="fr-CA"/>
        </w:rPr>
      </w:pPr>
      <w:r w:rsidRPr="001B7C74">
        <w:rPr>
          <w:szCs w:val="22"/>
          <w:lang w:val="fr-CA"/>
        </w:rPr>
        <w:br w:type="page"/>
      </w:r>
      <w:r w:rsidRPr="001B7C74">
        <w:rPr>
          <w:szCs w:val="22"/>
          <w:u w:val="single"/>
          <w:lang w:val="fr-CA"/>
        </w:rPr>
        <w:lastRenderedPageBreak/>
        <w:t>Examen du projet de programme-budget 2022 de l’Organisation</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 xml:space="preserve">En ce qui concerne les préparatifs de la session ordinaire de l'Assemblée générale prévue en 2021, qui sera consacrée notamment à l’examen et à l’approbation du programme-budget 2022 de l’Organisation, conformément à l'article 19 </w:t>
      </w:r>
      <w:r w:rsidRPr="001B7C74">
        <w:rPr>
          <w:i/>
          <w:iCs/>
          <w:szCs w:val="22"/>
          <w:lang w:val="fr-CA"/>
        </w:rPr>
        <w:t>b</w:t>
      </w:r>
      <w:r w:rsidRPr="001B7C74">
        <w:rPr>
          <w:szCs w:val="22"/>
          <w:lang w:val="fr-CA"/>
        </w:rPr>
        <w:t xml:space="preserve"> du Règlement du Conseil permanent et à l'article 93 des Normes générales de fonctionnement du Secrétariat général, la Commission consacrera autant de réunions officielles et informelles qui seront nécessaires pour qu’elle s'acquitte de ces attributions.</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i/>
          <w:szCs w:val="22"/>
          <w:lang w:val="fr-CA"/>
        </w:rPr>
      </w:pPr>
      <w:r w:rsidRPr="001B7C74">
        <w:rPr>
          <w:i/>
          <w:szCs w:val="22"/>
          <w:lang w:val="fr-CA"/>
        </w:rPr>
        <w:t>Modalités de l'examen du budget</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 xml:space="preserve">La CAAP devra en premier lieu déterminer le plafond budgétaire de 2022. Une fois le plafond budgétaire établi, le Secrétariat général soumettra sa proposition </w:t>
      </w:r>
      <w:r w:rsidR="00890F89" w:rsidRPr="00890F89">
        <w:rPr>
          <w:szCs w:val="22"/>
          <w:lang w:val="fr-CA"/>
        </w:rPr>
        <w:t xml:space="preserve">au niveau du Chapitre </w:t>
      </w:r>
      <w:r w:rsidRPr="001B7C74">
        <w:rPr>
          <w:szCs w:val="22"/>
          <w:lang w:val="fr-CA"/>
        </w:rPr>
        <w:t>qui inclura, comme d’habitude, la justification et des explications sur les écarts par rapport à l’exercice précédent ainsi que les conditions requises sur le plan des ressources humaines et financières en fonction des résultats anticipés. Le Secrétariat général inclura par ailleurs les prévisions de dépenses pour deux années supplémentaires.</w:t>
      </w:r>
    </w:p>
    <w:p w:rsidR="00890F89" w:rsidRDefault="00890F89"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p>
    <w:p w:rsidR="00890F89" w:rsidRPr="00890F89" w:rsidRDefault="00890F89" w:rsidP="00890F89">
      <w:pPr>
        <w:autoSpaceDE w:val="0"/>
        <w:autoSpaceDN w:val="0"/>
        <w:ind w:firstLine="720"/>
        <w:rPr>
          <w:rFonts w:eastAsia="SimSun"/>
          <w:szCs w:val="22"/>
          <w:lang w:val="fr-CA" w:eastAsia="en-US"/>
        </w:rPr>
      </w:pPr>
      <w:r w:rsidRPr="00890F89">
        <w:rPr>
          <w:rFonts w:eastAsia="SimSun"/>
          <w:szCs w:val="22"/>
          <w:lang w:val="fr-FR" w:eastAsia="en-US"/>
        </w:rPr>
        <w:t>Le projet de budget devrait être présenté en tenant compte des considérations suivantes:</w:t>
      </w:r>
    </w:p>
    <w:p w:rsidR="00890F89" w:rsidRPr="00890F89" w:rsidRDefault="00890F89" w:rsidP="00890F89">
      <w:pPr>
        <w:autoSpaceDE w:val="0"/>
        <w:autoSpaceDN w:val="0"/>
        <w:rPr>
          <w:rFonts w:eastAsia="SimSun"/>
          <w:szCs w:val="22"/>
          <w:lang w:val="fr-CA" w:eastAsia="en-US"/>
        </w:rPr>
      </w:pPr>
    </w:p>
    <w:p w:rsidR="00890F89" w:rsidRDefault="00890F89" w:rsidP="00890F89">
      <w:pPr>
        <w:numPr>
          <w:ilvl w:val="0"/>
          <w:numId w:val="22"/>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ind w:left="1440" w:hanging="720"/>
        <w:contextualSpacing/>
        <w:rPr>
          <w:rFonts w:eastAsia="SimSun"/>
          <w:szCs w:val="22"/>
          <w:lang w:val="fr-FR" w:eastAsia="en-US"/>
        </w:rPr>
      </w:pPr>
      <w:r>
        <w:rPr>
          <w:rFonts w:eastAsia="SimSun"/>
          <w:szCs w:val="22"/>
          <w:lang w:val="fr-FR" w:eastAsia="en-US"/>
        </w:rPr>
        <w:t>Le projet ne réduit aucun des fonds de réserve ni ne les utilise pour financer des postes vacants.</w:t>
      </w:r>
    </w:p>
    <w:p w:rsidR="00890F89" w:rsidRDefault="00890F89" w:rsidP="00890F89">
      <w:pPr>
        <w:numPr>
          <w:ilvl w:val="0"/>
          <w:numId w:val="22"/>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ind w:left="1440" w:hanging="720"/>
        <w:contextualSpacing/>
        <w:rPr>
          <w:rFonts w:eastAsia="SimSun"/>
          <w:szCs w:val="22"/>
          <w:lang w:val="fr-FR" w:eastAsia="en-US"/>
        </w:rPr>
      </w:pPr>
      <w:r>
        <w:rPr>
          <w:rFonts w:eastAsia="SimSun"/>
          <w:szCs w:val="22"/>
          <w:lang w:val="fr-FR" w:eastAsia="en-US"/>
        </w:rPr>
        <w:t>Il répartit les réductions sur l’ensemble des chapitres.</w:t>
      </w:r>
    </w:p>
    <w:p w:rsidR="00890F89" w:rsidRDefault="00890F89" w:rsidP="00890F89">
      <w:pPr>
        <w:numPr>
          <w:ilvl w:val="0"/>
          <w:numId w:val="22"/>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ind w:left="1440" w:hanging="720"/>
        <w:contextualSpacing/>
        <w:rPr>
          <w:rFonts w:eastAsia="SimSun"/>
          <w:szCs w:val="22"/>
          <w:lang w:val="fr-FR" w:eastAsia="en-US"/>
        </w:rPr>
      </w:pPr>
      <w:r>
        <w:rPr>
          <w:rFonts w:eastAsia="SimSun"/>
          <w:szCs w:val="22"/>
          <w:lang w:val="fr-FR" w:eastAsia="en-US"/>
        </w:rPr>
        <w:t>Il affecte la totalité des crédits nécessaires à la couverture des coûts fixes de l'organisation inscrits au chapitre 12.</w:t>
      </w:r>
    </w:p>
    <w:p w:rsidR="00890F89" w:rsidRPr="00890F89" w:rsidRDefault="00890F89"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FR"/>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En vertu des mandats établis dans la résolution AG/RES. 2957 (L-O/20), « Programme-budget 2021 de l'Organisation », chaque secrétariat serait chargé de présenter par écrit avant les discussions portant sur son propre chapitre, un résumé d’une page contenant des informations sur les incidences générales de la proposition de budget sur son secteur par rapport à ses mandats actuels.</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 xml:space="preserve">Comme demandé par l’Assemblée générale, le Secrétariat général fournira à tous les secrétariats le modèle standard, approuvé par la CAAP sous la cote </w:t>
      </w:r>
      <w:hyperlink r:id="rId12" w:history="1">
        <w:r w:rsidRPr="001B7C74">
          <w:rPr>
            <w:rStyle w:val="Hyperlink"/>
            <w:szCs w:val="22"/>
            <w:lang w:val="fr-CA"/>
          </w:rPr>
          <w:t>CP/CAAP-3664/20 rev. 1</w:t>
        </w:r>
      </w:hyperlink>
      <w:r w:rsidRPr="001B7C74">
        <w:rPr>
          <w:szCs w:val="22"/>
          <w:lang w:val="fr-CA"/>
        </w:rPr>
        <w:t>, pour présenter à la Commission les informations concernant les incidences de la proposition.</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Le président dirigera ensuite le travail d’analyse et de discussion budgétaires. Comme les années antérieures, les délégués devront présenter par écrit leurs recommandations à l’intention du président pour contribuer aux délibérations. Chaque proposition d’augmentation de budget pour un secteur doit être assortie d’une réduction correspondante dans un autre secteur.</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 xml:space="preserve">Parallèlement à la révision du programme-budget 2022, la CAAP examinera le projet de résolution « Programme-budget 2022 de l’Organisation ». </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numPr>
          <w:ilvl w:val="0"/>
          <w:numId w:val="4"/>
        </w:numPr>
        <w:tabs>
          <w:tab w:val="clear" w:pos="720"/>
          <w:tab w:val="clear" w:pos="1080"/>
          <w:tab w:val="clear" w:pos="1440"/>
          <w:tab w:val="clear" w:pos="2160"/>
          <w:tab w:val="clear" w:pos="2880"/>
          <w:tab w:val="clear" w:pos="7200"/>
          <w:tab w:val="clear" w:pos="7920"/>
          <w:tab w:val="clear" w:pos="8640"/>
        </w:tabs>
        <w:suppressAutoHyphens/>
        <w:ind w:left="720" w:hanging="720"/>
        <w:jc w:val="both"/>
        <w:rPr>
          <w:szCs w:val="22"/>
          <w:lang w:val="fr-CA"/>
        </w:rPr>
      </w:pPr>
      <w:r w:rsidRPr="001B7C74">
        <w:rPr>
          <w:szCs w:val="22"/>
          <w:u w:val="single"/>
          <w:lang w:val="fr-CA"/>
        </w:rPr>
        <w:t>Thèmes à l’ordre du jour de la CAAP et de ses groupes de travail de janvier à décembre 2021</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La CAAP a accompli des progrès notables pour améliorer le fonctionnement de l’Organisation. Le travail prévu pour cette période sera axé sur la mise en œuvre de la résolution AG/RES. 2957 (L-O/20), « Programme-budget 2021 de l'Organisation » et des mandats répartis par le Conseil permanent eu égard mais non limité aux thèmes suivants :</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b/>
          <w:szCs w:val="22"/>
          <w:lang w:val="fr-CA"/>
        </w:rPr>
      </w:pPr>
    </w:p>
    <w:p w:rsidR="004E432F" w:rsidRPr="001B7C74" w:rsidRDefault="004E432F" w:rsidP="004E432F">
      <w:pPr>
        <w:numPr>
          <w:ilvl w:val="0"/>
          <w:numId w:val="11"/>
        </w:numPr>
        <w:suppressAutoHyphens/>
        <w:ind w:left="1440" w:hanging="720"/>
        <w:rPr>
          <w:i/>
          <w:szCs w:val="22"/>
          <w:lang w:val="fr-CA"/>
        </w:rPr>
      </w:pPr>
      <w:r w:rsidRPr="001B7C74">
        <w:rPr>
          <w:i/>
          <w:szCs w:val="22"/>
          <w:lang w:val="fr-CA"/>
        </w:rPr>
        <w:lastRenderedPageBreak/>
        <w:t>Rapport annuel du Tribunal administratif de l’Organisation des États Américains</w:t>
      </w:r>
    </w:p>
    <w:p w:rsidR="004E432F" w:rsidRPr="001B7C74" w:rsidRDefault="004E432F" w:rsidP="004E432F">
      <w:pPr>
        <w:shd w:val="clear" w:color="auto" w:fill="FFFFFF"/>
        <w:suppressAutoHyphens/>
        <w:rPr>
          <w:szCs w:val="22"/>
          <w:lang w:val="fr-CA"/>
        </w:rPr>
      </w:pPr>
    </w:p>
    <w:p w:rsidR="004E432F" w:rsidRPr="001B7C74" w:rsidRDefault="004E432F" w:rsidP="004E432F">
      <w:pPr>
        <w:suppressAutoHyphens/>
        <w:ind w:firstLine="720"/>
        <w:outlineLvl w:val="1"/>
        <w:rPr>
          <w:szCs w:val="22"/>
          <w:lang w:val="fr-CA"/>
        </w:rPr>
      </w:pPr>
      <w:r w:rsidRPr="001B7C74">
        <w:rPr>
          <w:szCs w:val="22"/>
          <w:lang w:val="fr-CA"/>
        </w:rPr>
        <w:t xml:space="preserve">Le Conseil permanent a réparti ce rapport en vertu de l’article 91 </w:t>
      </w:r>
      <w:r w:rsidRPr="001B7C74">
        <w:rPr>
          <w:i/>
          <w:iCs/>
          <w:szCs w:val="22"/>
          <w:lang w:val="fr-CA"/>
        </w:rPr>
        <w:t>f</w:t>
      </w:r>
      <w:r w:rsidRPr="001B7C74">
        <w:rPr>
          <w:szCs w:val="22"/>
          <w:lang w:val="fr-CA"/>
        </w:rPr>
        <w:t xml:space="preserve"> de la Charte de l’OEA : Il appartient également au Conseil permanent : f) D'examiner les rapports du Conseil interaméricain pour le développement intégré, du Comité juridique interaméricain, de la Commission interaméricaine des droits de l'homme, du Secrétariat général et des organismes et conférences spécialisés, ainsi que les rapports des autres organes et entités de l'Organisation, et de présenter à l'Assemblée générale les observations et recommandations qu'il juge utiles</w:t>
      </w:r>
      <w:r w:rsidRPr="001B7C74">
        <w:rPr>
          <w:lang w:val="fr-CA"/>
        </w:rPr>
        <w:t xml:space="preserve">. </w:t>
      </w:r>
    </w:p>
    <w:p w:rsidR="004E432F" w:rsidRPr="001B7C74" w:rsidRDefault="004E432F" w:rsidP="004E432F">
      <w:pPr>
        <w:pStyle w:val="TitleUppercase"/>
        <w:numPr>
          <w:ilvl w:val="0"/>
          <w:numId w:val="11"/>
        </w:numPr>
        <w:tabs>
          <w:tab w:val="clear" w:pos="720"/>
          <w:tab w:val="clear" w:pos="1440"/>
          <w:tab w:val="clear" w:pos="2160"/>
          <w:tab w:val="clear" w:pos="2880"/>
          <w:tab w:val="clear" w:pos="7200"/>
          <w:tab w:val="clear" w:pos="7920"/>
          <w:tab w:val="clear" w:pos="8640"/>
        </w:tabs>
        <w:suppressAutoHyphens/>
        <w:ind w:left="1440" w:hanging="720"/>
        <w:jc w:val="both"/>
        <w:rPr>
          <w:szCs w:val="22"/>
          <w:lang w:val="fr-CA"/>
        </w:rPr>
      </w:pPr>
      <w:r w:rsidRPr="001B7C74">
        <w:rPr>
          <w:i/>
          <w:szCs w:val="22"/>
          <w:lang w:val="fr-CA"/>
        </w:rPr>
        <w:t>Présentation de rapports du Secrétariat général</w:t>
      </w:r>
    </w:p>
    <w:p w:rsidR="004E432F" w:rsidRPr="001B7C74" w:rsidRDefault="004E432F" w:rsidP="00E34BFA">
      <w:pPr>
        <w:pStyle w:val="TitleUppercase"/>
        <w:tabs>
          <w:tab w:val="clear" w:pos="720"/>
          <w:tab w:val="clear" w:pos="1440"/>
          <w:tab w:val="clear" w:pos="2160"/>
          <w:tab w:val="clear" w:pos="2880"/>
          <w:tab w:val="clear" w:pos="7200"/>
          <w:tab w:val="clear" w:pos="7920"/>
          <w:tab w:val="clear" w:pos="8640"/>
        </w:tabs>
        <w:suppressAutoHyphens/>
        <w:jc w:val="both"/>
        <w:rPr>
          <w:i/>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fr-CA"/>
        </w:rPr>
      </w:pPr>
      <w:r w:rsidRPr="001B7C74">
        <w:rPr>
          <w:szCs w:val="22"/>
          <w:lang w:val="fr-CA"/>
        </w:rPr>
        <w:t>Pour l’année qui commence maintenant, conformément aux résolutions pertinentes de l’Assemblée générale, les rapports suivants doivent être présentés soit à la CAAP soit au groupe de travail pertinent de de celle-ci :</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numPr>
          <w:ilvl w:val="0"/>
          <w:numId w:val="3"/>
        </w:numPr>
        <w:tabs>
          <w:tab w:val="clear" w:pos="720"/>
          <w:tab w:val="clear" w:pos="1440"/>
          <w:tab w:val="clear" w:pos="2160"/>
          <w:tab w:val="clear" w:pos="2880"/>
          <w:tab w:val="clear" w:pos="7200"/>
          <w:tab w:val="clear" w:pos="7920"/>
          <w:tab w:val="clear" w:pos="8640"/>
        </w:tabs>
        <w:suppressAutoHyphens/>
        <w:ind w:left="1440" w:hanging="720"/>
        <w:jc w:val="both"/>
        <w:rPr>
          <w:szCs w:val="22"/>
          <w:lang w:val="fr-CA"/>
        </w:rPr>
      </w:pPr>
      <w:r w:rsidRPr="001B7C74">
        <w:rPr>
          <w:szCs w:val="22"/>
          <w:lang w:val="fr-CA"/>
        </w:rPr>
        <w:t>Examen des rapports mensuels sur l’utilisation de ressources financières du Fonds de trésorerie et sur l’état de ce fonds, conformément à la résolution AG/RES. 2957,</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left="1440"/>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left="1440"/>
        <w:jc w:val="both"/>
        <w:rPr>
          <w:szCs w:val="22"/>
          <w:lang w:val="fr-CA"/>
        </w:rPr>
      </w:pPr>
      <w:r w:rsidRPr="001B7C74">
        <w:rPr>
          <w:b/>
          <w:szCs w:val="22"/>
          <w:lang w:val="fr-CA"/>
        </w:rPr>
        <w:t xml:space="preserve">Progrès réalisés :  </w:t>
      </w:r>
      <w:r w:rsidRPr="001B7C74">
        <w:rPr>
          <w:szCs w:val="22"/>
          <w:lang w:val="fr-CA"/>
        </w:rPr>
        <w:t xml:space="preserve">Le rapport le plus récent envoyé au Conseil permanent au 31 </w:t>
      </w:r>
      <w:r w:rsidR="00890F89">
        <w:rPr>
          <w:szCs w:val="22"/>
          <w:lang w:val="fr-CA"/>
        </w:rPr>
        <w:t>décembre</w:t>
      </w:r>
      <w:r w:rsidRPr="001B7C74">
        <w:rPr>
          <w:szCs w:val="22"/>
          <w:lang w:val="fr-CA"/>
        </w:rPr>
        <w:t xml:space="preserve"> 2020 concernant l’exercice financier 2020 a été diffusé sous la cote </w:t>
      </w:r>
      <w:hyperlink r:id="rId13" w:history="1">
        <w:r w:rsidR="00890F89" w:rsidRPr="00890F89">
          <w:rPr>
            <w:rStyle w:val="Hyperlink"/>
            <w:lang w:val="fr-CA"/>
          </w:rPr>
          <w:t>CP/INF. 8848/21</w:t>
        </w:r>
      </w:hyperlink>
      <w:r w:rsidRPr="001B7C74">
        <w:rPr>
          <w:szCs w:val="22"/>
          <w:lang w:val="fr-CA"/>
        </w:rPr>
        <w:t>.</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left="1440"/>
        <w:jc w:val="both"/>
        <w:rPr>
          <w:szCs w:val="22"/>
          <w:lang w:val="fr-CA"/>
        </w:rPr>
      </w:pPr>
    </w:p>
    <w:p w:rsidR="004E432F" w:rsidRPr="001B7C74" w:rsidRDefault="004E432F" w:rsidP="004E432F">
      <w:pPr>
        <w:pStyle w:val="TitleUppercase"/>
        <w:numPr>
          <w:ilvl w:val="0"/>
          <w:numId w:val="3"/>
        </w:numPr>
        <w:tabs>
          <w:tab w:val="clear" w:pos="720"/>
          <w:tab w:val="clear" w:pos="1440"/>
          <w:tab w:val="clear" w:pos="2160"/>
          <w:tab w:val="clear" w:pos="2880"/>
          <w:tab w:val="clear" w:pos="7200"/>
          <w:tab w:val="clear" w:pos="7920"/>
          <w:tab w:val="clear" w:pos="8640"/>
        </w:tabs>
        <w:suppressAutoHyphens/>
        <w:ind w:left="1440" w:firstLine="720"/>
        <w:jc w:val="both"/>
        <w:rPr>
          <w:b/>
          <w:szCs w:val="22"/>
          <w:lang w:val="fr-CA"/>
        </w:rPr>
      </w:pPr>
      <w:r w:rsidRPr="001B7C74">
        <w:rPr>
          <w:szCs w:val="22"/>
          <w:lang w:val="fr-CA"/>
        </w:rPr>
        <w:t>Examen des rapports semestriels portant sur la gestion administrative et financière réalisée par le Secrétariat général, conformément au paragraphe IV.2. du dispositif de la résolution AG/RES. 2957 (L-O/20). Outre ce paragraphe du dispositif, l’Assemblée générale a chargé le Secrétariat général d’inclure dans les rapports semestriels des renseignements sur différents sujets qui seront mentionnés dans les mandats détaillés contenus dans le présent plan de travail.</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left="1440"/>
        <w:jc w:val="both"/>
        <w:rPr>
          <w:b/>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left="1440"/>
        <w:jc w:val="both"/>
        <w:rPr>
          <w:szCs w:val="22"/>
          <w:lang w:val="fr-CA"/>
        </w:rPr>
      </w:pPr>
      <w:r w:rsidRPr="001B7C74">
        <w:rPr>
          <w:b/>
          <w:szCs w:val="22"/>
          <w:lang w:val="fr-CA"/>
        </w:rPr>
        <w:t xml:space="preserve">Progrès réalisés : </w:t>
      </w:r>
      <w:r w:rsidRPr="001B7C74">
        <w:rPr>
          <w:szCs w:val="22"/>
          <w:lang w:val="fr-CA"/>
        </w:rPr>
        <w:t xml:space="preserve"> Le rapport le plus récent envoyé à la CAAP au 30 juin 2020 a été diffusé sous la cote </w:t>
      </w:r>
      <w:hyperlink r:id="rId14" w:history="1">
        <w:r w:rsidRPr="001B7C74">
          <w:rPr>
            <w:rStyle w:val="Hyperlink"/>
            <w:szCs w:val="22"/>
            <w:lang w:val="fr-CA"/>
          </w:rPr>
          <w:t>CP/CAAP-3703/20</w:t>
        </w:r>
      </w:hyperlink>
      <w:r w:rsidRPr="001B7C74">
        <w:rPr>
          <w:szCs w:val="22"/>
          <w:lang w:val="fr-CA"/>
        </w:rPr>
        <w:t>.</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fr-CA"/>
        </w:rPr>
      </w:pPr>
    </w:p>
    <w:p w:rsidR="004E432F" w:rsidRPr="001B7C74" w:rsidRDefault="004E432F" w:rsidP="004E432F">
      <w:pPr>
        <w:pStyle w:val="TitleUppercase"/>
        <w:numPr>
          <w:ilvl w:val="0"/>
          <w:numId w:val="11"/>
        </w:numPr>
        <w:tabs>
          <w:tab w:val="clear" w:pos="720"/>
          <w:tab w:val="clear" w:pos="1440"/>
          <w:tab w:val="clear" w:pos="2160"/>
          <w:tab w:val="clear" w:pos="2880"/>
          <w:tab w:val="clear" w:pos="7200"/>
          <w:tab w:val="clear" w:pos="7920"/>
          <w:tab w:val="clear" w:pos="8640"/>
        </w:tabs>
        <w:suppressAutoHyphens/>
        <w:ind w:left="1440" w:hanging="720"/>
        <w:jc w:val="both"/>
        <w:rPr>
          <w:i/>
          <w:szCs w:val="22"/>
          <w:lang w:val="fr-CA"/>
        </w:rPr>
      </w:pPr>
      <w:r w:rsidRPr="001B7C74">
        <w:rPr>
          <w:i/>
          <w:szCs w:val="22"/>
          <w:lang w:val="fr-CA"/>
        </w:rPr>
        <w:t>Financement pour le Groupe de travail chargé d’examiner les rapports des pays prévus dans le Protocole de San Salvador</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rFonts w:eastAsia="Calibri"/>
          <w:szCs w:val="22"/>
          <w:lang w:val="fr-CA" w:eastAsia="en-US"/>
        </w:rPr>
      </w:pPr>
      <w:r w:rsidRPr="001B7C74">
        <w:rPr>
          <w:rFonts w:eastAsia="Calibri"/>
          <w:b/>
          <w:szCs w:val="22"/>
          <w:lang w:val="fr-CA" w:eastAsia="en-US"/>
        </w:rPr>
        <w:t>Mandat </w:t>
      </w:r>
      <w:r w:rsidRPr="001B7C74">
        <w:rPr>
          <w:rFonts w:eastAsia="Calibri"/>
          <w:szCs w:val="22"/>
          <w:lang w:val="fr-CA" w:eastAsia="en-US"/>
        </w:rPr>
        <w:t xml:space="preserve">:  </w:t>
      </w:r>
      <w:r w:rsidRPr="001B7C74">
        <w:rPr>
          <w:color w:val="000000"/>
          <w:szCs w:val="22"/>
          <w:lang w:val="fr-CA"/>
        </w:rPr>
        <w:t xml:space="preserve">De charger le Secrétariat général d'identifier des économies de 20 000 USD au cours du premier semestre 2021 afin de réorienter ce montant vers le financement des activités du Groupe de travail chargé d'examiner les rapports nationaux évoqués dans le Protocole de San Salvador (GTPSS), créé au moyen de la résolution AG/RES. 2908 (XLVII-O/17), au titre du sous-programme 54B du chapitre 5. Cette instruction s'applique exclusivement à l'exercice budgétaire 2021. </w:t>
      </w:r>
      <w:r w:rsidRPr="001B7C74">
        <w:rPr>
          <w:lang w:val="fr-CA"/>
        </w:rPr>
        <w:t>[</w:t>
      </w:r>
      <w:r w:rsidRPr="001B7C74">
        <w:rPr>
          <w:rFonts w:eastAsia="Calibri"/>
          <w:szCs w:val="22"/>
          <w:lang w:val="fr-CA" w:eastAsia="en-US"/>
        </w:rPr>
        <w:t>AG/RES. 2957 (L-O/20) paragraphe II.11]</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rFonts w:eastAsia="Calibri"/>
          <w:szCs w:val="22"/>
          <w:lang w:val="fr-CA" w:eastAsia="en-US"/>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rFonts w:eastAsia="Calibri"/>
          <w:szCs w:val="22"/>
          <w:lang w:val="fr-CA" w:eastAsia="en-US"/>
        </w:rPr>
      </w:pPr>
    </w:p>
    <w:p w:rsidR="004E432F" w:rsidRPr="001B7C74" w:rsidRDefault="004E432F" w:rsidP="004E432F">
      <w:pPr>
        <w:pStyle w:val="TitleUppercase"/>
        <w:numPr>
          <w:ilvl w:val="0"/>
          <w:numId w:val="11"/>
        </w:numPr>
        <w:tabs>
          <w:tab w:val="clear" w:pos="720"/>
          <w:tab w:val="clear" w:pos="1440"/>
          <w:tab w:val="clear" w:pos="2160"/>
          <w:tab w:val="clear" w:pos="2880"/>
          <w:tab w:val="clear" w:pos="7200"/>
          <w:tab w:val="clear" w:pos="7920"/>
          <w:tab w:val="clear" w:pos="8640"/>
        </w:tabs>
        <w:suppressAutoHyphens/>
        <w:ind w:left="1440" w:hanging="720"/>
        <w:jc w:val="both"/>
        <w:rPr>
          <w:i/>
          <w:szCs w:val="22"/>
          <w:lang w:val="fr-CA"/>
        </w:rPr>
      </w:pPr>
      <w:r w:rsidRPr="001B7C74">
        <w:rPr>
          <w:i/>
          <w:szCs w:val="22"/>
          <w:lang w:val="fr-CA"/>
        </w:rPr>
        <w:t xml:space="preserve">Programme-budget pour le cycle budgétaire 2022 </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fr-CA"/>
        </w:rPr>
      </w:pPr>
      <w:r w:rsidRPr="001B7C74">
        <w:rPr>
          <w:b/>
          <w:szCs w:val="22"/>
          <w:lang w:val="fr-CA"/>
        </w:rPr>
        <w:t xml:space="preserve">Mandat :  </w:t>
      </w:r>
    </w:p>
    <w:p w:rsidR="004E432F" w:rsidRPr="001B7C74" w:rsidRDefault="004E432F" w:rsidP="004E432F">
      <w:pPr>
        <w:pStyle w:val="TitleUppercase"/>
        <w:suppressAutoHyphens/>
        <w:ind w:left="720"/>
        <w:jc w:val="both"/>
        <w:rPr>
          <w:szCs w:val="22"/>
          <w:lang w:val="fr-CA"/>
        </w:rPr>
      </w:pPr>
      <w:r w:rsidRPr="001B7C74">
        <w:rPr>
          <w:szCs w:val="22"/>
          <w:lang w:val="fr-CA"/>
        </w:rPr>
        <w:t>a)</w:t>
      </w:r>
      <w:r w:rsidRPr="001B7C74">
        <w:rPr>
          <w:szCs w:val="22"/>
          <w:lang w:val="fr-CA"/>
        </w:rPr>
        <w:tab/>
      </w:r>
      <w:r w:rsidRPr="001B7C74">
        <w:rPr>
          <w:color w:val="000000"/>
          <w:szCs w:val="22"/>
          <w:lang w:val="fr-CA"/>
        </w:rPr>
        <w:t xml:space="preserve">De charger le Secrétariat général de soumettre à la Commission préparatoire un projet de montant global budgétaire pour l’année 2022 ainsi que le montant global budgétaire </w:t>
      </w:r>
      <w:r w:rsidRPr="001B7C74">
        <w:rPr>
          <w:color w:val="000000"/>
          <w:szCs w:val="22"/>
          <w:lang w:val="fr-CA"/>
        </w:rPr>
        <w:lastRenderedPageBreak/>
        <w:t>indicatif pour l’année 2023, y compris l’ajustement au titre du coût de la vie et de l’inflation, le cas échéant, conformément aux normes en vigueur</w:t>
      </w:r>
      <w:r w:rsidRPr="001B7C74">
        <w:rPr>
          <w:szCs w:val="22"/>
          <w:lang w:val="fr-CA"/>
        </w:rPr>
        <w:t xml:space="preserve">.  </w:t>
      </w:r>
    </w:p>
    <w:p w:rsidR="004E432F" w:rsidRPr="001B7C74" w:rsidRDefault="004E432F" w:rsidP="004E432F">
      <w:pPr>
        <w:pStyle w:val="TitleUppercase"/>
        <w:suppressAutoHyphens/>
        <w:ind w:firstLine="720"/>
        <w:rPr>
          <w:szCs w:val="22"/>
          <w:lang w:val="fr-CA"/>
        </w:rPr>
      </w:pPr>
    </w:p>
    <w:p w:rsidR="004E432F" w:rsidRPr="001B7C74" w:rsidRDefault="004E432F" w:rsidP="004E432F">
      <w:pPr>
        <w:pStyle w:val="TitleUppercase"/>
        <w:suppressAutoHyphens/>
        <w:ind w:left="720"/>
        <w:jc w:val="both"/>
        <w:rPr>
          <w:szCs w:val="22"/>
          <w:lang w:val="fr-CA"/>
        </w:rPr>
      </w:pPr>
      <w:r w:rsidRPr="001B7C74">
        <w:rPr>
          <w:szCs w:val="22"/>
          <w:lang w:val="fr-CA"/>
        </w:rPr>
        <w:t>b)</w:t>
      </w:r>
      <w:r w:rsidRPr="001B7C74">
        <w:rPr>
          <w:szCs w:val="22"/>
          <w:lang w:val="fr-CA"/>
        </w:rPr>
        <w:tab/>
      </w:r>
      <w:r w:rsidRPr="001B7C74">
        <w:rPr>
          <w:color w:val="000000"/>
          <w:szCs w:val="22"/>
          <w:lang w:val="fr-CA"/>
        </w:rPr>
        <w:t>Le montant total des dépenses afférentes à la rubrique du personnel (Objet 1 – article 91 des Normes générales de fonctionnement du Secrétariat général) ne doit pas dépasser 64,38 % du montant provisoire du niveau budgétaire global correspondant au Fonds ordinaire pour l’exercice 2022, y compris toute augmentation réglementaire s’avérant nécessaire</w:t>
      </w:r>
      <w:r w:rsidRPr="001B7C74">
        <w:rPr>
          <w:szCs w:val="22"/>
          <w:lang w:val="fr-CA"/>
        </w:rPr>
        <w:t xml:space="preserve">.  </w:t>
      </w:r>
    </w:p>
    <w:p w:rsidR="004E432F" w:rsidRPr="001B7C74" w:rsidRDefault="004E432F" w:rsidP="004E432F">
      <w:pPr>
        <w:pStyle w:val="TitleUppercase"/>
        <w:suppressAutoHyphens/>
        <w:ind w:firstLine="720"/>
        <w:rPr>
          <w:szCs w:val="22"/>
          <w:lang w:val="fr-CA"/>
        </w:rPr>
      </w:pPr>
    </w:p>
    <w:p w:rsidR="004E432F" w:rsidRPr="001B7C74" w:rsidRDefault="004E432F" w:rsidP="004E432F">
      <w:pPr>
        <w:pStyle w:val="TitleUppercase"/>
        <w:suppressAutoHyphens/>
        <w:ind w:left="720"/>
        <w:jc w:val="both"/>
        <w:rPr>
          <w:szCs w:val="22"/>
          <w:lang w:val="fr-CA"/>
        </w:rPr>
      </w:pPr>
      <w:r w:rsidRPr="001B7C74">
        <w:rPr>
          <w:szCs w:val="22"/>
          <w:lang w:val="fr-CA"/>
        </w:rPr>
        <w:t>c)</w:t>
      </w:r>
      <w:r w:rsidRPr="001B7C74">
        <w:rPr>
          <w:szCs w:val="22"/>
          <w:lang w:val="fr-CA"/>
        </w:rPr>
        <w:tab/>
      </w:r>
      <w:r w:rsidRPr="001B7C74">
        <w:rPr>
          <w:color w:val="000000"/>
          <w:szCs w:val="22"/>
          <w:lang w:val="fr-CA"/>
        </w:rPr>
        <w:t>D’établir que le Conseil permanent est autorisé, exceptionnellement, à procéder à ajuster, à sa discrétion et sur l’avis de la CAAP, le pourcentage indiqué au paragraphe précédent, en réponse à des changements dans les facteurs économiques ou financiers pouvant affecter l’exécution du Fonds ordinaire</w:t>
      </w:r>
      <w:r w:rsidRPr="001B7C74">
        <w:rPr>
          <w:szCs w:val="22"/>
          <w:lang w:val="fr-CA"/>
        </w:rPr>
        <w:t xml:space="preserve">.   </w:t>
      </w:r>
    </w:p>
    <w:p w:rsidR="004E432F" w:rsidRPr="001B7C74" w:rsidRDefault="004E432F" w:rsidP="004E432F">
      <w:pPr>
        <w:pStyle w:val="TitleUppercase"/>
        <w:suppressAutoHyphens/>
        <w:ind w:left="720"/>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left="720"/>
        <w:jc w:val="both"/>
        <w:rPr>
          <w:szCs w:val="22"/>
          <w:lang w:val="fr-CA"/>
        </w:rPr>
      </w:pPr>
      <w:r w:rsidRPr="001B7C74">
        <w:rPr>
          <w:szCs w:val="22"/>
          <w:lang w:val="fr-CA"/>
        </w:rPr>
        <w:t>d)</w:t>
      </w:r>
      <w:r w:rsidRPr="001B7C74">
        <w:rPr>
          <w:szCs w:val="22"/>
          <w:lang w:val="fr-CA"/>
        </w:rPr>
        <w:tab/>
      </w:r>
      <w:r w:rsidRPr="001B7C74">
        <w:rPr>
          <w:color w:val="000000"/>
          <w:szCs w:val="22"/>
          <w:lang w:val="fr-CA"/>
        </w:rPr>
        <w:t xml:space="preserve">De demander au Secrétariat général de révéler par écrit à la CAAP, une fois le programme-budget 2022 présenté au Conseil permanent, les virements entre chapitres qui portent ou non sur le personnel, de sorte que les discussions sur le programme-budget soient alimentées par des informations à jour, ce qui permettra et facilitera la prise de décisions fondées sur des faits probants et en toute connaissance de cause. </w:t>
      </w:r>
      <w:r w:rsidRPr="001B7C74">
        <w:rPr>
          <w:szCs w:val="22"/>
          <w:lang w:val="fr-CA"/>
        </w:rPr>
        <w:t>[AG/RES. 2957 (L-O/20) paragraphe IV.1</w:t>
      </w:r>
      <w:r w:rsidRPr="001B7C74">
        <w:rPr>
          <w:color w:val="000000"/>
          <w:szCs w:val="22"/>
          <w:lang w:val="fr-CA"/>
        </w:rPr>
        <w:t>]</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fr-CA"/>
        </w:rPr>
      </w:pPr>
      <w:r w:rsidRPr="001B7C74">
        <w:rPr>
          <w:b/>
          <w:szCs w:val="22"/>
          <w:lang w:val="fr-CA"/>
        </w:rPr>
        <w:t xml:space="preserve"> </w:t>
      </w:r>
    </w:p>
    <w:p w:rsidR="004E432F" w:rsidRPr="001B7C74" w:rsidRDefault="004E432F" w:rsidP="004E432F">
      <w:pPr>
        <w:pStyle w:val="ListParagraph"/>
        <w:numPr>
          <w:ilvl w:val="0"/>
          <w:numId w:val="11"/>
        </w:numPr>
        <w:ind w:left="1440" w:hanging="720"/>
        <w:outlineLvl w:val="1"/>
        <w:rPr>
          <w:rFonts w:eastAsia="MS Mincho"/>
          <w:bCs/>
          <w:i/>
          <w:spacing w:val="-2"/>
          <w:kern w:val="32"/>
          <w:sz w:val="22"/>
          <w:szCs w:val="22"/>
          <w:lang w:val="fr-CA" w:eastAsia="en-US"/>
        </w:rPr>
      </w:pPr>
      <w:r w:rsidRPr="001B7C74">
        <w:rPr>
          <w:rFonts w:eastAsia="MS Mincho"/>
          <w:bCs/>
          <w:i/>
          <w:spacing w:val="-2"/>
          <w:kern w:val="32"/>
          <w:sz w:val="22"/>
          <w:szCs w:val="22"/>
          <w:lang w:val="fr-CA" w:eastAsia="en-US"/>
        </w:rPr>
        <w:t>Mobilisation de ressources extérieures</w:t>
      </w:r>
    </w:p>
    <w:p w:rsidR="004E432F" w:rsidRPr="001B7C74" w:rsidRDefault="004E432F" w:rsidP="004E432F">
      <w:pPr>
        <w:ind w:left="720"/>
        <w:outlineLvl w:val="1"/>
        <w:rPr>
          <w:rFonts w:eastAsia="MS Mincho"/>
          <w:b/>
          <w:bCs/>
          <w:spacing w:val="-2"/>
          <w:kern w:val="32"/>
          <w:szCs w:val="22"/>
          <w:lang w:val="fr-CA" w:eastAsia="en-US"/>
        </w:rPr>
      </w:pPr>
    </w:p>
    <w:p w:rsidR="004E432F" w:rsidRPr="001B7C74" w:rsidRDefault="004E432F" w:rsidP="004E432F">
      <w:pPr>
        <w:ind w:left="720"/>
        <w:outlineLvl w:val="1"/>
        <w:rPr>
          <w:rFonts w:eastAsia="MS Mincho"/>
          <w:b/>
          <w:bCs/>
          <w:spacing w:val="-2"/>
          <w:kern w:val="32"/>
          <w:szCs w:val="22"/>
          <w:lang w:val="fr-CA" w:eastAsia="en-US"/>
        </w:rPr>
      </w:pPr>
      <w:r w:rsidRPr="001B7C74">
        <w:rPr>
          <w:rFonts w:eastAsia="MS Mincho"/>
          <w:b/>
          <w:bCs/>
          <w:spacing w:val="-2"/>
          <w:kern w:val="32"/>
          <w:szCs w:val="22"/>
          <w:lang w:val="fr-CA" w:eastAsia="en-US"/>
        </w:rPr>
        <w:t>Mandat :</w:t>
      </w:r>
    </w:p>
    <w:p w:rsidR="004E432F" w:rsidRPr="001B7C74" w:rsidRDefault="004E432F" w:rsidP="004E432F">
      <w:pPr>
        <w:numPr>
          <w:ilvl w:val="0"/>
          <w:numId w:val="15"/>
        </w:numPr>
        <w:ind w:left="720" w:firstLine="0"/>
        <w:outlineLvl w:val="1"/>
        <w:rPr>
          <w:rFonts w:eastAsia="MS Mincho"/>
          <w:bCs/>
          <w:spacing w:val="-2"/>
          <w:kern w:val="32"/>
          <w:szCs w:val="22"/>
          <w:lang w:val="fr-CA" w:eastAsia="en-US"/>
        </w:rPr>
      </w:pPr>
      <w:r w:rsidRPr="001B7C74">
        <w:rPr>
          <w:color w:val="000000"/>
          <w:szCs w:val="22"/>
          <w:lang w:val="fr-CA"/>
        </w:rPr>
        <w:t>De charger le Secrétaire général de poursuivre ses efforts pour mobiliser des ressources extérieures destinées à la mise en œuvre des mandats de l'Assemblée générale et de maintenir la transparence et la gestion avisée dans l’emploi des fonds et l’élaboration des rapports y relatifs dans les rapports semestriels sur l’administration des ressources et les résultats</w:t>
      </w:r>
      <w:r w:rsidRPr="001B7C74">
        <w:rPr>
          <w:rFonts w:eastAsia="MS Mincho"/>
          <w:bCs/>
          <w:spacing w:val="-2"/>
          <w:kern w:val="32"/>
          <w:szCs w:val="22"/>
          <w:lang w:val="fr-CA" w:eastAsia="en-US"/>
        </w:rPr>
        <w:t xml:space="preserve">. </w:t>
      </w:r>
      <w:r w:rsidRPr="001B7C74">
        <w:rPr>
          <w:rFonts w:eastAsia="MS Mincho"/>
          <w:bCs/>
          <w:i/>
          <w:iCs/>
          <w:spacing w:val="-2"/>
          <w:kern w:val="32"/>
          <w:szCs w:val="22"/>
          <w:lang w:val="fr-CA" w:eastAsia="en-US"/>
        </w:rPr>
        <w:t xml:space="preserve">  </w:t>
      </w:r>
    </w:p>
    <w:p w:rsidR="004E432F" w:rsidRPr="001B7C74" w:rsidRDefault="004E432F" w:rsidP="004E432F">
      <w:pPr>
        <w:ind w:left="720"/>
        <w:outlineLvl w:val="1"/>
        <w:rPr>
          <w:rFonts w:eastAsia="MS Mincho"/>
          <w:bCs/>
          <w:spacing w:val="-2"/>
          <w:kern w:val="32"/>
          <w:szCs w:val="22"/>
          <w:lang w:val="fr-CA" w:eastAsia="en-US"/>
        </w:rPr>
      </w:pPr>
    </w:p>
    <w:p w:rsidR="004E432F" w:rsidRPr="001B7C74" w:rsidRDefault="004E432F" w:rsidP="004E432F">
      <w:pPr>
        <w:ind w:left="720"/>
        <w:outlineLvl w:val="1"/>
        <w:rPr>
          <w:rFonts w:eastAsia="MS Mincho"/>
          <w:bCs/>
          <w:spacing w:val="-2"/>
          <w:kern w:val="32"/>
          <w:szCs w:val="22"/>
          <w:lang w:val="fr-CA" w:eastAsia="en-US"/>
        </w:rPr>
      </w:pPr>
      <w:r w:rsidRPr="001B7C74">
        <w:rPr>
          <w:rFonts w:eastAsia="MS Mincho"/>
          <w:bCs/>
          <w:spacing w:val="-2"/>
          <w:kern w:val="32"/>
          <w:szCs w:val="22"/>
          <w:lang w:val="fr-CA" w:eastAsia="en-US"/>
        </w:rPr>
        <w:t>b)</w:t>
      </w:r>
      <w:r w:rsidRPr="001B7C74">
        <w:rPr>
          <w:rFonts w:eastAsia="MS Mincho"/>
          <w:bCs/>
          <w:spacing w:val="-2"/>
          <w:kern w:val="32"/>
          <w:szCs w:val="22"/>
          <w:lang w:val="fr-CA" w:eastAsia="en-US"/>
        </w:rPr>
        <w:tab/>
      </w:r>
      <w:r w:rsidRPr="001B7C74">
        <w:rPr>
          <w:szCs w:val="22"/>
          <w:lang w:val="fr-CA"/>
        </w:rPr>
        <w:t>Dans la poursuite du mandat de mobilisation des ressources extérieures, le Secrétariat général est en outre chargé de souligner l'importance égale des quatre piliers de l'Organisation – démocratie, droits de la personne, développement intégré et sécurité multidimensionnelle – et de veiller à ce que les activités de plaidoyer en faveur de la réalisation de ce mandat comprennent la recherche de ressources régies par les principes d'équilibre, de proportionnalité et d'équité des piliers, et reflètent les mandats convenus par les organes représentatifs de l'Organisation</w:t>
      </w:r>
      <w:r w:rsidRPr="001B7C74">
        <w:rPr>
          <w:rFonts w:eastAsia="MS Mincho"/>
          <w:bCs/>
          <w:spacing w:val="-2"/>
          <w:kern w:val="32"/>
          <w:szCs w:val="22"/>
          <w:lang w:val="fr-CA" w:eastAsia="en-US"/>
        </w:rPr>
        <w:t xml:space="preserve">. </w:t>
      </w:r>
      <w:r w:rsidRPr="001B7C74">
        <w:rPr>
          <w:rFonts w:eastAsia="MS Mincho"/>
          <w:bCs/>
          <w:i/>
          <w:iCs/>
          <w:spacing w:val="-2"/>
          <w:kern w:val="32"/>
          <w:szCs w:val="22"/>
          <w:lang w:val="fr-CA" w:eastAsia="en-US"/>
        </w:rPr>
        <w:t xml:space="preserve">  </w:t>
      </w:r>
    </w:p>
    <w:p w:rsidR="004E432F" w:rsidRPr="001B7C74" w:rsidRDefault="004E432F" w:rsidP="004E432F">
      <w:pPr>
        <w:ind w:left="720"/>
        <w:outlineLvl w:val="1"/>
        <w:rPr>
          <w:rFonts w:eastAsia="MS Mincho"/>
          <w:bCs/>
          <w:spacing w:val="-2"/>
          <w:kern w:val="32"/>
          <w:szCs w:val="22"/>
          <w:lang w:val="fr-CA" w:eastAsia="en-US"/>
        </w:rPr>
      </w:pPr>
    </w:p>
    <w:p w:rsidR="004E432F" w:rsidRPr="001B7C74" w:rsidRDefault="004E432F" w:rsidP="004E432F">
      <w:pPr>
        <w:ind w:left="720"/>
        <w:outlineLvl w:val="1"/>
        <w:rPr>
          <w:rFonts w:eastAsia="MS Mincho"/>
          <w:bCs/>
          <w:spacing w:val="-2"/>
          <w:kern w:val="32"/>
          <w:szCs w:val="22"/>
          <w:lang w:val="fr-CA" w:eastAsia="en-US"/>
        </w:rPr>
      </w:pPr>
      <w:r w:rsidRPr="001B7C74">
        <w:rPr>
          <w:rFonts w:eastAsia="MS Mincho"/>
          <w:bCs/>
          <w:spacing w:val="-2"/>
          <w:kern w:val="32"/>
          <w:szCs w:val="22"/>
          <w:lang w:val="fr-CA" w:eastAsia="en-US"/>
        </w:rPr>
        <w:t xml:space="preserve">c) </w:t>
      </w:r>
      <w:r w:rsidRPr="001B7C74">
        <w:rPr>
          <w:rFonts w:eastAsia="MS Mincho"/>
          <w:bCs/>
          <w:spacing w:val="-2"/>
          <w:kern w:val="32"/>
          <w:szCs w:val="22"/>
          <w:lang w:val="fr-CA" w:eastAsia="en-US"/>
        </w:rPr>
        <w:tab/>
      </w:r>
      <w:r w:rsidRPr="001B7C74">
        <w:rPr>
          <w:bCs/>
          <w:color w:val="000000"/>
          <w:szCs w:val="22"/>
          <w:lang w:val="fr-CA"/>
        </w:rPr>
        <w:t>De charger le Secrétaire général d’inclure dans les rapports semestriels sur la gestion des ressources et les résultats, dans le chapitre correspondant aux projets présentés par la Commission d’évaluation des projets, l’information additionnelle sur tous les projets qui sont approuvés et en cours d’exécution, y compris l’information sur leur portée, les mandats sur lesquels ils s’appuient, leur périodicité, leur état d’exécution et leurs sources de financement, afin de disposer d’un document complet sur l’emploi des ressources provenant des fonds spécifiques</w:t>
      </w:r>
      <w:r w:rsidRPr="001B7C74">
        <w:rPr>
          <w:rFonts w:eastAsia="MS Mincho"/>
          <w:bCs/>
          <w:spacing w:val="-2"/>
          <w:kern w:val="32"/>
          <w:szCs w:val="22"/>
          <w:lang w:val="fr-CA" w:eastAsia="en-US"/>
        </w:rPr>
        <w:t xml:space="preserve">. </w:t>
      </w:r>
      <w:r w:rsidRPr="001B7C74">
        <w:rPr>
          <w:rFonts w:eastAsia="MS Mincho"/>
          <w:bCs/>
          <w:i/>
          <w:iCs/>
          <w:spacing w:val="-2"/>
          <w:kern w:val="32"/>
          <w:szCs w:val="22"/>
          <w:lang w:val="fr-CA" w:eastAsia="en-US"/>
        </w:rPr>
        <w:t xml:space="preserve">  </w:t>
      </w:r>
    </w:p>
    <w:p w:rsidR="004E432F" w:rsidRPr="001B7C74" w:rsidRDefault="004E432F" w:rsidP="004E432F">
      <w:pPr>
        <w:ind w:left="720"/>
        <w:outlineLvl w:val="1"/>
        <w:rPr>
          <w:rFonts w:eastAsia="MS Mincho"/>
          <w:bCs/>
          <w:spacing w:val="-2"/>
          <w:kern w:val="32"/>
          <w:szCs w:val="22"/>
          <w:lang w:val="fr-CA" w:eastAsia="en-US"/>
        </w:rPr>
      </w:pPr>
    </w:p>
    <w:p w:rsidR="004E432F" w:rsidRPr="001B7C74" w:rsidRDefault="004E432F" w:rsidP="004E432F">
      <w:pPr>
        <w:numPr>
          <w:ilvl w:val="0"/>
          <w:numId w:val="16"/>
        </w:numPr>
        <w:ind w:firstLine="0"/>
        <w:outlineLvl w:val="1"/>
        <w:rPr>
          <w:rFonts w:eastAsia="MS Mincho"/>
          <w:bCs/>
          <w:spacing w:val="-2"/>
          <w:kern w:val="32"/>
          <w:szCs w:val="22"/>
          <w:lang w:val="fr-CA" w:eastAsia="en-US"/>
        </w:rPr>
      </w:pPr>
      <w:r w:rsidRPr="001B7C74">
        <w:rPr>
          <w:bCs/>
          <w:color w:val="000000"/>
          <w:szCs w:val="22"/>
          <w:lang w:val="fr-CA"/>
        </w:rPr>
        <w:t xml:space="preserve">De charger le Secrétaire général de poursuivre, en consultation avec le Conseil permanent, la mise en application d’un plan stratégique visant à obtenir le soutien et le financement extérieurs nécessaires pour la mise en œuvre des mandats établis par les États </w:t>
      </w:r>
      <w:r w:rsidRPr="001B7C74">
        <w:rPr>
          <w:bCs/>
          <w:color w:val="000000"/>
          <w:szCs w:val="22"/>
          <w:lang w:val="fr-CA"/>
        </w:rPr>
        <w:lastRenderedPageBreak/>
        <w:t>membres et pour les priorités de l’Organisation, et de charger le Secrétariat général de faire rapport sur les progrès de cette mise en application dans le rapport semestriel sur la gestion des ressources et les résultats</w:t>
      </w:r>
      <w:r w:rsidRPr="001B7C74">
        <w:rPr>
          <w:rFonts w:eastAsia="MS Mincho"/>
          <w:bCs/>
          <w:spacing w:val="-2"/>
          <w:kern w:val="32"/>
          <w:szCs w:val="22"/>
          <w:lang w:val="fr-CA" w:eastAsia="en-US"/>
        </w:rPr>
        <w:t xml:space="preserve">. </w:t>
      </w:r>
      <w:r w:rsidRPr="001B7C74">
        <w:rPr>
          <w:rFonts w:eastAsia="MS Mincho"/>
          <w:bCs/>
          <w:i/>
          <w:iCs/>
          <w:spacing w:val="-2"/>
          <w:kern w:val="32"/>
          <w:szCs w:val="22"/>
          <w:lang w:val="fr-CA" w:eastAsia="en-US"/>
        </w:rPr>
        <w:t xml:space="preserve">  </w:t>
      </w:r>
    </w:p>
    <w:p w:rsidR="004E432F" w:rsidRPr="001B7C74" w:rsidRDefault="004E432F" w:rsidP="004E432F">
      <w:pPr>
        <w:ind w:left="720"/>
        <w:outlineLvl w:val="1"/>
        <w:rPr>
          <w:rFonts w:eastAsia="MS Mincho"/>
          <w:bCs/>
          <w:spacing w:val="-2"/>
          <w:kern w:val="32"/>
          <w:szCs w:val="22"/>
          <w:lang w:val="fr-CA" w:eastAsia="en-US"/>
        </w:rPr>
      </w:pPr>
    </w:p>
    <w:p w:rsidR="004E432F" w:rsidRPr="001B7C74" w:rsidRDefault="004E432F" w:rsidP="004E432F">
      <w:pPr>
        <w:ind w:left="720"/>
        <w:outlineLvl w:val="1"/>
        <w:rPr>
          <w:rFonts w:eastAsia="MS Mincho"/>
          <w:bCs/>
          <w:spacing w:val="-2"/>
          <w:kern w:val="32"/>
          <w:szCs w:val="22"/>
          <w:lang w:val="fr-CA" w:eastAsia="en-US"/>
        </w:rPr>
      </w:pPr>
      <w:r w:rsidRPr="001B7C74">
        <w:rPr>
          <w:rFonts w:eastAsia="MS Mincho"/>
          <w:bCs/>
          <w:spacing w:val="-2"/>
          <w:kern w:val="32"/>
          <w:szCs w:val="22"/>
          <w:lang w:val="fr-CA" w:eastAsia="en-US"/>
        </w:rPr>
        <w:t>e)</w:t>
      </w:r>
      <w:r w:rsidRPr="001B7C74">
        <w:rPr>
          <w:rFonts w:eastAsia="MS Mincho"/>
          <w:bCs/>
          <w:spacing w:val="-2"/>
          <w:kern w:val="32"/>
          <w:szCs w:val="22"/>
          <w:lang w:val="fr-CA" w:eastAsia="en-US"/>
        </w:rPr>
        <w:tab/>
      </w:r>
      <w:r w:rsidRPr="001B7C74">
        <w:rPr>
          <w:bCs/>
          <w:color w:val="000000"/>
          <w:szCs w:val="22"/>
          <w:lang w:val="fr-CA"/>
        </w:rPr>
        <w:t xml:space="preserve">De charger le Secrétariat général d’effectuer, conformément à la présente résolution et à la résolution </w:t>
      </w:r>
      <w:hyperlink r:id="rId15" w:history="1">
        <w:r w:rsidRPr="001B7C74">
          <w:rPr>
            <w:color w:val="0000FF"/>
            <w:szCs w:val="22"/>
            <w:u w:val="single"/>
            <w:lang w:val="fr-CA"/>
          </w:rPr>
          <w:t>AG/RES.  2 (LI-E/16)</w:t>
        </w:r>
      </w:hyperlink>
      <w:r w:rsidRPr="001B7C74">
        <w:rPr>
          <w:bCs/>
          <w:color w:val="000000"/>
          <w:szCs w:val="22"/>
          <w:lang w:val="fr-CA"/>
        </w:rPr>
        <w:t xml:space="preserve"> rev. 4, une analyse de diverses options additionnelles de financement qui assurent la viabilité à long terme de la Commission interaméricaine des droits de l’homme (CIDH) et de la Cour interaméricaine des droits de l’homme, s’assurant que la section xvi. de la résolution </w:t>
      </w:r>
      <w:hyperlink r:id="rId16" w:history="1">
        <w:r w:rsidRPr="001B7C74">
          <w:rPr>
            <w:color w:val="0000FF"/>
            <w:szCs w:val="22"/>
            <w:u w:val="single"/>
            <w:lang w:val="fr-CA"/>
          </w:rPr>
          <w:t>AG/RES. 2908 (XLVII-O/17)</w:t>
        </w:r>
      </w:hyperlink>
      <w:r w:rsidRPr="001B7C74">
        <w:rPr>
          <w:bCs/>
          <w:color w:val="000000"/>
          <w:szCs w:val="22"/>
          <w:lang w:val="fr-CA"/>
        </w:rPr>
        <w:t xml:space="preserve">  et la résolution </w:t>
      </w:r>
      <w:hyperlink r:id="rId17" w:tgtFrame="_blank" w:history="1">
        <w:hyperlink r:id="rId18" w:history="1">
          <w:r w:rsidRPr="001B7C74">
            <w:rPr>
              <w:color w:val="0000FF"/>
              <w:szCs w:val="22"/>
              <w:u w:val="single"/>
              <w:lang w:val="fr-CA"/>
            </w:rPr>
            <w:t>AG/RES. 2912 (XLVII-O/17)</w:t>
          </w:r>
        </w:hyperlink>
      </w:hyperlink>
      <w:r w:rsidRPr="001B7C74">
        <w:rPr>
          <w:bCs/>
          <w:color w:val="000000"/>
          <w:szCs w:val="22"/>
          <w:lang w:val="fr-CA"/>
        </w:rPr>
        <w:t xml:space="preserve"> soient respectées. Cette analyse devra être présentée au Conseil permanent pour examen au plus tard le 15 mars 2021</w:t>
      </w:r>
      <w:r w:rsidRPr="001B7C74">
        <w:rPr>
          <w:rFonts w:eastAsia="MS Mincho"/>
          <w:bCs/>
          <w:spacing w:val="-2"/>
          <w:kern w:val="32"/>
          <w:szCs w:val="22"/>
          <w:lang w:val="fr-CA" w:eastAsia="en-US"/>
        </w:rPr>
        <w:t xml:space="preserve">. </w:t>
      </w:r>
      <w:r w:rsidRPr="001B7C74">
        <w:rPr>
          <w:rFonts w:eastAsia="MS Mincho"/>
          <w:bCs/>
          <w:i/>
          <w:iCs/>
          <w:spacing w:val="-2"/>
          <w:kern w:val="32"/>
          <w:szCs w:val="22"/>
          <w:lang w:val="fr-CA" w:eastAsia="en-US"/>
        </w:rPr>
        <w:t xml:space="preserve">  </w:t>
      </w:r>
    </w:p>
    <w:p w:rsidR="004E432F" w:rsidRPr="001B7C74" w:rsidRDefault="004E432F" w:rsidP="004E432F">
      <w:pPr>
        <w:ind w:left="720"/>
        <w:outlineLvl w:val="1"/>
        <w:rPr>
          <w:rFonts w:eastAsia="MS Mincho"/>
          <w:bCs/>
          <w:spacing w:val="-2"/>
          <w:kern w:val="32"/>
          <w:szCs w:val="22"/>
          <w:lang w:val="fr-CA" w:eastAsia="en-US"/>
        </w:rPr>
      </w:pPr>
    </w:p>
    <w:p w:rsidR="004E432F" w:rsidRPr="001B7C74" w:rsidRDefault="004E432F" w:rsidP="004E432F">
      <w:pPr>
        <w:ind w:left="720"/>
        <w:outlineLvl w:val="1"/>
        <w:rPr>
          <w:rFonts w:eastAsia="MS Mincho"/>
          <w:bCs/>
          <w:spacing w:val="-2"/>
          <w:kern w:val="32"/>
          <w:szCs w:val="22"/>
          <w:lang w:val="fr-CA" w:eastAsia="en-US"/>
        </w:rPr>
      </w:pPr>
      <w:r w:rsidRPr="001B7C74">
        <w:rPr>
          <w:rFonts w:eastAsia="MS Mincho"/>
          <w:bCs/>
          <w:spacing w:val="-2"/>
          <w:kern w:val="32"/>
          <w:szCs w:val="22"/>
          <w:lang w:val="fr-CA" w:eastAsia="en-US"/>
        </w:rPr>
        <w:t xml:space="preserve">f) </w:t>
      </w:r>
      <w:r w:rsidRPr="001B7C74">
        <w:rPr>
          <w:rFonts w:eastAsia="MS Mincho"/>
          <w:bCs/>
          <w:spacing w:val="-2"/>
          <w:kern w:val="32"/>
          <w:szCs w:val="22"/>
          <w:lang w:val="fr-CA" w:eastAsia="en-US"/>
        </w:rPr>
        <w:tab/>
        <w:t xml:space="preserve">De charger le Secrétariat général, conformément à la résolution </w:t>
      </w:r>
      <w:hyperlink r:id="rId19" w:history="1">
        <w:r w:rsidRPr="001B7C74">
          <w:rPr>
            <w:rStyle w:val="Hyperlink"/>
            <w:rFonts w:eastAsia="MS Mincho"/>
            <w:bCs/>
            <w:spacing w:val="-2"/>
            <w:kern w:val="32"/>
            <w:szCs w:val="22"/>
            <w:lang w:val="fr-CA" w:eastAsia="en-US"/>
          </w:rPr>
          <w:t>AG/RES. 617 (XII</w:t>
        </w:r>
        <w:bookmarkStart w:id="0" w:name="_Hlt505678580"/>
        <w:bookmarkEnd w:id="0"/>
        <w:r w:rsidRPr="001B7C74">
          <w:rPr>
            <w:rStyle w:val="Hyperlink"/>
            <w:rFonts w:eastAsia="MS Mincho"/>
            <w:bCs/>
            <w:spacing w:val="-2"/>
            <w:kern w:val="32"/>
            <w:szCs w:val="22"/>
            <w:lang w:val="fr-CA" w:eastAsia="en-US"/>
          </w:rPr>
          <w:t>-O/82)</w:t>
        </w:r>
      </w:hyperlink>
      <w:r w:rsidRPr="001B7C74">
        <w:rPr>
          <w:rFonts w:eastAsia="MS Mincho"/>
          <w:bCs/>
          <w:spacing w:val="-2"/>
          <w:kern w:val="32"/>
          <w:szCs w:val="22"/>
          <w:lang w:val="fr-CA" w:eastAsia="en-US"/>
        </w:rPr>
        <w:t xml:space="preserve">: </w:t>
      </w:r>
    </w:p>
    <w:p w:rsidR="004E432F" w:rsidRPr="001B7C74" w:rsidRDefault="004E432F" w:rsidP="004E432F">
      <w:pPr>
        <w:ind w:left="720"/>
        <w:outlineLvl w:val="1"/>
        <w:rPr>
          <w:rFonts w:eastAsia="MS Mincho"/>
          <w:bCs/>
          <w:spacing w:val="-2"/>
          <w:kern w:val="32"/>
          <w:szCs w:val="22"/>
          <w:lang w:val="fr-CA" w:eastAsia="en-US"/>
        </w:rPr>
      </w:pPr>
    </w:p>
    <w:p w:rsidR="004E432F" w:rsidRPr="001B7C74" w:rsidRDefault="004E432F" w:rsidP="004E432F">
      <w:pPr>
        <w:ind w:left="2160" w:hanging="720"/>
        <w:outlineLvl w:val="1"/>
        <w:rPr>
          <w:rFonts w:eastAsia="MS Mincho"/>
          <w:bCs/>
          <w:spacing w:val="-2"/>
          <w:kern w:val="32"/>
          <w:szCs w:val="22"/>
          <w:lang w:val="fr-CA" w:eastAsia="en-US"/>
        </w:rPr>
      </w:pPr>
      <w:r w:rsidRPr="001B7C74">
        <w:rPr>
          <w:rFonts w:eastAsia="MS Mincho"/>
          <w:bCs/>
          <w:spacing w:val="-2"/>
          <w:kern w:val="32"/>
          <w:szCs w:val="22"/>
          <w:lang w:val="fr-CA" w:eastAsia="en-US"/>
        </w:rPr>
        <w:t>i.</w:t>
      </w:r>
      <w:r w:rsidRPr="001B7C74">
        <w:rPr>
          <w:rFonts w:eastAsia="MS Mincho"/>
          <w:bCs/>
          <w:spacing w:val="-2"/>
          <w:kern w:val="32"/>
          <w:szCs w:val="22"/>
          <w:lang w:val="fr-CA" w:eastAsia="en-US"/>
        </w:rPr>
        <w:tab/>
      </w:r>
      <w:r w:rsidRPr="001B7C74">
        <w:rPr>
          <w:color w:val="000000"/>
          <w:szCs w:val="22"/>
          <w:lang w:val="fr-CA"/>
        </w:rPr>
        <w:t xml:space="preserve">De faire rapport </w:t>
      </w:r>
      <w:r w:rsidRPr="001B7C74">
        <w:rPr>
          <w:bCs/>
          <w:color w:val="000000"/>
          <w:szCs w:val="22"/>
          <w:lang w:val="fr-CA"/>
        </w:rPr>
        <w:t>tous les six mois</w:t>
      </w:r>
      <w:r w:rsidRPr="001B7C74">
        <w:rPr>
          <w:b/>
          <w:bCs/>
          <w:color w:val="000000"/>
          <w:szCs w:val="22"/>
          <w:lang w:val="fr-CA"/>
        </w:rPr>
        <w:t xml:space="preserve"> </w:t>
      </w:r>
      <w:r w:rsidRPr="001B7C74">
        <w:rPr>
          <w:color w:val="000000"/>
          <w:szCs w:val="22"/>
          <w:lang w:val="fr-CA"/>
        </w:rPr>
        <w:t>aux organes compétents en l'espèce de l'Organisation sur les projets qui n'émargent pas au programme-budget de celle-ci mais bénéficient de contributions apportées par des États non membres ayant le statut d'observateur permanent auprès de l'OEA</w:t>
      </w:r>
      <w:r w:rsidRPr="001B7C74">
        <w:rPr>
          <w:rFonts w:eastAsia="MS Mincho"/>
          <w:bCs/>
          <w:spacing w:val="-2"/>
          <w:kern w:val="32"/>
          <w:szCs w:val="22"/>
          <w:lang w:val="fr-CA" w:eastAsia="en-US"/>
        </w:rPr>
        <w:t xml:space="preserve">;   </w:t>
      </w:r>
    </w:p>
    <w:p w:rsidR="004E432F" w:rsidRPr="001B7C74" w:rsidRDefault="004E432F" w:rsidP="004E432F">
      <w:pPr>
        <w:ind w:left="1440"/>
        <w:outlineLvl w:val="1"/>
        <w:rPr>
          <w:rFonts w:eastAsia="MS Mincho"/>
          <w:bCs/>
          <w:spacing w:val="-2"/>
          <w:kern w:val="32"/>
          <w:szCs w:val="22"/>
          <w:lang w:val="fr-CA" w:eastAsia="en-US"/>
        </w:rPr>
      </w:pPr>
    </w:p>
    <w:p w:rsidR="004E432F" w:rsidRPr="001B7C74" w:rsidRDefault="004E432F" w:rsidP="004E432F">
      <w:pPr>
        <w:ind w:left="2160" w:hanging="720"/>
        <w:outlineLvl w:val="1"/>
        <w:rPr>
          <w:rFonts w:eastAsia="MS Mincho"/>
          <w:bCs/>
          <w:spacing w:val="-2"/>
          <w:kern w:val="32"/>
          <w:szCs w:val="22"/>
          <w:lang w:val="fr-CA" w:eastAsia="en-US"/>
        </w:rPr>
      </w:pPr>
      <w:r w:rsidRPr="001B7C74">
        <w:rPr>
          <w:rFonts w:eastAsia="MS Mincho"/>
          <w:bCs/>
          <w:spacing w:val="-2"/>
          <w:kern w:val="32"/>
          <w:szCs w:val="22"/>
          <w:lang w:val="fr-CA" w:eastAsia="en-US"/>
        </w:rPr>
        <w:t>ii.</w:t>
      </w:r>
      <w:r w:rsidRPr="001B7C74">
        <w:rPr>
          <w:rFonts w:eastAsia="MS Mincho"/>
          <w:bCs/>
          <w:spacing w:val="-2"/>
          <w:kern w:val="32"/>
          <w:szCs w:val="22"/>
          <w:lang w:val="fr-CA" w:eastAsia="en-US"/>
        </w:rPr>
        <w:tab/>
      </w:r>
      <w:r w:rsidRPr="001B7C74">
        <w:rPr>
          <w:color w:val="000000"/>
          <w:szCs w:val="22"/>
          <w:lang w:val="fr-CA"/>
        </w:rPr>
        <w:t>En ce qui concerne les projets dont les contributions extérieures proviennent d’États non membres qui n’ont pas le statut d’observateur permanent auprès de l’Organisation, de mener les consultations préalables qui s’imposent auprès du conseil compétent en l’espèce</w:t>
      </w:r>
      <w:r w:rsidRPr="001B7C74">
        <w:rPr>
          <w:rFonts w:eastAsia="MS Mincho"/>
          <w:bCs/>
          <w:spacing w:val="-2"/>
          <w:kern w:val="32"/>
          <w:szCs w:val="22"/>
          <w:lang w:val="fr-CA" w:eastAsia="en-US"/>
        </w:rPr>
        <w:t xml:space="preserve">;   </w:t>
      </w:r>
    </w:p>
    <w:p w:rsidR="004E432F" w:rsidRPr="001B7C74" w:rsidRDefault="004E432F" w:rsidP="004E432F">
      <w:pPr>
        <w:ind w:left="1440"/>
        <w:outlineLvl w:val="1"/>
        <w:rPr>
          <w:rFonts w:eastAsia="MS Mincho"/>
          <w:bCs/>
          <w:spacing w:val="-2"/>
          <w:kern w:val="32"/>
          <w:szCs w:val="22"/>
          <w:lang w:val="fr-CA" w:eastAsia="en-US"/>
        </w:rPr>
      </w:pPr>
    </w:p>
    <w:p w:rsidR="004E432F" w:rsidRPr="001B7C74" w:rsidRDefault="004E432F" w:rsidP="004E432F">
      <w:pPr>
        <w:ind w:left="2160" w:hanging="720"/>
        <w:outlineLvl w:val="1"/>
        <w:rPr>
          <w:rFonts w:eastAsia="MS Mincho"/>
          <w:bCs/>
          <w:spacing w:val="-2"/>
          <w:kern w:val="32"/>
          <w:szCs w:val="22"/>
          <w:lang w:val="fr-CA" w:eastAsia="en-US"/>
        </w:rPr>
      </w:pPr>
      <w:r w:rsidRPr="001B7C74">
        <w:rPr>
          <w:rFonts w:eastAsia="MS Mincho"/>
          <w:bCs/>
          <w:spacing w:val="-2"/>
          <w:kern w:val="32"/>
          <w:szCs w:val="22"/>
          <w:lang w:val="fr-CA" w:eastAsia="en-US"/>
        </w:rPr>
        <w:t>iii.</w:t>
      </w:r>
      <w:r w:rsidRPr="001B7C74">
        <w:rPr>
          <w:rFonts w:eastAsia="MS Mincho"/>
          <w:bCs/>
          <w:spacing w:val="-2"/>
          <w:kern w:val="32"/>
          <w:szCs w:val="22"/>
          <w:lang w:val="fr-CA" w:eastAsia="en-US"/>
        </w:rPr>
        <w:tab/>
      </w:r>
      <w:r w:rsidRPr="001B7C74">
        <w:rPr>
          <w:color w:val="000000"/>
          <w:szCs w:val="22"/>
          <w:lang w:val="fr-CA"/>
        </w:rPr>
        <w:t>En ce qui concerne des conventions générales de coopération tant avec des pays observateurs permanents qu’avec d’autres États non membres, de demander l’approbation préalable du Conseil permanent</w:t>
      </w:r>
      <w:r w:rsidRPr="001B7C74">
        <w:rPr>
          <w:rFonts w:eastAsia="MS Mincho"/>
          <w:bCs/>
          <w:spacing w:val="-2"/>
          <w:kern w:val="32"/>
          <w:szCs w:val="22"/>
          <w:lang w:val="fr-CA" w:eastAsia="en-US"/>
        </w:rPr>
        <w:t xml:space="preserve">.   </w:t>
      </w:r>
    </w:p>
    <w:p w:rsidR="004E432F" w:rsidRPr="001B7C74" w:rsidRDefault="004E432F" w:rsidP="004E432F">
      <w:pPr>
        <w:ind w:left="720"/>
        <w:outlineLvl w:val="1"/>
        <w:rPr>
          <w:rFonts w:eastAsia="MS Mincho"/>
          <w:bCs/>
          <w:spacing w:val="-2"/>
          <w:kern w:val="32"/>
          <w:szCs w:val="22"/>
          <w:lang w:val="fr-CA" w:eastAsia="en-US"/>
        </w:rPr>
      </w:pPr>
    </w:p>
    <w:p w:rsidR="004E432F" w:rsidRPr="001B7C74" w:rsidRDefault="004E432F" w:rsidP="004E432F">
      <w:pPr>
        <w:ind w:left="720"/>
        <w:outlineLvl w:val="1"/>
        <w:rPr>
          <w:rFonts w:eastAsia="MS Mincho"/>
          <w:bCs/>
          <w:spacing w:val="-2"/>
          <w:kern w:val="32"/>
          <w:szCs w:val="22"/>
          <w:lang w:val="fr-CA" w:eastAsia="en-US"/>
        </w:rPr>
      </w:pPr>
      <w:r w:rsidRPr="001B7C74">
        <w:rPr>
          <w:rFonts w:eastAsia="MS Mincho"/>
          <w:bCs/>
          <w:spacing w:val="-2"/>
          <w:kern w:val="32"/>
          <w:szCs w:val="22"/>
          <w:lang w:val="fr-CA" w:eastAsia="en-US"/>
        </w:rPr>
        <w:t>g)</w:t>
      </w:r>
      <w:r w:rsidRPr="001B7C74">
        <w:rPr>
          <w:rFonts w:eastAsia="MS Mincho"/>
          <w:bCs/>
          <w:spacing w:val="-2"/>
          <w:kern w:val="32"/>
          <w:szCs w:val="22"/>
          <w:lang w:val="fr-CA" w:eastAsia="en-US"/>
        </w:rPr>
        <w:tab/>
      </w:r>
      <w:r w:rsidRPr="001B7C74">
        <w:rPr>
          <w:bCs/>
          <w:color w:val="000000"/>
          <w:szCs w:val="22"/>
          <w:lang w:val="fr-CA"/>
        </w:rPr>
        <w:t>De faire rapport aux États membres sur les accords, contrats et/ou protocoles d’entente en cours de discussion ou convenus pour les cas décrits à l’alinéa f.i. du présent paragraphe, et de présenter tous les six mois des rapports à la CAAP et aux organes compétents de l’Organisation</w:t>
      </w:r>
      <w:r w:rsidRPr="001B7C74">
        <w:rPr>
          <w:rFonts w:eastAsia="MS Mincho"/>
          <w:bCs/>
          <w:spacing w:val="-2"/>
          <w:kern w:val="32"/>
          <w:szCs w:val="22"/>
          <w:lang w:val="fr-CA" w:eastAsia="en-US"/>
        </w:rPr>
        <w:t>. [AG/RES. 2957 (L-O/20) paragraphe IV.3]</w:t>
      </w:r>
    </w:p>
    <w:p w:rsidR="004E432F" w:rsidRPr="001B7C74" w:rsidRDefault="004E432F" w:rsidP="004E432F">
      <w:pPr>
        <w:ind w:left="720"/>
        <w:outlineLvl w:val="1"/>
        <w:rPr>
          <w:rFonts w:eastAsia="MS Mincho"/>
          <w:b/>
          <w:bCs/>
          <w:spacing w:val="-2"/>
          <w:kern w:val="32"/>
          <w:szCs w:val="22"/>
          <w:lang w:val="fr-CA" w:eastAsia="en-US"/>
        </w:rPr>
      </w:pPr>
    </w:p>
    <w:p w:rsidR="004E432F" w:rsidRPr="001B7C74" w:rsidRDefault="004E432F" w:rsidP="004E432F">
      <w:pPr>
        <w:ind w:left="720"/>
        <w:outlineLvl w:val="1"/>
        <w:rPr>
          <w:rFonts w:eastAsia="MS Mincho"/>
          <w:b/>
          <w:bCs/>
          <w:spacing w:val="-2"/>
          <w:kern w:val="32"/>
          <w:szCs w:val="22"/>
          <w:lang w:val="fr-CA" w:eastAsia="en-US"/>
        </w:rPr>
      </w:pPr>
    </w:p>
    <w:p w:rsidR="004E432F" w:rsidRPr="001B7C74" w:rsidRDefault="004E432F" w:rsidP="004E432F">
      <w:pPr>
        <w:ind w:left="720"/>
        <w:outlineLvl w:val="1"/>
        <w:rPr>
          <w:rFonts w:eastAsia="MS Mincho"/>
          <w:bCs/>
          <w:i/>
          <w:spacing w:val="-2"/>
          <w:kern w:val="32"/>
          <w:szCs w:val="22"/>
          <w:lang w:val="fr-CA" w:eastAsia="en-US"/>
        </w:rPr>
      </w:pPr>
      <w:r w:rsidRPr="001B7C74">
        <w:rPr>
          <w:rFonts w:eastAsia="MS Mincho"/>
          <w:bCs/>
          <w:i/>
          <w:spacing w:val="-2"/>
          <w:kern w:val="32"/>
          <w:szCs w:val="22"/>
          <w:lang w:val="fr-CA" w:eastAsia="en-US"/>
        </w:rPr>
        <w:t>6.</w:t>
      </w:r>
      <w:r w:rsidRPr="001B7C74">
        <w:rPr>
          <w:rFonts w:eastAsia="MS Mincho"/>
          <w:bCs/>
          <w:i/>
          <w:spacing w:val="-2"/>
          <w:kern w:val="32"/>
          <w:szCs w:val="22"/>
          <w:lang w:val="fr-CA" w:eastAsia="en-US"/>
        </w:rPr>
        <w:tab/>
        <w:t>Recouvrement des couts directs et indirects</w:t>
      </w:r>
    </w:p>
    <w:p w:rsidR="004E432F" w:rsidRPr="001B7C74" w:rsidRDefault="004E432F" w:rsidP="004E432F">
      <w:pPr>
        <w:ind w:left="720"/>
        <w:outlineLvl w:val="1"/>
        <w:rPr>
          <w:rFonts w:eastAsia="MS Mincho"/>
          <w:bCs/>
          <w:spacing w:val="-2"/>
          <w:kern w:val="32"/>
          <w:szCs w:val="22"/>
          <w:lang w:val="fr-CA" w:eastAsia="en-US"/>
        </w:rPr>
      </w:pPr>
    </w:p>
    <w:p w:rsidR="004E432F" w:rsidRPr="001B7C74" w:rsidRDefault="004E432F" w:rsidP="004E432F">
      <w:pPr>
        <w:ind w:left="720"/>
        <w:outlineLvl w:val="1"/>
        <w:rPr>
          <w:rFonts w:eastAsia="MS Mincho"/>
          <w:bCs/>
          <w:spacing w:val="-2"/>
          <w:kern w:val="32"/>
          <w:szCs w:val="22"/>
          <w:lang w:val="fr-CA" w:eastAsia="en-US"/>
        </w:rPr>
      </w:pPr>
      <w:r w:rsidRPr="001B7C74">
        <w:rPr>
          <w:rFonts w:eastAsia="MS Mincho"/>
          <w:bCs/>
          <w:spacing w:val="-2"/>
          <w:kern w:val="32"/>
          <w:szCs w:val="22"/>
          <w:lang w:val="fr-CA" w:eastAsia="en-US"/>
        </w:rPr>
        <w:t>a.</w:t>
      </w:r>
      <w:r w:rsidRPr="001B7C74">
        <w:rPr>
          <w:rFonts w:eastAsia="MS Mincho"/>
          <w:bCs/>
          <w:spacing w:val="-2"/>
          <w:kern w:val="32"/>
          <w:szCs w:val="22"/>
          <w:lang w:val="fr-CA" w:eastAsia="en-US"/>
        </w:rPr>
        <w:tab/>
      </w:r>
      <w:r w:rsidRPr="001B7C74">
        <w:rPr>
          <w:szCs w:val="22"/>
          <w:bdr w:val="none" w:sz="0" w:space="0" w:color="auto" w:frame="1"/>
          <w:lang w:val="fr-CA"/>
        </w:rPr>
        <w:t>De demander au Secrétariat général, dans un délai maximum de 90 jours à compter de l'approbation de la présente résolution, de présenter à la CAAP pour examen une méthodologie pour le recouvrement des coûts directs liés à l’élaboration de projets financés par des fonds spécifiques. La méthodologie entrera en vigueur une fois qu’elle aura été approuvée par le Conseil permanent</w:t>
      </w:r>
      <w:r w:rsidRPr="001B7C74">
        <w:rPr>
          <w:rFonts w:eastAsia="MS Mincho"/>
          <w:bCs/>
          <w:spacing w:val="-2"/>
          <w:kern w:val="32"/>
          <w:szCs w:val="22"/>
          <w:lang w:val="fr-CA" w:eastAsia="en-US"/>
        </w:rPr>
        <w:t xml:space="preserve">.   </w:t>
      </w:r>
    </w:p>
    <w:p w:rsidR="004E432F" w:rsidRPr="001B7C74" w:rsidRDefault="004E432F" w:rsidP="004E432F">
      <w:pPr>
        <w:ind w:left="720"/>
        <w:outlineLvl w:val="1"/>
        <w:rPr>
          <w:rFonts w:eastAsia="MS Mincho"/>
          <w:bCs/>
          <w:spacing w:val="-2"/>
          <w:kern w:val="32"/>
          <w:szCs w:val="22"/>
          <w:lang w:val="fr-CA" w:eastAsia="en-US"/>
        </w:rPr>
      </w:pPr>
    </w:p>
    <w:p w:rsidR="004E432F" w:rsidRPr="001B7C74" w:rsidRDefault="004E432F" w:rsidP="004E432F">
      <w:pPr>
        <w:ind w:left="720"/>
        <w:outlineLvl w:val="1"/>
        <w:rPr>
          <w:rFonts w:eastAsia="MS Mincho"/>
          <w:bCs/>
          <w:spacing w:val="-2"/>
          <w:kern w:val="32"/>
          <w:szCs w:val="22"/>
          <w:lang w:val="fr-CA" w:eastAsia="en-US"/>
        </w:rPr>
      </w:pPr>
      <w:r w:rsidRPr="001B7C74">
        <w:rPr>
          <w:rFonts w:eastAsia="MS Mincho"/>
          <w:bCs/>
          <w:spacing w:val="-2"/>
          <w:kern w:val="32"/>
          <w:szCs w:val="22"/>
          <w:lang w:val="fr-CA" w:eastAsia="en-US"/>
        </w:rPr>
        <w:t>b.</w:t>
      </w:r>
      <w:r w:rsidRPr="001B7C74">
        <w:rPr>
          <w:rFonts w:eastAsia="MS Mincho"/>
          <w:bCs/>
          <w:spacing w:val="-2"/>
          <w:kern w:val="32"/>
          <w:szCs w:val="22"/>
          <w:lang w:val="fr-CA" w:eastAsia="en-US"/>
        </w:rPr>
        <w:tab/>
      </w:r>
      <w:r w:rsidRPr="001B7C74">
        <w:rPr>
          <w:szCs w:val="22"/>
          <w:lang w:val="fr-CA"/>
        </w:rPr>
        <w:t xml:space="preserve">De charger le Conseil permanent, par l'intermédiaire de la CAAP, de poursuivre son analyse de l'étude sur la révision de la politique de recouvrement des coûts indirects en ce qui concerne la réduction éventuelle du taux de 13 % applicable à tous les projets et programmes financés par des fonds spécifiques. Le Conseil permanent est autorisé, en tenant compte des recommandations de la CAAP, à adopter les mesures s’avérant nécessaires, y compris la </w:t>
      </w:r>
      <w:r w:rsidRPr="001B7C74">
        <w:rPr>
          <w:szCs w:val="22"/>
          <w:lang w:val="fr-CA"/>
        </w:rPr>
        <w:lastRenderedPageBreak/>
        <w:t xml:space="preserve">possibilité de priver d’effet </w:t>
      </w:r>
      <w:r w:rsidRPr="001B7C74">
        <w:rPr>
          <w:szCs w:val="22"/>
          <w:bdr w:val="none" w:sz="0" w:space="0" w:color="auto" w:frame="1"/>
          <w:lang w:val="fr-CA"/>
        </w:rPr>
        <w:t>l'instruction prévue aux termes de la résolution AG/RES</w:t>
      </w:r>
      <w:r w:rsidRPr="001B7C74">
        <w:rPr>
          <w:szCs w:val="22"/>
          <w:lang w:val="fr-CA"/>
        </w:rPr>
        <w:t>.</w:t>
      </w:r>
      <w:r w:rsidRPr="001B7C74">
        <w:rPr>
          <w:szCs w:val="22"/>
          <w:bdr w:val="none" w:sz="0" w:space="0" w:color="auto" w:frame="1"/>
          <w:lang w:val="fr-CA"/>
        </w:rPr>
        <w:t xml:space="preserve"> 2892 (XLVI-O/16) concernant l’application de ce taux.  </w:t>
      </w:r>
      <w:r w:rsidRPr="001B7C74">
        <w:rPr>
          <w:rFonts w:eastAsia="MS Mincho"/>
          <w:bCs/>
          <w:spacing w:val="-2"/>
          <w:kern w:val="32"/>
          <w:szCs w:val="22"/>
          <w:lang w:val="fr-CA" w:eastAsia="en-US"/>
        </w:rPr>
        <w:t xml:space="preserve">   </w:t>
      </w:r>
    </w:p>
    <w:p w:rsidR="004E432F" w:rsidRPr="001B7C74" w:rsidRDefault="004E432F" w:rsidP="004E432F">
      <w:pPr>
        <w:ind w:left="720"/>
        <w:outlineLvl w:val="1"/>
        <w:rPr>
          <w:rFonts w:eastAsia="MS Mincho"/>
          <w:bCs/>
          <w:spacing w:val="-2"/>
          <w:kern w:val="32"/>
          <w:szCs w:val="22"/>
          <w:lang w:val="fr-CA" w:eastAsia="en-US"/>
        </w:rPr>
      </w:pPr>
    </w:p>
    <w:p w:rsidR="004E432F" w:rsidRPr="001B7C74" w:rsidRDefault="004E432F" w:rsidP="004E432F">
      <w:pPr>
        <w:ind w:left="720"/>
        <w:outlineLvl w:val="1"/>
        <w:rPr>
          <w:rFonts w:eastAsia="MS Mincho"/>
          <w:bCs/>
          <w:spacing w:val="-2"/>
          <w:kern w:val="32"/>
          <w:szCs w:val="22"/>
          <w:lang w:val="fr-CA" w:eastAsia="en-US"/>
        </w:rPr>
      </w:pPr>
      <w:r w:rsidRPr="001B7C74">
        <w:rPr>
          <w:rFonts w:eastAsia="MS Mincho"/>
          <w:bCs/>
          <w:spacing w:val="-2"/>
          <w:kern w:val="32"/>
          <w:szCs w:val="22"/>
          <w:lang w:val="fr-CA" w:eastAsia="en-US"/>
        </w:rPr>
        <w:t>c.</w:t>
      </w:r>
      <w:r w:rsidRPr="001B7C74">
        <w:rPr>
          <w:rFonts w:eastAsia="MS Mincho"/>
          <w:bCs/>
          <w:spacing w:val="-2"/>
          <w:kern w:val="32"/>
          <w:szCs w:val="22"/>
          <w:lang w:val="fr-CA" w:eastAsia="en-US"/>
        </w:rPr>
        <w:tab/>
      </w:r>
      <w:r w:rsidRPr="001B7C74">
        <w:rPr>
          <w:szCs w:val="22"/>
          <w:lang w:val="fr-CA"/>
        </w:rPr>
        <w:t>De charger le Secrétariat général d’examiner les possibilités qui s’offrent pour répartir les ressources provenant du RCI dans le budget 2022 selon une formule qui sera définie par les États membres, laquelle doit prévoir un pourcentage à débourser au titre des coûts différés pour toutes les immobilisations de l’Organisation, un autre qui sera réparti entre les coûts indirects de l’Organisation et un dernier entre les chapitres au titre des coûts indirects proportionnellement au montant des fonds spécifiques versés en contribution</w:t>
      </w:r>
      <w:r w:rsidRPr="001B7C74">
        <w:rPr>
          <w:rFonts w:eastAsia="MS Mincho"/>
          <w:bCs/>
          <w:spacing w:val="-2"/>
          <w:kern w:val="32"/>
          <w:szCs w:val="22"/>
          <w:lang w:val="fr-CA" w:eastAsia="en-US"/>
        </w:rPr>
        <w:t>.</w:t>
      </w:r>
      <w:r w:rsidRPr="001B7C74">
        <w:rPr>
          <w:rFonts w:eastAsia="MS Mincho"/>
          <w:b/>
          <w:bCs/>
          <w:spacing w:val="-2"/>
          <w:kern w:val="32"/>
          <w:szCs w:val="22"/>
          <w:lang w:val="fr-CA" w:eastAsia="en-US"/>
        </w:rPr>
        <w:t xml:space="preserve">   </w:t>
      </w:r>
      <w:r w:rsidRPr="001B7C74">
        <w:rPr>
          <w:rFonts w:eastAsia="MS Mincho"/>
          <w:bCs/>
          <w:spacing w:val="-2"/>
          <w:kern w:val="32"/>
          <w:szCs w:val="22"/>
          <w:lang w:val="fr-CA" w:eastAsia="en-US"/>
        </w:rPr>
        <w:t>[AG/RES. 2957 (L-O/20) paragraphe IV.4]</w:t>
      </w:r>
    </w:p>
    <w:p w:rsidR="004E432F" w:rsidRPr="001B7C74" w:rsidRDefault="004E432F" w:rsidP="004E432F">
      <w:pPr>
        <w:ind w:left="720"/>
        <w:outlineLvl w:val="1"/>
        <w:rPr>
          <w:rFonts w:eastAsia="MS Mincho"/>
          <w:b/>
          <w:bCs/>
          <w:spacing w:val="-2"/>
          <w:kern w:val="32"/>
          <w:szCs w:val="22"/>
          <w:lang w:val="fr-CA" w:eastAsia="en-US"/>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i/>
          <w:szCs w:val="22"/>
          <w:lang w:val="fr-CA"/>
        </w:rPr>
      </w:pPr>
    </w:p>
    <w:p w:rsidR="004E432F" w:rsidRPr="001B7C74" w:rsidRDefault="004E432F" w:rsidP="007F0F5A">
      <w:pPr>
        <w:pStyle w:val="TitleUppercase"/>
        <w:numPr>
          <w:ilvl w:val="0"/>
          <w:numId w:val="20"/>
        </w:numPr>
        <w:tabs>
          <w:tab w:val="clear" w:pos="720"/>
          <w:tab w:val="clear" w:pos="1440"/>
          <w:tab w:val="clear" w:pos="2160"/>
          <w:tab w:val="clear" w:pos="2880"/>
          <w:tab w:val="clear" w:pos="7200"/>
          <w:tab w:val="clear" w:pos="7920"/>
          <w:tab w:val="clear" w:pos="8640"/>
        </w:tabs>
        <w:suppressAutoHyphens/>
        <w:ind w:left="1440" w:hanging="720"/>
        <w:jc w:val="both"/>
        <w:rPr>
          <w:i/>
          <w:szCs w:val="22"/>
          <w:lang w:val="fr-CA"/>
        </w:rPr>
      </w:pPr>
      <w:r w:rsidRPr="001B7C74">
        <w:rPr>
          <w:i/>
          <w:szCs w:val="22"/>
          <w:lang w:val="fr-CA"/>
        </w:rPr>
        <w:t>Établissement d’un processus structuré d’élaboration et de présentation du budget</w:t>
      </w:r>
    </w:p>
    <w:p w:rsidR="004E432F" w:rsidRPr="001B7C74" w:rsidRDefault="004E432F" w:rsidP="004E432F">
      <w:pPr>
        <w:suppressAutoHyphens/>
        <w:rPr>
          <w:color w:val="000000"/>
          <w:szCs w:val="22"/>
          <w:lang w:val="fr-CA"/>
        </w:rPr>
      </w:pPr>
    </w:p>
    <w:p w:rsidR="004E432F" w:rsidRPr="001B7C74" w:rsidRDefault="004E432F" w:rsidP="004E432F">
      <w:pPr>
        <w:suppressAutoHyphens/>
        <w:ind w:firstLine="720"/>
        <w:rPr>
          <w:b/>
          <w:bCs/>
          <w:color w:val="000000"/>
          <w:szCs w:val="22"/>
          <w:lang w:val="fr-CA"/>
        </w:rPr>
      </w:pPr>
      <w:r w:rsidRPr="001B7C74">
        <w:rPr>
          <w:b/>
          <w:bCs/>
          <w:color w:val="000000"/>
          <w:szCs w:val="22"/>
          <w:lang w:val="fr-CA"/>
        </w:rPr>
        <w:t>Mandat :</w:t>
      </w:r>
    </w:p>
    <w:p w:rsidR="004E432F" w:rsidRPr="001B7C74" w:rsidRDefault="004E432F" w:rsidP="004E432F">
      <w:pPr>
        <w:numPr>
          <w:ilvl w:val="0"/>
          <w:numId w:val="13"/>
        </w:numPr>
        <w:tabs>
          <w:tab w:val="left" w:pos="380"/>
        </w:tabs>
        <w:suppressAutoHyphens/>
        <w:ind w:left="1440" w:hanging="720"/>
        <w:rPr>
          <w:bCs/>
          <w:color w:val="000000"/>
          <w:szCs w:val="22"/>
          <w:lang w:val="fr-CA"/>
        </w:rPr>
      </w:pPr>
      <w:r w:rsidRPr="001B7C74">
        <w:rPr>
          <w:bCs/>
          <w:color w:val="000000"/>
          <w:szCs w:val="22"/>
          <w:lang w:val="fr-CA"/>
        </w:rPr>
        <w:t xml:space="preserve">De charger le Secrétariat général de confier au Secrétariat aux questions administratives et financières l’analyse et l’élaboration du programme-budget de l’Organisation en le dotant de ressources humaines suffisantes, qui possèdent une expérience pertinente en questions budgétaires et en agissant en coordination avec tous les services et toutes les entités de l’Organisation. </w:t>
      </w:r>
    </w:p>
    <w:p w:rsidR="004E432F" w:rsidRPr="001B7C74" w:rsidRDefault="004E432F" w:rsidP="004E432F">
      <w:pPr>
        <w:suppressAutoHyphens/>
        <w:ind w:left="720"/>
        <w:rPr>
          <w:bCs/>
          <w:color w:val="000000"/>
          <w:szCs w:val="22"/>
          <w:lang w:val="fr-CA" w:eastAsia="es-ES_tradnl"/>
        </w:rPr>
      </w:pPr>
    </w:p>
    <w:p w:rsidR="004E432F" w:rsidRPr="001B7C74" w:rsidRDefault="004E432F" w:rsidP="004E432F">
      <w:pPr>
        <w:tabs>
          <w:tab w:val="left" w:pos="380"/>
        </w:tabs>
        <w:suppressAutoHyphens/>
        <w:ind w:left="1440" w:hanging="720"/>
        <w:rPr>
          <w:bCs/>
          <w:color w:val="000000"/>
          <w:szCs w:val="22"/>
          <w:lang w:val="fr-CA"/>
        </w:rPr>
      </w:pPr>
      <w:r w:rsidRPr="001B7C74">
        <w:rPr>
          <w:bCs/>
          <w:color w:val="000000"/>
          <w:szCs w:val="22"/>
          <w:lang w:val="fr-CA"/>
        </w:rPr>
        <w:t>b)</w:t>
      </w:r>
      <w:r w:rsidRPr="001B7C74">
        <w:rPr>
          <w:bCs/>
          <w:color w:val="000000"/>
          <w:szCs w:val="22"/>
          <w:lang w:val="fr-CA"/>
        </w:rPr>
        <w:tab/>
        <w:t xml:space="preserve">De charger le Secrétariat général d’adopter, avec la collaboration directe des divers secrétariats de l’Organisation, une approche rigoureuse pour élaborer, présenter clairement, exécuter et évaluer le programme-budget conformément aux chapitres IV à VIII des Normes générales. La proposition de programme-budget comprendra la logique qui sous-tend les propositions, des explications sur les écarts par rapport à l’année précédente et les exigences en matière de ressources humaines et financières en fonction des résultats anticipés. Le Secrétariat général inclura également des prévisions de dépenses pour deux années supplémentaires dans la préparation de chaque proposition de programme-budget annuel. </w:t>
      </w:r>
    </w:p>
    <w:p w:rsidR="004E432F" w:rsidRPr="001B7C74" w:rsidRDefault="004E432F" w:rsidP="004E432F">
      <w:pPr>
        <w:tabs>
          <w:tab w:val="left" w:pos="380"/>
        </w:tabs>
        <w:suppressAutoHyphens/>
        <w:rPr>
          <w:bCs/>
          <w:color w:val="000000"/>
          <w:szCs w:val="22"/>
          <w:lang w:val="fr-CA" w:eastAsia="es-ES_tradnl"/>
        </w:rPr>
      </w:pPr>
    </w:p>
    <w:p w:rsidR="004E432F" w:rsidRPr="001B7C74" w:rsidRDefault="004E432F" w:rsidP="004E432F">
      <w:pPr>
        <w:tabs>
          <w:tab w:val="left" w:pos="380"/>
        </w:tabs>
        <w:suppressAutoHyphens/>
        <w:ind w:left="1440" w:hanging="720"/>
        <w:rPr>
          <w:bCs/>
          <w:color w:val="000000"/>
          <w:szCs w:val="22"/>
          <w:lang w:val="fr-CA"/>
        </w:rPr>
      </w:pPr>
      <w:r w:rsidRPr="001B7C74">
        <w:rPr>
          <w:bCs/>
          <w:color w:val="000000"/>
          <w:szCs w:val="22"/>
          <w:lang w:val="fr-CA"/>
        </w:rPr>
        <w:t>c)</w:t>
      </w:r>
      <w:r w:rsidRPr="001B7C74">
        <w:rPr>
          <w:bCs/>
          <w:color w:val="000000"/>
          <w:szCs w:val="22"/>
          <w:lang w:val="fr-CA"/>
        </w:rPr>
        <w:tab/>
        <w:t xml:space="preserve">De charger le Secrétariat général de continuer à utiliser le modèle type approuvé par les États membres, </w:t>
      </w:r>
      <w:r w:rsidRPr="001B7C74">
        <w:rPr>
          <w:rFonts w:eastAsia="MS Mincho"/>
          <w:bCs/>
          <w:spacing w:val="-2"/>
          <w:kern w:val="32"/>
          <w:szCs w:val="22"/>
          <w:lang w:val="fr-CA" w:eastAsia="en-US"/>
        </w:rPr>
        <w:t xml:space="preserve">(CP/CAAP-3664/20 rev. 1), quand les secrétariats présentent à la CAAP des </w:t>
      </w:r>
      <w:r w:rsidRPr="001B7C74">
        <w:rPr>
          <w:bCs/>
          <w:color w:val="000000"/>
          <w:szCs w:val="22"/>
          <w:lang w:val="fr-CA"/>
        </w:rPr>
        <w:t>informations concernant l’impact des propositions de budget élaborées par le Secrétariat aux questions administratives et financières sur leurs secteurs respectifs. Le modèle incluant les informations provenant des Secrétariats sera examiné par le Secrétariat aux questions administratives et financières avant qu’il soit présenté à la CAAP en même temps que la présentation du projet de programme-budget de l’Organisation. À leur tour, les secrétariats doivent connaitre les versions finales des modèles utilisés par la CAAP. Le modèle devrait comprendre notamment les éléments ci-après :</w:t>
      </w:r>
    </w:p>
    <w:p w:rsidR="004E432F" w:rsidRPr="001B7C74" w:rsidRDefault="004E432F" w:rsidP="004E432F">
      <w:pPr>
        <w:suppressAutoHyphens/>
        <w:rPr>
          <w:bCs/>
          <w:color w:val="000000"/>
          <w:szCs w:val="22"/>
          <w:lang w:val="fr-CA" w:eastAsia="es-ES_tradnl"/>
        </w:rPr>
      </w:pPr>
    </w:p>
    <w:p w:rsidR="004E432F" w:rsidRPr="001B7C74" w:rsidRDefault="004E432F" w:rsidP="004E432F">
      <w:pPr>
        <w:numPr>
          <w:ilvl w:val="0"/>
          <w:numId w:val="12"/>
        </w:numPr>
        <w:suppressAutoHyphens/>
        <w:ind w:left="2160"/>
        <w:jc w:val="left"/>
        <w:rPr>
          <w:bCs/>
          <w:color w:val="000000"/>
          <w:szCs w:val="22"/>
          <w:lang w:val="fr-CA"/>
        </w:rPr>
      </w:pPr>
      <w:r w:rsidRPr="001B7C74">
        <w:rPr>
          <w:bCs/>
          <w:color w:val="000000"/>
          <w:szCs w:val="22"/>
          <w:lang w:val="fr-CA"/>
        </w:rPr>
        <w:t>Un tableau illustrant le budget approuvé l’exercice précédent, le montant alloué, le niveau d'exécution et le nouveau niveau budgétaire proposé.</w:t>
      </w:r>
    </w:p>
    <w:p w:rsidR="004E432F" w:rsidRPr="001B7C74" w:rsidRDefault="004E432F" w:rsidP="004E432F">
      <w:pPr>
        <w:suppressAutoHyphens/>
        <w:ind w:left="2160" w:hanging="720"/>
        <w:rPr>
          <w:bCs/>
          <w:color w:val="000000"/>
          <w:szCs w:val="22"/>
          <w:lang w:val="fr-CA"/>
        </w:rPr>
      </w:pPr>
      <w:r w:rsidRPr="001B7C74">
        <w:rPr>
          <w:bCs/>
          <w:color w:val="000000"/>
          <w:szCs w:val="22"/>
          <w:lang w:val="fr-CA"/>
        </w:rPr>
        <w:t>ii.</w:t>
      </w:r>
      <w:r w:rsidRPr="001B7C74">
        <w:rPr>
          <w:bCs/>
          <w:color w:val="000000"/>
          <w:szCs w:val="22"/>
          <w:lang w:val="fr-CA"/>
        </w:rPr>
        <w:tab/>
        <w:t>Des bulles indiquant les principales incidences du niveau de financement proposé.</w:t>
      </w:r>
    </w:p>
    <w:p w:rsidR="004E432F" w:rsidRPr="001B7C74" w:rsidRDefault="004E432F" w:rsidP="004E432F">
      <w:pPr>
        <w:suppressAutoHyphens/>
        <w:rPr>
          <w:bCs/>
          <w:color w:val="000000"/>
          <w:szCs w:val="22"/>
          <w:lang w:val="fr-CA" w:eastAsia="es-ES_tradnl"/>
        </w:rPr>
      </w:pPr>
    </w:p>
    <w:p w:rsidR="004E432F" w:rsidRPr="001B7C74" w:rsidRDefault="004E432F" w:rsidP="004E432F">
      <w:pPr>
        <w:suppressAutoHyphens/>
        <w:ind w:left="1440" w:hanging="720"/>
        <w:rPr>
          <w:bCs/>
          <w:color w:val="000000"/>
          <w:szCs w:val="22"/>
          <w:lang w:val="fr-CA"/>
        </w:rPr>
      </w:pPr>
      <w:r w:rsidRPr="001B7C74">
        <w:rPr>
          <w:bCs/>
          <w:color w:val="000000"/>
          <w:szCs w:val="22"/>
          <w:lang w:val="fr-CA"/>
        </w:rPr>
        <w:t>d)</w:t>
      </w:r>
      <w:r w:rsidRPr="001B7C74">
        <w:rPr>
          <w:bCs/>
          <w:color w:val="000000"/>
          <w:szCs w:val="22"/>
          <w:lang w:val="fr-CA"/>
        </w:rPr>
        <w:tab/>
        <w:t xml:space="preserve">De charger le Conseil permanent de continuer à analyser, par le truchement de la CAAP et avec le soutien du Secrétariat général, différentes options pour </w:t>
      </w:r>
      <w:r w:rsidRPr="001B7C74">
        <w:rPr>
          <w:bCs/>
          <w:color w:val="000000"/>
          <w:szCs w:val="22"/>
          <w:lang w:val="fr-CA"/>
        </w:rPr>
        <w:lastRenderedPageBreak/>
        <w:t xml:space="preserve">l’établissement d’un processus budgétaire séparé et indépendant pour les mécanismes de supervision de l’OEA, y compris le Bureau de l’Ombudsman, le Bureau de l’Inspecteur général et le Tribunal administratif (TRIBAD). Le Conseil permanent est autorisé à adopter de telles mesures dans ce secteur en tenant compte des recommandations de la CAAP. </w:t>
      </w:r>
    </w:p>
    <w:p w:rsidR="004E432F" w:rsidRPr="001B7C74" w:rsidRDefault="004E432F" w:rsidP="004E432F">
      <w:pPr>
        <w:suppressAutoHyphens/>
        <w:ind w:left="1440" w:hanging="720"/>
        <w:rPr>
          <w:bCs/>
          <w:color w:val="000000"/>
          <w:szCs w:val="22"/>
          <w:lang w:val="fr-CA"/>
        </w:rPr>
      </w:pPr>
      <w:r w:rsidRPr="001B7C74">
        <w:rPr>
          <w:bCs/>
          <w:color w:val="000000"/>
          <w:szCs w:val="22"/>
          <w:lang w:val="fr-CA"/>
        </w:rPr>
        <w:t>e)</w:t>
      </w:r>
      <w:r w:rsidRPr="001B7C74">
        <w:rPr>
          <w:bCs/>
          <w:color w:val="000000"/>
          <w:szCs w:val="22"/>
          <w:lang w:val="fr-CA"/>
        </w:rPr>
        <w:tab/>
      </w:r>
      <w:r w:rsidRPr="001B7C74">
        <w:rPr>
          <w:szCs w:val="22"/>
          <w:lang w:val="fr-CA"/>
        </w:rPr>
        <w:t xml:space="preserve">De charger le Secrétariat général de prendre en considération, lorsque les circonstances le permettent, l’équité nécessaire entre les quatre piliers programmatiques dans le cadre du processus d’élaboration budgétaire, dans le but d’assurer que les crédits budgétaires proposés permettent d’accomplir les mandats convenus par les organes politiques de l’Organisation, et de charger en outre le Secrétariat général de présenter à la CAAP au plus tard le 28 février 2021 des considérations sur la viabilité de parvenir à l’équité dans l’allocation de ressources entre les piliers du programme-budget 2022. </w:t>
      </w:r>
      <w:r w:rsidRPr="001B7C74">
        <w:rPr>
          <w:rFonts w:eastAsia="MS Mincho"/>
          <w:bCs/>
          <w:spacing w:val="-2"/>
          <w:kern w:val="32"/>
          <w:szCs w:val="22"/>
          <w:lang w:val="fr-CA" w:eastAsia="en-US"/>
        </w:rPr>
        <w:t xml:space="preserve">  [AG/RES. 2957 (L-O/20) paragraphe IV.7]</w:t>
      </w:r>
    </w:p>
    <w:p w:rsidR="004E432F" w:rsidRPr="001B7C74" w:rsidRDefault="004E432F" w:rsidP="004E432F">
      <w:pPr>
        <w:suppressAutoHyphens/>
        <w:rPr>
          <w:bCs/>
          <w:color w:val="000000"/>
          <w:szCs w:val="22"/>
          <w:lang w:val="fr-CA" w:eastAsia="es-ES_tradnl"/>
        </w:rPr>
      </w:pPr>
    </w:p>
    <w:p w:rsidR="004E432F" w:rsidRPr="001B7C74" w:rsidRDefault="004E432F" w:rsidP="004E432F">
      <w:pPr>
        <w:numPr>
          <w:ilvl w:val="0"/>
          <w:numId w:val="20"/>
        </w:numPr>
        <w:suppressAutoHyphens/>
        <w:ind w:left="1440" w:hanging="720"/>
        <w:rPr>
          <w:bCs/>
          <w:i/>
          <w:color w:val="000000"/>
          <w:szCs w:val="22"/>
          <w:lang w:val="fr-CA"/>
        </w:rPr>
      </w:pPr>
      <w:r w:rsidRPr="001B7C74">
        <w:rPr>
          <w:rFonts w:eastAsia="MS Mincho"/>
          <w:bCs/>
          <w:i/>
          <w:spacing w:val="-2"/>
          <w:kern w:val="32"/>
          <w:szCs w:val="22"/>
          <w:lang w:val="fr-CA" w:eastAsia="en-US"/>
        </w:rPr>
        <w:t xml:space="preserve">Étude technique pour analyser la méthodologie utilisée pour le calcul de l’évaluation du barème des quotes-parts en vue de financer le Fonds ordinaire de l’OEA </w:t>
      </w:r>
    </w:p>
    <w:p w:rsidR="004E432F" w:rsidRPr="001B7C74" w:rsidRDefault="004E432F" w:rsidP="004E432F">
      <w:pPr>
        <w:outlineLvl w:val="1"/>
        <w:rPr>
          <w:rFonts w:eastAsia="MS Mincho"/>
          <w:b/>
          <w:bCs/>
          <w:spacing w:val="-2"/>
          <w:kern w:val="32"/>
          <w:szCs w:val="22"/>
          <w:lang w:val="fr-CA" w:eastAsia="en-US"/>
        </w:rPr>
      </w:pPr>
    </w:p>
    <w:p w:rsidR="004E432F" w:rsidRPr="001B7C74" w:rsidRDefault="004E432F" w:rsidP="004E432F">
      <w:pPr>
        <w:ind w:left="720"/>
        <w:outlineLvl w:val="1"/>
        <w:rPr>
          <w:rFonts w:eastAsia="MS Mincho"/>
          <w:bCs/>
          <w:spacing w:val="-2"/>
          <w:kern w:val="32"/>
          <w:szCs w:val="22"/>
          <w:lang w:val="fr-CA" w:eastAsia="en-US"/>
        </w:rPr>
      </w:pPr>
      <w:r w:rsidRPr="001B7C74">
        <w:rPr>
          <w:rFonts w:eastAsia="MS Mincho"/>
          <w:b/>
          <w:bCs/>
          <w:spacing w:val="-2"/>
          <w:kern w:val="32"/>
          <w:szCs w:val="22"/>
          <w:lang w:val="fr-CA" w:eastAsia="en-US"/>
        </w:rPr>
        <w:t>Mandat contenu dans la résolution CP/RES. 1104 (2168/18) “Réalisation d’une étude technique pour l’analyse de la méthodologie de calcul du barème des quotes-parts pour le financement du Fonds ordinaire de l’Organisation” adoptée par l’Assemblée générale par le biais de la résolution AG/RES. 1 (LIII-E/18) “Programme-budget 2019 de l’Organisation”</w:t>
      </w:r>
    </w:p>
    <w:p w:rsidR="004E432F" w:rsidRPr="001B7C74" w:rsidRDefault="004E432F" w:rsidP="004E432F">
      <w:pPr>
        <w:ind w:firstLine="720"/>
        <w:rPr>
          <w:bCs/>
          <w:color w:val="000000"/>
          <w:szCs w:val="22"/>
          <w:lang w:val="fr-CA"/>
        </w:rPr>
      </w:pPr>
    </w:p>
    <w:p w:rsidR="004E432F" w:rsidRPr="001B7C74" w:rsidRDefault="004E432F" w:rsidP="004E432F">
      <w:pPr>
        <w:ind w:firstLine="720"/>
        <w:contextualSpacing/>
        <w:rPr>
          <w:rFonts w:eastAsia="Calibri"/>
          <w:szCs w:val="22"/>
          <w:lang w:val="fr-CA" w:eastAsia="en-US"/>
        </w:rPr>
      </w:pPr>
      <w:r w:rsidRPr="001B7C74">
        <w:rPr>
          <w:rFonts w:eastAsia="Calibri"/>
          <w:b/>
          <w:szCs w:val="22"/>
          <w:lang w:val="fr-CA" w:eastAsia="en-US"/>
        </w:rPr>
        <w:t>Mandats </w:t>
      </w:r>
      <w:r w:rsidRPr="001B7C74">
        <w:rPr>
          <w:rFonts w:eastAsia="Calibri"/>
          <w:szCs w:val="22"/>
          <w:lang w:val="fr-CA" w:eastAsia="en-US"/>
        </w:rPr>
        <w:t xml:space="preserve">: </w:t>
      </w:r>
    </w:p>
    <w:p w:rsidR="004E432F" w:rsidRPr="001B7C74" w:rsidRDefault="004E432F" w:rsidP="004E432F">
      <w:pPr>
        <w:ind w:left="720"/>
        <w:contextualSpacing/>
        <w:rPr>
          <w:rFonts w:eastAsia="Calibri"/>
          <w:szCs w:val="22"/>
          <w:lang w:val="fr-CA" w:eastAsia="en-US"/>
        </w:rPr>
      </w:pPr>
      <w:r w:rsidRPr="001B7C74">
        <w:rPr>
          <w:rFonts w:eastAsia="Calibri"/>
          <w:szCs w:val="22"/>
          <w:lang w:val="fr-CA" w:eastAsia="en-US"/>
        </w:rPr>
        <w:t>a.</w:t>
      </w:r>
      <w:r w:rsidRPr="001B7C74">
        <w:rPr>
          <w:rFonts w:eastAsia="Calibri"/>
          <w:szCs w:val="22"/>
          <w:lang w:val="fr-CA" w:eastAsia="en-US"/>
        </w:rPr>
        <w:tab/>
      </w:r>
      <w:r w:rsidRPr="001B7C74">
        <w:rPr>
          <w:lang w:val="fr-CA"/>
        </w:rPr>
        <w:t>De charger la Commission des questions administratives et budgétaires (CAAP) de coordonner, avec l’appui technique du Secrétariat général, la réalisation d’une étude technique, par un groupe indépendant d’experts, sur la méthodologie de calcul du barème des quotes-parts pour le financement du Fonds ordinaire, et </w:t>
      </w:r>
      <w:r w:rsidRPr="001B7C74">
        <w:rPr>
          <w:rFonts w:eastAsia="Calibri"/>
          <w:szCs w:val="22"/>
          <w:lang w:val="fr-CA" w:eastAsia="en-US"/>
        </w:rPr>
        <w:t>:</w:t>
      </w:r>
    </w:p>
    <w:p w:rsidR="004E432F" w:rsidRPr="001B7C74" w:rsidRDefault="004E432F" w:rsidP="004E432F">
      <w:pPr>
        <w:ind w:firstLine="720"/>
        <w:contextualSpacing/>
        <w:rPr>
          <w:rFonts w:eastAsia="Calibri"/>
          <w:szCs w:val="22"/>
          <w:lang w:val="fr-CA" w:eastAsia="en-US"/>
        </w:rPr>
      </w:pPr>
    </w:p>
    <w:p w:rsidR="004E432F" w:rsidRPr="001B7C74" w:rsidRDefault="004E432F" w:rsidP="004E432F">
      <w:pPr>
        <w:ind w:left="1440"/>
        <w:contextualSpacing/>
        <w:rPr>
          <w:rFonts w:eastAsia="Calibri"/>
          <w:szCs w:val="22"/>
          <w:lang w:val="fr-CA" w:eastAsia="en-US"/>
        </w:rPr>
      </w:pPr>
      <w:r w:rsidRPr="001B7C74">
        <w:rPr>
          <w:rFonts w:eastAsia="Calibri"/>
          <w:szCs w:val="22"/>
          <w:lang w:val="fr-CA" w:eastAsia="en-US"/>
        </w:rPr>
        <w:t>i.</w:t>
      </w:r>
      <w:r w:rsidRPr="001B7C74">
        <w:rPr>
          <w:rFonts w:eastAsia="Calibri"/>
          <w:szCs w:val="22"/>
          <w:lang w:val="fr-CA" w:eastAsia="en-US"/>
        </w:rPr>
        <w:tab/>
      </w:r>
      <w:r w:rsidRPr="001B7C74">
        <w:rPr>
          <w:lang w:val="fr-CA"/>
        </w:rPr>
        <w:t>Avant le lancement de l’étude, de présenter au Conseil permanent, pour examen et approbation, le cadre de référence, les sources de financement et la composition du groupe d’experts indépendants, laquelle devra tenir compte de la représentation géographique et du genre</w:t>
      </w:r>
      <w:r w:rsidRPr="001B7C74">
        <w:rPr>
          <w:rFonts w:eastAsia="Calibri"/>
          <w:szCs w:val="22"/>
          <w:lang w:val="fr-CA" w:eastAsia="en-US"/>
        </w:rPr>
        <w:t xml:space="preserve">; </w:t>
      </w:r>
    </w:p>
    <w:p w:rsidR="004E432F" w:rsidRPr="001B7C74" w:rsidRDefault="004E432F" w:rsidP="004E432F">
      <w:pPr>
        <w:tabs>
          <w:tab w:val="left" w:pos="2338"/>
        </w:tabs>
        <w:ind w:left="1440"/>
        <w:contextualSpacing/>
        <w:rPr>
          <w:rFonts w:eastAsia="Calibri"/>
          <w:szCs w:val="22"/>
          <w:lang w:val="fr-CA" w:eastAsia="en-US"/>
        </w:rPr>
      </w:pPr>
      <w:r w:rsidRPr="001B7C74">
        <w:rPr>
          <w:rFonts w:eastAsia="Calibri"/>
          <w:szCs w:val="22"/>
          <w:lang w:val="fr-CA" w:eastAsia="en-US"/>
        </w:rPr>
        <w:tab/>
      </w:r>
    </w:p>
    <w:p w:rsidR="004E432F" w:rsidRPr="001B7C74" w:rsidRDefault="004E432F" w:rsidP="004E432F">
      <w:pPr>
        <w:ind w:left="1440"/>
        <w:contextualSpacing/>
        <w:rPr>
          <w:rFonts w:eastAsia="Calibri"/>
          <w:szCs w:val="22"/>
          <w:lang w:val="fr-CA" w:eastAsia="en-US"/>
        </w:rPr>
      </w:pPr>
      <w:r w:rsidRPr="001B7C74">
        <w:rPr>
          <w:rFonts w:eastAsia="Calibri"/>
          <w:szCs w:val="22"/>
          <w:lang w:val="fr-CA" w:eastAsia="en-US"/>
        </w:rPr>
        <w:t>ii.</w:t>
      </w:r>
      <w:r w:rsidRPr="001B7C74">
        <w:rPr>
          <w:rFonts w:eastAsia="Calibri"/>
          <w:szCs w:val="22"/>
          <w:lang w:val="fr-CA" w:eastAsia="en-US"/>
        </w:rPr>
        <w:tab/>
      </w:r>
      <w:r w:rsidRPr="001B7C74">
        <w:rPr>
          <w:lang w:val="fr-CA"/>
        </w:rPr>
        <w:t>De présenter pour examen et décision du Conseil permanent, les conclusions, recommandations et, le cas échéant, une proposition de méthodologie pour le calcul du barème des quotes-parts pour le financement de l’OEA, aux fins d’examen et d’adoption ultérieures par l’Assemblée générale lors de sa cinquantième session ordinaire</w:t>
      </w:r>
      <w:r w:rsidRPr="001B7C74">
        <w:rPr>
          <w:rFonts w:eastAsia="Calibri"/>
          <w:szCs w:val="22"/>
          <w:lang w:val="fr-CA" w:eastAsia="en-US"/>
        </w:rPr>
        <w:t xml:space="preserve">. </w:t>
      </w:r>
    </w:p>
    <w:p w:rsidR="004E432F" w:rsidRPr="001B7C74" w:rsidRDefault="004E432F" w:rsidP="004E432F">
      <w:pPr>
        <w:ind w:left="720"/>
        <w:contextualSpacing/>
        <w:rPr>
          <w:rFonts w:eastAsia="Calibri"/>
          <w:szCs w:val="22"/>
          <w:lang w:val="fr-CA" w:eastAsia="en-US"/>
        </w:rPr>
      </w:pPr>
    </w:p>
    <w:p w:rsidR="004E432F" w:rsidRPr="001B7C74" w:rsidRDefault="004E432F" w:rsidP="004E432F">
      <w:pPr>
        <w:ind w:left="720"/>
        <w:contextualSpacing/>
        <w:rPr>
          <w:rFonts w:eastAsia="Calibri"/>
          <w:szCs w:val="22"/>
          <w:lang w:val="fr-CA" w:eastAsia="en-US"/>
        </w:rPr>
      </w:pPr>
      <w:r w:rsidRPr="001B7C74">
        <w:rPr>
          <w:rFonts w:eastAsia="Calibri"/>
          <w:szCs w:val="22"/>
          <w:lang w:val="fr-CA" w:eastAsia="en-US"/>
        </w:rPr>
        <w:t>b.</w:t>
      </w:r>
      <w:r w:rsidRPr="001B7C74">
        <w:rPr>
          <w:rFonts w:eastAsia="Calibri"/>
          <w:szCs w:val="22"/>
          <w:lang w:val="fr-CA" w:eastAsia="en-US"/>
        </w:rPr>
        <w:tab/>
      </w:r>
      <w:r w:rsidRPr="001B7C74">
        <w:rPr>
          <w:lang w:val="fr-CA"/>
        </w:rPr>
        <w:t>Les coûts dérivés de la formation et du fonctionnement du groupe indépendant d’experts n’entraîneront pas de pressions additionnelles sur le Fonds ordinaire ni sur le Sous-fonds de réserve de l’Organisation</w:t>
      </w:r>
      <w:r w:rsidRPr="001B7C74">
        <w:rPr>
          <w:rFonts w:eastAsia="Calibri"/>
          <w:szCs w:val="22"/>
          <w:lang w:val="fr-CA" w:eastAsia="en-US"/>
        </w:rPr>
        <w:t xml:space="preserve">. </w:t>
      </w:r>
    </w:p>
    <w:p w:rsidR="004E432F" w:rsidRPr="001B7C74" w:rsidRDefault="004E432F" w:rsidP="004E432F">
      <w:pPr>
        <w:ind w:left="720"/>
        <w:contextualSpacing/>
        <w:rPr>
          <w:rFonts w:eastAsia="Calibri"/>
          <w:szCs w:val="22"/>
          <w:lang w:val="fr-CA" w:eastAsia="en-US"/>
        </w:rPr>
      </w:pPr>
    </w:p>
    <w:p w:rsidR="004E432F" w:rsidRPr="001B7C74" w:rsidRDefault="004E432F" w:rsidP="004E432F">
      <w:pPr>
        <w:ind w:left="720"/>
        <w:contextualSpacing/>
        <w:rPr>
          <w:rFonts w:eastAsia="Calibri"/>
          <w:szCs w:val="22"/>
          <w:lang w:val="fr-CA" w:eastAsia="en-US"/>
        </w:rPr>
      </w:pPr>
      <w:r w:rsidRPr="001B7C74">
        <w:rPr>
          <w:rFonts w:eastAsia="Calibri"/>
          <w:szCs w:val="22"/>
          <w:lang w:val="fr-CA" w:eastAsia="en-US"/>
        </w:rPr>
        <w:t>c.</w:t>
      </w:r>
      <w:r w:rsidRPr="001B7C74">
        <w:rPr>
          <w:rFonts w:eastAsia="Calibri"/>
          <w:szCs w:val="22"/>
          <w:lang w:val="fr-CA" w:eastAsia="en-US"/>
        </w:rPr>
        <w:tab/>
      </w:r>
      <w:r w:rsidRPr="001B7C74">
        <w:rPr>
          <w:rFonts w:eastAsia="MS Mincho"/>
          <w:lang w:val="fr-CA"/>
        </w:rPr>
        <w:t>Les conclusions et recommandations qui sont approuvées par l’Assemblée générale lors de la cinquantième session ordinaire de l’Assemblée générale, seront mises en application après la période de transition du système des quotes-parts 2019-2023</w:t>
      </w:r>
      <w:r w:rsidRPr="001B7C74">
        <w:rPr>
          <w:rFonts w:eastAsia="Calibri"/>
          <w:szCs w:val="22"/>
          <w:lang w:val="fr-CA" w:eastAsia="en-US"/>
        </w:rPr>
        <w:t>. [</w:t>
      </w:r>
      <w:r w:rsidRPr="001B7C74">
        <w:rPr>
          <w:rFonts w:eastAsia="MS Mincho"/>
          <w:bCs/>
          <w:spacing w:val="-2"/>
          <w:kern w:val="32"/>
          <w:szCs w:val="22"/>
          <w:lang w:val="fr-CA" w:eastAsia="en-US"/>
        </w:rPr>
        <w:t>CP/RES. 1104 (2168/18)]</w:t>
      </w:r>
    </w:p>
    <w:p w:rsidR="004E432F" w:rsidRPr="001B7C74" w:rsidRDefault="004E432F" w:rsidP="004E432F">
      <w:pPr>
        <w:ind w:left="720"/>
        <w:contextualSpacing/>
        <w:rPr>
          <w:rFonts w:eastAsia="Calibri"/>
          <w:szCs w:val="22"/>
          <w:lang w:val="fr-CA" w:eastAsia="en-US"/>
        </w:rPr>
      </w:pPr>
    </w:p>
    <w:p w:rsidR="004E432F" w:rsidRPr="001B7C74" w:rsidRDefault="004E432F" w:rsidP="004E432F">
      <w:pPr>
        <w:shd w:val="clear" w:color="auto" w:fill="FFFFFF"/>
        <w:tabs>
          <w:tab w:val="left" w:pos="720"/>
        </w:tabs>
        <w:suppressAutoHyphens/>
        <w:rPr>
          <w:szCs w:val="22"/>
          <w:lang w:val="fr-CA"/>
        </w:rPr>
      </w:pPr>
      <w:r w:rsidRPr="001B7C74">
        <w:rPr>
          <w:szCs w:val="22"/>
          <w:lang w:val="fr-CA"/>
        </w:rPr>
        <w:tab/>
      </w:r>
    </w:p>
    <w:p w:rsidR="004E432F" w:rsidRPr="001B7C74" w:rsidRDefault="004E432F" w:rsidP="004E432F">
      <w:pPr>
        <w:keepNext/>
        <w:ind w:left="720"/>
        <w:rPr>
          <w:b/>
          <w:szCs w:val="22"/>
          <w:lang w:val="fr-CA" w:eastAsia="en-US"/>
        </w:rPr>
      </w:pPr>
      <w:r w:rsidRPr="001B7C74">
        <w:rPr>
          <w:b/>
          <w:szCs w:val="22"/>
          <w:lang w:val="fr-CA" w:eastAsia="en-US"/>
        </w:rPr>
        <w:t>Réalisation d’une étude technique pour l’analyse de la méthodologie de calcul des quotes-parts pour le financement du Fonds ordinaire de l’OEA</w:t>
      </w:r>
    </w:p>
    <w:p w:rsidR="004E432F" w:rsidRPr="001B7C74" w:rsidRDefault="004E432F" w:rsidP="004E432F">
      <w:pPr>
        <w:keepNext/>
        <w:rPr>
          <w:szCs w:val="22"/>
          <w:bdr w:val="none" w:sz="0" w:space="0" w:color="auto" w:frame="1"/>
          <w:lang w:val="fr-CA" w:eastAsia="en-US"/>
        </w:rPr>
      </w:pPr>
    </w:p>
    <w:p w:rsidR="004E432F" w:rsidRPr="001B7C74" w:rsidRDefault="004E432F" w:rsidP="004E432F">
      <w:pPr>
        <w:suppressAutoHyphens/>
        <w:rPr>
          <w:iCs/>
          <w:color w:val="000000"/>
          <w:szCs w:val="22"/>
          <w:lang w:val="fr-CA"/>
        </w:rPr>
      </w:pPr>
      <w:r w:rsidRPr="001B7C74">
        <w:rPr>
          <w:iCs/>
          <w:color w:val="000000"/>
          <w:szCs w:val="22"/>
          <w:lang w:val="fr-CA"/>
        </w:rPr>
        <w:tab/>
        <w:t>De prendre note de l’exposé fait par le Secrétariat général devant le Groupe de travail de la CAAP le 28 septembre 2020, concernant l’avancement du mandat établi par la résolution CP/RES. 1104 (2168/18) rev. 1, adoptée par l’Assemblée générale par le biais de la résolution AG/RES.  1 (LIII-E/18), et de charger la CAAP d’examiner plus profondément et de coordonner l’exécution d’une étude technique par un groupe d’experts indépendant sur la méthodologie de calcul du barème des quotes-parts pour le financement du Fonds ordinaire, sans exercer de pressions supplémentaires sur les sous-fonds ordinaire, de récupération des couts indirects et de réserve de l’Organisation, dont il peut utiliser les résultats en vue de soumettre au Conseil permanent des recommandations et, le cas échéant, une proposition de méthodologie de calcul du barème des quotes-parts pour le financement de l’Organisation, en vue d’un examen subséquent et de son adoption par une Assemblée générale subséquente.</w:t>
      </w:r>
      <w:r w:rsidRPr="001B7C74">
        <w:rPr>
          <w:rFonts w:eastAsia="MS Mincho"/>
          <w:bCs/>
          <w:spacing w:val="-2"/>
          <w:kern w:val="32"/>
          <w:szCs w:val="22"/>
          <w:lang w:val="fr-CA" w:eastAsia="en-US"/>
        </w:rPr>
        <w:t xml:space="preserve"> [AG/RES. 2957 (L-O/20) paragraphe IV.8]</w:t>
      </w:r>
    </w:p>
    <w:p w:rsidR="004E432F" w:rsidRPr="001B7C74" w:rsidRDefault="004E432F" w:rsidP="004E432F">
      <w:pPr>
        <w:suppressAutoHyphens/>
        <w:rPr>
          <w:bCs/>
          <w:i/>
          <w:color w:val="000000"/>
          <w:szCs w:val="22"/>
          <w:lang w:val="fr-CA"/>
        </w:rPr>
      </w:pPr>
    </w:p>
    <w:p w:rsidR="004E432F" w:rsidRPr="001B7C74" w:rsidRDefault="004E432F" w:rsidP="004E432F">
      <w:pPr>
        <w:suppressAutoHyphens/>
        <w:ind w:left="1440"/>
        <w:rPr>
          <w:bCs/>
          <w:i/>
          <w:color w:val="000000"/>
          <w:szCs w:val="22"/>
          <w:lang w:val="fr-CA"/>
        </w:rPr>
      </w:pPr>
    </w:p>
    <w:p w:rsidR="004E432F" w:rsidRPr="001B7C74" w:rsidRDefault="004E432F" w:rsidP="004E432F">
      <w:pPr>
        <w:numPr>
          <w:ilvl w:val="0"/>
          <w:numId w:val="20"/>
        </w:numPr>
        <w:suppressAutoHyphens/>
        <w:ind w:left="1440" w:hanging="720"/>
        <w:rPr>
          <w:bCs/>
          <w:i/>
          <w:color w:val="000000"/>
          <w:szCs w:val="22"/>
          <w:lang w:val="fr-CA"/>
        </w:rPr>
      </w:pPr>
      <w:r w:rsidRPr="001B7C74">
        <w:rPr>
          <w:bCs/>
          <w:i/>
          <w:color w:val="000000"/>
          <w:szCs w:val="22"/>
          <w:lang w:val="fr-CA"/>
        </w:rPr>
        <w:t>Révision des Normes générales de fonctionnement du Secrétariat général de l’Organisation des États Américains</w:t>
      </w:r>
    </w:p>
    <w:p w:rsidR="004E432F" w:rsidRPr="001B7C74" w:rsidRDefault="004E432F" w:rsidP="004E432F">
      <w:pPr>
        <w:suppressAutoHyphens/>
        <w:rPr>
          <w:b/>
          <w:bCs/>
          <w:color w:val="000000"/>
          <w:szCs w:val="22"/>
          <w:lang w:val="fr-CA"/>
        </w:rPr>
      </w:pPr>
    </w:p>
    <w:p w:rsidR="004E432F" w:rsidRPr="001B7C74" w:rsidRDefault="004E432F" w:rsidP="004E432F">
      <w:pPr>
        <w:suppressAutoHyphens/>
        <w:ind w:firstLine="720"/>
        <w:rPr>
          <w:b/>
          <w:color w:val="000000"/>
          <w:szCs w:val="22"/>
          <w:lang w:val="fr-CA"/>
        </w:rPr>
      </w:pPr>
      <w:r w:rsidRPr="001B7C74">
        <w:rPr>
          <w:b/>
          <w:color w:val="000000"/>
          <w:szCs w:val="22"/>
          <w:lang w:val="fr-CA"/>
        </w:rPr>
        <w:t xml:space="preserve">Mandat : </w:t>
      </w:r>
    </w:p>
    <w:p w:rsidR="004E432F" w:rsidRPr="001B7C74" w:rsidRDefault="004E432F" w:rsidP="004E432F">
      <w:pPr>
        <w:numPr>
          <w:ilvl w:val="1"/>
          <w:numId w:val="20"/>
        </w:numPr>
        <w:suppressAutoHyphens/>
        <w:rPr>
          <w:rFonts w:eastAsia="Calibri"/>
          <w:szCs w:val="22"/>
          <w:lang w:val="fr-CA"/>
        </w:rPr>
      </w:pPr>
      <w:r w:rsidRPr="001B7C74">
        <w:rPr>
          <w:color w:val="000000"/>
          <w:szCs w:val="22"/>
          <w:lang w:val="fr-CA"/>
        </w:rPr>
        <w:t xml:space="preserve">De renouveler le mandat énoncé dans la résolution AG/RES. 1 (XLVIII-E/14) rev. 1, laquelle charge le Conseil permanent, par le truchement de la CAAP, de mener un examen exhaustif des Normes générales, en particulier les chapitres VII et VIII, et de charger la CAAP d’examiner ces chapitres, puis d’en présenter les résultats ou des recommandations éventuelles à cet égard à l’Assemblée générale lors de sa cinquante-et-unième session ordinaire. Cette proposition doit contenir les règles de stabilité et de discipline financière et budgétaire qui garantissent la viabilité à moyen et à long terme de l'Organisation. </w:t>
      </w:r>
    </w:p>
    <w:p w:rsidR="004E432F" w:rsidRPr="001B7C74" w:rsidRDefault="004E432F" w:rsidP="004E432F">
      <w:pPr>
        <w:suppressAutoHyphens/>
        <w:ind w:left="1440"/>
        <w:rPr>
          <w:rFonts w:eastAsia="Calibri"/>
          <w:szCs w:val="22"/>
          <w:lang w:val="fr-CA"/>
        </w:rPr>
      </w:pPr>
    </w:p>
    <w:p w:rsidR="004E432F" w:rsidRPr="001B7C74" w:rsidRDefault="004E432F" w:rsidP="004E432F">
      <w:pPr>
        <w:numPr>
          <w:ilvl w:val="1"/>
          <w:numId w:val="20"/>
        </w:numPr>
        <w:suppressAutoHyphens/>
        <w:rPr>
          <w:rFonts w:eastAsia="Calibri"/>
          <w:szCs w:val="22"/>
          <w:lang w:val="fr-CA"/>
        </w:rPr>
      </w:pPr>
      <w:r w:rsidRPr="001B7C74">
        <w:rPr>
          <w:rFonts w:eastAsia="Arial Unicode MS"/>
          <w:lang w:val="fr-CA"/>
        </w:rPr>
        <w:t>De charger le Secrétaire général d'accompagner toutes les requêtes de virement de fonds subordonnées à l'approbation du Conseil permanent d'options possibles, basées sur les économies et les gains d'efficacité du chapitre du programme-budget, pour déterminer la provenance éventuelle des fonds ainsi qu’une justification correspondant à chaque option possible</w:t>
      </w:r>
      <w:r w:rsidRPr="001B7C74">
        <w:rPr>
          <w:rFonts w:eastAsia="Calibri"/>
          <w:szCs w:val="22"/>
          <w:lang w:val="fr-CA" w:eastAsia="en-US"/>
        </w:rPr>
        <w:t>.  [AG/RES. 2957 (L-O/20) paragraphe IV.9]</w:t>
      </w:r>
    </w:p>
    <w:p w:rsidR="004E432F" w:rsidRPr="001B7C74" w:rsidRDefault="004E432F" w:rsidP="004E432F">
      <w:pPr>
        <w:suppressAutoHyphens/>
        <w:rPr>
          <w:szCs w:val="22"/>
          <w:lang w:val="fr-CA"/>
        </w:rPr>
      </w:pPr>
    </w:p>
    <w:p w:rsidR="004E432F" w:rsidRPr="001B7C74" w:rsidRDefault="004E432F" w:rsidP="004E432F">
      <w:pPr>
        <w:suppressAutoHyphens/>
        <w:rPr>
          <w:szCs w:val="22"/>
          <w:lang w:val="fr-CA"/>
        </w:rPr>
      </w:pPr>
    </w:p>
    <w:p w:rsidR="004E432F" w:rsidRPr="001B7C74" w:rsidRDefault="004E432F" w:rsidP="004E432F">
      <w:pPr>
        <w:pStyle w:val="TitleUppercase"/>
        <w:numPr>
          <w:ilvl w:val="0"/>
          <w:numId w:val="20"/>
        </w:numPr>
        <w:tabs>
          <w:tab w:val="clear" w:pos="720"/>
          <w:tab w:val="clear" w:pos="1440"/>
          <w:tab w:val="clear" w:pos="2160"/>
          <w:tab w:val="clear" w:pos="2880"/>
          <w:tab w:val="clear" w:pos="7200"/>
          <w:tab w:val="clear" w:pos="7920"/>
          <w:tab w:val="clear" w:pos="8640"/>
        </w:tabs>
        <w:suppressAutoHyphens/>
        <w:ind w:left="1440" w:hanging="720"/>
        <w:jc w:val="both"/>
        <w:rPr>
          <w:i/>
          <w:szCs w:val="22"/>
          <w:lang w:val="fr-CA"/>
        </w:rPr>
      </w:pPr>
      <w:r w:rsidRPr="001B7C74">
        <w:rPr>
          <w:i/>
          <w:szCs w:val="22"/>
          <w:lang w:val="fr-CA"/>
        </w:rPr>
        <w:t>Voyages officiels</w:t>
      </w:r>
    </w:p>
    <w:p w:rsidR="004E432F" w:rsidRPr="001B7C74" w:rsidRDefault="004E432F" w:rsidP="004E432F">
      <w:pPr>
        <w:suppressAutoHyphens/>
        <w:rPr>
          <w:rFonts w:eastAsia="Calibri"/>
          <w:color w:val="000000"/>
          <w:szCs w:val="22"/>
          <w:lang w:val="fr-CA"/>
        </w:rPr>
      </w:pPr>
    </w:p>
    <w:p w:rsidR="004E432F" w:rsidRPr="001B7C74" w:rsidRDefault="004E432F" w:rsidP="004E432F">
      <w:pPr>
        <w:suppressAutoHyphens/>
        <w:ind w:firstLine="720"/>
        <w:rPr>
          <w:szCs w:val="22"/>
          <w:lang w:val="fr-CA"/>
        </w:rPr>
      </w:pPr>
      <w:r w:rsidRPr="001B7C74">
        <w:rPr>
          <w:b/>
          <w:color w:val="000000"/>
          <w:szCs w:val="22"/>
          <w:lang w:val="fr-CA"/>
        </w:rPr>
        <w:t>Mandat :</w:t>
      </w:r>
      <w:r w:rsidRPr="001B7C74">
        <w:rPr>
          <w:szCs w:val="22"/>
          <w:lang w:val="fr-CA"/>
        </w:rPr>
        <w:t xml:space="preserve"> </w:t>
      </w:r>
    </w:p>
    <w:p w:rsidR="004E432F" w:rsidRPr="001B7C74" w:rsidRDefault="004E432F" w:rsidP="004E432F">
      <w:pPr>
        <w:rPr>
          <w:rFonts w:eastAsia="Calibri"/>
          <w:szCs w:val="22"/>
          <w:lang w:val="fr-CA"/>
        </w:rPr>
      </w:pPr>
    </w:p>
    <w:p w:rsidR="004E432F" w:rsidRPr="001B7C74" w:rsidRDefault="004E432F" w:rsidP="004E432F">
      <w:pPr>
        <w:numPr>
          <w:ilvl w:val="0"/>
          <w:numId w:val="17"/>
        </w:numPr>
        <w:suppressAutoHyphens/>
        <w:ind w:left="720" w:firstLine="0"/>
        <w:rPr>
          <w:color w:val="000000"/>
          <w:szCs w:val="22"/>
          <w:lang w:val="fr-CA" w:eastAsia="en-US"/>
        </w:rPr>
      </w:pPr>
      <w:r w:rsidRPr="001B7C74">
        <w:rPr>
          <w:color w:val="000000"/>
          <w:szCs w:val="22"/>
          <w:lang w:val="fr-CA"/>
        </w:rPr>
        <w:t>De charger le Secrétaire général et le Secrétaire général adjoint, de même que les secrétaires pour tous les chapitres, y compris ceux correspondant aux organismes et entités spécialisés, de soumettre chaque trimestre au Conseil permanent un rapport détaillé sur les activités hors siège de leurs bureaux, comportant, entre autres, les renseignements suivants : dates du voyage, destination, délégation et objectif du voyage, ainsi que le mandat approuvé par les États membres qui justifie le voyage</w:t>
      </w:r>
      <w:r w:rsidRPr="001B7C74">
        <w:rPr>
          <w:rFonts w:eastAsia="Arial Unicode MS"/>
          <w:bCs/>
          <w:color w:val="000000"/>
          <w:szCs w:val="22"/>
          <w:lang w:val="fr-CA" w:eastAsia="en-US"/>
        </w:rPr>
        <w:t>.</w:t>
      </w:r>
    </w:p>
    <w:p w:rsidR="004E432F" w:rsidRPr="001B7C74" w:rsidRDefault="004E432F" w:rsidP="004E432F">
      <w:pPr>
        <w:suppressAutoHyphens/>
        <w:ind w:left="720"/>
        <w:rPr>
          <w:color w:val="000000"/>
          <w:szCs w:val="22"/>
          <w:lang w:val="fr-CA"/>
        </w:rPr>
      </w:pPr>
    </w:p>
    <w:p w:rsidR="004E432F" w:rsidRPr="001B7C74" w:rsidRDefault="004E432F" w:rsidP="004E432F">
      <w:pPr>
        <w:numPr>
          <w:ilvl w:val="0"/>
          <w:numId w:val="17"/>
        </w:numPr>
        <w:suppressAutoHyphens/>
        <w:ind w:left="720" w:firstLine="0"/>
        <w:rPr>
          <w:i/>
          <w:iCs/>
          <w:color w:val="000000"/>
          <w:szCs w:val="22"/>
          <w:lang w:val="fr-CA" w:eastAsia="en-US"/>
        </w:rPr>
      </w:pPr>
      <w:r w:rsidRPr="001B7C74">
        <w:rPr>
          <w:color w:val="000000"/>
          <w:szCs w:val="22"/>
          <w:lang w:val="fr-CA" w:eastAsia="en-US"/>
        </w:rPr>
        <w:lastRenderedPageBreak/>
        <w:t xml:space="preserve">De charger le Secrétariat général de l’OEA de publier sur son site web les rapports demandés au paragraphe précédent. </w:t>
      </w:r>
      <w:r w:rsidRPr="001B7C74">
        <w:rPr>
          <w:rFonts w:eastAsia="Calibri"/>
          <w:szCs w:val="22"/>
          <w:lang w:val="fr-CA" w:eastAsia="en-US"/>
        </w:rPr>
        <w:t>[AG/RES. 2957 (L-O/20) paragraphe IV.10]</w:t>
      </w:r>
    </w:p>
    <w:p w:rsidR="004E432F" w:rsidRPr="001B7C74" w:rsidRDefault="004E432F" w:rsidP="004E432F">
      <w:pPr>
        <w:rPr>
          <w:strike/>
          <w:color w:val="000000"/>
          <w:szCs w:val="22"/>
          <w:lang w:val="fr-CA"/>
        </w:rPr>
      </w:pPr>
    </w:p>
    <w:p w:rsidR="004E432F" w:rsidRPr="001B7C74" w:rsidRDefault="004E432F" w:rsidP="004E432F">
      <w:pPr>
        <w:ind w:left="720" w:firstLine="720"/>
        <w:rPr>
          <w:szCs w:val="22"/>
          <w:lang w:val="fr-CA"/>
        </w:rPr>
      </w:pPr>
      <w:r w:rsidRPr="001B7C74">
        <w:rPr>
          <w:b/>
          <w:szCs w:val="22"/>
          <w:lang w:val="fr-CA"/>
        </w:rPr>
        <w:t>Progrès réalisés :</w:t>
      </w:r>
      <w:r w:rsidRPr="001B7C74">
        <w:rPr>
          <w:szCs w:val="22"/>
          <w:lang w:val="fr-CA"/>
        </w:rPr>
        <w:t xml:space="preserve"> Le Secrétariat général a diffusé les rapports suivants en 2020 :</w:t>
      </w:r>
    </w:p>
    <w:p w:rsidR="004E432F" w:rsidRPr="001B7C74" w:rsidRDefault="004E432F" w:rsidP="004E432F">
      <w:pPr>
        <w:ind w:firstLine="720"/>
        <w:jc w:val="left"/>
        <w:rPr>
          <w:szCs w:val="22"/>
          <w:lang w:val="fr-CA" w:eastAsia="es-ES_tradnl"/>
        </w:rPr>
      </w:pPr>
    </w:p>
    <w:tbl>
      <w:tblPr>
        <w:tblW w:w="0" w:type="auto"/>
        <w:jc w:val="center"/>
        <w:tblLook w:val="04A0" w:firstRow="1" w:lastRow="0" w:firstColumn="1" w:lastColumn="0" w:noHBand="0" w:noVBand="1"/>
      </w:tblPr>
      <w:tblGrid>
        <w:gridCol w:w="3197"/>
        <w:gridCol w:w="3044"/>
        <w:gridCol w:w="2946"/>
      </w:tblGrid>
      <w:tr w:rsidR="004E432F" w:rsidRPr="001B7C74" w:rsidTr="00A15D6A">
        <w:trPr>
          <w:jc w:val="center"/>
        </w:trPr>
        <w:tc>
          <w:tcPr>
            <w:tcW w:w="3197" w:type="dxa"/>
            <w:shd w:val="clear" w:color="auto" w:fill="auto"/>
          </w:tcPr>
          <w:p w:rsidR="004E432F" w:rsidRPr="001B7C74" w:rsidRDefault="004E432F" w:rsidP="00A15D6A">
            <w:pPr>
              <w:ind w:firstLine="720"/>
              <w:jc w:val="left"/>
              <w:rPr>
                <w:szCs w:val="22"/>
                <w:u w:val="single"/>
                <w:lang w:val="fr-CA" w:eastAsia="es-ES_tradnl"/>
              </w:rPr>
            </w:pPr>
            <w:r w:rsidRPr="001B7C74">
              <w:rPr>
                <w:szCs w:val="22"/>
                <w:u w:val="single"/>
                <w:lang w:val="fr-CA" w:eastAsia="es-ES_tradnl"/>
              </w:rPr>
              <w:t>Secrétaire général</w:t>
            </w:r>
          </w:p>
        </w:tc>
        <w:tc>
          <w:tcPr>
            <w:tcW w:w="3044" w:type="dxa"/>
            <w:shd w:val="clear" w:color="auto" w:fill="auto"/>
          </w:tcPr>
          <w:p w:rsidR="004E432F" w:rsidRPr="001B7C74" w:rsidRDefault="004E432F" w:rsidP="00A15D6A">
            <w:pPr>
              <w:ind w:hanging="3"/>
              <w:jc w:val="left"/>
              <w:rPr>
                <w:szCs w:val="22"/>
                <w:u w:val="single"/>
                <w:lang w:val="fr-CA" w:eastAsia="es-ES_tradnl"/>
              </w:rPr>
            </w:pPr>
            <w:r w:rsidRPr="001B7C74">
              <w:rPr>
                <w:szCs w:val="22"/>
                <w:u w:val="single"/>
                <w:lang w:val="fr-CA" w:eastAsia="es-ES_tradnl"/>
              </w:rPr>
              <w:t>Secrétaire général adjoint</w:t>
            </w:r>
          </w:p>
        </w:tc>
        <w:tc>
          <w:tcPr>
            <w:tcW w:w="2946" w:type="dxa"/>
          </w:tcPr>
          <w:p w:rsidR="004E432F" w:rsidRPr="001B7C74" w:rsidRDefault="004E432F" w:rsidP="00A15D6A">
            <w:pPr>
              <w:ind w:hanging="3"/>
              <w:jc w:val="left"/>
              <w:rPr>
                <w:szCs w:val="22"/>
                <w:u w:val="single"/>
                <w:lang w:val="fr-CA" w:eastAsia="es-ES_tradnl"/>
              </w:rPr>
            </w:pPr>
            <w:r w:rsidRPr="001B7C74">
              <w:rPr>
                <w:szCs w:val="22"/>
                <w:u w:val="single"/>
                <w:lang w:val="fr-CA" w:eastAsia="es-ES_tradnl"/>
              </w:rPr>
              <w:t>Rapports du Secrétariat</w:t>
            </w:r>
          </w:p>
        </w:tc>
      </w:tr>
      <w:tr w:rsidR="004E432F" w:rsidRPr="001B7C74" w:rsidTr="00A15D6A">
        <w:trPr>
          <w:jc w:val="center"/>
        </w:trPr>
        <w:tc>
          <w:tcPr>
            <w:tcW w:w="3197" w:type="dxa"/>
            <w:shd w:val="clear" w:color="auto" w:fill="auto"/>
          </w:tcPr>
          <w:p w:rsidR="004E432F" w:rsidRPr="001B7C74" w:rsidRDefault="00351F4E" w:rsidP="00A15D6A">
            <w:pPr>
              <w:ind w:left="720"/>
              <w:rPr>
                <w:szCs w:val="22"/>
                <w:lang w:val="fr-CA"/>
              </w:rPr>
            </w:pPr>
            <w:hyperlink r:id="rId20" w:history="1">
              <w:r w:rsidR="004E432F" w:rsidRPr="001B7C74">
                <w:rPr>
                  <w:rStyle w:val="Hyperlink"/>
                  <w:szCs w:val="22"/>
                  <w:lang w:val="fr-CA"/>
                </w:rPr>
                <w:t>CP/doc.5580/20</w:t>
              </w:r>
            </w:hyperlink>
          </w:p>
        </w:tc>
        <w:tc>
          <w:tcPr>
            <w:tcW w:w="3044" w:type="dxa"/>
            <w:shd w:val="clear" w:color="auto" w:fill="auto"/>
          </w:tcPr>
          <w:p w:rsidR="004E432F" w:rsidRPr="001B7C74" w:rsidRDefault="00351F4E" w:rsidP="00A15D6A">
            <w:pPr>
              <w:jc w:val="left"/>
              <w:rPr>
                <w:lang w:val="fr-CA" w:eastAsia="es-ES_tradnl"/>
              </w:rPr>
            </w:pPr>
            <w:hyperlink r:id="rId21" w:history="1">
              <w:r w:rsidR="004E432F" w:rsidRPr="001B7C74">
                <w:rPr>
                  <w:color w:val="0000FF"/>
                  <w:u w:val="single"/>
                  <w:lang w:val="fr-CA" w:eastAsia="es-ES_tradnl"/>
                </w:rPr>
                <w:t>CP/doc. 5581/20</w:t>
              </w:r>
            </w:hyperlink>
            <w:r w:rsidR="004E432F" w:rsidRPr="001B7C74">
              <w:rPr>
                <w:lang w:val="fr-CA" w:eastAsia="es-ES_tradnl"/>
              </w:rPr>
              <w:t xml:space="preserve"> </w:t>
            </w:r>
          </w:p>
          <w:p w:rsidR="004E432F" w:rsidRPr="001B7C74" w:rsidRDefault="00351F4E" w:rsidP="00A15D6A">
            <w:pPr>
              <w:jc w:val="left"/>
              <w:rPr>
                <w:lang w:val="fr-CA" w:eastAsia="es-ES_tradnl"/>
              </w:rPr>
            </w:pPr>
            <w:hyperlink r:id="rId22" w:history="1">
              <w:r w:rsidR="004E432F" w:rsidRPr="001B7C74">
                <w:rPr>
                  <w:rStyle w:val="Hyperlink"/>
                  <w:lang w:val="fr-CA" w:eastAsia="es-ES_tradnl"/>
                </w:rPr>
                <w:t>CP/doc. 5607/20</w:t>
              </w:r>
            </w:hyperlink>
          </w:p>
          <w:p w:rsidR="004E432F" w:rsidRPr="001B7C74" w:rsidRDefault="004E432F" w:rsidP="00A15D6A">
            <w:pPr>
              <w:jc w:val="left"/>
              <w:rPr>
                <w:szCs w:val="22"/>
                <w:lang w:val="fr-CA" w:eastAsia="es-ES_tradnl"/>
              </w:rPr>
            </w:pPr>
          </w:p>
        </w:tc>
        <w:tc>
          <w:tcPr>
            <w:tcW w:w="2946" w:type="dxa"/>
          </w:tcPr>
          <w:p w:rsidR="004E432F" w:rsidRPr="001B7C74" w:rsidRDefault="00351F4E" w:rsidP="00A15D6A">
            <w:pPr>
              <w:pStyle w:val="TitleUppercase"/>
              <w:shd w:val="clear" w:color="auto" w:fill="FFFFFF"/>
              <w:tabs>
                <w:tab w:val="clear" w:pos="720"/>
                <w:tab w:val="clear" w:pos="1440"/>
                <w:tab w:val="clear" w:pos="2160"/>
                <w:tab w:val="clear" w:pos="2880"/>
                <w:tab w:val="clear" w:pos="7200"/>
                <w:tab w:val="clear" w:pos="7920"/>
                <w:tab w:val="clear" w:pos="8640"/>
              </w:tabs>
              <w:suppressAutoHyphens/>
              <w:ind w:left="59"/>
              <w:jc w:val="both"/>
              <w:rPr>
                <w:szCs w:val="22"/>
                <w:lang w:val="fr-CA"/>
              </w:rPr>
            </w:pPr>
            <w:hyperlink r:id="rId23" w:history="1">
              <w:r w:rsidR="004E432F" w:rsidRPr="001B7C74">
                <w:rPr>
                  <w:rStyle w:val="Hyperlink"/>
                  <w:szCs w:val="22"/>
                  <w:lang w:val="fr-CA"/>
                </w:rPr>
                <w:t>CP/doc. 5579/20</w:t>
              </w:r>
            </w:hyperlink>
          </w:p>
          <w:p w:rsidR="004E432F" w:rsidRPr="001B7C74" w:rsidRDefault="00351F4E" w:rsidP="00A15D6A">
            <w:pPr>
              <w:pStyle w:val="TitleUppercase"/>
              <w:shd w:val="clear" w:color="auto" w:fill="FFFFFF"/>
              <w:tabs>
                <w:tab w:val="clear" w:pos="720"/>
                <w:tab w:val="clear" w:pos="1440"/>
                <w:tab w:val="clear" w:pos="2160"/>
                <w:tab w:val="clear" w:pos="2880"/>
                <w:tab w:val="clear" w:pos="7200"/>
                <w:tab w:val="clear" w:pos="7920"/>
                <w:tab w:val="clear" w:pos="8640"/>
              </w:tabs>
              <w:suppressAutoHyphens/>
              <w:ind w:left="59"/>
              <w:jc w:val="both"/>
              <w:rPr>
                <w:szCs w:val="22"/>
                <w:lang w:val="fr-CA"/>
              </w:rPr>
            </w:pPr>
            <w:hyperlink r:id="rId24" w:history="1">
              <w:r w:rsidR="004E432F" w:rsidRPr="001B7C74">
                <w:rPr>
                  <w:rStyle w:val="Hyperlink"/>
                  <w:szCs w:val="22"/>
                  <w:lang w:val="fr-CA"/>
                </w:rPr>
                <w:t>CP/doc. 5613/20</w:t>
              </w:r>
            </w:hyperlink>
          </w:p>
          <w:p w:rsidR="004E432F" w:rsidRPr="001B7C74" w:rsidRDefault="004E432F" w:rsidP="00A15D6A">
            <w:pPr>
              <w:jc w:val="left"/>
              <w:rPr>
                <w:color w:val="0000FF"/>
                <w:u w:val="single"/>
                <w:lang w:val="fr-CA" w:eastAsia="es-ES_tradnl"/>
              </w:rPr>
            </w:pPr>
          </w:p>
        </w:tc>
      </w:tr>
    </w:tbl>
    <w:p w:rsidR="004E432F" w:rsidRPr="001B7C74" w:rsidRDefault="004E432F" w:rsidP="004E432F">
      <w:pPr>
        <w:ind w:firstLine="720"/>
        <w:jc w:val="left"/>
        <w:rPr>
          <w:szCs w:val="22"/>
          <w:lang w:val="fr-CA" w:eastAsia="es-ES_tradnl"/>
        </w:rPr>
      </w:pPr>
    </w:p>
    <w:p w:rsidR="004E432F" w:rsidRPr="001B7C74" w:rsidRDefault="004E432F" w:rsidP="004E432F">
      <w:pPr>
        <w:suppressAutoHyphens/>
        <w:ind w:firstLine="720"/>
        <w:rPr>
          <w:szCs w:val="22"/>
          <w:lang w:val="fr-CA"/>
        </w:rPr>
      </w:pPr>
    </w:p>
    <w:p w:rsidR="004E432F" w:rsidRPr="001B7C74" w:rsidRDefault="004E432F" w:rsidP="004E432F">
      <w:pPr>
        <w:suppressAutoHyphens/>
        <w:ind w:firstLine="720"/>
        <w:jc w:val="left"/>
        <w:rPr>
          <w:szCs w:val="22"/>
          <w:lang w:val="fr-CA" w:eastAsia="es-ES_tradnl"/>
        </w:rPr>
      </w:pPr>
    </w:p>
    <w:p w:rsidR="004E432F" w:rsidRPr="001B7C74" w:rsidRDefault="004E432F" w:rsidP="004E432F">
      <w:pPr>
        <w:numPr>
          <w:ilvl w:val="0"/>
          <w:numId w:val="20"/>
        </w:numPr>
        <w:suppressAutoHyphens/>
        <w:ind w:left="1440" w:hanging="720"/>
        <w:rPr>
          <w:i/>
          <w:szCs w:val="22"/>
          <w:lang w:val="fr-CA"/>
        </w:rPr>
      </w:pPr>
      <w:r w:rsidRPr="001B7C74">
        <w:rPr>
          <w:i/>
          <w:szCs w:val="22"/>
          <w:lang w:val="fr-CA"/>
        </w:rPr>
        <w:t>Allocation de subsistance journalière</w:t>
      </w:r>
    </w:p>
    <w:p w:rsidR="004E432F" w:rsidRPr="001B7C74" w:rsidRDefault="004E432F" w:rsidP="004E432F">
      <w:pPr>
        <w:suppressAutoHyphens/>
        <w:rPr>
          <w:b/>
          <w:szCs w:val="22"/>
          <w:lang w:val="fr-CA"/>
        </w:rPr>
      </w:pPr>
    </w:p>
    <w:p w:rsidR="004E432F" w:rsidRPr="001B7C74" w:rsidRDefault="004E432F" w:rsidP="004E432F">
      <w:pPr>
        <w:suppressAutoHyphens/>
        <w:ind w:firstLine="720"/>
        <w:rPr>
          <w:b/>
          <w:szCs w:val="22"/>
          <w:lang w:val="fr-CA"/>
        </w:rPr>
      </w:pPr>
      <w:r w:rsidRPr="001B7C74">
        <w:rPr>
          <w:b/>
          <w:szCs w:val="22"/>
          <w:lang w:val="fr-CA"/>
        </w:rPr>
        <w:t>Mandat :</w:t>
      </w:r>
    </w:p>
    <w:p w:rsidR="004E432F" w:rsidRPr="001B7C74" w:rsidRDefault="004E432F" w:rsidP="004E432F">
      <w:pPr>
        <w:suppressAutoHyphens/>
        <w:ind w:firstLine="720"/>
        <w:rPr>
          <w:szCs w:val="22"/>
          <w:lang w:val="fr-CA"/>
        </w:rPr>
      </w:pPr>
    </w:p>
    <w:p w:rsidR="004E432F" w:rsidRPr="001B7C74" w:rsidRDefault="004E432F" w:rsidP="004E432F">
      <w:pPr>
        <w:suppressAutoHyphens/>
        <w:ind w:firstLine="720"/>
        <w:rPr>
          <w:rFonts w:eastAsia="Calibri"/>
          <w:szCs w:val="22"/>
          <w:lang w:val="fr-CA"/>
        </w:rPr>
      </w:pPr>
      <w:r w:rsidRPr="001B7C74">
        <w:rPr>
          <w:szCs w:val="22"/>
          <w:lang w:val="fr-CA"/>
        </w:rPr>
        <w:t>De charger le Secrétariat général de mettre en œuvre une proposition de nouvelles règles et procédures, accompagnées de sanctions, s'appliquant aux voyages officiels à l’OEA, en remplaçant l'actuel système de paiement automatique fondé sur un barème préétabli par un autre qui prévoit une prise en charge pécuniaire de la période correspondant à la mission officielle, et d'adopter les critères ci-après :</w:t>
      </w:r>
    </w:p>
    <w:p w:rsidR="004E432F" w:rsidRPr="001B7C74" w:rsidRDefault="004E432F" w:rsidP="004E432F">
      <w:pPr>
        <w:suppressAutoHyphens/>
        <w:rPr>
          <w:rFonts w:eastAsia="Calibri"/>
          <w:szCs w:val="22"/>
          <w:lang w:val="fr-CA" w:eastAsia="en-US"/>
        </w:rPr>
      </w:pPr>
    </w:p>
    <w:p w:rsidR="004E432F" w:rsidRPr="001B7C74" w:rsidRDefault="004E432F" w:rsidP="004E432F">
      <w:pPr>
        <w:suppressAutoHyphens/>
        <w:ind w:left="1440" w:hanging="720"/>
        <w:rPr>
          <w:rFonts w:eastAsia="Calibri"/>
          <w:szCs w:val="22"/>
          <w:lang w:val="fr-CA"/>
        </w:rPr>
      </w:pPr>
      <w:r w:rsidRPr="001B7C74">
        <w:rPr>
          <w:szCs w:val="22"/>
          <w:lang w:val="fr-CA"/>
        </w:rPr>
        <w:t>a)</w:t>
      </w:r>
      <w:r w:rsidRPr="001B7C74">
        <w:rPr>
          <w:szCs w:val="22"/>
          <w:lang w:val="fr-CA"/>
        </w:rPr>
        <w:tab/>
        <w:t>Présentation de justificatifs correspondant aux frais d’hébergement, en l’absence de quoi, la somme maximale sera de 50 USD.</w:t>
      </w:r>
    </w:p>
    <w:p w:rsidR="004E432F" w:rsidRPr="001B7C74" w:rsidRDefault="004E432F" w:rsidP="004E432F">
      <w:pPr>
        <w:suppressAutoHyphens/>
        <w:ind w:firstLine="720"/>
        <w:rPr>
          <w:rFonts w:eastAsia="Calibri"/>
          <w:szCs w:val="22"/>
          <w:lang w:val="fr-CA"/>
        </w:rPr>
      </w:pPr>
      <w:r w:rsidRPr="001B7C74">
        <w:rPr>
          <w:szCs w:val="22"/>
          <w:lang w:val="fr-CA"/>
        </w:rPr>
        <w:t>b)</w:t>
      </w:r>
      <w:r w:rsidRPr="001B7C74">
        <w:rPr>
          <w:szCs w:val="22"/>
          <w:lang w:val="fr-CA"/>
        </w:rPr>
        <w:tab/>
        <w:t>Méthodologie relative au remboursement des frais de transport local depuis l’aéroport et vers celui-ci.</w:t>
      </w:r>
    </w:p>
    <w:p w:rsidR="004E432F" w:rsidRPr="001B7C74" w:rsidRDefault="004E432F" w:rsidP="004E432F">
      <w:pPr>
        <w:suppressAutoHyphens/>
        <w:ind w:left="1440" w:hanging="720"/>
        <w:rPr>
          <w:color w:val="000000"/>
          <w:szCs w:val="22"/>
          <w:lang w:val="fr-CA"/>
        </w:rPr>
      </w:pPr>
      <w:r w:rsidRPr="001B7C74">
        <w:rPr>
          <w:szCs w:val="22"/>
          <w:lang w:val="fr-CA"/>
        </w:rPr>
        <w:t>c)</w:t>
      </w:r>
      <w:r w:rsidRPr="001B7C74">
        <w:rPr>
          <w:szCs w:val="22"/>
          <w:lang w:val="fr-CA"/>
        </w:rPr>
        <w:tab/>
        <w:t>Concernant les autres allocations, selon le besoin, en fonction de l’horaire établi pour la mission officielle.</w:t>
      </w:r>
      <w:r w:rsidRPr="001B7C74">
        <w:rPr>
          <w:color w:val="000000"/>
          <w:szCs w:val="22"/>
          <w:lang w:val="fr-CA"/>
        </w:rPr>
        <w:t xml:space="preserve"> </w:t>
      </w:r>
    </w:p>
    <w:p w:rsidR="004E432F" w:rsidRPr="001B7C74" w:rsidRDefault="004E432F" w:rsidP="004E432F">
      <w:pPr>
        <w:suppressAutoHyphens/>
        <w:ind w:left="1440" w:hanging="720"/>
        <w:rPr>
          <w:szCs w:val="22"/>
          <w:lang w:val="fr-CA"/>
        </w:rPr>
      </w:pPr>
      <w:r w:rsidRPr="001B7C74">
        <w:rPr>
          <w:color w:val="000000"/>
          <w:szCs w:val="22"/>
          <w:lang w:val="fr-CA"/>
        </w:rPr>
        <w:t>d)</w:t>
      </w:r>
      <w:r w:rsidRPr="001B7C74">
        <w:rPr>
          <w:color w:val="000000"/>
          <w:szCs w:val="22"/>
          <w:lang w:val="fr-CA"/>
        </w:rPr>
        <w:tab/>
        <w:t xml:space="preserve">Le rapprochement des indemnités journalières avancées doit être présenté dans le mois qui suit le voyage. </w:t>
      </w:r>
      <w:r w:rsidRPr="001B7C74">
        <w:rPr>
          <w:szCs w:val="22"/>
          <w:lang w:val="fr-CA"/>
        </w:rPr>
        <w:t>[AG/RES. 2957 (L-O/20) paragraphe IV.11 du dispositif]</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numPr>
          <w:ilvl w:val="0"/>
          <w:numId w:val="20"/>
        </w:numPr>
        <w:tabs>
          <w:tab w:val="clear" w:pos="720"/>
          <w:tab w:val="clear" w:pos="1440"/>
          <w:tab w:val="clear" w:pos="2160"/>
          <w:tab w:val="clear" w:pos="2880"/>
          <w:tab w:val="clear" w:pos="7200"/>
          <w:tab w:val="clear" w:pos="7920"/>
          <w:tab w:val="clear" w:pos="8640"/>
        </w:tabs>
        <w:suppressAutoHyphens/>
        <w:ind w:left="1440" w:hanging="720"/>
        <w:jc w:val="both"/>
        <w:rPr>
          <w:i/>
          <w:szCs w:val="22"/>
          <w:lang w:val="fr-CA"/>
        </w:rPr>
      </w:pPr>
      <w:r w:rsidRPr="001B7C74">
        <w:rPr>
          <w:i/>
          <w:szCs w:val="22"/>
          <w:lang w:val="fr-CA"/>
        </w:rPr>
        <w:t>Ressources humaines</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suppressAutoHyphens/>
        <w:ind w:firstLine="720"/>
        <w:rPr>
          <w:b/>
          <w:szCs w:val="22"/>
          <w:lang w:val="fr-CA"/>
        </w:rPr>
      </w:pPr>
      <w:r w:rsidRPr="001B7C74">
        <w:rPr>
          <w:b/>
          <w:szCs w:val="22"/>
          <w:lang w:val="fr-CA"/>
        </w:rPr>
        <w:t>Mandat</w:t>
      </w:r>
    </w:p>
    <w:p w:rsidR="004E432F" w:rsidRPr="001B7C74" w:rsidRDefault="004E432F" w:rsidP="004E432F">
      <w:pPr>
        <w:rPr>
          <w:b/>
          <w:szCs w:val="22"/>
          <w:lang w:val="fr-CA"/>
        </w:rPr>
      </w:pPr>
    </w:p>
    <w:p w:rsidR="004E432F" w:rsidRPr="001B7C74" w:rsidRDefault="004E432F" w:rsidP="004E432F">
      <w:pPr>
        <w:ind w:left="720"/>
        <w:rPr>
          <w:color w:val="000000"/>
          <w:szCs w:val="22"/>
          <w:lang w:val="fr-CA" w:eastAsia="en-US"/>
        </w:rPr>
      </w:pPr>
      <w:r w:rsidRPr="001B7C74">
        <w:rPr>
          <w:color w:val="000000"/>
          <w:szCs w:val="22"/>
          <w:lang w:val="fr-CA" w:eastAsia="en-US"/>
        </w:rPr>
        <w:t>a.</w:t>
      </w:r>
      <w:r w:rsidRPr="001B7C74">
        <w:rPr>
          <w:color w:val="000000"/>
          <w:szCs w:val="22"/>
          <w:lang w:val="fr-CA" w:eastAsia="en-US"/>
        </w:rPr>
        <w:tab/>
        <w:t xml:space="preserve">De </w:t>
      </w:r>
      <w:r w:rsidRPr="001B7C74">
        <w:rPr>
          <w:szCs w:val="22"/>
          <w:lang w:val="fr-CA"/>
        </w:rPr>
        <w:t xml:space="preserve">charger le Secrétariat général de poursuivre l’élaboration de la Stratégie intégrale en matière de ressources humaines pour l’Organisation et, au plus tard le 30 avril 2021, de présenter à la CAAP un rapport sur les résultats atteints à cette date, y compris la conformité de ceux-ci avec les règles et règlements actuels et avec l’exécution du nouveau </w:t>
      </w:r>
      <w:r w:rsidRPr="001B7C74">
        <w:rPr>
          <w:color w:val="000000"/>
          <w:szCs w:val="22"/>
          <w:lang w:val="fr-CA" w:eastAsia="en-US"/>
        </w:rPr>
        <w:t xml:space="preserve">ERP.   </w:t>
      </w:r>
    </w:p>
    <w:p w:rsidR="004E432F" w:rsidRPr="001B7C74" w:rsidRDefault="004E432F" w:rsidP="004E432F">
      <w:pPr>
        <w:ind w:left="720"/>
        <w:rPr>
          <w:color w:val="000000"/>
          <w:szCs w:val="22"/>
          <w:lang w:val="fr-CA" w:eastAsia="en-US"/>
        </w:rPr>
      </w:pPr>
    </w:p>
    <w:p w:rsidR="004E432F" w:rsidRPr="001B7C74" w:rsidRDefault="004E432F" w:rsidP="004E432F">
      <w:pPr>
        <w:ind w:left="720"/>
        <w:rPr>
          <w:color w:val="000000"/>
          <w:szCs w:val="22"/>
          <w:lang w:val="fr-CA" w:eastAsia="en-US"/>
        </w:rPr>
      </w:pPr>
      <w:r w:rsidRPr="001B7C74">
        <w:rPr>
          <w:color w:val="000000"/>
          <w:szCs w:val="22"/>
          <w:lang w:val="fr-CA" w:eastAsia="en-US"/>
        </w:rPr>
        <w:t>b.</w:t>
      </w:r>
      <w:r w:rsidRPr="001B7C74">
        <w:rPr>
          <w:color w:val="000000"/>
          <w:szCs w:val="22"/>
          <w:lang w:val="fr-CA" w:eastAsia="en-US"/>
        </w:rPr>
        <w:tab/>
      </w:r>
      <w:r w:rsidRPr="001B7C74">
        <w:rPr>
          <w:color w:val="000000"/>
          <w:szCs w:val="22"/>
          <w:lang w:val="fr-CA"/>
        </w:rPr>
        <w:t xml:space="preserve">De </w:t>
      </w:r>
      <w:r w:rsidRPr="001B7C74">
        <w:rPr>
          <w:bCs/>
          <w:color w:val="000000"/>
          <w:szCs w:val="22"/>
          <w:lang w:val="fr-CA"/>
        </w:rPr>
        <w:t>demander au</w:t>
      </w:r>
      <w:r w:rsidRPr="001B7C74">
        <w:rPr>
          <w:color w:val="000000"/>
          <w:szCs w:val="22"/>
          <w:lang w:val="fr-CA"/>
        </w:rPr>
        <w:t xml:space="preserve"> Bureau de l’Inspecteur général </w:t>
      </w:r>
      <w:r w:rsidRPr="001B7C74">
        <w:rPr>
          <w:bCs/>
          <w:color w:val="000000"/>
          <w:szCs w:val="22"/>
          <w:lang w:val="fr-CA"/>
        </w:rPr>
        <w:t>de continuer d’élaborer</w:t>
      </w:r>
      <w:r w:rsidRPr="001B7C74">
        <w:rPr>
          <w:color w:val="000000"/>
          <w:szCs w:val="22"/>
          <w:lang w:val="fr-CA"/>
        </w:rPr>
        <w:t xml:space="preserve"> ses rapports semestriels</w:t>
      </w:r>
      <w:r w:rsidRPr="001B7C74">
        <w:rPr>
          <w:szCs w:val="22"/>
          <w:lang w:val="fr-CA"/>
        </w:rPr>
        <w:t xml:space="preserve"> </w:t>
      </w:r>
      <w:r w:rsidRPr="001B7C74">
        <w:rPr>
          <w:bCs/>
          <w:color w:val="000000"/>
          <w:szCs w:val="22"/>
          <w:lang w:val="fr-CA"/>
        </w:rPr>
        <w:t>concernant</w:t>
      </w:r>
      <w:r w:rsidRPr="001B7C74">
        <w:rPr>
          <w:color w:val="000000"/>
          <w:szCs w:val="22"/>
          <w:lang w:val="fr-CA"/>
        </w:rPr>
        <w:t xml:space="preserve"> les mutations de personnel, les concours internes et externes </w:t>
      </w:r>
      <w:r w:rsidRPr="001B7C74">
        <w:rPr>
          <w:bCs/>
          <w:color w:val="000000"/>
          <w:szCs w:val="22"/>
          <w:lang w:val="fr-CA"/>
        </w:rPr>
        <w:t>achevés</w:t>
      </w:r>
      <w:r w:rsidRPr="001B7C74">
        <w:rPr>
          <w:color w:val="000000"/>
          <w:szCs w:val="22"/>
          <w:lang w:val="fr-CA"/>
        </w:rPr>
        <w:t xml:space="preserve"> ainsi que les reclassements de postes prévus dans ce programme-budget,</w:t>
      </w:r>
      <w:r w:rsidRPr="001B7C74">
        <w:rPr>
          <w:bCs/>
          <w:color w:val="000000"/>
          <w:szCs w:val="22"/>
          <w:lang w:val="fr-CA"/>
        </w:rPr>
        <w:t xml:space="preserve"> et de vérifier que ceux-ci se sont déroulés en stricte conformité avec</w:t>
      </w:r>
      <w:r w:rsidRPr="001B7C74">
        <w:rPr>
          <w:color w:val="000000"/>
          <w:szCs w:val="22"/>
          <w:lang w:val="fr-CA"/>
        </w:rPr>
        <w:t xml:space="preserve"> les règles applicables</w:t>
      </w:r>
      <w:r w:rsidRPr="001B7C74">
        <w:rPr>
          <w:color w:val="000000"/>
          <w:szCs w:val="22"/>
          <w:lang w:val="fr-CA" w:eastAsia="en-US"/>
        </w:rPr>
        <w:t xml:space="preserve">.   </w:t>
      </w:r>
    </w:p>
    <w:p w:rsidR="004E432F" w:rsidRPr="001B7C74" w:rsidRDefault="004E432F" w:rsidP="004E432F">
      <w:pPr>
        <w:ind w:left="720"/>
        <w:rPr>
          <w:color w:val="000000"/>
          <w:szCs w:val="22"/>
          <w:lang w:val="fr-CA" w:eastAsia="en-US"/>
        </w:rPr>
      </w:pPr>
    </w:p>
    <w:p w:rsidR="004E432F" w:rsidRPr="001B7C74" w:rsidRDefault="004E432F" w:rsidP="004E432F">
      <w:pPr>
        <w:ind w:left="720"/>
        <w:rPr>
          <w:color w:val="000000"/>
          <w:szCs w:val="22"/>
          <w:lang w:val="fr-CA" w:eastAsia="en-US"/>
        </w:rPr>
      </w:pPr>
      <w:r w:rsidRPr="001B7C74">
        <w:rPr>
          <w:color w:val="000000"/>
          <w:szCs w:val="22"/>
          <w:lang w:val="fr-CA" w:eastAsia="en-US"/>
        </w:rPr>
        <w:t>c.</w:t>
      </w:r>
      <w:r w:rsidRPr="001B7C74">
        <w:rPr>
          <w:color w:val="000000"/>
          <w:szCs w:val="22"/>
          <w:lang w:val="fr-CA" w:eastAsia="en-US"/>
        </w:rPr>
        <w:tab/>
      </w:r>
      <w:r w:rsidRPr="001B7C74">
        <w:rPr>
          <w:color w:val="000000"/>
          <w:szCs w:val="22"/>
          <w:lang w:val="fr-CA"/>
        </w:rPr>
        <w:t xml:space="preserve">Le Secrétariat général transmettra à la CAAP un rapport détaillé sur la situation de tous les postes financés par le Fonds ordinaire qui sont vacants. Si un poste vacant n’a pas fait l’objet d’une annonce publique, le Secrétariat général fournira une explication détaillée </w:t>
      </w:r>
      <w:r w:rsidRPr="001B7C74">
        <w:rPr>
          <w:color w:val="000000"/>
          <w:szCs w:val="22"/>
          <w:lang w:val="fr-CA"/>
        </w:rPr>
        <w:lastRenderedPageBreak/>
        <w:t>sur le motif du retard, étant entendu que le flux de trésorerie ne peut constituer une justification adéquate pour le retard de l’annonce. Le rapport sur le processus de recrutement par le biais du Fonds ordinaire devra être présenté chaque mois</w:t>
      </w:r>
      <w:r w:rsidRPr="001B7C74">
        <w:rPr>
          <w:color w:val="000000"/>
          <w:szCs w:val="22"/>
          <w:lang w:val="fr-CA" w:eastAsia="en-US"/>
        </w:rPr>
        <w:t xml:space="preserve">.    </w:t>
      </w:r>
    </w:p>
    <w:p w:rsidR="004E432F" w:rsidRPr="001B7C74" w:rsidRDefault="004E432F" w:rsidP="004E432F">
      <w:pPr>
        <w:ind w:left="720"/>
        <w:rPr>
          <w:color w:val="000000"/>
          <w:szCs w:val="22"/>
          <w:lang w:val="fr-CA" w:eastAsia="en-US"/>
        </w:rPr>
      </w:pPr>
    </w:p>
    <w:p w:rsidR="004E432F" w:rsidRPr="001B7C74" w:rsidRDefault="004E432F" w:rsidP="004E432F">
      <w:pPr>
        <w:ind w:left="1440"/>
        <w:rPr>
          <w:color w:val="000000"/>
          <w:lang w:val="fr-CA" w:eastAsia="es-ES_tradnl"/>
        </w:rPr>
      </w:pPr>
      <w:r w:rsidRPr="001B7C74">
        <w:rPr>
          <w:b/>
          <w:szCs w:val="22"/>
          <w:lang w:val="fr-CA"/>
        </w:rPr>
        <w:t>Progrès réalisés :</w:t>
      </w:r>
      <w:r w:rsidRPr="001B7C74">
        <w:rPr>
          <w:szCs w:val="22"/>
          <w:lang w:val="fr-CA"/>
        </w:rPr>
        <w:t xml:space="preserve"> le Secrétariat général a diffusé des rapports mensuels conformément au mandat et le rapport suivant est le dernier sur la situation de tous les postes financés par le Fonds ordinaire, au 3</w:t>
      </w:r>
      <w:r w:rsidR="00890F89">
        <w:rPr>
          <w:szCs w:val="22"/>
          <w:lang w:val="fr-CA"/>
        </w:rPr>
        <w:t>1</w:t>
      </w:r>
      <w:r w:rsidRPr="001B7C74">
        <w:rPr>
          <w:szCs w:val="22"/>
          <w:lang w:val="fr-CA"/>
        </w:rPr>
        <w:t xml:space="preserve"> </w:t>
      </w:r>
      <w:r w:rsidR="00890F89">
        <w:rPr>
          <w:szCs w:val="22"/>
          <w:lang w:val="fr-CA"/>
        </w:rPr>
        <w:t>décembre</w:t>
      </w:r>
      <w:r w:rsidRPr="001B7C74">
        <w:rPr>
          <w:szCs w:val="22"/>
          <w:lang w:val="fr-CA"/>
        </w:rPr>
        <w:t xml:space="preserve"> </w:t>
      </w:r>
      <w:r w:rsidRPr="001B7C74">
        <w:rPr>
          <w:color w:val="000000"/>
          <w:lang w:val="fr-CA" w:eastAsia="es-ES_tradnl"/>
        </w:rPr>
        <w:t xml:space="preserve">2020 : </w:t>
      </w:r>
      <w:hyperlink r:id="rId25" w:history="1">
        <w:r w:rsidR="00890F89" w:rsidRPr="00890F89">
          <w:rPr>
            <w:rStyle w:val="Hyperlink"/>
            <w:lang w:val="fr-CA"/>
          </w:rPr>
          <w:t>CP/CAAP-3713/21</w:t>
        </w:r>
      </w:hyperlink>
    </w:p>
    <w:p w:rsidR="004E432F" w:rsidRPr="001B7C74" w:rsidRDefault="004E432F" w:rsidP="004E432F">
      <w:pPr>
        <w:ind w:left="720"/>
        <w:rPr>
          <w:color w:val="000000"/>
          <w:szCs w:val="22"/>
          <w:lang w:val="fr-CA" w:eastAsia="en-US"/>
        </w:rPr>
      </w:pPr>
    </w:p>
    <w:p w:rsidR="004E432F" w:rsidRPr="001B7C74" w:rsidRDefault="004E432F" w:rsidP="004E432F">
      <w:pPr>
        <w:ind w:left="720"/>
        <w:rPr>
          <w:color w:val="000000"/>
          <w:szCs w:val="22"/>
          <w:lang w:val="fr-CA" w:eastAsia="en-US"/>
        </w:rPr>
      </w:pPr>
      <w:r w:rsidRPr="001B7C74">
        <w:rPr>
          <w:color w:val="000000"/>
          <w:szCs w:val="22"/>
          <w:lang w:val="fr-CA" w:eastAsia="en-US"/>
        </w:rPr>
        <w:t>d.</w:t>
      </w:r>
      <w:r w:rsidRPr="001B7C74">
        <w:rPr>
          <w:color w:val="000000"/>
          <w:szCs w:val="22"/>
          <w:lang w:val="fr-CA" w:eastAsia="en-US"/>
        </w:rPr>
        <w:tab/>
      </w:r>
      <w:r w:rsidRPr="001B7C74">
        <w:rPr>
          <w:color w:val="000000"/>
          <w:szCs w:val="22"/>
          <w:lang w:val="fr-CA"/>
        </w:rPr>
        <w:t>Les États membres reconnaissent que pour faire face aux importantes réductions budgétaires envisagées dans la présente résolution, les secrétaires et les secrétaires exécutifs devraient être tenus responsables et habilités à procéder aux changements nécessaires – à savoir réorganiser, consolider et réduire.  Par conséquent, en reconnaissance de ce principe, le Secrétariat général </w:t>
      </w:r>
      <w:r w:rsidRPr="001B7C74">
        <w:rPr>
          <w:color w:val="000000"/>
          <w:szCs w:val="22"/>
          <w:lang w:val="fr-CA" w:eastAsia="en-US"/>
        </w:rPr>
        <w:t>:</w:t>
      </w:r>
    </w:p>
    <w:p w:rsidR="004E432F" w:rsidRPr="001B7C74" w:rsidRDefault="004E432F" w:rsidP="004E432F">
      <w:pPr>
        <w:ind w:left="720"/>
        <w:rPr>
          <w:color w:val="000000"/>
          <w:szCs w:val="22"/>
          <w:lang w:val="fr-CA" w:eastAsia="en-US"/>
        </w:rPr>
      </w:pPr>
    </w:p>
    <w:p w:rsidR="004E432F" w:rsidRPr="001B7C74" w:rsidRDefault="004E432F" w:rsidP="004E432F">
      <w:pPr>
        <w:ind w:left="1440"/>
        <w:rPr>
          <w:color w:val="000000"/>
          <w:szCs w:val="22"/>
          <w:lang w:val="fr-CA" w:eastAsia="en-US"/>
        </w:rPr>
      </w:pPr>
      <w:r w:rsidRPr="001B7C74">
        <w:rPr>
          <w:color w:val="000000"/>
          <w:szCs w:val="22"/>
          <w:lang w:val="fr-CA" w:eastAsia="en-US"/>
        </w:rPr>
        <w:t>i.</w:t>
      </w:r>
      <w:r w:rsidRPr="001B7C74">
        <w:rPr>
          <w:color w:val="000000"/>
          <w:szCs w:val="22"/>
          <w:lang w:val="fr-CA" w:eastAsia="en-US"/>
        </w:rPr>
        <w:tab/>
      </w:r>
      <w:r w:rsidRPr="001B7C74">
        <w:rPr>
          <w:szCs w:val="22"/>
          <w:lang w:val="fr-CA"/>
        </w:rPr>
        <w:t>autorisera l'embauche du personnel nécessaire au titre des plans de réorganisation et n’appliquera aucun gel des embauches tant que cette réorganisation n'est pas terminée.</w:t>
      </w:r>
      <w:r w:rsidRPr="001B7C74">
        <w:rPr>
          <w:color w:val="000000"/>
          <w:szCs w:val="22"/>
          <w:lang w:val="fr-CA" w:eastAsia="en-US"/>
        </w:rPr>
        <w:t xml:space="preserve"> </w:t>
      </w:r>
    </w:p>
    <w:p w:rsidR="004E432F" w:rsidRPr="001B7C74" w:rsidRDefault="004E432F" w:rsidP="004E432F">
      <w:pPr>
        <w:ind w:left="1440"/>
        <w:rPr>
          <w:color w:val="000000"/>
          <w:szCs w:val="22"/>
          <w:lang w:val="fr-CA" w:eastAsia="en-US"/>
        </w:rPr>
      </w:pPr>
      <w:r w:rsidRPr="001B7C74">
        <w:rPr>
          <w:color w:val="000000"/>
          <w:szCs w:val="22"/>
          <w:lang w:val="fr-CA" w:eastAsia="en-US"/>
        </w:rPr>
        <w:t>ii.</w:t>
      </w:r>
      <w:r w:rsidRPr="001B7C74">
        <w:rPr>
          <w:color w:val="000000"/>
          <w:szCs w:val="22"/>
          <w:lang w:val="fr-CA" w:eastAsia="en-US"/>
        </w:rPr>
        <w:tab/>
      </w:r>
      <w:r w:rsidRPr="001B7C74">
        <w:rPr>
          <w:szCs w:val="22"/>
          <w:lang w:val="fr-CA"/>
        </w:rPr>
        <w:t>permettra le reclassement des postes seulement lorsque la suppression de postes pour des raisons budgétaires nécessite la réaffectation de responsabilités</w:t>
      </w:r>
      <w:r w:rsidRPr="001B7C74">
        <w:rPr>
          <w:color w:val="000000"/>
          <w:szCs w:val="22"/>
          <w:lang w:val="fr-CA" w:eastAsia="en-US"/>
        </w:rPr>
        <w:t>.</w:t>
      </w:r>
    </w:p>
    <w:p w:rsidR="004E432F" w:rsidRPr="001B7C74" w:rsidRDefault="004E432F" w:rsidP="004E432F">
      <w:pPr>
        <w:ind w:left="1440"/>
        <w:rPr>
          <w:b/>
          <w:szCs w:val="22"/>
          <w:lang w:val="fr-CA"/>
        </w:rPr>
      </w:pPr>
      <w:r w:rsidRPr="001B7C74">
        <w:rPr>
          <w:color w:val="000000"/>
          <w:szCs w:val="22"/>
          <w:lang w:val="fr-CA" w:eastAsia="en-US"/>
        </w:rPr>
        <w:t>iii.</w:t>
      </w:r>
      <w:r w:rsidRPr="001B7C74">
        <w:rPr>
          <w:color w:val="000000"/>
          <w:szCs w:val="22"/>
          <w:lang w:val="fr-CA" w:eastAsia="en-US"/>
        </w:rPr>
        <w:tab/>
      </w:r>
      <w:r w:rsidRPr="001B7C74">
        <w:rPr>
          <w:szCs w:val="22"/>
          <w:lang w:val="fr-CA"/>
        </w:rPr>
        <w:t>chargera le Secrétaire général de faire rapport au Conseil permanent d'ici à janvier 2021 sur la réorganisation du Secrétariat, en particulier sur les plans de recrutement et de reclassement</w:t>
      </w:r>
      <w:r w:rsidRPr="001B7C74">
        <w:rPr>
          <w:color w:val="000000"/>
          <w:szCs w:val="22"/>
          <w:lang w:val="fr-CA" w:eastAsia="en-US"/>
        </w:rPr>
        <w:t>.</w:t>
      </w:r>
    </w:p>
    <w:p w:rsidR="004E432F" w:rsidRPr="001B7C74" w:rsidRDefault="004E432F" w:rsidP="004E432F">
      <w:pPr>
        <w:ind w:left="720"/>
        <w:rPr>
          <w:b/>
          <w:szCs w:val="22"/>
          <w:lang w:val="fr-CA"/>
        </w:rPr>
      </w:pPr>
      <w:r w:rsidRPr="001B7C74">
        <w:rPr>
          <w:b/>
          <w:szCs w:val="22"/>
          <w:lang w:val="fr-CA"/>
        </w:rPr>
        <w:tab/>
      </w:r>
      <w:r w:rsidRPr="001B7C74">
        <w:rPr>
          <w:color w:val="000000"/>
          <w:szCs w:val="22"/>
          <w:lang w:val="fr-CA"/>
        </w:rPr>
        <w:t>[</w:t>
      </w:r>
      <w:r w:rsidRPr="001B7C74">
        <w:rPr>
          <w:szCs w:val="22"/>
          <w:lang w:val="fr-CA"/>
        </w:rPr>
        <w:t>AG/RES. 2957 (L-O/20), paragraphe IV.12 du dispositif]</w:t>
      </w:r>
    </w:p>
    <w:p w:rsidR="004E432F" w:rsidRPr="001B7C74" w:rsidRDefault="004E432F" w:rsidP="004E432F">
      <w:pPr>
        <w:suppressAutoHyphens/>
        <w:rPr>
          <w:b/>
          <w:szCs w:val="22"/>
          <w:lang w:val="fr-CA"/>
        </w:rPr>
      </w:pPr>
      <w:r w:rsidRPr="001B7C74">
        <w:rPr>
          <w:szCs w:val="22"/>
          <w:lang w:val="fr-CA"/>
        </w:rPr>
        <w:tab/>
      </w:r>
    </w:p>
    <w:p w:rsidR="004E432F" w:rsidRPr="001B7C74" w:rsidRDefault="004E432F" w:rsidP="004E432F">
      <w:pPr>
        <w:suppressAutoHyphens/>
        <w:rPr>
          <w:szCs w:val="22"/>
          <w:lang w:val="fr-CA"/>
        </w:rPr>
      </w:pPr>
    </w:p>
    <w:p w:rsidR="004E432F" w:rsidRPr="001B7C74" w:rsidRDefault="004E432F" w:rsidP="004E432F">
      <w:pPr>
        <w:numPr>
          <w:ilvl w:val="0"/>
          <w:numId w:val="20"/>
        </w:numPr>
        <w:suppressAutoHyphens/>
        <w:ind w:left="1440" w:hanging="720"/>
        <w:rPr>
          <w:i/>
          <w:color w:val="000000"/>
          <w:szCs w:val="22"/>
          <w:lang w:val="fr-CA"/>
        </w:rPr>
      </w:pPr>
      <w:r w:rsidRPr="001B7C74">
        <w:rPr>
          <w:i/>
          <w:color w:val="000000"/>
          <w:szCs w:val="22"/>
          <w:lang w:val="fr-CA"/>
        </w:rPr>
        <w:t>Politiques d'équité et d’égalité hommes-femmes</w:t>
      </w:r>
    </w:p>
    <w:p w:rsidR="004E432F" w:rsidRPr="001B7C74" w:rsidRDefault="004E432F" w:rsidP="004E432F">
      <w:pPr>
        <w:suppressAutoHyphens/>
        <w:rPr>
          <w:color w:val="000000"/>
          <w:szCs w:val="22"/>
          <w:u w:val="single"/>
          <w:lang w:val="fr-CA"/>
        </w:rPr>
      </w:pPr>
    </w:p>
    <w:p w:rsidR="004E432F" w:rsidRPr="001B7C74" w:rsidRDefault="004E432F" w:rsidP="004E432F">
      <w:pPr>
        <w:suppressAutoHyphens/>
        <w:ind w:firstLine="720"/>
        <w:rPr>
          <w:szCs w:val="22"/>
          <w:lang w:val="fr-CA"/>
        </w:rPr>
      </w:pPr>
      <w:r w:rsidRPr="001B7C74">
        <w:rPr>
          <w:b/>
          <w:color w:val="000000"/>
          <w:szCs w:val="22"/>
          <w:lang w:val="fr-CA"/>
        </w:rPr>
        <w:t xml:space="preserve">Mandat : </w:t>
      </w:r>
      <w:r w:rsidRPr="001B7C74">
        <w:rPr>
          <w:color w:val="000000"/>
          <w:szCs w:val="22"/>
          <w:lang w:val="fr-CA"/>
        </w:rPr>
        <w:t xml:space="preserve">De prier instamment le Secrétaire général de poursuivre ses travaux visant à mettre en œuvre et exécuter des politiques d’équité et de parité hommes-femmes dans le lieu de travail en promouvant l’accès pour les femmes dans un contexte de parité aux catégories dans lesquelles elles sont actuellement sous-représentées au sein de l’Organisation et en assurant la responsabilité au titre de l’application de ces politiques et la réalisation des dispositions établies dans la résolution </w:t>
      </w:r>
      <w:hyperlink r:id="rId26" w:history="1">
        <w:r w:rsidRPr="001B7C74">
          <w:rPr>
            <w:color w:val="0000FF"/>
            <w:szCs w:val="22"/>
            <w:u w:val="single"/>
            <w:lang w:val="fr-CA" w:eastAsia="en-US"/>
          </w:rPr>
          <w:t>CP/RES.</w:t>
        </w:r>
      </w:hyperlink>
      <w:hyperlink r:id="rId27" w:history="1">
        <w:r w:rsidRPr="001B7C74">
          <w:rPr>
            <w:color w:val="0000FF"/>
            <w:szCs w:val="22"/>
            <w:u w:val="single"/>
            <w:lang w:val="fr-CA" w:eastAsia="en-US"/>
          </w:rPr>
          <w:t xml:space="preserve"> 1149 (2278/20)</w:t>
        </w:r>
      </w:hyperlink>
      <w:r w:rsidRPr="001B7C74">
        <w:rPr>
          <w:color w:val="000000"/>
          <w:szCs w:val="22"/>
          <w:lang w:val="fr-CA" w:eastAsia="en-US"/>
        </w:rPr>
        <w:t>, “Représentation et participation des femmes à l’OEA”.</w:t>
      </w:r>
      <w:r w:rsidRPr="001B7C74">
        <w:rPr>
          <w:color w:val="000000"/>
          <w:szCs w:val="22"/>
          <w:lang w:val="fr-CA"/>
        </w:rPr>
        <w:t xml:space="preserve"> [</w:t>
      </w:r>
      <w:r w:rsidRPr="001B7C74">
        <w:rPr>
          <w:szCs w:val="22"/>
          <w:lang w:val="fr-CA"/>
        </w:rPr>
        <w:t>AG/RES. 2957 (L-O/20), paragraphe IV.13 du dispositif]</w:t>
      </w:r>
    </w:p>
    <w:p w:rsidR="004E432F" w:rsidRPr="001B7C74" w:rsidRDefault="004E432F" w:rsidP="004E432F">
      <w:pPr>
        <w:suppressAutoHyphens/>
        <w:rPr>
          <w:color w:val="000000"/>
          <w:szCs w:val="22"/>
          <w:lang w:val="fr-CA"/>
        </w:rPr>
      </w:pPr>
    </w:p>
    <w:p w:rsidR="004E432F" w:rsidRPr="001B7C74" w:rsidRDefault="004E432F" w:rsidP="004E432F">
      <w:pPr>
        <w:suppressAutoHyphens/>
        <w:rPr>
          <w:color w:val="000000"/>
          <w:szCs w:val="22"/>
          <w:lang w:val="fr-CA"/>
        </w:rPr>
      </w:pPr>
    </w:p>
    <w:p w:rsidR="004E432F" w:rsidRPr="001B7C74" w:rsidRDefault="004E432F" w:rsidP="004E432F">
      <w:pPr>
        <w:numPr>
          <w:ilvl w:val="0"/>
          <w:numId w:val="20"/>
        </w:numPr>
        <w:suppressAutoHyphens/>
        <w:ind w:left="1440" w:hanging="720"/>
        <w:rPr>
          <w:i/>
          <w:color w:val="000000"/>
          <w:szCs w:val="22"/>
          <w:lang w:val="fr-CA"/>
        </w:rPr>
      </w:pPr>
      <w:r w:rsidRPr="001B7C74">
        <w:rPr>
          <w:i/>
          <w:color w:val="000000"/>
          <w:szCs w:val="22"/>
          <w:lang w:val="fr-CA"/>
        </w:rPr>
        <w:t>Représentation géographique</w:t>
      </w:r>
    </w:p>
    <w:p w:rsidR="004E432F" w:rsidRPr="001B7C74" w:rsidRDefault="004E432F" w:rsidP="004E432F">
      <w:pPr>
        <w:suppressAutoHyphens/>
        <w:rPr>
          <w:b/>
          <w:bCs/>
          <w:i/>
          <w:color w:val="000000"/>
          <w:szCs w:val="22"/>
          <w:lang w:val="fr-CA"/>
        </w:rPr>
      </w:pPr>
    </w:p>
    <w:p w:rsidR="004E432F" w:rsidRPr="001B7C74" w:rsidRDefault="004E432F" w:rsidP="004E432F">
      <w:pPr>
        <w:suppressAutoHyphens/>
        <w:ind w:firstLine="720"/>
        <w:rPr>
          <w:b/>
          <w:i/>
          <w:szCs w:val="22"/>
          <w:lang w:val="fr-CA"/>
        </w:rPr>
      </w:pPr>
      <w:r w:rsidRPr="001B7C74">
        <w:rPr>
          <w:b/>
          <w:bCs/>
          <w:i/>
          <w:color w:val="000000"/>
          <w:szCs w:val="22"/>
          <w:lang w:val="fr-CA"/>
        </w:rPr>
        <w:t xml:space="preserve">Mandat : </w:t>
      </w:r>
      <w:r w:rsidRPr="001B7C74">
        <w:rPr>
          <w:bCs/>
          <w:color w:val="000000"/>
          <w:szCs w:val="22"/>
          <w:lang w:val="fr-CA"/>
        </w:rPr>
        <w:t xml:space="preserve">De prendre note de la Stratégie de représentation géographique présentée au Conseil permanent le 13 mars 2019, et de charger le Secrétariat général d’établir des objectifs et des indicateurs pour cette stratégie afin d’assurer la mise en œuvre du plan d’action et d’obtenir une représentation géographique équitable du personnel, conformément aux dispositions de l’article 120 de la Charte de l’OEA qui comprenne, en outre, les consultants et les stagiaires. </w:t>
      </w:r>
      <w:r w:rsidRPr="001B7C74">
        <w:rPr>
          <w:color w:val="000000"/>
          <w:szCs w:val="22"/>
          <w:lang w:val="fr-CA"/>
        </w:rPr>
        <w:t>[</w:t>
      </w:r>
      <w:r w:rsidRPr="001B7C74">
        <w:rPr>
          <w:szCs w:val="22"/>
          <w:lang w:val="fr-CA"/>
        </w:rPr>
        <w:t>AG/RES. 2957 (L-O/20), paragraphe IV.14 du dispositif]</w:t>
      </w:r>
    </w:p>
    <w:p w:rsidR="004E432F" w:rsidRPr="001B7C74" w:rsidRDefault="004E432F" w:rsidP="004E432F">
      <w:pPr>
        <w:rPr>
          <w:i/>
          <w:color w:val="000000"/>
          <w:szCs w:val="22"/>
          <w:lang w:val="fr-CA"/>
        </w:rPr>
      </w:pPr>
    </w:p>
    <w:p w:rsidR="004E432F" w:rsidRPr="001B7C74" w:rsidRDefault="004E432F" w:rsidP="004E432F">
      <w:pPr>
        <w:suppressAutoHyphens/>
        <w:rPr>
          <w:b/>
          <w:szCs w:val="22"/>
          <w:lang w:val="fr-CA"/>
        </w:rPr>
      </w:pPr>
    </w:p>
    <w:p w:rsidR="004E432F" w:rsidRPr="001B7C74" w:rsidRDefault="004E432F" w:rsidP="004E432F">
      <w:pPr>
        <w:suppressAutoHyphens/>
        <w:ind w:left="720"/>
        <w:rPr>
          <w:szCs w:val="22"/>
          <w:lang w:val="fr-CA"/>
        </w:rPr>
      </w:pPr>
      <w:r w:rsidRPr="001B7C74">
        <w:rPr>
          <w:b/>
          <w:bCs/>
          <w:szCs w:val="22"/>
          <w:lang w:val="fr-CA"/>
        </w:rPr>
        <w:t>Progrès réalisés à ce jour/commentaires :</w:t>
      </w:r>
      <w:r w:rsidRPr="001B7C74">
        <w:rPr>
          <w:szCs w:val="22"/>
          <w:lang w:val="fr-CA"/>
        </w:rPr>
        <w:t xml:space="preserve"> Le Secrétaire général a diffusé le document </w:t>
      </w:r>
      <w:hyperlink r:id="rId28" w:history="1">
        <w:r w:rsidRPr="001B7C74">
          <w:rPr>
            <w:rStyle w:val="Hyperlink"/>
            <w:szCs w:val="22"/>
            <w:lang w:val="fr-CA"/>
          </w:rPr>
          <w:t>CP/doc.5480/19 corr. 1</w:t>
        </w:r>
      </w:hyperlink>
      <w:r w:rsidRPr="001B7C74">
        <w:rPr>
          <w:szCs w:val="22"/>
          <w:lang w:val="fr-CA"/>
        </w:rPr>
        <w:t xml:space="preserve">, qui a été examiné par le Conseil permanent lors de sa séance tenue le 13 mars 2019. </w:t>
      </w:r>
    </w:p>
    <w:p w:rsidR="004E432F" w:rsidRPr="001B7C74" w:rsidRDefault="004E432F" w:rsidP="004E432F">
      <w:pPr>
        <w:suppressAutoHyphens/>
        <w:rPr>
          <w:i/>
          <w:color w:val="000000"/>
          <w:szCs w:val="22"/>
          <w:lang w:val="fr-CA"/>
        </w:rPr>
      </w:pPr>
    </w:p>
    <w:p w:rsidR="004E432F" w:rsidRPr="001B7C74" w:rsidRDefault="004E432F" w:rsidP="004E432F">
      <w:pPr>
        <w:ind w:left="1080"/>
        <w:rPr>
          <w:i/>
          <w:color w:val="000000"/>
          <w:szCs w:val="22"/>
          <w:lang w:val="fr-CA"/>
        </w:rPr>
      </w:pPr>
    </w:p>
    <w:p w:rsidR="004E432F" w:rsidRPr="001B7C74" w:rsidRDefault="004E432F" w:rsidP="004E432F">
      <w:pPr>
        <w:pStyle w:val="ListParagraph"/>
        <w:numPr>
          <w:ilvl w:val="0"/>
          <w:numId w:val="20"/>
        </w:numPr>
        <w:suppressAutoHyphens/>
        <w:rPr>
          <w:i/>
          <w:color w:val="000000"/>
          <w:szCs w:val="22"/>
          <w:lang w:val="fr-CA"/>
        </w:rPr>
      </w:pPr>
      <w:r w:rsidRPr="001B7C74">
        <w:rPr>
          <w:i/>
          <w:color w:val="000000"/>
          <w:szCs w:val="22"/>
          <w:lang w:val="fr-CA" w:eastAsia="en-US"/>
        </w:rPr>
        <w:t xml:space="preserve">Réalisation d’économies </w:t>
      </w:r>
    </w:p>
    <w:p w:rsidR="004E432F" w:rsidRPr="001B7C74" w:rsidRDefault="004E432F" w:rsidP="004E432F">
      <w:pPr>
        <w:suppressAutoHyphens/>
        <w:rPr>
          <w:color w:val="000000"/>
          <w:szCs w:val="22"/>
          <w:lang w:val="fr-CA"/>
        </w:rPr>
      </w:pPr>
    </w:p>
    <w:p w:rsidR="004E432F" w:rsidRPr="001B7C74" w:rsidRDefault="004E432F" w:rsidP="004E432F">
      <w:pPr>
        <w:suppressAutoHyphens/>
        <w:ind w:firstLine="720"/>
        <w:rPr>
          <w:strike/>
          <w:color w:val="000000"/>
          <w:szCs w:val="22"/>
          <w:lang w:val="fr-CA" w:eastAsia="en-US"/>
        </w:rPr>
      </w:pPr>
      <w:r w:rsidRPr="001B7C74">
        <w:rPr>
          <w:b/>
          <w:bCs/>
          <w:color w:val="000000"/>
          <w:szCs w:val="22"/>
          <w:lang w:val="fr-CA" w:eastAsia="en-US"/>
        </w:rPr>
        <w:t>Mandat :</w:t>
      </w:r>
      <w:r w:rsidRPr="001B7C74">
        <w:rPr>
          <w:bCs/>
          <w:color w:val="000000"/>
          <w:szCs w:val="22"/>
          <w:lang w:val="fr-CA" w:eastAsia="en-US"/>
        </w:rPr>
        <w:t xml:space="preserve"> </w:t>
      </w:r>
      <w:r w:rsidRPr="001B7C74">
        <w:rPr>
          <w:color w:val="000000"/>
          <w:szCs w:val="22"/>
          <w:lang w:val="fr-CA"/>
        </w:rPr>
        <w:t xml:space="preserve">De charger le Secrétariat général </w:t>
      </w:r>
      <w:r w:rsidRPr="001B7C74">
        <w:rPr>
          <w:bCs/>
          <w:color w:val="000000"/>
          <w:szCs w:val="22"/>
          <w:lang w:val="fr-CA"/>
        </w:rPr>
        <w:t>d’inclure dans son rapport semestriel adressé à la CAAP sur l’administration des ressources et les résultats</w:t>
      </w:r>
      <w:r w:rsidRPr="001B7C74">
        <w:rPr>
          <w:color w:val="000000"/>
          <w:szCs w:val="22"/>
          <w:lang w:val="fr-CA"/>
        </w:rPr>
        <w:t xml:space="preserve"> les économies réalisées grâce au fonctionnement efficient du Secrétariat général, y compris celles provenant des frais communs</w:t>
      </w:r>
      <w:r w:rsidRPr="001B7C74">
        <w:rPr>
          <w:bCs/>
          <w:color w:val="000000"/>
          <w:szCs w:val="22"/>
          <w:lang w:val="fr-CA" w:eastAsia="en-US"/>
        </w:rPr>
        <w:t xml:space="preserve">. </w:t>
      </w:r>
      <w:r w:rsidRPr="001B7C74">
        <w:rPr>
          <w:color w:val="000000"/>
          <w:szCs w:val="22"/>
          <w:lang w:val="fr-CA"/>
        </w:rPr>
        <w:t>[</w:t>
      </w:r>
      <w:r w:rsidRPr="001B7C74">
        <w:rPr>
          <w:szCs w:val="22"/>
          <w:lang w:val="fr-CA"/>
        </w:rPr>
        <w:t>AG/RES. 2957 (L-O/20), paragraphe IV.19 du dispositif]</w:t>
      </w:r>
    </w:p>
    <w:p w:rsidR="004E432F" w:rsidRPr="001B7C74" w:rsidRDefault="004E432F" w:rsidP="004E432F">
      <w:pPr>
        <w:ind w:left="1080"/>
        <w:rPr>
          <w:i/>
          <w:color w:val="000000"/>
          <w:szCs w:val="22"/>
          <w:lang w:val="fr-CA"/>
        </w:rPr>
      </w:pPr>
    </w:p>
    <w:p w:rsidR="004E432F" w:rsidRPr="001B7C74" w:rsidRDefault="004E432F" w:rsidP="004E432F">
      <w:pPr>
        <w:ind w:left="1080"/>
        <w:rPr>
          <w:i/>
          <w:color w:val="000000"/>
          <w:szCs w:val="22"/>
          <w:lang w:val="fr-CA"/>
        </w:rPr>
      </w:pPr>
    </w:p>
    <w:p w:rsidR="004E432F" w:rsidRPr="001B7C74" w:rsidRDefault="004E432F" w:rsidP="004E432F">
      <w:pPr>
        <w:pStyle w:val="ListParagraph"/>
        <w:numPr>
          <w:ilvl w:val="0"/>
          <w:numId w:val="20"/>
        </w:numPr>
        <w:suppressAutoHyphens/>
        <w:rPr>
          <w:i/>
          <w:color w:val="000000"/>
          <w:sz w:val="22"/>
          <w:szCs w:val="22"/>
          <w:lang w:val="fr-CA"/>
        </w:rPr>
      </w:pPr>
      <w:r w:rsidRPr="001B7C74">
        <w:rPr>
          <w:i/>
          <w:color w:val="000000"/>
          <w:sz w:val="22"/>
          <w:szCs w:val="22"/>
          <w:lang w:val="fr-CA" w:eastAsia="en-US"/>
        </w:rPr>
        <w:t xml:space="preserve">Département de la presse et de la communication </w:t>
      </w:r>
    </w:p>
    <w:p w:rsidR="004E432F" w:rsidRPr="001B7C74" w:rsidRDefault="004E432F" w:rsidP="004E432F">
      <w:pPr>
        <w:suppressAutoHyphens/>
        <w:rPr>
          <w:color w:val="000000"/>
          <w:szCs w:val="22"/>
          <w:lang w:val="fr-CA" w:eastAsia="en-US"/>
        </w:rPr>
      </w:pPr>
    </w:p>
    <w:p w:rsidR="004E432F" w:rsidRPr="001B7C74" w:rsidRDefault="004E432F" w:rsidP="004E432F">
      <w:pPr>
        <w:suppressAutoHyphens/>
        <w:rPr>
          <w:szCs w:val="22"/>
          <w:lang w:val="fr-CA" w:eastAsia="en-US"/>
        </w:rPr>
      </w:pPr>
      <w:r w:rsidRPr="001B7C74">
        <w:rPr>
          <w:szCs w:val="22"/>
          <w:lang w:val="fr-CA" w:eastAsia="en-US"/>
        </w:rPr>
        <w:tab/>
      </w:r>
      <w:r w:rsidRPr="001B7C74">
        <w:rPr>
          <w:b/>
          <w:szCs w:val="22"/>
          <w:lang w:val="fr-CA" w:eastAsia="en-US"/>
        </w:rPr>
        <w:t>Mandat :</w:t>
      </w:r>
      <w:r w:rsidRPr="001B7C74">
        <w:rPr>
          <w:szCs w:val="22"/>
          <w:lang w:val="fr-CA" w:eastAsia="en-US"/>
        </w:rPr>
        <w:t xml:space="preserve"> </w:t>
      </w:r>
      <w:r w:rsidRPr="001B7C74">
        <w:rPr>
          <w:bCs/>
          <w:color w:val="000000"/>
          <w:szCs w:val="22"/>
          <w:lang w:val="fr-CA"/>
        </w:rPr>
        <w:t>De demander au Secrétaire général de charger le Département de la presse et de la communication de présenter des rapports sur l’état d’avancement de la mise en œuvre de la Stratégie de communication, et d’inclure ces informations dans le rapport semestriel sur l’administration des ressources et les résultats</w:t>
      </w:r>
      <w:r w:rsidRPr="001B7C74">
        <w:rPr>
          <w:szCs w:val="22"/>
          <w:lang w:val="fr-CA" w:eastAsia="en-US"/>
        </w:rPr>
        <w:t xml:space="preserve">. </w:t>
      </w:r>
      <w:r w:rsidRPr="001B7C74">
        <w:rPr>
          <w:i/>
          <w:iCs/>
          <w:color w:val="000000"/>
          <w:szCs w:val="22"/>
          <w:lang w:val="fr-CA" w:eastAsia="en-US"/>
        </w:rPr>
        <w:t xml:space="preserve"> </w:t>
      </w:r>
      <w:r w:rsidRPr="001B7C74">
        <w:rPr>
          <w:color w:val="000000"/>
          <w:szCs w:val="22"/>
          <w:lang w:val="fr-CA"/>
        </w:rPr>
        <w:t>[</w:t>
      </w:r>
      <w:r w:rsidRPr="001B7C74">
        <w:rPr>
          <w:szCs w:val="22"/>
          <w:lang w:val="fr-CA"/>
        </w:rPr>
        <w:t>AG/RES. 2957 (L-O/20), paragraphe IV.20 du dispositif]</w:t>
      </w:r>
    </w:p>
    <w:p w:rsidR="004E432F" w:rsidRPr="001B7C74" w:rsidRDefault="004E432F" w:rsidP="004E432F">
      <w:pPr>
        <w:ind w:left="1080"/>
        <w:rPr>
          <w:i/>
          <w:color w:val="000000"/>
          <w:szCs w:val="22"/>
          <w:lang w:val="fr-CA"/>
        </w:rPr>
      </w:pPr>
    </w:p>
    <w:p w:rsidR="004E432F" w:rsidRPr="001B7C74" w:rsidRDefault="004E432F" w:rsidP="004E432F">
      <w:pPr>
        <w:ind w:left="1440"/>
        <w:rPr>
          <w:color w:val="000000"/>
          <w:lang w:val="fr-CA" w:eastAsia="es-ES_tradnl"/>
        </w:rPr>
      </w:pPr>
      <w:r w:rsidRPr="001B7C74">
        <w:rPr>
          <w:b/>
          <w:color w:val="000000"/>
          <w:lang w:val="fr-CA" w:eastAsia="es-ES_tradnl"/>
        </w:rPr>
        <w:t>Progrès à ce jour/commentaires :</w:t>
      </w:r>
      <w:r w:rsidRPr="001B7C74">
        <w:rPr>
          <w:color w:val="000000"/>
          <w:lang w:val="fr-CA" w:eastAsia="es-ES_tradnl"/>
        </w:rPr>
        <w:t xml:space="preserve">  Stratégie révisée publiée le 30 décembre 2019 sous la cote </w:t>
      </w:r>
      <w:hyperlink r:id="rId29" w:history="1">
        <w:r w:rsidRPr="001B7C74">
          <w:rPr>
            <w:rStyle w:val="Hyperlink"/>
            <w:lang w:val="fr-CA" w:eastAsia="es-ES_tradnl"/>
          </w:rPr>
          <w:t>CP/doc. 5577/19</w:t>
        </w:r>
      </w:hyperlink>
    </w:p>
    <w:p w:rsidR="004E432F" w:rsidRPr="001B7C74" w:rsidRDefault="004E432F" w:rsidP="004E432F">
      <w:pPr>
        <w:ind w:left="1080"/>
        <w:rPr>
          <w:i/>
          <w:color w:val="000000"/>
          <w:szCs w:val="22"/>
          <w:lang w:val="fr-CA"/>
        </w:rPr>
      </w:pPr>
    </w:p>
    <w:p w:rsidR="004E432F" w:rsidRPr="001B7C74" w:rsidRDefault="004E432F" w:rsidP="004E432F">
      <w:pPr>
        <w:suppressAutoHyphens/>
        <w:rPr>
          <w:i/>
          <w:color w:val="000000"/>
          <w:szCs w:val="22"/>
          <w:lang w:val="fr-CA"/>
        </w:rPr>
      </w:pPr>
    </w:p>
    <w:p w:rsidR="004E432F" w:rsidRPr="001B7C74" w:rsidRDefault="004E432F" w:rsidP="004E432F">
      <w:pPr>
        <w:pStyle w:val="TitleUppercase"/>
        <w:numPr>
          <w:ilvl w:val="0"/>
          <w:numId w:val="20"/>
        </w:numPr>
        <w:tabs>
          <w:tab w:val="clear" w:pos="2160"/>
        </w:tabs>
        <w:suppressAutoHyphens/>
        <w:ind w:left="1440" w:hanging="720"/>
        <w:jc w:val="both"/>
        <w:rPr>
          <w:i/>
          <w:szCs w:val="22"/>
          <w:lang w:val="fr-CA"/>
        </w:rPr>
      </w:pPr>
      <w:r w:rsidRPr="001B7C74">
        <w:rPr>
          <w:i/>
          <w:szCs w:val="22"/>
          <w:lang w:val="fr-CA"/>
        </w:rPr>
        <w:t>Bureaux hors siège</w:t>
      </w:r>
    </w:p>
    <w:p w:rsidR="004E432F" w:rsidRPr="001B7C74" w:rsidRDefault="004E432F" w:rsidP="004E432F">
      <w:pPr>
        <w:pStyle w:val="TitleUppercase"/>
        <w:suppressAutoHyphens/>
        <w:jc w:val="both"/>
        <w:rPr>
          <w:szCs w:val="22"/>
          <w:u w:val="single"/>
          <w:lang w:val="fr-CA"/>
        </w:rPr>
      </w:pPr>
    </w:p>
    <w:p w:rsidR="004E432F" w:rsidRPr="001B7C74" w:rsidRDefault="004E432F" w:rsidP="004E432F">
      <w:pPr>
        <w:suppressAutoHyphens/>
        <w:ind w:firstLine="720"/>
        <w:rPr>
          <w:szCs w:val="22"/>
          <w:lang w:val="fr-CA"/>
        </w:rPr>
      </w:pPr>
      <w:r w:rsidRPr="001B7C74">
        <w:rPr>
          <w:b/>
          <w:szCs w:val="22"/>
          <w:lang w:val="fr-CA"/>
        </w:rPr>
        <w:t xml:space="preserve">Mandat : </w:t>
      </w:r>
      <w:r w:rsidRPr="001B7C74">
        <w:rPr>
          <w:szCs w:val="22"/>
          <w:lang w:val="fr-CA"/>
        </w:rPr>
        <w:t>De demander au Secrétaire général de charger le bureau de coordination des bureaux et services hors siège de continuer à optimiser et à mettre en œuvre sa stratégie actuelle jusqu’à ce que la révision globale et le plan stratégique qui en émanera fassent l’objet d’un accord en vue de leur exécution</w:t>
      </w:r>
      <w:r w:rsidRPr="001B7C74">
        <w:rPr>
          <w:bCs/>
          <w:szCs w:val="22"/>
          <w:lang w:val="fr-CA" w:eastAsia="en-US"/>
        </w:rPr>
        <w:t xml:space="preserve">. </w:t>
      </w:r>
      <w:r w:rsidRPr="001B7C74">
        <w:rPr>
          <w:color w:val="000000"/>
          <w:szCs w:val="22"/>
          <w:lang w:val="fr-CA"/>
        </w:rPr>
        <w:t>[AG/RES. 2957 (L-O/20), paragraphe  IV.22 du dispositif</w:t>
      </w:r>
      <w:r w:rsidRPr="001B7C74">
        <w:rPr>
          <w:szCs w:val="22"/>
          <w:lang w:val="fr-CA"/>
        </w:rPr>
        <w:t xml:space="preserve">]      </w:t>
      </w:r>
    </w:p>
    <w:p w:rsidR="004E432F" w:rsidRPr="001B7C74" w:rsidRDefault="004E432F" w:rsidP="004E432F">
      <w:pPr>
        <w:suppressAutoHyphens/>
        <w:rPr>
          <w:szCs w:val="22"/>
          <w:lang w:val="fr-CA"/>
        </w:rPr>
      </w:pPr>
    </w:p>
    <w:p w:rsidR="004E432F" w:rsidRPr="001B7C74" w:rsidRDefault="004E432F" w:rsidP="004E432F">
      <w:pPr>
        <w:suppressAutoHyphens/>
        <w:rPr>
          <w:color w:val="000000"/>
          <w:szCs w:val="22"/>
          <w:lang w:val="fr-CA"/>
        </w:rPr>
      </w:pPr>
    </w:p>
    <w:p w:rsidR="004E432F" w:rsidRPr="001B7C74" w:rsidRDefault="004E432F" w:rsidP="004E432F">
      <w:pPr>
        <w:pStyle w:val="TitleUppercase"/>
        <w:numPr>
          <w:ilvl w:val="0"/>
          <w:numId w:val="20"/>
        </w:numPr>
        <w:tabs>
          <w:tab w:val="clear" w:pos="720"/>
          <w:tab w:val="clear" w:pos="1440"/>
          <w:tab w:val="clear" w:pos="2160"/>
          <w:tab w:val="clear" w:pos="2880"/>
          <w:tab w:val="clear" w:pos="7200"/>
          <w:tab w:val="clear" w:pos="7920"/>
          <w:tab w:val="clear" w:pos="8640"/>
        </w:tabs>
        <w:suppressAutoHyphens/>
        <w:ind w:left="1440" w:hanging="720"/>
        <w:jc w:val="both"/>
        <w:rPr>
          <w:i/>
          <w:szCs w:val="22"/>
          <w:lang w:val="fr-CA"/>
        </w:rPr>
      </w:pPr>
      <w:r w:rsidRPr="001B7C74">
        <w:rPr>
          <w:i/>
          <w:szCs w:val="22"/>
          <w:lang w:val="fr-CA"/>
        </w:rPr>
        <w:t>Bibliothèque Colomb</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i/>
          <w:szCs w:val="22"/>
          <w:lang w:val="fr-CA"/>
        </w:rPr>
      </w:pPr>
    </w:p>
    <w:p w:rsidR="004E432F" w:rsidRPr="001B7C74" w:rsidRDefault="004E432F" w:rsidP="004E432F">
      <w:pPr>
        <w:suppressAutoHyphens/>
        <w:ind w:firstLine="720"/>
        <w:rPr>
          <w:szCs w:val="22"/>
          <w:lang w:val="fr-CA"/>
        </w:rPr>
      </w:pPr>
      <w:r w:rsidRPr="001B7C74">
        <w:rPr>
          <w:b/>
          <w:bCs/>
          <w:szCs w:val="22"/>
          <w:lang w:val="fr-CA"/>
        </w:rPr>
        <w:t>Mandat :</w:t>
      </w:r>
      <w:r w:rsidRPr="001B7C74">
        <w:rPr>
          <w:szCs w:val="22"/>
          <w:lang w:val="fr-CA"/>
        </w:rPr>
        <w:t xml:space="preserve"> De demander à la Bibliothèque Colomb de faire rapport chaque semestre à la CAAP sur l’état de ses activités. [AG/RES.</w:t>
      </w:r>
      <w:r w:rsidRPr="001B7C74">
        <w:rPr>
          <w:color w:val="000000"/>
          <w:szCs w:val="22"/>
          <w:lang w:val="fr-CA"/>
        </w:rPr>
        <w:t xml:space="preserve"> 2957 (L-O/20) paragraphe IV.24 du dispositif</w:t>
      </w:r>
      <w:r w:rsidRPr="001B7C74">
        <w:rPr>
          <w:szCs w:val="22"/>
          <w:lang w:val="fr-CA"/>
        </w:rPr>
        <w:t>]</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u w:val="single"/>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u w:val="single"/>
          <w:lang w:val="fr-CA"/>
        </w:rPr>
      </w:pPr>
    </w:p>
    <w:p w:rsidR="004E432F" w:rsidRPr="001B7C74" w:rsidRDefault="004E432F" w:rsidP="004E432F">
      <w:pPr>
        <w:pStyle w:val="TitleUppercase"/>
        <w:numPr>
          <w:ilvl w:val="0"/>
          <w:numId w:val="20"/>
        </w:numPr>
        <w:tabs>
          <w:tab w:val="clear" w:pos="720"/>
          <w:tab w:val="clear" w:pos="1440"/>
          <w:tab w:val="clear" w:pos="2160"/>
          <w:tab w:val="clear" w:pos="2880"/>
          <w:tab w:val="clear" w:pos="7200"/>
          <w:tab w:val="clear" w:pos="7920"/>
          <w:tab w:val="clear" w:pos="8640"/>
        </w:tabs>
        <w:suppressAutoHyphens/>
        <w:ind w:left="1440" w:hanging="720"/>
        <w:jc w:val="both"/>
        <w:rPr>
          <w:i/>
          <w:szCs w:val="22"/>
          <w:lang w:val="fr-CA"/>
        </w:rPr>
      </w:pPr>
      <w:r w:rsidRPr="001B7C74">
        <w:rPr>
          <w:i/>
          <w:szCs w:val="22"/>
          <w:lang w:val="fr-CA"/>
        </w:rPr>
        <w:t>Normes comptables internationales pour le secteur public</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i/>
          <w:szCs w:val="22"/>
          <w:lang w:val="fr-CA"/>
        </w:rPr>
      </w:pPr>
    </w:p>
    <w:p w:rsidR="004E432F" w:rsidRPr="001B7C74" w:rsidRDefault="004E432F" w:rsidP="004E432F">
      <w:pPr>
        <w:suppressAutoHyphens/>
        <w:ind w:firstLine="720"/>
        <w:rPr>
          <w:szCs w:val="22"/>
          <w:lang w:val="fr-CA"/>
        </w:rPr>
      </w:pPr>
      <w:r w:rsidRPr="001B7C74">
        <w:rPr>
          <w:b/>
          <w:bCs/>
          <w:szCs w:val="22"/>
          <w:lang w:val="fr-CA"/>
        </w:rPr>
        <w:t>Mandat :</w:t>
      </w:r>
      <w:r w:rsidRPr="001B7C74">
        <w:rPr>
          <w:szCs w:val="22"/>
          <w:lang w:val="fr-CA"/>
        </w:rPr>
        <w:t xml:space="preserve"> De charger le Conseil permanent de déterminer, par l’intermédiaire de la CAAP, les sources de financement nécessaires pour le projet « Mise en application des Normes comptables internationales pour le secteur public (Normes IPSAS) » au sein du Secrétariat général, une fois mis en place le nouveau système de gestion des ressources institutionnelles, et suivant un calendrier raisonnable. [AG/RES. 2957 (L-O/20) paragraphe IV.25 du dispositif]</w:t>
      </w:r>
    </w:p>
    <w:p w:rsidR="004E432F" w:rsidRPr="001B7C74" w:rsidRDefault="004E432F" w:rsidP="004E432F">
      <w:pPr>
        <w:suppressAutoHyphens/>
        <w:jc w:val="left"/>
        <w:rPr>
          <w:szCs w:val="22"/>
          <w:lang w:val="fr-CA"/>
        </w:rPr>
      </w:pPr>
    </w:p>
    <w:p w:rsidR="004E432F" w:rsidRPr="001B7C74" w:rsidRDefault="004E432F" w:rsidP="004E432F">
      <w:pPr>
        <w:jc w:val="left"/>
        <w:rPr>
          <w:i/>
          <w:szCs w:val="22"/>
          <w:lang w:val="fr-CA"/>
        </w:rPr>
      </w:pPr>
    </w:p>
    <w:p w:rsidR="004E432F" w:rsidRPr="001B7C74" w:rsidRDefault="004E432F" w:rsidP="004E432F">
      <w:pPr>
        <w:pStyle w:val="ListParagraph"/>
        <w:numPr>
          <w:ilvl w:val="0"/>
          <w:numId w:val="20"/>
        </w:numPr>
        <w:rPr>
          <w:i/>
          <w:sz w:val="22"/>
          <w:szCs w:val="22"/>
          <w:lang w:val="fr-CA" w:eastAsia="es-ES"/>
        </w:rPr>
      </w:pPr>
      <w:r w:rsidRPr="001B7C74">
        <w:rPr>
          <w:i/>
          <w:sz w:val="22"/>
          <w:szCs w:val="22"/>
          <w:lang w:val="fr-CA" w:eastAsia="es-ES"/>
        </w:rPr>
        <w:t>Effectivité et efficience</w:t>
      </w:r>
    </w:p>
    <w:p w:rsidR="004E432F" w:rsidRPr="001B7C74" w:rsidRDefault="004E432F" w:rsidP="004E432F">
      <w:pPr>
        <w:ind w:left="720"/>
        <w:rPr>
          <w:i/>
          <w:szCs w:val="22"/>
          <w:lang w:val="fr-CA"/>
        </w:rPr>
      </w:pPr>
    </w:p>
    <w:p w:rsidR="004E432F" w:rsidRPr="001B7C74" w:rsidRDefault="004E432F" w:rsidP="004E432F">
      <w:pPr>
        <w:ind w:left="720"/>
        <w:rPr>
          <w:szCs w:val="22"/>
          <w:lang w:val="fr-CA"/>
        </w:rPr>
      </w:pPr>
      <w:r w:rsidRPr="001B7C74">
        <w:rPr>
          <w:b/>
          <w:szCs w:val="22"/>
          <w:lang w:val="fr-CA"/>
        </w:rPr>
        <w:t>Mandat </w:t>
      </w:r>
      <w:r w:rsidRPr="001B7C74">
        <w:rPr>
          <w:szCs w:val="22"/>
          <w:lang w:val="fr-CA"/>
        </w:rPr>
        <w:t>:</w:t>
      </w:r>
    </w:p>
    <w:p w:rsidR="004E432F" w:rsidRPr="001B7C74" w:rsidRDefault="004E432F" w:rsidP="004E432F">
      <w:pPr>
        <w:numPr>
          <w:ilvl w:val="0"/>
          <w:numId w:val="18"/>
        </w:numPr>
        <w:suppressAutoHyphens/>
        <w:ind w:left="720" w:firstLine="0"/>
        <w:rPr>
          <w:i/>
          <w:iCs/>
          <w:color w:val="000000"/>
          <w:szCs w:val="22"/>
          <w:lang w:val="fr-CA" w:eastAsia="en-US"/>
        </w:rPr>
      </w:pPr>
      <w:r w:rsidRPr="001B7C74">
        <w:rPr>
          <w:color w:val="000000"/>
          <w:szCs w:val="22"/>
          <w:lang w:val="fr-CA"/>
        </w:rPr>
        <w:lastRenderedPageBreak/>
        <w:t>De demander au Secrétariat général de faire rapport, dans les 60 jours qui suivent la clôture des sessions ordinaires de l’Assemblée générale, sur le coût des mandats contenus dans les résolutions adoptées et sur leurs incidences sur le programme-budget</w:t>
      </w:r>
      <w:r w:rsidRPr="001B7C74">
        <w:rPr>
          <w:color w:val="000000"/>
          <w:szCs w:val="22"/>
          <w:lang w:val="fr-CA" w:eastAsia="en-US"/>
        </w:rPr>
        <w:t>.</w:t>
      </w:r>
    </w:p>
    <w:p w:rsidR="004E432F" w:rsidRPr="001B7C74" w:rsidRDefault="004E432F" w:rsidP="004E432F">
      <w:pPr>
        <w:suppressAutoHyphens/>
        <w:ind w:left="720"/>
        <w:rPr>
          <w:color w:val="000000"/>
          <w:szCs w:val="22"/>
          <w:lang w:val="fr-CA"/>
        </w:rPr>
      </w:pPr>
    </w:p>
    <w:p w:rsidR="004E432F" w:rsidRPr="001B7C74" w:rsidRDefault="004E432F" w:rsidP="004E432F">
      <w:pPr>
        <w:numPr>
          <w:ilvl w:val="0"/>
          <w:numId w:val="18"/>
        </w:numPr>
        <w:suppressAutoHyphens/>
        <w:ind w:left="720" w:firstLine="0"/>
        <w:rPr>
          <w:i/>
          <w:iCs/>
          <w:color w:val="000000"/>
          <w:szCs w:val="22"/>
          <w:lang w:val="fr-CA" w:eastAsia="en-US"/>
        </w:rPr>
      </w:pPr>
      <w:r w:rsidRPr="001B7C74">
        <w:rPr>
          <w:color w:val="000000"/>
          <w:szCs w:val="22"/>
          <w:lang w:val="fr-CA"/>
        </w:rPr>
        <w:t>De demander au Secrétariat général de mettre en conformité les ressources de l’Organisation et la structure institutionnelle avec les mandats</w:t>
      </w:r>
      <w:r w:rsidRPr="001B7C74">
        <w:rPr>
          <w:color w:val="000000"/>
          <w:szCs w:val="22"/>
          <w:lang w:val="fr-CA" w:eastAsia="en-US"/>
        </w:rPr>
        <w:t>.</w:t>
      </w:r>
    </w:p>
    <w:p w:rsidR="004E432F" w:rsidRPr="001B7C74" w:rsidRDefault="004E432F" w:rsidP="004E432F">
      <w:pPr>
        <w:ind w:left="720"/>
        <w:rPr>
          <w:i/>
          <w:szCs w:val="22"/>
          <w:lang w:val="fr-CA"/>
        </w:rPr>
      </w:pPr>
      <w:r w:rsidRPr="001B7C74">
        <w:rPr>
          <w:szCs w:val="22"/>
          <w:lang w:val="fr-CA"/>
        </w:rPr>
        <w:t>[AG/RES. 2957 (L-O/20), paragraphe IV.26 du dispositif]</w:t>
      </w:r>
    </w:p>
    <w:p w:rsidR="004E432F" w:rsidRPr="001B7C74" w:rsidRDefault="004E432F" w:rsidP="004E432F">
      <w:pPr>
        <w:ind w:left="720"/>
        <w:rPr>
          <w:i/>
          <w:szCs w:val="22"/>
          <w:lang w:val="fr-CA"/>
        </w:rPr>
      </w:pPr>
    </w:p>
    <w:p w:rsidR="004E432F" w:rsidRPr="001B7C74" w:rsidRDefault="004E432F" w:rsidP="004E432F">
      <w:pPr>
        <w:suppressAutoHyphens/>
        <w:jc w:val="left"/>
        <w:rPr>
          <w:szCs w:val="22"/>
          <w:lang w:val="fr-CA"/>
        </w:rPr>
      </w:pPr>
    </w:p>
    <w:p w:rsidR="004E432F" w:rsidRPr="001B7C74" w:rsidRDefault="004E432F" w:rsidP="004E432F">
      <w:pPr>
        <w:numPr>
          <w:ilvl w:val="0"/>
          <w:numId w:val="20"/>
        </w:numPr>
        <w:suppressAutoHyphens/>
        <w:ind w:left="1440" w:hanging="720"/>
        <w:rPr>
          <w:i/>
          <w:szCs w:val="22"/>
          <w:lang w:val="fr-CA"/>
        </w:rPr>
      </w:pPr>
      <w:r w:rsidRPr="001B7C74">
        <w:rPr>
          <w:i/>
          <w:szCs w:val="22"/>
          <w:lang w:val="fr-CA"/>
        </w:rPr>
        <w:t>Création de nouveaux mandats</w:t>
      </w:r>
    </w:p>
    <w:p w:rsidR="004E432F" w:rsidRPr="001B7C74" w:rsidRDefault="004E432F" w:rsidP="004E432F">
      <w:pPr>
        <w:suppressAutoHyphens/>
        <w:rPr>
          <w:szCs w:val="22"/>
          <w:lang w:val="fr-CA"/>
        </w:rPr>
      </w:pPr>
    </w:p>
    <w:p w:rsidR="004E432F" w:rsidRPr="001B7C74" w:rsidRDefault="004E432F" w:rsidP="004E432F">
      <w:pPr>
        <w:suppressAutoHyphens/>
        <w:ind w:left="720"/>
        <w:rPr>
          <w:b/>
          <w:bCs/>
          <w:color w:val="000000"/>
          <w:szCs w:val="22"/>
          <w:lang w:val="fr-CA"/>
        </w:rPr>
      </w:pPr>
      <w:r w:rsidRPr="001B7C74">
        <w:rPr>
          <w:b/>
          <w:bCs/>
          <w:color w:val="000000"/>
          <w:szCs w:val="22"/>
          <w:lang w:val="fr-CA"/>
        </w:rPr>
        <w:t xml:space="preserve">Mandat </w:t>
      </w:r>
    </w:p>
    <w:p w:rsidR="004E432F" w:rsidRPr="001B7C74" w:rsidRDefault="004E432F" w:rsidP="004E432F">
      <w:pPr>
        <w:tabs>
          <w:tab w:val="left" w:pos="350"/>
        </w:tabs>
        <w:suppressAutoHyphens/>
        <w:ind w:left="1440" w:hanging="720"/>
        <w:rPr>
          <w:bCs/>
          <w:color w:val="000000"/>
          <w:szCs w:val="22"/>
          <w:lang w:val="fr-CA"/>
        </w:rPr>
      </w:pPr>
      <w:r w:rsidRPr="001B7C74">
        <w:rPr>
          <w:bCs/>
          <w:color w:val="000000"/>
          <w:szCs w:val="22"/>
          <w:lang w:val="fr-CA"/>
        </w:rPr>
        <w:t>a)</w:t>
      </w:r>
      <w:r w:rsidRPr="001B7C74">
        <w:rPr>
          <w:bCs/>
          <w:color w:val="000000"/>
          <w:szCs w:val="22"/>
          <w:lang w:val="fr-CA"/>
        </w:rPr>
        <w:tab/>
        <w:t xml:space="preserve">De charger le Conseil permanent, par l’intermédiaire de la CAAP, d’envisager de mettre en place un processus d’élaboration et de mise en œuvre d’un cadre réglementaire pour que les commissions du Conseil permanent et le CIDI examinent les incidences des nouveaux mandats sur le programme-budget, et que ce cadre réglementaire soit terminé au plus tard en juin 2021. </w:t>
      </w:r>
    </w:p>
    <w:p w:rsidR="004E432F" w:rsidRPr="001B7C74" w:rsidRDefault="004E432F" w:rsidP="004E432F">
      <w:pPr>
        <w:tabs>
          <w:tab w:val="left" w:pos="350"/>
        </w:tabs>
        <w:suppressAutoHyphens/>
        <w:ind w:left="720"/>
        <w:rPr>
          <w:bCs/>
          <w:color w:val="000000"/>
          <w:szCs w:val="22"/>
          <w:lang w:val="fr-CA" w:eastAsia="es-ES_tradnl"/>
        </w:rPr>
      </w:pPr>
    </w:p>
    <w:p w:rsidR="004E432F" w:rsidRPr="001B7C74" w:rsidRDefault="004E432F" w:rsidP="004E432F">
      <w:pPr>
        <w:tabs>
          <w:tab w:val="left" w:pos="350"/>
        </w:tabs>
        <w:suppressAutoHyphens/>
        <w:ind w:left="1440" w:hanging="720"/>
        <w:rPr>
          <w:bCs/>
          <w:color w:val="000000"/>
          <w:szCs w:val="22"/>
          <w:lang w:val="fr-CA"/>
        </w:rPr>
      </w:pPr>
      <w:r w:rsidRPr="001B7C74">
        <w:rPr>
          <w:bCs/>
          <w:color w:val="000000"/>
          <w:szCs w:val="22"/>
          <w:lang w:val="fr-CA"/>
        </w:rPr>
        <w:t>b)</w:t>
      </w:r>
      <w:r w:rsidRPr="001B7C74">
        <w:rPr>
          <w:bCs/>
          <w:color w:val="000000"/>
          <w:szCs w:val="22"/>
          <w:lang w:val="fr-CA"/>
        </w:rPr>
        <w:tab/>
        <w:t xml:space="preserve">De charger le Secrétariat général de soumettre à toutes les commissions, après examen préalable de la CAAP et approbation du Conseil permanent, un modèle type de document pour accompagner tout projet de résolution prévoyant de nouveaux mandats devant être examinés par l’Assemblée générale aux fins d’approbation. Les consultations avec les départements concernés et la CAAP pourront répondre aux questions suivantes : </w:t>
      </w:r>
    </w:p>
    <w:p w:rsidR="004E432F" w:rsidRPr="001B7C74" w:rsidRDefault="004E432F" w:rsidP="004E432F">
      <w:pPr>
        <w:suppressAutoHyphens/>
        <w:rPr>
          <w:bCs/>
          <w:color w:val="000000"/>
          <w:szCs w:val="22"/>
          <w:lang w:val="fr-CA" w:eastAsia="es-ES_tradnl"/>
        </w:rPr>
      </w:pPr>
    </w:p>
    <w:p w:rsidR="004E432F" w:rsidRPr="001B7C74" w:rsidRDefault="004E432F" w:rsidP="004E432F">
      <w:pPr>
        <w:tabs>
          <w:tab w:val="left" w:pos="350"/>
        </w:tabs>
        <w:suppressAutoHyphens/>
        <w:ind w:left="1440"/>
        <w:rPr>
          <w:bCs/>
          <w:color w:val="000000"/>
          <w:szCs w:val="22"/>
          <w:lang w:val="fr-CA"/>
        </w:rPr>
      </w:pPr>
      <w:r w:rsidRPr="001B7C74">
        <w:rPr>
          <w:bCs/>
          <w:color w:val="000000"/>
          <w:szCs w:val="22"/>
          <w:lang w:val="fr-CA"/>
        </w:rPr>
        <w:t>(1)</w:t>
      </w:r>
      <w:r w:rsidRPr="001B7C74">
        <w:rPr>
          <w:bCs/>
          <w:color w:val="000000"/>
          <w:szCs w:val="22"/>
          <w:lang w:val="fr-CA"/>
        </w:rPr>
        <w:tab/>
        <w:t xml:space="preserve">De quelle manière le mandat s’inscrit-il dans le cadre du Plan stratégique ? Quels indicateurs seront utilisés pour mesurer les résultats ? </w:t>
      </w:r>
    </w:p>
    <w:p w:rsidR="004E432F" w:rsidRPr="001B7C74" w:rsidRDefault="004E432F" w:rsidP="004E432F">
      <w:pPr>
        <w:tabs>
          <w:tab w:val="left" w:pos="350"/>
        </w:tabs>
        <w:suppressAutoHyphens/>
        <w:ind w:left="1440"/>
        <w:rPr>
          <w:bCs/>
          <w:color w:val="000000"/>
          <w:szCs w:val="22"/>
          <w:lang w:val="fr-CA" w:eastAsia="es-ES_tradnl"/>
        </w:rPr>
      </w:pPr>
    </w:p>
    <w:p w:rsidR="004E432F" w:rsidRPr="001B7C74" w:rsidRDefault="004E432F" w:rsidP="004E432F">
      <w:pPr>
        <w:tabs>
          <w:tab w:val="left" w:pos="350"/>
        </w:tabs>
        <w:suppressAutoHyphens/>
        <w:ind w:left="1440"/>
        <w:rPr>
          <w:bCs/>
          <w:color w:val="000000"/>
          <w:szCs w:val="22"/>
          <w:lang w:val="fr-CA"/>
        </w:rPr>
      </w:pPr>
      <w:r w:rsidRPr="001B7C74">
        <w:rPr>
          <w:bCs/>
          <w:color w:val="000000"/>
          <w:szCs w:val="22"/>
          <w:lang w:val="fr-CA"/>
        </w:rPr>
        <w:t>(2)</w:t>
      </w:r>
      <w:r w:rsidRPr="001B7C74">
        <w:rPr>
          <w:bCs/>
          <w:color w:val="000000"/>
          <w:szCs w:val="22"/>
          <w:lang w:val="fr-CA"/>
        </w:rPr>
        <w:tab/>
        <w:t xml:space="preserve">Quel est le délai imparti (date approximative de début/fin) pour la réalisation des buts et des objectifs du nouveau mandat ? </w:t>
      </w:r>
    </w:p>
    <w:p w:rsidR="004E432F" w:rsidRPr="001B7C74" w:rsidRDefault="004E432F" w:rsidP="004E432F">
      <w:pPr>
        <w:tabs>
          <w:tab w:val="left" w:pos="350"/>
        </w:tabs>
        <w:suppressAutoHyphens/>
        <w:ind w:left="1440"/>
        <w:rPr>
          <w:bCs/>
          <w:color w:val="000000"/>
          <w:szCs w:val="22"/>
          <w:lang w:val="fr-CA" w:eastAsia="es-ES_tradnl"/>
        </w:rPr>
      </w:pPr>
    </w:p>
    <w:p w:rsidR="004E432F" w:rsidRPr="001B7C74" w:rsidRDefault="004E432F" w:rsidP="004E432F">
      <w:pPr>
        <w:tabs>
          <w:tab w:val="left" w:pos="350"/>
        </w:tabs>
        <w:suppressAutoHyphens/>
        <w:ind w:left="1440"/>
        <w:rPr>
          <w:bCs/>
          <w:color w:val="000000"/>
          <w:szCs w:val="22"/>
          <w:lang w:val="fr-CA"/>
        </w:rPr>
      </w:pPr>
      <w:r w:rsidRPr="001B7C74">
        <w:rPr>
          <w:bCs/>
          <w:color w:val="000000"/>
          <w:szCs w:val="22"/>
          <w:lang w:val="fr-CA"/>
        </w:rPr>
        <w:t>(3)</w:t>
      </w:r>
      <w:r w:rsidRPr="001B7C74">
        <w:rPr>
          <w:bCs/>
          <w:color w:val="000000"/>
          <w:szCs w:val="22"/>
          <w:lang w:val="fr-CA"/>
        </w:rPr>
        <w:tab/>
        <w:t>Est-ce que le mandat va requérir des ressources du Fonds ordinaire ou en personnel ? Dans l’affirmative :</w:t>
      </w:r>
    </w:p>
    <w:p w:rsidR="004E432F" w:rsidRPr="001B7C74" w:rsidRDefault="004E432F" w:rsidP="004E432F">
      <w:pPr>
        <w:tabs>
          <w:tab w:val="left" w:pos="350"/>
        </w:tabs>
        <w:suppressAutoHyphens/>
        <w:ind w:left="1440"/>
        <w:rPr>
          <w:bCs/>
          <w:color w:val="000000"/>
          <w:szCs w:val="22"/>
          <w:lang w:val="fr-CA" w:eastAsia="es-ES_tradnl"/>
        </w:rPr>
      </w:pPr>
    </w:p>
    <w:p w:rsidR="004E432F" w:rsidRPr="001B7C74" w:rsidRDefault="004E432F" w:rsidP="004E432F">
      <w:pPr>
        <w:tabs>
          <w:tab w:val="left" w:pos="350"/>
        </w:tabs>
        <w:suppressAutoHyphens/>
        <w:ind w:left="1440"/>
        <w:rPr>
          <w:bCs/>
          <w:color w:val="000000"/>
          <w:szCs w:val="22"/>
          <w:lang w:val="fr-CA"/>
        </w:rPr>
      </w:pPr>
      <w:r w:rsidRPr="001B7C74">
        <w:rPr>
          <w:bCs/>
          <w:color w:val="000000"/>
          <w:szCs w:val="22"/>
          <w:lang w:val="fr-CA"/>
        </w:rPr>
        <w:t>(4)</w:t>
      </w:r>
      <w:r w:rsidRPr="001B7C74">
        <w:rPr>
          <w:bCs/>
          <w:color w:val="000000"/>
          <w:szCs w:val="22"/>
          <w:lang w:val="fr-CA"/>
        </w:rPr>
        <w:tab/>
        <w:t>Quelles sont les éventuelles incidences budgétaires du mandat ?</w:t>
      </w:r>
    </w:p>
    <w:p w:rsidR="004E432F" w:rsidRPr="001B7C74" w:rsidRDefault="004E432F" w:rsidP="004E432F">
      <w:pPr>
        <w:suppressAutoHyphens/>
        <w:ind w:left="2160"/>
        <w:rPr>
          <w:bCs/>
          <w:color w:val="000000"/>
          <w:szCs w:val="22"/>
          <w:lang w:val="fr-CA"/>
        </w:rPr>
      </w:pPr>
      <w:r w:rsidRPr="001B7C74">
        <w:rPr>
          <w:bCs/>
          <w:color w:val="000000"/>
          <w:szCs w:val="22"/>
          <w:lang w:val="fr-CA"/>
        </w:rPr>
        <w:t xml:space="preserve">- Quel soutien de la part des cadres (personnel de l’OEA et/ou personnel engagé par contrat à la tâche) serait nécessaire pour exécuter le mandat ? </w:t>
      </w:r>
    </w:p>
    <w:p w:rsidR="004E432F" w:rsidRPr="001B7C74" w:rsidRDefault="004E432F" w:rsidP="004E432F">
      <w:pPr>
        <w:suppressAutoHyphens/>
        <w:ind w:left="2160"/>
        <w:rPr>
          <w:bCs/>
          <w:color w:val="000000"/>
          <w:szCs w:val="22"/>
          <w:lang w:val="fr-CA"/>
        </w:rPr>
      </w:pPr>
      <w:r w:rsidRPr="001B7C74">
        <w:rPr>
          <w:bCs/>
          <w:color w:val="000000"/>
          <w:szCs w:val="22"/>
          <w:lang w:val="fr-CA"/>
        </w:rPr>
        <w:t>- Est-ce que des ressources provenant du Fonds ordinaire ou d’un fonds spécifique seraient indispensables pour exécuter le mandat ? Si oui, à combien cela est-il estimé ?</w:t>
      </w:r>
    </w:p>
    <w:p w:rsidR="004E432F" w:rsidRPr="001B7C74" w:rsidRDefault="004E432F" w:rsidP="004E432F">
      <w:pPr>
        <w:suppressAutoHyphens/>
        <w:ind w:left="2160"/>
        <w:rPr>
          <w:bCs/>
          <w:color w:val="000000"/>
          <w:szCs w:val="22"/>
          <w:lang w:val="fr-CA"/>
        </w:rPr>
      </w:pPr>
      <w:r w:rsidRPr="001B7C74">
        <w:rPr>
          <w:bCs/>
          <w:color w:val="000000"/>
          <w:szCs w:val="22"/>
          <w:lang w:val="fr-CA"/>
        </w:rPr>
        <w:t>- Dans la mesure du possible, veuillez donner des précisions sur la source de financement proposée pour le mandat.</w:t>
      </w:r>
    </w:p>
    <w:p w:rsidR="004E432F" w:rsidRPr="001B7C74" w:rsidRDefault="004E432F" w:rsidP="004E432F">
      <w:pPr>
        <w:suppressAutoHyphens/>
        <w:ind w:left="720" w:firstLine="720"/>
        <w:rPr>
          <w:szCs w:val="22"/>
          <w:lang w:val="fr-CA"/>
        </w:rPr>
      </w:pPr>
      <w:r w:rsidRPr="001B7C74">
        <w:rPr>
          <w:bCs/>
          <w:color w:val="000000"/>
          <w:szCs w:val="22"/>
          <w:lang w:val="fr-CA"/>
        </w:rPr>
        <w:t>[AG/RES. 2957 (L-O/20) paragraphe IV.27 du dispositif]</w:t>
      </w:r>
    </w:p>
    <w:p w:rsidR="004E432F" w:rsidRPr="001B7C74" w:rsidRDefault="004E432F" w:rsidP="004E432F">
      <w:pPr>
        <w:suppressAutoHyphens/>
        <w:rPr>
          <w:szCs w:val="22"/>
          <w:lang w:val="fr-CA"/>
        </w:rPr>
      </w:pPr>
    </w:p>
    <w:p w:rsidR="004E432F" w:rsidRPr="001B7C74" w:rsidRDefault="004E432F" w:rsidP="004E432F">
      <w:pPr>
        <w:suppressAutoHyphens/>
        <w:rPr>
          <w:szCs w:val="22"/>
          <w:lang w:val="fr-CA"/>
        </w:rPr>
      </w:pPr>
    </w:p>
    <w:p w:rsidR="004E432F" w:rsidRPr="001B7C74" w:rsidRDefault="004E432F" w:rsidP="004E432F">
      <w:pPr>
        <w:numPr>
          <w:ilvl w:val="0"/>
          <w:numId w:val="20"/>
        </w:numPr>
        <w:suppressAutoHyphens/>
        <w:ind w:left="1440" w:hanging="720"/>
        <w:rPr>
          <w:i/>
          <w:szCs w:val="22"/>
          <w:lang w:val="fr-CA"/>
        </w:rPr>
      </w:pPr>
      <w:r w:rsidRPr="001B7C74">
        <w:rPr>
          <w:i/>
          <w:szCs w:val="22"/>
          <w:lang w:val="fr-CA"/>
        </w:rPr>
        <w:t xml:space="preserve">Responsabilisation et transparence </w:t>
      </w:r>
    </w:p>
    <w:p w:rsidR="004E432F" w:rsidRPr="001B7C74" w:rsidRDefault="004E432F" w:rsidP="004E432F">
      <w:pPr>
        <w:suppressAutoHyphens/>
        <w:rPr>
          <w:szCs w:val="22"/>
          <w:lang w:val="fr-CA"/>
        </w:rPr>
      </w:pPr>
    </w:p>
    <w:p w:rsidR="004E432F" w:rsidRPr="001B7C74" w:rsidRDefault="004E432F" w:rsidP="004E432F">
      <w:pPr>
        <w:suppressAutoHyphens/>
        <w:ind w:left="720"/>
        <w:rPr>
          <w:bCs/>
          <w:color w:val="000000"/>
          <w:szCs w:val="22"/>
          <w:lang w:val="fr-CA"/>
        </w:rPr>
      </w:pPr>
      <w:r w:rsidRPr="001B7C74">
        <w:rPr>
          <w:b/>
          <w:bCs/>
          <w:color w:val="000000"/>
          <w:szCs w:val="22"/>
          <w:lang w:val="fr-CA"/>
        </w:rPr>
        <w:t>Mandat :</w:t>
      </w:r>
      <w:r w:rsidRPr="001B7C74">
        <w:rPr>
          <w:bCs/>
          <w:color w:val="000000"/>
          <w:szCs w:val="22"/>
          <w:lang w:val="fr-CA"/>
        </w:rPr>
        <w:t xml:space="preserve"> </w:t>
      </w:r>
    </w:p>
    <w:p w:rsidR="004E432F" w:rsidRPr="001B7C74" w:rsidRDefault="004E432F" w:rsidP="004E432F">
      <w:pPr>
        <w:suppressAutoHyphens/>
        <w:ind w:left="720"/>
        <w:rPr>
          <w:bCs/>
          <w:color w:val="000000"/>
          <w:szCs w:val="22"/>
          <w:lang w:val="fr-CA"/>
        </w:rPr>
      </w:pPr>
      <w:r w:rsidRPr="001B7C74">
        <w:rPr>
          <w:bCs/>
          <w:color w:val="000000"/>
          <w:szCs w:val="22"/>
          <w:lang w:val="fr-CA"/>
        </w:rPr>
        <w:lastRenderedPageBreak/>
        <w:t>A.</w:t>
      </w:r>
      <w:r w:rsidRPr="001B7C74">
        <w:rPr>
          <w:bCs/>
          <w:color w:val="000000"/>
          <w:szCs w:val="22"/>
          <w:lang w:val="fr-CA"/>
        </w:rPr>
        <w:tab/>
        <w:t xml:space="preserve">Le Secrétariat général continuera de publier sur le site Web de l’Organisation les renseignements actualisés indiqués ci-dessous, conformément au régime juridique de l’Organisation : </w:t>
      </w:r>
    </w:p>
    <w:p w:rsidR="004E432F" w:rsidRPr="001B7C74" w:rsidRDefault="004E432F" w:rsidP="004E432F">
      <w:pPr>
        <w:tabs>
          <w:tab w:val="left" w:pos="350"/>
        </w:tabs>
        <w:suppressAutoHyphens/>
        <w:ind w:left="1530"/>
        <w:rPr>
          <w:bCs/>
          <w:color w:val="000000"/>
          <w:szCs w:val="22"/>
          <w:lang w:val="fr-CA"/>
        </w:rPr>
      </w:pPr>
      <w:r w:rsidRPr="001B7C74">
        <w:rPr>
          <w:bCs/>
          <w:color w:val="000000"/>
          <w:szCs w:val="22"/>
          <w:lang w:val="fr-CA"/>
        </w:rPr>
        <w:t>(1)</w:t>
      </w:r>
      <w:r w:rsidRPr="001B7C74">
        <w:rPr>
          <w:bCs/>
          <w:color w:val="000000"/>
          <w:szCs w:val="22"/>
          <w:lang w:val="fr-CA"/>
        </w:rPr>
        <w:tab/>
        <w:t xml:space="preserve">La structure organique de chaque service de l’Organisation. </w:t>
      </w:r>
    </w:p>
    <w:p w:rsidR="004E432F" w:rsidRPr="001B7C74" w:rsidRDefault="004E432F" w:rsidP="004E432F">
      <w:pPr>
        <w:tabs>
          <w:tab w:val="left" w:pos="350"/>
        </w:tabs>
        <w:suppressAutoHyphens/>
        <w:ind w:left="1530"/>
        <w:rPr>
          <w:bCs/>
          <w:color w:val="000000"/>
          <w:szCs w:val="22"/>
          <w:lang w:val="fr-CA" w:eastAsia="es-ES_tradnl"/>
        </w:rPr>
      </w:pPr>
    </w:p>
    <w:p w:rsidR="004E432F" w:rsidRPr="001B7C74" w:rsidRDefault="004E432F" w:rsidP="004E432F">
      <w:pPr>
        <w:tabs>
          <w:tab w:val="left" w:pos="350"/>
        </w:tabs>
        <w:suppressAutoHyphens/>
        <w:ind w:left="1530"/>
        <w:rPr>
          <w:bCs/>
          <w:color w:val="000000"/>
          <w:szCs w:val="22"/>
          <w:lang w:val="fr-CA"/>
        </w:rPr>
      </w:pPr>
      <w:r w:rsidRPr="001B7C74">
        <w:rPr>
          <w:bCs/>
          <w:color w:val="000000"/>
          <w:szCs w:val="22"/>
          <w:lang w:val="fr-CA"/>
        </w:rPr>
        <w:t>(2)</w:t>
      </w:r>
      <w:r w:rsidRPr="001B7C74">
        <w:rPr>
          <w:bCs/>
          <w:color w:val="000000"/>
          <w:szCs w:val="22"/>
          <w:lang w:val="fr-CA"/>
        </w:rPr>
        <w:tab/>
        <w:t xml:space="preserve">Les plans opérationnels des services du Secrétariat général, établis sur la base des lignes stratégiques et des objectifs du Plan stratégique adopté aux termes des résolutions AG/RES. 1 (LI-E/16) rev. 1 et CP/RES. 1121 (2209/19). </w:t>
      </w:r>
    </w:p>
    <w:p w:rsidR="004E432F" w:rsidRPr="001B7C74" w:rsidRDefault="004E432F" w:rsidP="004E432F">
      <w:pPr>
        <w:tabs>
          <w:tab w:val="left" w:pos="350"/>
        </w:tabs>
        <w:suppressAutoHyphens/>
        <w:ind w:left="1530"/>
        <w:rPr>
          <w:bCs/>
          <w:color w:val="000000"/>
          <w:szCs w:val="22"/>
          <w:lang w:val="fr-CA" w:eastAsia="es-ES_tradnl"/>
        </w:rPr>
      </w:pPr>
    </w:p>
    <w:p w:rsidR="004E432F" w:rsidRPr="001B7C74" w:rsidRDefault="004E432F" w:rsidP="004E432F">
      <w:pPr>
        <w:tabs>
          <w:tab w:val="left" w:pos="350"/>
        </w:tabs>
        <w:suppressAutoHyphens/>
        <w:ind w:left="1530"/>
        <w:rPr>
          <w:bCs/>
          <w:color w:val="000000"/>
          <w:szCs w:val="22"/>
          <w:lang w:val="fr-CA"/>
        </w:rPr>
      </w:pPr>
      <w:r w:rsidRPr="001B7C74">
        <w:rPr>
          <w:bCs/>
          <w:color w:val="000000"/>
          <w:szCs w:val="22"/>
          <w:lang w:val="fr-CA"/>
        </w:rPr>
        <w:t>(3)</w:t>
      </w:r>
      <w:r w:rsidRPr="001B7C74">
        <w:rPr>
          <w:bCs/>
          <w:color w:val="000000"/>
          <w:szCs w:val="22"/>
          <w:lang w:val="fr-CA"/>
        </w:rPr>
        <w:tab/>
        <w:t xml:space="preserve">Les résultats des évaluations, activités de suivi et audits des programmes et activités. </w:t>
      </w:r>
    </w:p>
    <w:p w:rsidR="004E432F" w:rsidRPr="001B7C74" w:rsidRDefault="004E432F" w:rsidP="004E432F">
      <w:pPr>
        <w:tabs>
          <w:tab w:val="left" w:pos="350"/>
        </w:tabs>
        <w:suppressAutoHyphens/>
        <w:ind w:left="1530"/>
        <w:rPr>
          <w:bCs/>
          <w:color w:val="000000"/>
          <w:szCs w:val="22"/>
          <w:lang w:val="fr-CA"/>
        </w:rPr>
      </w:pPr>
    </w:p>
    <w:p w:rsidR="004E432F" w:rsidRPr="001B7C74" w:rsidRDefault="004E432F" w:rsidP="004E432F">
      <w:pPr>
        <w:tabs>
          <w:tab w:val="left" w:pos="350"/>
        </w:tabs>
        <w:suppressAutoHyphens/>
        <w:ind w:left="1530"/>
        <w:rPr>
          <w:bCs/>
          <w:color w:val="000000"/>
          <w:szCs w:val="22"/>
          <w:lang w:val="fr-CA"/>
        </w:rPr>
      </w:pPr>
      <w:r w:rsidRPr="001B7C74">
        <w:rPr>
          <w:bCs/>
          <w:color w:val="000000"/>
          <w:szCs w:val="22"/>
          <w:lang w:val="fr-CA"/>
        </w:rPr>
        <w:t xml:space="preserve"> (4)</w:t>
      </w:r>
      <w:r w:rsidRPr="001B7C74">
        <w:rPr>
          <w:bCs/>
          <w:color w:val="000000"/>
          <w:szCs w:val="22"/>
          <w:lang w:val="fr-CA"/>
        </w:rPr>
        <w:tab/>
        <w:t xml:space="preserve">La dotation en personnel par service de l’Organisation, comprenant en outre le barème des salaires et autres avantages sociaux, de même que les postes vacants. </w:t>
      </w:r>
    </w:p>
    <w:p w:rsidR="004E432F" w:rsidRPr="001B7C74" w:rsidRDefault="004E432F" w:rsidP="004E432F">
      <w:pPr>
        <w:tabs>
          <w:tab w:val="left" w:pos="350"/>
        </w:tabs>
        <w:suppressAutoHyphens/>
        <w:ind w:left="1530"/>
        <w:rPr>
          <w:bCs/>
          <w:color w:val="000000"/>
          <w:szCs w:val="22"/>
          <w:lang w:val="fr-CA" w:eastAsia="es-ES_tradnl"/>
        </w:rPr>
      </w:pPr>
    </w:p>
    <w:p w:rsidR="004E432F" w:rsidRPr="001B7C74" w:rsidRDefault="004E432F" w:rsidP="004E432F">
      <w:pPr>
        <w:tabs>
          <w:tab w:val="left" w:pos="350"/>
        </w:tabs>
        <w:suppressAutoHyphens/>
        <w:ind w:left="1530"/>
        <w:rPr>
          <w:bCs/>
          <w:color w:val="000000"/>
          <w:szCs w:val="22"/>
          <w:lang w:val="fr-CA"/>
        </w:rPr>
      </w:pPr>
      <w:r w:rsidRPr="001B7C74">
        <w:rPr>
          <w:bCs/>
          <w:color w:val="000000"/>
          <w:szCs w:val="22"/>
          <w:lang w:val="fr-CA"/>
        </w:rPr>
        <w:t>(5)</w:t>
      </w:r>
      <w:r w:rsidRPr="001B7C74">
        <w:rPr>
          <w:bCs/>
          <w:color w:val="000000"/>
          <w:szCs w:val="22"/>
          <w:lang w:val="fr-CA"/>
        </w:rPr>
        <w:tab/>
        <w:t>Les contrats basés sur les résultats accordés à des consultants et les contrats de biens et services, selon les normes applicables.</w:t>
      </w:r>
    </w:p>
    <w:p w:rsidR="004E432F" w:rsidRPr="001B7C74" w:rsidRDefault="004E432F" w:rsidP="004E432F">
      <w:pPr>
        <w:tabs>
          <w:tab w:val="left" w:pos="350"/>
        </w:tabs>
        <w:suppressAutoHyphens/>
        <w:ind w:left="1530"/>
        <w:rPr>
          <w:bCs/>
          <w:color w:val="000000"/>
          <w:szCs w:val="22"/>
          <w:lang w:val="fr-CA"/>
        </w:rPr>
      </w:pPr>
      <w:r w:rsidRPr="001B7C74">
        <w:rPr>
          <w:bCs/>
          <w:color w:val="000000"/>
          <w:szCs w:val="22"/>
          <w:lang w:val="fr-CA"/>
        </w:rPr>
        <w:t xml:space="preserve">[AG/RES. 2957 (L-O/20) paragraphe IV.28 du dispositif] </w:t>
      </w:r>
    </w:p>
    <w:p w:rsidR="004E432F" w:rsidRPr="001B7C74" w:rsidRDefault="004E432F" w:rsidP="004E432F">
      <w:pPr>
        <w:suppressAutoHyphens/>
        <w:rPr>
          <w:szCs w:val="22"/>
          <w:lang w:val="fr-CA"/>
        </w:rPr>
      </w:pPr>
    </w:p>
    <w:p w:rsidR="004E432F" w:rsidRPr="001B7C74" w:rsidRDefault="004E432F" w:rsidP="004E432F">
      <w:pPr>
        <w:suppressAutoHyphens/>
        <w:rPr>
          <w:szCs w:val="22"/>
          <w:lang w:val="fr-CA"/>
        </w:rPr>
      </w:pPr>
    </w:p>
    <w:p w:rsidR="004E432F" w:rsidRPr="001B7C74" w:rsidRDefault="004E432F" w:rsidP="004E432F">
      <w:pPr>
        <w:numPr>
          <w:ilvl w:val="0"/>
          <w:numId w:val="20"/>
        </w:numPr>
        <w:suppressAutoHyphens/>
        <w:ind w:left="1440" w:hanging="720"/>
        <w:rPr>
          <w:i/>
          <w:szCs w:val="22"/>
          <w:lang w:val="fr-CA"/>
        </w:rPr>
      </w:pPr>
      <w:r w:rsidRPr="001B7C74">
        <w:rPr>
          <w:i/>
          <w:szCs w:val="22"/>
          <w:lang w:val="fr-CA"/>
        </w:rPr>
        <w:t>Recommandations de la Commission des vérificateurs extérieurs</w:t>
      </w:r>
    </w:p>
    <w:p w:rsidR="004E432F" w:rsidRPr="001B7C74" w:rsidRDefault="004E432F" w:rsidP="004E432F">
      <w:pPr>
        <w:suppressAutoHyphens/>
        <w:rPr>
          <w:szCs w:val="22"/>
          <w:lang w:val="fr-CA"/>
        </w:rPr>
      </w:pPr>
    </w:p>
    <w:p w:rsidR="004E432F" w:rsidRPr="001B7C74" w:rsidRDefault="004E432F" w:rsidP="004E432F">
      <w:pPr>
        <w:suppressAutoHyphens/>
        <w:ind w:left="720"/>
        <w:rPr>
          <w:b/>
          <w:szCs w:val="22"/>
          <w:lang w:val="fr-CA"/>
        </w:rPr>
      </w:pPr>
      <w:r w:rsidRPr="001B7C74">
        <w:rPr>
          <w:b/>
          <w:szCs w:val="22"/>
          <w:lang w:val="fr-CA"/>
        </w:rPr>
        <w:t>Mandat :</w:t>
      </w:r>
    </w:p>
    <w:p w:rsidR="004E432F" w:rsidRPr="001B7C74" w:rsidRDefault="004E432F" w:rsidP="004E432F">
      <w:pPr>
        <w:suppressAutoHyphens/>
        <w:ind w:left="720"/>
        <w:rPr>
          <w:b/>
          <w:szCs w:val="22"/>
          <w:lang w:val="fr-CA"/>
        </w:rPr>
      </w:pPr>
    </w:p>
    <w:p w:rsidR="004E432F" w:rsidRPr="001B7C74" w:rsidRDefault="004E432F" w:rsidP="004E432F">
      <w:pPr>
        <w:suppressAutoHyphens/>
        <w:ind w:left="1440" w:hanging="720"/>
        <w:rPr>
          <w:szCs w:val="22"/>
          <w:lang w:val="fr-CA"/>
        </w:rPr>
      </w:pPr>
      <w:r w:rsidRPr="001B7C74">
        <w:rPr>
          <w:szCs w:val="22"/>
          <w:lang w:val="fr-CA"/>
        </w:rPr>
        <w:t>a)</w:t>
      </w:r>
      <w:r w:rsidRPr="001B7C74">
        <w:rPr>
          <w:szCs w:val="22"/>
          <w:lang w:val="fr-CA"/>
        </w:rPr>
        <w:tab/>
        <w:t>Donnant suite à la présentation du rapport annuel de la Commission des vérificateurs extérieurs, la CAAP élaborera une réponse officielle par écrit aux recommandations formulées par la Commission, laquelle sera transmise au Conseil permanent au plus tard le 1</w:t>
      </w:r>
      <w:r w:rsidRPr="001B7C74">
        <w:rPr>
          <w:szCs w:val="22"/>
          <w:vertAlign w:val="superscript"/>
          <w:lang w:val="fr-CA"/>
        </w:rPr>
        <w:t>er</w:t>
      </w:r>
      <w:r w:rsidRPr="001B7C74">
        <w:rPr>
          <w:szCs w:val="22"/>
          <w:lang w:val="fr-CA"/>
        </w:rPr>
        <w:t xml:space="preserve"> mars. Le Conseil permanent transmettra la réponse approuvée à la Commission des vérificateurs extérieurs au plus tard le 31 mars. </w:t>
      </w:r>
    </w:p>
    <w:p w:rsidR="004E432F" w:rsidRPr="001B7C74" w:rsidRDefault="004E432F" w:rsidP="004E432F">
      <w:pPr>
        <w:suppressAutoHyphens/>
        <w:ind w:left="720"/>
        <w:rPr>
          <w:szCs w:val="22"/>
          <w:lang w:val="fr-CA"/>
        </w:rPr>
      </w:pPr>
    </w:p>
    <w:p w:rsidR="004E432F" w:rsidRPr="001B7C74" w:rsidRDefault="004E432F" w:rsidP="004E432F">
      <w:pPr>
        <w:numPr>
          <w:ilvl w:val="0"/>
          <w:numId w:val="13"/>
        </w:numPr>
        <w:suppressAutoHyphens/>
        <w:ind w:left="1440" w:hanging="720"/>
        <w:rPr>
          <w:szCs w:val="22"/>
          <w:lang w:val="fr-CA"/>
        </w:rPr>
      </w:pPr>
      <w:r w:rsidRPr="001B7C74">
        <w:rPr>
          <w:szCs w:val="22"/>
          <w:lang w:val="fr-CA"/>
        </w:rPr>
        <w:t>La réponse sera élaborée en collaboration avec le Secrétariat général et inclura la situation actuelle, les mesures prises et les prochaines étapes, et elle identifiera les principaux responsables. [AG/RES. 2957 (L-O/20) paragraphe IV.29 du dispositif]</w:t>
      </w:r>
    </w:p>
    <w:p w:rsidR="004E432F" w:rsidRPr="001B7C74" w:rsidRDefault="004E432F" w:rsidP="004E432F">
      <w:pPr>
        <w:suppressAutoHyphens/>
        <w:rPr>
          <w:szCs w:val="22"/>
          <w:lang w:val="fr-CA"/>
        </w:rPr>
      </w:pPr>
    </w:p>
    <w:p w:rsidR="004E432F" w:rsidRPr="001B7C74" w:rsidRDefault="004E432F" w:rsidP="004E432F">
      <w:pPr>
        <w:suppressAutoHyphens/>
        <w:ind w:left="720"/>
        <w:rPr>
          <w:szCs w:val="22"/>
          <w:lang w:val="fr-CA"/>
        </w:rPr>
      </w:pPr>
      <w:r w:rsidRPr="001B7C74">
        <w:rPr>
          <w:b/>
          <w:szCs w:val="22"/>
          <w:lang w:val="fr-CA"/>
        </w:rPr>
        <w:t xml:space="preserve">Progrès réalisés à ce jour / commentaires : </w:t>
      </w:r>
      <w:r w:rsidRPr="001B7C74">
        <w:rPr>
          <w:szCs w:val="22"/>
          <w:lang w:val="fr-CA"/>
        </w:rPr>
        <w:t xml:space="preserve">Le rapport de la Commission des vérificateurs extérieurs a été présenté au Conseil permanent le 16 octobre 2020 </w:t>
      </w:r>
      <w:r w:rsidRPr="001B7C74">
        <w:rPr>
          <w:color w:val="000000"/>
          <w:lang w:val="fr-CA" w:eastAsia="es-ES_tradnl"/>
        </w:rPr>
        <w:t>(</w:t>
      </w:r>
      <w:hyperlink r:id="rId30" w:history="1">
        <w:r w:rsidRPr="001B7C74">
          <w:rPr>
            <w:rStyle w:val="Hyperlink"/>
            <w:lang w:val="fr-CA"/>
          </w:rPr>
          <w:t>CP/doc.5642/20</w:t>
        </w:r>
      </w:hyperlink>
      <w:r w:rsidRPr="001B7C74">
        <w:rPr>
          <w:lang w:val="fr-CA"/>
        </w:rPr>
        <w:t>)</w:t>
      </w:r>
      <w:r w:rsidRPr="001B7C74">
        <w:rPr>
          <w:szCs w:val="22"/>
          <w:lang w:val="fr-CA"/>
        </w:rPr>
        <w:t>.</w:t>
      </w:r>
    </w:p>
    <w:p w:rsidR="004E432F" w:rsidRPr="001B7C74" w:rsidRDefault="004E432F" w:rsidP="004E432F">
      <w:pPr>
        <w:suppressAutoHyphens/>
        <w:rPr>
          <w:szCs w:val="22"/>
          <w:lang w:val="fr-CA"/>
        </w:rPr>
      </w:pPr>
    </w:p>
    <w:p w:rsidR="004E432F" w:rsidRPr="001B7C74" w:rsidRDefault="004E432F" w:rsidP="004E432F">
      <w:pPr>
        <w:suppressAutoHyphens/>
        <w:rPr>
          <w:szCs w:val="22"/>
          <w:lang w:val="fr-CA"/>
        </w:rPr>
      </w:pPr>
    </w:p>
    <w:p w:rsidR="004E432F" w:rsidRPr="001B7C74" w:rsidRDefault="004E432F" w:rsidP="004E432F">
      <w:pPr>
        <w:numPr>
          <w:ilvl w:val="0"/>
          <w:numId w:val="20"/>
        </w:numPr>
        <w:suppressAutoHyphens/>
        <w:ind w:left="1440" w:hanging="720"/>
        <w:rPr>
          <w:i/>
          <w:szCs w:val="22"/>
          <w:lang w:val="fr-CA"/>
        </w:rPr>
      </w:pPr>
      <w:r w:rsidRPr="001B7C74">
        <w:rPr>
          <w:i/>
          <w:color w:val="000000"/>
          <w:szCs w:val="22"/>
          <w:lang w:val="fr-CA"/>
        </w:rPr>
        <w:t>Recommandations de l'Inspecteur général</w:t>
      </w:r>
    </w:p>
    <w:p w:rsidR="004E432F" w:rsidRPr="001B7C74" w:rsidRDefault="004E432F" w:rsidP="004E432F">
      <w:pPr>
        <w:suppressAutoHyphens/>
        <w:rPr>
          <w:b/>
          <w:szCs w:val="22"/>
          <w:lang w:val="fr-CA"/>
        </w:rPr>
      </w:pPr>
    </w:p>
    <w:p w:rsidR="004E432F" w:rsidRPr="001B7C74" w:rsidRDefault="004E432F" w:rsidP="004E432F">
      <w:pPr>
        <w:suppressAutoHyphens/>
        <w:ind w:left="720"/>
        <w:rPr>
          <w:b/>
          <w:szCs w:val="22"/>
          <w:lang w:val="fr-CA"/>
        </w:rPr>
      </w:pPr>
      <w:r w:rsidRPr="001B7C74">
        <w:rPr>
          <w:b/>
          <w:szCs w:val="22"/>
          <w:lang w:val="fr-CA"/>
        </w:rPr>
        <w:t>Mandat :</w:t>
      </w:r>
    </w:p>
    <w:p w:rsidR="004E432F" w:rsidRPr="001B7C74" w:rsidRDefault="004E432F" w:rsidP="004E432F">
      <w:pPr>
        <w:suppressAutoHyphens/>
        <w:rPr>
          <w:b/>
          <w:szCs w:val="22"/>
          <w:lang w:val="fr-CA"/>
        </w:rPr>
      </w:pPr>
    </w:p>
    <w:p w:rsidR="004E432F" w:rsidRPr="001B7C74" w:rsidRDefault="004E432F" w:rsidP="004E432F">
      <w:pPr>
        <w:suppressAutoHyphens/>
        <w:ind w:left="1440" w:hanging="720"/>
        <w:rPr>
          <w:szCs w:val="22"/>
          <w:lang w:val="fr-CA"/>
        </w:rPr>
      </w:pPr>
      <w:r w:rsidRPr="001B7C74">
        <w:rPr>
          <w:szCs w:val="22"/>
          <w:lang w:val="fr-CA"/>
        </w:rPr>
        <w:t>a)</w:t>
      </w:r>
      <w:r w:rsidRPr="001B7C74">
        <w:rPr>
          <w:szCs w:val="22"/>
          <w:lang w:val="fr-CA"/>
        </w:rPr>
        <w:tab/>
        <w:t xml:space="preserve">De charger l’Inspecteur général de continuer de présenter à la CAAP tous les trimestres une analyse de la mise en œuvre des recommandations formulées. </w:t>
      </w:r>
    </w:p>
    <w:p w:rsidR="004E432F" w:rsidRPr="001B7C74" w:rsidRDefault="004E432F" w:rsidP="004E432F">
      <w:pPr>
        <w:ind w:left="720"/>
        <w:jc w:val="left"/>
        <w:rPr>
          <w:b/>
          <w:szCs w:val="22"/>
          <w:lang w:val="fr-CA"/>
        </w:rPr>
      </w:pPr>
    </w:p>
    <w:p w:rsidR="004E432F" w:rsidRPr="001B7C74" w:rsidRDefault="004E432F" w:rsidP="004E432F">
      <w:pPr>
        <w:ind w:left="1440"/>
        <w:jc w:val="left"/>
        <w:rPr>
          <w:color w:val="000000"/>
          <w:lang w:val="fr-CA" w:eastAsia="es-ES_tradnl"/>
        </w:rPr>
      </w:pPr>
      <w:r w:rsidRPr="001B7C74">
        <w:rPr>
          <w:b/>
          <w:szCs w:val="22"/>
          <w:lang w:val="fr-CA"/>
        </w:rPr>
        <w:t xml:space="preserve">Progrès réalisés à ce jour / commentaires :   </w:t>
      </w:r>
      <w:r w:rsidRPr="001B7C74">
        <w:rPr>
          <w:color w:val="000000"/>
          <w:lang w:val="fr-CA" w:eastAsia="es-ES_tradnl"/>
        </w:rPr>
        <w:t xml:space="preserve">Le rapport le plus récent présenté par l’Inspecteur général en vertu du paragraphe (a) ci-dessus a été publié sous la cote </w:t>
      </w:r>
      <w:hyperlink r:id="rId31" w:history="1">
        <w:r w:rsidRPr="001B7C74">
          <w:rPr>
            <w:rStyle w:val="Hyperlink"/>
            <w:lang w:val="fr-CA" w:eastAsia="es-ES_tradnl"/>
          </w:rPr>
          <w:t>CAAP/GT/RTPP-212/20</w:t>
        </w:r>
      </w:hyperlink>
      <w:r w:rsidRPr="001B7C74">
        <w:rPr>
          <w:color w:val="000000"/>
          <w:lang w:val="fr-CA" w:eastAsia="es-ES_tradnl"/>
        </w:rPr>
        <w:t>.</w:t>
      </w:r>
    </w:p>
    <w:p w:rsidR="004E432F" w:rsidRPr="001B7C74" w:rsidRDefault="004E432F" w:rsidP="004E432F">
      <w:pPr>
        <w:ind w:left="720"/>
        <w:rPr>
          <w:szCs w:val="22"/>
          <w:lang w:val="fr-CA"/>
        </w:rPr>
      </w:pPr>
    </w:p>
    <w:p w:rsidR="004E432F" w:rsidRPr="001B7C74" w:rsidRDefault="004E432F" w:rsidP="004E432F">
      <w:pPr>
        <w:suppressAutoHyphens/>
        <w:rPr>
          <w:szCs w:val="22"/>
          <w:lang w:val="fr-CA"/>
        </w:rPr>
      </w:pPr>
    </w:p>
    <w:p w:rsidR="004E432F" w:rsidRPr="001B7C74" w:rsidRDefault="004E432F" w:rsidP="004E432F">
      <w:pPr>
        <w:suppressAutoHyphens/>
        <w:ind w:left="1440" w:hanging="720"/>
        <w:rPr>
          <w:bCs/>
          <w:szCs w:val="22"/>
          <w:lang w:val="fr-CA"/>
        </w:rPr>
      </w:pPr>
      <w:r w:rsidRPr="001B7C74">
        <w:rPr>
          <w:szCs w:val="22"/>
          <w:lang w:val="fr-CA"/>
        </w:rPr>
        <w:t>b)</w:t>
      </w:r>
      <w:r w:rsidRPr="001B7C74">
        <w:rPr>
          <w:szCs w:val="22"/>
          <w:lang w:val="fr-CA"/>
        </w:rPr>
        <w:tab/>
        <w:t xml:space="preserve">De charger le Secrétariat général de présenter à la CAAP pour examen, dans le contexte des préparatifs en vue des discussions sur le programme-budget 2022, un aperçu général des changements institutionnels proposés pour renforcer le Bureau de l’Inspecteur général ainsi que des ressources nécessaires correspondant aux changements proposés. </w:t>
      </w:r>
    </w:p>
    <w:p w:rsidR="004E432F" w:rsidRPr="001B7C74" w:rsidRDefault="004E432F" w:rsidP="004E432F">
      <w:pPr>
        <w:suppressAutoHyphens/>
        <w:ind w:left="720"/>
        <w:rPr>
          <w:bCs/>
          <w:szCs w:val="22"/>
          <w:lang w:val="fr-CA"/>
        </w:rPr>
      </w:pPr>
    </w:p>
    <w:p w:rsidR="004E432F" w:rsidRPr="001B7C74" w:rsidRDefault="004E432F" w:rsidP="004E432F">
      <w:pPr>
        <w:suppressAutoHyphens/>
        <w:ind w:left="1440" w:hanging="720"/>
        <w:rPr>
          <w:bCs/>
          <w:szCs w:val="22"/>
          <w:lang w:val="fr-CA"/>
        </w:rPr>
      </w:pPr>
      <w:r w:rsidRPr="001B7C74">
        <w:rPr>
          <w:szCs w:val="22"/>
          <w:lang w:val="fr-CA"/>
        </w:rPr>
        <w:t>c)</w:t>
      </w:r>
      <w:r w:rsidRPr="001B7C74">
        <w:rPr>
          <w:szCs w:val="22"/>
          <w:lang w:val="fr-CA"/>
        </w:rPr>
        <w:tab/>
        <w:t>De charger le Secrétariat général d’élaborer, conjointement avec la Commission des vérificateurs extérieurs aux fins d'examen au sein de la CAAP dans le cadre des préparatifs en vue des discussions sur le programme-budget 2022, des scénarios pour la mise en place d’un comité d’audit conformément à la proposition de l’Inspecteur général incluant la structure et les coûts correspondants. [AG/RES. 2957 (L-O/20) paragraphe IV.30 du dispositif]</w:t>
      </w:r>
    </w:p>
    <w:p w:rsidR="004E432F" w:rsidRPr="001B7C74" w:rsidRDefault="004E432F" w:rsidP="004E432F">
      <w:pPr>
        <w:ind w:left="720"/>
        <w:rPr>
          <w:bCs/>
          <w:szCs w:val="22"/>
          <w:lang w:val="fr-CA"/>
        </w:rPr>
      </w:pPr>
    </w:p>
    <w:p w:rsidR="004E432F" w:rsidRPr="001B7C74" w:rsidRDefault="004E432F" w:rsidP="004E432F">
      <w:pPr>
        <w:ind w:left="1440"/>
        <w:jc w:val="left"/>
        <w:rPr>
          <w:color w:val="000000"/>
          <w:szCs w:val="22"/>
          <w:lang w:val="fr-CA" w:eastAsia="es-ES_tradnl"/>
        </w:rPr>
      </w:pPr>
      <w:r w:rsidRPr="001B7C74">
        <w:rPr>
          <w:b/>
          <w:szCs w:val="22"/>
          <w:lang w:val="fr-CA"/>
        </w:rPr>
        <w:t xml:space="preserve">Progrès réalisés à ce jour / commentaires :   </w:t>
      </w:r>
      <w:r w:rsidRPr="001B7C74">
        <w:rPr>
          <w:szCs w:val="22"/>
          <w:lang w:val="fr-CA"/>
        </w:rPr>
        <w:t xml:space="preserve">La proposition présentée, préparée conjointement par l’Inspecteur général et la Commission des vérificateurs extérieurs, a été diffusée sous la cote </w:t>
      </w:r>
      <w:hyperlink r:id="rId32" w:history="1">
        <w:r w:rsidRPr="001B7C74">
          <w:rPr>
            <w:rStyle w:val="Hyperlink"/>
            <w:lang w:val="fr-CA" w:eastAsia="es-ES_tradnl"/>
          </w:rPr>
          <w:t>CP/CAAP-3657/20 corr.2</w:t>
        </w:r>
      </w:hyperlink>
    </w:p>
    <w:p w:rsidR="004E432F" w:rsidRPr="001B7C74" w:rsidRDefault="004E432F" w:rsidP="004E432F">
      <w:pPr>
        <w:ind w:left="3240"/>
        <w:jc w:val="left"/>
        <w:rPr>
          <w:color w:val="000000"/>
          <w:szCs w:val="22"/>
          <w:lang w:val="fr-CA" w:eastAsia="es-ES_tradnl"/>
        </w:rPr>
      </w:pPr>
    </w:p>
    <w:p w:rsidR="004E432F" w:rsidRPr="001B7C74" w:rsidRDefault="004E432F" w:rsidP="004E432F">
      <w:pPr>
        <w:rPr>
          <w:szCs w:val="22"/>
          <w:lang w:val="fr-CA"/>
        </w:rPr>
      </w:pPr>
    </w:p>
    <w:p w:rsidR="004E432F" w:rsidRPr="001B7C74" w:rsidRDefault="004E432F" w:rsidP="004E432F">
      <w:pPr>
        <w:ind w:left="720"/>
        <w:rPr>
          <w:i/>
          <w:szCs w:val="22"/>
          <w:lang w:val="fr-CA"/>
        </w:rPr>
      </w:pPr>
      <w:r w:rsidRPr="001B7C74">
        <w:rPr>
          <w:i/>
          <w:szCs w:val="22"/>
          <w:lang w:val="fr-CA"/>
        </w:rPr>
        <w:t>25.</w:t>
      </w:r>
      <w:r w:rsidRPr="001B7C74">
        <w:rPr>
          <w:i/>
          <w:szCs w:val="22"/>
          <w:lang w:val="fr-CA"/>
        </w:rPr>
        <w:tab/>
        <w:t>Éthique / harcèlement</w:t>
      </w:r>
    </w:p>
    <w:p w:rsidR="004E432F" w:rsidRPr="001B7C74" w:rsidRDefault="004E432F" w:rsidP="004E432F">
      <w:pPr>
        <w:ind w:left="720"/>
        <w:rPr>
          <w:szCs w:val="22"/>
          <w:lang w:val="fr-CA"/>
        </w:rPr>
      </w:pPr>
    </w:p>
    <w:p w:rsidR="004E432F" w:rsidRPr="001B7C74" w:rsidRDefault="004E432F" w:rsidP="004E432F">
      <w:pPr>
        <w:ind w:firstLine="720"/>
        <w:rPr>
          <w:bCs/>
          <w:szCs w:val="22"/>
          <w:lang w:val="fr-CA"/>
        </w:rPr>
      </w:pPr>
      <w:r w:rsidRPr="001B7C74">
        <w:rPr>
          <w:b/>
          <w:szCs w:val="22"/>
          <w:lang w:val="fr-CA"/>
        </w:rPr>
        <w:t>Mandat :</w:t>
      </w:r>
      <w:r w:rsidRPr="001B7C74">
        <w:rPr>
          <w:szCs w:val="22"/>
          <w:lang w:val="fr-CA"/>
        </w:rPr>
        <w:t xml:space="preserve">  De charger le Bureau de l’Inspecteur général et le Bureau de l’Ombudsman de fournir aux États membres un rapport sur le nombre de cas – dont les cas de fraude, de harcèlement ainsi que ceux de lanceurs d’alerte – traités chaque année, en précisant la durée de chaque procédure de ces enquêtes, les mesures habituellement prises ainsi que l’identification de faiblesses potentielles et les violations observées en ce qui concerne la mise en œuvre des politiques de l’Organisation en matière de fraude, de harcèlement et de lanceurs d’alerte ainsi que de mesures de protection pour les lanceurs d’alerte. </w:t>
      </w:r>
      <w:r w:rsidRPr="001B7C74">
        <w:rPr>
          <w:bCs/>
          <w:szCs w:val="22"/>
          <w:lang w:val="fr-CA"/>
        </w:rPr>
        <w:t>[AG/RES. 2957 (L-O/20), paragraphe IV.31 du dispositif]</w:t>
      </w:r>
    </w:p>
    <w:p w:rsidR="004E432F" w:rsidRPr="001B7C74" w:rsidRDefault="004E432F" w:rsidP="004E432F">
      <w:pPr>
        <w:suppressAutoHyphens/>
        <w:rPr>
          <w:szCs w:val="22"/>
          <w:lang w:val="fr-CA"/>
        </w:rPr>
      </w:pPr>
    </w:p>
    <w:p w:rsidR="004E432F" w:rsidRPr="001B7C74" w:rsidRDefault="004E432F" w:rsidP="004E432F">
      <w:pPr>
        <w:suppressAutoHyphens/>
        <w:rPr>
          <w:szCs w:val="22"/>
          <w:lang w:val="fr-CA"/>
        </w:rPr>
      </w:pPr>
    </w:p>
    <w:p w:rsidR="004E432F" w:rsidRPr="001B7C74" w:rsidRDefault="004E432F" w:rsidP="004E432F">
      <w:pPr>
        <w:numPr>
          <w:ilvl w:val="0"/>
          <w:numId w:val="21"/>
        </w:numPr>
        <w:suppressAutoHyphens/>
        <w:rPr>
          <w:i/>
          <w:szCs w:val="22"/>
          <w:lang w:val="fr-CA"/>
        </w:rPr>
      </w:pPr>
      <w:r w:rsidRPr="001B7C74">
        <w:rPr>
          <w:i/>
          <w:szCs w:val="22"/>
          <w:lang w:val="fr-CA"/>
        </w:rPr>
        <w:t>Stratégie immobilière</w:t>
      </w:r>
    </w:p>
    <w:p w:rsidR="004E432F" w:rsidRPr="001B7C74" w:rsidRDefault="004E432F" w:rsidP="004E432F">
      <w:pPr>
        <w:ind w:left="1440"/>
        <w:rPr>
          <w:i/>
          <w:szCs w:val="22"/>
          <w:lang w:val="fr-CA"/>
        </w:rPr>
      </w:pPr>
    </w:p>
    <w:p w:rsidR="004E432F" w:rsidRPr="001B7C74" w:rsidRDefault="004E432F" w:rsidP="004E432F">
      <w:pPr>
        <w:ind w:left="720"/>
        <w:rPr>
          <w:b/>
          <w:bCs/>
          <w:color w:val="000000"/>
          <w:szCs w:val="22"/>
          <w:lang w:val="fr-CA" w:eastAsia="es-ES_tradnl"/>
        </w:rPr>
      </w:pPr>
      <w:r w:rsidRPr="001B7C74">
        <w:rPr>
          <w:b/>
          <w:bCs/>
          <w:color w:val="000000"/>
          <w:szCs w:val="22"/>
          <w:lang w:val="fr-CA" w:eastAsia="es-ES_tradnl"/>
        </w:rPr>
        <w:t>Mandat :</w:t>
      </w:r>
    </w:p>
    <w:p w:rsidR="004E432F" w:rsidRPr="001B7C74" w:rsidRDefault="004E432F" w:rsidP="004E432F">
      <w:pPr>
        <w:tabs>
          <w:tab w:val="left" w:pos="365"/>
        </w:tabs>
        <w:ind w:left="720"/>
        <w:rPr>
          <w:bCs/>
          <w:color w:val="000000"/>
          <w:szCs w:val="22"/>
          <w:lang w:val="fr-CA" w:eastAsia="es-ES_tradnl"/>
        </w:rPr>
      </w:pPr>
      <w:r w:rsidRPr="001B7C74">
        <w:rPr>
          <w:bCs/>
          <w:color w:val="000000"/>
          <w:szCs w:val="22"/>
          <w:lang w:val="fr-CA" w:eastAsia="es-ES_tradnl"/>
        </w:rPr>
        <w:t>a.</w:t>
      </w:r>
      <w:r w:rsidRPr="001B7C74">
        <w:rPr>
          <w:bCs/>
          <w:color w:val="000000"/>
          <w:szCs w:val="22"/>
          <w:lang w:val="fr-CA" w:eastAsia="es-ES_tradnl"/>
        </w:rPr>
        <w:tab/>
        <w:t>De confirmer la décision, prise par le Conseil permanent à sa séance du 13 mai 2020, concernant la suspension du projet immobilier qui fait l’objet d’un mandat contenu dans la résolution AG/RES. 2911 (XLVII-O/17), qui traite de la vente du Bâtiment du Secrétariat général, situé dans la rue F, NW, Washington, D.C.; la construction d’un nouveau bâtiment sur le lot adjacent au Bâtiment principal (17th Street et C Street) et faisant partie de celui-ci; enfin, la remise à neuf du Bâtiment administratif, situé sur l’avenue Constitution, NW.</w:t>
      </w:r>
    </w:p>
    <w:p w:rsidR="004E432F" w:rsidRPr="001B7C74" w:rsidRDefault="004E432F" w:rsidP="004E432F">
      <w:pPr>
        <w:tabs>
          <w:tab w:val="left" w:pos="365"/>
        </w:tabs>
        <w:ind w:left="720"/>
        <w:rPr>
          <w:bCs/>
          <w:color w:val="000000"/>
          <w:szCs w:val="22"/>
          <w:lang w:val="fr-CA" w:eastAsia="es-ES_tradnl"/>
        </w:rPr>
      </w:pPr>
    </w:p>
    <w:p w:rsidR="004E432F" w:rsidRPr="001B7C74" w:rsidRDefault="004E432F" w:rsidP="004E432F">
      <w:pPr>
        <w:tabs>
          <w:tab w:val="left" w:pos="365"/>
        </w:tabs>
        <w:ind w:left="720"/>
        <w:rPr>
          <w:bCs/>
          <w:color w:val="000000"/>
          <w:szCs w:val="22"/>
          <w:lang w:val="fr-CA" w:eastAsia="es-ES_tradnl"/>
        </w:rPr>
      </w:pPr>
      <w:r w:rsidRPr="001B7C74">
        <w:rPr>
          <w:bCs/>
          <w:color w:val="000000"/>
          <w:szCs w:val="22"/>
          <w:lang w:val="fr-CA" w:eastAsia="es-ES_tradnl"/>
        </w:rPr>
        <w:t>b.</w:t>
      </w:r>
      <w:r w:rsidRPr="001B7C74">
        <w:rPr>
          <w:bCs/>
          <w:color w:val="000000"/>
          <w:szCs w:val="22"/>
          <w:lang w:val="fr-CA" w:eastAsia="es-ES_tradnl"/>
        </w:rPr>
        <w:tab/>
        <w:t>De charger le Secrétariat d’explorer, en collaboration étroite avec la CAAP et dans le cadre de la Stratégie immobilière, des solutions de rechange qui permettront une utilisation optimale des actifs immobiliers de l’Organisation et, à cette fin, de chercher des possibilités qui permettront d’obtenir les ressources nécessaires à leur entretien. [AG/RES. 2957 (L-O/20), paragraphe IV.32 du dispositif]</w:t>
      </w:r>
    </w:p>
    <w:p w:rsidR="004E432F" w:rsidRPr="001B7C74" w:rsidRDefault="004E432F" w:rsidP="004E432F">
      <w:pPr>
        <w:tabs>
          <w:tab w:val="left" w:pos="365"/>
        </w:tabs>
        <w:ind w:left="720"/>
        <w:rPr>
          <w:bCs/>
          <w:color w:val="000000"/>
          <w:szCs w:val="22"/>
          <w:lang w:val="fr-CA" w:eastAsia="es-ES_tradnl"/>
        </w:rPr>
      </w:pPr>
    </w:p>
    <w:p w:rsidR="004E432F" w:rsidRPr="001B7C74" w:rsidRDefault="004E432F" w:rsidP="004E432F">
      <w:pPr>
        <w:tabs>
          <w:tab w:val="left" w:pos="365"/>
        </w:tabs>
        <w:ind w:left="720"/>
        <w:rPr>
          <w:bCs/>
          <w:color w:val="000000"/>
          <w:szCs w:val="22"/>
          <w:lang w:val="fr-CA" w:eastAsia="es-ES_tradnl"/>
        </w:rPr>
      </w:pPr>
    </w:p>
    <w:p w:rsidR="004E432F" w:rsidRPr="001B7C74" w:rsidRDefault="004E432F" w:rsidP="004E432F">
      <w:pPr>
        <w:pStyle w:val="ListParagraph"/>
        <w:numPr>
          <w:ilvl w:val="0"/>
          <w:numId w:val="19"/>
        </w:numPr>
        <w:ind w:hanging="270"/>
        <w:rPr>
          <w:i/>
          <w:sz w:val="22"/>
          <w:szCs w:val="22"/>
          <w:lang w:val="fr-CA"/>
        </w:rPr>
      </w:pPr>
      <w:r w:rsidRPr="001B7C74">
        <w:rPr>
          <w:i/>
          <w:sz w:val="22"/>
          <w:szCs w:val="22"/>
          <w:lang w:val="fr-CA"/>
        </w:rPr>
        <w:t xml:space="preserve">Mise en œuvre du Système de planification des ressources de l’Organisation (PRO)  </w:t>
      </w:r>
    </w:p>
    <w:p w:rsidR="004E432F" w:rsidRPr="001B7C74" w:rsidRDefault="004E432F" w:rsidP="004E432F">
      <w:pPr>
        <w:ind w:left="720"/>
        <w:rPr>
          <w:b/>
          <w:szCs w:val="22"/>
          <w:lang w:val="fr-CA"/>
        </w:rPr>
      </w:pPr>
    </w:p>
    <w:p w:rsidR="004E432F" w:rsidRPr="001B7C74" w:rsidRDefault="004E432F" w:rsidP="004E432F">
      <w:pPr>
        <w:ind w:firstLine="720"/>
        <w:rPr>
          <w:i/>
          <w:iCs/>
          <w:color w:val="000000"/>
          <w:szCs w:val="22"/>
          <w:lang w:val="fr-CA" w:eastAsia="en-US"/>
        </w:rPr>
      </w:pPr>
      <w:r w:rsidRPr="001B7C74">
        <w:rPr>
          <w:b/>
          <w:szCs w:val="22"/>
          <w:lang w:val="fr-CA"/>
        </w:rPr>
        <w:lastRenderedPageBreak/>
        <w:t xml:space="preserve">Mandat :  </w:t>
      </w:r>
      <w:r w:rsidRPr="001B7C74">
        <w:rPr>
          <w:color w:val="000000"/>
          <w:szCs w:val="22"/>
          <w:lang w:val="fr-CA" w:eastAsia="en-US"/>
        </w:rPr>
        <w:t xml:space="preserve">De charger le Secrétariat général de poursuivre la mise en œuvre du système de PRO, en vertu de la résolution </w:t>
      </w:r>
      <w:hyperlink r:id="rId33" w:history="1">
        <w:r w:rsidRPr="001B7C74">
          <w:rPr>
            <w:color w:val="0000FF"/>
            <w:szCs w:val="22"/>
            <w:u w:val="single"/>
            <w:lang w:val="fr-CA" w:eastAsia="en-US"/>
          </w:rPr>
          <w:t>CP/RES.</w:t>
        </w:r>
      </w:hyperlink>
      <w:hyperlink r:id="rId34" w:history="1">
        <w:r w:rsidRPr="001B7C74">
          <w:rPr>
            <w:color w:val="0000FF"/>
            <w:szCs w:val="22"/>
            <w:u w:val="single"/>
            <w:lang w:val="fr-CA" w:eastAsia="en-US"/>
          </w:rPr>
          <w:t xml:space="preserve"> 1155 (2290/20)</w:t>
        </w:r>
      </w:hyperlink>
      <w:r w:rsidRPr="001B7C74">
        <w:rPr>
          <w:color w:val="000000"/>
          <w:szCs w:val="22"/>
          <w:lang w:val="fr-CA" w:eastAsia="en-US"/>
        </w:rPr>
        <w:t xml:space="preserve">, et de faire rapport tous les mois à la CAAP sur les progrès réalisés. </w:t>
      </w:r>
      <w:r w:rsidRPr="001B7C74">
        <w:rPr>
          <w:bCs/>
          <w:color w:val="000000"/>
          <w:szCs w:val="22"/>
          <w:lang w:val="fr-CA" w:eastAsia="es-ES_tradnl"/>
        </w:rPr>
        <w:t>[AG/RES. 2957 (L-O/20), paragraphe IV.33 du dispositif]</w:t>
      </w:r>
    </w:p>
    <w:p w:rsidR="004E432F" w:rsidRPr="001B7C74" w:rsidRDefault="004E432F" w:rsidP="004E432F">
      <w:pPr>
        <w:ind w:left="720"/>
        <w:rPr>
          <w:szCs w:val="22"/>
          <w:lang w:val="fr-CA"/>
        </w:rPr>
      </w:pPr>
    </w:p>
    <w:p w:rsidR="004E432F" w:rsidRPr="001B7C74" w:rsidRDefault="004E432F" w:rsidP="004E432F">
      <w:pPr>
        <w:pStyle w:val="TitleUppercase"/>
        <w:shd w:val="clear" w:color="auto" w:fill="FFFFFF"/>
        <w:tabs>
          <w:tab w:val="clear" w:pos="720"/>
          <w:tab w:val="clear" w:pos="1440"/>
          <w:tab w:val="clear" w:pos="2160"/>
          <w:tab w:val="clear" w:pos="2880"/>
          <w:tab w:val="clear" w:pos="7200"/>
          <w:tab w:val="clear" w:pos="7920"/>
          <w:tab w:val="clear" w:pos="8640"/>
        </w:tabs>
        <w:suppressAutoHyphens/>
        <w:ind w:left="1440" w:hanging="1440"/>
        <w:jc w:val="both"/>
        <w:rPr>
          <w:color w:val="000000"/>
          <w:lang w:val="fr-CA" w:eastAsia="es-ES_tradnl"/>
        </w:rPr>
      </w:pPr>
      <w:r w:rsidRPr="001B7C74">
        <w:rPr>
          <w:b/>
          <w:szCs w:val="22"/>
          <w:lang w:val="fr-CA"/>
        </w:rPr>
        <w:tab/>
        <w:t xml:space="preserve">Progrès réalisés à ce jour : </w:t>
      </w:r>
      <w:r w:rsidRPr="001B7C74">
        <w:rPr>
          <w:szCs w:val="22"/>
          <w:lang w:val="fr-CA"/>
        </w:rPr>
        <w:t>Les rapports d’étape suivants ont été diffusés par le Secrétariat depuis l’adoption de la résolution </w:t>
      </w:r>
      <w:r w:rsidRPr="001B7C74">
        <w:rPr>
          <w:color w:val="000000"/>
          <w:lang w:val="fr-CA" w:eastAsia="es-ES_tradnl"/>
        </w:rPr>
        <w:t>:</w:t>
      </w:r>
    </w:p>
    <w:p w:rsidR="004E432F" w:rsidRPr="001B7C74" w:rsidRDefault="00351F4E" w:rsidP="004E432F">
      <w:pPr>
        <w:ind w:left="1440"/>
        <w:rPr>
          <w:color w:val="000000"/>
          <w:lang w:val="fr-CA" w:eastAsia="es-ES_tradnl"/>
        </w:rPr>
      </w:pPr>
      <w:hyperlink r:id="rId35" w:history="1">
        <w:r w:rsidR="004E432F" w:rsidRPr="001B7C74">
          <w:rPr>
            <w:rStyle w:val="Hyperlink"/>
            <w:lang w:val="fr-CA" w:eastAsia="es-ES_tradnl"/>
          </w:rPr>
          <w:t>CP/CAAP-3686/20</w:t>
        </w:r>
      </w:hyperlink>
    </w:p>
    <w:p w:rsidR="004E432F" w:rsidRDefault="00351F4E" w:rsidP="004E432F">
      <w:pPr>
        <w:ind w:left="720" w:firstLine="720"/>
        <w:rPr>
          <w:rStyle w:val="Hyperlink"/>
          <w:lang w:val="fr-CA" w:eastAsia="es-ES_tradnl"/>
        </w:rPr>
      </w:pPr>
      <w:hyperlink r:id="rId36" w:history="1">
        <w:r w:rsidR="004E432F" w:rsidRPr="001B7C74">
          <w:rPr>
            <w:rStyle w:val="Hyperlink"/>
            <w:lang w:val="fr-CA" w:eastAsia="es-ES_tradnl"/>
          </w:rPr>
          <w:t>CP/CAAP-3706/20</w:t>
        </w:r>
      </w:hyperlink>
    </w:p>
    <w:p w:rsidR="00890F89" w:rsidRPr="00D94A01" w:rsidRDefault="00351F4E" w:rsidP="00890F89">
      <w:pPr>
        <w:ind w:left="720" w:firstLine="720"/>
        <w:rPr>
          <w:color w:val="0000FF"/>
          <w:u w:val="single"/>
          <w:lang w:val="fr-CA" w:eastAsia="es-ES_tradnl"/>
        </w:rPr>
      </w:pPr>
      <w:hyperlink r:id="rId37" w:history="1">
        <w:r w:rsidR="00890F89" w:rsidRPr="00D94A01">
          <w:rPr>
            <w:rStyle w:val="Hyperlink"/>
            <w:lang w:val="fr-CA" w:eastAsia="es-ES_tradnl"/>
          </w:rPr>
          <w:t>CP/CAAP-3711/20</w:t>
        </w:r>
      </w:hyperlink>
    </w:p>
    <w:p w:rsidR="00890F89" w:rsidRPr="001B7C74" w:rsidRDefault="00890F89" w:rsidP="004E432F">
      <w:pPr>
        <w:ind w:left="720" w:firstLine="720"/>
        <w:rPr>
          <w:color w:val="000000"/>
          <w:lang w:val="fr-CA" w:eastAsia="es-ES_tradnl"/>
        </w:rPr>
      </w:pPr>
    </w:p>
    <w:p w:rsidR="004E432F" w:rsidRPr="001B7C74" w:rsidRDefault="004E432F" w:rsidP="004E432F">
      <w:pPr>
        <w:pStyle w:val="TitleUppercase"/>
        <w:shd w:val="clear" w:color="auto" w:fill="FFFFFF"/>
        <w:tabs>
          <w:tab w:val="clear" w:pos="720"/>
          <w:tab w:val="clear" w:pos="1440"/>
          <w:tab w:val="clear" w:pos="2160"/>
          <w:tab w:val="clear" w:pos="2880"/>
          <w:tab w:val="clear" w:pos="7200"/>
          <w:tab w:val="clear" w:pos="7920"/>
          <w:tab w:val="clear" w:pos="8640"/>
          <w:tab w:val="left" w:pos="1027"/>
        </w:tabs>
        <w:suppressAutoHyphens/>
        <w:jc w:val="both"/>
        <w:rPr>
          <w:szCs w:val="22"/>
          <w:lang w:val="fr-CA"/>
        </w:rPr>
      </w:pPr>
    </w:p>
    <w:p w:rsidR="004E432F" w:rsidRPr="001B7C74" w:rsidRDefault="004E432F" w:rsidP="004E432F">
      <w:pPr>
        <w:ind w:firstLine="720"/>
        <w:rPr>
          <w:szCs w:val="22"/>
          <w:lang w:val="fr-CA"/>
        </w:rPr>
      </w:pPr>
      <w:r w:rsidRPr="001B7C74">
        <w:rPr>
          <w:szCs w:val="22"/>
          <w:lang w:val="fr-CA"/>
        </w:rPr>
        <w:t>Outre les 27 questions mentionnées en détail ci-dessus, la Commission examinera toute requête et tout mandat découlant des résolutions de l’Assemblée générale et du Conseil permanent le cas échéant.</w:t>
      </w:r>
    </w:p>
    <w:p w:rsidR="004E432F" w:rsidRPr="001B7C74" w:rsidRDefault="004E432F" w:rsidP="004E432F">
      <w:pPr>
        <w:rPr>
          <w:szCs w:val="22"/>
          <w:lang w:val="fr-CA"/>
        </w:rPr>
      </w:pPr>
      <w:r w:rsidRPr="001B7C74">
        <w:rPr>
          <w:noProof/>
          <w:lang w:val="en-US" w:eastAsia="en-US"/>
        </w:rPr>
        <mc:AlternateContent>
          <mc:Choice Requires="wps">
            <w:drawing>
              <wp:anchor distT="0" distB="0" distL="114300" distR="114300" simplePos="0" relativeHeight="251659776" behindDoc="0" locked="1" layoutInCell="1" allowOverlap="1">
                <wp:simplePos x="0" y="0"/>
                <wp:positionH relativeFrom="column">
                  <wp:posOffset>-62865</wp:posOffset>
                </wp:positionH>
                <wp:positionV relativeFrom="page">
                  <wp:posOffset>9363075</wp:posOffset>
                </wp:positionV>
                <wp:extent cx="1149985" cy="774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2F" w:rsidRPr="00AC3FB5" w:rsidRDefault="004E432F" w:rsidP="004E432F">
                            <w:pPr>
                              <w:rPr>
                                <w:sz w:val="18"/>
                              </w:rPr>
                            </w:pPr>
                            <w:r>
                              <w:rPr>
                                <w:sz w:val="18"/>
                              </w:rPr>
                              <w:fldChar w:fldCharType="begin"/>
                            </w:r>
                            <w:r>
                              <w:rPr>
                                <w:sz w:val="18"/>
                              </w:rPr>
                              <w:instrText xml:space="preserve"> FILENAME  \* MERGEFORMAT </w:instrText>
                            </w:r>
                            <w:r>
                              <w:rPr>
                                <w:sz w:val="18"/>
                              </w:rPr>
                              <w:fldChar w:fldCharType="separate"/>
                            </w:r>
                            <w:r>
                              <w:rPr>
                                <w:noProof/>
                                <w:sz w:val="18"/>
                              </w:rPr>
                              <w:t>CPSC08881E04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737.25pt;width:90.55pt;height: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ytQIAALg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" filled="f" stroked="f">
                <v:textbox>
                  <w:txbxContent>
                    <w:p w:rsidR="004E432F" w:rsidRPr="00AC3FB5" w:rsidRDefault="004E432F" w:rsidP="004E432F">
                      <w:pPr>
                        <w:rPr>
                          <w:sz w:val="18"/>
                        </w:rPr>
                      </w:pPr>
                      <w:r>
                        <w:rPr>
                          <w:sz w:val="18"/>
                        </w:rPr>
                        <w:fldChar w:fldCharType="begin"/>
                      </w:r>
                      <w:r>
                        <w:rPr>
                          <w:sz w:val="18"/>
                        </w:rPr>
                        <w:instrText xml:space="preserve"> FILENAME  \* MERGEFORMAT </w:instrText>
                      </w:r>
                      <w:r>
                        <w:rPr>
                          <w:sz w:val="18"/>
                        </w:rPr>
                        <w:fldChar w:fldCharType="separate"/>
                      </w:r>
                      <w:r>
                        <w:rPr>
                          <w:noProof/>
                          <w:sz w:val="18"/>
                        </w:rPr>
                        <w:t>CPSC08881E04</w:t>
                      </w:r>
                      <w:r>
                        <w:rPr>
                          <w:sz w:val="18"/>
                        </w:rPr>
                        <w:fldChar w:fldCharType="end"/>
                      </w:r>
                    </w:p>
                  </w:txbxContent>
                </v:textbox>
                <w10:wrap anchory="page"/>
                <w10:anchorlock/>
              </v:shape>
            </w:pict>
          </mc:Fallback>
        </mc:AlternateContent>
      </w:r>
      <w:r w:rsidRPr="001B7C74">
        <w:rPr>
          <w:noProof/>
          <w:szCs w:val="22"/>
          <w:lang w:val="en-US" w:eastAsia="en-US"/>
        </w:rPr>
        <mc:AlternateContent>
          <mc:Choice Requires="wps">
            <w:drawing>
              <wp:anchor distT="0" distB="0" distL="114300" distR="114300" simplePos="0" relativeHeight="251657728" behindDoc="0" locked="1" layoutInCell="1" allowOverlap="1">
                <wp:simplePos x="0" y="0"/>
                <wp:positionH relativeFrom="column">
                  <wp:posOffset>-62865</wp:posOffset>
                </wp:positionH>
                <wp:positionV relativeFrom="page">
                  <wp:posOffset>9363075</wp:posOffset>
                </wp:positionV>
                <wp:extent cx="1149985" cy="774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774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2F" w:rsidRPr="00AC3FB5" w:rsidRDefault="004E432F" w:rsidP="004E432F">
                            <w:pPr>
                              <w:rPr>
                                <w:sz w:val="18"/>
                              </w:rPr>
                            </w:pPr>
                            <w:r>
                              <w:rPr>
                                <w:sz w:val="18"/>
                              </w:rPr>
                              <w:fldChar w:fldCharType="begin"/>
                            </w:r>
                            <w:r>
                              <w:rPr>
                                <w:sz w:val="18"/>
                              </w:rPr>
                              <w:instrText xml:space="preserve"> FILENAME  \* MERGEFORMAT </w:instrText>
                            </w:r>
                            <w:r>
                              <w:rPr>
                                <w:sz w:val="18"/>
                              </w:rPr>
                              <w:fldChar w:fldCharType="separate"/>
                            </w:r>
                            <w:r>
                              <w:rPr>
                                <w:sz w:val="18"/>
                              </w:rPr>
                              <w:t>CPSC08881E04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95pt;margin-top:737.25pt;width:90.55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" filled="f" fillcolor="black" stroked="f">
                <v:textbox>
                  <w:txbxContent>
                    <w:p w:rsidR="004E432F" w:rsidRPr="00AC3FB5" w:rsidRDefault="004E432F" w:rsidP="004E432F">
                      <w:pPr>
                        <w:rPr>
                          <w:sz w:val="18"/>
                        </w:rPr>
                      </w:pPr>
                      <w:r>
                        <w:rPr>
                          <w:sz w:val="18"/>
                        </w:rPr>
                        <w:fldChar w:fldCharType="begin"/>
                      </w:r>
                      <w:r>
                        <w:rPr>
                          <w:sz w:val="18"/>
                        </w:rPr>
                        <w:instrText xml:space="preserve"> FILENAME  \* MERGEFORMAT </w:instrText>
                      </w:r>
                      <w:r>
                        <w:rPr>
                          <w:sz w:val="18"/>
                        </w:rPr>
                        <w:fldChar w:fldCharType="separate"/>
                      </w:r>
                      <w:r>
                        <w:rPr>
                          <w:sz w:val="18"/>
                        </w:rPr>
                        <w:t>CPSC08881E04</w:t>
                      </w:r>
                      <w:r>
                        <w:rPr>
                          <w:sz w:val="18"/>
                        </w:rPr>
                        <w:fldChar w:fldCharType="end"/>
                      </w:r>
                    </w:p>
                  </w:txbxContent>
                </v:textbox>
                <w10:wrap anchory="page"/>
                <w10:anchorlock/>
              </v:shape>
            </w:pict>
          </mc:Fallback>
        </mc:AlternateConten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fr-CA"/>
        </w:rPr>
      </w:pPr>
    </w:p>
    <w:p w:rsidR="004E432F" w:rsidRPr="001B7C74" w:rsidRDefault="004E432F" w:rsidP="004E432F">
      <w:pPr>
        <w:numPr>
          <w:ilvl w:val="0"/>
          <w:numId w:val="14"/>
        </w:numPr>
        <w:suppressAutoHyphens/>
        <w:ind w:left="720"/>
        <w:rPr>
          <w:b/>
          <w:caps/>
          <w:szCs w:val="22"/>
          <w:lang w:val="fr-CA"/>
        </w:rPr>
      </w:pPr>
      <w:r w:rsidRPr="001B7C74">
        <w:rPr>
          <w:b/>
          <w:caps/>
          <w:szCs w:val="22"/>
          <w:lang w:val="fr-CA"/>
        </w:rPr>
        <w:t>RESSOURCES FINANCIÈRES</w:t>
      </w:r>
    </w:p>
    <w:p w:rsidR="004E432F" w:rsidRPr="001B7C74" w:rsidRDefault="004E432F" w:rsidP="004E432F">
      <w:pPr>
        <w:suppressAutoHyphens/>
        <w:rPr>
          <w:caps/>
          <w:szCs w:val="22"/>
          <w:lang w:val="fr-CA"/>
        </w:rPr>
      </w:pPr>
    </w:p>
    <w:p w:rsidR="004E432F" w:rsidRPr="001B7C74" w:rsidRDefault="004E432F" w:rsidP="004E432F">
      <w:pPr>
        <w:tabs>
          <w:tab w:val="left" w:pos="720"/>
          <w:tab w:val="left" w:pos="2160"/>
          <w:tab w:val="left" w:pos="2880"/>
          <w:tab w:val="left" w:pos="3600"/>
          <w:tab w:val="left" w:pos="4320"/>
          <w:tab w:val="left" w:pos="5760"/>
          <w:tab w:val="left" w:pos="6480"/>
          <w:tab w:val="left" w:pos="7200"/>
          <w:tab w:val="left" w:pos="7920"/>
        </w:tabs>
        <w:suppressAutoHyphens/>
        <w:rPr>
          <w:szCs w:val="22"/>
          <w:lang w:val="fr-CA"/>
        </w:rPr>
      </w:pPr>
      <w:r w:rsidRPr="001B7C74">
        <w:rPr>
          <w:szCs w:val="22"/>
          <w:lang w:val="fr-CA"/>
        </w:rPr>
        <w:tab/>
        <w:t xml:space="preserve">En vertu de la résolution CP/RES. 1163 (2308/20), « Approbation de la répartition des ressources par sous-programme pour 2021, conformément à la résolution AG/RES. 2957 (L-O/20) intitulée ‘Programme-budget 2021 de l’Organisation’ », le Conseil permanent a approuvé la somme de 99 800 USD pour financer toutes les réunions de la CAAP et de ses groupes de travail pour l'année 2021. </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fr-CA"/>
        </w:rPr>
      </w:pPr>
    </w:p>
    <w:p w:rsidR="004E432F" w:rsidRPr="001B7C74" w:rsidRDefault="004E432F" w:rsidP="004E432F">
      <w:pPr>
        <w:suppressAutoHyphens/>
        <w:ind w:firstLine="720"/>
        <w:rPr>
          <w:szCs w:val="22"/>
          <w:lang w:val="fr-CA"/>
        </w:rPr>
      </w:pPr>
      <w:r w:rsidRPr="001B7C74">
        <w:rPr>
          <w:szCs w:val="22"/>
          <w:lang w:val="fr-CA"/>
        </w:rPr>
        <w:t>J’ai le plaisir de présenter pour examen ce projet de plan de travail qui servira de cadre général pour le travail devant être réalisé par la CAAP de janvier à décembre 2021.</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fr-CA"/>
        </w:rPr>
      </w:pP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 w:val="center" w:pos="5760"/>
        </w:tabs>
        <w:suppressAutoHyphens/>
        <w:outlineLvl w:val="0"/>
        <w:rPr>
          <w:szCs w:val="22"/>
          <w:lang w:val="fr-CA"/>
        </w:rPr>
      </w:pPr>
      <w:r w:rsidRPr="001B7C74">
        <w:rPr>
          <w:szCs w:val="22"/>
          <w:lang w:val="fr-CA"/>
        </w:rPr>
        <w:t>Hugh Adsett</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 w:val="center" w:pos="5760"/>
        </w:tabs>
        <w:suppressAutoHyphens/>
        <w:rPr>
          <w:szCs w:val="22"/>
          <w:lang w:val="fr-CA"/>
        </w:rPr>
      </w:pPr>
      <w:r w:rsidRPr="001B7C74">
        <w:rPr>
          <w:szCs w:val="22"/>
          <w:lang w:val="fr-CA"/>
        </w:rPr>
        <w:t>Ambassadeur, Représentant permanent du Canada près l’OEA</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 w:val="center" w:pos="5760"/>
        </w:tabs>
        <w:suppressAutoHyphens/>
        <w:rPr>
          <w:szCs w:val="22"/>
          <w:lang w:val="fr-CA"/>
        </w:rPr>
      </w:pPr>
      <w:r w:rsidRPr="001B7C74">
        <w:rPr>
          <w:szCs w:val="22"/>
          <w:lang w:val="fr-CA"/>
        </w:rPr>
        <w:t>Président de la Commission des questions administratives et budgétaires</w:t>
      </w:r>
    </w:p>
    <w:p w:rsidR="004E432F" w:rsidRPr="001B7C74" w:rsidRDefault="004E432F" w:rsidP="004E432F">
      <w:pPr>
        <w:pStyle w:val="TitleUppercase"/>
        <w:tabs>
          <w:tab w:val="clear" w:pos="720"/>
          <w:tab w:val="clear" w:pos="1440"/>
          <w:tab w:val="clear" w:pos="2160"/>
          <w:tab w:val="clear" w:pos="2880"/>
          <w:tab w:val="clear" w:pos="7200"/>
          <w:tab w:val="clear" w:pos="7920"/>
          <w:tab w:val="clear" w:pos="8640"/>
        </w:tabs>
        <w:suppressAutoHyphens/>
        <w:jc w:val="both"/>
        <w:rPr>
          <w:szCs w:val="22"/>
          <w:lang w:val="fr-CA"/>
        </w:rPr>
      </w:pPr>
    </w:p>
    <w:p w:rsidR="004E432F" w:rsidRPr="001B7C74" w:rsidRDefault="004E432F" w:rsidP="004E432F">
      <w:pPr>
        <w:pStyle w:val="TitleUppercase"/>
        <w:tabs>
          <w:tab w:val="clear" w:pos="720"/>
          <w:tab w:val="clear" w:pos="1440"/>
          <w:tab w:val="clear" w:pos="2160"/>
          <w:tab w:val="clear" w:pos="7920"/>
          <w:tab w:val="clear" w:pos="8640"/>
          <w:tab w:val="center" w:pos="2880"/>
        </w:tabs>
        <w:suppressAutoHyphens/>
        <w:jc w:val="both"/>
        <w:rPr>
          <w:szCs w:val="22"/>
          <w:lang w:val="fr-CA"/>
        </w:rPr>
      </w:pPr>
    </w:p>
    <w:p w:rsidR="00EA5B82" w:rsidRPr="001B7C74" w:rsidRDefault="00EA5B82" w:rsidP="004E432F">
      <w:pPr>
        <w:rPr>
          <w:lang w:val="fr-CA"/>
        </w:rPr>
      </w:pPr>
    </w:p>
    <w:p w:rsidR="001B7C74" w:rsidRPr="001B7C74" w:rsidRDefault="00351F4E">
      <w:pPr>
        <w:rPr>
          <w:lang w:val="fr-CA"/>
        </w:rPr>
      </w:pPr>
      <w:r>
        <w:rPr>
          <w:noProof/>
          <w:lang w:val="en-US" w:eastAsia="en-US"/>
        </w:rPr>
        <mc:AlternateContent>
          <mc:Choice Requires="wps">
            <w:drawing>
              <wp:anchor distT="0" distB="0" distL="114300" distR="114300" simplePos="0" relativeHeight="251660800"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1" w:name="_GoBack"/>
                          <w:p w:rsidR="00351F4E" w:rsidRPr="00351F4E" w:rsidRDefault="00351F4E">
                            <w:pPr>
                              <w:rPr>
                                <w:sz w:val="18"/>
                              </w:rPr>
                            </w:pPr>
                            <w:r>
                              <w:rPr>
                                <w:sz w:val="18"/>
                              </w:rPr>
                              <w:fldChar w:fldCharType="begin"/>
                            </w:r>
                            <w:r>
                              <w:rPr>
                                <w:sz w:val="18"/>
                              </w:rPr>
                              <w:instrText xml:space="preserve"> FILENAME  \* MERGEFORMAT </w:instrText>
                            </w:r>
                            <w:r>
                              <w:rPr>
                                <w:sz w:val="18"/>
                              </w:rPr>
                              <w:fldChar w:fldCharType="separate"/>
                            </w:r>
                            <w:r>
                              <w:rPr>
                                <w:noProof/>
                                <w:sz w:val="18"/>
                              </w:rPr>
                              <w:t>CP43447F01</w:t>
                            </w:r>
                            <w:r>
                              <w:rPr>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7.2pt;margin-top:10in;width:266.4pt;height:18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" filled="f" stroked="f">
                <v:stroke joinstyle="round"/>
                <v:path arrowok="t"/>
                <v:textbox>
                  <w:txbxContent>
                    <w:bookmarkStart w:id="2" w:name="_GoBack"/>
                    <w:p w:rsidR="00351F4E" w:rsidRPr="00351F4E" w:rsidRDefault="00351F4E">
                      <w:pPr>
                        <w:rPr>
                          <w:sz w:val="18"/>
                        </w:rPr>
                      </w:pPr>
                      <w:r>
                        <w:rPr>
                          <w:sz w:val="18"/>
                        </w:rPr>
                        <w:fldChar w:fldCharType="begin"/>
                      </w:r>
                      <w:r>
                        <w:rPr>
                          <w:sz w:val="18"/>
                        </w:rPr>
                        <w:instrText xml:space="preserve"> FILENAME  \* MERGEFORMAT </w:instrText>
                      </w:r>
                      <w:r>
                        <w:rPr>
                          <w:sz w:val="18"/>
                        </w:rPr>
                        <w:fldChar w:fldCharType="separate"/>
                      </w:r>
                      <w:r>
                        <w:rPr>
                          <w:noProof/>
                          <w:sz w:val="18"/>
                        </w:rPr>
                        <w:t>CP43447F01</w:t>
                      </w:r>
                      <w:r>
                        <w:rPr>
                          <w:sz w:val="18"/>
                        </w:rPr>
                        <w:fldChar w:fldCharType="end"/>
                      </w:r>
                      <w:bookmarkEnd w:id="2"/>
                    </w:p>
                  </w:txbxContent>
                </v:textbox>
                <w10:wrap anchory="page"/>
                <w10:anchorlock/>
              </v:shape>
            </w:pict>
          </mc:Fallback>
        </mc:AlternateContent>
      </w:r>
    </w:p>
    <w:sectPr w:rsidR="001B7C74" w:rsidRPr="001B7C74" w:rsidSect="00E100D0">
      <w:headerReference w:type="even" r:id="rId38"/>
      <w:headerReference w:type="default" r:id="rId39"/>
      <w:pgSz w:w="12240" w:h="15840" w:code="1"/>
      <w:pgMar w:top="2160" w:right="1570" w:bottom="1170" w:left="1699" w:header="1296" w:footer="129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0B" w:rsidRDefault="00600A0B">
      <w:pPr>
        <w:rPr>
          <w:lang w:val="es-ES_tradnl"/>
        </w:rPr>
      </w:pPr>
      <w:r>
        <w:rPr>
          <w:lang w:val="es-ES_tradnl"/>
        </w:rPr>
        <w:separator/>
      </w:r>
    </w:p>
  </w:endnote>
  <w:endnote w:type="continuationSeparator" w:id="0">
    <w:p w:rsidR="00600A0B" w:rsidRDefault="00600A0B">
      <w:pPr>
        <w:rPr>
          <w:lang w:val="es-ES_tradnl"/>
        </w:rPr>
      </w:pPr>
      <w:r>
        <w:rPr>
          <w:lang w:val="es-ES_tradnl"/>
        </w:rPr>
        <w:continuationSeparator/>
      </w:r>
    </w:p>
  </w:endnote>
  <w:endnote w:type="continuationNotice" w:id="1">
    <w:p w:rsidR="00600A0B" w:rsidRDefault="00600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0B" w:rsidRDefault="00600A0B">
      <w:pPr>
        <w:rPr>
          <w:lang w:val="es-ES_tradnl"/>
        </w:rPr>
      </w:pPr>
      <w:r>
        <w:rPr>
          <w:lang w:val="es-ES_tradnl"/>
        </w:rPr>
        <w:separator/>
      </w:r>
    </w:p>
  </w:footnote>
  <w:footnote w:type="continuationSeparator" w:id="0">
    <w:p w:rsidR="00600A0B" w:rsidRDefault="00600A0B">
      <w:pPr>
        <w:rPr>
          <w:lang w:val="es-ES_tradnl"/>
        </w:rPr>
      </w:pPr>
      <w:r>
        <w:rPr>
          <w:lang w:val="es-ES_tradnl"/>
        </w:rPr>
        <w:continuationSeparator/>
      </w:r>
    </w:p>
  </w:footnote>
  <w:footnote w:type="continuationNotice" w:id="1">
    <w:p w:rsidR="00600A0B" w:rsidRDefault="00600A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CB" w:rsidRDefault="00CD48CB" w:rsidP="006F26C4">
    <w:pPr>
      <w:pStyle w:val="Header"/>
      <w:jc w:val="center"/>
      <w:rPr>
        <w:lang w:val="es-ES_tradnl"/>
      </w:rPr>
    </w:pPr>
    <w:r>
      <w:rPr>
        <w:rStyle w:val="PageNumber"/>
        <w:lang w:val="es-ES_tradnl"/>
      </w:rPr>
      <w:t xml:space="preserve">- </w:t>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lang w:val="es-ES_tradnl"/>
      </w:rPr>
      <w:t>12</w:t>
    </w:r>
    <w:r>
      <w:rPr>
        <w:rStyle w:val="PageNumber"/>
        <w:lang w:val="es-ES_tradnl"/>
      </w:rPr>
      <w:fldChar w:fldCharType="end"/>
    </w:r>
    <w:r>
      <w:rPr>
        <w:rStyle w:val="PageNumber"/>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CB" w:rsidRDefault="00CD48CB" w:rsidP="006F26C4">
    <w:pPr>
      <w:pStyle w:val="Header"/>
      <w:jc w:val="center"/>
      <w:rPr>
        <w:szCs w:val="22"/>
        <w:lang w:val="es-ES_tradnl"/>
      </w:rPr>
    </w:pPr>
    <w:r>
      <w:rPr>
        <w:rStyle w:val="PageNumber"/>
        <w:szCs w:val="22"/>
        <w:lang w:val="es-ES_tradnl"/>
      </w:rPr>
      <w:t xml:space="preserve">- </w:t>
    </w:r>
    <w:r>
      <w:rPr>
        <w:rStyle w:val="PageNumber"/>
        <w:szCs w:val="22"/>
        <w:lang w:val="es-ES_tradnl"/>
      </w:rPr>
      <w:fldChar w:fldCharType="begin"/>
    </w:r>
    <w:r>
      <w:rPr>
        <w:rStyle w:val="PageNumber"/>
        <w:szCs w:val="22"/>
        <w:lang w:val="es-ES_tradnl"/>
      </w:rPr>
      <w:instrText xml:space="preserve"> PAGE </w:instrText>
    </w:r>
    <w:r>
      <w:rPr>
        <w:rStyle w:val="PageNumber"/>
        <w:szCs w:val="22"/>
        <w:lang w:val="es-ES_tradnl"/>
      </w:rPr>
      <w:fldChar w:fldCharType="separate"/>
    </w:r>
    <w:r w:rsidR="00351F4E">
      <w:rPr>
        <w:rStyle w:val="PageNumber"/>
        <w:noProof/>
        <w:szCs w:val="22"/>
        <w:lang w:val="es-ES_tradnl"/>
      </w:rPr>
      <w:t>17</w:t>
    </w:r>
    <w:r>
      <w:rPr>
        <w:rStyle w:val="PageNumber"/>
        <w:szCs w:val="22"/>
        <w:lang w:val="es-ES_tradnl"/>
      </w:rPr>
      <w:fldChar w:fldCharType="end"/>
    </w:r>
    <w:r>
      <w:rPr>
        <w:rStyle w:val="PageNumber"/>
        <w:szCs w:val="22"/>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51488"/>
    <w:multiLevelType w:val="hybridMultilevel"/>
    <w:tmpl w:val="7696EB14"/>
    <w:lvl w:ilvl="0" w:tplc="35F8CE4E">
      <w:start w:val="7"/>
      <w:numFmt w:val="decimal"/>
      <w:lvlText w:val="%1."/>
      <w:lvlJc w:val="left"/>
      <w:pPr>
        <w:ind w:left="1080" w:hanging="360"/>
      </w:pPr>
      <w:rPr>
        <w:rFonts w:hint="default"/>
        <w:b w:val="0"/>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17BA6"/>
    <w:multiLevelType w:val="hybridMultilevel"/>
    <w:tmpl w:val="7A9EA320"/>
    <w:lvl w:ilvl="0" w:tplc="C3E80C92">
      <w:start w:val="1"/>
      <w:numFmt w:val="lowerRoman"/>
      <w:lvlText w:val="%1."/>
      <w:lvlJc w:val="left"/>
      <w:pPr>
        <w:tabs>
          <w:tab w:val="num" w:pos="1080"/>
        </w:tabs>
        <w:ind w:left="1080" w:hanging="360"/>
      </w:pPr>
      <w:rPr>
        <w:rFonts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AD807930">
      <w:start w:val="1"/>
      <w:numFmt w:val="bullet"/>
      <w:lvlText w:val=""/>
      <w:lvlJc w:val="left"/>
      <w:pPr>
        <w:tabs>
          <w:tab w:val="num" w:pos="1800"/>
        </w:tabs>
        <w:ind w:left="1800" w:hanging="360"/>
      </w:pPr>
      <w:rPr>
        <w:rFonts w:ascii="Wingdings" w:hAnsi="Wingdings" w:hint="default"/>
        <w:vanish w:val="0"/>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B314BE"/>
    <w:multiLevelType w:val="hybridMultilevel"/>
    <w:tmpl w:val="E94A466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7980BF5E">
      <w:start w:val="1"/>
      <w:numFmt w:val="bullet"/>
      <w:lvlText w:val=""/>
      <w:lvlJc w:val="left"/>
      <w:pPr>
        <w:tabs>
          <w:tab w:val="num" w:pos="2520"/>
        </w:tabs>
        <w:ind w:left="2520" w:hanging="360"/>
      </w:pPr>
      <w:rPr>
        <w:rFonts w:ascii="Wingdings" w:hAnsi="Wingdings" w:hint="default"/>
        <w:vanish w:val="0"/>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DD3FC4"/>
    <w:multiLevelType w:val="hybridMultilevel"/>
    <w:tmpl w:val="48CC3A4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vanish w:val="0"/>
      </w:rPr>
    </w:lvl>
    <w:lvl w:ilvl="3" w:tplc="FFFFFFFF">
      <w:start w:val="1"/>
      <w:numFmt w:val="bullet"/>
      <w:lvlText w:val=""/>
      <w:lvlJc w:val="left"/>
      <w:pPr>
        <w:tabs>
          <w:tab w:val="num" w:pos="2520"/>
        </w:tabs>
        <w:ind w:left="2520" w:hanging="360"/>
      </w:pPr>
      <w:rPr>
        <w:rFonts w:ascii="Symbol" w:hAnsi="Symbol" w:hint="default"/>
      </w:rPr>
    </w:lvl>
    <w:lvl w:ilvl="4" w:tplc="5890DEC4">
      <w:start w:val="4"/>
      <w:numFmt w:val="bullet"/>
      <w:lvlText w:val="-"/>
      <w:lvlJc w:val="left"/>
      <w:pPr>
        <w:ind w:left="3240" w:hanging="360"/>
      </w:pPr>
      <w:rPr>
        <w:rFonts w:ascii="Times New Roman" w:eastAsia="Times New Roman" w:hAnsi="Times New Roman" w:cs="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D00DB0"/>
    <w:multiLevelType w:val="hybridMultilevel"/>
    <w:tmpl w:val="E3700274"/>
    <w:lvl w:ilvl="0" w:tplc="E8107334">
      <w:start w:val="1"/>
      <w:numFmt w:val="decimal"/>
      <w:lvlText w:val="%1."/>
      <w:lvlJc w:val="left"/>
      <w:pPr>
        <w:ind w:left="990" w:hanging="360"/>
      </w:pPr>
      <w:rPr>
        <w:rFonts w:hint="default"/>
        <w:b w:val="0"/>
        <w:i/>
        <w:color w:val="auto"/>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362E45C9"/>
    <w:multiLevelType w:val="hybridMultilevel"/>
    <w:tmpl w:val="F4CCF62E"/>
    <w:lvl w:ilvl="0" w:tplc="EF0C5BC6">
      <w:start w:val="1"/>
      <w:numFmt w:val="lowerLetter"/>
      <w:lvlText w:val="%1."/>
      <w:lvlJc w:val="left"/>
      <w:pPr>
        <w:ind w:left="1800" w:hanging="360"/>
      </w:pPr>
      <w:rPr>
        <w:rFonts w:cs="Times New Roman"/>
        <w:b w:val="0"/>
        <w:bCs/>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7062B87"/>
    <w:multiLevelType w:val="hybridMultilevel"/>
    <w:tmpl w:val="296EEFA6"/>
    <w:lvl w:ilvl="0" w:tplc="04090015">
      <w:start w:val="1"/>
      <w:numFmt w:val="upperLetter"/>
      <w:lvlText w:val="%1."/>
      <w:lvlJc w:val="left"/>
      <w:pPr>
        <w:tabs>
          <w:tab w:val="num" w:pos="1080"/>
        </w:tabs>
        <w:ind w:left="1080" w:hanging="360"/>
      </w:pPr>
      <w:rPr>
        <w:rFonts w:hint="default"/>
        <w:vanish w:val="0"/>
      </w:rPr>
    </w:lvl>
    <w:lvl w:ilvl="1" w:tplc="FFFFFFFF">
      <w:start w:val="1"/>
      <w:numFmt w:val="lowerRoman"/>
      <w:lvlText w:val="%2."/>
      <w:lvlJc w:val="right"/>
      <w:pPr>
        <w:tabs>
          <w:tab w:val="num" w:pos="1620"/>
        </w:tabs>
        <w:ind w:left="1620" w:hanging="18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15:restartNumberingAfterBreak="0">
    <w:nsid w:val="3A562A46"/>
    <w:multiLevelType w:val="hybridMultilevel"/>
    <w:tmpl w:val="EA86D7DC"/>
    <w:lvl w:ilvl="0" w:tplc="6FA6C7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D06269"/>
    <w:multiLevelType w:val="hybridMultilevel"/>
    <w:tmpl w:val="AD1693E6"/>
    <w:lvl w:ilvl="0" w:tplc="04090019">
      <w:start w:val="1"/>
      <w:numFmt w:val="lowerLetter"/>
      <w:lvlText w:val="%1."/>
      <w:lvlJc w:val="left"/>
      <w:pPr>
        <w:ind w:left="1440" w:hanging="360"/>
      </w:pPr>
      <w:rPr>
        <w:rFonts w:cs="Times New Roman"/>
        <w:b w:val="0"/>
        <w:i w:val="0"/>
        <w:strike w:val="0"/>
        <w:dstrike w:val="0"/>
        <w:color w:val="auto"/>
        <w:u w:val="none"/>
        <w:effect w:val="none"/>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9" w15:restartNumberingAfterBreak="0">
    <w:nsid w:val="3C5D7117"/>
    <w:multiLevelType w:val="singleLevel"/>
    <w:tmpl w:val="9E34DBBA"/>
    <w:lvl w:ilvl="0">
      <w:start w:val="1"/>
      <w:numFmt w:val="decimal"/>
      <w:pStyle w:val="Indenthangingnumerated"/>
      <w:lvlText w:val="%1."/>
      <w:lvlJc w:val="left"/>
      <w:pPr>
        <w:tabs>
          <w:tab w:val="num" w:pos="720"/>
        </w:tabs>
        <w:ind w:left="360"/>
      </w:pPr>
      <w:rPr>
        <w:rFonts w:cs="Times New Roman" w:hint="default"/>
      </w:rPr>
    </w:lvl>
  </w:abstractNum>
  <w:abstractNum w:abstractNumId="10" w15:restartNumberingAfterBreak="0">
    <w:nsid w:val="3EFB7130"/>
    <w:multiLevelType w:val="hybridMultilevel"/>
    <w:tmpl w:val="0D1C2846"/>
    <w:lvl w:ilvl="0" w:tplc="1ED436E2">
      <w:start w:val="26"/>
      <w:numFmt w:val="decimal"/>
      <w:lvlText w:val="%1."/>
      <w:lvlJc w:val="left"/>
      <w:pPr>
        <w:ind w:left="990" w:hanging="360"/>
      </w:pPr>
      <w:rPr>
        <w:rFonts w:hint="default"/>
      </w:rPr>
    </w:lvl>
    <w:lvl w:ilvl="1" w:tplc="0C0A0019">
      <w:start w:val="1"/>
      <w:numFmt w:val="lowerLetter"/>
      <w:lvlText w:val="%2."/>
      <w:lvlJc w:val="left"/>
      <w:pPr>
        <w:ind w:left="99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11" w15:restartNumberingAfterBreak="0">
    <w:nsid w:val="40640444"/>
    <w:multiLevelType w:val="hybridMultilevel"/>
    <w:tmpl w:val="1520BB28"/>
    <w:lvl w:ilvl="0" w:tplc="9A9CDF0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740C21"/>
    <w:multiLevelType w:val="hybridMultilevel"/>
    <w:tmpl w:val="C0DA1F66"/>
    <w:lvl w:ilvl="0" w:tplc="01ECF1D4">
      <w:start w:val="1"/>
      <w:numFmt w:val="decimal"/>
      <w:lvlText w:val="%1."/>
      <w:lvlJc w:val="left"/>
      <w:pPr>
        <w:tabs>
          <w:tab w:val="num" w:pos="1800"/>
        </w:tabs>
        <w:ind w:left="1800" w:hanging="360"/>
      </w:pPr>
      <w:rPr>
        <w:rFonts w:cs="Times New Roman" w:hint="default"/>
        <w:b w:val="0"/>
        <w:i w:val="0"/>
        <w:vanish w:val="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550A31"/>
    <w:multiLevelType w:val="hybridMultilevel"/>
    <w:tmpl w:val="A238E070"/>
    <w:lvl w:ilvl="0" w:tplc="53D233E8">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402384"/>
    <w:multiLevelType w:val="hybridMultilevel"/>
    <w:tmpl w:val="76FE5BBC"/>
    <w:lvl w:ilvl="0" w:tplc="26CA81CA">
      <w:start w:val="1"/>
      <w:numFmt w:val="decimal"/>
      <w:lvlText w:val="%1."/>
      <w:lvlJc w:val="left"/>
      <w:pPr>
        <w:tabs>
          <w:tab w:val="num" w:pos="720"/>
        </w:tabs>
        <w:ind w:left="720"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21585"/>
    <w:multiLevelType w:val="hybridMultilevel"/>
    <w:tmpl w:val="7D1E49AC"/>
    <w:lvl w:ilvl="0" w:tplc="8B0A70DE">
      <w:start w:val="1"/>
      <w:numFmt w:val="lowerRoman"/>
      <w:lvlText w:val="%1."/>
      <w:lvlJc w:val="left"/>
      <w:pPr>
        <w:tabs>
          <w:tab w:val="num" w:pos="720"/>
        </w:tabs>
        <w:ind w:left="720" w:hanging="360"/>
      </w:pPr>
      <w:rPr>
        <w:rFonts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31D77"/>
    <w:multiLevelType w:val="hybridMultilevel"/>
    <w:tmpl w:val="4FC0DB90"/>
    <w:lvl w:ilvl="0" w:tplc="E47ABB02">
      <w:start w:val="1"/>
      <w:numFmt w:val="lowerLetter"/>
      <w:lvlText w:val="%1."/>
      <w:lvlJc w:val="left"/>
      <w:pPr>
        <w:tabs>
          <w:tab w:val="num" w:pos="2520"/>
        </w:tabs>
        <w:ind w:left="2520" w:hanging="360"/>
      </w:pPr>
      <w:rPr>
        <w:rFonts w:cs="Times New Roman"/>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670B32"/>
    <w:multiLevelType w:val="hybridMultilevel"/>
    <w:tmpl w:val="7A3CB090"/>
    <w:lvl w:ilvl="0" w:tplc="45CAE0DA">
      <w:start w:val="26"/>
      <w:numFmt w:val="decimal"/>
      <w:lvlText w:val="%1."/>
      <w:lvlJc w:val="left"/>
      <w:pPr>
        <w:ind w:left="1080" w:hanging="360"/>
      </w:pPr>
      <w:rPr>
        <w:rFonts w:hint="default"/>
        <w:b w:val="0"/>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rPr>
        <w:rFonts w:cs="Times New Roman"/>
      </w:rPr>
    </w:lvl>
  </w:abstractNum>
  <w:abstractNum w:abstractNumId="19" w15:restartNumberingAfterBreak="0">
    <w:nsid w:val="687340E0"/>
    <w:multiLevelType w:val="hybridMultilevel"/>
    <w:tmpl w:val="069E173C"/>
    <w:lvl w:ilvl="0" w:tplc="58EA6FB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2561EC1"/>
    <w:multiLevelType w:val="hybridMultilevel"/>
    <w:tmpl w:val="E9E45498"/>
    <w:lvl w:ilvl="0" w:tplc="04090017">
      <w:start w:val="1"/>
      <w:numFmt w:val="lowerLetter"/>
      <w:lvlText w:val="%1)"/>
      <w:lvlJc w:val="left"/>
      <w:pPr>
        <w:ind w:left="1890" w:hanging="360"/>
      </w:pPr>
      <w:rPr>
        <w:rFonts w:cs="Times New Roman"/>
        <w:b w:val="0"/>
        <w:i w:val="0"/>
      </w:rPr>
    </w:lvl>
    <w:lvl w:ilvl="1" w:tplc="FFFFFFFF">
      <w:start w:val="1"/>
      <w:numFmt w:val="lowerLetter"/>
      <w:lvlText w:val="%2."/>
      <w:lvlJc w:val="left"/>
      <w:pPr>
        <w:ind w:left="2610" w:hanging="360"/>
      </w:pPr>
      <w:rPr>
        <w:rFonts w:cs="Times New Roman"/>
      </w:rPr>
    </w:lvl>
    <w:lvl w:ilvl="2" w:tplc="FFFFFFFF">
      <w:start w:val="1"/>
      <w:numFmt w:val="lowerRoman"/>
      <w:lvlText w:val="%3."/>
      <w:lvlJc w:val="right"/>
      <w:pPr>
        <w:ind w:left="3330" w:hanging="180"/>
      </w:pPr>
      <w:rPr>
        <w:rFonts w:cs="Times New Roman"/>
      </w:rPr>
    </w:lvl>
    <w:lvl w:ilvl="3" w:tplc="FFFFFFFF">
      <w:start w:val="1"/>
      <w:numFmt w:val="decimal"/>
      <w:lvlText w:val="%4."/>
      <w:lvlJc w:val="left"/>
      <w:pPr>
        <w:ind w:left="4050" w:hanging="360"/>
      </w:pPr>
      <w:rPr>
        <w:rFonts w:cs="Times New Roman"/>
      </w:rPr>
    </w:lvl>
    <w:lvl w:ilvl="4" w:tplc="FFFFFFFF">
      <w:start w:val="1"/>
      <w:numFmt w:val="lowerLetter"/>
      <w:lvlText w:val="%5."/>
      <w:lvlJc w:val="left"/>
      <w:pPr>
        <w:ind w:left="4770" w:hanging="360"/>
      </w:pPr>
      <w:rPr>
        <w:rFonts w:cs="Times New Roman"/>
      </w:rPr>
    </w:lvl>
    <w:lvl w:ilvl="5" w:tplc="FFFFFFFF">
      <w:start w:val="1"/>
      <w:numFmt w:val="lowerRoman"/>
      <w:lvlText w:val="%6."/>
      <w:lvlJc w:val="right"/>
      <w:pPr>
        <w:ind w:left="5490" w:hanging="180"/>
      </w:pPr>
      <w:rPr>
        <w:rFonts w:cs="Times New Roman"/>
      </w:rPr>
    </w:lvl>
    <w:lvl w:ilvl="6" w:tplc="FFFFFFFF">
      <w:start w:val="1"/>
      <w:numFmt w:val="decimal"/>
      <w:lvlText w:val="%7."/>
      <w:lvlJc w:val="left"/>
      <w:pPr>
        <w:ind w:left="6210" w:hanging="360"/>
      </w:pPr>
      <w:rPr>
        <w:rFonts w:cs="Times New Roman"/>
      </w:rPr>
    </w:lvl>
    <w:lvl w:ilvl="7" w:tplc="FFFFFFFF">
      <w:start w:val="1"/>
      <w:numFmt w:val="lowerLetter"/>
      <w:lvlText w:val="%8."/>
      <w:lvlJc w:val="left"/>
      <w:pPr>
        <w:ind w:left="6930" w:hanging="360"/>
      </w:pPr>
      <w:rPr>
        <w:rFonts w:cs="Times New Roman"/>
      </w:rPr>
    </w:lvl>
    <w:lvl w:ilvl="8" w:tplc="FFFFFFFF">
      <w:start w:val="1"/>
      <w:numFmt w:val="lowerRoman"/>
      <w:lvlText w:val="%9."/>
      <w:lvlJc w:val="right"/>
      <w:pPr>
        <w:ind w:left="7650" w:hanging="180"/>
      </w:pPr>
      <w:rPr>
        <w:rFonts w:cs="Times New Roman"/>
      </w:rPr>
    </w:lvl>
  </w:abstractNum>
  <w:abstractNum w:abstractNumId="21" w15:restartNumberingAfterBreak="0">
    <w:nsid w:val="7A6C4927"/>
    <w:multiLevelType w:val="hybridMultilevel"/>
    <w:tmpl w:val="C726B1C4"/>
    <w:lvl w:ilvl="0" w:tplc="0C0A0017">
      <w:start w:val="4"/>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8"/>
  </w:num>
  <w:num w:numId="2">
    <w:abstractNumId w:val="9"/>
  </w:num>
  <w:num w:numId="3">
    <w:abstractNumId w:val="15"/>
  </w:num>
  <w:num w:numId="4">
    <w:abstractNumId w:val="6"/>
  </w:num>
  <w:num w:numId="5">
    <w:abstractNumId w:val="2"/>
  </w:num>
  <w:num w:numId="6">
    <w:abstractNumId w:val="12"/>
  </w:num>
  <w:num w:numId="7">
    <w:abstractNumId w:val="16"/>
  </w:num>
  <w:num w:numId="8">
    <w:abstractNumId w:val="1"/>
  </w:num>
  <w:num w:numId="9">
    <w:abstractNumId w:val="3"/>
  </w:num>
  <w:num w:numId="10">
    <w:abstractNumId w:val="14"/>
  </w:num>
  <w:num w:numId="11">
    <w:abstractNumId w:val="4"/>
  </w:num>
  <w:num w:numId="12">
    <w:abstractNumId w:val="19"/>
  </w:num>
  <w:num w:numId="13">
    <w:abstractNumId w:val="11"/>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num>
  <w:num w:numId="18">
    <w:abstractNumId w:val="8"/>
  </w:num>
  <w:num w:numId="19">
    <w:abstractNumId w:val="10"/>
  </w:num>
  <w:num w:numId="20">
    <w:abstractNumId w:val="0"/>
  </w:num>
  <w:num w:numId="21">
    <w:abstractNumId w:val="17"/>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6689C38-125D-430D-AA4E-4BEEE4E26886}"/>
    <w:docVar w:name="dgnword-eventsink" w:val="159396688"/>
  </w:docVars>
  <w:rsids>
    <w:rsidRoot w:val="003D1C12"/>
    <w:rsid w:val="00001807"/>
    <w:rsid w:val="00003F6B"/>
    <w:rsid w:val="000072C2"/>
    <w:rsid w:val="000078FB"/>
    <w:rsid w:val="00010F20"/>
    <w:rsid w:val="00011B00"/>
    <w:rsid w:val="000138CB"/>
    <w:rsid w:val="00014C5C"/>
    <w:rsid w:val="00016B23"/>
    <w:rsid w:val="00017432"/>
    <w:rsid w:val="00025C1E"/>
    <w:rsid w:val="000277E2"/>
    <w:rsid w:val="0003064E"/>
    <w:rsid w:val="000316DD"/>
    <w:rsid w:val="000330D4"/>
    <w:rsid w:val="000425AF"/>
    <w:rsid w:val="0004355D"/>
    <w:rsid w:val="000463C4"/>
    <w:rsid w:val="000475A6"/>
    <w:rsid w:val="00050C03"/>
    <w:rsid w:val="00050EF2"/>
    <w:rsid w:val="00052E40"/>
    <w:rsid w:val="000535E0"/>
    <w:rsid w:val="000634B7"/>
    <w:rsid w:val="0006496F"/>
    <w:rsid w:val="00065532"/>
    <w:rsid w:val="00074928"/>
    <w:rsid w:val="00075E95"/>
    <w:rsid w:val="00091E75"/>
    <w:rsid w:val="00094ADE"/>
    <w:rsid w:val="000958B9"/>
    <w:rsid w:val="0009736D"/>
    <w:rsid w:val="00097D71"/>
    <w:rsid w:val="000A1DC1"/>
    <w:rsid w:val="000A6307"/>
    <w:rsid w:val="000A660F"/>
    <w:rsid w:val="000B04DA"/>
    <w:rsid w:val="000B095D"/>
    <w:rsid w:val="000B6984"/>
    <w:rsid w:val="000C1156"/>
    <w:rsid w:val="000C462B"/>
    <w:rsid w:val="000C538E"/>
    <w:rsid w:val="000C7AFC"/>
    <w:rsid w:val="000D126A"/>
    <w:rsid w:val="000D29BB"/>
    <w:rsid w:val="000D4BEF"/>
    <w:rsid w:val="000D4D55"/>
    <w:rsid w:val="000D5BAD"/>
    <w:rsid w:val="000D5D89"/>
    <w:rsid w:val="000D6A0D"/>
    <w:rsid w:val="000E11D8"/>
    <w:rsid w:val="000E1C9C"/>
    <w:rsid w:val="000E27D6"/>
    <w:rsid w:val="000E5FB6"/>
    <w:rsid w:val="000E6488"/>
    <w:rsid w:val="000F03F0"/>
    <w:rsid w:val="000F1241"/>
    <w:rsid w:val="000F3D5B"/>
    <w:rsid w:val="000F68C2"/>
    <w:rsid w:val="000F6B0D"/>
    <w:rsid w:val="00100895"/>
    <w:rsid w:val="00103EB9"/>
    <w:rsid w:val="00110F7D"/>
    <w:rsid w:val="00112552"/>
    <w:rsid w:val="00121B0F"/>
    <w:rsid w:val="0012484F"/>
    <w:rsid w:val="00124EE1"/>
    <w:rsid w:val="00130A64"/>
    <w:rsid w:val="001313E2"/>
    <w:rsid w:val="00131F80"/>
    <w:rsid w:val="00134D8C"/>
    <w:rsid w:val="00135DAF"/>
    <w:rsid w:val="0014190D"/>
    <w:rsid w:val="0014301F"/>
    <w:rsid w:val="0015563F"/>
    <w:rsid w:val="00155AEF"/>
    <w:rsid w:val="00156327"/>
    <w:rsid w:val="001571EE"/>
    <w:rsid w:val="0015758E"/>
    <w:rsid w:val="00157FAC"/>
    <w:rsid w:val="00163885"/>
    <w:rsid w:val="001652ED"/>
    <w:rsid w:val="00165A16"/>
    <w:rsid w:val="00167175"/>
    <w:rsid w:val="00167239"/>
    <w:rsid w:val="00170AF1"/>
    <w:rsid w:val="00170C08"/>
    <w:rsid w:val="00185866"/>
    <w:rsid w:val="00187F22"/>
    <w:rsid w:val="00191EEE"/>
    <w:rsid w:val="00192641"/>
    <w:rsid w:val="00194194"/>
    <w:rsid w:val="001A0306"/>
    <w:rsid w:val="001A14F2"/>
    <w:rsid w:val="001A238A"/>
    <w:rsid w:val="001A32F8"/>
    <w:rsid w:val="001A7FD7"/>
    <w:rsid w:val="001B420C"/>
    <w:rsid w:val="001B7C74"/>
    <w:rsid w:val="001C0F76"/>
    <w:rsid w:val="001C3560"/>
    <w:rsid w:val="001D010A"/>
    <w:rsid w:val="001D0157"/>
    <w:rsid w:val="001D3281"/>
    <w:rsid w:val="001D3888"/>
    <w:rsid w:val="001D3DE3"/>
    <w:rsid w:val="001E0E01"/>
    <w:rsid w:val="001E3D82"/>
    <w:rsid w:val="001E4BCD"/>
    <w:rsid w:val="001E65A9"/>
    <w:rsid w:val="001E700F"/>
    <w:rsid w:val="001F329E"/>
    <w:rsid w:val="001F36F2"/>
    <w:rsid w:val="001F3EE5"/>
    <w:rsid w:val="001F7178"/>
    <w:rsid w:val="001F7E95"/>
    <w:rsid w:val="001F7EB9"/>
    <w:rsid w:val="002069FE"/>
    <w:rsid w:val="002076FA"/>
    <w:rsid w:val="00207E30"/>
    <w:rsid w:val="00210687"/>
    <w:rsid w:val="002106F3"/>
    <w:rsid w:val="00215B8F"/>
    <w:rsid w:val="00216406"/>
    <w:rsid w:val="00217072"/>
    <w:rsid w:val="00221E97"/>
    <w:rsid w:val="0022265C"/>
    <w:rsid w:val="0022379B"/>
    <w:rsid w:val="00232000"/>
    <w:rsid w:val="002369BA"/>
    <w:rsid w:val="00240916"/>
    <w:rsid w:val="00242F38"/>
    <w:rsid w:val="00265FE0"/>
    <w:rsid w:val="002779B2"/>
    <w:rsid w:val="00284779"/>
    <w:rsid w:val="002853BC"/>
    <w:rsid w:val="002927F6"/>
    <w:rsid w:val="00295EFC"/>
    <w:rsid w:val="002A0EAF"/>
    <w:rsid w:val="002B3C7D"/>
    <w:rsid w:val="002B5366"/>
    <w:rsid w:val="002C3596"/>
    <w:rsid w:val="002C3CE0"/>
    <w:rsid w:val="002D1A3D"/>
    <w:rsid w:val="002D3503"/>
    <w:rsid w:val="002D4627"/>
    <w:rsid w:val="002D7505"/>
    <w:rsid w:val="002E0CEF"/>
    <w:rsid w:val="002E2132"/>
    <w:rsid w:val="002E6059"/>
    <w:rsid w:val="002F23D2"/>
    <w:rsid w:val="002F74D9"/>
    <w:rsid w:val="003032EC"/>
    <w:rsid w:val="0030580D"/>
    <w:rsid w:val="00306632"/>
    <w:rsid w:val="0031243D"/>
    <w:rsid w:val="003131B6"/>
    <w:rsid w:val="00315109"/>
    <w:rsid w:val="003214C8"/>
    <w:rsid w:val="003274C1"/>
    <w:rsid w:val="00336305"/>
    <w:rsid w:val="00346698"/>
    <w:rsid w:val="00347C46"/>
    <w:rsid w:val="003514CE"/>
    <w:rsid w:val="00351F4E"/>
    <w:rsid w:val="00365F43"/>
    <w:rsid w:val="003676E2"/>
    <w:rsid w:val="00367A04"/>
    <w:rsid w:val="003728BA"/>
    <w:rsid w:val="003765DF"/>
    <w:rsid w:val="00377455"/>
    <w:rsid w:val="00384911"/>
    <w:rsid w:val="003865E3"/>
    <w:rsid w:val="003867AF"/>
    <w:rsid w:val="00386E64"/>
    <w:rsid w:val="0039435D"/>
    <w:rsid w:val="003972B9"/>
    <w:rsid w:val="003A0006"/>
    <w:rsid w:val="003A1796"/>
    <w:rsid w:val="003A44A2"/>
    <w:rsid w:val="003C6C99"/>
    <w:rsid w:val="003C7622"/>
    <w:rsid w:val="003D1828"/>
    <w:rsid w:val="003D1965"/>
    <w:rsid w:val="003D1C12"/>
    <w:rsid w:val="003D322A"/>
    <w:rsid w:val="003D4AD9"/>
    <w:rsid w:val="003D54EF"/>
    <w:rsid w:val="003D7014"/>
    <w:rsid w:val="003D7D64"/>
    <w:rsid w:val="003E2F25"/>
    <w:rsid w:val="003E3A17"/>
    <w:rsid w:val="003E79A7"/>
    <w:rsid w:val="003F0189"/>
    <w:rsid w:val="003F72A9"/>
    <w:rsid w:val="00401F64"/>
    <w:rsid w:val="0040348C"/>
    <w:rsid w:val="00403E46"/>
    <w:rsid w:val="00405244"/>
    <w:rsid w:val="00412C2B"/>
    <w:rsid w:val="00422EA9"/>
    <w:rsid w:val="004234B1"/>
    <w:rsid w:val="004362B1"/>
    <w:rsid w:val="0044368E"/>
    <w:rsid w:val="00445CCB"/>
    <w:rsid w:val="00450336"/>
    <w:rsid w:val="0046066F"/>
    <w:rsid w:val="00460F7D"/>
    <w:rsid w:val="004627D7"/>
    <w:rsid w:val="004711B8"/>
    <w:rsid w:val="00472F80"/>
    <w:rsid w:val="00473B22"/>
    <w:rsid w:val="0047503E"/>
    <w:rsid w:val="00475B75"/>
    <w:rsid w:val="00475EDF"/>
    <w:rsid w:val="00480831"/>
    <w:rsid w:val="00482578"/>
    <w:rsid w:val="00482ABA"/>
    <w:rsid w:val="0048319B"/>
    <w:rsid w:val="0048373B"/>
    <w:rsid w:val="00484E2E"/>
    <w:rsid w:val="004857A9"/>
    <w:rsid w:val="004A1867"/>
    <w:rsid w:val="004A63E1"/>
    <w:rsid w:val="004A740E"/>
    <w:rsid w:val="004B6265"/>
    <w:rsid w:val="004C291F"/>
    <w:rsid w:val="004C4FF1"/>
    <w:rsid w:val="004D343B"/>
    <w:rsid w:val="004D64BE"/>
    <w:rsid w:val="004E0BE6"/>
    <w:rsid w:val="004E3E57"/>
    <w:rsid w:val="004E432F"/>
    <w:rsid w:val="004E47B7"/>
    <w:rsid w:val="004E4ECE"/>
    <w:rsid w:val="004E78C2"/>
    <w:rsid w:val="004F2468"/>
    <w:rsid w:val="004F2A2B"/>
    <w:rsid w:val="004F508E"/>
    <w:rsid w:val="004F5104"/>
    <w:rsid w:val="004F556B"/>
    <w:rsid w:val="004F7C3D"/>
    <w:rsid w:val="0050012F"/>
    <w:rsid w:val="00500D58"/>
    <w:rsid w:val="00501BE0"/>
    <w:rsid w:val="00502F15"/>
    <w:rsid w:val="005054C9"/>
    <w:rsid w:val="005114D8"/>
    <w:rsid w:val="005139D2"/>
    <w:rsid w:val="00513BCD"/>
    <w:rsid w:val="00513CAA"/>
    <w:rsid w:val="005150DD"/>
    <w:rsid w:val="00520E7E"/>
    <w:rsid w:val="00527792"/>
    <w:rsid w:val="005304B4"/>
    <w:rsid w:val="005319BC"/>
    <w:rsid w:val="005327E8"/>
    <w:rsid w:val="005334AF"/>
    <w:rsid w:val="005339A1"/>
    <w:rsid w:val="00533EB9"/>
    <w:rsid w:val="0053608B"/>
    <w:rsid w:val="005363A9"/>
    <w:rsid w:val="00537A63"/>
    <w:rsid w:val="0054337E"/>
    <w:rsid w:val="00544613"/>
    <w:rsid w:val="00550AD9"/>
    <w:rsid w:val="00551E18"/>
    <w:rsid w:val="00553CCE"/>
    <w:rsid w:val="00561BDC"/>
    <w:rsid w:val="0056252A"/>
    <w:rsid w:val="00564194"/>
    <w:rsid w:val="00571385"/>
    <w:rsid w:val="005727F0"/>
    <w:rsid w:val="005736AE"/>
    <w:rsid w:val="00573C6A"/>
    <w:rsid w:val="005807E9"/>
    <w:rsid w:val="00581F6A"/>
    <w:rsid w:val="005944E4"/>
    <w:rsid w:val="00594819"/>
    <w:rsid w:val="005956E7"/>
    <w:rsid w:val="005A2A69"/>
    <w:rsid w:val="005A3747"/>
    <w:rsid w:val="005A5B2D"/>
    <w:rsid w:val="005A5DAB"/>
    <w:rsid w:val="005B12EC"/>
    <w:rsid w:val="005B1400"/>
    <w:rsid w:val="005B1CB5"/>
    <w:rsid w:val="005B2700"/>
    <w:rsid w:val="005B3217"/>
    <w:rsid w:val="005C7EA1"/>
    <w:rsid w:val="005D147E"/>
    <w:rsid w:val="005D25EC"/>
    <w:rsid w:val="005D6029"/>
    <w:rsid w:val="005D7384"/>
    <w:rsid w:val="005E1E45"/>
    <w:rsid w:val="005E2047"/>
    <w:rsid w:val="005E25A8"/>
    <w:rsid w:val="005E6D53"/>
    <w:rsid w:val="005F4125"/>
    <w:rsid w:val="005F6F4D"/>
    <w:rsid w:val="00600A0B"/>
    <w:rsid w:val="00603988"/>
    <w:rsid w:val="006069E2"/>
    <w:rsid w:val="0061013A"/>
    <w:rsid w:val="006102EF"/>
    <w:rsid w:val="00612024"/>
    <w:rsid w:val="0061222B"/>
    <w:rsid w:val="00613A9B"/>
    <w:rsid w:val="006156BB"/>
    <w:rsid w:val="006205CB"/>
    <w:rsid w:val="0062309B"/>
    <w:rsid w:val="00637EE3"/>
    <w:rsid w:val="006412AF"/>
    <w:rsid w:val="00641E9C"/>
    <w:rsid w:val="00643153"/>
    <w:rsid w:val="0064316E"/>
    <w:rsid w:val="006433AE"/>
    <w:rsid w:val="0064593B"/>
    <w:rsid w:val="006462E6"/>
    <w:rsid w:val="006477CA"/>
    <w:rsid w:val="00650FD1"/>
    <w:rsid w:val="00653732"/>
    <w:rsid w:val="00661A69"/>
    <w:rsid w:val="00665007"/>
    <w:rsid w:val="00670CE9"/>
    <w:rsid w:val="00674FC5"/>
    <w:rsid w:val="00681BA0"/>
    <w:rsid w:val="00682DD8"/>
    <w:rsid w:val="00690D06"/>
    <w:rsid w:val="0069327B"/>
    <w:rsid w:val="00693E12"/>
    <w:rsid w:val="006A1087"/>
    <w:rsid w:val="006A3595"/>
    <w:rsid w:val="006A484A"/>
    <w:rsid w:val="006B391B"/>
    <w:rsid w:val="006B6700"/>
    <w:rsid w:val="006C3383"/>
    <w:rsid w:val="006D0425"/>
    <w:rsid w:val="006D3119"/>
    <w:rsid w:val="006D385B"/>
    <w:rsid w:val="006D3F7E"/>
    <w:rsid w:val="006D4853"/>
    <w:rsid w:val="006F10C5"/>
    <w:rsid w:val="006F26C4"/>
    <w:rsid w:val="006F2E63"/>
    <w:rsid w:val="006F67D1"/>
    <w:rsid w:val="00707134"/>
    <w:rsid w:val="00707FFD"/>
    <w:rsid w:val="00714A7A"/>
    <w:rsid w:val="007200A3"/>
    <w:rsid w:val="00720A06"/>
    <w:rsid w:val="0072227E"/>
    <w:rsid w:val="00724691"/>
    <w:rsid w:val="007268DC"/>
    <w:rsid w:val="007341E8"/>
    <w:rsid w:val="00736996"/>
    <w:rsid w:val="00737B18"/>
    <w:rsid w:val="00740F3C"/>
    <w:rsid w:val="00743C4A"/>
    <w:rsid w:val="00747491"/>
    <w:rsid w:val="00756F55"/>
    <w:rsid w:val="0075713E"/>
    <w:rsid w:val="0076032D"/>
    <w:rsid w:val="00761D80"/>
    <w:rsid w:val="0076317A"/>
    <w:rsid w:val="007635FE"/>
    <w:rsid w:val="00770371"/>
    <w:rsid w:val="00770B3B"/>
    <w:rsid w:val="00772FB5"/>
    <w:rsid w:val="007860B5"/>
    <w:rsid w:val="0079069B"/>
    <w:rsid w:val="007935D0"/>
    <w:rsid w:val="00796847"/>
    <w:rsid w:val="00796D94"/>
    <w:rsid w:val="007A006F"/>
    <w:rsid w:val="007A339F"/>
    <w:rsid w:val="007A398F"/>
    <w:rsid w:val="007A7171"/>
    <w:rsid w:val="007B131A"/>
    <w:rsid w:val="007B5B7F"/>
    <w:rsid w:val="007C040B"/>
    <w:rsid w:val="007C497B"/>
    <w:rsid w:val="007C4B01"/>
    <w:rsid w:val="007C4B76"/>
    <w:rsid w:val="007C5D88"/>
    <w:rsid w:val="007D19CB"/>
    <w:rsid w:val="007D47BD"/>
    <w:rsid w:val="007E14E8"/>
    <w:rsid w:val="007E1A31"/>
    <w:rsid w:val="007E42BF"/>
    <w:rsid w:val="007F0D54"/>
    <w:rsid w:val="007F0F5A"/>
    <w:rsid w:val="007F2EF6"/>
    <w:rsid w:val="008010D0"/>
    <w:rsid w:val="00802A1E"/>
    <w:rsid w:val="00802A8A"/>
    <w:rsid w:val="00810107"/>
    <w:rsid w:val="00814518"/>
    <w:rsid w:val="00822903"/>
    <w:rsid w:val="00825207"/>
    <w:rsid w:val="00826F0C"/>
    <w:rsid w:val="00831EA1"/>
    <w:rsid w:val="00832346"/>
    <w:rsid w:val="0083309E"/>
    <w:rsid w:val="00841DF6"/>
    <w:rsid w:val="00843403"/>
    <w:rsid w:val="00843778"/>
    <w:rsid w:val="0084534A"/>
    <w:rsid w:val="00852B31"/>
    <w:rsid w:val="0086016B"/>
    <w:rsid w:val="008601C4"/>
    <w:rsid w:val="0086416A"/>
    <w:rsid w:val="008644D5"/>
    <w:rsid w:val="00866613"/>
    <w:rsid w:val="00867337"/>
    <w:rsid w:val="00874BBB"/>
    <w:rsid w:val="00875658"/>
    <w:rsid w:val="0088356B"/>
    <w:rsid w:val="00890F89"/>
    <w:rsid w:val="0089341A"/>
    <w:rsid w:val="00897036"/>
    <w:rsid w:val="008A2CEC"/>
    <w:rsid w:val="008A4B6E"/>
    <w:rsid w:val="008A74FB"/>
    <w:rsid w:val="008B36A3"/>
    <w:rsid w:val="008B4413"/>
    <w:rsid w:val="008B48F1"/>
    <w:rsid w:val="008B6BAA"/>
    <w:rsid w:val="008B6F76"/>
    <w:rsid w:val="008B725B"/>
    <w:rsid w:val="008C2535"/>
    <w:rsid w:val="008C3662"/>
    <w:rsid w:val="008C4361"/>
    <w:rsid w:val="008C7F95"/>
    <w:rsid w:val="008D071C"/>
    <w:rsid w:val="008D1EB7"/>
    <w:rsid w:val="008D5BDB"/>
    <w:rsid w:val="008E04C4"/>
    <w:rsid w:val="008E10B9"/>
    <w:rsid w:val="008E596C"/>
    <w:rsid w:val="008E5E12"/>
    <w:rsid w:val="008E6B4E"/>
    <w:rsid w:val="008E6B87"/>
    <w:rsid w:val="00910FB7"/>
    <w:rsid w:val="00911090"/>
    <w:rsid w:val="00912D4D"/>
    <w:rsid w:val="009150E0"/>
    <w:rsid w:val="00915E39"/>
    <w:rsid w:val="00922E2C"/>
    <w:rsid w:val="00923242"/>
    <w:rsid w:val="00923E72"/>
    <w:rsid w:val="00924098"/>
    <w:rsid w:val="009272B3"/>
    <w:rsid w:val="00932237"/>
    <w:rsid w:val="00936015"/>
    <w:rsid w:val="009368BA"/>
    <w:rsid w:val="00936C6A"/>
    <w:rsid w:val="00936F72"/>
    <w:rsid w:val="0094229D"/>
    <w:rsid w:val="00944526"/>
    <w:rsid w:val="00945BAF"/>
    <w:rsid w:val="00947DA1"/>
    <w:rsid w:val="00950F88"/>
    <w:rsid w:val="0095149C"/>
    <w:rsid w:val="00953603"/>
    <w:rsid w:val="009538C9"/>
    <w:rsid w:val="0095562B"/>
    <w:rsid w:val="00955C4A"/>
    <w:rsid w:val="0095720B"/>
    <w:rsid w:val="00960417"/>
    <w:rsid w:val="00960E12"/>
    <w:rsid w:val="0096139D"/>
    <w:rsid w:val="00961D51"/>
    <w:rsid w:val="0096496F"/>
    <w:rsid w:val="00965410"/>
    <w:rsid w:val="0097790E"/>
    <w:rsid w:val="0097793C"/>
    <w:rsid w:val="00984E8F"/>
    <w:rsid w:val="0098530A"/>
    <w:rsid w:val="00985A6D"/>
    <w:rsid w:val="00985E49"/>
    <w:rsid w:val="009907C2"/>
    <w:rsid w:val="0099370C"/>
    <w:rsid w:val="00993945"/>
    <w:rsid w:val="00995501"/>
    <w:rsid w:val="009B30C0"/>
    <w:rsid w:val="009B7120"/>
    <w:rsid w:val="009C6832"/>
    <w:rsid w:val="009C7F31"/>
    <w:rsid w:val="009D3D85"/>
    <w:rsid w:val="009D4176"/>
    <w:rsid w:val="009D45FF"/>
    <w:rsid w:val="009D5C47"/>
    <w:rsid w:val="009E6C14"/>
    <w:rsid w:val="009F10DD"/>
    <w:rsid w:val="009F2471"/>
    <w:rsid w:val="009F491C"/>
    <w:rsid w:val="009F4A1E"/>
    <w:rsid w:val="009F558C"/>
    <w:rsid w:val="009F5F44"/>
    <w:rsid w:val="009F624A"/>
    <w:rsid w:val="00A1060B"/>
    <w:rsid w:val="00A11340"/>
    <w:rsid w:val="00A15569"/>
    <w:rsid w:val="00A1714E"/>
    <w:rsid w:val="00A208BD"/>
    <w:rsid w:val="00A235E2"/>
    <w:rsid w:val="00A33B5A"/>
    <w:rsid w:val="00A342A8"/>
    <w:rsid w:val="00A346D1"/>
    <w:rsid w:val="00A36760"/>
    <w:rsid w:val="00A36C29"/>
    <w:rsid w:val="00A40F3D"/>
    <w:rsid w:val="00A435A5"/>
    <w:rsid w:val="00A525AE"/>
    <w:rsid w:val="00A5695F"/>
    <w:rsid w:val="00A57093"/>
    <w:rsid w:val="00A60AD9"/>
    <w:rsid w:val="00A73BD3"/>
    <w:rsid w:val="00A76764"/>
    <w:rsid w:val="00A86457"/>
    <w:rsid w:val="00A905E4"/>
    <w:rsid w:val="00A94245"/>
    <w:rsid w:val="00AA2EB8"/>
    <w:rsid w:val="00AA54D0"/>
    <w:rsid w:val="00AB335B"/>
    <w:rsid w:val="00AD4681"/>
    <w:rsid w:val="00AD6735"/>
    <w:rsid w:val="00AD7FB8"/>
    <w:rsid w:val="00AE15DB"/>
    <w:rsid w:val="00AE25B1"/>
    <w:rsid w:val="00AE3392"/>
    <w:rsid w:val="00AE751D"/>
    <w:rsid w:val="00AF3E52"/>
    <w:rsid w:val="00AF4797"/>
    <w:rsid w:val="00AF6E7E"/>
    <w:rsid w:val="00B021BE"/>
    <w:rsid w:val="00B0668C"/>
    <w:rsid w:val="00B15B77"/>
    <w:rsid w:val="00B229C5"/>
    <w:rsid w:val="00B22C7E"/>
    <w:rsid w:val="00B3183B"/>
    <w:rsid w:val="00B340D3"/>
    <w:rsid w:val="00B34859"/>
    <w:rsid w:val="00B354A7"/>
    <w:rsid w:val="00B42B39"/>
    <w:rsid w:val="00B42EDF"/>
    <w:rsid w:val="00B45404"/>
    <w:rsid w:val="00B45730"/>
    <w:rsid w:val="00B4589E"/>
    <w:rsid w:val="00B47411"/>
    <w:rsid w:val="00B50B29"/>
    <w:rsid w:val="00B51A86"/>
    <w:rsid w:val="00B55D18"/>
    <w:rsid w:val="00B62D7F"/>
    <w:rsid w:val="00B63EE4"/>
    <w:rsid w:val="00B675C3"/>
    <w:rsid w:val="00B709B6"/>
    <w:rsid w:val="00B73D92"/>
    <w:rsid w:val="00B74F93"/>
    <w:rsid w:val="00B76B25"/>
    <w:rsid w:val="00B85E13"/>
    <w:rsid w:val="00B8647B"/>
    <w:rsid w:val="00B9069D"/>
    <w:rsid w:val="00B90F47"/>
    <w:rsid w:val="00B910CA"/>
    <w:rsid w:val="00B92C31"/>
    <w:rsid w:val="00B93152"/>
    <w:rsid w:val="00B95A78"/>
    <w:rsid w:val="00B95D07"/>
    <w:rsid w:val="00BB3A41"/>
    <w:rsid w:val="00BB5481"/>
    <w:rsid w:val="00BB5FC3"/>
    <w:rsid w:val="00BC5076"/>
    <w:rsid w:val="00BD01CA"/>
    <w:rsid w:val="00BD1950"/>
    <w:rsid w:val="00BD497E"/>
    <w:rsid w:val="00BE0AA1"/>
    <w:rsid w:val="00BE1F47"/>
    <w:rsid w:val="00BF15FB"/>
    <w:rsid w:val="00BF3364"/>
    <w:rsid w:val="00C019CC"/>
    <w:rsid w:val="00C05189"/>
    <w:rsid w:val="00C11E9B"/>
    <w:rsid w:val="00C13C3E"/>
    <w:rsid w:val="00C1462A"/>
    <w:rsid w:val="00C16616"/>
    <w:rsid w:val="00C17624"/>
    <w:rsid w:val="00C207ED"/>
    <w:rsid w:val="00C22BD2"/>
    <w:rsid w:val="00C24059"/>
    <w:rsid w:val="00C2574A"/>
    <w:rsid w:val="00C300FB"/>
    <w:rsid w:val="00C35612"/>
    <w:rsid w:val="00C42C3E"/>
    <w:rsid w:val="00C54FA2"/>
    <w:rsid w:val="00C55663"/>
    <w:rsid w:val="00C6440F"/>
    <w:rsid w:val="00C65463"/>
    <w:rsid w:val="00C65E3B"/>
    <w:rsid w:val="00C704DE"/>
    <w:rsid w:val="00C705D6"/>
    <w:rsid w:val="00C739E4"/>
    <w:rsid w:val="00C740BB"/>
    <w:rsid w:val="00C814BC"/>
    <w:rsid w:val="00C81948"/>
    <w:rsid w:val="00C827DF"/>
    <w:rsid w:val="00C8299E"/>
    <w:rsid w:val="00C876AE"/>
    <w:rsid w:val="00C879DA"/>
    <w:rsid w:val="00C90C28"/>
    <w:rsid w:val="00C95839"/>
    <w:rsid w:val="00C95AE0"/>
    <w:rsid w:val="00CA1022"/>
    <w:rsid w:val="00CA177B"/>
    <w:rsid w:val="00CA21CA"/>
    <w:rsid w:val="00CA25AB"/>
    <w:rsid w:val="00CA47C2"/>
    <w:rsid w:val="00CB2F0B"/>
    <w:rsid w:val="00CB5CD2"/>
    <w:rsid w:val="00CB7DF8"/>
    <w:rsid w:val="00CD02CE"/>
    <w:rsid w:val="00CD48CB"/>
    <w:rsid w:val="00CE67B0"/>
    <w:rsid w:val="00CF2947"/>
    <w:rsid w:val="00CF7FEE"/>
    <w:rsid w:val="00D00A5B"/>
    <w:rsid w:val="00D00F16"/>
    <w:rsid w:val="00D027B1"/>
    <w:rsid w:val="00D06CDB"/>
    <w:rsid w:val="00D0719A"/>
    <w:rsid w:val="00D11AC0"/>
    <w:rsid w:val="00D12F49"/>
    <w:rsid w:val="00D14D8F"/>
    <w:rsid w:val="00D1532A"/>
    <w:rsid w:val="00D2310A"/>
    <w:rsid w:val="00D2387A"/>
    <w:rsid w:val="00D24D47"/>
    <w:rsid w:val="00D32866"/>
    <w:rsid w:val="00D34C4E"/>
    <w:rsid w:val="00D35C2E"/>
    <w:rsid w:val="00D364DC"/>
    <w:rsid w:val="00D37852"/>
    <w:rsid w:val="00D4495A"/>
    <w:rsid w:val="00D526C4"/>
    <w:rsid w:val="00D61A33"/>
    <w:rsid w:val="00D653F5"/>
    <w:rsid w:val="00D67BE6"/>
    <w:rsid w:val="00D76429"/>
    <w:rsid w:val="00D76F62"/>
    <w:rsid w:val="00D772A7"/>
    <w:rsid w:val="00D8621D"/>
    <w:rsid w:val="00D94689"/>
    <w:rsid w:val="00D949DA"/>
    <w:rsid w:val="00D94A01"/>
    <w:rsid w:val="00D96120"/>
    <w:rsid w:val="00D9670B"/>
    <w:rsid w:val="00DA1FD5"/>
    <w:rsid w:val="00DA28A5"/>
    <w:rsid w:val="00DA4554"/>
    <w:rsid w:val="00DA679D"/>
    <w:rsid w:val="00DB17D2"/>
    <w:rsid w:val="00DC0E1C"/>
    <w:rsid w:val="00DD2135"/>
    <w:rsid w:val="00DD2FA6"/>
    <w:rsid w:val="00DD541D"/>
    <w:rsid w:val="00DD6ECE"/>
    <w:rsid w:val="00DE013E"/>
    <w:rsid w:val="00DE7FC1"/>
    <w:rsid w:val="00DF35C6"/>
    <w:rsid w:val="00DF5BED"/>
    <w:rsid w:val="00E014BC"/>
    <w:rsid w:val="00E01A2B"/>
    <w:rsid w:val="00E05461"/>
    <w:rsid w:val="00E100D0"/>
    <w:rsid w:val="00E10654"/>
    <w:rsid w:val="00E11EAC"/>
    <w:rsid w:val="00E2447C"/>
    <w:rsid w:val="00E31E8E"/>
    <w:rsid w:val="00E32C3B"/>
    <w:rsid w:val="00E34BFA"/>
    <w:rsid w:val="00E364C4"/>
    <w:rsid w:val="00E461BA"/>
    <w:rsid w:val="00E47900"/>
    <w:rsid w:val="00E50B3E"/>
    <w:rsid w:val="00E55291"/>
    <w:rsid w:val="00E570A9"/>
    <w:rsid w:val="00E604CA"/>
    <w:rsid w:val="00E61ED1"/>
    <w:rsid w:val="00E63353"/>
    <w:rsid w:val="00E735E8"/>
    <w:rsid w:val="00E7438F"/>
    <w:rsid w:val="00E805AC"/>
    <w:rsid w:val="00E87552"/>
    <w:rsid w:val="00E9377C"/>
    <w:rsid w:val="00E93C73"/>
    <w:rsid w:val="00E94464"/>
    <w:rsid w:val="00E945F4"/>
    <w:rsid w:val="00E94A7D"/>
    <w:rsid w:val="00E94BB9"/>
    <w:rsid w:val="00E9652A"/>
    <w:rsid w:val="00E96A8A"/>
    <w:rsid w:val="00E97766"/>
    <w:rsid w:val="00EA5B82"/>
    <w:rsid w:val="00EA684E"/>
    <w:rsid w:val="00EA7930"/>
    <w:rsid w:val="00EB11DD"/>
    <w:rsid w:val="00EB403D"/>
    <w:rsid w:val="00EB5F51"/>
    <w:rsid w:val="00EC08B9"/>
    <w:rsid w:val="00EC6ACE"/>
    <w:rsid w:val="00ED0EB3"/>
    <w:rsid w:val="00EE41A1"/>
    <w:rsid w:val="00EE605C"/>
    <w:rsid w:val="00EE689F"/>
    <w:rsid w:val="00EF3369"/>
    <w:rsid w:val="00EF5DB8"/>
    <w:rsid w:val="00EF6D5C"/>
    <w:rsid w:val="00EF779D"/>
    <w:rsid w:val="00F008C4"/>
    <w:rsid w:val="00F00AAA"/>
    <w:rsid w:val="00F00CD8"/>
    <w:rsid w:val="00F03D12"/>
    <w:rsid w:val="00F062BB"/>
    <w:rsid w:val="00F11D2B"/>
    <w:rsid w:val="00F135A4"/>
    <w:rsid w:val="00F14512"/>
    <w:rsid w:val="00F17DD0"/>
    <w:rsid w:val="00F200D7"/>
    <w:rsid w:val="00F23CDE"/>
    <w:rsid w:val="00F245C3"/>
    <w:rsid w:val="00F27C6B"/>
    <w:rsid w:val="00F30508"/>
    <w:rsid w:val="00F37507"/>
    <w:rsid w:val="00F41D16"/>
    <w:rsid w:val="00F423D5"/>
    <w:rsid w:val="00F440AE"/>
    <w:rsid w:val="00F454E3"/>
    <w:rsid w:val="00F467C8"/>
    <w:rsid w:val="00F55A38"/>
    <w:rsid w:val="00F57759"/>
    <w:rsid w:val="00F57D0D"/>
    <w:rsid w:val="00F61A77"/>
    <w:rsid w:val="00F676FD"/>
    <w:rsid w:val="00F700A2"/>
    <w:rsid w:val="00F8524A"/>
    <w:rsid w:val="00F85CFE"/>
    <w:rsid w:val="00F86CBA"/>
    <w:rsid w:val="00F95C85"/>
    <w:rsid w:val="00FA37E3"/>
    <w:rsid w:val="00FB0DC4"/>
    <w:rsid w:val="00FB2112"/>
    <w:rsid w:val="00FB24AC"/>
    <w:rsid w:val="00FB583F"/>
    <w:rsid w:val="00FC40B7"/>
    <w:rsid w:val="00FC5B69"/>
    <w:rsid w:val="00FC6150"/>
    <w:rsid w:val="00FC77D1"/>
    <w:rsid w:val="00FD10EA"/>
    <w:rsid w:val="00FD1CB9"/>
    <w:rsid w:val="00FD419A"/>
    <w:rsid w:val="00FE0001"/>
    <w:rsid w:val="00FE1A44"/>
    <w:rsid w:val="00FE2B19"/>
    <w:rsid w:val="00FE38FE"/>
    <w:rsid w:val="00FF02AF"/>
    <w:rsid w:val="00FF164B"/>
    <w:rsid w:val="00FF1F66"/>
    <w:rsid w:val="00FF30F2"/>
    <w:rsid w:val="00FF31BC"/>
    <w:rsid w:val="00FF3B7E"/>
    <w:rsid w:val="00FF5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rPr>
  </w:style>
  <w:style w:type="paragraph" w:styleId="Heading1">
    <w:name w:val="heading 1"/>
    <w:basedOn w:val="Normal"/>
    <w:next w:val="Normal"/>
    <w:link w:val="Heading1Char"/>
    <w:qFormat/>
    <w:rsid w:val="000316DD"/>
    <w:pPr>
      <w:keepNext/>
      <w:spacing w:before="240" w:after="60"/>
      <w:outlineLvl w:val="0"/>
    </w:pPr>
    <w:rPr>
      <w:rFonts w:ascii="Cambria" w:hAnsi="Cambria"/>
      <w:b/>
      <w:kern w:val="32"/>
      <w:sz w:val="32"/>
    </w:rPr>
  </w:style>
  <w:style w:type="paragraph" w:styleId="Heading2">
    <w:name w:val="heading 2"/>
    <w:basedOn w:val="Normal"/>
    <w:next w:val="Normal"/>
    <w:link w:val="Heading2Char"/>
    <w:qFormat/>
    <w:pPr>
      <w:jc w:val="center"/>
      <w:outlineLvl w:val="1"/>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character" w:styleId="PageNumber">
    <w:name w:val="page number"/>
    <w:rPr>
      <w:rFonts w:ascii="Times New Roman" w:hAnsi="Times New Roman"/>
      <w:sz w:val="22"/>
      <w:lang w:val="es-ES" w:eastAsia="es-ES"/>
    </w:r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style>
  <w:style w:type="paragraph" w:customStyle="1" w:styleId="Heading">
    <w:name w:val="Heading"/>
    <w:basedOn w:val="Normal"/>
    <w:pPr>
      <w:tabs>
        <w:tab w:val="center" w:pos="2160"/>
        <w:tab w:val="left" w:pos="7200"/>
      </w:tabs>
      <w:jc w:val="left"/>
    </w:p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next w:val="Normal"/>
    <w:link w:val="FootnoteTextChar"/>
    <w:semiHidden/>
    <w:rPr>
      <w:sz w:val="20"/>
    </w:rPr>
  </w:style>
  <w:style w:type="character" w:styleId="FootnoteReference">
    <w:name w:val="footnote reference"/>
    <w:semiHidden/>
    <w:rPr>
      <w:vertAlign w:val="superscript"/>
      <w:lang w:val="es-ES" w:eastAsia="es-ES"/>
    </w:rPr>
  </w:style>
  <w:style w:type="paragraph" w:styleId="BodyText">
    <w:name w:val="Body Text"/>
    <w:basedOn w:val="Normal"/>
    <w:pPr>
      <w:spacing w:after="1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num" w:pos="1440"/>
      </w:tabs>
      <w:ind w:left="0" w:firstLine="720"/>
    </w:pPr>
  </w:style>
  <w:style w:type="paragraph" w:customStyle="1" w:styleId="Indenthangingnumerated">
    <w:name w:val="Indent hanging numerated"/>
    <w:basedOn w:val="Normal"/>
    <w:pPr>
      <w:numPr>
        <w:numId w:val="2"/>
      </w:numPr>
    </w:pPr>
  </w:style>
  <w:style w:type="paragraph" w:customStyle="1" w:styleId="Blockquote">
    <w:name w:val="Blockquote"/>
    <w:basedOn w:val="Normal"/>
    <w:pPr>
      <w:spacing w:before="100" w:after="100"/>
      <w:ind w:left="360" w:right="360"/>
      <w:jc w:val="left"/>
    </w:pPr>
    <w:rPr>
      <w:rFonts w:eastAsia="MS Mincho"/>
      <w:sz w:val="24"/>
      <w:szCs w:val="24"/>
    </w:rPr>
  </w:style>
  <w:style w:type="character" w:customStyle="1" w:styleId="tw4winMark">
    <w:name w:val="tw4winMark"/>
    <w:rPr>
      <w:rFonts w:ascii="Courier New" w:hAnsi="Courier New"/>
      <w:vanish/>
      <w:color w:val="800080"/>
      <w:sz w:val="24"/>
      <w:vertAlign w:val="subscript"/>
      <w:lang w:val="es-ES" w:eastAsia="es-ES"/>
    </w:rPr>
  </w:style>
  <w:style w:type="paragraph" w:styleId="TOC1">
    <w:name w:val="toc 1"/>
    <w:basedOn w:val="Normal"/>
    <w:next w:val="Normal"/>
    <w:autoRedefine/>
    <w:semiHidden/>
    <w:pPr>
      <w:tabs>
        <w:tab w:val="left" w:pos="3240"/>
      </w:tabs>
      <w:ind w:left="3240" w:right="-29" w:hanging="3240"/>
    </w:pPr>
    <w:rPr>
      <w:szCs w:val="22"/>
    </w:r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NormalWeb">
    <w:name w:val="Normal (Web)"/>
    <w:basedOn w:val="Normal"/>
    <w:uiPriority w:val="99"/>
    <w:pPr>
      <w:spacing w:before="100" w:beforeAutospacing="1" w:after="100" w:afterAutospacing="1"/>
      <w:jc w:val="left"/>
    </w:pPr>
    <w:rPr>
      <w:sz w:val="24"/>
      <w:szCs w:val="24"/>
    </w:rPr>
  </w:style>
  <w:style w:type="paragraph" w:styleId="Index1">
    <w:name w:val="index 1"/>
    <w:basedOn w:val="Normal"/>
    <w:next w:val="Normal"/>
    <w:autoRedefine/>
    <w:semiHidden/>
    <w:pPr>
      <w:ind w:left="220" w:hanging="220"/>
      <w:jc w:val="left"/>
    </w:pPr>
  </w:style>
  <w:style w:type="character" w:styleId="Strong">
    <w:name w:val="Strong"/>
    <w:qFormat/>
    <w:rPr>
      <w:b/>
      <w:lang w:val="es-ES" w:eastAsia="es-ES"/>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keepNext/>
    </w:pPr>
    <w:rPr>
      <w:u w:val="single"/>
    </w:rPr>
  </w:style>
  <w:style w:type="character" w:styleId="Emphasis">
    <w:name w:val="Emphasis"/>
    <w:qFormat/>
    <w:rPr>
      <w:i/>
      <w:lang w:val="es-ES" w:eastAsia="es-ES"/>
    </w:rPr>
  </w:style>
  <w:style w:type="character" w:customStyle="1" w:styleId="tw4winError">
    <w:name w:val="tw4winError"/>
    <w:rPr>
      <w:rFonts w:ascii="Courier New" w:hAnsi="Courier New"/>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rFonts w:ascii="Courier New" w:hAnsi="Courier New"/>
      <w:noProof/>
      <w:color w:val="008000"/>
      <w:lang w:val="es-ES" w:eastAsia="es-ES"/>
    </w:rPr>
  </w:style>
  <w:style w:type="character" w:customStyle="1" w:styleId="tw4winJump">
    <w:name w:val="tw4winJump"/>
    <w:rPr>
      <w:rFonts w:ascii="Courier New" w:hAnsi="Courier New"/>
      <w:noProof/>
      <w:color w:val="008080"/>
      <w:lang w:val="es-ES" w:eastAsia="es-ES"/>
    </w:rPr>
  </w:style>
  <w:style w:type="character" w:customStyle="1" w:styleId="tw4winExternal">
    <w:name w:val="tw4winExternal"/>
    <w:rPr>
      <w:rFonts w:ascii="Courier New" w:hAnsi="Courier New"/>
      <w:noProof/>
      <w:color w:val="808080"/>
      <w:lang w:val="es-ES" w:eastAsia="es-ES"/>
    </w:rPr>
  </w:style>
  <w:style w:type="character" w:customStyle="1" w:styleId="tw4winInternal">
    <w:name w:val="tw4winInternal"/>
    <w:rPr>
      <w:rFonts w:ascii="Courier New" w:hAnsi="Courier New"/>
      <w:noProof/>
      <w:color w:val="FF0000"/>
      <w:lang w:val="es-ES" w:eastAsia="es-ES"/>
    </w:rPr>
  </w:style>
  <w:style w:type="character" w:customStyle="1" w:styleId="DONOTTRANSLATE">
    <w:name w:val="DO_NOT_TRANSLATE"/>
    <w:rPr>
      <w:rFonts w:ascii="Courier New" w:hAnsi="Courier New"/>
      <w:noProof/>
      <w:color w:val="800000"/>
      <w:lang w:val="es-ES" w:eastAsia="es-ES"/>
    </w:rPr>
  </w:style>
  <w:style w:type="character" w:styleId="Hyperlink">
    <w:name w:val="Hyperlink"/>
    <w:uiPriority w:val="99"/>
    <w:rPr>
      <w:color w:val="0000FF"/>
      <w:u w:val="single"/>
      <w:lang w:val="es-ES" w:eastAsia="es-ES"/>
    </w:rPr>
  </w:style>
  <w:style w:type="paragraph" w:customStyle="1" w:styleId="Bodytext1">
    <w:name w:val="Body text 1"/>
    <w:basedOn w:val="Normal"/>
    <w:semiHidden/>
    <w:pPr>
      <w:spacing w:after="120"/>
      <w:ind w:firstLine="720"/>
    </w:pPr>
  </w:style>
  <w:style w:type="character" w:styleId="CommentReference">
    <w:name w:val="annotation reference"/>
    <w:semiHidden/>
    <w:rPr>
      <w:sz w:val="16"/>
      <w:lang w:val="es-ES" w:eastAsia="es-ES"/>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style>
  <w:style w:type="paragraph" w:customStyle="1" w:styleId="CharChar2CharCarChar">
    <w:name w:val="Char Char2 Char Car Char"/>
    <w:basedOn w:val="Normal"/>
    <w:next w:val="Normal"/>
    <w:pPr>
      <w:spacing w:after="160" w:line="240" w:lineRule="exact"/>
      <w:jc w:val="left"/>
    </w:pPr>
    <w:rPr>
      <w:rFonts w:ascii="Tahoma" w:hAnsi="Tahoma"/>
      <w:sz w:val="24"/>
    </w:rPr>
  </w:style>
  <w:style w:type="paragraph" w:styleId="EndnoteText">
    <w:name w:val="endnote text"/>
    <w:basedOn w:val="Normal"/>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rPr>
  </w:style>
  <w:style w:type="character" w:customStyle="1" w:styleId="apple-converted-space">
    <w:name w:val="apple-converted-space"/>
  </w:style>
  <w:style w:type="paragraph" w:customStyle="1" w:styleId="CPClassification">
    <w:name w:val="CP Classification"/>
    <w:basedOn w:val="Normal"/>
    <w:pPr>
      <w:tabs>
        <w:tab w:val="center" w:pos="2160"/>
        <w:tab w:val="left" w:pos="7200"/>
      </w:tabs>
      <w:ind w:left="7200" w:right="-360"/>
    </w:pPr>
    <w:rPr>
      <w:rFonts w:eastAsia="Batang"/>
    </w:rPr>
  </w:style>
  <w:style w:type="character" w:customStyle="1" w:styleId="CharAttribute0">
    <w:name w:val="CharAttribute0"/>
    <w:rPr>
      <w:rFonts w:ascii="Times New Roman" w:hAnsi="Times New Roman"/>
      <w:lang w:val="es-ES" w:eastAsia="es-ES"/>
    </w:rPr>
  </w:style>
  <w:style w:type="paragraph" w:customStyle="1" w:styleId="ColorfulList-Accent12">
    <w:name w:val="Colorful List - Accent 12"/>
    <w:basedOn w:val="Normal"/>
    <w:pPr>
      <w:spacing w:after="200" w:line="276" w:lineRule="auto"/>
      <w:ind w:left="720"/>
      <w:jc w:val="left"/>
    </w:pPr>
    <w:rPr>
      <w:rFonts w:ascii="Calibri" w:hAnsi="Calibri"/>
      <w:szCs w:val="22"/>
    </w:rPr>
  </w:style>
  <w:style w:type="character" w:customStyle="1" w:styleId="Heading2Char">
    <w:name w:val="Heading 2 Char"/>
    <w:link w:val="Heading2"/>
    <w:locked/>
    <w:rPr>
      <w:color w:val="000000"/>
      <w:sz w:val="26"/>
      <w:lang w:val="es-ES" w:eastAsia="es-ES"/>
    </w:rPr>
  </w:style>
  <w:style w:type="character" w:styleId="FollowedHyperlink">
    <w:name w:val="FollowedHyperlink"/>
    <w:rPr>
      <w:color w:val="800080"/>
      <w:u w:val="single"/>
      <w:lang w:val="es-ES" w:eastAsia="es-ES"/>
    </w:rPr>
  </w:style>
  <w:style w:type="character" w:customStyle="1" w:styleId="HeaderChar">
    <w:name w:val="Header Char"/>
    <w:aliases w:val="encabezado Char"/>
    <w:link w:val="Header"/>
    <w:locked/>
    <w:rsid w:val="004F5104"/>
    <w:rPr>
      <w:sz w:val="22"/>
      <w:lang w:val="es-ES" w:eastAsia="es-ES"/>
    </w:rPr>
  </w:style>
  <w:style w:type="character" w:customStyle="1" w:styleId="Heading1Char">
    <w:name w:val="Heading 1 Char"/>
    <w:link w:val="Heading1"/>
    <w:locked/>
    <w:rsid w:val="000316DD"/>
    <w:rPr>
      <w:rFonts w:ascii="Cambria" w:eastAsia="Times New Roman" w:hAnsi="Cambria"/>
      <w:b/>
      <w:kern w:val="32"/>
      <w:sz w:val="32"/>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locked/>
    <w:rsid w:val="0014190D"/>
    <w:rPr>
      <w:lang w:val="es-ES" w:eastAsia="es-ES"/>
    </w:rPr>
  </w:style>
  <w:style w:type="paragraph" w:styleId="Date">
    <w:name w:val="Date"/>
    <w:basedOn w:val="Normal"/>
    <w:next w:val="Normal"/>
    <w:link w:val="DateChar"/>
    <w:rsid w:val="0014190D"/>
    <w:pPr>
      <w:jc w:val="right"/>
    </w:pPr>
    <w:rPr>
      <w:sz w:val="20"/>
      <w:lang w:eastAsia="es-ES_tradnl"/>
    </w:rPr>
  </w:style>
  <w:style w:type="character" w:customStyle="1" w:styleId="DateChar">
    <w:name w:val="Date Char"/>
    <w:link w:val="Date"/>
    <w:locked/>
    <w:rsid w:val="0014190D"/>
    <w:rPr>
      <w:lang w:val="es-ES" w:eastAsia="x-none"/>
    </w:rPr>
  </w:style>
  <w:style w:type="paragraph" w:styleId="ListParagraph">
    <w:name w:val="List Paragraph"/>
    <w:basedOn w:val="Normal"/>
    <w:qFormat/>
    <w:rsid w:val="0014190D"/>
    <w:pPr>
      <w:ind w:left="720"/>
      <w:contextualSpacing/>
      <w:jc w:val="left"/>
    </w:pPr>
    <w:rPr>
      <w:sz w:val="24"/>
      <w:szCs w:val="24"/>
      <w:lang w:eastAsia="es-ES_tradnl"/>
    </w:rPr>
  </w:style>
  <w:style w:type="paragraph" w:styleId="BodyTextIndent3">
    <w:name w:val="Body Text Indent 3"/>
    <w:basedOn w:val="Normal"/>
    <w:link w:val="BodyTextIndent3Char"/>
    <w:rsid w:val="0014190D"/>
    <w:pPr>
      <w:spacing w:after="120"/>
      <w:ind w:left="360"/>
    </w:pPr>
    <w:rPr>
      <w:sz w:val="16"/>
      <w:szCs w:val="16"/>
    </w:rPr>
  </w:style>
  <w:style w:type="character" w:customStyle="1" w:styleId="BodyTextIndent3Char">
    <w:name w:val="Body Text Indent 3 Char"/>
    <w:link w:val="BodyTextIndent3"/>
    <w:locked/>
    <w:rsid w:val="0014190D"/>
    <w:rPr>
      <w:sz w:val="16"/>
      <w:lang w:val="es-ES" w:eastAsia="es-ES"/>
    </w:rPr>
  </w:style>
  <w:style w:type="paragraph" w:styleId="Revision">
    <w:name w:val="Revision"/>
    <w:hidden/>
    <w:uiPriority w:val="99"/>
    <w:semiHidden/>
    <w:rsid w:val="005B12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8738">
      <w:bodyDiv w:val="1"/>
      <w:marLeft w:val="0"/>
      <w:marRight w:val="0"/>
      <w:marTop w:val="0"/>
      <w:marBottom w:val="0"/>
      <w:divBdr>
        <w:top w:val="none" w:sz="0" w:space="0" w:color="auto"/>
        <w:left w:val="none" w:sz="0" w:space="0" w:color="auto"/>
        <w:bottom w:val="none" w:sz="0" w:space="0" w:color="auto"/>
        <w:right w:val="none" w:sz="0" w:space="0" w:color="auto"/>
      </w:divBdr>
    </w:div>
    <w:div w:id="55246929">
      <w:bodyDiv w:val="1"/>
      <w:marLeft w:val="0"/>
      <w:marRight w:val="0"/>
      <w:marTop w:val="0"/>
      <w:marBottom w:val="0"/>
      <w:divBdr>
        <w:top w:val="none" w:sz="0" w:space="0" w:color="auto"/>
        <w:left w:val="none" w:sz="0" w:space="0" w:color="auto"/>
        <w:bottom w:val="none" w:sz="0" w:space="0" w:color="auto"/>
        <w:right w:val="none" w:sz="0" w:space="0" w:color="auto"/>
      </w:divBdr>
    </w:div>
    <w:div w:id="194655060">
      <w:bodyDiv w:val="1"/>
      <w:marLeft w:val="0"/>
      <w:marRight w:val="0"/>
      <w:marTop w:val="0"/>
      <w:marBottom w:val="0"/>
      <w:divBdr>
        <w:top w:val="none" w:sz="0" w:space="0" w:color="auto"/>
        <w:left w:val="none" w:sz="0" w:space="0" w:color="auto"/>
        <w:bottom w:val="none" w:sz="0" w:space="0" w:color="auto"/>
        <w:right w:val="none" w:sz="0" w:space="0" w:color="auto"/>
      </w:divBdr>
    </w:div>
    <w:div w:id="726808231">
      <w:bodyDiv w:val="1"/>
      <w:marLeft w:val="0"/>
      <w:marRight w:val="0"/>
      <w:marTop w:val="0"/>
      <w:marBottom w:val="0"/>
      <w:divBdr>
        <w:top w:val="none" w:sz="0" w:space="0" w:color="auto"/>
        <w:left w:val="none" w:sz="0" w:space="0" w:color="auto"/>
        <w:bottom w:val="none" w:sz="0" w:space="0" w:color="auto"/>
        <w:right w:val="none" w:sz="0" w:space="0" w:color="auto"/>
      </w:divBdr>
    </w:div>
    <w:div w:id="749692739">
      <w:bodyDiv w:val="1"/>
      <w:marLeft w:val="0"/>
      <w:marRight w:val="0"/>
      <w:marTop w:val="0"/>
      <w:marBottom w:val="0"/>
      <w:divBdr>
        <w:top w:val="none" w:sz="0" w:space="0" w:color="auto"/>
        <w:left w:val="none" w:sz="0" w:space="0" w:color="auto"/>
        <w:bottom w:val="none" w:sz="0" w:space="0" w:color="auto"/>
        <w:right w:val="none" w:sz="0" w:space="0" w:color="auto"/>
      </w:divBdr>
    </w:div>
    <w:div w:id="785974703">
      <w:bodyDiv w:val="1"/>
      <w:marLeft w:val="0"/>
      <w:marRight w:val="0"/>
      <w:marTop w:val="0"/>
      <w:marBottom w:val="0"/>
      <w:divBdr>
        <w:top w:val="none" w:sz="0" w:space="0" w:color="auto"/>
        <w:left w:val="none" w:sz="0" w:space="0" w:color="auto"/>
        <w:bottom w:val="none" w:sz="0" w:space="0" w:color="auto"/>
        <w:right w:val="none" w:sz="0" w:space="0" w:color="auto"/>
      </w:divBdr>
    </w:div>
    <w:div w:id="983772926">
      <w:bodyDiv w:val="1"/>
      <w:marLeft w:val="0"/>
      <w:marRight w:val="0"/>
      <w:marTop w:val="0"/>
      <w:marBottom w:val="0"/>
      <w:divBdr>
        <w:top w:val="none" w:sz="0" w:space="0" w:color="auto"/>
        <w:left w:val="none" w:sz="0" w:space="0" w:color="auto"/>
        <w:bottom w:val="none" w:sz="0" w:space="0" w:color="auto"/>
        <w:right w:val="none" w:sz="0" w:space="0" w:color="auto"/>
      </w:divBdr>
    </w:div>
    <w:div w:id="1351225414">
      <w:bodyDiv w:val="1"/>
      <w:marLeft w:val="0"/>
      <w:marRight w:val="0"/>
      <w:marTop w:val="0"/>
      <w:marBottom w:val="0"/>
      <w:divBdr>
        <w:top w:val="none" w:sz="0" w:space="0" w:color="auto"/>
        <w:left w:val="none" w:sz="0" w:space="0" w:color="auto"/>
        <w:bottom w:val="none" w:sz="0" w:space="0" w:color="auto"/>
        <w:right w:val="none" w:sz="0" w:space="0" w:color="auto"/>
      </w:divBdr>
    </w:div>
    <w:div w:id="1614439048">
      <w:bodyDiv w:val="1"/>
      <w:marLeft w:val="0"/>
      <w:marRight w:val="0"/>
      <w:marTop w:val="0"/>
      <w:marBottom w:val="0"/>
      <w:divBdr>
        <w:top w:val="none" w:sz="0" w:space="0" w:color="auto"/>
        <w:left w:val="none" w:sz="0" w:space="0" w:color="auto"/>
        <w:bottom w:val="none" w:sz="0" w:space="0" w:color="auto"/>
        <w:right w:val="none" w:sz="0" w:space="0" w:color="auto"/>
      </w:divBdr>
    </w:div>
    <w:div w:id="1622376281">
      <w:bodyDiv w:val="1"/>
      <w:marLeft w:val="0"/>
      <w:marRight w:val="0"/>
      <w:marTop w:val="0"/>
      <w:marBottom w:val="0"/>
      <w:divBdr>
        <w:top w:val="none" w:sz="0" w:space="0" w:color="auto"/>
        <w:left w:val="none" w:sz="0" w:space="0" w:color="auto"/>
        <w:bottom w:val="none" w:sz="0" w:space="0" w:color="auto"/>
        <w:right w:val="none" w:sz="0" w:space="0" w:color="auto"/>
      </w:divBdr>
    </w:div>
    <w:div w:id="1779714542">
      <w:bodyDiv w:val="1"/>
      <w:marLeft w:val="0"/>
      <w:marRight w:val="0"/>
      <w:marTop w:val="0"/>
      <w:marBottom w:val="0"/>
      <w:divBdr>
        <w:top w:val="none" w:sz="0" w:space="0" w:color="auto"/>
        <w:left w:val="none" w:sz="0" w:space="0" w:color="auto"/>
        <w:bottom w:val="none" w:sz="0" w:space="0" w:color="auto"/>
        <w:right w:val="none" w:sz="0" w:space="0" w:color="auto"/>
      </w:divBdr>
    </w:div>
    <w:div w:id="18679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doc_public/ENGLISH/HIST_21/CP43410E03.docx" TargetMode="External"/><Relationship Id="rId18" Type="http://schemas.openxmlformats.org/officeDocument/2006/relationships/hyperlink" Target="http://scm.oas.org/doc_public/french/HIST_17/AG07524f02.doc" TargetMode="External"/><Relationship Id="rId26" Type="http://schemas.openxmlformats.org/officeDocument/2006/relationships/hyperlink" Target="http://scm.oas.org/doc_public/SPANISH/HIST_20/CP42142S03.docx"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m.oas.org/doc_public/ENGLISH/HIST_20/CP41862E03.doc" TargetMode="External"/><Relationship Id="rId34" Type="http://schemas.openxmlformats.org/officeDocument/2006/relationships/hyperlink" Target="http://scm.oas.org/doc_public/english/HIST_20/CP42590e03.docx" TargetMode="External"/><Relationship Id="rId7" Type="http://schemas.openxmlformats.org/officeDocument/2006/relationships/settings" Target="settings.xml"/><Relationship Id="rId12" Type="http://schemas.openxmlformats.org/officeDocument/2006/relationships/hyperlink" Target="http://scm.oas.org/doc_public/french/HIST_20/CP42562f03.docx" TargetMode="External"/><Relationship Id="rId17" Type="http://schemas.openxmlformats.org/officeDocument/2006/relationships/hyperlink" Target="http://scm.oas.org/doc_public/SPANISH/HIST_17/AG07524S02.doc" TargetMode="External"/><Relationship Id="rId25" Type="http://schemas.openxmlformats.org/officeDocument/2006/relationships/hyperlink" Target="http://scm.oas.org/doc_public/ENGLISH/HIST_21/CP43389E03.docx" TargetMode="External"/><Relationship Id="rId33" Type="http://schemas.openxmlformats.org/officeDocument/2006/relationships/hyperlink" Target="http://scm.oas.org/doc_public/SPANISH/HIST_20/CP42590S03.doc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doc_public/french/HIST_17/AG07524f02.doc" TargetMode="External"/><Relationship Id="rId20" Type="http://schemas.openxmlformats.org/officeDocument/2006/relationships/hyperlink" Target="http://scm.oas.org/doc_public/ENGLISH/HIST_20/CP41852E03.doc" TargetMode="External"/><Relationship Id="rId29" Type="http://schemas.openxmlformats.org/officeDocument/2006/relationships/hyperlink" Target="http://scm.oas.org/doc_public/ENGLISH/HIST_19/CP41828E03.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french/HIST_20/CP43355f03.docx" TargetMode="External"/><Relationship Id="rId24" Type="http://schemas.openxmlformats.org/officeDocument/2006/relationships/hyperlink" Target="http://scm.oas.org/doc_public/ENGLISH/HIST_20/CP42396E08.docx" TargetMode="External"/><Relationship Id="rId32" Type="http://schemas.openxmlformats.org/officeDocument/2006/relationships/hyperlink" Target="http://scm.oas.org/doc_public/ENGLISH/HIST_20/CP42887E03.docx" TargetMode="External"/><Relationship Id="rId37" Type="http://schemas.openxmlformats.org/officeDocument/2006/relationships/hyperlink" Target="http://scm.oas.org/doc_public/ENGLISH/HIST_20/CP43357E06.doc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IDMS/Redirectpage.aspx?class=AG/RES.%20%20(LI-E/16)&amp;classNum=2&amp;lang=f" TargetMode="External"/><Relationship Id="rId23" Type="http://schemas.openxmlformats.org/officeDocument/2006/relationships/hyperlink" Target="http://scm.oas.org/doc_public/ENGLISH/HIST_20/CP41851E03.doc" TargetMode="External"/><Relationship Id="rId28" Type="http://schemas.openxmlformats.org/officeDocument/2006/relationships/hyperlink" Target="http://scm.oas.org/doc_public/ENGLISH/HIST_19/CP40469E03.doc" TargetMode="External"/><Relationship Id="rId36" Type="http://schemas.openxmlformats.org/officeDocument/2006/relationships/hyperlink" Target="http://scm.oas.org/doc_public/ENGLISH/HIST_20/CP43290E03.docx" TargetMode="External"/><Relationship Id="rId10" Type="http://schemas.openxmlformats.org/officeDocument/2006/relationships/endnotes" Target="endnotes.xml"/><Relationship Id="rId19" Type="http://schemas.openxmlformats.org/officeDocument/2006/relationships/hyperlink" Target="http://scm.oas.org/doc_public/english/HIST_07/AG03796e02.doc" TargetMode="External"/><Relationship Id="rId31" Type="http://schemas.openxmlformats.org/officeDocument/2006/relationships/hyperlink" Target="http://scm.oas.org/doc_public/ENGLISH/HIST_20/CP43228E0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spanish/HIST_20/CP43227s03.docx" TargetMode="External"/><Relationship Id="rId22" Type="http://schemas.openxmlformats.org/officeDocument/2006/relationships/hyperlink" Target="http://scm.oas.org/doc_public/ENGLISH/HIST_20/CP42271E03.docx" TargetMode="External"/><Relationship Id="rId27" Type="http://schemas.openxmlformats.org/officeDocument/2006/relationships/hyperlink" Target="http://scm.oas.org/doc_public/english/HIST_20/CP42142e03.docx" TargetMode="External"/><Relationship Id="rId30" Type="http://schemas.openxmlformats.org/officeDocument/2006/relationships/hyperlink" Target="http://scm.oas.org/IDMS/Redirectpage.aspx?class=CP/doc.&amp;classNum=5642&amp;lang=e" TargetMode="External"/><Relationship Id="rId35" Type="http://schemas.openxmlformats.org/officeDocument/2006/relationships/hyperlink" Target="http://scm.oas.org/doc_public/ENGLISH/HIST_20/CP42927E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0" ma:contentTypeDescription="Create a new document." ma:contentTypeScope="" ma:versionID="8fd9b962bdb1cd221ea243244d57c806">
  <xsd:schema xmlns:xsd="http://www.w3.org/2001/XMLSchema" xmlns:xs="http://www.w3.org/2001/XMLSchema" xmlns:p="http://schemas.microsoft.com/office/2006/metadata/properties" targetNamespace="http://schemas.microsoft.com/office/2006/metadata/properties" ma:root="true" ma:fieldsID="5f69826425b6045007d8217975f10d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435F-BDAA-40EA-AD48-E1056632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9E7C81-5E72-46B1-A5DF-83D17FB9B9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14FC33A-78B8-4B1F-A7B2-53356782C11E}">
  <ds:schemaRefs>
    <ds:schemaRef ds:uri="http://schemas.microsoft.com/sharepoint/v3/contenttype/forms"/>
  </ds:schemaRefs>
</ds:datastoreItem>
</file>

<file path=customXml/itemProps4.xml><?xml version="1.0" encoding="utf-8"?>
<ds:datastoreItem xmlns:ds="http://schemas.openxmlformats.org/officeDocument/2006/customXml" ds:itemID="{0A7C5F07-6B71-4EB2-ABAE-2EB995E5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6773</Words>
  <Characters>38611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45294</CharactersWithSpaces>
  <SharedDoc>false</SharedDoc>
  <HLinks>
    <vt:vector size="288" baseType="variant">
      <vt:variant>
        <vt:i4>589890</vt:i4>
      </vt:variant>
      <vt:variant>
        <vt:i4>141</vt:i4>
      </vt:variant>
      <vt:variant>
        <vt:i4>0</vt:i4>
      </vt:variant>
      <vt:variant>
        <vt:i4>5</vt:i4>
      </vt:variant>
      <vt:variant>
        <vt:lpwstr>http://scm.oas.org/doc_public/ENGLISH/HIST_19/CP41761E03.doc</vt:lpwstr>
      </vt:variant>
      <vt:variant>
        <vt:lpwstr/>
      </vt:variant>
      <vt:variant>
        <vt:i4>852042</vt:i4>
      </vt:variant>
      <vt:variant>
        <vt:i4>138</vt:i4>
      </vt:variant>
      <vt:variant>
        <vt:i4>0</vt:i4>
      </vt:variant>
      <vt:variant>
        <vt:i4>5</vt:i4>
      </vt:variant>
      <vt:variant>
        <vt:lpwstr>http://scm.oas.org/doc_public/ENGLISH/HIST_19/CP41729E03.doc</vt:lpwstr>
      </vt:variant>
      <vt:variant>
        <vt:lpwstr/>
      </vt:variant>
      <vt:variant>
        <vt:i4>917572</vt:i4>
      </vt:variant>
      <vt:variant>
        <vt:i4>135</vt:i4>
      </vt:variant>
      <vt:variant>
        <vt:i4>0</vt:i4>
      </vt:variant>
      <vt:variant>
        <vt:i4>5</vt:i4>
      </vt:variant>
      <vt:variant>
        <vt:lpwstr>http://scm.oas.org/doc_public/ENGLISH/HIST_19/CP41717E03.doc</vt:lpwstr>
      </vt:variant>
      <vt:variant>
        <vt:lpwstr/>
      </vt:variant>
      <vt:variant>
        <vt:i4>589894</vt:i4>
      </vt:variant>
      <vt:variant>
        <vt:i4>132</vt:i4>
      </vt:variant>
      <vt:variant>
        <vt:i4>0</vt:i4>
      </vt:variant>
      <vt:variant>
        <vt:i4>5</vt:i4>
      </vt:variant>
      <vt:variant>
        <vt:lpwstr>http://scm.oas.org/doc_public/ENGLISH/HIST_19/CP41664E03.doc</vt:lpwstr>
      </vt:variant>
      <vt:variant>
        <vt:lpwstr/>
      </vt:variant>
      <vt:variant>
        <vt:i4>786501</vt:i4>
      </vt:variant>
      <vt:variant>
        <vt:i4>129</vt:i4>
      </vt:variant>
      <vt:variant>
        <vt:i4>0</vt:i4>
      </vt:variant>
      <vt:variant>
        <vt:i4>5</vt:i4>
      </vt:variant>
      <vt:variant>
        <vt:lpwstr>http://scm.oas.org/doc_public/ENGLISH/HIST_19/CP41637E03.doc</vt:lpwstr>
      </vt:variant>
      <vt:variant>
        <vt:lpwstr/>
      </vt:variant>
      <vt:variant>
        <vt:i4>655429</vt:i4>
      </vt:variant>
      <vt:variant>
        <vt:i4>126</vt:i4>
      </vt:variant>
      <vt:variant>
        <vt:i4>0</vt:i4>
      </vt:variant>
      <vt:variant>
        <vt:i4>5</vt:i4>
      </vt:variant>
      <vt:variant>
        <vt:lpwstr>http://scm.oas.org/doc_public/ENGLISH/HIST_19/CP41455E03.doc</vt:lpwstr>
      </vt:variant>
      <vt:variant>
        <vt:lpwstr/>
      </vt:variant>
      <vt:variant>
        <vt:i4>655428</vt:i4>
      </vt:variant>
      <vt:variant>
        <vt:i4>123</vt:i4>
      </vt:variant>
      <vt:variant>
        <vt:i4>0</vt:i4>
      </vt:variant>
      <vt:variant>
        <vt:i4>5</vt:i4>
      </vt:variant>
      <vt:variant>
        <vt:lpwstr>http://scm.oas.org/doc_public/ENGLISH/HIST_19/CP41454E03.doc</vt:lpwstr>
      </vt:variant>
      <vt:variant>
        <vt:lpwstr/>
      </vt:variant>
      <vt:variant>
        <vt:i4>786507</vt:i4>
      </vt:variant>
      <vt:variant>
        <vt:i4>120</vt:i4>
      </vt:variant>
      <vt:variant>
        <vt:i4>0</vt:i4>
      </vt:variant>
      <vt:variant>
        <vt:i4>5</vt:i4>
      </vt:variant>
      <vt:variant>
        <vt:lpwstr>http://scm.oas.org/doc_public/ENGLISH/HIST_19/CP40926E03.doc</vt:lpwstr>
      </vt:variant>
      <vt:variant>
        <vt:lpwstr/>
      </vt:variant>
      <vt:variant>
        <vt:i4>393287</vt:i4>
      </vt:variant>
      <vt:variant>
        <vt:i4>117</vt:i4>
      </vt:variant>
      <vt:variant>
        <vt:i4>0</vt:i4>
      </vt:variant>
      <vt:variant>
        <vt:i4>5</vt:i4>
      </vt:variant>
      <vt:variant>
        <vt:lpwstr>http://scm.oas.org/doc_public/ENGLISH/HIST_19/CP40281E03.doc</vt:lpwstr>
      </vt:variant>
      <vt:variant>
        <vt:lpwstr/>
      </vt:variant>
      <vt:variant>
        <vt:i4>917569</vt:i4>
      </vt:variant>
      <vt:variant>
        <vt:i4>114</vt:i4>
      </vt:variant>
      <vt:variant>
        <vt:i4>0</vt:i4>
      </vt:variant>
      <vt:variant>
        <vt:i4>5</vt:i4>
      </vt:variant>
      <vt:variant>
        <vt:lpwstr>http://scm.oas.org/doc_public/ENGLISH/HIST_18/CP39794E03.doc</vt:lpwstr>
      </vt:variant>
      <vt:variant>
        <vt:lpwstr/>
      </vt:variant>
      <vt:variant>
        <vt:i4>852040</vt:i4>
      </vt:variant>
      <vt:variant>
        <vt:i4>111</vt:i4>
      </vt:variant>
      <vt:variant>
        <vt:i4>0</vt:i4>
      </vt:variant>
      <vt:variant>
        <vt:i4>5</vt:i4>
      </vt:variant>
      <vt:variant>
        <vt:lpwstr>http://scm.oas.org/doc_public/ENGLISH/HIST_19/CP41824E03.doc</vt:lpwstr>
      </vt:variant>
      <vt:variant>
        <vt:lpwstr/>
      </vt:variant>
      <vt:variant>
        <vt:i4>589898</vt:i4>
      </vt:variant>
      <vt:variant>
        <vt:i4>108</vt:i4>
      </vt:variant>
      <vt:variant>
        <vt:i4>0</vt:i4>
      </vt:variant>
      <vt:variant>
        <vt:i4>5</vt:i4>
      </vt:variant>
      <vt:variant>
        <vt:lpwstr>http://scm.oas.org/doc_public/ENGLISH/HIST_19/CP41769E03.doc</vt:lpwstr>
      </vt:variant>
      <vt:variant>
        <vt:lpwstr/>
      </vt:variant>
      <vt:variant>
        <vt:i4>589899</vt:i4>
      </vt:variant>
      <vt:variant>
        <vt:i4>105</vt:i4>
      </vt:variant>
      <vt:variant>
        <vt:i4>0</vt:i4>
      </vt:variant>
      <vt:variant>
        <vt:i4>5</vt:i4>
      </vt:variant>
      <vt:variant>
        <vt:lpwstr>http://scm.oas.org/doc_public/ENGLISH/HIST_19/CP41768E03.doc</vt:lpwstr>
      </vt:variant>
      <vt:variant>
        <vt:lpwstr/>
      </vt:variant>
      <vt:variant>
        <vt:i4>131152</vt:i4>
      </vt:variant>
      <vt:variant>
        <vt:i4>102</vt:i4>
      </vt:variant>
      <vt:variant>
        <vt:i4>0</vt:i4>
      </vt:variant>
      <vt:variant>
        <vt:i4>5</vt:i4>
      </vt:variant>
      <vt:variant>
        <vt:lpwstr>http://scm.oas.org/doc_public/SPANISH/HIST_19/CP41501T03.doc</vt:lpwstr>
      </vt:variant>
      <vt:variant>
        <vt:lpwstr/>
      </vt:variant>
      <vt:variant>
        <vt:i4>524359</vt:i4>
      </vt:variant>
      <vt:variant>
        <vt:i4>99</vt:i4>
      </vt:variant>
      <vt:variant>
        <vt:i4>0</vt:i4>
      </vt:variant>
      <vt:variant>
        <vt:i4>5</vt:i4>
      </vt:variant>
      <vt:variant>
        <vt:lpwstr>http://scm.oas.org/doc_public/ENGLISH/HIST_19/CP41073E03.doc</vt:lpwstr>
      </vt:variant>
      <vt:variant>
        <vt:lpwstr/>
      </vt:variant>
      <vt:variant>
        <vt:i4>786510</vt:i4>
      </vt:variant>
      <vt:variant>
        <vt:i4>96</vt:i4>
      </vt:variant>
      <vt:variant>
        <vt:i4>0</vt:i4>
      </vt:variant>
      <vt:variant>
        <vt:i4>5</vt:i4>
      </vt:variant>
      <vt:variant>
        <vt:lpwstr>http://scm.oas.org/doc_public/ENGLISH/HIST_19/CP40329E03.doc</vt:lpwstr>
      </vt:variant>
      <vt:variant>
        <vt:lpwstr/>
      </vt:variant>
      <vt:variant>
        <vt:i4>786511</vt:i4>
      </vt:variant>
      <vt:variant>
        <vt:i4>93</vt:i4>
      </vt:variant>
      <vt:variant>
        <vt:i4>0</vt:i4>
      </vt:variant>
      <vt:variant>
        <vt:i4>5</vt:i4>
      </vt:variant>
      <vt:variant>
        <vt:lpwstr>http://scm.oas.org/doc_public/ENGLISH/HIST_19/CP40328E03.doc</vt:lpwstr>
      </vt:variant>
      <vt:variant>
        <vt:lpwstr/>
      </vt:variant>
      <vt:variant>
        <vt:i4>458816</vt:i4>
      </vt:variant>
      <vt:variant>
        <vt:i4>90</vt:i4>
      </vt:variant>
      <vt:variant>
        <vt:i4>0</vt:i4>
      </vt:variant>
      <vt:variant>
        <vt:i4>5</vt:i4>
      </vt:variant>
      <vt:variant>
        <vt:lpwstr>http://scm.oas.org/doc_public/ENGLISH/HIST_19/CP40296E03.doc</vt:lpwstr>
      </vt:variant>
      <vt:variant>
        <vt:lpwstr/>
      </vt:variant>
      <vt:variant>
        <vt:i4>655447</vt:i4>
      </vt:variant>
      <vt:variant>
        <vt:i4>87</vt:i4>
      </vt:variant>
      <vt:variant>
        <vt:i4>0</vt:i4>
      </vt:variant>
      <vt:variant>
        <vt:i4>5</vt:i4>
      </vt:variant>
      <vt:variant>
        <vt:lpwstr>http://scm.oas.org/doc_public/SPANISH/HIST_19/CP40291T03.doc</vt:lpwstr>
      </vt:variant>
      <vt:variant>
        <vt:lpwstr/>
      </vt:variant>
      <vt:variant>
        <vt:i4>720960</vt:i4>
      </vt:variant>
      <vt:variant>
        <vt:i4>84</vt:i4>
      </vt:variant>
      <vt:variant>
        <vt:i4>0</vt:i4>
      </vt:variant>
      <vt:variant>
        <vt:i4>5</vt:i4>
      </vt:variant>
      <vt:variant>
        <vt:lpwstr>http://scm.oas.org/doc_public/ENGLISH/HIST_20/CP41875E03.doc</vt:lpwstr>
      </vt:variant>
      <vt:variant>
        <vt:lpwstr/>
      </vt:variant>
      <vt:variant>
        <vt:i4>917569</vt:i4>
      </vt:variant>
      <vt:variant>
        <vt:i4>81</vt:i4>
      </vt:variant>
      <vt:variant>
        <vt:i4>0</vt:i4>
      </vt:variant>
      <vt:variant>
        <vt:i4>5</vt:i4>
      </vt:variant>
      <vt:variant>
        <vt:lpwstr>http://scm.oas.org/doc_public/ENGLISH/HIST_19/CP41613E03.doc</vt:lpwstr>
      </vt:variant>
      <vt:variant>
        <vt:lpwstr/>
      </vt:variant>
      <vt:variant>
        <vt:i4>720966</vt:i4>
      </vt:variant>
      <vt:variant>
        <vt:i4>78</vt:i4>
      </vt:variant>
      <vt:variant>
        <vt:i4>0</vt:i4>
      </vt:variant>
      <vt:variant>
        <vt:i4>5</vt:i4>
      </vt:variant>
      <vt:variant>
        <vt:lpwstr>http://scm.oas.org/doc_public/ENGLISH/HIST_19/CP41436E04.doc</vt:lpwstr>
      </vt:variant>
      <vt:variant>
        <vt:lpwstr/>
      </vt:variant>
      <vt:variant>
        <vt:i4>655434</vt:i4>
      </vt:variant>
      <vt:variant>
        <vt:i4>75</vt:i4>
      </vt:variant>
      <vt:variant>
        <vt:i4>0</vt:i4>
      </vt:variant>
      <vt:variant>
        <vt:i4>5</vt:i4>
      </vt:variant>
      <vt:variant>
        <vt:lpwstr>http://scm.oas.org/doc_public/ENGLISH/HIST_19/CP40846E03.doc</vt:lpwstr>
      </vt:variant>
      <vt:variant>
        <vt:lpwstr/>
      </vt:variant>
      <vt:variant>
        <vt:i4>786501</vt:i4>
      </vt:variant>
      <vt:variant>
        <vt:i4>72</vt:i4>
      </vt:variant>
      <vt:variant>
        <vt:i4>0</vt:i4>
      </vt:variant>
      <vt:variant>
        <vt:i4>5</vt:i4>
      </vt:variant>
      <vt:variant>
        <vt:lpwstr>http://scm.oas.org/doc_public/ENGLISH/HIST_18/CP40121E03.doc</vt:lpwstr>
      </vt:variant>
      <vt:variant>
        <vt:lpwstr/>
      </vt:variant>
      <vt:variant>
        <vt:i4>917571</vt:i4>
      </vt:variant>
      <vt:variant>
        <vt:i4>69</vt:i4>
      </vt:variant>
      <vt:variant>
        <vt:i4>0</vt:i4>
      </vt:variant>
      <vt:variant>
        <vt:i4>5</vt:i4>
      </vt:variant>
      <vt:variant>
        <vt:lpwstr>http://scm.oas.org/doc_public/ENGLISH/HIST_19/CP41710E03.doc</vt:lpwstr>
      </vt:variant>
      <vt:variant>
        <vt:lpwstr/>
      </vt:variant>
      <vt:variant>
        <vt:i4>655438</vt:i4>
      </vt:variant>
      <vt:variant>
        <vt:i4>66</vt:i4>
      </vt:variant>
      <vt:variant>
        <vt:i4>0</vt:i4>
      </vt:variant>
      <vt:variant>
        <vt:i4>5</vt:i4>
      </vt:variant>
      <vt:variant>
        <vt:lpwstr>http://scm.oas.org/doc_public/ENGLISH/HIST_19/CP41359E03.doc</vt:lpwstr>
      </vt:variant>
      <vt:variant>
        <vt:lpwstr/>
      </vt:variant>
      <vt:variant>
        <vt:i4>524361</vt:i4>
      </vt:variant>
      <vt:variant>
        <vt:i4>63</vt:i4>
      </vt:variant>
      <vt:variant>
        <vt:i4>0</vt:i4>
      </vt:variant>
      <vt:variant>
        <vt:i4>5</vt:i4>
      </vt:variant>
      <vt:variant>
        <vt:lpwstr>http://scm.oas.org/doc_public/ENGLISH/HIST_19/CP40469E03.doc</vt:lpwstr>
      </vt:variant>
      <vt:variant>
        <vt:lpwstr/>
      </vt:variant>
      <vt:variant>
        <vt:i4>655436</vt:i4>
      </vt:variant>
      <vt:variant>
        <vt:i4>60</vt:i4>
      </vt:variant>
      <vt:variant>
        <vt:i4>0</vt:i4>
      </vt:variant>
      <vt:variant>
        <vt:i4>5</vt:i4>
      </vt:variant>
      <vt:variant>
        <vt:lpwstr>http://scm.oas.org/doc_public/ENGLISH/HIST_20/CP41869E03.doc</vt:lpwstr>
      </vt:variant>
      <vt:variant>
        <vt:lpwstr/>
      </vt:variant>
      <vt:variant>
        <vt:i4>393290</vt:i4>
      </vt:variant>
      <vt:variant>
        <vt:i4>57</vt:i4>
      </vt:variant>
      <vt:variant>
        <vt:i4>0</vt:i4>
      </vt:variant>
      <vt:variant>
        <vt:i4>5</vt:i4>
      </vt:variant>
      <vt:variant>
        <vt:lpwstr>http://scm.oas.org/doc_public/ENGLISH/HIST_19/CP41799E03.doc</vt:lpwstr>
      </vt:variant>
      <vt:variant>
        <vt:lpwstr/>
      </vt:variant>
      <vt:variant>
        <vt:i4>852034</vt:i4>
      </vt:variant>
      <vt:variant>
        <vt:i4>54</vt:i4>
      </vt:variant>
      <vt:variant>
        <vt:i4>0</vt:i4>
      </vt:variant>
      <vt:variant>
        <vt:i4>5</vt:i4>
      </vt:variant>
      <vt:variant>
        <vt:lpwstr>http://scm.oas.org/doc_public/ENGLISH/HIST_19/CP41620E03.doc</vt:lpwstr>
      </vt:variant>
      <vt:variant>
        <vt:lpwstr/>
      </vt:variant>
      <vt:variant>
        <vt:i4>852036</vt:i4>
      </vt:variant>
      <vt:variant>
        <vt:i4>51</vt:i4>
      </vt:variant>
      <vt:variant>
        <vt:i4>0</vt:i4>
      </vt:variant>
      <vt:variant>
        <vt:i4>5</vt:i4>
      </vt:variant>
      <vt:variant>
        <vt:lpwstr>http://scm.oas.org/doc_public/ENGLISH/HIST_19/CP41525E03.doc</vt:lpwstr>
      </vt:variant>
      <vt:variant>
        <vt:lpwstr/>
      </vt:variant>
      <vt:variant>
        <vt:i4>917574</vt:i4>
      </vt:variant>
      <vt:variant>
        <vt:i4>48</vt:i4>
      </vt:variant>
      <vt:variant>
        <vt:i4>0</vt:i4>
      </vt:variant>
      <vt:variant>
        <vt:i4>5</vt:i4>
      </vt:variant>
      <vt:variant>
        <vt:lpwstr>http://scm.oas.org/doc_public/ENGLISH/HIST_19/CP41416E03.doc</vt:lpwstr>
      </vt:variant>
      <vt:variant>
        <vt:lpwstr/>
      </vt:variant>
      <vt:variant>
        <vt:i4>655427</vt:i4>
      </vt:variant>
      <vt:variant>
        <vt:i4>45</vt:i4>
      </vt:variant>
      <vt:variant>
        <vt:i4>0</vt:i4>
      </vt:variant>
      <vt:variant>
        <vt:i4>5</vt:i4>
      </vt:variant>
      <vt:variant>
        <vt:lpwstr>http://scm.oas.org/doc_public/english/HIST_19/CP41354e03.doc</vt:lpwstr>
      </vt:variant>
      <vt:variant>
        <vt:lpwstr/>
      </vt:variant>
      <vt:variant>
        <vt:i4>655430</vt:i4>
      </vt:variant>
      <vt:variant>
        <vt:i4>42</vt:i4>
      </vt:variant>
      <vt:variant>
        <vt:i4>0</vt:i4>
      </vt:variant>
      <vt:variant>
        <vt:i4>5</vt:i4>
      </vt:variant>
      <vt:variant>
        <vt:lpwstr>http://scm.oas.org/doc_public/english/HIST_19/CP41351e03.doc</vt:lpwstr>
      </vt:variant>
      <vt:variant>
        <vt:lpwstr/>
      </vt:variant>
      <vt:variant>
        <vt:i4>852041</vt:i4>
      </vt:variant>
      <vt:variant>
        <vt:i4>39</vt:i4>
      </vt:variant>
      <vt:variant>
        <vt:i4>0</vt:i4>
      </vt:variant>
      <vt:variant>
        <vt:i4>5</vt:i4>
      </vt:variant>
      <vt:variant>
        <vt:lpwstr>http://scm.oas.org/doc_public/english/HIST_19/CP40835e03.doc</vt:lpwstr>
      </vt:variant>
      <vt:variant>
        <vt:lpwstr/>
      </vt:variant>
      <vt:variant>
        <vt:i4>786502</vt:i4>
      </vt:variant>
      <vt:variant>
        <vt:i4>36</vt:i4>
      </vt:variant>
      <vt:variant>
        <vt:i4>0</vt:i4>
      </vt:variant>
      <vt:variant>
        <vt:i4>5</vt:i4>
      </vt:variant>
      <vt:variant>
        <vt:lpwstr>http://scm.oas.org/doc_public/english/HIST_19/CP40725e03.doc</vt:lpwstr>
      </vt:variant>
      <vt:variant>
        <vt:lpwstr/>
      </vt:variant>
      <vt:variant>
        <vt:i4>852039</vt:i4>
      </vt:variant>
      <vt:variant>
        <vt:i4>33</vt:i4>
      </vt:variant>
      <vt:variant>
        <vt:i4>0</vt:i4>
      </vt:variant>
      <vt:variant>
        <vt:i4>5</vt:i4>
      </vt:variant>
      <vt:variant>
        <vt:lpwstr>http://scm.oas.org/doc_public/english/HIST_19/CP40437e03.doc</vt:lpwstr>
      </vt:variant>
      <vt:variant>
        <vt:lpwstr/>
      </vt:variant>
      <vt:variant>
        <vt:i4>852037</vt:i4>
      </vt:variant>
      <vt:variant>
        <vt:i4>30</vt:i4>
      </vt:variant>
      <vt:variant>
        <vt:i4>0</vt:i4>
      </vt:variant>
      <vt:variant>
        <vt:i4>5</vt:i4>
      </vt:variant>
      <vt:variant>
        <vt:lpwstr>http://scm.oas.org/doc_public/english/HIST_19/CP40332E03.doc</vt:lpwstr>
      </vt:variant>
      <vt:variant>
        <vt:lpwstr/>
      </vt:variant>
      <vt:variant>
        <vt:i4>589892</vt:i4>
      </vt:variant>
      <vt:variant>
        <vt:i4>27</vt:i4>
      </vt:variant>
      <vt:variant>
        <vt:i4>0</vt:i4>
      </vt:variant>
      <vt:variant>
        <vt:i4>5</vt:i4>
      </vt:variant>
      <vt:variant>
        <vt:lpwstr>http://scm.oas.org/doc_public/ENGLISH/HIST_20/CP41851E03.doc</vt:lpwstr>
      </vt:variant>
      <vt:variant>
        <vt:lpwstr/>
      </vt:variant>
      <vt:variant>
        <vt:i4>655431</vt:i4>
      </vt:variant>
      <vt:variant>
        <vt:i4>24</vt:i4>
      </vt:variant>
      <vt:variant>
        <vt:i4>0</vt:i4>
      </vt:variant>
      <vt:variant>
        <vt:i4>5</vt:i4>
      </vt:variant>
      <vt:variant>
        <vt:lpwstr>http://scm.oas.org/doc_public/ENGLISH/HIST_20/CP41862E03.doc</vt:lpwstr>
      </vt:variant>
      <vt:variant>
        <vt:lpwstr/>
      </vt:variant>
      <vt:variant>
        <vt:i4>589895</vt:i4>
      </vt:variant>
      <vt:variant>
        <vt:i4>21</vt:i4>
      </vt:variant>
      <vt:variant>
        <vt:i4>0</vt:i4>
      </vt:variant>
      <vt:variant>
        <vt:i4>5</vt:i4>
      </vt:variant>
      <vt:variant>
        <vt:lpwstr>http://scm.oas.org/doc_public/ENGLISH/HIST_20/CP41852E03.doc</vt:lpwstr>
      </vt:variant>
      <vt:variant>
        <vt:lpwstr/>
      </vt:variant>
      <vt:variant>
        <vt:i4>524354</vt:i4>
      </vt:variant>
      <vt:variant>
        <vt:i4>18</vt:i4>
      </vt:variant>
      <vt:variant>
        <vt:i4>0</vt:i4>
      </vt:variant>
      <vt:variant>
        <vt:i4>5</vt:i4>
      </vt:variant>
      <vt:variant>
        <vt:lpwstr>http://scm.oas.org/doc_public/ENGLISH/HIST_19/CP41375E03.doc</vt:lpwstr>
      </vt:variant>
      <vt:variant>
        <vt:lpwstr/>
      </vt:variant>
      <vt:variant>
        <vt:i4>852036</vt:i4>
      </vt:variant>
      <vt:variant>
        <vt:i4>15</vt:i4>
      </vt:variant>
      <vt:variant>
        <vt:i4>0</vt:i4>
      </vt:variant>
      <vt:variant>
        <vt:i4>5</vt:i4>
      </vt:variant>
      <vt:variant>
        <vt:lpwstr>http://scm.oas.org/doc_public/ENGLISH/HIST_19/CP40737E03.doc</vt:lpwstr>
      </vt:variant>
      <vt:variant>
        <vt:lpwstr/>
      </vt:variant>
      <vt:variant>
        <vt:i4>917574</vt:i4>
      </vt:variant>
      <vt:variant>
        <vt:i4>12</vt:i4>
      </vt:variant>
      <vt:variant>
        <vt:i4>0</vt:i4>
      </vt:variant>
      <vt:variant>
        <vt:i4>5</vt:i4>
      </vt:variant>
      <vt:variant>
        <vt:lpwstr>http://scm.oas.org/doc_public/ENGLISH/HIST_19/CP40200E03.doc</vt:lpwstr>
      </vt:variant>
      <vt:variant>
        <vt:lpwstr/>
      </vt:variant>
      <vt:variant>
        <vt:i4>983117</vt:i4>
      </vt:variant>
      <vt:variant>
        <vt:i4>9</vt:i4>
      </vt:variant>
      <vt:variant>
        <vt:i4>0</vt:i4>
      </vt:variant>
      <vt:variant>
        <vt:i4>5</vt:i4>
      </vt:variant>
      <vt:variant>
        <vt:lpwstr>http://scm.oas.org/doc_public/ENGLISH/HIST_19/CP40811E03.doc</vt:lpwstr>
      </vt:variant>
      <vt:variant>
        <vt:lpwstr/>
      </vt:variant>
      <vt:variant>
        <vt:i4>458821</vt:i4>
      </vt:variant>
      <vt:variant>
        <vt:i4>6</vt:i4>
      </vt:variant>
      <vt:variant>
        <vt:i4>0</vt:i4>
      </vt:variant>
      <vt:variant>
        <vt:i4>5</vt:i4>
      </vt:variant>
      <vt:variant>
        <vt:lpwstr>http://scm.oas.org/doc_public/ENGLISH/HIST_19/CP40293E03.doc</vt:lpwstr>
      </vt:variant>
      <vt:variant>
        <vt:lpwstr/>
      </vt:variant>
      <vt:variant>
        <vt:i4>458819</vt:i4>
      </vt:variant>
      <vt:variant>
        <vt:i4>3</vt:i4>
      </vt:variant>
      <vt:variant>
        <vt:i4>0</vt:i4>
      </vt:variant>
      <vt:variant>
        <vt:i4>5</vt:i4>
      </vt:variant>
      <vt:variant>
        <vt:lpwstr>http://scm.oas.org/doc_public/ENGLISH/HIST_18/CP39908E03.doc</vt:lpwstr>
      </vt:variant>
      <vt:variant>
        <vt:lpwstr/>
      </vt:variant>
      <vt:variant>
        <vt:i4>589903</vt:i4>
      </vt:variant>
      <vt:variant>
        <vt:i4>0</vt:i4>
      </vt:variant>
      <vt:variant>
        <vt:i4>0</vt:i4>
      </vt:variant>
      <vt:variant>
        <vt:i4>5</vt:i4>
      </vt:variant>
      <vt:variant>
        <vt:lpwstr>http://scm.oas.org/doc_public/English/HIST_19/CP41368e03.doc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2021-02-10T15:47:00Z</dcterms:created>
  <dcterms:modified xsi:type="dcterms:W3CDTF">2021-02-10T15:49:00Z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BarronBA@state.gov</vt:lpwstr>
  </property>
  <property fmtid="{D5CDD505-2E9C-101B-9397-08002B2CF9AE}" pid="5" name="MSIP_Label_1665d9ee-429a-4d5f-97cc-cfb56e044a6e_SetDate">
    <vt:lpwstr>2020-01-23T14:42:22.8311166Z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684c8a0c-4d66-4109-963b-b0faf9a1b784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