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4A0" w:firstRow="1" w:lastRow="0" w:firstColumn="1" w:lastColumn="0" w:noHBand="0" w:noVBand="1"/>
      </w:tblPr>
      <w:tblGrid>
        <w:gridCol w:w="6498"/>
        <w:gridCol w:w="3330"/>
      </w:tblGrid>
      <w:tr w:rsidR="002B239E" w:rsidRPr="00A26FE3" w:rsidTr="001A2093">
        <w:tc>
          <w:tcPr>
            <w:tcW w:w="6498" w:type="dxa"/>
          </w:tcPr>
          <w:p w:rsidR="002B239E" w:rsidRPr="00A26FE3" w:rsidRDefault="002B239E" w:rsidP="001A2093">
            <w:pPr>
              <w:tabs>
                <w:tab w:val="center" w:pos="2880"/>
                <w:tab w:val="left" w:pos="7200"/>
                <w:tab w:val="left" w:pos="7965"/>
              </w:tabs>
              <w:jc w:val="center"/>
              <w:rPr>
                <w:color w:val="000000"/>
                <w:sz w:val="22"/>
                <w:szCs w:val="22"/>
                <w:lang w:val="pt-BR" w:eastAsia="es-ES"/>
              </w:rPr>
            </w:pPr>
            <w:r w:rsidRPr="00A26FE3">
              <w:rPr>
                <w:color w:val="000000"/>
                <w:sz w:val="22"/>
                <w:szCs w:val="22"/>
                <w:lang w:val="pt-BR" w:eastAsia="es-ES"/>
              </w:rPr>
              <w:t>CONSELHO PERMANENTE DA</w:t>
            </w:r>
          </w:p>
          <w:p w:rsidR="002B239E" w:rsidRPr="00A26FE3" w:rsidRDefault="002B239E" w:rsidP="001A2093">
            <w:pPr>
              <w:tabs>
                <w:tab w:val="center" w:pos="2880"/>
                <w:tab w:val="left" w:pos="7200"/>
                <w:tab w:val="left" w:pos="7965"/>
              </w:tabs>
              <w:jc w:val="center"/>
              <w:rPr>
                <w:color w:val="000000"/>
                <w:sz w:val="22"/>
                <w:szCs w:val="22"/>
                <w:lang w:val="pt-BR" w:eastAsia="es-ES"/>
              </w:rPr>
            </w:pPr>
            <w:r w:rsidRPr="00A26FE3">
              <w:rPr>
                <w:color w:val="000000"/>
                <w:sz w:val="22"/>
                <w:szCs w:val="22"/>
                <w:lang w:val="pt-BR" w:eastAsia="es-ES"/>
              </w:rPr>
              <w:t>ORGANIZAÇÃO DOS ESTADOS AMERICANOS</w:t>
            </w:r>
          </w:p>
          <w:p w:rsidR="002B239E" w:rsidRPr="00A26FE3" w:rsidRDefault="002B239E" w:rsidP="001A2093">
            <w:pPr>
              <w:tabs>
                <w:tab w:val="center" w:pos="2880"/>
                <w:tab w:val="left" w:pos="7200"/>
                <w:tab w:val="left" w:pos="7965"/>
              </w:tabs>
              <w:rPr>
                <w:color w:val="000000"/>
                <w:sz w:val="22"/>
                <w:szCs w:val="22"/>
                <w:lang w:val="pt-BR" w:eastAsia="es-ES"/>
              </w:rPr>
            </w:pPr>
          </w:p>
          <w:p w:rsidR="002B239E" w:rsidRPr="00A26FE3" w:rsidRDefault="002B239E" w:rsidP="001A2093">
            <w:pPr>
              <w:jc w:val="center"/>
              <w:rPr>
                <w:color w:val="000000"/>
                <w:sz w:val="22"/>
                <w:szCs w:val="22"/>
                <w:lang w:val="pt-BR" w:eastAsia="es-ES"/>
              </w:rPr>
            </w:pPr>
            <w:r w:rsidRPr="00A26FE3">
              <w:rPr>
                <w:color w:val="000000"/>
                <w:sz w:val="22"/>
                <w:szCs w:val="22"/>
                <w:lang w:val="pt-BR" w:eastAsia="es-ES"/>
              </w:rPr>
              <w:t>COMISSÃO DE ASSUNTOS JURÍDICOS E POLÍTICOS</w:t>
            </w:r>
          </w:p>
        </w:tc>
        <w:tc>
          <w:tcPr>
            <w:tcW w:w="3330" w:type="dxa"/>
            <w:hideMark/>
          </w:tcPr>
          <w:p w:rsidR="002B239E" w:rsidRPr="00A26FE3" w:rsidRDefault="002B239E" w:rsidP="001A2093">
            <w:pPr>
              <w:tabs>
                <w:tab w:val="left" w:pos="717"/>
                <w:tab w:val="center" w:pos="3132"/>
                <w:tab w:val="left" w:pos="7200"/>
                <w:tab w:val="left" w:pos="7965"/>
              </w:tabs>
              <w:ind w:left="702" w:right="-569"/>
              <w:rPr>
                <w:color w:val="000000"/>
                <w:sz w:val="22"/>
                <w:szCs w:val="22"/>
                <w:lang w:val="pt-BR" w:eastAsia="es-ES"/>
              </w:rPr>
            </w:pPr>
            <w:r w:rsidRPr="00A26FE3">
              <w:rPr>
                <w:color w:val="000000"/>
                <w:sz w:val="22"/>
                <w:szCs w:val="22"/>
                <w:lang w:val="pt-BR" w:eastAsia="es-ES"/>
              </w:rPr>
              <w:t xml:space="preserve">OEA/Ser.G </w:t>
            </w:r>
          </w:p>
          <w:p w:rsidR="002B239E" w:rsidRPr="00A26FE3" w:rsidRDefault="002B239E" w:rsidP="001A2093">
            <w:pPr>
              <w:tabs>
                <w:tab w:val="left" w:pos="717"/>
                <w:tab w:val="center" w:pos="3582"/>
                <w:tab w:val="left" w:pos="7200"/>
                <w:tab w:val="left" w:pos="7965"/>
              </w:tabs>
              <w:ind w:left="702" w:right="-1109"/>
              <w:rPr>
                <w:color w:val="000000"/>
                <w:sz w:val="22"/>
                <w:szCs w:val="22"/>
                <w:lang w:val="pt-BR" w:eastAsia="es-ES"/>
              </w:rPr>
            </w:pPr>
            <w:r w:rsidRPr="00A26FE3">
              <w:rPr>
                <w:color w:val="000000"/>
                <w:sz w:val="22"/>
                <w:szCs w:val="22"/>
                <w:lang w:val="pt-BR" w:eastAsia="es-ES"/>
              </w:rPr>
              <w:t xml:space="preserve">CP/CAJP-3518/19 rev. </w:t>
            </w:r>
            <w:r w:rsidR="008F2634" w:rsidRPr="00A26FE3">
              <w:rPr>
                <w:color w:val="000000"/>
                <w:sz w:val="22"/>
                <w:szCs w:val="22"/>
                <w:lang w:val="pt-BR" w:eastAsia="es-ES"/>
              </w:rPr>
              <w:t>5</w:t>
            </w:r>
          </w:p>
          <w:p w:rsidR="002B239E" w:rsidRPr="00A26FE3" w:rsidRDefault="002B239E" w:rsidP="001A2093">
            <w:pPr>
              <w:tabs>
                <w:tab w:val="left" w:pos="717"/>
                <w:tab w:val="center" w:pos="2880"/>
                <w:tab w:val="left" w:pos="7200"/>
                <w:tab w:val="left" w:pos="7965"/>
              </w:tabs>
              <w:ind w:left="702"/>
              <w:rPr>
                <w:color w:val="000000"/>
                <w:sz w:val="22"/>
                <w:szCs w:val="22"/>
                <w:lang w:val="pt-BR" w:eastAsia="es-ES"/>
              </w:rPr>
            </w:pPr>
            <w:r w:rsidRPr="00A26FE3">
              <w:rPr>
                <w:color w:val="000000"/>
                <w:sz w:val="22"/>
                <w:szCs w:val="22"/>
                <w:lang w:val="pt-BR" w:eastAsia="es-ES"/>
              </w:rPr>
              <w:t>2</w:t>
            </w:r>
            <w:r w:rsidR="008F2634" w:rsidRPr="00A26FE3">
              <w:rPr>
                <w:color w:val="000000"/>
                <w:sz w:val="22"/>
                <w:szCs w:val="22"/>
                <w:lang w:val="pt-BR" w:eastAsia="es-ES"/>
              </w:rPr>
              <w:t>4</w:t>
            </w:r>
            <w:r w:rsidRPr="00A26FE3">
              <w:rPr>
                <w:color w:val="000000"/>
                <w:sz w:val="22"/>
                <w:szCs w:val="22"/>
                <w:lang w:val="pt-BR" w:eastAsia="es-ES"/>
              </w:rPr>
              <w:t xml:space="preserve"> </w:t>
            </w:r>
            <w:r w:rsidR="008F2634" w:rsidRPr="00A26FE3">
              <w:rPr>
                <w:color w:val="000000"/>
                <w:sz w:val="22"/>
                <w:szCs w:val="22"/>
                <w:lang w:val="pt-BR" w:eastAsia="es-ES"/>
              </w:rPr>
              <w:t>julho</w:t>
            </w:r>
            <w:r w:rsidRPr="00A26FE3">
              <w:rPr>
                <w:color w:val="000000"/>
                <w:sz w:val="22"/>
                <w:szCs w:val="22"/>
                <w:lang w:val="pt-BR" w:eastAsia="es-ES"/>
              </w:rPr>
              <w:t xml:space="preserve"> 2020</w:t>
            </w:r>
          </w:p>
          <w:p w:rsidR="002B239E" w:rsidRPr="00A26FE3" w:rsidRDefault="002B239E" w:rsidP="001A2093">
            <w:pPr>
              <w:tabs>
                <w:tab w:val="left" w:pos="717"/>
                <w:tab w:val="center" w:pos="2880"/>
                <w:tab w:val="left" w:pos="7200"/>
                <w:tab w:val="left" w:pos="7965"/>
              </w:tabs>
              <w:ind w:left="702"/>
              <w:rPr>
                <w:color w:val="000000"/>
                <w:sz w:val="22"/>
                <w:szCs w:val="22"/>
                <w:lang w:val="pt-BR" w:eastAsia="es-ES"/>
              </w:rPr>
            </w:pPr>
            <w:r w:rsidRPr="00A26FE3">
              <w:rPr>
                <w:color w:val="000000"/>
                <w:sz w:val="22"/>
                <w:szCs w:val="22"/>
                <w:lang w:val="pt-BR" w:eastAsia="es-ES"/>
              </w:rPr>
              <w:t>Original: espanhol</w:t>
            </w:r>
          </w:p>
        </w:tc>
      </w:tr>
    </w:tbl>
    <w:p w:rsidR="002B239E" w:rsidRPr="00A26FE3" w:rsidRDefault="002B239E" w:rsidP="002B239E">
      <w:pPr>
        <w:rPr>
          <w:color w:val="000000"/>
          <w:sz w:val="22"/>
          <w:szCs w:val="22"/>
          <w:lang w:val="pt-BR" w:eastAsia="es-ES"/>
        </w:rPr>
      </w:pPr>
    </w:p>
    <w:p w:rsidR="002B239E" w:rsidRPr="00A26FE3" w:rsidRDefault="002B239E" w:rsidP="002B239E">
      <w:pPr>
        <w:rPr>
          <w:color w:val="000000"/>
          <w:sz w:val="22"/>
          <w:szCs w:val="22"/>
          <w:lang w:val="pt-BR" w:eastAsia="es-ES"/>
        </w:rPr>
      </w:pPr>
    </w:p>
    <w:p w:rsidR="002B239E" w:rsidRPr="00A26FE3" w:rsidRDefault="002B239E" w:rsidP="002B239E">
      <w:pPr>
        <w:jc w:val="center"/>
        <w:rPr>
          <w:color w:val="000000"/>
          <w:sz w:val="22"/>
          <w:szCs w:val="22"/>
          <w:lang w:val="pt-BR" w:eastAsia="es-ES"/>
        </w:rPr>
      </w:pPr>
      <w:r w:rsidRPr="00A26FE3">
        <w:rPr>
          <w:color w:val="000000"/>
          <w:sz w:val="22"/>
          <w:szCs w:val="22"/>
          <w:lang w:val="pt-BR" w:eastAsia="es-ES"/>
        </w:rPr>
        <w:t>PLANO DE TRABALHO</w:t>
      </w:r>
    </w:p>
    <w:p w:rsidR="002B239E" w:rsidRPr="00A26FE3" w:rsidRDefault="002B239E" w:rsidP="002B239E">
      <w:pPr>
        <w:jc w:val="center"/>
        <w:rPr>
          <w:color w:val="000000"/>
          <w:sz w:val="22"/>
          <w:szCs w:val="22"/>
          <w:lang w:val="pt-BR" w:eastAsia="es-ES"/>
        </w:rPr>
      </w:pPr>
      <w:r w:rsidRPr="00A26FE3">
        <w:rPr>
          <w:color w:val="000000"/>
          <w:sz w:val="22"/>
          <w:szCs w:val="22"/>
          <w:lang w:val="pt-BR" w:eastAsia="es-ES"/>
        </w:rPr>
        <w:t>DA COMISSÃO DE ASSUNTOS JURÍDICOS E POLÍTICOS</w:t>
      </w:r>
    </w:p>
    <w:p w:rsidR="002B239E" w:rsidRPr="00A26FE3" w:rsidRDefault="002B239E" w:rsidP="002B239E">
      <w:pPr>
        <w:jc w:val="center"/>
        <w:rPr>
          <w:color w:val="000000"/>
          <w:sz w:val="22"/>
          <w:szCs w:val="22"/>
          <w:lang w:val="pt-BR" w:eastAsia="es-ES"/>
        </w:rPr>
      </w:pPr>
      <w:r w:rsidRPr="00A26FE3">
        <w:rPr>
          <w:color w:val="000000"/>
          <w:sz w:val="22"/>
          <w:szCs w:val="22"/>
          <w:lang w:val="pt-BR" w:eastAsia="es-ES"/>
        </w:rPr>
        <w:t>PARA O PERÍODO 2019–2020</w:t>
      </w:r>
    </w:p>
    <w:p w:rsidR="002B239E" w:rsidRPr="00A26FE3" w:rsidRDefault="002B239E" w:rsidP="002B239E">
      <w:pPr>
        <w:rPr>
          <w:color w:val="000000"/>
          <w:sz w:val="22"/>
          <w:szCs w:val="22"/>
          <w:lang w:val="pt-BR" w:eastAsia="es-ES"/>
        </w:rPr>
      </w:pPr>
    </w:p>
    <w:p w:rsidR="002B239E" w:rsidRPr="00A26FE3" w:rsidRDefault="002B239E" w:rsidP="002B239E">
      <w:pPr>
        <w:jc w:val="center"/>
        <w:rPr>
          <w:color w:val="000000"/>
          <w:sz w:val="22"/>
          <w:szCs w:val="22"/>
          <w:lang w:val="pt-BR" w:eastAsia="es-ES"/>
        </w:rPr>
      </w:pPr>
      <w:r w:rsidRPr="00A26FE3">
        <w:rPr>
          <w:color w:val="000000"/>
          <w:sz w:val="22"/>
          <w:szCs w:val="22"/>
          <w:lang w:val="pt-BR" w:eastAsia="es-ES"/>
        </w:rPr>
        <w:t>(Aprovado pela Comissão na reunião realizada em 17 de outubro de 2019)</w:t>
      </w:r>
    </w:p>
    <w:p w:rsidR="002B239E" w:rsidRPr="00A26FE3" w:rsidRDefault="002B239E" w:rsidP="002B239E">
      <w:pPr>
        <w:rPr>
          <w:color w:val="000000"/>
          <w:sz w:val="22"/>
          <w:szCs w:val="22"/>
          <w:lang w:val="pt-BR" w:eastAsia="es-ES"/>
        </w:rPr>
      </w:pPr>
    </w:p>
    <w:p w:rsidR="002B239E" w:rsidRPr="00A26FE3" w:rsidRDefault="002B239E" w:rsidP="002B239E">
      <w:pPr>
        <w:rPr>
          <w:color w:val="000000"/>
          <w:sz w:val="22"/>
          <w:szCs w:val="22"/>
          <w:lang w:val="pt-BR" w:eastAsia="es-ES"/>
        </w:rPr>
      </w:pPr>
    </w:p>
    <w:p w:rsidR="002B239E" w:rsidRPr="00A26FE3" w:rsidRDefault="002B239E" w:rsidP="002B239E">
      <w:pPr>
        <w:jc w:val="center"/>
        <w:rPr>
          <w:caps/>
          <w:color w:val="000000"/>
          <w:sz w:val="22"/>
          <w:szCs w:val="22"/>
          <w:lang w:val="pt-BR" w:eastAsia="es-ES"/>
        </w:rPr>
      </w:pPr>
      <w:r w:rsidRPr="00A26FE3">
        <w:rPr>
          <w:caps/>
          <w:color w:val="000000"/>
          <w:sz w:val="22"/>
          <w:szCs w:val="22"/>
          <w:lang w:val="pt-BR" w:eastAsia="es-ES"/>
        </w:rPr>
        <w:t>I.  INSTALAÇÃO E AUTORIDADES</w:t>
      </w:r>
    </w:p>
    <w:p w:rsidR="002B239E" w:rsidRPr="00A26FE3" w:rsidRDefault="002B239E" w:rsidP="002B239E">
      <w:pPr>
        <w:tabs>
          <w:tab w:val="left" w:pos="5040"/>
          <w:tab w:val="left" w:pos="6540"/>
          <w:tab w:val="left" w:pos="7194"/>
        </w:tabs>
        <w:suppressAutoHyphens/>
        <w:rPr>
          <w:color w:val="000000"/>
          <w:sz w:val="22"/>
          <w:szCs w:val="22"/>
          <w:lang w:val="pt-BR" w:eastAsia="es-ES"/>
        </w:rPr>
      </w:pPr>
    </w:p>
    <w:p w:rsidR="002B239E" w:rsidRPr="00A26FE3" w:rsidRDefault="002B239E" w:rsidP="002B239E">
      <w:pPr>
        <w:tabs>
          <w:tab w:val="left" w:pos="720"/>
          <w:tab w:val="left" w:pos="3960"/>
        </w:tabs>
        <w:ind w:right="11"/>
        <w:jc w:val="both"/>
        <w:rPr>
          <w:color w:val="000000"/>
          <w:sz w:val="22"/>
          <w:szCs w:val="22"/>
          <w:lang w:val="pt-BR" w:eastAsia="es-ES"/>
        </w:rPr>
      </w:pPr>
      <w:r w:rsidRPr="00A26FE3">
        <w:rPr>
          <w:color w:val="000000"/>
          <w:sz w:val="22"/>
          <w:szCs w:val="22"/>
          <w:lang w:val="pt-BR" w:eastAsia="es-ES"/>
        </w:rPr>
        <w:tab/>
        <w:t>O Conselho Permanente instalou a Comissão de Assuntos Jurídicos e Políticos (CAJP) para o período 2019-2020 na sessão ordinária de 17 de julho de 2019, em conformidade com o disposto no artigo 28 do Regulamento do Conselho Permanente. Com base no que determina o citado artigo, na sessão ordinária do Conselho Permanente de 27 de setembro de 2019, o Embaixador Carlos Alberto Játiva Naranjo, Representante Permanente do Equador, foi eleito Presidente da CAJP para o mesmo período.</w:t>
      </w:r>
    </w:p>
    <w:p w:rsidR="002B239E" w:rsidRPr="00A26FE3" w:rsidRDefault="002B239E" w:rsidP="002B239E">
      <w:pPr>
        <w:tabs>
          <w:tab w:val="left" w:pos="720"/>
          <w:tab w:val="left" w:pos="3960"/>
        </w:tabs>
        <w:ind w:right="11"/>
        <w:jc w:val="both"/>
        <w:rPr>
          <w:color w:val="000000"/>
          <w:sz w:val="22"/>
          <w:szCs w:val="22"/>
          <w:lang w:val="pt-BR" w:eastAsia="es-ES"/>
        </w:rPr>
      </w:pPr>
    </w:p>
    <w:p w:rsidR="002B239E" w:rsidRPr="00A26FE3" w:rsidRDefault="002B239E" w:rsidP="002B239E">
      <w:pPr>
        <w:tabs>
          <w:tab w:val="left" w:pos="720"/>
          <w:tab w:val="left" w:pos="3960"/>
        </w:tabs>
        <w:ind w:right="11"/>
        <w:jc w:val="both"/>
        <w:rPr>
          <w:color w:val="000000"/>
          <w:sz w:val="22"/>
          <w:szCs w:val="22"/>
          <w:lang w:val="pt-BR" w:eastAsia="es-ES"/>
        </w:rPr>
      </w:pPr>
      <w:r w:rsidRPr="00A26FE3">
        <w:rPr>
          <w:color w:val="000000"/>
          <w:sz w:val="22"/>
          <w:szCs w:val="22"/>
          <w:lang w:val="pt-BR" w:eastAsia="es-ES"/>
        </w:rPr>
        <w:tab/>
        <w:t xml:space="preserve">Na sessão da CAJP de 9 de outubro de 2019, o Representante Interino de Honduras, Embaixador Luis Fernando Cordero Montoya, foi eleito Vice-Presidente da CAJP para o presente exercício.  </w:t>
      </w:r>
    </w:p>
    <w:p w:rsidR="002B239E" w:rsidRPr="00A26FE3" w:rsidRDefault="002B239E" w:rsidP="002B239E">
      <w:pPr>
        <w:tabs>
          <w:tab w:val="left" w:pos="720"/>
          <w:tab w:val="left" w:pos="3960"/>
        </w:tabs>
        <w:ind w:right="11"/>
        <w:jc w:val="both"/>
        <w:rPr>
          <w:color w:val="000000"/>
          <w:sz w:val="22"/>
          <w:szCs w:val="22"/>
          <w:lang w:val="pt-BR" w:eastAsia="es-ES"/>
        </w:rPr>
      </w:pPr>
    </w:p>
    <w:p w:rsidR="002B239E" w:rsidRPr="00A26FE3" w:rsidRDefault="002B239E" w:rsidP="002B239E">
      <w:pPr>
        <w:jc w:val="center"/>
        <w:rPr>
          <w:caps/>
          <w:color w:val="000000"/>
          <w:sz w:val="22"/>
          <w:szCs w:val="22"/>
          <w:lang w:val="pt-BR" w:eastAsia="es-ES"/>
        </w:rPr>
      </w:pPr>
      <w:r w:rsidRPr="00A26FE3">
        <w:rPr>
          <w:caps/>
          <w:color w:val="000000"/>
          <w:sz w:val="22"/>
          <w:szCs w:val="22"/>
          <w:lang w:val="pt-BR" w:eastAsia="es-ES"/>
        </w:rPr>
        <w:t>II.  MANDATOS</w:t>
      </w:r>
    </w:p>
    <w:p w:rsidR="002B239E" w:rsidRPr="00A26FE3" w:rsidRDefault="002B239E" w:rsidP="002B239E">
      <w:pPr>
        <w:ind w:right="-29"/>
        <w:rPr>
          <w:color w:val="000000"/>
          <w:sz w:val="22"/>
          <w:szCs w:val="22"/>
          <w:lang w:val="pt-BR" w:eastAsia="es-ES"/>
        </w:rPr>
      </w:pPr>
    </w:p>
    <w:p w:rsidR="002B239E" w:rsidRPr="00A26FE3" w:rsidRDefault="002B239E" w:rsidP="002B239E">
      <w:pPr>
        <w:tabs>
          <w:tab w:val="left" w:pos="5040"/>
          <w:tab w:val="left" w:pos="6540"/>
          <w:tab w:val="left" w:pos="7194"/>
        </w:tabs>
        <w:suppressAutoHyphens/>
        <w:ind w:right="11" w:firstLine="720"/>
        <w:jc w:val="both"/>
        <w:rPr>
          <w:sz w:val="22"/>
          <w:szCs w:val="22"/>
          <w:lang w:val="pt-BR" w:eastAsia="es-ES"/>
        </w:rPr>
      </w:pPr>
      <w:r w:rsidRPr="00A26FE3">
        <w:rPr>
          <w:sz w:val="22"/>
          <w:szCs w:val="22"/>
          <w:lang w:val="pt-BR" w:eastAsia="es-ES"/>
        </w:rPr>
        <w:t>De acordo com o que preceituam os artigos 17 e 18 do Regulamento do Conselho Permanente, a CAJP tem as seguintes funções.</w:t>
      </w:r>
    </w:p>
    <w:p w:rsidR="002B239E" w:rsidRPr="00A26FE3" w:rsidRDefault="002B239E" w:rsidP="002B239E">
      <w:pPr>
        <w:tabs>
          <w:tab w:val="left" w:pos="5040"/>
          <w:tab w:val="left" w:pos="6540"/>
          <w:tab w:val="left" w:pos="7194"/>
        </w:tabs>
        <w:suppressAutoHyphens/>
        <w:jc w:val="both"/>
        <w:rPr>
          <w:sz w:val="22"/>
          <w:szCs w:val="22"/>
          <w:u w:val="single"/>
          <w:lang w:val="pt-BR" w:eastAsia="es-ES"/>
        </w:rPr>
      </w:pPr>
    </w:p>
    <w:p w:rsidR="002B239E" w:rsidRPr="00A26FE3" w:rsidRDefault="002B239E" w:rsidP="004931B8">
      <w:pPr>
        <w:numPr>
          <w:ilvl w:val="0"/>
          <w:numId w:val="11"/>
        </w:numPr>
        <w:tabs>
          <w:tab w:val="clear" w:pos="1080"/>
          <w:tab w:val="num" w:pos="1440"/>
          <w:tab w:val="left" w:pos="5040"/>
          <w:tab w:val="left" w:pos="6540"/>
          <w:tab w:val="left" w:pos="7194"/>
        </w:tabs>
        <w:suppressAutoHyphens/>
        <w:ind w:left="1440" w:hanging="720"/>
        <w:jc w:val="both"/>
        <w:rPr>
          <w:sz w:val="22"/>
          <w:szCs w:val="22"/>
          <w:lang w:val="pt-BR" w:eastAsia="es-ES"/>
        </w:rPr>
      </w:pPr>
      <w:r w:rsidRPr="00A26FE3">
        <w:rPr>
          <w:sz w:val="22"/>
          <w:szCs w:val="22"/>
          <w:lang w:val="pt-BR" w:eastAsia="es-ES"/>
        </w:rPr>
        <w:t xml:space="preserve">Estudar os temas sobre os assuntos jurídicos e políticos de que a incumbir o Conselho Permanente. </w:t>
      </w:r>
    </w:p>
    <w:p w:rsidR="002B239E" w:rsidRPr="00A26FE3" w:rsidRDefault="002B239E" w:rsidP="002B239E">
      <w:pPr>
        <w:tabs>
          <w:tab w:val="left" w:pos="0"/>
          <w:tab w:val="num" w:pos="1440"/>
          <w:tab w:val="left" w:pos="5040"/>
          <w:tab w:val="left" w:pos="6540"/>
          <w:tab w:val="left" w:pos="7194"/>
        </w:tabs>
        <w:suppressAutoHyphens/>
        <w:jc w:val="both"/>
        <w:rPr>
          <w:sz w:val="22"/>
          <w:szCs w:val="22"/>
          <w:lang w:val="pt-BR" w:eastAsia="es-ES"/>
        </w:rPr>
      </w:pPr>
    </w:p>
    <w:p w:rsidR="002B239E" w:rsidRPr="00A26FE3" w:rsidRDefault="002B239E" w:rsidP="004931B8">
      <w:pPr>
        <w:numPr>
          <w:ilvl w:val="0"/>
          <w:numId w:val="11"/>
        </w:numPr>
        <w:tabs>
          <w:tab w:val="clear" w:pos="1080"/>
          <w:tab w:val="num" w:pos="1440"/>
          <w:tab w:val="left" w:pos="5040"/>
          <w:tab w:val="left" w:pos="6540"/>
          <w:tab w:val="left" w:pos="7194"/>
        </w:tabs>
        <w:suppressAutoHyphens/>
        <w:ind w:left="1440" w:hanging="720"/>
        <w:jc w:val="both"/>
        <w:rPr>
          <w:sz w:val="22"/>
          <w:szCs w:val="22"/>
          <w:lang w:val="pt-BR" w:eastAsia="es-ES"/>
        </w:rPr>
      </w:pPr>
      <w:r w:rsidRPr="00A26FE3">
        <w:rPr>
          <w:sz w:val="22"/>
          <w:szCs w:val="22"/>
          <w:lang w:val="pt-BR" w:eastAsia="es-ES"/>
        </w:rPr>
        <w:t xml:space="preserve">Considerar os relatórios da Comissão Jurídica Interamericana, da Comissão Interamericana de Direitos Humanos e da Corte Interamericana de Direitos Humanos aos quais se refere o artigo 91, </w:t>
      </w:r>
      <w:r w:rsidRPr="00A26FE3">
        <w:rPr>
          <w:sz w:val="22"/>
          <w:szCs w:val="22"/>
          <w:u w:val="single"/>
          <w:lang w:val="pt-BR" w:eastAsia="es-ES"/>
        </w:rPr>
        <w:t>f</w:t>
      </w:r>
      <w:r w:rsidRPr="00A26FE3">
        <w:rPr>
          <w:sz w:val="22"/>
          <w:szCs w:val="22"/>
          <w:lang w:val="pt-BR" w:eastAsia="es-ES"/>
        </w:rPr>
        <w:t>, da Carta. Do mesmo modo, submeter ao Conselho Permanente seus relatórios com observações e recomendações e os respectivos projetos de resolução.</w:t>
      </w:r>
    </w:p>
    <w:p w:rsidR="002B239E" w:rsidRPr="00A26FE3" w:rsidRDefault="002B239E" w:rsidP="002B239E">
      <w:pPr>
        <w:ind w:right="-29"/>
        <w:jc w:val="both"/>
        <w:rPr>
          <w:sz w:val="22"/>
          <w:szCs w:val="22"/>
          <w:lang w:val="pt-BR" w:eastAsia="es-ES"/>
        </w:rPr>
      </w:pPr>
    </w:p>
    <w:p w:rsidR="002B239E" w:rsidRPr="00A26FE3" w:rsidRDefault="002B239E" w:rsidP="002B239E">
      <w:pPr>
        <w:tabs>
          <w:tab w:val="left" w:pos="5040"/>
          <w:tab w:val="left" w:pos="6540"/>
          <w:tab w:val="left" w:pos="7194"/>
        </w:tabs>
        <w:suppressAutoHyphens/>
        <w:ind w:right="11" w:firstLine="720"/>
        <w:jc w:val="both"/>
        <w:rPr>
          <w:sz w:val="22"/>
          <w:szCs w:val="22"/>
          <w:lang w:val="pt-BR" w:eastAsia="es-ES"/>
        </w:rPr>
      </w:pPr>
      <w:r w:rsidRPr="00A26FE3">
        <w:rPr>
          <w:sz w:val="22"/>
          <w:szCs w:val="22"/>
          <w:lang w:val="pt-BR" w:eastAsia="es-ES"/>
        </w:rPr>
        <w:t xml:space="preserve">Além disso, em cumprimento ao disposto no artigo 30 do Regulamento do Conselho Permanente, na sessão ordinária do Conselho Permanente de 8 de agosto de 2019, foi aprovada a “Distribuição de mandatos emanados do Quadragésimo Nono Período Ordinário de Sessões da Assembleia Geral e de outros períodos anteriores”, documento </w:t>
      </w:r>
      <w:hyperlink r:id="rId9" w:history="1">
        <w:r w:rsidRPr="00A26FE3">
          <w:rPr>
            <w:rStyle w:val="Hyperlink"/>
            <w:sz w:val="22"/>
            <w:szCs w:val="22"/>
            <w:lang w:val="pt-BR" w:eastAsia="es-ES"/>
          </w:rPr>
          <w:t>CP/doc.5545/19</w:t>
        </w:r>
      </w:hyperlink>
      <w:r w:rsidRPr="00A26FE3">
        <w:rPr>
          <w:sz w:val="22"/>
          <w:szCs w:val="22"/>
          <w:lang w:val="pt-BR" w:eastAsia="es-ES"/>
        </w:rPr>
        <w:t xml:space="preserve"> rev. 1, e se encarregou a CAJP de fazer o acompanhamento, no período 2019-2020, dos mandatos constantes da declaração e das resoluções seguintes. </w:t>
      </w:r>
    </w:p>
    <w:p w:rsidR="002B239E" w:rsidRPr="00A26FE3" w:rsidRDefault="002B239E" w:rsidP="002B239E">
      <w:pPr>
        <w:tabs>
          <w:tab w:val="left" w:pos="5040"/>
          <w:tab w:val="left" w:pos="6540"/>
          <w:tab w:val="left" w:pos="7194"/>
        </w:tabs>
        <w:suppressAutoHyphens/>
        <w:ind w:right="11"/>
        <w:jc w:val="both"/>
        <w:rPr>
          <w:sz w:val="22"/>
          <w:szCs w:val="22"/>
          <w:lang w:val="pt-BR" w:eastAsia="es-ES"/>
        </w:rPr>
      </w:pPr>
    </w:p>
    <w:p w:rsidR="002B239E" w:rsidRPr="00A26FE3" w:rsidRDefault="002B239E" w:rsidP="004931B8">
      <w:pPr>
        <w:numPr>
          <w:ilvl w:val="0"/>
          <w:numId w:val="7"/>
        </w:numPr>
        <w:ind w:left="3600" w:hanging="3600"/>
        <w:jc w:val="both"/>
        <w:rPr>
          <w:sz w:val="22"/>
          <w:szCs w:val="22"/>
          <w:lang w:val="pt-BR"/>
        </w:rPr>
      </w:pPr>
      <w:r w:rsidRPr="00A26FE3">
        <w:rPr>
          <w:sz w:val="22"/>
          <w:szCs w:val="22"/>
          <w:lang w:val="pt-BR"/>
        </w:rPr>
        <w:lastRenderedPageBreak/>
        <w:t>AG/DEC. 99 (XLIX-O/19)</w:t>
      </w:r>
      <w:r w:rsidRPr="00A26FE3">
        <w:rPr>
          <w:sz w:val="22"/>
          <w:szCs w:val="22"/>
          <w:lang w:val="pt-BR"/>
        </w:rPr>
        <w:tab/>
      </w:r>
      <w:r w:rsidRPr="00A26FE3">
        <w:rPr>
          <w:bCs/>
          <w:snapToGrid w:val="0"/>
          <w:sz w:val="22"/>
          <w:szCs w:val="22"/>
          <w:lang w:val="pt-BR"/>
        </w:rPr>
        <w:t>Sexagésimo</w:t>
      </w:r>
      <w:r w:rsidRPr="00A26FE3">
        <w:rPr>
          <w:sz w:val="22"/>
          <w:szCs w:val="22"/>
          <w:lang w:val="pt-BR"/>
        </w:rPr>
        <w:t xml:space="preserve"> Aniversário da Criação e Instalação da Comissão Interamericana de Direitos Humanos, Quinquagésimo Aniversário da Aprovação da Convenção Americana sobre Direitos Humanos (Pacto de San José) e Quadragésimo Aniversário da Corte Interamericana de Direitos Humanos (exceto o parágrafo 2)</w:t>
      </w:r>
    </w:p>
    <w:p w:rsidR="002B239E" w:rsidRPr="00A26FE3" w:rsidRDefault="002B239E" w:rsidP="002B239E">
      <w:pPr>
        <w:tabs>
          <w:tab w:val="left" w:pos="360"/>
        </w:tabs>
        <w:jc w:val="both"/>
        <w:rPr>
          <w:sz w:val="22"/>
          <w:szCs w:val="22"/>
          <w:lang w:val="pt-BR"/>
        </w:rPr>
      </w:pPr>
    </w:p>
    <w:p w:rsidR="002B239E" w:rsidRPr="00A26FE3" w:rsidRDefault="002B239E" w:rsidP="004931B8">
      <w:pPr>
        <w:numPr>
          <w:ilvl w:val="0"/>
          <w:numId w:val="7"/>
        </w:numPr>
        <w:ind w:left="3600" w:hanging="3600"/>
        <w:jc w:val="both"/>
        <w:rPr>
          <w:sz w:val="22"/>
          <w:szCs w:val="22"/>
          <w:lang w:val="pt-BR"/>
        </w:rPr>
      </w:pPr>
      <w:r w:rsidRPr="00A26FE3">
        <w:rPr>
          <w:sz w:val="22"/>
          <w:szCs w:val="22"/>
          <w:lang w:val="pt-BR"/>
        </w:rPr>
        <w:t>AG/RES. 2930 (</w:t>
      </w:r>
      <w:r w:rsidRPr="00A26FE3">
        <w:rPr>
          <w:bCs/>
          <w:noProof/>
          <w:snapToGrid w:val="0"/>
          <w:sz w:val="22"/>
          <w:szCs w:val="22"/>
          <w:lang w:val="pt-BR"/>
        </w:rPr>
        <w:t>XLIX-O/19</w:t>
      </w:r>
      <w:r w:rsidRPr="00A26FE3">
        <w:rPr>
          <w:sz w:val="22"/>
          <w:szCs w:val="22"/>
          <w:lang w:val="pt-BR"/>
        </w:rPr>
        <w:t>)</w:t>
      </w:r>
      <w:r w:rsidRPr="00A26FE3">
        <w:rPr>
          <w:sz w:val="22"/>
          <w:szCs w:val="22"/>
          <w:lang w:val="pt-BR"/>
        </w:rPr>
        <w:tab/>
        <w:t xml:space="preserve">Direito Internacional </w:t>
      </w:r>
    </w:p>
    <w:p w:rsidR="002B239E" w:rsidRPr="00A26FE3" w:rsidRDefault="002B239E" w:rsidP="002B239E">
      <w:pPr>
        <w:tabs>
          <w:tab w:val="left" w:pos="360"/>
        </w:tabs>
        <w:jc w:val="both"/>
        <w:rPr>
          <w:sz w:val="22"/>
          <w:szCs w:val="22"/>
          <w:lang w:val="pt-BR"/>
        </w:rPr>
      </w:pPr>
    </w:p>
    <w:p w:rsidR="002B239E" w:rsidRPr="00A26FE3" w:rsidRDefault="002B239E" w:rsidP="004931B8">
      <w:pPr>
        <w:numPr>
          <w:ilvl w:val="0"/>
          <w:numId w:val="7"/>
        </w:numPr>
        <w:ind w:left="3600" w:hanging="3600"/>
        <w:jc w:val="both"/>
        <w:rPr>
          <w:noProof/>
          <w:sz w:val="22"/>
          <w:szCs w:val="22"/>
          <w:lang w:val="pt-BR"/>
        </w:rPr>
      </w:pPr>
      <w:r w:rsidRPr="00A26FE3">
        <w:rPr>
          <w:sz w:val="22"/>
          <w:szCs w:val="22"/>
          <w:lang w:val="pt-BR"/>
        </w:rPr>
        <w:t>AG</w:t>
      </w:r>
      <w:r w:rsidRPr="00A26FE3">
        <w:rPr>
          <w:noProof/>
          <w:sz w:val="22"/>
          <w:szCs w:val="22"/>
          <w:lang w:val="pt-BR"/>
        </w:rPr>
        <w:t>/RES. 2931 (</w:t>
      </w:r>
      <w:r w:rsidRPr="00A26FE3">
        <w:rPr>
          <w:bCs/>
          <w:noProof/>
          <w:snapToGrid w:val="0"/>
          <w:sz w:val="22"/>
          <w:szCs w:val="22"/>
          <w:lang w:val="pt-BR"/>
        </w:rPr>
        <w:t>XLIX-O/19</w:t>
      </w:r>
      <w:r w:rsidRPr="00A26FE3">
        <w:rPr>
          <w:noProof/>
          <w:sz w:val="22"/>
          <w:szCs w:val="22"/>
          <w:lang w:val="pt-BR"/>
        </w:rPr>
        <w:t>)</w:t>
      </w:r>
      <w:r w:rsidRPr="00A26FE3">
        <w:rPr>
          <w:noProof/>
          <w:sz w:val="22"/>
          <w:szCs w:val="22"/>
          <w:lang w:val="pt-BR"/>
        </w:rPr>
        <w:tab/>
      </w:r>
      <w:r w:rsidRPr="00A26FE3">
        <w:rPr>
          <w:bCs/>
          <w:noProof/>
          <w:snapToGrid w:val="0"/>
          <w:sz w:val="22"/>
          <w:szCs w:val="22"/>
          <w:lang w:val="pt-BR"/>
        </w:rPr>
        <w:t xml:space="preserve">Fortalecimento da democracia (exceto a seção i, parágrafo 4) </w:t>
      </w:r>
    </w:p>
    <w:p w:rsidR="002B239E" w:rsidRPr="00A26FE3" w:rsidRDefault="002B239E" w:rsidP="002B239E">
      <w:pPr>
        <w:pStyle w:val="ListParagraph"/>
        <w:tabs>
          <w:tab w:val="left" w:pos="360"/>
        </w:tabs>
        <w:ind w:hanging="3240"/>
        <w:rPr>
          <w:noProof/>
          <w:sz w:val="22"/>
          <w:szCs w:val="22"/>
          <w:lang w:val="pt-BR"/>
        </w:rPr>
      </w:pPr>
    </w:p>
    <w:p w:rsidR="002B239E" w:rsidRPr="00A26FE3" w:rsidRDefault="002B239E" w:rsidP="004931B8">
      <w:pPr>
        <w:numPr>
          <w:ilvl w:val="0"/>
          <w:numId w:val="7"/>
        </w:numPr>
        <w:ind w:left="3600" w:hanging="3600"/>
        <w:jc w:val="both"/>
        <w:rPr>
          <w:rStyle w:val="Heading1Char"/>
          <w:rFonts w:ascii="Times New Roman" w:hAnsi="Times New Roman"/>
          <w:b w:val="0"/>
          <w:bCs w:val="0"/>
          <w:sz w:val="22"/>
          <w:szCs w:val="22"/>
          <w:lang w:val="pt-BR"/>
        </w:rPr>
      </w:pPr>
      <w:r w:rsidRPr="00A26FE3">
        <w:rPr>
          <w:rStyle w:val="Heading1Char"/>
          <w:rFonts w:ascii="Times New Roman" w:eastAsia="MS Mincho" w:hAnsi="Times New Roman"/>
          <w:b w:val="0"/>
          <w:sz w:val="22"/>
          <w:szCs w:val="22"/>
          <w:lang w:val="pt-BR"/>
        </w:rPr>
        <w:t>AG/RES. 2941 (</w:t>
      </w:r>
      <w:r w:rsidRPr="00A26FE3">
        <w:rPr>
          <w:bCs/>
          <w:noProof/>
          <w:snapToGrid w:val="0"/>
          <w:sz w:val="22"/>
          <w:szCs w:val="22"/>
          <w:lang w:val="pt-BR"/>
        </w:rPr>
        <w:t>XLIX-O/19</w:t>
      </w:r>
      <w:r w:rsidRPr="00A26FE3">
        <w:rPr>
          <w:rStyle w:val="Heading1Char"/>
          <w:rFonts w:ascii="Times New Roman" w:eastAsia="MS Mincho" w:hAnsi="Times New Roman"/>
          <w:b w:val="0"/>
          <w:sz w:val="22"/>
          <w:szCs w:val="22"/>
          <w:lang w:val="pt-BR"/>
        </w:rPr>
        <w:t>)</w:t>
      </w:r>
      <w:r w:rsidRPr="00A26FE3">
        <w:rPr>
          <w:sz w:val="22"/>
          <w:szCs w:val="22"/>
          <w:lang w:val="pt-BR"/>
        </w:rPr>
        <w:tab/>
        <w:t>Promoção e proteção dos direitos humanos (</w:t>
      </w:r>
      <w:r w:rsidRPr="00A26FE3">
        <w:rPr>
          <w:bCs/>
          <w:snapToGrid w:val="0"/>
          <w:sz w:val="22"/>
          <w:szCs w:val="22"/>
          <w:lang w:val="pt-BR"/>
        </w:rPr>
        <w:t xml:space="preserve">exceto a </w:t>
      </w:r>
      <w:r w:rsidRPr="00A26FE3">
        <w:rPr>
          <w:rStyle w:val="Heading1Char"/>
          <w:rFonts w:ascii="Times New Roman" w:eastAsia="MS Mincho" w:hAnsi="Times New Roman"/>
          <w:b w:val="0"/>
          <w:sz w:val="22"/>
          <w:szCs w:val="22"/>
          <w:lang w:val="pt-BR"/>
        </w:rPr>
        <w:t xml:space="preserve">seção vii, parágrafo 2; a seção xiii, parágrafo 4; e a seção xix, parágrafo 3) </w:t>
      </w:r>
    </w:p>
    <w:p w:rsidR="002B239E" w:rsidRPr="00A26FE3" w:rsidRDefault="002B239E" w:rsidP="002B239E">
      <w:pPr>
        <w:pStyle w:val="ListParagraph"/>
        <w:ind w:left="0"/>
        <w:jc w:val="both"/>
        <w:rPr>
          <w:sz w:val="22"/>
          <w:szCs w:val="22"/>
          <w:lang w:val="pt-BR"/>
        </w:rPr>
      </w:pPr>
    </w:p>
    <w:p w:rsidR="002B239E" w:rsidRPr="00A26FE3" w:rsidRDefault="002B239E" w:rsidP="004931B8">
      <w:pPr>
        <w:numPr>
          <w:ilvl w:val="0"/>
          <w:numId w:val="7"/>
        </w:numPr>
        <w:ind w:hanging="720"/>
        <w:jc w:val="both"/>
        <w:rPr>
          <w:sz w:val="22"/>
          <w:szCs w:val="22"/>
          <w:lang w:val="pt-BR"/>
        </w:rPr>
      </w:pPr>
      <w:r w:rsidRPr="00A26FE3">
        <w:rPr>
          <w:sz w:val="22"/>
          <w:szCs w:val="22"/>
          <w:lang w:val="pt-BR"/>
        </w:rPr>
        <w:t xml:space="preserve">Observações e recomendações sobre os relatórios anuais dos seguintes órgãos, organismos e entidades da Organização (Artigo 91, </w:t>
      </w:r>
      <w:r w:rsidRPr="00A26FE3">
        <w:rPr>
          <w:sz w:val="22"/>
          <w:szCs w:val="22"/>
          <w:u w:val="single"/>
          <w:lang w:val="pt-BR"/>
        </w:rPr>
        <w:t>f</w:t>
      </w:r>
      <w:r w:rsidRPr="00A26FE3">
        <w:rPr>
          <w:sz w:val="22"/>
          <w:szCs w:val="22"/>
          <w:lang w:val="pt-BR"/>
        </w:rPr>
        <w:t xml:space="preserve">, da Carta da OEA) </w:t>
      </w:r>
    </w:p>
    <w:p w:rsidR="002B239E" w:rsidRPr="00A26FE3" w:rsidRDefault="002B239E" w:rsidP="002B239E">
      <w:pPr>
        <w:tabs>
          <w:tab w:val="left" w:pos="540"/>
          <w:tab w:val="left" w:pos="3780"/>
        </w:tabs>
        <w:autoSpaceDE w:val="0"/>
        <w:autoSpaceDN w:val="0"/>
        <w:adjustRightInd w:val="0"/>
        <w:ind w:left="3780" w:hanging="3780"/>
        <w:jc w:val="both"/>
        <w:rPr>
          <w:sz w:val="22"/>
          <w:szCs w:val="22"/>
          <w:lang w:val="pt-BR"/>
        </w:rPr>
      </w:pPr>
    </w:p>
    <w:p w:rsidR="002B239E" w:rsidRPr="00A26FE3" w:rsidRDefault="002B239E" w:rsidP="002B239E">
      <w:pPr>
        <w:autoSpaceDE w:val="0"/>
        <w:autoSpaceDN w:val="0"/>
        <w:adjustRightInd w:val="0"/>
        <w:ind w:left="1440" w:hanging="720"/>
        <w:jc w:val="both"/>
        <w:rPr>
          <w:sz w:val="22"/>
          <w:szCs w:val="22"/>
          <w:lang w:val="pt-BR"/>
        </w:rPr>
      </w:pPr>
      <w:r w:rsidRPr="00A26FE3">
        <w:rPr>
          <w:sz w:val="22"/>
          <w:szCs w:val="22"/>
          <w:lang w:val="pt-BR"/>
        </w:rPr>
        <w:t>a)</w:t>
      </w:r>
      <w:r w:rsidRPr="00A26FE3">
        <w:rPr>
          <w:sz w:val="22"/>
          <w:szCs w:val="22"/>
          <w:lang w:val="pt-BR"/>
        </w:rPr>
        <w:tab/>
        <w:t>Comissão Jurídica Interamericana (CJI)</w:t>
      </w:r>
    </w:p>
    <w:p w:rsidR="002B239E" w:rsidRPr="00A26FE3" w:rsidRDefault="002B239E" w:rsidP="002B239E">
      <w:pPr>
        <w:autoSpaceDE w:val="0"/>
        <w:autoSpaceDN w:val="0"/>
        <w:adjustRightInd w:val="0"/>
        <w:ind w:left="1440" w:hanging="720"/>
        <w:jc w:val="both"/>
        <w:rPr>
          <w:sz w:val="22"/>
          <w:szCs w:val="22"/>
          <w:lang w:val="pt-BR"/>
        </w:rPr>
      </w:pPr>
      <w:r w:rsidRPr="00A26FE3">
        <w:rPr>
          <w:sz w:val="22"/>
          <w:szCs w:val="22"/>
          <w:lang w:val="pt-BR"/>
        </w:rPr>
        <w:t>b)</w:t>
      </w:r>
      <w:r w:rsidRPr="00A26FE3">
        <w:rPr>
          <w:sz w:val="22"/>
          <w:szCs w:val="22"/>
          <w:lang w:val="pt-BR"/>
        </w:rPr>
        <w:tab/>
        <w:t>Comissão Interamericana de Direitos Humanos (CIDH)</w:t>
      </w:r>
    </w:p>
    <w:p w:rsidR="002B239E" w:rsidRPr="00A26FE3" w:rsidRDefault="002B239E" w:rsidP="002B239E">
      <w:pPr>
        <w:autoSpaceDE w:val="0"/>
        <w:autoSpaceDN w:val="0"/>
        <w:adjustRightInd w:val="0"/>
        <w:ind w:left="1440" w:hanging="720"/>
        <w:jc w:val="both"/>
        <w:rPr>
          <w:sz w:val="22"/>
          <w:szCs w:val="22"/>
          <w:lang w:val="pt-BR"/>
        </w:rPr>
      </w:pPr>
      <w:r w:rsidRPr="00A26FE3">
        <w:rPr>
          <w:sz w:val="22"/>
          <w:szCs w:val="22"/>
          <w:lang w:val="pt-BR"/>
        </w:rPr>
        <w:t>c)</w:t>
      </w:r>
      <w:r w:rsidRPr="00A26FE3">
        <w:rPr>
          <w:sz w:val="22"/>
          <w:szCs w:val="22"/>
          <w:lang w:val="pt-BR"/>
        </w:rPr>
        <w:tab/>
        <w:t>Corte Interamericana de Direitos Humanos</w:t>
      </w:r>
    </w:p>
    <w:p w:rsidR="002B239E" w:rsidRPr="00A26FE3" w:rsidRDefault="002B239E" w:rsidP="002B239E">
      <w:pPr>
        <w:autoSpaceDE w:val="0"/>
        <w:autoSpaceDN w:val="0"/>
        <w:adjustRightInd w:val="0"/>
        <w:ind w:left="1440" w:hanging="720"/>
        <w:jc w:val="both"/>
        <w:rPr>
          <w:sz w:val="22"/>
          <w:szCs w:val="22"/>
          <w:lang w:val="pt-BR"/>
        </w:rPr>
      </w:pPr>
      <w:r w:rsidRPr="00A26FE3">
        <w:rPr>
          <w:sz w:val="22"/>
          <w:szCs w:val="22"/>
          <w:lang w:val="pt-BR"/>
        </w:rPr>
        <w:t>d)</w:t>
      </w:r>
      <w:r w:rsidRPr="00A26FE3">
        <w:rPr>
          <w:sz w:val="22"/>
          <w:szCs w:val="22"/>
          <w:lang w:val="pt-BR"/>
        </w:rPr>
        <w:tab/>
        <w:t>Centro de Estudos da Justiça das Américas (CEJA)</w:t>
      </w:r>
    </w:p>
    <w:p w:rsidR="002B239E" w:rsidRPr="00A26FE3" w:rsidRDefault="002B239E" w:rsidP="002B239E">
      <w:pPr>
        <w:rPr>
          <w:color w:val="000000"/>
          <w:sz w:val="22"/>
          <w:szCs w:val="22"/>
          <w:lang w:val="pt-BR" w:eastAsia="es-ES"/>
        </w:rPr>
      </w:pPr>
    </w:p>
    <w:p w:rsidR="002B239E" w:rsidRPr="00A26FE3" w:rsidRDefault="002B239E" w:rsidP="002B239E">
      <w:pPr>
        <w:rPr>
          <w:color w:val="000000"/>
          <w:sz w:val="22"/>
          <w:szCs w:val="22"/>
          <w:lang w:val="pt-BR" w:eastAsia="es-ES"/>
        </w:rPr>
      </w:pPr>
    </w:p>
    <w:p w:rsidR="002B239E" w:rsidRPr="00A26FE3" w:rsidRDefault="002B239E" w:rsidP="002B239E">
      <w:pPr>
        <w:jc w:val="center"/>
        <w:rPr>
          <w:caps/>
          <w:sz w:val="22"/>
          <w:szCs w:val="22"/>
          <w:lang w:val="pt-BR" w:eastAsia="es-ES"/>
        </w:rPr>
      </w:pPr>
      <w:r w:rsidRPr="00A26FE3">
        <w:rPr>
          <w:caps/>
          <w:sz w:val="22"/>
          <w:szCs w:val="22"/>
          <w:lang w:val="pt-BR" w:eastAsia="es-ES"/>
        </w:rPr>
        <w:t>III.  RECURSOS FINANCEIROS</w:t>
      </w:r>
    </w:p>
    <w:p w:rsidR="002B239E" w:rsidRPr="00A26FE3" w:rsidRDefault="002B239E" w:rsidP="002B239E">
      <w:pPr>
        <w:rPr>
          <w:caps/>
          <w:sz w:val="22"/>
          <w:szCs w:val="22"/>
          <w:lang w:val="pt-BR" w:eastAsia="es-ES"/>
        </w:rPr>
      </w:pP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r w:rsidRPr="00A26FE3">
        <w:rPr>
          <w:sz w:val="22"/>
          <w:szCs w:val="22"/>
          <w:lang w:val="pt-BR" w:eastAsia="es-ES"/>
        </w:rPr>
        <w:tab/>
        <w:t>A Assembleia Geral, no Quinquagésimo Terceiro Período Extraordinário de Sessões, mediante a resolução AG/RES. 1 (LIII-E/18) rev. 1, “Orçamento-p</w:t>
      </w:r>
      <w:r w:rsidRPr="00A26FE3">
        <w:rPr>
          <w:sz w:val="22"/>
          <w:szCs w:val="22"/>
          <w:lang w:val="pt-BR"/>
        </w:rPr>
        <w:t xml:space="preserve">rograma da Organização para 2019”, aprovou </w:t>
      </w:r>
      <w:r w:rsidRPr="00A26FE3">
        <w:rPr>
          <w:sz w:val="22"/>
          <w:szCs w:val="22"/>
          <w:lang w:val="pt-BR" w:eastAsia="es-ES"/>
        </w:rPr>
        <w:t>US$ 126.200 (cento e vinte e seis mil e duzentos dólares) para o financiamento das reuniões da CAJP em 2019. A esse respeito, de 1</w:t>
      </w:r>
      <w:r w:rsidRPr="00A26FE3">
        <w:rPr>
          <w:sz w:val="22"/>
          <w:szCs w:val="22"/>
          <w:vertAlign w:val="superscript"/>
          <w:lang w:val="pt-BR" w:eastAsia="es-ES"/>
        </w:rPr>
        <w:t xml:space="preserve">o </w:t>
      </w:r>
      <w:r w:rsidRPr="00A26FE3">
        <w:rPr>
          <w:sz w:val="22"/>
          <w:szCs w:val="22"/>
          <w:lang w:val="pt-BR" w:eastAsia="es-ES"/>
        </w:rPr>
        <w:t>de janeiro a 30 de setembro de 2019, foram executados US$ 103.524,55 (cento e três mil quinhentos e vinte e quatro dólares e cinquenta e cinco centavos), ficando disponíveis para o restante do ano US$22.675,45 (vinte e dois mil seiscentos e setenta e cinco dólares e quarenta e cinco centavos).</w:t>
      </w: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r w:rsidRPr="00A26FE3">
        <w:rPr>
          <w:sz w:val="22"/>
          <w:szCs w:val="22"/>
          <w:lang w:val="pt-BR" w:eastAsia="es-ES"/>
        </w:rPr>
        <w:tab/>
        <w:t xml:space="preserve">Do mesmo modo, o Conselho Permanente, mediante a resolução CP/RES. 1138 (2247/19), “Aprovação da distribuição de recursos por subprograma para 2020, em conformidade com a resolução AG/RES. 2940 (XLIX-O/19) intitulada “Orçamento-programa da Organização para 2020”, aprovou US$105.000 (cento e cinco mil dólares) para o financiamento das reuniões da CAJP em 2020, US$21.200 (vinte e um mil e duzentos dólares) menos que em 2019. </w:t>
      </w: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r w:rsidRPr="00A26FE3">
        <w:rPr>
          <w:sz w:val="22"/>
          <w:szCs w:val="22"/>
          <w:lang w:val="pt-BR" w:eastAsia="es-ES"/>
        </w:rPr>
        <w:tab/>
        <w:t>Para cumprir o orçamento aprovado da Comissão, os convidados e funcionários da Secretaria disporão de sete minutos para realizar suas exposições orais perante a Comissão. A Presidência solicita encarecidamente a todos os expositores que enviem uma versão completa de sua intervenção, por escrito, à Secretaria da Comissão, pelos menos três dias antes da exposição, para que seja distribuída no idioma original aos Estados membros para consideração antes da reunião.</w:t>
      </w:r>
    </w:p>
    <w:p w:rsidR="002B239E" w:rsidRPr="00A26FE3" w:rsidRDefault="002B239E" w:rsidP="002B239E">
      <w:pPr>
        <w:rPr>
          <w:caps/>
          <w:sz w:val="22"/>
          <w:szCs w:val="22"/>
          <w:lang w:val="pt-BR" w:eastAsia="es-ES"/>
        </w:rPr>
      </w:pPr>
    </w:p>
    <w:p w:rsidR="002B239E" w:rsidRPr="00A26FE3" w:rsidRDefault="002B239E" w:rsidP="002B239E">
      <w:pPr>
        <w:jc w:val="center"/>
        <w:rPr>
          <w:caps/>
          <w:sz w:val="22"/>
          <w:szCs w:val="22"/>
          <w:lang w:val="pt-BR" w:eastAsia="es-ES"/>
        </w:rPr>
      </w:pPr>
      <w:r w:rsidRPr="00A26FE3">
        <w:rPr>
          <w:caps/>
          <w:sz w:val="22"/>
          <w:szCs w:val="22"/>
          <w:lang w:val="pt-BR" w:eastAsia="es-ES"/>
        </w:rPr>
        <w:br w:type="page"/>
      </w:r>
      <w:r w:rsidRPr="00A26FE3">
        <w:rPr>
          <w:caps/>
          <w:sz w:val="22"/>
          <w:szCs w:val="22"/>
          <w:lang w:val="pt-BR" w:eastAsia="es-ES"/>
        </w:rPr>
        <w:lastRenderedPageBreak/>
        <w:t xml:space="preserve">IV.  RECOMENDAÇÕES </w:t>
      </w: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r w:rsidRPr="00A26FE3">
        <w:rPr>
          <w:sz w:val="22"/>
          <w:szCs w:val="22"/>
          <w:lang w:val="pt-BR" w:eastAsia="es-ES"/>
        </w:rPr>
        <w:tab/>
        <w:t>A fim de facilitar o desenvolvimento dos trabalhos da Comissão no período 2019–2020, a Presidência gostaria de propor os seguintes instrumentos de gestão como partes constitutivas do Plano de Trabalho.</w:t>
      </w: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rsidR="002B239E" w:rsidRPr="00A26FE3" w:rsidRDefault="002B239E" w:rsidP="004931B8">
      <w:pPr>
        <w:numPr>
          <w:ilvl w:val="0"/>
          <w:numId w:val="1"/>
        </w:numPr>
        <w:ind w:hanging="720"/>
        <w:jc w:val="both"/>
        <w:rPr>
          <w:sz w:val="22"/>
          <w:szCs w:val="22"/>
          <w:lang w:val="pt-BR" w:eastAsia="es-ES"/>
        </w:rPr>
      </w:pPr>
      <w:r w:rsidRPr="00A26FE3">
        <w:rPr>
          <w:sz w:val="22"/>
          <w:szCs w:val="22"/>
          <w:u w:val="single"/>
          <w:lang w:val="pt-BR" w:eastAsia="es-ES"/>
        </w:rPr>
        <w:t>Anexo I</w:t>
      </w:r>
      <w:r w:rsidRPr="00A26FE3">
        <w:rPr>
          <w:sz w:val="22"/>
          <w:szCs w:val="22"/>
          <w:lang w:val="pt-BR" w:eastAsia="es-ES"/>
        </w:rPr>
        <w:t xml:space="preserve">: Mandatos </w:t>
      </w:r>
      <w:r w:rsidRPr="00A26FE3">
        <w:rPr>
          <w:sz w:val="22"/>
          <w:szCs w:val="22"/>
          <w:lang w:val="pt-BR"/>
        </w:rPr>
        <w:t xml:space="preserve">emanados do Quadragésimo Nono Período Ordinário de Sessões da Assembleia Geral e de outros períodos anteriores </w:t>
      </w:r>
      <w:r w:rsidRPr="00A26FE3">
        <w:rPr>
          <w:sz w:val="22"/>
          <w:szCs w:val="22"/>
          <w:lang w:val="pt-BR" w:eastAsia="es-ES"/>
        </w:rPr>
        <w:t>para ser considerados pela CAJP</w:t>
      </w:r>
    </w:p>
    <w:p w:rsidR="002B239E" w:rsidRPr="00A26FE3" w:rsidRDefault="002B239E" w:rsidP="002B239E">
      <w:pPr>
        <w:jc w:val="both"/>
        <w:rPr>
          <w:sz w:val="22"/>
          <w:szCs w:val="22"/>
          <w:lang w:val="pt-BR" w:eastAsia="es-ES"/>
        </w:rPr>
      </w:pPr>
    </w:p>
    <w:p w:rsidR="002B239E" w:rsidRPr="00A26FE3" w:rsidRDefault="002B239E" w:rsidP="004931B8">
      <w:pPr>
        <w:numPr>
          <w:ilvl w:val="0"/>
          <w:numId w:val="1"/>
        </w:numPr>
        <w:ind w:hanging="720"/>
        <w:jc w:val="both"/>
        <w:rPr>
          <w:sz w:val="22"/>
          <w:szCs w:val="22"/>
          <w:lang w:val="pt-BR" w:eastAsia="es-ES"/>
        </w:rPr>
      </w:pPr>
      <w:r w:rsidRPr="00A26FE3">
        <w:rPr>
          <w:sz w:val="22"/>
          <w:szCs w:val="22"/>
          <w:u w:val="single"/>
          <w:lang w:val="pt-BR" w:eastAsia="es-ES"/>
        </w:rPr>
        <w:t>Anexo II</w:t>
      </w:r>
      <w:r w:rsidRPr="00A26FE3">
        <w:rPr>
          <w:sz w:val="22"/>
          <w:szCs w:val="22"/>
          <w:lang w:val="pt-BR" w:eastAsia="es-ES"/>
        </w:rPr>
        <w:t>: Calendário de reuniões da CAJP para o período 2019–2020</w:t>
      </w:r>
    </w:p>
    <w:p w:rsidR="002B239E" w:rsidRPr="00A26FE3" w:rsidRDefault="002B239E" w:rsidP="002B239E">
      <w:pPr>
        <w:jc w:val="both"/>
        <w:rPr>
          <w:sz w:val="22"/>
          <w:szCs w:val="22"/>
          <w:lang w:val="pt-BR" w:eastAsia="es-ES"/>
        </w:rPr>
      </w:pP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r w:rsidRPr="00A26FE3">
        <w:rPr>
          <w:sz w:val="22"/>
          <w:szCs w:val="22"/>
          <w:lang w:val="pt-BR" w:eastAsia="es-ES"/>
        </w:rPr>
        <w:tab/>
        <w:t>Este Plano de Trabalho servirá como marco geral para os trabalhos da CAJP no período 2019-2020. Trata-se de um documento flexível ao qual irão sendo incorporadas as modificações que a própria Comissão acorde ou que sejam necessárias para atualizá-lo, conforme sejam cumpridos os mandatos a ela confiados, ou surjam propostas pontuais para a abordagem de um tema importante que não tenha sido possível antecipar ou cuja consideração seja imperativa por seu caráter eminentemente jurídico e/ou político.</w:t>
      </w: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r w:rsidRPr="00A26FE3">
        <w:rPr>
          <w:sz w:val="22"/>
          <w:szCs w:val="22"/>
          <w:lang w:val="pt-BR" w:eastAsia="es-ES"/>
        </w:rPr>
        <w:tab/>
        <w:t>A Presidência agradece as sugestões dos Estados membros e, antecipadamente, o apoio das delegações para o cumprimento das responsabilidades atribuídas à CAJP pela Assembleia Geral e pelo Conselho Permanente.</w:t>
      </w:r>
    </w:p>
    <w:p w:rsidR="002B239E" w:rsidRPr="00A26FE3" w:rsidRDefault="002B239E" w:rsidP="002B239E">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eastAsia="es-ES"/>
        </w:rPr>
      </w:pPr>
    </w:p>
    <w:p w:rsidR="002B239E" w:rsidRPr="00A26FE3" w:rsidRDefault="002B239E" w:rsidP="002B239E">
      <w:pPr>
        <w:tabs>
          <w:tab w:val="center" w:pos="5040"/>
        </w:tabs>
        <w:ind w:right="-29"/>
        <w:rPr>
          <w:sz w:val="22"/>
          <w:szCs w:val="22"/>
          <w:lang w:val="pt-BR" w:eastAsia="es-ES"/>
        </w:rPr>
      </w:pPr>
    </w:p>
    <w:p w:rsidR="002B239E" w:rsidRPr="00A26FE3" w:rsidRDefault="002B239E" w:rsidP="002B239E">
      <w:pPr>
        <w:tabs>
          <w:tab w:val="center" w:pos="5040"/>
        </w:tabs>
        <w:ind w:right="-29"/>
        <w:rPr>
          <w:sz w:val="22"/>
          <w:szCs w:val="22"/>
          <w:lang w:val="pt-BR" w:eastAsia="es-ES"/>
        </w:rPr>
      </w:pPr>
    </w:p>
    <w:p w:rsidR="002B239E" w:rsidRPr="00A26FE3" w:rsidRDefault="002B239E" w:rsidP="002B239E">
      <w:pPr>
        <w:tabs>
          <w:tab w:val="left" w:pos="4860"/>
        </w:tabs>
        <w:ind w:right="-29"/>
        <w:jc w:val="center"/>
        <w:rPr>
          <w:color w:val="000000"/>
          <w:sz w:val="22"/>
          <w:szCs w:val="22"/>
          <w:lang w:val="pt-BR" w:eastAsia="es-ES"/>
        </w:rPr>
      </w:pPr>
      <w:r w:rsidRPr="00A26FE3">
        <w:rPr>
          <w:sz w:val="22"/>
          <w:szCs w:val="22"/>
          <w:lang w:val="pt-BR" w:eastAsia="es-ES"/>
        </w:rPr>
        <w:t xml:space="preserve">Embaixador </w:t>
      </w:r>
      <w:r w:rsidRPr="00A26FE3">
        <w:rPr>
          <w:color w:val="000000"/>
          <w:sz w:val="22"/>
          <w:szCs w:val="22"/>
          <w:lang w:val="pt-BR" w:eastAsia="es-ES"/>
        </w:rPr>
        <w:t>Carlos Alberto Játiva Naranjo</w:t>
      </w:r>
    </w:p>
    <w:p w:rsidR="002B239E" w:rsidRPr="00A26FE3" w:rsidRDefault="002B239E" w:rsidP="002B239E">
      <w:pPr>
        <w:tabs>
          <w:tab w:val="left" w:pos="4860"/>
        </w:tabs>
        <w:ind w:right="-29"/>
        <w:jc w:val="center"/>
        <w:rPr>
          <w:sz w:val="22"/>
          <w:szCs w:val="22"/>
          <w:lang w:val="pt-BR" w:eastAsia="es-ES"/>
        </w:rPr>
      </w:pPr>
      <w:r w:rsidRPr="00A26FE3">
        <w:rPr>
          <w:color w:val="000000"/>
          <w:sz w:val="22"/>
          <w:szCs w:val="22"/>
          <w:lang w:val="pt-BR" w:eastAsia="es-ES"/>
        </w:rPr>
        <w:t>Representante Permanente do Equador</w:t>
      </w:r>
    </w:p>
    <w:p w:rsidR="002B239E" w:rsidRPr="00A26FE3" w:rsidRDefault="002B239E" w:rsidP="002B239E">
      <w:pPr>
        <w:tabs>
          <w:tab w:val="left" w:pos="4860"/>
        </w:tabs>
        <w:ind w:right="-29"/>
        <w:jc w:val="center"/>
        <w:rPr>
          <w:sz w:val="22"/>
          <w:szCs w:val="22"/>
          <w:lang w:val="pt-BR" w:eastAsia="es-ES"/>
        </w:rPr>
      </w:pPr>
      <w:r w:rsidRPr="00A26FE3">
        <w:rPr>
          <w:sz w:val="22"/>
          <w:szCs w:val="22"/>
          <w:lang w:val="pt-BR" w:eastAsia="es-ES"/>
        </w:rPr>
        <w:t>Presidente da Comissão de Assuntos Jurídicos e Políticos</w:t>
      </w:r>
    </w:p>
    <w:p w:rsidR="002B239E" w:rsidRPr="00A26FE3" w:rsidRDefault="002B239E" w:rsidP="002B239E">
      <w:pPr>
        <w:tabs>
          <w:tab w:val="left" w:pos="4860"/>
        </w:tabs>
        <w:ind w:right="-29"/>
        <w:rPr>
          <w:sz w:val="22"/>
          <w:szCs w:val="22"/>
          <w:lang w:val="pt-BR" w:eastAsia="es-ES"/>
        </w:rPr>
      </w:pPr>
    </w:p>
    <w:p w:rsidR="002B239E" w:rsidRPr="00A26FE3" w:rsidRDefault="002B239E" w:rsidP="002B239E">
      <w:pPr>
        <w:rPr>
          <w:sz w:val="22"/>
          <w:szCs w:val="22"/>
          <w:lang w:val="pt-BR" w:eastAsia="es-ES"/>
        </w:rPr>
        <w:sectPr w:rsidR="002B239E" w:rsidRPr="00A26FE3" w:rsidSect="00122538">
          <w:headerReference w:type="even" r:id="rId10"/>
          <w:headerReference w:type="default" r:id="rId11"/>
          <w:type w:val="oddPage"/>
          <w:pgSz w:w="12240" w:h="15840"/>
          <w:pgMar w:top="2160" w:right="1570" w:bottom="1296" w:left="1699" w:header="1296" w:footer="1296" w:gutter="0"/>
          <w:pgNumType w:start="1" w:chapSep="emDash"/>
          <w:cols w:space="720"/>
          <w:titlePg/>
          <w:docGrid w:linePitch="326"/>
        </w:sectPr>
      </w:pPr>
    </w:p>
    <w:p w:rsidR="002B239E" w:rsidRPr="00A26FE3" w:rsidRDefault="002B239E" w:rsidP="002B239E">
      <w:pPr>
        <w:jc w:val="right"/>
        <w:rPr>
          <w:b/>
          <w:bCs/>
          <w:sz w:val="22"/>
          <w:szCs w:val="22"/>
          <w:u w:val="single"/>
          <w:lang w:val="pt-BR" w:eastAsia="es-ES"/>
        </w:rPr>
      </w:pPr>
      <w:r w:rsidRPr="00A26FE3">
        <w:rPr>
          <w:b/>
          <w:sz w:val="22"/>
          <w:szCs w:val="22"/>
          <w:u w:val="single"/>
          <w:lang w:val="pt-BR" w:eastAsia="es-ES"/>
        </w:rPr>
        <w:lastRenderedPageBreak/>
        <w:t>ANEXO I</w:t>
      </w:r>
    </w:p>
    <w:p w:rsidR="002B239E" w:rsidRPr="00A26FE3" w:rsidRDefault="002B239E" w:rsidP="002B239E">
      <w:pPr>
        <w:rPr>
          <w:b/>
          <w:sz w:val="22"/>
          <w:szCs w:val="22"/>
          <w:lang w:val="pt-BR" w:eastAsia="es-ES"/>
        </w:rPr>
      </w:pPr>
    </w:p>
    <w:p w:rsidR="002B239E" w:rsidRPr="00A26FE3" w:rsidRDefault="002B239E" w:rsidP="002B239E">
      <w:pPr>
        <w:jc w:val="center"/>
        <w:rPr>
          <w:b/>
          <w:sz w:val="22"/>
          <w:szCs w:val="22"/>
          <w:lang w:val="pt-BR" w:eastAsia="es-ES"/>
        </w:rPr>
      </w:pPr>
      <w:r w:rsidRPr="00A26FE3">
        <w:rPr>
          <w:b/>
          <w:sz w:val="22"/>
          <w:szCs w:val="22"/>
          <w:lang w:val="pt-BR" w:eastAsia="es-ES"/>
        </w:rPr>
        <w:t xml:space="preserve">MANDATOS EMANADOS DO QUADRAGÉSIMO NONO PERÍODO ORDINÁRIO DE SESSÕES </w:t>
      </w:r>
      <w:r w:rsidRPr="00A26FE3">
        <w:rPr>
          <w:b/>
          <w:sz w:val="22"/>
          <w:szCs w:val="22"/>
          <w:lang w:val="pt-BR" w:eastAsia="es-ES"/>
        </w:rPr>
        <w:br/>
        <w:t xml:space="preserve">DA ASSEMBLEIA GERAL E DE OUTROS PERÍODOS ANTERIORES PARA SER CONSIDERADOS PELA </w:t>
      </w:r>
      <w:r w:rsidRPr="00A26FE3">
        <w:rPr>
          <w:b/>
          <w:sz w:val="22"/>
          <w:szCs w:val="22"/>
          <w:lang w:val="pt-BR" w:eastAsia="es-ES"/>
        </w:rPr>
        <w:br/>
        <w:t>COMISSÃO DE ASSUNTOS JURÍDICOS E POLÍTICOS NO PERÍODO 2019–2020</w:t>
      </w:r>
    </w:p>
    <w:p w:rsidR="002B239E" w:rsidRPr="00A26FE3" w:rsidRDefault="002B239E" w:rsidP="002B239E">
      <w:pPr>
        <w:rPr>
          <w:b/>
          <w:sz w:val="22"/>
          <w:szCs w:val="22"/>
          <w:lang w:val="pt-BR" w:eastAsia="es-ES"/>
        </w:rPr>
      </w:pP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6"/>
        <w:gridCol w:w="4699"/>
      </w:tblGrid>
      <w:tr w:rsidR="002B239E" w:rsidRPr="008E192D" w:rsidTr="001A2093">
        <w:trPr>
          <w:trHeight w:val="70"/>
          <w:jc w:val="center"/>
        </w:trPr>
        <w:tc>
          <w:tcPr>
            <w:tcW w:w="12492" w:type="dxa"/>
            <w:gridSpan w:val="2"/>
            <w:tcBorders>
              <w:top w:val="nil"/>
              <w:left w:val="nil"/>
              <w:bottom w:val="single" w:sz="4" w:space="0" w:color="000000"/>
              <w:right w:val="nil"/>
            </w:tcBorders>
            <w:shd w:val="clear" w:color="auto" w:fill="FFFFFF"/>
            <w:vAlign w:val="center"/>
            <w:hideMark/>
          </w:tcPr>
          <w:p w:rsidR="002B239E" w:rsidRPr="00A26FE3" w:rsidRDefault="002B239E" w:rsidP="001A2093">
            <w:pPr>
              <w:rPr>
                <w:sz w:val="22"/>
                <w:szCs w:val="22"/>
                <w:lang w:val="pt-BR"/>
              </w:rPr>
            </w:pPr>
            <w:r w:rsidRPr="00A26FE3">
              <w:rPr>
                <w:sz w:val="22"/>
                <w:szCs w:val="22"/>
                <w:lang w:val="pt-BR"/>
              </w:rPr>
              <w:t>Da resolução AG/RES. 2930 (XLIX-O/19), “Direito Internacional”</w:t>
            </w:r>
          </w:p>
        </w:tc>
      </w:tr>
      <w:tr w:rsidR="002B239E" w:rsidRPr="00A26FE3"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jc w:val="center"/>
              <w:rPr>
                <w:b/>
                <w:sz w:val="22"/>
                <w:szCs w:val="22"/>
                <w:lang w:val="pt-BR"/>
              </w:rPr>
            </w:pPr>
            <w:r w:rsidRPr="00A26FE3">
              <w:rPr>
                <w:b/>
                <w:sz w:val="22"/>
                <w:szCs w:val="22"/>
                <w:lang w:val="pt-BR"/>
              </w:rPr>
              <w:t>Seções do Capítulo I</w:t>
            </w:r>
          </w:p>
        </w:tc>
        <w:tc>
          <w:tcPr>
            <w:tcW w:w="46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tabs>
                <w:tab w:val="left" w:pos="720"/>
                <w:tab w:val="left" w:pos="1440"/>
                <w:tab w:val="left" w:pos="2160"/>
                <w:tab w:val="left" w:pos="2880"/>
                <w:tab w:val="left" w:pos="3600"/>
              </w:tabs>
              <w:jc w:val="center"/>
              <w:rPr>
                <w:b/>
                <w:sz w:val="22"/>
                <w:szCs w:val="22"/>
                <w:lang w:val="pt-BR"/>
              </w:rPr>
            </w:pPr>
            <w:r w:rsidRPr="00A26FE3">
              <w:rPr>
                <w:b/>
                <w:sz w:val="22"/>
                <w:szCs w:val="22"/>
                <w:lang w:val="pt-BR"/>
              </w:rPr>
              <w:t>Mandatos</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2"/>
              </w:numPr>
              <w:ind w:left="576" w:hanging="360"/>
              <w:rPr>
                <w:b/>
                <w:sz w:val="22"/>
                <w:szCs w:val="22"/>
                <w:lang w:val="pt-BR" w:eastAsia="es-ES"/>
              </w:rPr>
            </w:pPr>
            <w:r w:rsidRPr="00A26FE3">
              <w:rPr>
                <w:sz w:val="22"/>
                <w:szCs w:val="22"/>
                <w:lang w:val="pt-BR"/>
              </w:rPr>
              <w:t xml:space="preserve">Observações e recomendações sobre o Relatório Anual da CJI </w:t>
            </w: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tabs>
                <w:tab w:val="left" w:pos="720"/>
                <w:tab w:val="left" w:pos="1440"/>
                <w:tab w:val="left" w:pos="2160"/>
                <w:tab w:val="left" w:pos="2880"/>
                <w:tab w:val="left" w:pos="3600"/>
              </w:tabs>
              <w:jc w:val="both"/>
              <w:rPr>
                <w:sz w:val="22"/>
                <w:szCs w:val="22"/>
                <w:lang w:val="pt-BR"/>
              </w:rPr>
            </w:pPr>
            <w:r w:rsidRPr="00A26FE3">
              <w:rPr>
                <w:b/>
                <w:sz w:val="22"/>
                <w:szCs w:val="22"/>
                <w:u w:val="single"/>
                <w:lang w:val="pt-BR"/>
              </w:rPr>
              <w:t>Parágrafo dispositivo 2</w:t>
            </w:r>
            <w:r w:rsidRPr="00A26FE3">
              <w:rPr>
                <w:b/>
                <w:sz w:val="22"/>
                <w:szCs w:val="22"/>
                <w:lang w:val="pt-BR"/>
              </w:rPr>
              <w:t xml:space="preserve">: </w:t>
            </w:r>
            <w:r w:rsidRPr="00A26FE3">
              <w:rPr>
                <w:sz w:val="22"/>
                <w:szCs w:val="22"/>
                <w:lang w:val="pt-BR"/>
              </w:rPr>
              <w:t xml:space="preserve">“Solicitar à CJI que informe permanentemente sobre os avanços relativos aos temas incluídos em sua agenda, como os assuntos referentes aos acordos vinculantes e não vinculantes e </w:t>
            </w:r>
            <w:r w:rsidRPr="00A26FE3">
              <w:rPr>
                <w:bCs/>
                <w:sz w:val="22"/>
                <w:szCs w:val="22"/>
                <w:lang w:val="pt-BR"/>
              </w:rPr>
              <w:t>à segurança cibernética</w:t>
            </w:r>
            <w:r w:rsidRPr="00A26FE3">
              <w:rPr>
                <w:b/>
                <w:bCs/>
                <w:sz w:val="22"/>
                <w:szCs w:val="22"/>
                <w:lang w:val="pt-BR"/>
              </w:rPr>
              <w:t xml:space="preserve">, </w:t>
            </w:r>
            <w:r w:rsidRPr="00A26FE3">
              <w:rPr>
                <w:sz w:val="22"/>
                <w:szCs w:val="22"/>
                <w:lang w:val="pt-BR"/>
              </w:rPr>
              <w:t xml:space="preserve">levando em conta o trabalho do Grupo de Trabalho sobre Medidas de Fomento de Cooperação e Confiança no Ciberespaço do </w:t>
            </w:r>
            <w:r w:rsidRPr="00A26FE3">
              <w:rPr>
                <w:snapToGrid w:val="0"/>
                <w:sz w:val="22"/>
                <w:szCs w:val="22"/>
                <w:lang w:val="pt-BR"/>
              </w:rPr>
              <w:t>Comitê Interamericano contra o Terrorismo (CICTE)</w:t>
            </w:r>
            <w:r w:rsidRPr="00A26FE3">
              <w:rPr>
                <w:sz w:val="22"/>
                <w:szCs w:val="22"/>
                <w:lang w:val="pt-BR"/>
              </w:rPr>
              <w:t>, bem como o trabalho de outras áreas e entidades pertinentes da Organização dos Estados Americanos nessa matéria, e a eficácia das decisões judiciais estrangeiras, à luz da Convenção Interamericana sobre Eficácia Extraterritorial das Sentenças e Laudos Arbitrais Estrangeiros e da Lei Modelo Interamericana sobre Acesso à Informação Pública, e que continue a atualização dos princípios sobre a proteção de dados pessoais, levando em conta sua evolução”.</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2"/>
              </w:numPr>
              <w:ind w:left="576" w:hanging="360"/>
              <w:rPr>
                <w:sz w:val="22"/>
                <w:szCs w:val="22"/>
                <w:lang w:val="pt-BR"/>
              </w:rPr>
            </w:pPr>
            <w:r w:rsidRPr="00A26FE3">
              <w:rPr>
                <w:sz w:val="22"/>
                <w:szCs w:val="22"/>
                <w:lang w:val="pt-BR"/>
              </w:rPr>
              <w:t>Programa Interamericano para o Desenvolvimento do Direito Internacional</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tabs>
                <w:tab w:val="left" w:pos="720"/>
                <w:tab w:val="left" w:pos="1440"/>
                <w:tab w:val="left" w:pos="2160"/>
                <w:tab w:val="left" w:pos="2880"/>
                <w:tab w:val="left" w:pos="3600"/>
              </w:tabs>
              <w:jc w:val="both"/>
              <w:rPr>
                <w:b/>
                <w:sz w:val="22"/>
                <w:szCs w:val="22"/>
                <w:u w:val="single"/>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2"/>
              </w:numPr>
              <w:ind w:left="576" w:hanging="360"/>
              <w:rPr>
                <w:sz w:val="22"/>
                <w:szCs w:val="22"/>
                <w:lang w:val="pt-BR"/>
              </w:rPr>
            </w:pPr>
            <w:r w:rsidRPr="00A26FE3">
              <w:rPr>
                <w:sz w:val="22"/>
                <w:szCs w:val="22"/>
                <w:lang w:val="pt-BR"/>
              </w:rPr>
              <w:t xml:space="preserve">Elaboração de uma lei modelo sobre o uso de fogos de artifício </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tabs>
                <w:tab w:val="left" w:pos="720"/>
                <w:tab w:val="left" w:pos="1440"/>
                <w:tab w:val="left" w:pos="2160"/>
                <w:tab w:val="left" w:pos="2880"/>
                <w:tab w:val="left" w:pos="3600"/>
              </w:tabs>
              <w:jc w:val="both"/>
              <w:rPr>
                <w:b/>
                <w:sz w:val="22"/>
                <w:szCs w:val="22"/>
                <w:u w:val="single"/>
                <w:lang w:val="pt-BR"/>
              </w:rPr>
            </w:pPr>
          </w:p>
        </w:tc>
      </w:tr>
      <w:tr w:rsidR="002B239E" w:rsidRPr="00A26FE3"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tcPr>
          <w:p w:rsidR="002B239E" w:rsidRPr="00A26FE3" w:rsidRDefault="002B239E" w:rsidP="004931B8">
            <w:pPr>
              <w:numPr>
                <w:ilvl w:val="0"/>
                <w:numId w:val="12"/>
              </w:numPr>
              <w:ind w:left="576" w:hanging="360"/>
              <w:rPr>
                <w:sz w:val="22"/>
                <w:szCs w:val="22"/>
                <w:lang w:val="pt-BR"/>
              </w:rPr>
            </w:pPr>
            <w:r w:rsidRPr="00A26FE3">
              <w:rPr>
                <w:sz w:val="22"/>
                <w:szCs w:val="22"/>
                <w:lang w:val="pt-BR"/>
              </w:rPr>
              <w:t>Promoção do Tribunal Penal Internacional</w:t>
            </w:r>
          </w:p>
          <w:p w:rsidR="002B239E" w:rsidRPr="00A26FE3" w:rsidRDefault="002B239E" w:rsidP="001A2093">
            <w:pPr>
              <w:ind w:left="36"/>
              <w:rPr>
                <w:sz w:val="22"/>
                <w:szCs w:val="22"/>
                <w:lang w:val="pt-BR"/>
              </w:rPr>
            </w:pPr>
          </w:p>
          <w:p w:rsidR="002B239E" w:rsidRPr="00A26FE3" w:rsidRDefault="002B239E" w:rsidP="001A2093">
            <w:pPr>
              <w:ind w:left="36"/>
              <w:rPr>
                <w:sz w:val="22"/>
                <w:szCs w:val="22"/>
                <w:lang w:val="pt-BR"/>
              </w:rPr>
            </w:pPr>
          </w:p>
          <w:p w:rsidR="002B239E" w:rsidRPr="00A26FE3" w:rsidRDefault="002B239E" w:rsidP="001A2093">
            <w:pPr>
              <w:ind w:left="36"/>
              <w:rPr>
                <w:sz w:val="22"/>
                <w:szCs w:val="22"/>
                <w:lang w:val="pt-BR"/>
              </w:rPr>
            </w:pP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tabs>
                <w:tab w:val="left" w:pos="720"/>
                <w:tab w:val="left" w:pos="1440"/>
                <w:tab w:val="left" w:pos="2160"/>
                <w:tab w:val="left" w:pos="2880"/>
                <w:tab w:val="left" w:pos="3600"/>
              </w:tabs>
              <w:jc w:val="both"/>
              <w:rPr>
                <w:b/>
                <w:sz w:val="22"/>
                <w:szCs w:val="22"/>
                <w:lang w:val="pt-BR"/>
              </w:rPr>
            </w:pPr>
          </w:p>
        </w:tc>
      </w:tr>
      <w:tr w:rsidR="002B239E" w:rsidRPr="00A26FE3"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jc w:val="center"/>
              <w:rPr>
                <w:b/>
                <w:sz w:val="22"/>
                <w:szCs w:val="22"/>
                <w:lang w:val="pt-BR"/>
              </w:rPr>
            </w:pPr>
            <w:r w:rsidRPr="00A26FE3">
              <w:rPr>
                <w:b/>
                <w:sz w:val="22"/>
                <w:szCs w:val="22"/>
                <w:lang w:val="pt-BR"/>
              </w:rPr>
              <w:lastRenderedPageBreak/>
              <w:t>Capítulo II</w:t>
            </w:r>
          </w:p>
        </w:tc>
        <w:tc>
          <w:tcPr>
            <w:tcW w:w="46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tabs>
                <w:tab w:val="left" w:pos="720"/>
                <w:tab w:val="left" w:pos="1440"/>
                <w:tab w:val="left" w:pos="2160"/>
                <w:tab w:val="left" w:pos="2880"/>
                <w:tab w:val="left" w:pos="3600"/>
              </w:tabs>
              <w:jc w:val="center"/>
              <w:rPr>
                <w:b/>
                <w:sz w:val="22"/>
                <w:szCs w:val="22"/>
                <w:lang w:val="pt-BR"/>
              </w:rPr>
            </w:pPr>
            <w:r w:rsidRPr="00A26FE3">
              <w:rPr>
                <w:b/>
                <w:sz w:val="22"/>
                <w:szCs w:val="22"/>
                <w:lang w:val="pt-BR"/>
              </w:rPr>
              <w:t>Mandato</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tabs>
                <w:tab w:val="left" w:pos="576"/>
              </w:tabs>
              <w:rPr>
                <w:sz w:val="22"/>
                <w:szCs w:val="22"/>
                <w:lang w:val="pt-BR"/>
              </w:rPr>
            </w:pPr>
            <w:r w:rsidRPr="00A26FE3">
              <w:rPr>
                <w:sz w:val="22"/>
                <w:szCs w:val="22"/>
                <w:lang w:val="pt-BR"/>
              </w:rPr>
              <w:t xml:space="preserve">Acompanhamento e relatórios </w:t>
            </w: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tabs>
                <w:tab w:val="left" w:pos="720"/>
                <w:tab w:val="left" w:pos="1440"/>
                <w:tab w:val="left" w:pos="2160"/>
                <w:tab w:val="left" w:pos="2880"/>
                <w:tab w:val="left" w:pos="3600"/>
              </w:tabs>
              <w:jc w:val="both"/>
              <w:rPr>
                <w:sz w:val="22"/>
                <w:szCs w:val="22"/>
                <w:lang w:val="pt-BR"/>
              </w:rPr>
            </w:pPr>
            <w:r w:rsidRPr="00A26FE3">
              <w:rPr>
                <w:b/>
                <w:sz w:val="22"/>
                <w:szCs w:val="22"/>
                <w:u w:val="single"/>
                <w:lang w:val="pt-BR"/>
              </w:rPr>
              <w:t>Parágrafo dispositivo único</w:t>
            </w:r>
            <w:r w:rsidRPr="00A26FE3">
              <w:rPr>
                <w:sz w:val="22"/>
                <w:szCs w:val="22"/>
                <w:lang w:val="pt-BR"/>
              </w:rPr>
              <w:t xml:space="preserve">: “Solicitar ao Conselho Permanente que informe a Assembleia Geral, em seu </w:t>
            </w:r>
            <w:r w:rsidRPr="00A26FE3">
              <w:rPr>
                <w:bCs/>
                <w:sz w:val="22"/>
                <w:szCs w:val="22"/>
                <w:lang w:val="pt-BR"/>
              </w:rPr>
              <w:t>Quinquagésimo</w:t>
            </w:r>
            <w:r w:rsidRPr="00A26FE3">
              <w:rPr>
                <w:sz w:val="22"/>
                <w:szCs w:val="22"/>
                <w:lang w:val="pt-BR"/>
              </w:rPr>
              <w:t xml:space="preserve"> Período Ordinário de Sessões, sobre a implementação desta resolução. A execução das atividades previstas nesta resolução estará sujeita à disponibilidade de recursos financeiros no orçamento-programa da Organização e de outros recursos”.</w:t>
            </w:r>
          </w:p>
        </w:tc>
      </w:tr>
    </w:tbl>
    <w:p w:rsidR="002B239E" w:rsidRPr="00A26FE3" w:rsidRDefault="002B239E" w:rsidP="002B239E">
      <w:pPr>
        <w:tabs>
          <w:tab w:val="left" w:pos="900"/>
        </w:tabs>
        <w:ind w:left="900" w:hanging="540"/>
        <w:jc w:val="both"/>
        <w:rPr>
          <w:sz w:val="22"/>
          <w:szCs w:val="22"/>
          <w:lang w:val="pt-BR" w:eastAsia="es-ES"/>
        </w:rPr>
      </w:pPr>
    </w:p>
    <w:tbl>
      <w:tblPr>
        <w:tblW w:w="12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5"/>
        <w:gridCol w:w="4670"/>
      </w:tblGrid>
      <w:tr w:rsidR="002B239E" w:rsidRPr="008E192D" w:rsidTr="001A2093">
        <w:trPr>
          <w:trHeight w:val="70"/>
          <w:jc w:val="center"/>
        </w:trPr>
        <w:tc>
          <w:tcPr>
            <w:tcW w:w="12441" w:type="dxa"/>
            <w:gridSpan w:val="2"/>
            <w:tcBorders>
              <w:top w:val="nil"/>
              <w:left w:val="nil"/>
              <w:bottom w:val="single" w:sz="4" w:space="0" w:color="000000"/>
              <w:right w:val="nil"/>
            </w:tcBorders>
            <w:shd w:val="clear" w:color="auto" w:fill="FFFFFF"/>
            <w:vAlign w:val="center"/>
            <w:hideMark/>
          </w:tcPr>
          <w:p w:rsidR="002B239E" w:rsidRPr="00A26FE3" w:rsidRDefault="002B239E" w:rsidP="001A2093">
            <w:pPr>
              <w:tabs>
                <w:tab w:val="left" w:pos="720"/>
                <w:tab w:val="left" w:pos="1440"/>
                <w:tab w:val="left" w:pos="2160"/>
                <w:tab w:val="left" w:pos="2880"/>
                <w:tab w:val="left" w:pos="3600"/>
              </w:tabs>
              <w:rPr>
                <w:sz w:val="22"/>
                <w:szCs w:val="22"/>
                <w:lang w:val="pt-BR"/>
              </w:rPr>
            </w:pPr>
            <w:r w:rsidRPr="00A26FE3">
              <w:rPr>
                <w:sz w:val="22"/>
                <w:szCs w:val="22"/>
                <w:lang w:val="pt-BR"/>
              </w:rPr>
              <w:t>Da resolução AG/RES. 2931 (XLIX-O/19), “Fortalecimento da democracia”</w:t>
            </w:r>
          </w:p>
        </w:tc>
      </w:tr>
      <w:tr w:rsidR="002B239E" w:rsidRPr="00A26FE3"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jc w:val="center"/>
              <w:rPr>
                <w:b/>
                <w:sz w:val="22"/>
                <w:szCs w:val="22"/>
                <w:lang w:val="pt-BR"/>
              </w:rPr>
            </w:pPr>
            <w:r w:rsidRPr="00A26FE3">
              <w:rPr>
                <w:b/>
                <w:sz w:val="22"/>
                <w:szCs w:val="22"/>
                <w:lang w:val="pt-BR"/>
              </w:rPr>
              <w:t>Seções do Capítulo I</w:t>
            </w:r>
          </w:p>
        </w:tc>
        <w:tc>
          <w:tcPr>
            <w:tcW w:w="467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tabs>
                <w:tab w:val="left" w:pos="720"/>
                <w:tab w:val="left" w:pos="1440"/>
                <w:tab w:val="left" w:pos="2160"/>
                <w:tab w:val="left" w:pos="2880"/>
                <w:tab w:val="left" w:pos="3600"/>
              </w:tabs>
              <w:jc w:val="center"/>
              <w:rPr>
                <w:b/>
                <w:sz w:val="22"/>
                <w:szCs w:val="22"/>
                <w:lang w:val="pt-BR"/>
              </w:rPr>
            </w:pPr>
            <w:r w:rsidRPr="00A26FE3">
              <w:rPr>
                <w:b/>
                <w:sz w:val="22"/>
                <w:szCs w:val="22"/>
                <w:lang w:val="pt-BR"/>
              </w:rPr>
              <w:t>Mandatos</w:t>
            </w: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Acompanhamento da Carta Democrática Interamericana</w:t>
            </w:r>
          </w:p>
        </w:tc>
        <w:tc>
          <w:tcPr>
            <w:tcW w:w="4672"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720"/>
                <w:tab w:val="left" w:pos="1440"/>
                <w:tab w:val="left" w:pos="2160"/>
                <w:tab w:val="left" w:pos="2880"/>
                <w:tab w:val="left" w:pos="3600"/>
              </w:tabs>
              <w:rPr>
                <w:b/>
                <w:sz w:val="22"/>
                <w:szCs w:val="22"/>
                <w:lang w:val="pt-BR"/>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Acompanhamento da Convenção Interamericana contra a Corrupção e do Programa Interamericano de Cooperação para Combater a Corrupção</w:t>
            </w:r>
          </w:p>
        </w:tc>
        <w:tc>
          <w:tcPr>
            <w:tcW w:w="4672"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720"/>
                <w:tab w:val="left" w:pos="1440"/>
                <w:tab w:val="left" w:pos="2160"/>
                <w:tab w:val="left" w:pos="2880"/>
                <w:tab w:val="left" w:pos="3600"/>
              </w:tabs>
              <w:rPr>
                <w:b/>
                <w:sz w:val="22"/>
                <w:szCs w:val="22"/>
                <w:lang w:val="pt-BR"/>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Fortalecimento do cadastro e do registro da propriedade nas Américas</w:t>
            </w:r>
          </w:p>
        </w:tc>
        <w:tc>
          <w:tcPr>
            <w:tcW w:w="4672"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720"/>
                <w:tab w:val="left" w:pos="1440"/>
                <w:tab w:val="left" w:pos="2160"/>
                <w:tab w:val="left" w:pos="2880"/>
                <w:tab w:val="left" w:pos="3600"/>
              </w:tabs>
              <w:rPr>
                <w:b/>
                <w:sz w:val="22"/>
                <w:szCs w:val="22"/>
                <w:lang w:val="pt-BR"/>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Direitos da criança e do adolescente</w:t>
            </w:r>
          </w:p>
        </w:tc>
        <w:tc>
          <w:tcPr>
            <w:tcW w:w="4672"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720"/>
                <w:tab w:val="left" w:pos="1440"/>
                <w:tab w:val="left" w:pos="2160"/>
                <w:tab w:val="left" w:pos="2880"/>
                <w:tab w:val="left" w:pos="3600"/>
              </w:tabs>
              <w:rPr>
                <w:b/>
                <w:sz w:val="22"/>
                <w:szCs w:val="22"/>
                <w:u w:val="single"/>
                <w:lang w:val="pt-BR"/>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Diálogo inclusivo para a prevenção, a gestão eficaz e a solução</w:t>
            </w:r>
            <w:r w:rsidRPr="00A26FE3">
              <w:rPr>
                <w:b/>
                <w:sz w:val="22"/>
                <w:szCs w:val="22"/>
                <w:lang w:val="pt-BR"/>
              </w:rPr>
              <w:t xml:space="preserve"> </w:t>
            </w:r>
            <w:r w:rsidRPr="00A26FE3">
              <w:rPr>
                <w:sz w:val="22"/>
                <w:szCs w:val="22"/>
                <w:lang w:val="pt-BR"/>
              </w:rPr>
              <w:t>integral</w:t>
            </w:r>
            <w:r w:rsidRPr="00A26FE3">
              <w:rPr>
                <w:b/>
                <w:sz w:val="22"/>
                <w:szCs w:val="22"/>
                <w:lang w:val="pt-BR"/>
              </w:rPr>
              <w:t xml:space="preserve"> </w:t>
            </w:r>
            <w:r w:rsidRPr="00A26FE3">
              <w:rPr>
                <w:sz w:val="22"/>
                <w:szCs w:val="22"/>
                <w:lang w:val="pt-BR"/>
              </w:rPr>
              <w:t>do conflito social no investimento para o desenvolvimento integral</w:t>
            </w:r>
          </w:p>
        </w:tc>
        <w:tc>
          <w:tcPr>
            <w:tcW w:w="4672"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both"/>
              <w:rPr>
                <w:b/>
                <w:sz w:val="22"/>
                <w:szCs w:val="22"/>
                <w:lang w:val="pt-BR"/>
              </w:rPr>
            </w:pPr>
            <w:r w:rsidRPr="00A26FE3">
              <w:rPr>
                <w:b/>
                <w:sz w:val="22"/>
                <w:szCs w:val="22"/>
                <w:u w:val="single"/>
                <w:lang w:val="pt-BR"/>
              </w:rPr>
              <w:t>Parágrafo dispositivo 3</w:t>
            </w:r>
            <w:r w:rsidRPr="00A26FE3">
              <w:rPr>
                <w:b/>
                <w:sz w:val="22"/>
                <w:szCs w:val="22"/>
                <w:lang w:val="pt-BR"/>
              </w:rPr>
              <w:t>:</w:t>
            </w:r>
            <w:r w:rsidRPr="00A26FE3">
              <w:rPr>
                <w:sz w:val="22"/>
                <w:szCs w:val="22"/>
                <w:lang w:val="pt-BR"/>
              </w:rPr>
              <w:t xml:space="preserve"> “Solicitar ao Conselho Permanente que, sujeito à disponibilidade de recursos, promova a realização de uma sessão extraordinária da CAJP para o intercâmbio de experiências e informações sobre a matéria”.</w:t>
            </w: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bCs/>
                <w:color w:val="222222"/>
                <w:sz w:val="22"/>
                <w:szCs w:val="22"/>
                <w:lang w:val="pt-BR"/>
              </w:rPr>
              <w:t xml:space="preserve">Missão de Apoio contra a Corrupção e a Impunidade em </w:t>
            </w:r>
            <w:r w:rsidRPr="00A26FE3">
              <w:rPr>
                <w:sz w:val="22"/>
                <w:szCs w:val="22"/>
                <w:lang w:val="pt-BR"/>
              </w:rPr>
              <w:t xml:space="preserve">Honduras </w:t>
            </w:r>
          </w:p>
        </w:tc>
        <w:tc>
          <w:tcPr>
            <w:tcW w:w="4672"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720"/>
                <w:tab w:val="left" w:pos="1440"/>
                <w:tab w:val="left" w:pos="2160"/>
                <w:tab w:val="left" w:pos="2880"/>
                <w:tab w:val="left" w:pos="3600"/>
              </w:tabs>
              <w:rPr>
                <w:b/>
                <w:sz w:val="22"/>
                <w:szCs w:val="22"/>
                <w:lang w:val="pt-BR"/>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Governo digital, aberto e transparente</w:t>
            </w:r>
          </w:p>
        </w:tc>
        <w:tc>
          <w:tcPr>
            <w:tcW w:w="4672"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371"/>
              </w:tabs>
              <w:rPr>
                <w:sz w:val="22"/>
                <w:szCs w:val="22"/>
                <w:lang w:val="pt-BR" w:eastAsia="es-ES"/>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Fortalecimento das atividades do Programa Interamericano de Facilitadores Judiciais</w:t>
            </w:r>
          </w:p>
        </w:tc>
        <w:tc>
          <w:tcPr>
            <w:tcW w:w="4672"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tabs>
                <w:tab w:val="left" w:pos="720"/>
                <w:tab w:val="left" w:pos="1440"/>
                <w:tab w:val="left" w:pos="2160"/>
                <w:tab w:val="left" w:pos="2880"/>
                <w:tab w:val="left" w:pos="3600"/>
              </w:tabs>
              <w:jc w:val="both"/>
              <w:rPr>
                <w:b/>
                <w:sz w:val="22"/>
                <w:szCs w:val="22"/>
                <w:lang w:val="pt-BR"/>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Reunião de Ministros da Justiça ou de Outros Ministros ou Procuradores-Gerais das Américas</w:t>
            </w:r>
          </w:p>
        </w:tc>
        <w:tc>
          <w:tcPr>
            <w:tcW w:w="4672"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tabs>
                <w:tab w:val="left" w:pos="551"/>
              </w:tabs>
              <w:rPr>
                <w:sz w:val="22"/>
                <w:szCs w:val="22"/>
                <w:lang w:val="pt-BR" w:eastAsia="es-ES"/>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Fortalecimento e inovação da gestão pública nas Américas</w:t>
            </w:r>
          </w:p>
        </w:tc>
        <w:tc>
          <w:tcPr>
            <w:tcW w:w="4672"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tabs>
                <w:tab w:val="left" w:pos="551"/>
              </w:tabs>
              <w:rPr>
                <w:b/>
                <w:bCs/>
                <w:sz w:val="22"/>
                <w:szCs w:val="22"/>
                <w:u w:val="single"/>
                <w:lang w:val="pt-BR" w:eastAsia="es-ES"/>
              </w:rPr>
            </w:pPr>
            <w:r w:rsidRPr="00A26FE3">
              <w:rPr>
                <w:b/>
                <w:bCs/>
                <w:sz w:val="22"/>
                <w:szCs w:val="22"/>
                <w:u w:val="single"/>
                <w:lang w:val="pt-BR" w:eastAsia="es-ES"/>
              </w:rPr>
              <w:t>Parágrafo dispositivo 5</w:t>
            </w:r>
            <w:r w:rsidRPr="00A26FE3">
              <w:rPr>
                <w:sz w:val="22"/>
                <w:szCs w:val="22"/>
                <w:lang w:val="pt-BR" w:eastAsia="es-ES"/>
              </w:rPr>
              <w:t xml:space="preserve">: “Reconhecer o avanço registrado pela Rede Interamericana de Contratações Governamentais (RICG) no desenvolvimento de uma proposta de iniciativa hemisférica de contratações abertas, em </w:t>
            </w:r>
            <w:r w:rsidRPr="00A26FE3">
              <w:rPr>
                <w:sz w:val="22"/>
                <w:szCs w:val="22"/>
                <w:lang w:val="pt-BR" w:eastAsia="es-ES"/>
              </w:rPr>
              <w:lastRenderedPageBreak/>
              <w:t>coordenação com as autoridades competentes nacionais e a sociedade civil, e convidar a RICG a que apresente os resultados obtidos à CAJP”.</w:t>
            </w: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lastRenderedPageBreak/>
              <w:t>Cooperação técnica e missões de observação eleitoral</w:t>
            </w:r>
          </w:p>
        </w:tc>
        <w:tc>
          <w:tcPr>
            <w:tcW w:w="4672"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551"/>
              </w:tabs>
              <w:rPr>
                <w:sz w:val="22"/>
                <w:szCs w:val="22"/>
                <w:lang w:val="pt-BR" w:eastAsia="es-ES"/>
              </w:rPr>
            </w:pP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Acesso à informação pública e proteção de dados pessoais</w:t>
            </w:r>
          </w:p>
        </w:tc>
        <w:tc>
          <w:tcPr>
            <w:tcW w:w="4672"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r w:rsidRPr="00A26FE3">
              <w:rPr>
                <w:b/>
                <w:sz w:val="22"/>
                <w:szCs w:val="22"/>
                <w:u w:val="single"/>
                <w:lang w:val="pt-BR"/>
              </w:rPr>
              <w:t>Parágrafo dispositivo 2</w:t>
            </w:r>
            <w:r w:rsidRPr="00A26FE3">
              <w:rPr>
                <w:b/>
                <w:sz w:val="22"/>
                <w:szCs w:val="22"/>
                <w:lang w:val="pt-BR"/>
              </w:rPr>
              <w:t>:</w:t>
            </w:r>
            <w:r w:rsidRPr="00A26FE3">
              <w:rPr>
                <w:sz w:val="22"/>
                <w:szCs w:val="22"/>
                <w:lang w:val="pt-BR"/>
              </w:rPr>
              <w:t xml:space="preserve"> “Solicitar aos Estados membros que, no âmbito da CAJP, apresentem anualmente, de forma voluntária, seus avanços e intercambiem boas práticas na implementação do Programa Interamericano sobre Acesso à Informação Pública, e solicitar à CAJP que considere a possibilidade de que esses relatórios sejam apresentados de maneira progressiva por áreas específicas constantes do referido Programa”. </w:t>
            </w:r>
          </w:p>
          <w:p w:rsidR="002B239E" w:rsidRPr="00A26FE3" w:rsidRDefault="002B239E" w:rsidP="001A2093">
            <w:pPr>
              <w:jc w:val="both"/>
              <w:rPr>
                <w:b/>
                <w:sz w:val="22"/>
                <w:szCs w:val="22"/>
                <w:u w:val="single"/>
                <w:lang w:val="pt-BR"/>
              </w:rPr>
            </w:pPr>
          </w:p>
          <w:p w:rsidR="002B239E" w:rsidRPr="00A26FE3" w:rsidRDefault="002B239E" w:rsidP="001A2093">
            <w:pPr>
              <w:jc w:val="both"/>
              <w:rPr>
                <w:sz w:val="22"/>
                <w:szCs w:val="22"/>
                <w:lang w:val="pt-BR" w:eastAsia="es-ES"/>
              </w:rPr>
            </w:pPr>
            <w:r w:rsidRPr="00A26FE3">
              <w:rPr>
                <w:b/>
                <w:sz w:val="22"/>
                <w:szCs w:val="22"/>
                <w:u w:val="single"/>
                <w:lang w:val="pt-BR"/>
              </w:rPr>
              <w:t>Parágrafo dispositivo 3</w:t>
            </w:r>
            <w:r w:rsidRPr="00A26FE3">
              <w:rPr>
                <w:b/>
                <w:sz w:val="22"/>
                <w:szCs w:val="22"/>
                <w:lang w:val="pt-BR"/>
              </w:rPr>
              <w:t>:</w:t>
            </w:r>
            <w:r w:rsidRPr="00A26FE3">
              <w:rPr>
                <w:sz w:val="22"/>
                <w:szCs w:val="22"/>
                <w:lang w:val="pt-BR"/>
              </w:rPr>
              <w:t xml:space="preserve"> “</w:t>
            </w:r>
            <w:r w:rsidRPr="00A26FE3">
              <w:rPr>
                <w:sz w:val="22"/>
                <w:szCs w:val="22"/>
                <w:shd w:val="clear" w:color="auto" w:fill="FFFFFF"/>
                <w:lang w:val="pt-BR"/>
              </w:rPr>
              <w:t>Solicitar ao Departamento de Direito Internacional que apresente à CAJP uma proposta com indicadores de progresso para facilitar a elaboração dos relatórios e que, aproveitando a presença dos pontos focais na sessão da CAJP dedicada ao tratamento desse tema, organize paralelamente uma reunião de trabalho com eles, a fim de avançar coletivamente na implementação do Programa e explorar oportunidades de cooperação conjunta</w:t>
            </w:r>
            <w:r w:rsidRPr="00A26FE3">
              <w:rPr>
                <w:sz w:val="22"/>
                <w:szCs w:val="22"/>
                <w:lang w:val="pt-BR"/>
              </w:rPr>
              <w:t>”.</w:t>
            </w:r>
            <w:r w:rsidRPr="00A26FE3">
              <w:rPr>
                <w:iCs/>
                <w:sz w:val="22"/>
                <w:szCs w:val="22"/>
                <w:lang w:val="pt-BR"/>
              </w:rPr>
              <w:t xml:space="preserve"> </w:t>
            </w: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tcPr>
          <w:p w:rsidR="002B239E" w:rsidRPr="00A26FE3" w:rsidRDefault="002B239E" w:rsidP="004931B8">
            <w:pPr>
              <w:numPr>
                <w:ilvl w:val="0"/>
                <w:numId w:val="13"/>
              </w:numPr>
              <w:tabs>
                <w:tab w:val="left" w:pos="551"/>
              </w:tabs>
              <w:ind w:left="551" w:hanging="360"/>
              <w:jc w:val="both"/>
              <w:rPr>
                <w:sz w:val="22"/>
                <w:szCs w:val="22"/>
                <w:lang w:val="pt-BR"/>
              </w:rPr>
            </w:pPr>
            <w:r w:rsidRPr="00A26FE3">
              <w:rPr>
                <w:sz w:val="22"/>
                <w:szCs w:val="22"/>
                <w:lang w:val="pt-BR"/>
              </w:rPr>
              <w:t>Contribuição da região ao processo preparatório do período extraordinário de sessões da Assembleia Geral das Nações Unidas contra a corrupção (UNGASS 2021)</w:t>
            </w:r>
          </w:p>
          <w:p w:rsidR="002B239E" w:rsidRPr="00A26FE3" w:rsidRDefault="002B239E" w:rsidP="001A2093">
            <w:pPr>
              <w:tabs>
                <w:tab w:val="left" w:pos="551"/>
              </w:tabs>
              <w:jc w:val="both"/>
              <w:rPr>
                <w:sz w:val="22"/>
                <w:szCs w:val="22"/>
                <w:lang w:val="pt-BR"/>
              </w:rPr>
            </w:pPr>
          </w:p>
        </w:tc>
        <w:tc>
          <w:tcPr>
            <w:tcW w:w="4672"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tabs>
                <w:tab w:val="left" w:pos="551"/>
              </w:tabs>
              <w:jc w:val="both"/>
              <w:rPr>
                <w:sz w:val="22"/>
                <w:szCs w:val="22"/>
                <w:lang w:val="pt-BR" w:eastAsia="es-ES"/>
              </w:rPr>
            </w:pPr>
          </w:p>
        </w:tc>
      </w:tr>
      <w:tr w:rsidR="002B239E" w:rsidRPr="00A26FE3"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shd w:val="clear" w:color="auto" w:fill="A6A6A6"/>
            <w:hideMark/>
          </w:tcPr>
          <w:p w:rsidR="002B239E" w:rsidRPr="00A26FE3" w:rsidRDefault="002B239E" w:rsidP="001A2093">
            <w:pPr>
              <w:jc w:val="center"/>
              <w:rPr>
                <w:b/>
                <w:sz w:val="22"/>
                <w:szCs w:val="22"/>
                <w:lang w:val="pt-BR"/>
              </w:rPr>
            </w:pPr>
            <w:r w:rsidRPr="00A26FE3">
              <w:rPr>
                <w:b/>
                <w:sz w:val="22"/>
                <w:szCs w:val="22"/>
                <w:lang w:val="pt-BR"/>
              </w:rPr>
              <w:t>Capítulo II</w:t>
            </w:r>
          </w:p>
        </w:tc>
        <w:tc>
          <w:tcPr>
            <w:tcW w:w="4672" w:type="dxa"/>
            <w:tcBorders>
              <w:top w:val="single" w:sz="4" w:space="0" w:color="000000"/>
              <w:left w:val="single" w:sz="4" w:space="0" w:color="000000"/>
              <w:bottom w:val="single" w:sz="4" w:space="0" w:color="000000"/>
              <w:right w:val="single" w:sz="4" w:space="0" w:color="000000"/>
            </w:tcBorders>
            <w:shd w:val="clear" w:color="auto" w:fill="A6A6A6"/>
            <w:hideMark/>
          </w:tcPr>
          <w:p w:rsidR="002B239E" w:rsidRPr="00A26FE3" w:rsidRDefault="002B239E" w:rsidP="001A2093">
            <w:pPr>
              <w:jc w:val="center"/>
              <w:rPr>
                <w:b/>
                <w:sz w:val="22"/>
                <w:szCs w:val="22"/>
                <w:lang w:val="pt-BR"/>
              </w:rPr>
            </w:pPr>
            <w:r w:rsidRPr="00A26FE3">
              <w:rPr>
                <w:b/>
                <w:sz w:val="22"/>
                <w:szCs w:val="22"/>
                <w:lang w:val="pt-BR"/>
              </w:rPr>
              <w:t>Mandatos</w:t>
            </w:r>
          </w:p>
        </w:tc>
      </w:tr>
      <w:tr w:rsidR="002B239E" w:rsidRPr="008E192D" w:rsidTr="001A2093">
        <w:trPr>
          <w:trHeight w:val="70"/>
          <w:jc w:val="center"/>
        </w:trPr>
        <w:tc>
          <w:tcPr>
            <w:tcW w:w="7769" w:type="dxa"/>
            <w:tcBorders>
              <w:top w:val="single" w:sz="4" w:space="0" w:color="000000"/>
              <w:left w:val="single" w:sz="4" w:space="0" w:color="000000"/>
              <w:bottom w:val="single" w:sz="4" w:space="0" w:color="000000"/>
              <w:right w:val="single" w:sz="4" w:space="0" w:color="000000"/>
            </w:tcBorders>
            <w:shd w:val="clear" w:color="auto" w:fill="FFFFFF"/>
            <w:hideMark/>
          </w:tcPr>
          <w:p w:rsidR="002B239E" w:rsidRPr="00A26FE3" w:rsidRDefault="002B239E" w:rsidP="001A2093">
            <w:pPr>
              <w:jc w:val="both"/>
              <w:rPr>
                <w:sz w:val="22"/>
                <w:szCs w:val="22"/>
                <w:lang w:val="pt-BR"/>
              </w:rPr>
            </w:pPr>
            <w:r w:rsidRPr="00A26FE3">
              <w:rPr>
                <w:sz w:val="22"/>
                <w:szCs w:val="22"/>
                <w:lang w:val="pt-BR"/>
              </w:rPr>
              <w:t>Acompanhamento e relatórios</w:t>
            </w:r>
          </w:p>
        </w:tc>
        <w:tc>
          <w:tcPr>
            <w:tcW w:w="4672" w:type="dxa"/>
            <w:tcBorders>
              <w:top w:val="single" w:sz="4" w:space="0" w:color="000000"/>
              <w:left w:val="single" w:sz="4" w:space="0" w:color="000000"/>
              <w:bottom w:val="single" w:sz="4" w:space="0" w:color="000000"/>
              <w:right w:val="single" w:sz="4" w:space="0" w:color="000000"/>
            </w:tcBorders>
            <w:shd w:val="clear" w:color="auto" w:fill="FFFFFF"/>
          </w:tcPr>
          <w:p w:rsidR="002B239E" w:rsidRPr="00A26FE3" w:rsidRDefault="002B239E" w:rsidP="001A2093">
            <w:pPr>
              <w:jc w:val="both"/>
              <w:rPr>
                <w:sz w:val="22"/>
                <w:szCs w:val="22"/>
                <w:lang w:val="pt-BR"/>
              </w:rPr>
            </w:pPr>
            <w:r w:rsidRPr="00A26FE3">
              <w:rPr>
                <w:b/>
                <w:sz w:val="22"/>
                <w:szCs w:val="22"/>
                <w:u w:val="single"/>
                <w:lang w:val="pt-BR"/>
              </w:rPr>
              <w:t>Parágrafo dispositivo 1</w:t>
            </w:r>
            <w:r w:rsidRPr="00A26FE3">
              <w:rPr>
                <w:sz w:val="22"/>
                <w:szCs w:val="22"/>
                <w:lang w:val="pt-BR"/>
              </w:rPr>
              <w:t xml:space="preserve">: “Encarregar o Conselho Permanente de, por meio da inclusão no plano de </w:t>
            </w:r>
            <w:r w:rsidRPr="00A26FE3">
              <w:rPr>
                <w:sz w:val="22"/>
                <w:szCs w:val="22"/>
                <w:lang w:val="pt-BR"/>
              </w:rPr>
              <w:lastRenderedPageBreak/>
              <w:t>trabalho da CAJP, acompanhar os temas objeto desta resolução, e a Secretaria-Geral de apresentar relatório à Assembleia Geral em seu Quinquagésimo Período Ordinário de Sessões”.</w:t>
            </w:r>
          </w:p>
          <w:p w:rsidR="002B239E" w:rsidRPr="00A26FE3" w:rsidRDefault="002B239E" w:rsidP="001A2093">
            <w:pPr>
              <w:jc w:val="both"/>
              <w:rPr>
                <w:b/>
                <w:sz w:val="22"/>
                <w:szCs w:val="22"/>
                <w:u w:val="single"/>
                <w:lang w:val="pt-BR"/>
              </w:rPr>
            </w:pPr>
          </w:p>
          <w:p w:rsidR="002B239E" w:rsidRPr="00A26FE3" w:rsidRDefault="002B239E" w:rsidP="001A2093">
            <w:pPr>
              <w:jc w:val="both"/>
              <w:rPr>
                <w:sz w:val="22"/>
                <w:szCs w:val="22"/>
                <w:lang w:val="pt-BR"/>
              </w:rPr>
            </w:pPr>
            <w:r w:rsidRPr="00A26FE3">
              <w:rPr>
                <w:b/>
                <w:sz w:val="22"/>
                <w:szCs w:val="22"/>
                <w:u w:val="single"/>
                <w:lang w:val="pt-BR"/>
              </w:rPr>
              <w:t>Parágrafo dispositivo 3</w:t>
            </w:r>
            <w:r w:rsidRPr="00A26FE3">
              <w:rPr>
                <w:sz w:val="22"/>
                <w:szCs w:val="22"/>
                <w:lang w:val="pt-BR"/>
              </w:rPr>
              <w:t>: “Solicitar ao Conselho Permanente que informe o Quinquagésimo Período Ordinário de Sessões da Assembleia Geral sobre a implementação desta resolução. A execução das atividades previstas nesta resolução estará sujeita à disponibilidade de recursos financeiros alocados no orçamento-programa da Organização e de outros recursos”.</w:t>
            </w:r>
          </w:p>
        </w:tc>
      </w:tr>
    </w:tbl>
    <w:p w:rsidR="002B239E" w:rsidRPr="00A26FE3" w:rsidRDefault="002B239E" w:rsidP="002B239E">
      <w:pPr>
        <w:rPr>
          <w:sz w:val="22"/>
          <w:szCs w:val="22"/>
          <w:lang w:val="pt-BR"/>
        </w:rPr>
      </w:pP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6"/>
        <w:gridCol w:w="4699"/>
      </w:tblGrid>
      <w:tr w:rsidR="002B239E" w:rsidRPr="008E192D" w:rsidTr="001A2093">
        <w:trPr>
          <w:trHeight w:val="70"/>
          <w:jc w:val="center"/>
        </w:trPr>
        <w:tc>
          <w:tcPr>
            <w:tcW w:w="12492" w:type="dxa"/>
            <w:gridSpan w:val="2"/>
            <w:tcBorders>
              <w:top w:val="nil"/>
              <w:left w:val="nil"/>
              <w:bottom w:val="single" w:sz="4" w:space="0" w:color="000000"/>
              <w:right w:val="nil"/>
            </w:tcBorders>
            <w:shd w:val="clear" w:color="auto" w:fill="FFFFFF"/>
            <w:vAlign w:val="center"/>
            <w:hideMark/>
          </w:tcPr>
          <w:p w:rsidR="002B239E" w:rsidRPr="00A26FE3" w:rsidRDefault="002B239E" w:rsidP="001A2093">
            <w:pPr>
              <w:rPr>
                <w:sz w:val="22"/>
                <w:szCs w:val="22"/>
                <w:lang w:val="pt-BR"/>
              </w:rPr>
            </w:pPr>
            <w:r w:rsidRPr="00A26FE3">
              <w:rPr>
                <w:sz w:val="22"/>
                <w:szCs w:val="22"/>
                <w:lang w:val="pt-BR"/>
              </w:rPr>
              <w:t>Da resolução AG/RES. 2941 (XLIX-O/19), “Promoção e proteção dos direitos humanos”</w:t>
            </w:r>
          </w:p>
        </w:tc>
      </w:tr>
      <w:tr w:rsidR="002B239E" w:rsidRPr="00A26FE3"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jc w:val="center"/>
              <w:rPr>
                <w:b/>
                <w:sz w:val="22"/>
                <w:szCs w:val="22"/>
                <w:lang w:val="pt-BR"/>
              </w:rPr>
            </w:pPr>
            <w:r w:rsidRPr="00A26FE3">
              <w:rPr>
                <w:b/>
                <w:sz w:val="22"/>
                <w:szCs w:val="22"/>
                <w:lang w:val="pt-BR"/>
              </w:rPr>
              <w:t>Seções</w:t>
            </w:r>
          </w:p>
        </w:tc>
        <w:tc>
          <w:tcPr>
            <w:tcW w:w="46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tabs>
                <w:tab w:val="left" w:pos="720"/>
                <w:tab w:val="left" w:pos="1440"/>
                <w:tab w:val="left" w:pos="2160"/>
                <w:tab w:val="left" w:pos="2880"/>
                <w:tab w:val="left" w:pos="3600"/>
              </w:tabs>
              <w:jc w:val="center"/>
              <w:rPr>
                <w:b/>
                <w:sz w:val="22"/>
                <w:szCs w:val="22"/>
                <w:lang w:val="pt-BR"/>
              </w:rPr>
            </w:pPr>
            <w:r w:rsidRPr="00A26FE3">
              <w:rPr>
                <w:b/>
                <w:sz w:val="22"/>
                <w:szCs w:val="22"/>
                <w:lang w:val="pt-BR"/>
              </w:rPr>
              <w:t>Mandatos</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14"/>
              </w:numPr>
              <w:ind w:left="576" w:hanging="360"/>
              <w:jc w:val="both"/>
              <w:rPr>
                <w:b/>
                <w:i/>
                <w:color w:val="FF0000"/>
                <w:sz w:val="22"/>
                <w:szCs w:val="22"/>
                <w:lang w:val="pt-BR" w:eastAsia="es-ES"/>
              </w:rPr>
            </w:pPr>
            <w:r w:rsidRPr="00A26FE3">
              <w:rPr>
                <w:sz w:val="22"/>
                <w:szCs w:val="22"/>
                <w:lang w:val="pt-BR"/>
              </w:rPr>
              <w:t>Erradicação da apatridia na América</w:t>
            </w:r>
          </w:p>
        </w:tc>
        <w:tc>
          <w:tcPr>
            <w:tcW w:w="4698"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tabs>
                <w:tab w:val="left" w:pos="396"/>
              </w:tabs>
              <w:jc w:val="both"/>
              <w:rPr>
                <w:sz w:val="22"/>
                <w:szCs w:val="22"/>
                <w:lang w:val="pt-BR" w:eastAsia="es-ES"/>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jc w:val="both"/>
              <w:rPr>
                <w:sz w:val="22"/>
                <w:szCs w:val="22"/>
                <w:lang w:val="pt-BR"/>
              </w:rPr>
            </w:pPr>
            <w:r w:rsidRPr="00A26FE3">
              <w:rPr>
                <w:sz w:val="22"/>
                <w:szCs w:val="22"/>
                <w:lang w:val="pt-BR"/>
              </w:rPr>
              <w:t>Defensoras e defensores de direitos humanos</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jc w:val="both"/>
              <w:rPr>
                <w:sz w:val="22"/>
                <w:szCs w:val="22"/>
                <w:lang w:val="pt-BR"/>
              </w:rPr>
            </w:pPr>
            <w:r w:rsidRPr="00A26FE3">
              <w:rPr>
                <w:sz w:val="22"/>
                <w:szCs w:val="22"/>
                <w:lang w:val="pt-BR"/>
              </w:rPr>
              <w:t>Proteção dos solicitantes do reconhecimento da condição de refugiado e dos refugiados nas Américas</w:t>
            </w: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both"/>
              <w:rPr>
                <w:sz w:val="22"/>
                <w:szCs w:val="22"/>
                <w:lang w:val="pt-BR"/>
              </w:rPr>
            </w:pPr>
            <w:r w:rsidRPr="00A26FE3">
              <w:rPr>
                <w:b/>
                <w:sz w:val="22"/>
                <w:szCs w:val="22"/>
                <w:u w:val="single"/>
                <w:lang w:val="pt-BR"/>
              </w:rPr>
              <w:t>Parágrafo dispositivo 5</w:t>
            </w:r>
            <w:r w:rsidRPr="00A26FE3">
              <w:rPr>
                <w:sz w:val="22"/>
                <w:szCs w:val="22"/>
                <w:lang w:val="pt-BR"/>
              </w:rPr>
              <w:t xml:space="preserve">: “Convidar os Estados membros a que, considerando a experiência do Marco Integral Regional para a Proteção e Soluções (MIRPS) ou outras iniciativas similares, desenvolvam ou atualizem seus próprios quadros em matéria de prevenção, proteção e soluções para os solicitantes da condição de refugiado, os refugiados, os deslocados internos e as pessoas que retornam com necessidade de proteção, bem como a que trabalhem em conjunto no desenvolvimento de mecanismos de cooperação regional e de responsabilidade comum, com a participação de todos os atores relevantes; e encarregar a CAJP de dar seguimento a esta resolução e informar anualmente a respeito, </w:t>
            </w:r>
            <w:r w:rsidRPr="00A26FE3">
              <w:rPr>
                <w:sz w:val="22"/>
                <w:szCs w:val="22"/>
                <w:lang w:val="pt-BR"/>
              </w:rPr>
              <w:lastRenderedPageBreak/>
              <w:t>incentivando o intercâmbio de experiências e boas práticas implementadas pelos Estados membros, com o apoio e a colaboração técnica da Secretaria-Geral da Organização dos Estados Americanos (OEA) e do ACNUR”.</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58" w:hanging="542"/>
              <w:jc w:val="both"/>
              <w:rPr>
                <w:sz w:val="22"/>
                <w:szCs w:val="22"/>
                <w:lang w:val="pt-BR"/>
              </w:rPr>
            </w:pPr>
            <w:r w:rsidRPr="00A26FE3">
              <w:rPr>
                <w:sz w:val="22"/>
                <w:szCs w:val="22"/>
                <w:lang w:val="pt-BR"/>
              </w:rPr>
              <w:lastRenderedPageBreak/>
              <w:t>A defensoria pública oficial autônoma como salvaguarda da integridade pessoal de todos os seres humanos, sem nenhum tipo de discriminação</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58" w:hanging="542"/>
              <w:jc w:val="both"/>
              <w:rPr>
                <w:sz w:val="22"/>
                <w:szCs w:val="22"/>
                <w:lang w:val="pt-BR"/>
              </w:rPr>
            </w:pPr>
            <w:r w:rsidRPr="00A26FE3">
              <w:rPr>
                <w:sz w:val="22"/>
                <w:szCs w:val="22"/>
                <w:lang w:val="pt-BR"/>
              </w:rPr>
              <w:t>Direitos da criança e do adolescente</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58" w:hanging="542"/>
              <w:jc w:val="both"/>
              <w:rPr>
                <w:sz w:val="22"/>
                <w:szCs w:val="22"/>
                <w:lang w:val="pt-BR"/>
              </w:rPr>
            </w:pPr>
            <w:r w:rsidRPr="00A26FE3">
              <w:rPr>
                <w:sz w:val="22"/>
                <w:szCs w:val="22"/>
                <w:lang w:val="pt-BR"/>
              </w:rPr>
              <w:t>Fortalecimento do Mecanismo de Acompanhamento para a Implementação do Protocolo de São Salvador</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58" w:hanging="542"/>
              <w:jc w:val="both"/>
              <w:rPr>
                <w:sz w:val="22"/>
                <w:szCs w:val="22"/>
                <w:lang w:val="pt-BR"/>
              </w:rPr>
            </w:pPr>
            <w:r w:rsidRPr="00A26FE3">
              <w:rPr>
                <w:sz w:val="22"/>
                <w:szCs w:val="22"/>
                <w:lang w:val="pt-BR"/>
              </w:rPr>
              <w:t>Direitos humanos e meio ambiente</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jc w:val="both"/>
              <w:rPr>
                <w:sz w:val="22"/>
                <w:szCs w:val="22"/>
                <w:lang w:val="pt-BR"/>
              </w:rPr>
            </w:pPr>
            <w:r w:rsidRPr="00A26FE3">
              <w:rPr>
                <w:sz w:val="22"/>
                <w:szCs w:val="22"/>
                <w:lang w:val="pt-BR"/>
              </w:rPr>
              <w:t>Administração de justiça e direitos humanos</w:t>
            </w: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both"/>
              <w:rPr>
                <w:sz w:val="22"/>
                <w:szCs w:val="22"/>
                <w:lang w:val="pt-BR"/>
              </w:rPr>
            </w:pPr>
            <w:r w:rsidRPr="00A26FE3">
              <w:rPr>
                <w:b/>
                <w:sz w:val="22"/>
                <w:szCs w:val="22"/>
                <w:u w:val="single"/>
                <w:lang w:val="pt-BR"/>
              </w:rPr>
              <w:t>Parágrafo dispositivo 1</w:t>
            </w:r>
            <w:r w:rsidRPr="00A26FE3">
              <w:rPr>
                <w:sz w:val="22"/>
                <w:szCs w:val="22"/>
                <w:lang w:val="pt-BR"/>
              </w:rPr>
              <w:t>: “Continuar o intercâmbio de experiências, boas práticas e desafios no âmbito da CAJP, em matéria de administração da justiça sob a perspectiva de direitos humanos”.</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rPr>
                <w:sz w:val="22"/>
                <w:szCs w:val="22"/>
                <w:lang w:val="pt-BR"/>
              </w:rPr>
            </w:pPr>
            <w:r w:rsidRPr="00A26FE3">
              <w:rPr>
                <w:sz w:val="22"/>
                <w:szCs w:val="22"/>
                <w:lang w:val="pt-BR"/>
              </w:rPr>
              <w:t>Direitos das pessoas privadas de liberdade</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rPr>
                <w:sz w:val="22"/>
                <w:szCs w:val="22"/>
                <w:lang w:val="pt-BR"/>
              </w:rPr>
            </w:pPr>
            <w:r w:rsidRPr="00A26FE3">
              <w:rPr>
                <w:sz w:val="22"/>
                <w:szCs w:val="22"/>
                <w:lang w:val="pt-BR"/>
              </w:rPr>
              <w:t>Observações e recomendações sobre o Relatório Anual 2018 da Comissão Interamericana de Direitos Humanos</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jc w:val="both"/>
              <w:rPr>
                <w:sz w:val="22"/>
                <w:szCs w:val="22"/>
                <w:lang w:val="pt-BR"/>
              </w:rPr>
            </w:pPr>
            <w:r w:rsidRPr="00A26FE3">
              <w:rPr>
                <w:sz w:val="22"/>
                <w:szCs w:val="22"/>
                <w:lang w:val="pt-BR"/>
              </w:rPr>
              <w:t xml:space="preserve">O poder da inclusão e os benefícios da diversidade </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r w:rsidRPr="00A26FE3">
              <w:rPr>
                <w:b/>
                <w:sz w:val="22"/>
                <w:szCs w:val="22"/>
                <w:u w:val="single"/>
                <w:lang w:val="pt-BR"/>
              </w:rPr>
              <w:t>Parágrafo dispositivo 4</w:t>
            </w:r>
            <w:r w:rsidRPr="00A26FE3">
              <w:rPr>
                <w:sz w:val="22"/>
                <w:szCs w:val="22"/>
                <w:lang w:val="pt-BR"/>
              </w:rPr>
              <w:t xml:space="preserve">: “Solicitar à CAJP que, observando os recursos disponíveis e em coordenação com a Secretaria de Acesso a Direitos e Equidade, organize uma sessão extraordinária em que os Estados membros possam compartilhar lições aprendidas e intercambiar boas práticas, com vistas a alcançar as metas desta resolução, </w:t>
            </w:r>
            <w:r w:rsidRPr="00A26FE3">
              <w:rPr>
                <w:color w:val="000000"/>
                <w:sz w:val="22"/>
                <w:szCs w:val="22"/>
                <w:shd w:val="clear" w:color="auto" w:fill="FFFFFF"/>
                <w:lang w:val="pt-BR"/>
              </w:rPr>
              <w:t xml:space="preserve">com enfoque especial nos aspectos identificados no parágrafo 3, </w:t>
            </w:r>
            <w:r w:rsidRPr="00A26FE3">
              <w:rPr>
                <w:color w:val="000000"/>
                <w:sz w:val="22"/>
                <w:szCs w:val="22"/>
                <w:u w:val="single"/>
                <w:shd w:val="clear" w:color="auto" w:fill="FFFFFF"/>
                <w:lang w:val="pt-BR"/>
              </w:rPr>
              <w:t>b</w:t>
            </w:r>
            <w:r w:rsidRPr="00A26FE3">
              <w:rPr>
                <w:color w:val="000000"/>
                <w:sz w:val="22"/>
                <w:szCs w:val="22"/>
                <w:shd w:val="clear" w:color="auto" w:fill="FFFFFF"/>
                <w:lang w:val="pt-BR"/>
              </w:rPr>
              <w:t>, anterior que fortalecem nossas democracias;</w:t>
            </w:r>
            <w:r w:rsidRPr="00A26FE3">
              <w:rPr>
                <w:color w:val="212121"/>
                <w:sz w:val="22"/>
                <w:szCs w:val="22"/>
                <w:shd w:val="clear" w:color="auto" w:fill="FFFFFF"/>
                <w:lang w:val="pt-BR"/>
              </w:rPr>
              <w:t xml:space="preserve"> e que a CAJP apresente os </w:t>
            </w:r>
            <w:r w:rsidRPr="00A26FE3">
              <w:rPr>
                <w:sz w:val="22"/>
                <w:szCs w:val="22"/>
                <w:lang w:val="pt-BR"/>
              </w:rPr>
              <w:t xml:space="preserve">resultados alcançados na mencionada sessão ao Conselho Permanente antes </w:t>
            </w:r>
            <w:r w:rsidRPr="00A26FE3">
              <w:rPr>
                <w:sz w:val="22"/>
                <w:szCs w:val="22"/>
                <w:lang w:val="pt-BR"/>
              </w:rPr>
              <w:lastRenderedPageBreak/>
              <w:t>do Q</w:t>
            </w:r>
            <w:r w:rsidRPr="00A26FE3">
              <w:rPr>
                <w:color w:val="212121"/>
                <w:sz w:val="22"/>
                <w:szCs w:val="22"/>
                <w:lang w:val="pt-BR"/>
              </w:rPr>
              <w:t>uinquagésimo P</w:t>
            </w:r>
            <w:r w:rsidRPr="00A26FE3">
              <w:rPr>
                <w:sz w:val="22"/>
                <w:szCs w:val="22"/>
                <w:lang w:val="pt-BR"/>
              </w:rPr>
              <w:t>eríodo Ordinário de Sessões da Assembleia Geral”.</w:t>
            </w:r>
            <w:r w:rsidRPr="00A26FE3">
              <w:rPr>
                <w:rStyle w:val="FootnoteReference"/>
                <w:sz w:val="22"/>
                <w:szCs w:val="22"/>
                <w:vertAlign w:val="superscript"/>
                <w:lang w:val="pt-BR"/>
              </w:rPr>
              <w:footnoteReference w:id="1"/>
            </w:r>
          </w:p>
          <w:p w:rsidR="002B239E" w:rsidRPr="00A26FE3" w:rsidRDefault="002B239E" w:rsidP="001A2093">
            <w:pPr>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jc w:val="both"/>
              <w:rPr>
                <w:sz w:val="22"/>
                <w:szCs w:val="22"/>
                <w:lang w:val="pt-BR"/>
              </w:rPr>
            </w:pPr>
            <w:r w:rsidRPr="00A26FE3">
              <w:rPr>
                <w:sz w:val="22"/>
                <w:szCs w:val="22"/>
                <w:lang w:val="pt-BR"/>
              </w:rPr>
              <w:lastRenderedPageBreak/>
              <w:t>Reconhecimento e promoção dos direitos dos afrodescendentes nas Américas</w:t>
            </w: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both"/>
              <w:rPr>
                <w:sz w:val="22"/>
                <w:szCs w:val="22"/>
                <w:lang w:val="pt-BR"/>
              </w:rPr>
            </w:pPr>
            <w:r w:rsidRPr="00A26FE3">
              <w:rPr>
                <w:b/>
                <w:sz w:val="22"/>
                <w:szCs w:val="22"/>
                <w:u w:val="single"/>
                <w:lang w:val="pt-BR"/>
              </w:rPr>
              <w:t>Parágrafo dispositivo 1</w:t>
            </w:r>
            <w:r w:rsidRPr="00A26FE3">
              <w:rPr>
                <w:sz w:val="22"/>
                <w:szCs w:val="22"/>
                <w:lang w:val="pt-BR"/>
              </w:rPr>
              <w:t xml:space="preserve">: “Instar os Estados membros, a Secretaria-Geral e as instituições da OEA a que tomem todas as medidas necessárias para a implementação do Plano de Ação para a Década dos Afrodescendentes nas Américas (2016-2025) e a que comemorem a Semana Interamericana dos Afrodescendentes nas Américas”. </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20" w:hanging="490"/>
              <w:jc w:val="both"/>
              <w:rPr>
                <w:sz w:val="22"/>
                <w:szCs w:val="22"/>
                <w:lang w:val="pt-BR"/>
              </w:rPr>
            </w:pPr>
            <w:r w:rsidRPr="00A26FE3">
              <w:rPr>
                <w:sz w:val="22"/>
                <w:szCs w:val="22"/>
                <w:lang w:val="pt-BR"/>
              </w:rPr>
              <w:t>Integração</w:t>
            </w:r>
            <w:r w:rsidRPr="00A26FE3">
              <w:rPr>
                <w:color w:val="000000"/>
                <w:sz w:val="22"/>
                <w:szCs w:val="22"/>
                <w:lang w:val="pt-BR"/>
              </w:rPr>
              <w:t xml:space="preserve"> equilibrada de gênero e com representatividade geográfica e dos diferentes sistemas jurídicos, da Comissão Interamericana de Direitos Humanos e da Corte Interamericana de Direitos Humanos</w:t>
            </w: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both"/>
              <w:rPr>
                <w:sz w:val="22"/>
                <w:szCs w:val="22"/>
                <w:lang w:val="pt-BR"/>
              </w:rPr>
            </w:pPr>
            <w:r w:rsidRPr="00A26FE3">
              <w:rPr>
                <w:b/>
                <w:sz w:val="22"/>
                <w:szCs w:val="22"/>
                <w:u w:val="single"/>
                <w:lang w:val="pt-BR"/>
              </w:rPr>
              <w:t>Parágrafo dispositivo 3</w:t>
            </w:r>
            <w:r w:rsidRPr="00A26FE3">
              <w:rPr>
                <w:sz w:val="22"/>
                <w:szCs w:val="22"/>
                <w:lang w:val="pt-BR"/>
              </w:rPr>
              <w:t>: “Encarregar a CAJP de aprofundar seu trabalho nesse tema, incluindo em seu programa de trabalho 2019-2020 a realização de uma sessão de acompanhamento na qual os Estados membros, os peritos e peritas e a sociedade civil compartilhem boas práticas em processos de indicação e seleção de candidatos/as aos órgãos do sistema interamericano de direitos humanos, inclusive informação sobre procedimentos, políticas e práticas vigentes em âmbito nacional, com vistas a promover a paridade de gênero, a não discriminação e o equilíbrio entre as diferentes regiões e sistemas jurídicos do Hemisfério na CIDH e na Corte Interamericana de Direitos Humanos</w:t>
            </w:r>
            <w:r w:rsidRPr="00A26FE3">
              <w:rPr>
                <w:rFonts w:eastAsia="Arial Unicode MS"/>
                <w:sz w:val="22"/>
                <w:szCs w:val="22"/>
                <w:lang w:val="pt-BR"/>
              </w:rPr>
              <w:t>”.</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20" w:hanging="504"/>
              <w:jc w:val="both"/>
              <w:rPr>
                <w:sz w:val="22"/>
                <w:szCs w:val="22"/>
                <w:lang w:val="pt-BR"/>
              </w:rPr>
            </w:pPr>
            <w:r w:rsidRPr="00A26FE3">
              <w:rPr>
                <w:color w:val="000000"/>
                <w:sz w:val="22"/>
                <w:szCs w:val="22"/>
                <w:lang w:val="pt-BR"/>
              </w:rPr>
              <w:t xml:space="preserve">Fortalecimento </w:t>
            </w:r>
            <w:r w:rsidRPr="00A26FE3">
              <w:rPr>
                <w:sz w:val="22"/>
                <w:szCs w:val="22"/>
                <w:lang w:val="pt-BR"/>
              </w:rPr>
              <w:t>do Mecanismo de Acompanhamento da Implementação da Convenção Interamericana para Prevenir, Punir e Erradicar a Violência contra a Mulher (MESECVI)</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58" w:hanging="542"/>
              <w:jc w:val="both"/>
              <w:rPr>
                <w:sz w:val="22"/>
                <w:szCs w:val="22"/>
                <w:lang w:val="pt-BR"/>
              </w:rPr>
            </w:pPr>
            <w:r w:rsidRPr="00A26FE3">
              <w:rPr>
                <w:sz w:val="22"/>
                <w:szCs w:val="22"/>
                <w:lang w:val="pt-BR"/>
              </w:rPr>
              <w:t xml:space="preserve">Acompanhamento de recomendações da Comissão Interamericana de </w:t>
            </w:r>
            <w:r w:rsidRPr="00A26FE3">
              <w:rPr>
                <w:sz w:val="22"/>
                <w:szCs w:val="22"/>
                <w:lang w:val="pt-BR"/>
              </w:rPr>
              <w:lastRenderedPageBreak/>
              <w:t>Direitos Humanos</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20" w:hanging="504"/>
              <w:jc w:val="both"/>
              <w:rPr>
                <w:sz w:val="22"/>
                <w:szCs w:val="22"/>
                <w:lang w:val="pt-BR"/>
              </w:rPr>
            </w:pPr>
            <w:r w:rsidRPr="00A26FE3">
              <w:rPr>
                <w:sz w:val="22"/>
                <w:szCs w:val="22"/>
                <w:lang w:val="pt-BR"/>
              </w:rPr>
              <w:lastRenderedPageBreak/>
              <w:t xml:space="preserve">Fortalecimento da Comissão Interamericana de Mulheres para a promoção da equidade e da igualdade de gênero e dos direitos humanos das mulheres e das meninas e para a eliminação da discriminação e de todas as formas de violência contra elas </w:t>
            </w:r>
          </w:p>
          <w:p w:rsidR="002B239E" w:rsidRPr="00A26FE3" w:rsidRDefault="002B239E" w:rsidP="001A2093">
            <w:pPr>
              <w:ind w:left="216"/>
              <w:jc w:val="both"/>
              <w:rPr>
                <w:sz w:val="22"/>
                <w:szCs w:val="22"/>
                <w:lang w:val="pt-BR"/>
              </w:rPr>
            </w:pP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20" w:hanging="504"/>
              <w:jc w:val="both"/>
              <w:rPr>
                <w:sz w:val="22"/>
                <w:szCs w:val="22"/>
                <w:lang w:val="pt-BR"/>
              </w:rPr>
            </w:pPr>
            <w:r w:rsidRPr="00A26FE3">
              <w:rPr>
                <w:sz w:val="22"/>
                <w:szCs w:val="22"/>
                <w:lang w:val="pt-BR"/>
              </w:rPr>
              <w:t>Direitos humanos e prevenção da discriminação e da violência contra as pessoas LGBTI</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jc w:val="both"/>
              <w:rPr>
                <w:sz w:val="22"/>
                <w:szCs w:val="22"/>
                <w:lang w:val="pt-BR"/>
              </w:rPr>
            </w:pPr>
            <w:r w:rsidRPr="00A26FE3">
              <w:rPr>
                <w:sz w:val="22"/>
                <w:szCs w:val="22"/>
                <w:lang w:val="pt-BR"/>
              </w:rPr>
              <w:t xml:space="preserve"> Direito à liberdade de religião ou crença </w:t>
            </w: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both"/>
              <w:rPr>
                <w:sz w:val="22"/>
                <w:szCs w:val="22"/>
                <w:lang w:val="pt-BR"/>
              </w:rPr>
            </w:pPr>
            <w:r w:rsidRPr="00A26FE3">
              <w:rPr>
                <w:b/>
                <w:sz w:val="22"/>
                <w:szCs w:val="22"/>
                <w:u w:val="single"/>
                <w:lang w:val="pt-BR"/>
              </w:rPr>
              <w:t>Parágrafo dispositivo 3</w:t>
            </w:r>
            <w:r w:rsidRPr="00A26FE3">
              <w:rPr>
                <w:sz w:val="22"/>
                <w:szCs w:val="22"/>
                <w:lang w:val="pt-BR"/>
              </w:rPr>
              <w:t>: “Solicitar à Secretaria-Geral que organize, com os recursos existentes, um diálogo regional sobre o direito à liberdade de pensamento, de consciência e de</w:t>
            </w:r>
            <w:r w:rsidRPr="00A26FE3">
              <w:rPr>
                <w:b/>
                <w:sz w:val="22"/>
                <w:szCs w:val="22"/>
                <w:lang w:val="pt-BR"/>
              </w:rPr>
              <w:t xml:space="preserve"> </w:t>
            </w:r>
            <w:r w:rsidRPr="00A26FE3">
              <w:rPr>
                <w:sz w:val="22"/>
                <w:szCs w:val="22"/>
                <w:lang w:val="pt-BR"/>
              </w:rPr>
              <w:t>religião ou crença, para o qual estariam convidados a contribuir os Estados membros, a CIDH, a sociedade civil e outros atores sociais; e solicitar à CAJP que organize, com os recursos disponíveis, uma sessão extraordinária onde os Estados membros possam compartilhar lições aprendidas e intercambiar boas práticas, a fim de avançar nas metas desta resolução, e que apresente os resultados da referida sessão para o Conselho Permanente antes do Quinquagésimo Período Ordinário de Sessões da Assembleia Geral”.</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20" w:hanging="504"/>
              <w:jc w:val="both"/>
              <w:rPr>
                <w:sz w:val="22"/>
                <w:szCs w:val="22"/>
                <w:lang w:val="pt-BR"/>
              </w:rPr>
            </w:pPr>
            <w:r w:rsidRPr="00A26FE3">
              <w:rPr>
                <w:sz w:val="22"/>
                <w:szCs w:val="22"/>
                <w:lang w:val="pt-BR"/>
              </w:rPr>
              <w:t>Acompanhamento da implementação da Declaração Americana sobre os Direitos dos Povos Indígenas e do Plano de Ação da Declaração Americana sobre os Direitos dos Povos Indígenas (2017-2021)</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r w:rsidRPr="00A26FE3">
              <w:rPr>
                <w:b/>
                <w:sz w:val="22"/>
                <w:szCs w:val="22"/>
                <w:u w:val="single"/>
                <w:lang w:val="pt-BR"/>
              </w:rPr>
              <w:t>Parágrafo dispositivo 1</w:t>
            </w:r>
            <w:r w:rsidRPr="00A26FE3">
              <w:rPr>
                <w:sz w:val="22"/>
                <w:szCs w:val="22"/>
                <w:lang w:val="pt-BR"/>
              </w:rPr>
              <w:t>: “</w:t>
            </w:r>
            <w:r w:rsidRPr="00A26FE3">
              <w:rPr>
                <w:color w:val="000000"/>
                <w:sz w:val="22"/>
                <w:szCs w:val="22"/>
                <w:lang w:val="pt-BR"/>
              </w:rPr>
              <w:t>Instar os Estados membros, a Secretaria-Geral e as instituições da OEA a que tomem todas as medidas necessárias para a implementação da Declaração Americana sobre os Direitos dos Povos Indígenas e do Plano de Ação da Declaração Americana sobre os Direitos dos Povos Indígenas (2017-2021</w:t>
            </w:r>
            <w:r w:rsidRPr="00A26FE3">
              <w:rPr>
                <w:bCs/>
                <w:sz w:val="22"/>
                <w:szCs w:val="22"/>
                <w:lang w:val="pt-BR"/>
              </w:rPr>
              <w:t>)”.</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576" w:hanging="360"/>
              <w:jc w:val="both"/>
              <w:rPr>
                <w:sz w:val="22"/>
                <w:szCs w:val="22"/>
                <w:lang w:val="pt-BR"/>
              </w:rPr>
            </w:pPr>
            <w:r w:rsidRPr="00A26FE3">
              <w:rPr>
                <w:sz w:val="22"/>
                <w:szCs w:val="22"/>
                <w:lang w:val="pt-BR"/>
              </w:rPr>
              <w:t xml:space="preserve">Programa de Ação para a Década das Américas pelos Direitos e pela Dignidade das Pessoas com Deficiência 2016-2026 e Apoio à Comissão para a Eliminação de Todas as Formas de Discriminação contra as Pessoas com </w:t>
            </w:r>
            <w:r w:rsidRPr="00A26FE3">
              <w:rPr>
                <w:sz w:val="22"/>
                <w:szCs w:val="22"/>
                <w:lang w:val="pt-BR"/>
              </w:rPr>
              <w:lastRenderedPageBreak/>
              <w:t xml:space="preserve">Deficiência </w:t>
            </w: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4"/>
              </w:numPr>
              <w:ind w:left="720" w:hanging="504"/>
              <w:jc w:val="both"/>
              <w:rPr>
                <w:sz w:val="22"/>
                <w:szCs w:val="22"/>
                <w:lang w:val="pt-BR"/>
              </w:rPr>
            </w:pPr>
            <w:r w:rsidRPr="00A26FE3">
              <w:rPr>
                <w:sz w:val="22"/>
                <w:szCs w:val="22"/>
                <w:lang w:val="pt-BR"/>
              </w:rPr>
              <w:lastRenderedPageBreak/>
              <w:t xml:space="preserve">Acompanhamento do </w:t>
            </w:r>
            <w:bookmarkStart w:id="0" w:name="_Toc398801849"/>
            <w:r w:rsidRPr="00A26FE3">
              <w:rPr>
                <w:sz w:val="22"/>
                <w:szCs w:val="22"/>
                <w:lang w:val="pt-BR"/>
              </w:rPr>
              <w:t>Programa Interamericano para o Registro Civil Universal e “Direito à Identidade”</w:t>
            </w:r>
            <w:bookmarkEnd w:id="0"/>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ind w:left="576"/>
              <w:jc w:val="both"/>
              <w:rPr>
                <w:sz w:val="22"/>
                <w:szCs w:val="22"/>
                <w:lang w:val="pt-BR"/>
              </w:rPr>
            </w:pP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tabs>
                <w:tab w:val="left" w:pos="576"/>
              </w:tabs>
              <w:ind w:left="576" w:hanging="576"/>
              <w:jc w:val="both"/>
              <w:rPr>
                <w:sz w:val="22"/>
                <w:szCs w:val="22"/>
                <w:lang w:val="pt-BR"/>
              </w:rPr>
            </w:pPr>
            <w:r w:rsidRPr="00A26FE3">
              <w:rPr>
                <w:sz w:val="22"/>
                <w:szCs w:val="22"/>
                <w:lang w:val="pt-BR"/>
              </w:rPr>
              <w:t xml:space="preserve">II. </w:t>
            </w:r>
            <w:r w:rsidRPr="00A26FE3">
              <w:rPr>
                <w:sz w:val="22"/>
                <w:szCs w:val="22"/>
                <w:lang w:val="pt-BR"/>
              </w:rPr>
              <w:tab/>
              <w:t xml:space="preserve">Acompanhamento e relatórios </w:t>
            </w:r>
          </w:p>
          <w:p w:rsidR="002B239E" w:rsidRPr="00A26FE3" w:rsidRDefault="002B239E" w:rsidP="001A2093">
            <w:pPr>
              <w:tabs>
                <w:tab w:val="left" w:pos="576"/>
              </w:tabs>
              <w:ind w:left="576" w:hanging="576"/>
              <w:jc w:val="both"/>
              <w:rPr>
                <w:sz w:val="22"/>
                <w:szCs w:val="22"/>
                <w:lang w:val="pt-BR"/>
              </w:rPr>
            </w:pPr>
          </w:p>
        </w:tc>
        <w:tc>
          <w:tcPr>
            <w:tcW w:w="4698"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rPr>
                <w:sz w:val="22"/>
                <w:szCs w:val="22"/>
                <w:lang w:val="pt-BR"/>
              </w:rPr>
            </w:pPr>
            <w:r w:rsidRPr="00A26FE3">
              <w:rPr>
                <w:b/>
                <w:sz w:val="22"/>
                <w:szCs w:val="22"/>
                <w:u w:val="single"/>
                <w:lang w:val="pt-BR"/>
              </w:rPr>
              <w:t>Parágrafo dispositivo 2</w:t>
            </w:r>
            <w:r w:rsidRPr="00A26FE3">
              <w:rPr>
                <w:sz w:val="22"/>
                <w:szCs w:val="22"/>
                <w:lang w:val="pt-BR"/>
              </w:rPr>
              <w:t>: “Solicitar ao Conselho Permanente que encarregue a CAJP de incluir em seu plano de trabalho, antes do Quinquagésimo Período Ordinário de Sessões da Assembleia Geral, os seguintes temas desta resolução, a fim de promover o intercâmbio de experiências e boas práticas:</w:t>
            </w:r>
            <w:r w:rsidRPr="00A26FE3">
              <w:rPr>
                <w:b/>
                <w:i/>
                <w:sz w:val="22"/>
                <w:szCs w:val="22"/>
                <w:lang w:val="pt-BR"/>
              </w:rPr>
              <w:t xml:space="preserve"> </w:t>
            </w:r>
          </w:p>
          <w:p w:rsidR="002B239E" w:rsidRPr="00A26FE3" w:rsidRDefault="002B239E" w:rsidP="001A2093">
            <w:pPr>
              <w:tabs>
                <w:tab w:val="left" w:pos="342"/>
              </w:tabs>
              <w:jc w:val="both"/>
              <w:rPr>
                <w:sz w:val="22"/>
                <w:szCs w:val="22"/>
                <w:lang w:val="pt-BR"/>
              </w:rPr>
            </w:pPr>
            <w:r w:rsidRPr="00A26FE3">
              <w:rPr>
                <w:sz w:val="22"/>
                <w:szCs w:val="22"/>
                <w:lang w:val="pt-BR"/>
              </w:rPr>
              <w:tab/>
              <w:t>“Pela defensoria pública oficial autônoma como salvaguarda da integridade de todos os seres humanos, sem nenhum tipo de discriminação”. A realização, no primeiro trimestre de</w:t>
            </w:r>
            <w:r w:rsidRPr="00A26FE3">
              <w:rPr>
                <w:bCs/>
                <w:sz w:val="22"/>
                <w:szCs w:val="22"/>
                <w:lang w:val="pt-BR"/>
              </w:rPr>
              <w:t xml:space="preserve"> </w:t>
            </w:r>
            <w:r w:rsidRPr="00A26FE3">
              <w:rPr>
                <w:sz w:val="22"/>
                <w:szCs w:val="22"/>
                <w:lang w:val="pt-BR"/>
              </w:rPr>
              <w:t>2020,</w:t>
            </w:r>
            <w:r w:rsidRPr="00A26FE3">
              <w:rPr>
                <w:bCs/>
                <w:sz w:val="22"/>
                <w:szCs w:val="22"/>
                <w:lang w:val="pt-BR"/>
              </w:rPr>
              <w:t xml:space="preserve"> </w:t>
            </w:r>
            <w:r w:rsidRPr="00A26FE3">
              <w:rPr>
                <w:sz w:val="22"/>
                <w:szCs w:val="22"/>
                <w:lang w:val="pt-BR"/>
              </w:rPr>
              <w:t>da Oitava Sessão Especial da CAJP</w:t>
            </w:r>
            <w:r w:rsidRPr="00A26FE3">
              <w:rPr>
                <w:bCs/>
                <w:sz w:val="22"/>
                <w:szCs w:val="22"/>
                <w:lang w:val="pt-BR"/>
              </w:rPr>
              <w:t xml:space="preserve"> </w:t>
            </w:r>
            <w:r w:rsidRPr="00A26FE3">
              <w:rPr>
                <w:sz w:val="22"/>
                <w:szCs w:val="22"/>
                <w:lang w:val="pt-BR"/>
              </w:rPr>
              <w:t>sobre os mecanismos de monitoramento dos centros de detenção de que dispõe cada instituição de defensoria pública oficial da região, com a presença dos Estados membros e suas respectivas instituições públicas oficiais de assistência jurídica, de integrantes da AIDEF, da CIDH, por meio de sua Relatoria sobre os Direitos das Pessoas Privadas de Liberdade nas Américas, de peritos do setor acadêmico e da sociedade civil, bem como das organizações internacionais. A participação dos membros da AIDEF será garantida por essa organização”.</w:t>
            </w:r>
          </w:p>
          <w:p w:rsidR="002B239E" w:rsidRPr="00A26FE3" w:rsidRDefault="002B239E" w:rsidP="001A2093">
            <w:pPr>
              <w:jc w:val="both"/>
              <w:rPr>
                <w:sz w:val="22"/>
                <w:szCs w:val="22"/>
                <w:lang w:val="pt-BR"/>
              </w:rPr>
            </w:pPr>
            <w:r w:rsidRPr="00A26FE3">
              <w:rPr>
                <w:b/>
                <w:sz w:val="22"/>
                <w:szCs w:val="22"/>
                <w:u w:val="single"/>
                <w:lang w:val="pt-BR"/>
              </w:rPr>
              <w:t>Parágrafo dispositivo 3</w:t>
            </w:r>
            <w:r w:rsidRPr="00A26FE3">
              <w:rPr>
                <w:sz w:val="22"/>
                <w:szCs w:val="22"/>
                <w:lang w:val="pt-BR"/>
              </w:rPr>
              <w:t>: “</w:t>
            </w:r>
            <w:r w:rsidRPr="00A26FE3">
              <w:rPr>
                <w:color w:val="000000"/>
                <w:sz w:val="22"/>
                <w:szCs w:val="22"/>
                <w:lang w:val="pt-BR" w:eastAsia="es-ES"/>
              </w:rPr>
              <w:t xml:space="preserve">Solicitar ao Conselho Permanente que informe a Assembleia Geral, em seu Quinquagésimo Período Ordinário de Sessões, sobre a implementação desta resolução. A execução das atividades previstas nesta resolução estará sujeita à disponibilidade de recursos </w:t>
            </w:r>
            <w:r w:rsidRPr="00A26FE3">
              <w:rPr>
                <w:color w:val="000000"/>
                <w:sz w:val="22"/>
                <w:szCs w:val="22"/>
                <w:lang w:val="pt-BR" w:eastAsia="es-ES"/>
              </w:rPr>
              <w:lastRenderedPageBreak/>
              <w:t>financeiros no orçamento-programa da Organização e de outros recursos</w:t>
            </w:r>
            <w:r w:rsidRPr="00A26FE3">
              <w:rPr>
                <w:color w:val="000000"/>
                <w:sz w:val="22"/>
                <w:szCs w:val="22"/>
                <w:lang w:val="pt-BR"/>
              </w:rPr>
              <w:t>”.</w:t>
            </w:r>
          </w:p>
        </w:tc>
      </w:tr>
    </w:tbl>
    <w:p w:rsidR="002B239E" w:rsidRPr="00A26FE3" w:rsidRDefault="002B239E" w:rsidP="002B239E">
      <w:pPr>
        <w:rPr>
          <w:sz w:val="22"/>
          <w:szCs w:val="22"/>
          <w:lang w:val="pt-BR"/>
        </w:rPr>
      </w:pPr>
      <w:r w:rsidRPr="00A26FE3">
        <w:rPr>
          <w:sz w:val="22"/>
          <w:szCs w:val="22"/>
          <w:lang w:val="pt-BR"/>
        </w:rPr>
        <w:lastRenderedPageBreak/>
        <w:br w:type="page"/>
      </w:r>
    </w:p>
    <w:tbl>
      <w:tblPr>
        <w:tblW w:w="12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6"/>
        <w:gridCol w:w="4699"/>
      </w:tblGrid>
      <w:tr w:rsidR="002B239E" w:rsidRPr="008E192D" w:rsidTr="001A2093">
        <w:trPr>
          <w:trHeight w:val="70"/>
          <w:jc w:val="center"/>
        </w:trPr>
        <w:tc>
          <w:tcPr>
            <w:tcW w:w="12492" w:type="dxa"/>
            <w:gridSpan w:val="2"/>
            <w:tcBorders>
              <w:top w:val="nil"/>
              <w:left w:val="nil"/>
              <w:bottom w:val="nil"/>
              <w:right w:val="nil"/>
            </w:tcBorders>
            <w:shd w:val="clear" w:color="auto" w:fill="FFFFFF"/>
            <w:vAlign w:val="center"/>
          </w:tcPr>
          <w:tbl>
            <w:tblPr>
              <w:tblW w:w="12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8"/>
              <w:gridCol w:w="4592"/>
            </w:tblGrid>
            <w:tr w:rsidR="002B239E" w:rsidRPr="008E192D" w:rsidTr="001A2093">
              <w:trPr>
                <w:trHeight w:val="70"/>
                <w:jc w:val="center"/>
              </w:trPr>
              <w:tc>
                <w:tcPr>
                  <w:tcW w:w="12384" w:type="dxa"/>
                  <w:gridSpan w:val="2"/>
                  <w:tcBorders>
                    <w:top w:val="nil"/>
                    <w:left w:val="nil"/>
                    <w:bottom w:val="single" w:sz="4" w:space="0" w:color="000000"/>
                    <w:right w:val="nil"/>
                  </w:tcBorders>
                  <w:shd w:val="clear" w:color="auto" w:fill="FFFFFF"/>
                  <w:vAlign w:val="center"/>
                  <w:hideMark/>
                </w:tcPr>
                <w:p w:rsidR="002B239E" w:rsidRPr="00A26FE3" w:rsidRDefault="002B239E" w:rsidP="001A2093">
                  <w:pPr>
                    <w:tabs>
                      <w:tab w:val="left" w:pos="720"/>
                      <w:tab w:val="left" w:pos="1440"/>
                      <w:tab w:val="left" w:pos="2160"/>
                      <w:tab w:val="left" w:pos="2880"/>
                      <w:tab w:val="left" w:pos="3600"/>
                    </w:tabs>
                    <w:jc w:val="both"/>
                    <w:rPr>
                      <w:sz w:val="22"/>
                      <w:szCs w:val="22"/>
                      <w:lang w:val="pt-BR"/>
                    </w:rPr>
                  </w:pPr>
                  <w:r w:rsidRPr="00A26FE3">
                    <w:rPr>
                      <w:sz w:val="22"/>
                      <w:szCs w:val="22"/>
                      <w:lang w:val="pt-BR"/>
                    </w:rPr>
                    <w:lastRenderedPageBreak/>
                    <w:t>Da resolução AG/RES. 2891(XLVI-O/16), “Plano de Ação da Década dos Afrodescendentes nas Américas (2016-2025)”</w:t>
                  </w:r>
                </w:p>
              </w:tc>
            </w:tr>
            <w:tr w:rsidR="002B239E" w:rsidRPr="00A26FE3"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jc w:val="center"/>
                    <w:rPr>
                      <w:b/>
                      <w:sz w:val="22"/>
                      <w:szCs w:val="22"/>
                      <w:lang w:val="pt-BR"/>
                    </w:rPr>
                  </w:pPr>
                  <w:r w:rsidRPr="00A26FE3">
                    <w:rPr>
                      <w:b/>
                      <w:sz w:val="22"/>
                      <w:szCs w:val="22"/>
                      <w:lang w:val="pt-BR"/>
                    </w:rPr>
                    <w:t xml:space="preserve">Plano de Ação da Década dos Afrodescendentes nas Américas </w:t>
                  </w:r>
                  <w:r w:rsidRPr="00A26FE3">
                    <w:rPr>
                      <w:b/>
                      <w:sz w:val="22"/>
                      <w:szCs w:val="22"/>
                      <w:lang w:val="pt-BR"/>
                    </w:rPr>
                    <w:br/>
                    <w:t>(2016-2025)</w:t>
                  </w:r>
                </w:p>
              </w:tc>
              <w:tc>
                <w:tcPr>
                  <w:tcW w:w="4590"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2B239E" w:rsidRPr="00A26FE3" w:rsidRDefault="002B239E" w:rsidP="001A2093">
                  <w:pPr>
                    <w:tabs>
                      <w:tab w:val="left" w:pos="720"/>
                      <w:tab w:val="left" w:pos="1440"/>
                      <w:tab w:val="left" w:pos="2160"/>
                      <w:tab w:val="left" w:pos="2880"/>
                      <w:tab w:val="left" w:pos="3600"/>
                    </w:tabs>
                    <w:jc w:val="center"/>
                    <w:rPr>
                      <w:b/>
                      <w:sz w:val="22"/>
                      <w:szCs w:val="22"/>
                      <w:lang w:val="pt-BR"/>
                    </w:rPr>
                  </w:pPr>
                  <w:r w:rsidRPr="00A26FE3">
                    <w:rPr>
                      <w:b/>
                      <w:sz w:val="22"/>
                      <w:szCs w:val="22"/>
                      <w:lang w:val="pt-BR"/>
                    </w:rPr>
                    <w:t>Mandato</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auto"/>
                  </w:tcBorders>
                  <w:hideMark/>
                </w:tcPr>
                <w:p w:rsidR="002B239E" w:rsidRPr="00A26FE3" w:rsidRDefault="002B239E" w:rsidP="004931B8">
                  <w:pPr>
                    <w:numPr>
                      <w:ilvl w:val="0"/>
                      <w:numId w:val="8"/>
                    </w:numPr>
                    <w:ind w:left="432"/>
                    <w:jc w:val="both"/>
                    <w:rPr>
                      <w:b/>
                      <w:sz w:val="22"/>
                      <w:szCs w:val="22"/>
                      <w:lang w:val="pt-BR"/>
                    </w:rPr>
                  </w:pPr>
                  <w:r w:rsidRPr="00A26FE3">
                    <w:rPr>
                      <w:sz w:val="22"/>
                      <w:szCs w:val="22"/>
                      <w:lang w:val="pt-BR"/>
                    </w:rPr>
                    <w:t xml:space="preserve">Implementação e acompanhamento do Plano </w:t>
                  </w:r>
                </w:p>
              </w:tc>
              <w:tc>
                <w:tcPr>
                  <w:tcW w:w="4590" w:type="dxa"/>
                  <w:tcBorders>
                    <w:top w:val="single" w:sz="4" w:space="0" w:color="auto"/>
                    <w:left w:val="single" w:sz="4" w:space="0" w:color="auto"/>
                    <w:bottom w:val="single" w:sz="4" w:space="0" w:color="auto"/>
                    <w:right w:val="single" w:sz="4" w:space="0" w:color="auto"/>
                  </w:tcBorders>
                  <w:hideMark/>
                </w:tcPr>
                <w:p w:rsidR="002B239E" w:rsidRPr="00A26FE3" w:rsidRDefault="002B239E" w:rsidP="001A2093">
                  <w:pPr>
                    <w:tabs>
                      <w:tab w:val="left" w:pos="900"/>
                    </w:tabs>
                    <w:jc w:val="both"/>
                    <w:rPr>
                      <w:b/>
                      <w:sz w:val="22"/>
                      <w:szCs w:val="22"/>
                      <w:lang w:val="pt-BR"/>
                    </w:rPr>
                  </w:pPr>
                  <w:r w:rsidRPr="00A26FE3">
                    <w:rPr>
                      <w:b/>
                      <w:sz w:val="22"/>
                      <w:szCs w:val="22"/>
                      <w:u w:val="single"/>
                      <w:lang w:val="pt-BR" w:eastAsia="es-ES"/>
                    </w:rPr>
                    <w:t>Parágrafo 3</w:t>
                  </w:r>
                  <w:r w:rsidRPr="00A26FE3">
                    <w:rPr>
                      <w:sz w:val="22"/>
                      <w:szCs w:val="22"/>
                      <w:lang w:val="pt-BR" w:eastAsia="es-ES"/>
                    </w:rPr>
                    <w:t>: “</w:t>
                  </w:r>
                  <w:r w:rsidRPr="00A26FE3">
                    <w:rPr>
                      <w:sz w:val="22"/>
                      <w:szCs w:val="22"/>
                      <w:lang w:val="pt-BR"/>
                    </w:rPr>
                    <w:t xml:space="preserve">A Secretaria-Geral prestará conta dos avanços da Organização na matéria a cada dois anos em uma sessão especial da Comissão de Assuntos Jurídicos e Políticos do Conselho Permanente da OEA”. </w:t>
                  </w:r>
                </w:p>
              </w:tc>
            </w:tr>
          </w:tbl>
          <w:p w:rsidR="002B239E" w:rsidRPr="00A26FE3" w:rsidRDefault="002B239E" w:rsidP="001A2093">
            <w:pPr>
              <w:tabs>
                <w:tab w:val="left" w:pos="720"/>
                <w:tab w:val="left" w:pos="1440"/>
                <w:tab w:val="left" w:pos="2160"/>
                <w:tab w:val="left" w:pos="2880"/>
                <w:tab w:val="left" w:pos="3600"/>
              </w:tabs>
              <w:jc w:val="both"/>
              <w:rPr>
                <w:sz w:val="22"/>
                <w:szCs w:val="22"/>
                <w:lang w:val="pt-BR"/>
              </w:rPr>
            </w:pPr>
          </w:p>
          <w:p w:rsidR="002B239E" w:rsidRPr="00A26FE3" w:rsidRDefault="002B239E" w:rsidP="001A2093">
            <w:pPr>
              <w:tabs>
                <w:tab w:val="left" w:pos="720"/>
                <w:tab w:val="left" w:pos="1440"/>
                <w:tab w:val="left" w:pos="2160"/>
                <w:tab w:val="left" w:pos="2880"/>
                <w:tab w:val="left" w:pos="3600"/>
              </w:tabs>
              <w:jc w:val="both"/>
              <w:rPr>
                <w:sz w:val="22"/>
                <w:szCs w:val="22"/>
                <w:lang w:val="pt-BR"/>
              </w:rPr>
            </w:pPr>
            <w:r w:rsidRPr="00A26FE3">
              <w:rPr>
                <w:sz w:val="22"/>
                <w:szCs w:val="22"/>
                <w:lang w:val="pt-BR"/>
              </w:rPr>
              <w:t>Da resolução AG/RES. 2913 (XLVII-O/17), “Plano de Ação da Declaração Americana sobre os Direitos dos Povos Indígenas (2017-2021)”:</w:t>
            </w:r>
          </w:p>
        </w:tc>
      </w:tr>
      <w:tr w:rsidR="002B239E" w:rsidRPr="00A26FE3" w:rsidTr="001A2093">
        <w:trPr>
          <w:trHeight w:val="70"/>
          <w:jc w:val="center"/>
        </w:trPr>
        <w:tc>
          <w:tcPr>
            <w:tcW w:w="7794" w:type="dxa"/>
            <w:tcBorders>
              <w:top w:val="single" w:sz="4" w:space="0" w:color="auto"/>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jc w:val="center"/>
              <w:rPr>
                <w:b/>
                <w:sz w:val="22"/>
                <w:szCs w:val="22"/>
                <w:lang w:val="pt-BR"/>
              </w:rPr>
            </w:pPr>
            <w:r w:rsidRPr="00A26FE3">
              <w:rPr>
                <w:b/>
                <w:sz w:val="22"/>
                <w:szCs w:val="22"/>
                <w:lang w:val="pt-BR"/>
              </w:rPr>
              <w:t>Plano de Ação da Declaração Americana sobre os Direitos dos Povos Indígenas (2017-2021)</w:t>
            </w:r>
          </w:p>
        </w:tc>
        <w:tc>
          <w:tcPr>
            <w:tcW w:w="4698" w:type="dxa"/>
            <w:tcBorders>
              <w:top w:val="nil"/>
              <w:left w:val="single" w:sz="4" w:space="0" w:color="000000"/>
              <w:bottom w:val="single" w:sz="4" w:space="0" w:color="000000"/>
              <w:right w:val="single" w:sz="4" w:space="0" w:color="000000"/>
            </w:tcBorders>
            <w:shd w:val="clear" w:color="auto" w:fill="BFBFBF"/>
            <w:vAlign w:val="center"/>
            <w:hideMark/>
          </w:tcPr>
          <w:p w:rsidR="002B239E" w:rsidRPr="00A26FE3" w:rsidRDefault="002B239E" w:rsidP="001A2093">
            <w:pPr>
              <w:tabs>
                <w:tab w:val="left" w:pos="720"/>
                <w:tab w:val="left" w:pos="1440"/>
                <w:tab w:val="left" w:pos="2160"/>
                <w:tab w:val="left" w:pos="2880"/>
                <w:tab w:val="left" w:pos="3600"/>
              </w:tabs>
              <w:jc w:val="center"/>
              <w:rPr>
                <w:b/>
                <w:sz w:val="22"/>
                <w:szCs w:val="22"/>
                <w:lang w:val="pt-BR"/>
              </w:rPr>
            </w:pPr>
            <w:r w:rsidRPr="00A26FE3">
              <w:rPr>
                <w:b/>
                <w:sz w:val="22"/>
                <w:szCs w:val="22"/>
                <w:lang w:val="pt-BR"/>
              </w:rPr>
              <w:t>Mandato</w:t>
            </w:r>
          </w:p>
        </w:tc>
      </w:tr>
      <w:tr w:rsidR="002B239E" w:rsidRPr="008E192D" w:rsidTr="001A2093">
        <w:trPr>
          <w:trHeight w:val="70"/>
          <w:jc w:val="center"/>
        </w:trPr>
        <w:tc>
          <w:tcPr>
            <w:tcW w:w="7794" w:type="dxa"/>
            <w:tcBorders>
              <w:top w:val="single" w:sz="4" w:space="0" w:color="000000"/>
              <w:left w:val="single" w:sz="4" w:space="0" w:color="000000"/>
              <w:bottom w:val="single" w:sz="4" w:space="0" w:color="000000"/>
              <w:right w:val="single" w:sz="4" w:space="0" w:color="000000"/>
            </w:tcBorders>
          </w:tcPr>
          <w:p w:rsidR="002B239E" w:rsidRPr="00A26FE3" w:rsidRDefault="002B239E" w:rsidP="004931B8">
            <w:pPr>
              <w:numPr>
                <w:ilvl w:val="0"/>
                <w:numId w:val="8"/>
              </w:numPr>
              <w:ind w:left="432"/>
              <w:jc w:val="both"/>
              <w:rPr>
                <w:sz w:val="22"/>
                <w:szCs w:val="22"/>
                <w:lang w:val="pt-BR" w:eastAsia="es-ES"/>
              </w:rPr>
            </w:pPr>
            <w:r w:rsidRPr="00A26FE3">
              <w:rPr>
                <w:sz w:val="22"/>
                <w:szCs w:val="22"/>
                <w:lang w:val="pt-BR"/>
              </w:rPr>
              <w:t>Intercâmbio</w:t>
            </w:r>
            <w:r w:rsidRPr="00A26FE3">
              <w:rPr>
                <w:sz w:val="22"/>
                <w:szCs w:val="22"/>
                <w:lang w:val="pt-BR" w:eastAsia="es-ES"/>
              </w:rPr>
              <w:t xml:space="preserve"> de boas práticas e experiências</w:t>
            </w:r>
          </w:p>
          <w:p w:rsidR="002B239E" w:rsidRPr="00A26FE3" w:rsidRDefault="002B239E" w:rsidP="001A2093">
            <w:pPr>
              <w:tabs>
                <w:tab w:val="left" w:pos="514"/>
              </w:tabs>
              <w:rPr>
                <w:b/>
                <w:sz w:val="22"/>
                <w:szCs w:val="22"/>
                <w:lang w:val="pt-BR"/>
              </w:rPr>
            </w:pPr>
          </w:p>
        </w:tc>
        <w:tc>
          <w:tcPr>
            <w:tcW w:w="4698"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tabs>
                <w:tab w:val="left" w:pos="900"/>
              </w:tabs>
              <w:jc w:val="both"/>
              <w:rPr>
                <w:b/>
                <w:sz w:val="22"/>
                <w:szCs w:val="22"/>
                <w:lang w:val="pt-BR"/>
              </w:rPr>
            </w:pPr>
            <w:r w:rsidRPr="00A26FE3">
              <w:rPr>
                <w:b/>
                <w:sz w:val="22"/>
                <w:szCs w:val="22"/>
                <w:u w:val="single"/>
                <w:lang w:val="pt-BR" w:eastAsia="es-ES"/>
              </w:rPr>
              <w:t>Item 5.2 (a)</w:t>
            </w:r>
            <w:r w:rsidRPr="00A26FE3">
              <w:rPr>
                <w:sz w:val="22"/>
                <w:szCs w:val="22"/>
                <w:lang w:val="pt-BR" w:eastAsia="es-ES"/>
              </w:rPr>
              <w:t>: “</w:t>
            </w:r>
            <w:r w:rsidRPr="00A26FE3">
              <w:rPr>
                <w:sz w:val="22"/>
                <w:szCs w:val="22"/>
                <w:lang w:val="pt-BR"/>
              </w:rPr>
              <w:t>Realizar uma sessão extraordinária anual da Comissão de Assuntos Jurídicos e Políticos da Organização dos Estados Americanos, com a presença de funcionários das instituições nacionais e subnacionais encarregadas dos temas relativos aos povos indígenas e aberta à participação de representantes dos povos indígenas, para o intercâmbio de informações sobre os avanços, experiências, lições aprendidas e desafios na implementação da DADIN</w:t>
            </w:r>
            <w:r w:rsidRPr="00A26FE3">
              <w:rPr>
                <w:sz w:val="22"/>
                <w:szCs w:val="22"/>
                <w:lang w:val="pt-BR" w:eastAsia="es-ES"/>
              </w:rPr>
              <w:t>”.</w:t>
            </w:r>
          </w:p>
        </w:tc>
      </w:tr>
    </w:tbl>
    <w:p w:rsidR="002B239E" w:rsidRPr="00A26FE3" w:rsidRDefault="002B239E" w:rsidP="002B239E">
      <w:pPr>
        <w:pStyle w:val="ListParagraph"/>
        <w:rPr>
          <w:sz w:val="22"/>
          <w:szCs w:val="22"/>
          <w:lang w:val="pt-BR"/>
        </w:rPr>
      </w:pPr>
    </w:p>
    <w:p w:rsidR="002B239E" w:rsidRPr="00A26FE3" w:rsidRDefault="002B239E" w:rsidP="002B239E">
      <w:pPr>
        <w:jc w:val="right"/>
        <w:rPr>
          <w:b/>
          <w:sz w:val="22"/>
          <w:szCs w:val="22"/>
          <w:u w:val="single"/>
          <w:lang w:val="pt-BR" w:eastAsia="es-ES"/>
        </w:rPr>
        <w:sectPr w:rsidR="002B239E" w:rsidRPr="00A26FE3" w:rsidSect="00904EED">
          <w:headerReference w:type="even" r:id="rId12"/>
          <w:headerReference w:type="default" r:id="rId13"/>
          <w:footerReference w:type="default" r:id="rId14"/>
          <w:headerReference w:type="first" r:id="rId15"/>
          <w:type w:val="oddPage"/>
          <w:pgSz w:w="15840" w:h="12240" w:orient="landscape" w:code="1"/>
          <w:pgMar w:top="2160" w:right="1570" w:bottom="1296" w:left="1699" w:header="720" w:footer="1161" w:gutter="0"/>
          <w:pgNumType w:chapSep="emDash"/>
          <w:cols w:space="720"/>
          <w:titlePg/>
          <w:docGrid w:linePitch="326"/>
        </w:sectPr>
      </w:pPr>
    </w:p>
    <w:p w:rsidR="002B239E" w:rsidRPr="00A26FE3" w:rsidRDefault="002B239E" w:rsidP="002B239E">
      <w:pPr>
        <w:jc w:val="right"/>
        <w:rPr>
          <w:b/>
          <w:bCs/>
          <w:sz w:val="22"/>
          <w:szCs w:val="22"/>
          <w:u w:val="single"/>
          <w:lang w:val="pt-BR" w:eastAsia="es-ES"/>
        </w:rPr>
      </w:pPr>
      <w:r w:rsidRPr="00A26FE3">
        <w:rPr>
          <w:b/>
          <w:sz w:val="22"/>
          <w:szCs w:val="22"/>
          <w:u w:val="single"/>
          <w:lang w:val="pt-BR" w:eastAsia="es-ES"/>
        </w:rPr>
        <w:lastRenderedPageBreak/>
        <w:t>ANEXO II</w:t>
      </w:r>
    </w:p>
    <w:p w:rsidR="002B239E" w:rsidRPr="00A26FE3" w:rsidRDefault="002B239E" w:rsidP="002B239E">
      <w:pPr>
        <w:rPr>
          <w:sz w:val="22"/>
          <w:szCs w:val="22"/>
          <w:lang w:val="pt-BR" w:eastAsia="es-ES"/>
        </w:rPr>
      </w:pPr>
    </w:p>
    <w:p w:rsidR="002B239E" w:rsidRPr="00A26FE3" w:rsidRDefault="002B239E" w:rsidP="002B239E">
      <w:pPr>
        <w:jc w:val="center"/>
        <w:rPr>
          <w:b/>
          <w:bCs/>
          <w:sz w:val="22"/>
          <w:szCs w:val="22"/>
          <w:lang w:val="pt-BR" w:eastAsia="es-ES"/>
        </w:rPr>
      </w:pPr>
      <w:r w:rsidRPr="00A26FE3">
        <w:rPr>
          <w:b/>
          <w:sz w:val="22"/>
          <w:szCs w:val="22"/>
          <w:lang w:val="pt-BR" w:eastAsia="es-ES"/>
        </w:rPr>
        <w:t xml:space="preserve">CALENDÁRIO DE REUNIÕES </w:t>
      </w:r>
      <w:r w:rsidRPr="00A26FE3">
        <w:rPr>
          <w:b/>
          <w:sz w:val="22"/>
          <w:szCs w:val="22"/>
          <w:lang w:val="pt-BR" w:eastAsia="es-ES"/>
        </w:rPr>
        <w:br/>
        <w:t>DA COMISSÃO DE ASSUNTOS JURÍDICOS E POLÍTICOS</w:t>
      </w:r>
    </w:p>
    <w:p w:rsidR="002B239E" w:rsidRPr="00A26FE3" w:rsidRDefault="002B239E" w:rsidP="002B239E">
      <w:pPr>
        <w:jc w:val="center"/>
        <w:rPr>
          <w:b/>
          <w:bCs/>
          <w:sz w:val="22"/>
          <w:szCs w:val="22"/>
          <w:lang w:val="pt-BR" w:eastAsia="es-ES"/>
        </w:rPr>
      </w:pPr>
      <w:r w:rsidRPr="00A26FE3">
        <w:rPr>
          <w:b/>
          <w:sz w:val="22"/>
          <w:szCs w:val="22"/>
          <w:lang w:val="pt-BR" w:eastAsia="es-ES"/>
        </w:rPr>
        <w:t>(Segundo semestre de 2019 e primeiro semestre de 2020)</w:t>
      </w:r>
    </w:p>
    <w:p w:rsidR="002B239E" w:rsidRPr="00A26FE3" w:rsidRDefault="002B239E" w:rsidP="002B239E">
      <w:pPr>
        <w:rPr>
          <w:sz w:val="22"/>
          <w:szCs w:val="22"/>
          <w:lang w:val="pt-BR" w:eastAsia="es-ES"/>
        </w:rPr>
      </w:pPr>
    </w:p>
    <w:tbl>
      <w:tblPr>
        <w:tblW w:w="12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10024"/>
      </w:tblGrid>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2B239E" w:rsidRPr="00A26FE3" w:rsidRDefault="002B239E" w:rsidP="001A2093">
            <w:pPr>
              <w:tabs>
                <w:tab w:val="left" w:pos="342"/>
              </w:tabs>
              <w:ind w:left="360" w:hanging="360"/>
              <w:jc w:val="center"/>
              <w:rPr>
                <w:b/>
                <w:sz w:val="22"/>
                <w:szCs w:val="22"/>
                <w:lang w:val="pt-BR" w:eastAsia="es-ES"/>
              </w:rPr>
            </w:pPr>
            <w:r w:rsidRPr="00A26FE3">
              <w:rPr>
                <w:b/>
                <w:sz w:val="22"/>
                <w:szCs w:val="22"/>
                <w:lang w:val="pt-BR" w:eastAsia="es-ES"/>
              </w:rPr>
              <w:t>OUTUBRO DE 2019</w:t>
            </w:r>
          </w:p>
        </w:tc>
      </w:tr>
      <w:tr w:rsidR="002B239E" w:rsidRPr="008E192D" w:rsidTr="00760597">
        <w:trPr>
          <w:trHeight w:val="70"/>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Quarta-feira</w:t>
            </w:r>
          </w:p>
          <w:p w:rsidR="002B239E" w:rsidRPr="00A26FE3" w:rsidRDefault="002B239E" w:rsidP="001A2093">
            <w:pPr>
              <w:jc w:val="center"/>
              <w:rPr>
                <w:sz w:val="22"/>
                <w:szCs w:val="22"/>
                <w:lang w:val="pt-BR" w:eastAsia="es-ES"/>
              </w:rPr>
            </w:pPr>
            <w:r w:rsidRPr="00A26FE3">
              <w:rPr>
                <w:sz w:val="22"/>
                <w:szCs w:val="22"/>
                <w:lang w:val="pt-BR" w:eastAsia="es-ES"/>
              </w:rPr>
              <w:t>9 de outubro de 2019</w:t>
            </w:r>
            <w:r w:rsidRPr="00A26FE3">
              <w:rPr>
                <w:sz w:val="22"/>
                <w:szCs w:val="22"/>
                <w:lang w:val="pt-BR" w:eastAsia="es-ES"/>
              </w:rPr>
              <w:br/>
              <w:t xml:space="preserve">14h30–17h30 </w:t>
            </w:r>
          </w:p>
          <w:p w:rsidR="002B239E" w:rsidRPr="00A26FE3" w:rsidRDefault="002B239E" w:rsidP="001A2093">
            <w:pPr>
              <w:jc w:val="center"/>
              <w:rPr>
                <w:sz w:val="22"/>
                <w:szCs w:val="22"/>
                <w:lang w:val="pt-BR" w:eastAsia="es-ES"/>
              </w:rPr>
            </w:pPr>
            <w:r w:rsidRPr="00A26FE3">
              <w:rPr>
                <w:sz w:val="22"/>
                <w:szCs w:val="22"/>
                <w:lang w:val="pt-BR" w:eastAsia="es-ES"/>
              </w:rPr>
              <w:t xml:space="preserve">Salão Simón Bolívar </w:t>
            </w:r>
          </w:p>
        </w:tc>
        <w:tc>
          <w:tcPr>
            <w:tcW w:w="10023"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5"/>
              </w:numPr>
              <w:rPr>
                <w:sz w:val="22"/>
                <w:szCs w:val="22"/>
                <w:lang w:val="pt-BR" w:eastAsia="es-ES"/>
              </w:rPr>
            </w:pPr>
            <w:r w:rsidRPr="00A26FE3">
              <w:rPr>
                <w:sz w:val="22"/>
                <w:szCs w:val="22"/>
                <w:lang w:val="pt-BR" w:eastAsia="es-ES"/>
              </w:rPr>
              <w:t>Eleição de vice-presidências</w:t>
            </w:r>
          </w:p>
          <w:p w:rsidR="002B239E" w:rsidRPr="00A26FE3" w:rsidRDefault="002B239E" w:rsidP="004931B8">
            <w:pPr>
              <w:numPr>
                <w:ilvl w:val="0"/>
                <w:numId w:val="15"/>
              </w:numPr>
              <w:ind w:right="144"/>
              <w:jc w:val="both"/>
              <w:rPr>
                <w:sz w:val="22"/>
                <w:szCs w:val="22"/>
                <w:lang w:val="pt-BR" w:eastAsia="es-ES"/>
              </w:rPr>
            </w:pPr>
            <w:r w:rsidRPr="00A26FE3">
              <w:rPr>
                <w:sz w:val="22"/>
                <w:szCs w:val="22"/>
                <w:lang w:val="pt-BR" w:eastAsia="es-ES"/>
              </w:rPr>
              <w:t xml:space="preserve">Apresentação do </w:t>
            </w:r>
            <w:r w:rsidRPr="00A26FE3">
              <w:rPr>
                <w:sz w:val="22"/>
                <w:szCs w:val="22"/>
                <w:lang w:val="pt-BR"/>
              </w:rPr>
              <w:t>projeto de Plano de Trabalho da CAJP para o período 2019-2020</w:t>
            </w:r>
          </w:p>
          <w:p w:rsidR="002B239E" w:rsidRPr="00A26FE3" w:rsidRDefault="002B239E" w:rsidP="004931B8">
            <w:pPr>
              <w:numPr>
                <w:ilvl w:val="0"/>
                <w:numId w:val="15"/>
              </w:numPr>
              <w:ind w:right="144"/>
              <w:jc w:val="both"/>
              <w:rPr>
                <w:sz w:val="22"/>
                <w:szCs w:val="22"/>
                <w:lang w:val="pt-BR"/>
              </w:rPr>
            </w:pPr>
            <w:r w:rsidRPr="00A26FE3">
              <w:rPr>
                <w:sz w:val="22"/>
                <w:szCs w:val="22"/>
                <w:lang w:val="pt-BR"/>
              </w:rPr>
              <w:t>Acompanhamento dos mandatos da resolução AG/RES. 2931 (XLIX-O/19), “Fortalecimento da democracia”</w:t>
            </w:r>
          </w:p>
          <w:p w:rsidR="002B239E" w:rsidRPr="00A26FE3" w:rsidRDefault="002B239E" w:rsidP="004931B8">
            <w:pPr>
              <w:numPr>
                <w:ilvl w:val="0"/>
                <w:numId w:val="3"/>
              </w:numPr>
              <w:ind w:right="144"/>
              <w:jc w:val="both"/>
              <w:rPr>
                <w:sz w:val="22"/>
                <w:szCs w:val="22"/>
                <w:lang w:val="pt-BR" w:eastAsia="es-ES"/>
              </w:rPr>
            </w:pPr>
            <w:r w:rsidRPr="00A26FE3">
              <w:rPr>
                <w:sz w:val="22"/>
                <w:szCs w:val="22"/>
                <w:u w:val="single"/>
                <w:lang w:val="pt-BR" w:eastAsia="es-ES"/>
              </w:rPr>
              <w:t>Seção viii</w:t>
            </w:r>
            <w:r w:rsidRPr="00A26FE3">
              <w:rPr>
                <w:sz w:val="22"/>
                <w:szCs w:val="22"/>
                <w:lang w:val="pt-BR" w:eastAsia="es-ES"/>
              </w:rPr>
              <w:t xml:space="preserve">: </w:t>
            </w:r>
            <w:r w:rsidRPr="00A26FE3">
              <w:rPr>
                <w:sz w:val="22"/>
                <w:szCs w:val="22"/>
                <w:lang w:val="pt-BR"/>
              </w:rPr>
              <w:t>Fortalecimento das atividades do Programa Interamericano de Facilitadores Judiciais</w:t>
            </w:r>
          </w:p>
          <w:p w:rsidR="002B239E" w:rsidRPr="00A26FE3" w:rsidRDefault="002B239E" w:rsidP="001A2093">
            <w:pPr>
              <w:ind w:right="144"/>
              <w:jc w:val="both"/>
              <w:rPr>
                <w:sz w:val="22"/>
                <w:szCs w:val="22"/>
                <w:lang w:val="pt-BR" w:eastAsia="es-ES"/>
              </w:rPr>
            </w:pP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17 de outubro de 2019</w:t>
            </w:r>
            <w:r w:rsidRPr="00A26FE3">
              <w:rPr>
                <w:sz w:val="22"/>
                <w:szCs w:val="22"/>
                <w:lang w:val="pt-BR" w:eastAsia="es-ES"/>
              </w:rPr>
              <w:br/>
              <w:t xml:space="preserve">14h30–17h30 </w:t>
            </w:r>
          </w:p>
          <w:p w:rsidR="002B239E" w:rsidRPr="00A26FE3" w:rsidRDefault="002B239E" w:rsidP="001A2093">
            <w:pPr>
              <w:jc w:val="center"/>
              <w:rPr>
                <w:sz w:val="22"/>
                <w:szCs w:val="22"/>
                <w:lang w:val="pt-BR" w:eastAsia="es-ES"/>
              </w:rPr>
            </w:pPr>
            <w:r w:rsidRPr="00A26FE3">
              <w:rPr>
                <w:sz w:val="22"/>
                <w:szCs w:val="22"/>
                <w:lang w:val="pt-BR" w:eastAsia="es-ES"/>
              </w:rPr>
              <w:t xml:space="preserve">Salão Simón Bolívar </w:t>
            </w:r>
          </w:p>
        </w:tc>
        <w:tc>
          <w:tcPr>
            <w:tcW w:w="10023"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6"/>
              </w:numPr>
              <w:ind w:right="144"/>
              <w:jc w:val="both"/>
              <w:rPr>
                <w:sz w:val="22"/>
                <w:szCs w:val="22"/>
                <w:lang w:val="pt-BR"/>
              </w:rPr>
            </w:pPr>
            <w:r w:rsidRPr="00A26FE3">
              <w:rPr>
                <w:sz w:val="22"/>
                <w:szCs w:val="22"/>
                <w:lang w:val="pt-BR" w:eastAsia="es-ES"/>
              </w:rPr>
              <w:t>Consideração</w:t>
            </w:r>
            <w:r w:rsidRPr="00A26FE3">
              <w:rPr>
                <w:sz w:val="22"/>
                <w:szCs w:val="22"/>
                <w:lang w:val="pt-BR"/>
              </w:rPr>
              <w:t xml:space="preserve"> e aprovação do projeto de Plano de Trabalho da CAJP para o período 2019-2020</w:t>
            </w:r>
          </w:p>
          <w:p w:rsidR="002B239E" w:rsidRPr="00A26FE3" w:rsidRDefault="002B239E" w:rsidP="004931B8">
            <w:pPr>
              <w:numPr>
                <w:ilvl w:val="0"/>
                <w:numId w:val="16"/>
              </w:numPr>
              <w:ind w:right="144"/>
              <w:jc w:val="both"/>
              <w:rPr>
                <w:sz w:val="22"/>
                <w:szCs w:val="22"/>
                <w:lang w:val="pt-BR"/>
              </w:rPr>
            </w:pPr>
            <w:r w:rsidRPr="00A26FE3">
              <w:rPr>
                <w:sz w:val="22"/>
                <w:szCs w:val="22"/>
                <w:lang w:val="pt-BR"/>
              </w:rPr>
              <w:t>Eleição da Segunda Vice-Presidência</w:t>
            </w:r>
          </w:p>
          <w:p w:rsidR="002B239E" w:rsidRPr="00A26FE3" w:rsidRDefault="002B239E" w:rsidP="004931B8">
            <w:pPr>
              <w:numPr>
                <w:ilvl w:val="0"/>
                <w:numId w:val="16"/>
              </w:numPr>
              <w:ind w:right="144"/>
              <w:jc w:val="both"/>
              <w:rPr>
                <w:sz w:val="22"/>
                <w:szCs w:val="22"/>
                <w:lang w:val="pt-BR"/>
              </w:rPr>
            </w:pPr>
            <w:r w:rsidRPr="00A26FE3">
              <w:rPr>
                <w:sz w:val="22"/>
                <w:szCs w:val="22"/>
                <w:lang w:val="pt-BR"/>
              </w:rPr>
              <w:t>Acompanhamento dos mandatos da resolução AG/RES. 2928 (XLVIII-O/18), “Promoção e proteção dos direitos humanos”</w:t>
            </w:r>
          </w:p>
          <w:p w:rsidR="002B239E" w:rsidRPr="00A26FE3" w:rsidRDefault="002B239E" w:rsidP="004931B8">
            <w:pPr>
              <w:numPr>
                <w:ilvl w:val="0"/>
                <w:numId w:val="3"/>
              </w:numPr>
              <w:ind w:right="144"/>
              <w:jc w:val="both"/>
              <w:rPr>
                <w:sz w:val="22"/>
                <w:szCs w:val="22"/>
                <w:lang w:val="pt-BR"/>
              </w:rPr>
            </w:pPr>
            <w:r w:rsidRPr="00A26FE3">
              <w:rPr>
                <w:sz w:val="22"/>
                <w:szCs w:val="22"/>
                <w:u w:val="single"/>
                <w:lang w:val="pt-BR" w:eastAsia="es-ES"/>
              </w:rPr>
              <w:t>Seção</w:t>
            </w:r>
            <w:r w:rsidRPr="00A26FE3">
              <w:rPr>
                <w:sz w:val="22"/>
                <w:szCs w:val="22"/>
                <w:u w:val="single"/>
                <w:lang w:val="pt-BR"/>
              </w:rPr>
              <w:t xml:space="preserve"> iv</w:t>
            </w:r>
            <w:r w:rsidRPr="00A26FE3">
              <w:rPr>
                <w:sz w:val="22"/>
                <w:szCs w:val="22"/>
                <w:lang w:val="pt-BR"/>
              </w:rPr>
              <w:t>: Direito à liberdade de pensamento e expressão, inclusive na Internet, em contextos eleitorais</w:t>
            </w:r>
          </w:p>
          <w:p w:rsidR="002B239E" w:rsidRPr="00A26FE3" w:rsidRDefault="002B239E" w:rsidP="004931B8">
            <w:pPr>
              <w:numPr>
                <w:ilvl w:val="1"/>
                <w:numId w:val="9"/>
              </w:numPr>
              <w:tabs>
                <w:tab w:val="left" w:pos="843"/>
              </w:tabs>
              <w:ind w:right="144"/>
              <w:jc w:val="both"/>
              <w:rPr>
                <w:sz w:val="22"/>
                <w:szCs w:val="22"/>
                <w:lang w:val="pt-BR"/>
              </w:rPr>
            </w:pPr>
            <w:r w:rsidRPr="00A26FE3">
              <w:rPr>
                <w:sz w:val="22"/>
                <w:szCs w:val="22"/>
                <w:lang w:val="pt-BR"/>
              </w:rPr>
              <w:t xml:space="preserve">Proposta </w:t>
            </w:r>
            <w:r w:rsidRPr="00A26FE3">
              <w:rPr>
                <w:iCs/>
                <w:sz w:val="22"/>
                <w:szCs w:val="22"/>
                <w:lang w:val="pt-BR"/>
              </w:rPr>
              <w:t>de “Guia para abordar o fenômeno da desinformação em processos eleitorais e evitar interferências indevidas”</w:t>
            </w:r>
          </w:p>
          <w:p w:rsidR="002B239E" w:rsidRPr="00A26FE3" w:rsidRDefault="002B239E" w:rsidP="004931B8">
            <w:pPr>
              <w:numPr>
                <w:ilvl w:val="0"/>
                <w:numId w:val="16"/>
              </w:numPr>
              <w:ind w:right="144"/>
              <w:jc w:val="both"/>
              <w:rPr>
                <w:sz w:val="22"/>
                <w:szCs w:val="22"/>
                <w:lang w:val="pt-BR"/>
              </w:rPr>
            </w:pPr>
            <w:r w:rsidRPr="00A26FE3">
              <w:rPr>
                <w:sz w:val="22"/>
                <w:szCs w:val="22"/>
                <w:lang w:val="pt-BR"/>
              </w:rPr>
              <w:t>Acompanhamento dos mandatos da resolução AG/RES. 2931 (XLIX-O/19), “Fortalecimento da democracia”</w:t>
            </w:r>
          </w:p>
          <w:p w:rsidR="002B239E" w:rsidRPr="00A26FE3" w:rsidRDefault="002B239E" w:rsidP="004931B8">
            <w:pPr>
              <w:numPr>
                <w:ilvl w:val="0"/>
                <w:numId w:val="3"/>
              </w:numPr>
              <w:ind w:right="144"/>
              <w:jc w:val="both"/>
              <w:rPr>
                <w:sz w:val="22"/>
                <w:szCs w:val="22"/>
                <w:lang w:val="pt-BR" w:eastAsia="es-ES"/>
              </w:rPr>
            </w:pPr>
            <w:r w:rsidRPr="00A26FE3">
              <w:rPr>
                <w:sz w:val="22"/>
                <w:szCs w:val="22"/>
                <w:u w:val="single"/>
                <w:lang w:val="pt-BR" w:eastAsia="es-ES"/>
              </w:rPr>
              <w:t>Seção v</w:t>
            </w:r>
            <w:r w:rsidRPr="00A26FE3">
              <w:rPr>
                <w:sz w:val="22"/>
                <w:szCs w:val="22"/>
                <w:lang w:val="pt-BR" w:eastAsia="es-ES"/>
              </w:rPr>
              <w:t>: Diálogo inclusivo para a abordagem eficaz do conflito social no investimento para o desenvolvimento integral</w:t>
            </w:r>
          </w:p>
          <w:p w:rsidR="002B239E" w:rsidRPr="00A26FE3" w:rsidRDefault="002B239E" w:rsidP="004931B8">
            <w:pPr>
              <w:numPr>
                <w:ilvl w:val="1"/>
                <w:numId w:val="9"/>
              </w:numPr>
              <w:tabs>
                <w:tab w:val="left" w:pos="843"/>
              </w:tabs>
              <w:ind w:left="1188" w:right="144"/>
              <w:jc w:val="both"/>
              <w:rPr>
                <w:sz w:val="22"/>
                <w:szCs w:val="22"/>
                <w:lang w:val="pt-BR" w:eastAsia="es-ES"/>
              </w:rPr>
            </w:pPr>
            <w:r w:rsidRPr="00A26FE3">
              <w:rPr>
                <w:sz w:val="22"/>
                <w:szCs w:val="22"/>
                <w:lang w:val="pt-BR"/>
              </w:rPr>
              <w:t>Preparativos</w:t>
            </w:r>
            <w:r w:rsidRPr="00A26FE3">
              <w:rPr>
                <w:sz w:val="22"/>
                <w:szCs w:val="22"/>
                <w:lang w:val="pt-BR" w:eastAsia="es-ES"/>
              </w:rPr>
              <w:t xml:space="preserve"> da sessão extraordinária “</w:t>
            </w:r>
            <w:r w:rsidRPr="00A26FE3">
              <w:rPr>
                <w:sz w:val="22"/>
                <w:szCs w:val="22"/>
                <w:lang w:val="pt-BR"/>
              </w:rPr>
              <w:t>Diálogo inclusivo para a prevenção, a gestão eficaz e a solução</w:t>
            </w:r>
            <w:r w:rsidRPr="00A26FE3">
              <w:rPr>
                <w:b/>
                <w:sz w:val="22"/>
                <w:szCs w:val="22"/>
                <w:lang w:val="pt-BR"/>
              </w:rPr>
              <w:t xml:space="preserve"> </w:t>
            </w:r>
            <w:r w:rsidRPr="00A26FE3">
              <w:rPr>
                <w:sz w:val="22"/>
                <w:szCs w:val="22"/>
                <w:lang w:val="pt-BR"/>
              </w:rPr>
              <w:t>integral</w:t>
            </w:r>
            <w:r w:rsidRPr="00A26FE3">
              <w:rPr>
                <w:b/>
                <w:sz w:val="22"/>
                <w:szCs w:val="22"/>
                <w:lang w:val="pt-BR"/>
              </w:rPr>
              <w:t xml:space="preserve"> </w:t>
            </w:r>
            <w:r w:rsidRPr="00A26FE3">
              <w:rPr>
                <w:sz w:val="22"/>
                <w:szCs w:val="22"/>
                <w:lang w:val="pt-BR"/>
              </w:rPr>
              <w:t>do conflito social no investimento para o desenvolvimento integral</w:t>
            </w:r>
            <w:r w:rsidRPr="00A26FE3">
              <w:rPr>
                <w:sz w:val="22"/>
                <w:szCs w:val="22"/>
                <w:lang w:val="pt-BR" w:eastAsia="es-ES"/>
              </w:rPr>
              <w:t xml:space="preserve">” </w:t>
            </w:r>
          </w:p>
          <w:p w:rsidR="002B239E" w:rsidRPr="00A26FE3" w:rsidRDefault="002B239E" w:rsidP="004931B8">
            <w:pPr>
              <w:numPr>
                <w:ilvl w:val="0"/>
                <w:numId w:val="3"/>
              </w:numPr>
              <w:ind w:right="144"/>
              <w:jc w:val="both"/>
              <w:rPr>
                <w:sz w:val="22"/>
                <w:szCs w:val="22"/>
                <w:lang w:val="pt-BR" w:eastAsia="es-ES"/>
              </w:rPr>
            </w:pPr>
            <w:r w:rsidRPr="00A26FE3">
              <w:rPr>
                <w:sz w:val="22"/>
                <w:szCs w:val="22"/>
                <w:u w:val="single"/>
                <w:lang w:val="pt-BR" w:eastAsia="es-ES"/>
              </w:rPr>
              <w:t>Seção xii</w:t>
            </w:r>
            <w:r w:rsidRPr="00A26FE3">
              <w:rPr>
                <w:sz w:val="22"/>
                <w:szCs w:val="22"/>
                <w:lang w:val="pt-BR" w:eastAsia="es-ES"/>
              </w:rPr>
              <w:t>: Acesso à informação pública e proteção de dados pessoais</w:t>
            </w:r>
          </w:p>
          <w:p w:rsidR="002B239E" w:rsidRPr="00A26FE3" w:rsidRDefault="002B239E" w:rsidP="004931B8">
            <w:pPr>
              <w:numPr>
                <w:ilvl w:val="1"/>
                <w:numId w:val="9"/>
              </w:numPr>
              <w:tabs>
                <w:tab w:val="left" w:pos="843"/>
              </w:tabs>
              <w:ind w:left="1188" w:right="144"/>
              <w:jc w:val="both"/>
              <w:rPr>
                <w:sz w:val="22"/>
                <w:szCs w:val="22"/>
                <w:lang w:val="pt-BR"/>
              </w:rPr>
            </w:pPr>
            <w:r w:rsidRPr="00A26FE3">
              <w:rPr>
                <w:sz w:val="22"/>
                <w:szCs w:val="22"/>
                <w:lang w:val="pt-BR"/>
              </w:rPr>
              <w:t xml:space="preserve">Preparativos da sessão em que serão apresentados os relatórios voluntários de andamento e intercâmbio de boas práticas na implementação do Programa Interamericano de Acesso à Informação Pública </w:t>
            </w:r>
          </w:p>
          <w:p w:rsidR="002B239E" w:rsidRPr="00A26FE3" w:rsidRDefault="002B239E" w:rsidP="004931B8">
            <w:pPr>
              <w:numPr>
                <w:ilvl w:val="0"/>
                <w:numId w:val="16"/>
              </w:numPr>
              <w:ind w:right="144"/>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ind w:right="144"/>
              <w:jc w:val="both"/>
              <w:rPr>
                <w:sz w:val="22"/>
                <w:szCs w:val="22"/>
                <w:lang w:val="pt-BR" w:eastAsia="es-ES"/>
              </w:rPr>
            </w:pPr>
            <w:r w:rsidRPr="00A26FE3">
              <w:rPr>
                <w:sz w:val="22"/>
                <w:szCs w:val="22"/>
                <w:u w:val="single"/>
                <w:lang w:val="pt-BR"/>
              </w:rPr>
              <w:t xml:space="preserve">Seção </w:t>
            </w:r>
            <w:r w:rsidRPr="00A26FE3">
              <w:rPr>
                <w:sz w:val="22"/>
                <w:szCs w:val="22"/>
                <w:u w:val="single"/>
                <w:lang w:val="pt-BR" w:eastAsia="es-ES"/>
              </w:rPr>
              <w:t>iv</w:t>
            </w:r>
            <w:r w:rsidRPr="00A26FE3">
              <w:rPr>
                <w:sz w:val="22"/>
                <w:szCs w:val="22"/>
                <w:lang w:val="pt-BR" w:eastAsia="es-ES"/>
              </w:rPr>
              <w:t xml:space="preserve">: </w:t>
            </w:r>
            <w:r w:rsidRPr="00A26FE3">
              <w:rPr>
                <w:sz w:val="22"/>
                <w:szCs w:val="22"/>
                <w:lang w:val="pt-BR"/>
              </w:rPr>
              <w:t>A defensoria pública oficial autônoma como salvaguarda da integridade pessoal de todos os seres humanos, sem nenhum tipo de discriminação</w:t>
            </w:r>
          </w:p>
          <w:p w:rsidR="002B239E" w:rsidRPr="00A26FE3" w:rsidRDefault="002B239E" w:rsidP="004931B8">
            <w:pPr>
              <w:numPr>
                <w:ilvl w:val="1"/>
                <w:numId w:val="9"/>
              </w:numPr>
              <w:tabs>
                <w:tab w:val="left" w:pos="843"/>
              </w:tabs>
              <w:ind w:left="1188" w:right="144"/>
              <w:jc w:val="both"/>
              <w:rPr>
                <w:sz w:val="22"/>
                <w:szCs w:val="22"/>
                <w:lang w:val="pt-BR" w:eastAsia="es-ES"/>
              </w:rPr>
            </w:pPr>
            <w:r w:rsidRPr="00A26FE3">
              <w:rPr>
                <w:sz w:val="22"/>
                <w:szCs w:val="22"/>
                <w:lang w:val="pt-BR"/>
              </w:rPr>
              <w:lastRenderedPageBreak/>
              <w:t>Preparativos</w:t>
            </w:r>
            <w:r w:rsidRPr="00A26FE3">
              <w:rPr>
                <w:sz w:val="22"/>
                <w:szCs w:val="22"/>
                <w:lang w:val="pt-BR" w:eastAsia="es-ES"/>
              </w:rPr>
              <w:t xml:space="preserve"> da oitava </w:t>
            </w:r>
            <w:r w:rsidRPr="00A26FE3">
              <w:rPr>
                <w:sz w:val="22"/>
                <w:szCs w:val="22"/>
                <w:lang w:val="pt-BR"/>
              </w:rPr>
              <w:t xml:space="preserve">sessão extraordinária sobre os mecanismos de monitoramento dos centros de detenção de que dispõe cada instituição de defesa pública oficial da região </w:t>
            </w: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2B239E" w:rsidRPr="00A26FE3" w:rsidRDefault="002B239E" w:rsidP="001A2093">
            <w:pPr>
              <w:tabs>
                <w:tab w:val="left" w:pos="342"/>
              </w:tabs>
              <w:ind w:left="360" w:hanging="360"/>
              <w:jc w:val="center"/>
              <w:rPr>
                <w:b/>
                <w:sz w:val="22"/>
                <w:szCs w:val="22"/>
                <w:lang w:val="pt-BR" w:eastAsia="es-ES"/>
              </w:rPr>
            </w:pPr>
            <w:r w:rsidRPr="00A26FE3">
              <w:rPr>
                <w:b/>
                <w:sz w:val="22"/>
                <w:szCs w:val="22"/>
                <w:lang w:val="pt-BR" w:eastAsia="es-ES"/>
              </w:rPr>
              <w:lastRenderedPageBreak/>
              <w:t>NOVEMBRO DE 2019</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14 de novembro de 2019</w:t>
            </w:r>
            <w:r w:rsidRPr="00A26FE3">
              <w:rPr>
                <w:sz w:val="22"/>
                <w:szCs w:val="22"/>
                <w:lang w:val="pt-BR" w:eastAsia="es-ES"/>
              </w:rPr>
              <w:br/>
              <w:t xml:space="preserve">14h30–17h30 </w:t>
            </w:r>
          </w:p>
          <w:p w:rsidR="002B239E" w:rsidRPr="00A26FE3" w:rsidRDefault="002B239E" w:rsidP="001A2093">
            <w:pPr>
              <w:tabs>
                <w:tab w:val="left" w:pos="435"/>
                <w:tab w:val="center" w:pos="1180"/>
              </w:tabs>
              <w:jc w:val="center"/>
              <w:rPr>
                <w:sz w:val="22"/>
                <w:szCs w:val="22"/>
                <w:lang w:val="pt-BR" w:eastAsia="es-ES"/>
              </w:rPr>
            </w:pPr>
            <w:r w:rsidRPr="00A26FE3">
              <w:rPr>
                <w:sz w:val="22"/>
                <w:szCs w:val="22"/>
                <w:lang w:val="pt-BR" w:eastAsia="es-ES"/>
              </w:rPr>
              <w:t xml:space="preserve">Salão Simón Bolívar </w:t>
            </w:r>
          </w:p>
        </w:tc>
        <w:tc>
          <w:tcPr>
            <w:tcW w:w="10023" w:type="dxa"/>
            <w:tcBorders>
              <w:top w:val="single" w:sz="4" w:space="0" w:color="000000"/>
              <w:left w:val="single" w:sz="4" w:space="0" w:color="000000"/>
              <w:bottom w:val="single" w:sz="4" w:space="0" w:color="000000"/>
              <w:right w:val="single" w:sz="4" w:space="0" w:color="000000"/>
            </w:tcBorders>
          </w:tcPr>
          <w:p w:rsidR="002B239E" w:rsidRPr="00A26FE3" w:rsidRDefault="002B239E" w:rsidP="004931B8">
            <w:pPr>
              <w:numPr>
                <w:ilvl w:val="0"/>
                <w:numId w:val="5"/>
              </w:numPr>
              <w:ind w:right="234"/>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ind w:right="234"/>
              <w:jc w:val="both"/>
              <w:rPr>
                <w:sz w:val="22"/>
                <w:szCs w:val="22"/>
                <w:lang w:val="pt-BR"/>
              </w:rPr>
            </w:pPr>
            <w:r w:rsidRPr="00A26FE3">
              <w:rPr>
                <w:sz w:val="22"/>
                <w:szCs w:val="22"/>
                <w:u w:val="single"/>
                <w:lang w:val="pt-BR" w:eastAsia="es-ES"/>
              </w:rPr>
              <w:t>Seção xvii</w:t>
            </w:r>
            <w:r w:rsidRPr="00A26FE3">
              <w:rPr>
                <w:sz w:val="22"/>
                <w:szCs w:val="22"/>
                <w:lang w:val="pt-BR"/>
              </w:rPr>
              <w:t>: Direitos humanos e prevenção da discriminação e da violência contra as pessoas LGBTI</w:t>
            </w:r>
          </w:p>
          <w:p w:rsidR="002B239E" w:rsidRPr="00A26FE3" w:rsidRDefault="002B239E" w:rsidP="004931B8">
            <w:pPr>
              <w:numPr>
                <w:ilvl w:val="0"/>
                <w:numId w:val="24"/>
              </w:numPr>
              <w:ind w:left="1084" w:right="234"/>
              <w:jc w:val="both"/>
              <w:rPr>
                <w:sz w:val="22"/>
                <w:szCs w:val="22"/>
                <w:lang w:val="pt-BR"/>
              </w:rPr>
            </w:pPr>
            <w:r w:rsidRPr="00A26FE3">
              <w:rPr>
                <w:color w:val="000000"/>
                <w:sz w:val="22"/>
                <w:szCs w:val="22"/>
                <w:lang w:val="pt-BR"/>
              </w:rPr>
              <w:t>Intercâmbio de e</w:t>
            </w:r>
            <w:r w:rsidRPr="00A26FE3">
              <w:rPr>
                <w:sz w:val="22"/>
                <w:szCs w:val="22"/>
                <w:lang w:val="pt-BR"/>
              </w:rPr>
              <w:t>stratégias</w:t>
            </w:r>
            <w:r w:rsidRPr="00A26FE3">
              <w:rPr>
                <w:color w:val="000000"/>
                <w:sz w:val="22"/>
                <w:szCs w:val="22"/>
                <w:lang w:val="pt-BR"/>
              </w:rPr>
              <w:t xml:space="preserve"> e boas práticas para combater a violência e a discriminação contra as pessoas LGBTI.</w:t>
            </w:r>
          </w:p>
          <w:p w:rsidR="002B239E" w:rsidRPr="00A26FE3" w:rsidRDefault="002B239E" w:rsidP="004931B8">
            <w:pPr>
              <w:numPr>
                <w:ilvl w:val="0"/>
                <w:numId w:val="5"/>
              </w:numPr>
              <w:ind w:right="234"/>
              <w:jc w:val="both"/>
              <w:rPr>
                <w:sz w:val="22"/>
                <w:szCs w:val="22"/>
                <w:lang w:val="pt-BR" w:eastAsia="es-ES"/>
              </w:rPr>
            </w:pPr>
            <w:r w:rsidRPr="00A26FE3">
              <w:rPr>
                <w:sz w:val="22"/>
                <w:szCs w:val="22"/>
                <w:lang w:val="pt-BR"/>
              </w:rPr>
              <w:t>Acompanhamento dos mandatos da resolução AG/RES. 2930 (XLIX-O/19), “Direito internacional”</w:t>
            </w:r>
          </w:p>
          <w:p w:rsidR="002B239E" w:rsidRPr="00A26FE3" w:rsidRDefault="002B239E" w:rsidP="004931B8">
            <w:pPr>
              <w:numPr>
                <w:ilvl w:val="0"/>
                <w:numId w:val="3"/>
              </w:numPr>
              <w:ind w:right="234"/>
              <w:jc w:val="both"/>
              <w:rPr>
                <w:sz w:val="22"/>
                <w:szCs w:val="22"/>
                <w:lang w:val="pt-BR"/>
              </w:rPr>
            </w:pPr>
            <w:r w:rsidRPr="00A26FE3">
              <w:rPr>
                <w:sz w:val="22"/>
                <w:szCs w:val="22"/>
                <w:u w:val="single"/>
                <w:lang w:val="pt-BR" w:eastAsia="es-ES"/>
              </w:rPr>
              <w:t>Seção i</w:t>
            </w:r>
            <w:r w:rsidRPr="00A26FE3">
              <w:rPr>
                <w:sz w:val="22"/>
                <w:szCs w:val="22"/>
                <w:lang w:val="pt-BR"/>
              </w:rPr>
              <w:t>: Observações e recomendações sobre o Relatório Anual da Comissão Jurídica Interamericana</w:t>
            </w:r>
          </w:p>
          <w:p w:rsidR="002B239E" w:rsidRPr="00A26FE3" w:rsidRDefault="002B239E" w:rsidP="004931B8">
            <w:pPr>
              <w:numPr>
                <w:ilvl w:val="0"/>
                <w:numId w:val="24"/>
              </w:numPr>
              <w:ind w:left="1084" w:right="234"/>
              <w:jc w:val="both"/>
              <w:rPr>
                <w:sz w:val="22"/>
                <w:szCs w:val="22"/>
                <w:lang w:val="pt-BR"/>
              </w:rPr>
            </w:pPr>
            <w:r w:rsidRPr="00A26FE3">
              <w:rPr>
                <w:bCs/>
                <w:sz w:val="22"/>
                <w:szCs w:val="22"/>
                <w:lang w:val="pt-BR"/>
              </w:rPr>
              <w:t xml:space="preserve">Guia sobre o Direito Aplicável aos Contratos Comerciais Internacionais nas Américas </w:t>
            </w:r>
            <w:r w:rsidRPr="00A26FE3">
              <w:rPr>
                <w:sz w:val="22"/>
                <w:szCs w:val="22"/>
                <w:lang w:val="pt-BR"/>
              </w:rPr>
              <w:t>[</w:t>
            </w:r>
            <w:hyperlink r:id="rId16" w:history="1">
              <w:r w:rsidRPr="00A26FE3">
                <w:rPr>
                  <w:rStyle w:val="Hyperlink"/>
                  <w:sz w:val="22"/>
                  <w:szCs w:val="22"/>
                  <w:lang w:val="pt-BR"/>
                </w:rPr>
                <w:t>CJI/RES. 249</w:t>
              </w:r>
            </w:hyperlink>
            <w:r w:rsidRPr="00A26FE3">
              <w:rPr>
                <w:sz w:val="22"/>
                <w:szCs w:val="22"/>
                <w:lang w:val="pt-BR"/>
              </w:rPr>
              <w:t xml:space="preserve"> (XCIV-O/19)]</w:t>
            </w:r>
            <w:r w:rsidRPr="00A26FE3">
              <w:rPr>
                <w:color w:val="000000"/>
                <w:sz w:val="22"/>
                <w:szCs w:val="22"/>
                <w:lang w:val="pt-BR"/>
              </w:rPr>
              <w:t>.</w:t>
            </w:r>
          </w:p>
          <w:p w:rsidR="002B239E" w:rsidRPr="00A26FE3" w:rsidRDefault="002B239E" w:rsidP="004931B8">
            <w:pPr>
              <w:numPr>
                <w:ilvl w:val="0"/>
                <w:numId w:val="5"/>
              </w:numPr>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rPr>
                <w:sz w:val="22"/>
                <w:szCs w:val="22"/>
                <w:lang w:val="pt-BR"/>
              </w:rPr>
            </w:pPr>
            <w:r w:rsidRPr="00A26FE3">
              <w:rPr>
                <w:i/>
                <w:sz w:val="22"/>
                <w:szCs w:val="22"/>
                <w:lang w:val="pt-BR" w:eastAsia="es-ES"/>
              </w:rPr>
              <w:t xml:space="preserve"> </w:t>
            </w:r>
            <w:r w:rsidRPr="00A26FE3">
              <w:rPr>
                <w:sz w:val="22"/>
                <w:szCs w:val="22"/>
                <w:u w:val="single"/>
                <w:lang w:val="pt-BR"/>
              </w:rPr>
              <w:t>Seção iii</w:t>
            </w:r>
            <w:r w:rsidRPr="00A26FE3">
              <w:rPr>
                <w:sz w:val="22"/>
                <w:szCs w:val="22"/>
                <w:lang w:val="pt-BR"/>
              </w:rPr>
              <w:t xml:space="preserve">. </w:t>
            </w:r>
            <w:r w:rsidRPr="00A26FE3">
              <w:rPr>
                <w:sz w:val="22"/>
                <w:szCs w:val="22"/>
                <w:u w:val="single"/>
                <w:lang w:val="pt-BR"/>
              </w:rPr>
              <w:t>Proteção dos solicitantes do reconhecimento da condição de refugiado e dos refugiados nas</w:t>
            </w:r>
            <w:r w:rsidRPr="00A26FE3">
              <w:rPr>
                <w:sz w:val="22"/>
                <w:szCs w:val="22"/>
                <w:lang w:val="pt-BR"/>
              </w:rPr>
              <w:t xml:space="preserve"> Américas.</w:t>
            </w:r>
          </w:p>
          <w:p w:rsidR="002B239E" w:rsidRPr="00A26FE3" w:rsidRDefault="002B239E" w:rsidP="004931B8">
            <w:pPr>
              <w:numPr>
                <w:ilvl w:val="1"/>
                <w:numId w:val="10"/>
              </w:numPr>
              <w:tabs>
                <w:tab w:val="left" w:pos="843"/>
              </w:tabs>
              <w:snapToGrid w:val="0"/>
              <w:jc w:val="both"/>
              <w:rPr>
                <w:i/>
                <w:color w:val="000000"/>
                <w:sz w:val="22"/>
                <w:szCs w:val="22"/>
                <w:lang w:val="pt-BR"/>
              </w:rPr>
            </w:pPr>
            <w:r w:rsidRPr="00A26FE3">
              <w:rPr>
                <w:color w:val="000000"/>
                <w:sz w:val="22"/>
                <w:szCs w:val="22"/>
                <w:lang w:val="pt-BR"/>
              </w:rPr>
              <w:t xml:space="preserve">Apresentação da proposta para </w:t>
            </w:r>
            <w:r w:rsidRPr="00A26FE3">
              <w:rPr>
                <w:sz w:val="22"/>
                <w:szCs w:val="22"/>
                <w:lang w:val="pt-BR"/>
              </w:rPr>
              <w:t>a criação de um fundo específico de contribuições voluntárias para apoiar as atividades Marco Integral Regional para a Proteção e Soluções (MIRPS).</w:t>
            </w:r>
            <w:r w:rsidRPr="00A26FE3">
              <w:rPr>
                <w:i/>
                <w:sz w:val="22"/>
                <w:szCs w:val="22"/>
                <w:lang w:val="pt-BR"/>
              </w:rPr>
              <w:tab/>
            </w:r>
          </w:p>
          <w:p w:rsidR="002B239E" w:rsidRPr="00A26FE3" w:rsidRDefault="002B239E" w:rsidP="004931B8">
            <w:pPr>
              <w:numPr>
                <w:ilvl w:val="0"/>
                <w:numId w:val="5"/>
              </w:numPr>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rPr>
                <w:sz w:val="22"/>
                <w:szCs w:val="22"/>
                <w:lang w:val="pt-BR" w:eastAsia="es-ES"/>
              </w:rPr>
            </w:pPr>
            <w:r w:rsidRPr="00A26FE3">
              <w:rPr>
                <w:sz w:val="22"/>
                <w:szCs w:val="22"/>
                <w:u w:val="single"/>
                <w:lang w:val="pt-BR"/>
              </w:rPr>
              <w:t>Seção</w:t>
            </w:r>
            <w:r w:rsidRPr="00A26FE3">
              <w:rPr>
                <w:sz w:val="22"/>
                <w:szCs w:val="22"/>
                <w:u w:val="single"/>
                <w:lang w:val="pt-BR" w:eastAsia="es-ES"/>
              </w:rPr>
              <w:t xml:space="preserve"> xxi</w:t>
            </w:r>
            <w:r w:rsidRPr="00A26FE3">
              <w:rPr>
                <w:sz w:val="22"/>
                <w:szCs w:val="22"/>
                <w:lang w:val="pt-BR" w:eastAsia="es-ES"/>
              </w:rPr>
              <w:t>.:</w:t>
            </w:r>
            <w:r w:rsidRPr="00A26FE3">
              <w:rPr>
                <w:sz w:val="22"/>
                <w:szCs w:val="22"/>
                <w:lang w:val="pt-BR"/>
              </w:rPr>
              <w:t xml:space="preserve"> Acompanhamento do Programa Interamericano para o Registro Civil Universal e “Direito à Identidade”.</w:t>
            </w:r>
          </w:p>
          <w:p w:rsidR="002B239E" w:rsidRPr="00A26FE3" w:rsidRDefault="002B239E" w:rsidP="004931B8">
            <w:pPr>
              <w:numPr>
                <w:ilvl w:val="1"/>
                <w:numId w:val="10"/>
              </w:numPr>
              <w:tabs>
                <w:tab w:val="left" w:pos="843"/>
              </w:tabs>
              <w:snapToGrid w:val="0"/>
              <w:jc w:val="both"/>
              <w:rPr>
                <w:sz w:val="22"/>
                <w:szCs w:val="22"/>
                <w:lang w:val="pt-BR"/>
              </w:rPr>
            </w:pPr>
            <w:r w:rsidRPr="00A26FE3">
              <w:rPr>
                <w:color w:val="000000"/>
                <w:sz w:val="22"/>
                <w:szCs w:val="22"/>
                <w:lang w:val="pt-BR"/>
              </w:rPr>
              <w:t>Relatório do Programa de Universalização da Identidade Civil nas Américas (PUICA).</w:t>
            </w:r>
            <w:r w:rsidRPr="00A26FE3">
              <w:rPr>
                <w:i/>
                <w:sz w:val="22"/>
                <w:szCs w:val="22"/>
                <w:lang w:val="pt-BR"/>
              </w:rPr>
              <w:tab/>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Terça-feira </w:t>
            </w:r>
          </w:p>
          <w:p w:rsidR="002B239E" w:rsidRPr="00A26FE3" w:rsidRDefault="002B239E" w:rsidP="001A2093">
            <w:pPr>
              <w:jc w:val="center"/>
              <w:rPr>
                <w:sz w:val="22"/>
                <w:szCs w:val="22"/>
                <w:lang w:val="pt-BR" w:eastAsia="es-ES"/>
              </w:rPr>
            </w:pPr>
            <w:r w:rsidRPr="00A26FE3">
              <w:rPr>
                <w:sz w:val="22"/>
                <w:szCs w:val="22"/>
                <w:lang w:val="pt-BR" w:eastAsia="es-ES"/>
              </w:rPr>
              <w:t>26 de novembro de 2019</w:t>
            </w:r>
            <w:r w:rsidRPr="00A26FE3">
              <w:rPr>
                <w:sz w:val="22"/>
                <w:szCs w:val="22"/>
                <w:lang w:val="pt-BR" w:eastAsia="es-ES"/>
              </w:rPr>
              <w:br/>
              <w:t xml:space="preserve">15h30–17h30 </w:t>
            </w:r>
          </w:p>
          <w:p w:rsidR="002B239E" w:rsidRPr="00A26FE3" w:rsidRDefault="002B239E" w:rsidP="001A2093">
            <w:pPr>
              <w:jc w:val="center"/>
              <w:rPr>
                <w:sz w:val="22"/>
                <w:szCs w:val="22"/>
                <w:lang w:val="pt-BR" w:eastAsia="es-ES"/>
              </w:rPr>
            </w:pPr>
            <w:r w:rsidRPr="00A26FE3">
              <w:rPr>
                <w:sz w:val="22"/>
                <w:szCs w:val="22"/>
                <w:lang w:val="pt-BR" w:eastAsia="es-ES"/>
              </w:rPr>
              <w:t xml:space="preserve">Salão Simón Bolívar </w:t>
            </w:r>
          </w:p>
        </w:tc>
        <w:tc>
          <w:tcPr>
            <w:tcW w:w="10023"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9"/>
              </w:numPr>
              <w:ind w:left="471"/>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17"/>
              </w:numPr>
              <w:ind w:hanging="827"/>
              <w:jc w:val="both"/>
              <w:rPr>
                <w:sz w:val="22"/>
                <w:szCs w:val="22"/>
                <w:lang w:val="pt-BR" w:eastAsia="es-ES"/>
              </w:rPr>
            </w:pPr>
            <w:r w:rsidRPr="00A26FE3">
              <w:rPr>
                <w:sz w:val="22"/>
                <w:szCs w:val="22"/>
                <w:lang w:val="pt-BR" w:eastAsia="es-ES"/>
              </w:rPr>
              <w:t>Seção viii: Administração de justiça e direitos humanos</w:t>
            </w:r>
          </w:p>
          <w:p w:rsidR="002B239E" w:rsidRPr="00A26FE3" w:rsidRDefault="002B239E" w:rsidP="004931B8">
            <w:pPr>
              <w:numPr>
                <w:ilvl w:val="0"/>
                <w:numId w:val="18"/>
              </w:numPr>
              <w:ind w:left="1084"/>
              <w:jc w:val="both"/>
              <w:rPr>
                <w:sz w:val="22"/>
                <w:szCs w:val="22"/>
                <w:lang w:val="pt-BR" w:eastAsia="es-ES"/>
              </w:rPr>
            </w:pPr>
            <w:r w:rsidRPr="00A26FE3">
              <w:rPr>
                <w:sz w:val="22"/>
                <w:szCs w:val="22"/>
                <w:lang w:val="pt-BR" w:eastAsia="es-ES"/>
              </w:rPr>
              <w:t>Intercâmbio de experiências, boas práticas e desafios em matéria de administração de justiça sob a perspectiva de direitos humanos</w:t>
            </w:r>
          </w:p>
          <w:p w:rsidR="002B239E" w:rsidRPr="00A26FE3" w:rsidRDefault="002B239E" w:rsidP="004931B8">
            <w:pPr>
              <w:numPr>
                <w:ilvl w:val="0"/>
                <w:numId w:val="9"/>
              </w:numPr>
              <w:tabs>
                <w:tab w:val="left" w:pos="483"/>
              </w:tabs>
              <w:ind w:left="111" w:right="144"/>
              <w:jc w:val="both"/>
              <w:rPr>
                <w:i/>
                <w:sz w:val="22"/>
                <w:szCs w:val="22"/>
                <w:lang w:val="pt-BR" w:eastAsia="es-ES"/>
              </w:rPr>
            </w:pPr>
            <w:r w:rsidRPr="00A26FE3">
              <w:rPr>
                <w:sz w:val="22"/>
                <w:szCs w:val="22"/>
                <w:lang w:val="pt-BR" w:eastAsia="es-ES"/>
              </w:rPr>
              <w:t>A Rede de Consumo Seguro e Saúde da OEA (RCSS)</w:t>
            </w:r>
          </w:p>
          <w:p w:rsidR="002B239E" w:rsidRPr="00A26FE3" w:rsidRDefault="002B239E" w:rsidP="001A2093">
            <w:pPr>
              <w:tabs>
                <w:tab w:val="left" w:pos="483"/>
              </w:tabs>
              <w:ind w:left="111" w:right="144"/>
              <w:jc w:val="both"/>
              <w:rPr>
                <w:sz w:val="22"/>
                <w:szCs w:val="22"/>
                <w:lang w:val="pt-BR" w:eastAsia="es-ES"/>
              </w:rPr>
            </w:pPr>
          </w:p>
          <w:p w:rsidR="002B239E" w:rsidRPr="00A26FE3" w:rsidRDefault="002B239E" w:rsidP="001A2093">
            <w:pPr>
              <w:tabs>
                <w:tab w:val="left" w:pos="483"/>
              </w:tabs>
              <w:ind w:left="111" w:right="144"/>
              <w:jc w:val="both"/>
              <w:rPr>
                <w:i/>
                <w:sz w:val="22"/>
                <w:szCs w:val="22"/>
                <w:lang w:val="pt-BR" w:eastAsia="es-ES"/>
              </w:rPr>
            </w:pP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2B239E" w:rsidRPr="00A26FE3" w:rsidRDefault="002B239E" w:rsidP="001A2093">
            <w:pPr>
              <w:tabs>
                <w:tab w:val="left" w:pos="342"/>
              </w:tabs>
              <w:ind w:left="360" w:hanging="360"/>
              <w:jc w:val="center"/>
              <w:rPr>
                <w:b/>
                <w:sz w:val="22"/>
                <w:szCs w:val="22"/>
                <w:lang w:val="pt-BR" w:eastAsia="es-ES"/>
              </w:rPr>
            </w:pPr>
            <w:r w:rsidRPr="00A26FE3">
              <w:rPr>
                <w:b/>
                <w:sz w:val="22"/>
                <w:szCs w:val="22"/>
                <w:lang w:val="pt-BR" w:eastAsia="es-ES"/>
              </w:rPr>
              <w:t>DEZEMBRO DE 2019</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5 de dezembro de 2019</w:t>
            </w:r>
            <w:r w:rsidRPr="00A26FE3">
              <w:rPr>
                <w:sz w:val="22"/>
                <w:szCs w:val="22"/>
                <w:lang w:val="pt-BR" w:eastAsia="es-ES"/>
              </w:rPr>
              <w:br/>
            </w:r>
            <w:r w:rsidRPr="00A26FE3">
              <w:rPr>
                <w:sz w:val="22"/>
                <w:szCs w:val="22"/>
                <w:lang w:val="pt-BR" w:eastAsia="es-ES"/>
              </w:rPr>
              <w:lastRenderedPageBreak/>
              <w:t xml:space="preserve">14h30–17h30 </w:t>
            </w:r>
          </w:p>
          <w:p w:rsidR="002B239E" w:rsidRPr="00A26FE3" w:rsidRDefault="002B239E" w:rsidP="001A2093">
            <w:pPr>
              <w:jc w:val="center"/>
              <w:rPr>
                <w:sz w:val="22"/>
                <w:szCs w:val="22"/>
                <w:lang w:val="pt-BR" w:eastAsia="es-ES"/>
              </w:rPr>
            </w:pPr>
            <w:r w:rsidRPr="00A26FE3">
              <w:rPr>
                <w:sz w:val="22"/>
                <w:szCs w:val="22"/>
                <w:lang w:val="pt-BR" w:eastAsia="es-ES"/>
              </w:rPr>
              <w:t xml:space="preserve">Salão Simón Bolívar </w:t>
            </w:r>
          </w:p>
        </w:tc>
        <w:tc>
          <w:tcPr>
            <w:tcW w:w="10023"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19"/>
              </w:numPr>
              <w:jc w:val="both"/>
              <w:rPr>
                <w:sz w:val="22"/>
                <w:szCs w:val="22"/>
                <w:lang w:val="pt-BR"/>
              </w:rPr>
            </w:pPr>
            <w:r w:rsidRPr="00A26FE3">
              <w:rPr>
                <w:sz w:val="22"/>
                <w:szCs w:val="22"/>
                <w:lang w:val="pt-BR"/>
              </w:rPr>
              <w:lastRenderedPageBreak/>
              <w:t>Comemoração do Dia Internacional das Pessoas com Deficiência (3 de dezembro)</w:t>
            </w:r>
          </w:p>
          <w:p w:rsidR="002B239E" w:rsidRPr="00A26FE3" w:rsidRDefault="002B239E" w:rsidP="004931B8">
            <w:pPr>
              <w:numPr>
                <w:ilvl w:val="0"/>
                <w:numId w:val="19"/>
              </w:numPr>
              <w:ind w:right="144"/>
              <w:jc w:val="both"/>
              <w:rPr>
                <w:sz w:val="22"/>
                <w:szCs w:val="22"/>
                <w:u w:val="single"/>
                <w:lang w:val="pt-BR"/>
              </w:rPr>
            </w:pPr>
            <w:r w:rsidRPr="00A26FE3">
              <w:rPr>
                <w:sz w:val="22"/>
                <w:szCs w:val="22"/>
                <w:lang w:val="pt-BR"/>
              </w:rPr>
              <w:t xml:space="preserve">Acompanhamento dos mandatos da resolução AG/RES. 2931 (XLIX-O/19), “Fortalecimento da </w:t>
            </w:r>
            <w:r w:rsidRPr="00A26FE3">
              <w:rPr>
                <w:sz w:val="22"/>
                <w:szCs w:val="22"/>
                <w:lang w:val="pt-BR"/>
              </w:rPr>
              <w:lastRenderedPageBreak/>
              <w:t>democracia”</w:t>
            </w:r>
          </w:p>
          <w:p w:rsidR="002B239E" w:rsidRPr="00A26FE3" w:rsidRDefault="002B239E" w:rsidP="004931B8">
            <w:pPr>
              <w:numPr>
                <w:ilvl w:val="0"/>
                <w:numId w:val="3"/>
              </w:numPr>
              <w:ind w:right="144"/>
              <w:jc w:val="both"/>
              <w:rPr>
                <w:sz w:val="22"/>
                <w:szCs w:val="22"/>
                <w:lang w:val="pt-BR"/>
              </w:rPr>
            </w:pPr>
            <w:r w:rsidRPr="00A26FE3">
              <w:rPr>
                <w:sz w:val="22"/>
                <w:szCs w:val="22"/>
                <w:u w:val="single"/>
                <w:lang w:val="pt-BR"/>
              </w:rPr>
              <w:t>Seção iii</w:t>
            </w:r>
            <w:r w:rsidRPr="00A26FE3">
              <w:rPr>
                <w:sz w:val="22"/>
                <w:szCs w:val="22"/>
                <w:lang w:val="pt-BR"/>
              </w:rPr>
              <w:t>: Fortalecimento do cadastro e do registro da propriedade nas Américas</w:t>
            </w:r>
          </w:p>
          <w:p w:rsidR="002B239E" w:rsidRPr="00A26FE3" w:rsidRDefault="002B239E" w:rsidP="004931B8">
            <w:pPr>
              <w:numPr>
                <w:ilvl w:val="0"/>
                <w:numId w:val="3"/>
              </w:numPr>
              <w:ind w:right="144"/>
              <w:jc w:val="both"/>
              <w:rPr>
                <w:sz w:val="22"/>
                <w:szCs w:val="22"/>
                <w:lang w:val="pt-BR"/>
              </w:rPr>
            </w:pPr>
            <w:r w:rsidRPr="00A26FE3">
              <w:rPr>
                <w:sz w:val="22"/>
                <w:szCs w:val="22"/>
                <w:u w:val="single"/>
                <w:lang w:val="pt-BR"/>
              </w:rPr>
              <w:t>Seção vii</w:t>
            </w:r>
            <w:r w:rsidRPr="00A26FE3">
              <w:rPr>
                <w:sz w:val="22"/>
                <w:szCs w:val="22"/>
                <w:lang w:val="pt-BR"/>
              </w:rPr>
              <w:t>: Governo digital, aberto e transparente</w:t>
            </w:r>
          </w:p>
          <w:p w:rsidR="002B239E" w:rsidRPr="00A26FE3" w:rsidRDefault="002B239E" w:rsidP="004931B8">
            <w:pPr>
              <w:numPr>
                <w:ilvl w:val="0"/>
                <w:numId w:val="3"/>
              </w:numPr>
              <w:ind w:right="144"/>
              <w:jc w:val="both"/>
              <w:rPr>
                <w:sz w:val="22"/>
                <w:szCs w:val="22"/>
                <w:lang w:val="pt-BR"/>
              </w:rPr>
            </w:pPr>
            <w:r w:rsidRPr="00A26FE3">
              <w:rPr>
                <w:sz w:val="22"/>
                <w:szCs w:val="22"/>
                <w:u w:val="single"/>
                <w:lang w:val="pt-BR"/>
              </w:rPr>
              <w:t>Seção x</w:t>
            </w:r>
            <w:r w:rsidRPr="00A26FE3">
              <w:rPr>
                <w:sz w:val="22"/>
                <w:szCs w:val="22"/>
                <w:lang w:val="pt-BR"/>
              </w:rPr>
              <w:t>: Fortalecimento e inovação da gestão pública nas Américas</w:t>
            </w:r>
          </w:p>
          <w:p w:rsidR="002B239E" w:rsidRPr="00A26FE3" w:rsidRDefault="002B239E" w:rsidP="004931B8">
            <w:pPr>
              <w:numPr>
                <w:ilvl w:val="0"/>
                <w:numId w:val="3"/>
              </w:numPr>
              <w:ind w:right="144"/>
              <w:jc w:val="both"/>
              <w:rPr>
                <w:sz w:val="22"/>
                <w:szCs w:val="22"/>
                <w:lang w:val="pt-BR"/>
              </w:rPr>
            </w:pPr>
            <w:r w:rsidRPr="00A26FE3">
              <w:rPr>
                <w:sz w:val="22"/>
                <w:szCs w:val="22"/>
                <w:u w:val="single"/>
                <w:lang w:val="pt-BR"/>
              </w:rPr>
              <w:t>Seção xiii</w:t>
            </w:r>
            <w:r w:rsidRPr="00A26FE3">
              <w:rPr>
                <w:sz w:val="22"/>
                <w:szCs w:val="22"/>
                <w:lang w:val="pt-BR"/>
              </w:rPr>
              <w:t>: Contribuição da região para o processo preparatório do período extraordinário de sessões da Assembleia Geral das Nações Unidas contra a corrupção</w:t>
            </w:r>
          </w:p>
          <w:p w:rsidR="002B239E" w:rsidRPr="00A26FE3" w:rsidRDefault="002B239E" w:rsidP="004931B8">
            <w:pPr>
              <w:numPr>
                <w:ilvl w:val="1"/>
                <w:numId w:val="9"/>
              </w:numPr>
              <w:tabs>
                <w:tab w:val="left" w:pos="843"/>
              </w:tabs>
              <w:ind w:left="1188" w:right="144"/>
              <w:jc w:val="both"/>
              <w:rPr>
                <w:sz w:val="22"/>
                <w:szCs w:val="22"/>
                <w:lang w:val="pt-BR" w:eastAsia="es-ES"/>
              </w:rPr>
            </w:pPr>
            <w:r w:rsidRPr="00A26FE3">
              <w:rPr>
                <w:sz w:val="22"/>
                <w:szCs w:val="22"/>
                <w:lang w:val="pt-BR"/>
              </w:rPr>
              <w:t xml:space="preserve">Andamento do </w:t>
            </w:r>
            <w:r w:rsidRPr="00A26FE3">
              <w:rPr>
                <w:sz w:val="22"/>
                <w:szCs w:val="22"/>
                <w:lang w:val="pt-BR" w:eastAsia="es-ES"/>
              </w:rPr>
              <w:t>cumprimento dos compromissos assumidos em matéria de prevenção e luta contra a corrupção, no âmbito da Convenção Interamericana contra a Corrupção e do Compromisso de Lima, “Governabilidade democrática frente à corrupção”, como colaboração da região para o processo preparatório do UNGASS 2021</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lastRenderedPageBreak/>
              <w:t xml:space="preserve">Terça-feira </w:t>
            </w:r>
          </w:p>
          <w:p w:rsidR="002B239E" w:rsidRPr="00A26FE3" w:rsidRDefault="002B239E" w:rsidP="001A2093">
            <w:pPr>
              <w:jc w:val="center"/>
              <w:rPr>
                <w:sz w:val="22"/>
                <w:szCs w:val="22"/>
                <w:lang w:val="pt-BR" w:eastAsia="es-ES"/>
              </w:rPr>
            </w:pPr>
            <w:r w:rsidRPr="00A26FE3">
              <w:rPr>
                <w:sz w:val="22"/>
                <w:szCs w:val="22"/>
                <w:lang w:val="pt-BR" w:eastAsia="es-ES"/>
              </w:rPr>
              <w:t>17 de dezembro de 2019</w:t>
            </w:r>
            <w:r w:rsidRPr="00A26FE3">
              <w:rPr>
                <w:sz w:val="22"/>
                <w:szCs w:val="22"/>
                <w:lang w:val="pt-BR" w:eastAsia="es-ES"/>
              </w:rPr>
              <w:br/>
              <w:t xml:space="preserve">10h30–12h30 </w:t>
            </w:r>
          </w:p>
          <w:p w:rsidR="002B239E" w:rsidRPr="00A26FE3" w:rsidRDefault="002B239E" w:rsidP="001A2093">
            <w:pPr>
              <w:jc w:val="center"/>
              <w:rPr>
                <w:sz w:val="22"/>
                <w:szCs w:val="22"/>
                <w:lang w:val="pt-BR" w:eastAsia="es-ES"/>
              </w:rPr>
            </w:pPr>
            <w:r w:rsidRPr="00A26FE3">
              <w:rPr>
                <w:sz w:val="22"/>
                <w:szCs w:val="22"/>
                <w:lang w:val="pt-BR" w:eastAsia="es-ES"/>
              </w:rPr>
              <w:t xml:space="preserve">Salão Simón Bolívar </w:t>
            </w:r>
          </w:p>
        </w:tc>
        <w:tc>
          <w:tcPr>
            <w:tcW w:w="10023"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4931B8">
            <w:pPr>
              <w:numPr>
                <w:ilvl w:val="0"/>
                <w:numId w:val="20"/>
              </w:numPr>
              <w:ind w:right="234"/>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ind w:right="234"/>
              <w:jc w:val="both"/>
              <w:rPr>
                <w:sz w:val="22"/>
                <w:szCs w:val="22"/>
                <w:lang w:val="pt-BR"/>
              </w:rPr>
            </w:pPr>
            <w:r w:rsidRPr="00A26FE3">
              <w:rPr>
                <w:sz w:val="22"/>
                <w:szCs w:val="22"/>
                <w:u w:val="single"/>
                <w:lang w:val="pt-BR"/>
              </w:rPr>
              <w:t>Seção xviii</w:t>
            </w:r>
            <w:r w:rsidRPr="00A26FE3">
              <w:rPr>
                <w:sz w:val="22"/>
                <w:szCs w:val="22"/>
                <w:lang w:val="pt-BR"/>
              </w:rPr>
              <w:t>: Direito à liberdade de religião ou crença</w:t>
            </w:r>
          </w:p>
          <w:p w:rsidR="002B239E" w:rsidRPr="00A26FE3" w:rsidRDefault="002B239E" w:rsidP="004931B8">
            <w:pPr>
              <w:numPr>
                <w:ilvl w:val="1"/>
                <w:numId w:val="9"/>
              </w:numPr>
              <w:tabs>
                <w:tab w:val="left" w:pos="843"/>
              </w:tabs>
              <w:ind w:left="1188" w:right="234"/>
              <w:jc w:val="both"/>
              <w:rPr>
                <w:i/>
                <w:sz w:val="22"/>
                <w:szCs w:val="22"/>
                <w:lang w:val="pt-BR"/>
              </w:rPr>
            </w:pPr>
            <w:r w:rsidRPr="00A26FE3">
              <w:rPr>
                <w:sz w:val="22"/>
                <w:szCs w:val="22"/>
                <w:lang w:val="pt-BR"/>
              </w:rPr>
              <w:t xml:space="preserve">Preparativos da sessão extraordinária para intercambiar boas práticas, a fim de promover um diálogo regional sobre o direito à liberdade de pensamento, de consciência e de religião ou crença </w:t>
            </w: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2B239E" w:rsidRPr="00A26FE3" w:rsidRDefault="002B239E" w:rsidP="001A2093">
            <w:pPr>
              <w:tabs>
                <w:tab w:val="left" w:pos="342"/>
              </w:tabs>
              <w:ind w:left="360" w:hanging="360"/>
              <w:jc w:val="center"/>
              <w:rPr>
                <w:b/>
                <w:sz w:val="22"/>
                <w:szCs w:val="22"/>
                <w:lang w:val="pt-BR" w:eastAsia="es-ES"/>
              </w:rPr>
            </w:pPr>
            <w:r w:rsidRPr="00A26FE3">
              <w:rPr>
                <w:b/>
                <w:sz w:val="22"/>
                <w:szCs w:val="22"/>
                <w:lang w:val="pt-BR" w:eastAsia="es-ES"/>
              </w:rPr>
              <w:t>JANEIRO DE 2020</w:t>
            </w:r>
          </w:p>
        </w:tc>
      </w:tr>
      <w:tr w:rsidR="002B239E" w:rsidRPr="00A26FE3"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30 de janeiro de 2020</w:t>
            </w:r>
          </w:p>
          <w:p w:rsidR="002B239E" w:rsidRPr="00A26FE3" w:rsidRDefault="002B239E" w:rsidP="001A2093">
            <w:pPr>
              <w:jc w:val="center"/>
              <w:rPr>
                <w:sz w:val="22"/>
                <w:szCs w:val="22"/>
                <w:lang w:val="pt-BR" w:eastAsia="es-ES"/>
              </w:rPr>
            </w:pPr>
            <w:r w:rsidRPr="00A26FE3">
              <w:rPr>
                <w:sz w:val="22"/>
                <w:szCs w:val="22"/>
                <w:lang w:val="pt-BR" w:eastAsia="es-ES"/>
              </w:rPr>
              <w:t xml:space="preserve">14h30–17h30 </w:t>
            </w:r>
          </w:p>
          <w:p w:rsidR="002B239E" w:rsidRPr="00A26FE3" w:rsidRDefault="002B239E" w:rsidP="001A2093">
            <w:pPr>
              <w:jc w:val="center"/>
              <w:rPr>
                <w:sz w:val="22"/>
                <w:szCs w:val="22"/>
                <w:lang w:val="pt-BR" w:eastAsia="es-ES"/>
              </w:rPr>
            </w:pPr>
            <w:r w:rsidRPr="00A26FE3">
              <w:rPr>
                <w:sz w:val="22"/>
                <w:szCs w:val="22"/>
                <w:lang w:val="pt-BR" w:eastAsia="es-ES"/>
              </w:rPr>
              <w:t xml:space="preserve">Salão Simón Bolívar </w:t>
            </w:r>
          </w:p>
        </w:tc>
        <w:tc>
          <w:tcPr>
            <w:tcW w:w="10023"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21"/>
              </w:numPr>
              <w:ind w:right="324"/>
              <w:jc w:val="both"/>
              <w:rPr>
                <w:sz w:val="22"/>
                <w:szCs w:val="22"/>
                <w:lang w:val="pt-BR" w:eastAsia="es-ES"/>
              </w:rPr>
            </w:pPr>
            <w:r w:rsidRPr="00A26FE3">
              <w:rPr>
                <w:sz w:val="22"/>
                <w:szCs w:val="22"/>
                <w:lang w:val="pt-BR" w:eastAsia="es-ES"/>
              </w:rPr>
              <w:t xml:space="preserve">Acompanhamento dos </w:t>
            </w:r>
            <w:r w:rsidRPr="00A26FE3">
              <w:rPr>
                <w:sz w:val="22"/>
                <w:szCs w:val="22"/>
                <w:lang w:val="pt-BR"/>
              </w:rPr>
              <w:t>mandatos da resolução AG/RES. 2941 (XLIX-O/19), “Promoção e proteção dos direitos humanos”</w:t>
            </w:r>
          </w:p>
          <w:p w:rsidR="002B239E" w:rsidRPr="00A26FE3" w:rsidRDefault="002B239E" w:rsidP="004931B8">
            <w:pPr>
              <w:numPr>
                <w:ilvl w:val="0"/>
                <w:numId w:val="3"/>
              </w:numPr>
              <w:ind w:right="324"/>
              <w:jc w:val="both"/>
              <w:rPr>
                <w:sz w:val="22"/>
                <w:szCs w:val="22"/>
                <w:lang w:val="pt-BR"/>
              </w:rPr>
            </w:pPr>
            <w:r w:rsidRPr="00A26FE3">
              <w:rPr>
                <w:sz w:val="22"/>
                <w:szCs w:val="22"/>
                <w:u w:val="single"/>
                <w:lang w:val="pt-BR"/>
              </w:rPr>
              <w:t xml:space="preserve">Seção </w:t>
            </w:r>
            <w:r w:rsidRPr="00A26FE3">
              <w:rPr>
                <w:sz w:val="22"/>
                <w:szCs w:val="22"/>
                <w:u w:val="single"/>
                <w:lang w:val="pt-BR" w:eastAsia="es-ES"/>
              </w:rPr>
              <w:t>iii</w:t>
            </w:r>
            <w:r w:rsidRPr="00A26FE3">
              <w:rPr>
                <w:sz w:val="22"/>
                <w:szCs w:val="22"/>
                <w:lang w:val="pt-BR" w:eastAsia="es-ES"/>
              </w:rPr>
              <w:t xml:space="preserve">: </w:t>
            </w:r>
            <w:r w:rsidRPr="00A26FE3">
              <w:rPr>
                <w:sz w:val="22"/>
                <w:szCs w:val="22"/>
                <w:lang w:val="pt-BR"/>
              </w:rPr>
              <w:t>Proteção dos solicitantes do reconhecimento da condição de refugiado e dos refugiados nas Américas</w:t>
            </w:r>
          </w:p>
          <w:p w:rsidR="002B239E" w:rsidRPr="00A26FE3" w:rsidRDefault="002B239E" w:rsidP="004931B8">
            <w:pPr>
              <w:numPr>
                <w:ilvl w:val="1"/>
                <w:numId w:val="2"/>
              </w:numPr>
              <w:tabs>
                <w:tab w:val="left" w:pos="843"/>
              </w:tabs>
              <w:jc w:val="both"/>
              <w:rPr>
                <w:sz w:val="22"/>
                <w:szCs w:val="22"/>
                <w:lang w:val="pt-BR"/>
              </w:rPr>
            </w:pPr>
            <w:r w:rsidRPr="00A26FE3">
              <w:rPr>
                <w:sz w:val="22"/>
                <w:szCs w:val="22"/>
                <w:lang w:val="pt-BR"/>
              </w:rPr>
              <w:t xml:space="preserve">Intercâmbio de experiências e boas práticas implementadas pelos Estados membros </w:t>
            </w:r>
          </w:p>
          <w:p w:rsidR="002B239E" w:rsidRPr="00A26FE3" w:rsidRDefault="002B239E" w:rsidP="004931B8">
            <w:pPr>
              <w:numPr>
                <w:ilvl w:val="0"/>
                <w:numId w:val="6"/>
              </w:numPr>
              <w:jc w:val="both"/>
              <w:rPr>
                <w:sz w:val="22"/>
                <w:szCs w:val="22"/>
                <w:lang w:val="pt-BR"/>
              </w:rPr>
            </w:pPr>
            <w:r w:rsidRPr="00A26FE3">
              <w:rPr>
                <w:sz w:val="22"/>
                <w:szCs w:val="22"/>
                <w:lang w:val="pt-BR"/>
              </w:rPr>
              <w:t>Acompanhamento dos mandatos da resolução AG/RES. 2930 (XLIX-O/19), “Direito internacional”</w:t>
            </w:r>
          </w:p>
          <w:p w:rsidR="002B239E" w:rsidRPr="00A26FE3" w:rsidRDefault="002B239E" w:rsidP="004931B8">
            <w:pPr>
              <w:numPr>
                <w:ilvl w:val="0"/>
                <w:numId w:val="3"/>
              </w:numPr>
              <w:jc w:val="both"/>
              <w:rPr>
                <w:sz w:val="22"/>
                <w:szCs w:val="22"/>
                <w:lang w:val="pt-BR"/>
              </w:rPr>
            </w:pPr>
            <w:r w:rsidRPr="00A26FE3">
              <w:rPr>
                <w:sz w:val="22"/>
                <w:szCs w:val="22"/>
                <w:u w:val="single"/>
                <w:lang w:val="pt-BR"/>
              </w:rPr>
              <w:t>Seção ii.:</w:t>
            </w:r>
            <w:r w:rsidRPr="00A26FE3">
              <w:rPr>
                <w:sz w:val="22"/>
                <w:szCs w:val="22"/>
                <w:lang w:val="pt-BR"/>
              </w:rPr>
              <w:t xml:space="preserve"> Programa Interamericano para o Desenvolvimento do Direito Internacional:</w:t>
            </w:r>
          </w:p>
          <w:p w:rsidR="002B239E" w:rsidRPr="00A26FE3" w:rsidRDefault="002B239E" w:rsidP="004931B8">
            <w:pPr>
              <w:numPr>
                <w:ilvl w:val="1"/>
                <w:numId w:val="2"/>
              </w:numPr>
              <w:tabs>
                <w:tab w:val="left" w:pos="843"/>
              </w:tabs>
              <w:jc w:val="both"/>
              <w:rPr>
                <w:sz w:val="22"/>
                <w:szCs w:val="22"/>
                <w:lang w:val="pt-BR"/>
              </w:rPr>
            </w:pPr>
            <w:r w:rsidRPr="00A26FE3">
              <w:rPr>
                <w:sz w:val="22"/>
                <w:szCs w:val="22"/>
                <w:lang w:val="pt-BR"/>
              </w:rPr>
              <w:t>Relatório do Departamento de Direito Internacional sobre a promoção e divulgação do direito internacional privado entre os Estados membros, em colaboração com os organismos e associações que trabalham nesse âmbito</w:t>
            </w:r>
          </w:p>
          <w:p w:rsidR="002B239E" w:rsidRPr="00A26FE3" w:rsidRDefault="002B239E" w:rsidP="004931B8">
            <w:pPr>
              <w:numPr>
                <w:ilvl w:val="0"/>
                <w:numId w:val="6"/>
              </w:numPr>
              <w:jc w:val="both"/>
              <w:rPr>
                <w:sz w:val="22"/>
                <w:szCs w:val="22"/>
                <w:lang w:val="pt-BR"/>
              </w:rPr>
            </w:pPr>
            <w:r w:rsidRPr="00A26FE3">
              <w:rPr>
                <w:sz w:val="22"/>
                <w:szCs w:val="22"/>
                <w:lang w:val="pt-BR"/>
              </w:rPr>
              <w:t>Diálogo sobre algumas reformas em procedimentos da OEA</w:t>
            </w:r>
          </w:p>
          <w:p w:rsidR="002B239E" w:rsidRPr="00A26FE3" w:rsidRDefault="002B239E" w:rsidP="001A2093">
            <w:pPr>
              <w:ind w:left="360" w:right="324"/>
              <w:jc w:val="both"/>
              <w:rPr>
                <w:i/>
                <w:sz w:val="22"/>
                <w:szCs w:val="22"/>
                <w:lang w:val="pt-BR"/>
              </w:rPr>
            </w:pPr>
            <w:r w:rsidRPr="00A26FE3">
              <w:rPr>
                <w:i/>
                <w:sz w:val="22"/>
                <w:szCs w:val="22"/>
                <w:lang w:val="pt-BR"/>
              </w:rPr>
              <w:t>Apresentação a cargo da Presidência</w:t>
            </w:r>
          </w:p>
          <w:p w:rsidR="002B239E" w:rsidRPr="00A26FE3" w:rsidRDefault="002B239E" w:rsidP="001A2093">
            <w:pPr>
              <w:ind w:left="360" w:right="324"/>
              <w:jc w:val="both"/>
              <w:rPr>
                <w:sz w:val="22"/>
                <w:szCs w:val="22"/>
                <w:lang w:val="pt-BR" w:eastAsia="es-ES"/>
              </w:rPr>
            </w:pP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2B239E" w:rsidRPr="00A26FE3" w:rsidRDefault="002B239E" w:rsidP="001A2093">
            <w:pPr>
              <w:tabs>
                <w:tab w:val="left" w:pos="342"/>
              </w:tabs>
              <w:ind w:left="360" w:hanging="360"/>
              <w:jc w:val="center"/>
              <w:rPr>
                <w:b/>
                <w:sz w:val="22"/>
                <w:szCs w:val="22"/>
                <w:lang w:val="pt-BR" w:eastAsia="es-ES"/>
              </w:rPr>
            </w:pPr>
            <w:r w:rsidRPr="00A26FE3">
              <w:rPr>
                <w:b/>
                <w:sz w:val="22"/>
                <w:szCs w:val="22"/>
                <w:lang w:val="pt-BR" w:eastAsia="es-ES"/>
              </w:rPr>
              <w:t>FEVEREIRO DE 2020</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13 de fevereiro de 2020</w:t>
            </w:r>
          </w:p>
          <w:p w:rsidR="002B239E" w:rsidRPr="00A26FE3" w:rsidRDefault="002B239E" w:rsidP="001A2093">
            <w:pPr>
              <w:jc w:val="center"/>
              <w:rPr>
                <w:sz w:val="22"/>
                <w:szCs w:val="22"/>
                <w:lang w:val="pt-BR" w:eastAsia="es-ES"/>
              </w:rPr>
            </w:pPr>
            <w:r w:rsidRPr="00A26FE3">
              <w:rPr>
                <w:sz w:val="22"/>
                <w:szCs w:val="22"/>
                <w:lang w:val="pt-BR" w:eastAsia="es-ES"/>
              </w:rPr>
              <w:t xml:space="preserve">14h30–17h30 </w:t>
            </w:r>
          </w:p>
          <w:p w:rsidR="002B239E" w:rsidRPr="00A26FE3" w:rsidRDefault="002B239E" w:rsidP="001A2093">
            <w:pPr>
              <w:jc w:val="center"/>
              <w:rPr>
                <w:sz w:val="22"/>
                <w:szCs w:val="22"/>
                <w:lang w:val="pt-BR"/>
              </w:rPr>
            </w:pPr>
            <w:r w:rsidRPr="00A26FE3">
              <w:rPr>
                <w:sz w:val="22"/>
                <w:szCs w:val="22"/>
                <w:lang w:val="pt-BR" w:eastAsia="es-ES"/>
              </w:rPr>
              <w:t>Salão Simón Bolívar</w:t>
            </w: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4931B8">
            <w:pPr>
              <w:numPr>
                <w:ilvl w:val="0"/>
                <w:numId w:val="25"/>
              </w:numPr>
              <w:ind w:right="324"/>
              <w:jc w:val="both"/>
              <w:rPr>
                <w:sz w:val="22"/>
                <w:szCs w:val="22"/>
                <w:lang w:val="pt-BR" w:eastAsia="es-ES"/>
              </w:rPr>
            </w:pPr>
            <w:r w:rsidRPr="00A26FE3">
              <w:rPr>
                <w:sz w:val="22"/>
                <w:szCs w:val="22"/>
                <w:lang w:val="pt-BR" w:eastAsia="es-ES"/>
              </w:rPr>
              <w:t>Acompanhamento dos mandatos da resolução AG/RES. 2941 (XLIX-O/19), “Promoção e proteção dos direitos humanos”</w:t>
            </w:r>
          </w:p>
          <w:p w:rsidR="002B239E" w:rsidRPr="00A26FE3" w:rsidRDefault="002B239E" w:rsidP="004931B8">
            <w:pPr>
              <w:numPr>
                <w:ilvl w:val="0"/>
                <w:numId w:val="3"/>
              </w:numPr>
              <w:jc w:val="both"/>
              <w:rPr>
                <w:sz w:val="22"/>
                <w:szCs w:val="22"/>
                <w:u w:val="single"/>
                <w:lang w:val="pt-BR"/>
              </w:rPr>
            </w:pPr>
            <w:r w:rsidRPr="00A26FE3">
              <w:rPr>
                <w:sz w:val="22"/>
                <w:szCs w:val="22"/>
                <w:u w:val="single"/>
                <w:lang w:val="pt-BR"/>
              </w:rPr>
              <w:t>Seção v. Direitos da criança e do adolescente</w:t>
            </w:r>
          </w:p>
          <w:p w:rsidR="002B239E" w:rsidRPr="00A26FE3" w:rsidRDefault="002B239E" w:rsidP="004931B8">
            <w:pPr>
              <w:numPr>
                <w:ilvl w:val="0"/>
                <w:numId w:val="3"/>
              </w:numPr>
              <w:jc w:val="both"/>
              <w:rPr>
                <w:sz w:val="22"/>
                <w:szCs w:val="22"/>
                <w:u w:val="single"/>
                <w:lang w:val="pt-BR"/>
              </w:rPr>
            </w:pPr>
            <w:r w:rsidRPr="00A26FE3">
              <w:rPr>
                <w:sz w:val="22"/>
                <w:szCs w:val="22"/>
                <w:u w:val="single"/>
                <w:lang w:val="pt-BR"/>
              </w:rPr>
              <w:t>Seção ix. O poder da inclusão e as vantagens da diversidade:</w:t>
            </w:r>
          </w:p>
          <w:p w:rsidR="002B239E" w:rsidRPr="00A26FE3" w:rsidRDefault="002B239E" w:rsidP="004931B8">
            <w:pPr>
              <w:numPr>
                <w:ilvl w:val="1"/>
                <w:numId w:val="2"/>
              </w:numPr>
              <w:tabs>
                <w:tab w:val="left" w:pos="843"/>
              </w:tabs>
              <w:jc w:val="both"/>
              <w:rPr>
                <w:sz w:val="22"/>
                <w:szCs w:val="22"/>
                <w:lang w:val="pt-BR"/>
              </w:rPr>
            </w:pPr>
            <w:r w:rsidRPr="00A26FE3">
              <w:rPr>
                <w:sz w:val="22"/>
                <w:szCs w:val="22"/>
                <w:lang w:val="pt-BR"/>
              </w:rPr>
              <w:lastRenderedPageBreak/>
              <w:t xml:space="preserve">Preparativos da sessão extraordinária “O poder da inclusão e as vantagens da diversidade”. </w:t>
            </w:r>
          </w:p>
          <w:p w:rsidR="002B239E" w:rsidRPr="00A26FE3" w:rsidRDefault="002B239E" w:rsidP="004931B8">
            <w:pPr>
              <w:numPr>
                <w:ilvl w:val="0"/>
                <w:numId w:val="25"/>
              </w:numPr>
              <w:jc w:val="both"/>
              <w:rPr>
                <w:strike/>
                <w:sz w:val="22"/>
                <w:szCs w:val="22"/>
                <w:lang w:val="pt-BR" w:eastAsia="es-ES"/>
              </w:rPr>
            </w:pPr>
            <w:r w:rsidRPr="00A26FE3">
              <w:rPr>
                <w:sz w:val="22"/>
                <w:szCs w:val="22"/>
                <w:lang w:val="pt-BR"/>
              </w:rPr>
              <w:t xml:space="preserve">Proteção dos direitos humanos dos idosos. </w:t>
            </w:r>
          </w:p>
          <w:p w:rsidR="002B239E" w:rsidRPr="00A26FE3" w:rsidRDefault="002B239E" w:rsidP="004931B8">
            <w:pPr>
              <w:numPr>
                <w:ilvl w:val="0"/>
                <w:numId w:val="25"/>
              </w:numPr>
              <w:jc w:val="both"/>
              <w:rPr>
                <w:sz w:val="22"/>
                <w:szCs w:val="22"/>
                <w:lang w:val="pt-BR"/>
              </w:rPr>
            </w:pPr>
            <w:r w:rsidRPr="00A26FE3">
              <w:rPr>
                <w:sz w:val="22"/>
                <w:szCs w:val="22"/>
                <w:lang w:val="pt-BR"/>
              </w:rPr>
              <w:t>Consideração da proposta de metodologia para a apresentação e negociação de projetos de resolução na Comissão de Assuntos Jurídicos e Políticos a serem transmitidos ao Quinquagésimo Período Ordinário de Sessões da Assembleia-Geral</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center"/>
              <w:rPr>
                <w:sz w:val="22"/>
                <w:szCs w:val="22"/>
                <w:lang w:val="pt-BR" w:eastAsia="es-ES"/>
              </w:rPr>
            </w:pPr>
            <w:r w:rsidRPr="00A26FE3">
              <w:rPr>
                <w:sz w:val="22"/>
                <w:szCs w:val="22"/>
                <w:lang w:val="pt-BR" w:eastAsia="es-ES"/>
              </w:rPr>
              <w:lastRenderedPageBreak/>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20 de fevereiro de 2020</w:t>
            </w:r>
          </w:p>
          <w:p w:rsidR="002B239E" w:rsidRPr="00A26FE3" w:rsidRDefault="002B239E" w:rsidP="001A2093">
            <w:pPr>
              <w:jc w:val="center"/>
              <w:rPr>
                <w:sz w:val="22"/>
                <w:szCs w:val="22"/>
                <w:lang w:val="pt-BR" w:eastAsia="es-ES"/>
              </w:rPr>
            </w:pPr>
            <w:r w:rsidRPr="00A26FE3">
              <w:rPr>
                <w:sz w:val="22"/>
                <w:szCs w:val="22"/>
                <w:lang w:val="pt-BR" w:eastAsia="es-ES"/>
              </w:rPr>
              <w:t xml:space="preserve">14h30–17h30 </w:t>
            </w:r>
          </w:p>
          <w:p w:rsidR="002B239E" w:rsidRPr="00A26FE3" w:rsidRDefault="002B239E" w:rsidP="001A2093">
            <w:pPr>
              <w:jc w:val="center"/>
              <w:rPr>
                <w:sz w:val="22"/>
                <w:szCs w:val="22"/>
                <w:lang w:val="pt-BR" w:eastAsia="es-ES"/>
              </w:rPr>
            </w:pPr>
            <w:r w:rsidRPr="00A26FE3">
              <w:rPr>
                <w:sz w:val="22"/>
                <w:szCs w:val="22"/>
                <w:lang w:val="pt-BR" w:eastAsia="es-ES"/>
              </w:rPr>
              <w:t>Salão Simón Bolívar</w:t>
            </w: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ind w:right="324"/>
              <w:jc w:val="both"/>
              <w:rPr>
                <w:sz w:val="22"/>
                <w:szCs w:val="22"/>
                <w:lang w:val="pt-BR" w:eastAsia="es-ES"/>
              </w:rPr>
            </w:pPr>
            <w:r w:rsidRPr="00A26FE3">
              <w:rPr>
                <w:sz w:val="22"/>
                <w:szCs w:val="22"/>
                <w:lang w:val="pt-BR"/>
              </w:rPr>
              <w:t xml:space="preserve">Sessão extraordinária para compartilhar lições aprendidas e intercambiar boas práticas, a fim de promover um diálogo regional sobre o direito à liberdade de pensamento, de consciência e de religião ou crença —  seção </w:t>
            </w:r>
            <w:r w:rsidRPr="00A26FE3">
              <w:rPr>
                <w:sz w:val="22"/>
                <w:szCs w:val="22"/>
                <w:lang w:val="pt-BR" w:eastAsia="es-ES"/>
              </w:rPr>
              <w:t xml:space="preserve">xviii. da resolução </w:t>
            </w:r>
            <w:r w:rsidRPr="00A26FE3">
              <w:rPr>
                <w:sz w:val="22"/>
                <w:szCs w:val="22"/>
                <w:lang w:val="pt-BR"/>
              </w:rPr>
              <w:t>AG/RES. 2941 (XLIX-O/19)</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27 de fevereiro de 2020</w:t>
            </w:r>
          </w:p>
          <w:p w:rsidR="002B239E" w:rsidRPr="00A26FE3" w:rsidRDefault="002B239E" w:rsidP="001A2093">
            <w:pPr>
              <w:jc w:val="center"/>
              <w:rPr>
                <w:sz w:val="22"/>
                <w:szCs w:val="22"/>
                <w:lang w:val="pt-BR" w:eastAsia="es-ES"/>
              </w:rPr>
            </w:pPr>
            <w:r w:rsidRPr="00A26FE3">
              <w:rPr>
                <w:sz w:val="22"/>
                <w:szCs w:val="22"/>
                <w:lang w:val="pt-BR" w:eastAsia="es-ES"/>
              </w:rPr>
              <w:t xml:space="preserve">14h30–16h00 </w:t>
            </w:r>
          </w:p>
          <w:p w:rsidR="002B239E" w:rsidRPr="00A26FE3" w:rsidRDefault="002B239E" w:rsidP="001A2093">
            <w:pPr>
              <w:jc w:val="center"/>
              <w:rPr>
                <w:sz w:val="22"/>
                <w:szCs w:val="22"/>
                <w:lang w:val="pt-BR"/>
              </w:rPr>
            </w:pPr>
            <w:r w:rsidRPr="00A26FE3">
              <w:rPr>
                <w:sz w:val="22"/>
                <w:szCs w:val="22"/>
                <w:lang w:val="pt-BR" w:eastAsia="es-ES"/>
              </w:rPr>
              <w:t>Salão Simón Bolívar</w:t>
            </w:r>
          </w:p>
        </w:tc>
        <w:tc>
          <w:tcPr>
            <w:tcW w:w="10023"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1A2093">
            <w:pPr>
              <w:jc w:val="both"/>
              <w:rPr>
                <w:strike/>
                <w:sz w:val="22"/>
                <w:szCs w:val="22"/>
                <w:lang w:val="pt-BR" w:eastAsia="es-ES"/>
              </w:rPr>
            </w:pPr>
            <w:r w:rsidRPr="00A26FE3">
              <w:rPr>
                <w:sz w:val="22"/>
                <w:szCs w:val="22"/>
                <w:lang w:val="pt-BR" w:eastAsia="es-ES"/>
              </w:rPr>
              <w:t>Sessão extraordinária: “</w:t>
            </w:r>
            <w:r w:rsidRPr="00A26FE3">
              <w:rPr>
                <w:sz w:val="22"/>
                <w:szCs w:val="22"/>
                <w:lang w:val="pt-BR"/>
              </w:rPr>
              <w:t>Diálogo inclusivo para a prevenção, a gestão eficaz e a solução</w:t>
            </w:r>
            <w:r w:rsidRPr="00A26FE3">
              <w:rPr>
                <w:b/>
                <w:sz w:val="22"/>
                <w:szCs w:val="22"/>
                <w:lang w:val="pt-BR"/>
              </w:rPr>
              <w:t xml:space="preserve"> </w:t>
            </w:r>
            <w:r w:rsidRPr="00A26FE3">
              <w:rPr>
                <w:sz w:val="22"/>
                <w:szCs w:val="22"/>
                <w:lang w:val="pt-BR"/>
              </w:rPr>
              <w:t>integral</w:t>
            </w:r>
            <w:r w:rsidRPr="00A26FE3">
              <w:rPr>
                <w:b/>
                <w:sz w:val="22"/>
                <w:szCs w:val="22"/>
                <w:lang w:val="pt-BR"/>
              </w:rPr>
              <w:t xml:space="preserve"> </w:t>
            </w:r>
            <w:r w:rsidRPr="00A26FE3">
              <w:rPr>
                <w:sz w:val="22"/>
                <w:szCs w:val="22"/>
                <w:lang w:val="pt-BR"/>
              </w:rPr>
              <w:t>do conflito social no investimento para o desenvolvimento integral” — seção v. da resolução AG/RES. 2931 (XLIX-O/19).</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Quinta-feira</w:t>
            </w:r>
          </w:p>
          <w:p w:rsidR="002B239E" w:rsidRPr="00A26FE3" w:rsidRDefault="002B239E" w:rsidP="001A2093">
            <w:pPr>
              <w:jc w:val="center"/>
              <w:rPr>
                <w:sz w:val="22"/>
                <w:szCs w:val="22"/>
                <w:lang w:val="pt-BR" w:eastAsia="es-ES"/>
              </w:rPr>
            </w:pPr>
            <w:r w:rsidRPr="00A26FE3">
              <w:rPr>
                <w:sz w:val="22"/>
                <w:szCs w:val="22"/>
                <w:lang w:val="pt-BR" w:eastAsia="es-ES"/>
              </w:rPr>
              <w:t>27 de fevereiro de 2020</w:t>
            </w:r>
          </w:p>
          <w:p w:rsidR="002B239E" w:rsidRPr="00A26FE3" w:rsidRDefault="002B239E" w:rsidP="001A2093">
            <w:pPr>
              <w:jc w:val="center"/>
              <w:rPr>
                <w:sz w:val="22"/>
                <w:szCs w:val="22"/>
                <w:lang w:val="pt-BR" w:eastAsia="es-ES"/>
              </w:rPr>
            </w:pPr>
            <w:r w:rsidRPr="00A26FE3">
              <w:rPr>
                <w:sz w:val="22"/>
                <w:szCs w:val="22"/>
                <w:lang w:val="pt-BR" w:eastAsia="es-ES"/>
              </w:rPr>
              <w:t>16h00–17h30</w:t>
            </w:r>
          </w:p>
          <w:p w:rsidR="002B239E" w:rsidRPr="00A26FE3" w:rsidRDefault="002B239E" w:rsidP="001A2093">
            <w:pPr>
              <w:jc w:val="center"/>
              <w:rPr>
                <w:sz w:val="22"/>
                <w:szCs w:val="22"/>
                <w:lang w:val="pt-BR" w:eastAsia="es-ES"/>
              </w:rPr>
            </w:pPr>
            <w:r w:rsidRPr="00A26FE3">
              <w:rPr>
                <w:sz w:val="22"/>
                <w:szCs w:val="22"/>
                <w:lang w:val="pt-BR" w:eastAsia="es-ES"/>
              </w:rPr>
              <w:t>Salão Simón Bolívar</w:t>
            </w:r>
          </w:p>
        </w:tc>
        <w:tc>
          <w:tcPr>
            <w:tcW w:w="10023"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26"/>
              </w:numPr>
              <w:ind w:right="324"/>
              <w:jc w:val="both"/>
              <w:rPr>
                <w:sz w:val="22"/>
                <w:szCs w:val="22"/>
                <w:lang w:val="pt-BR" w:eastAsia="es-ES"/>
              </w:rPr>
            </w:pPr>
            <w:r w:rsidRPr="00A26FE3">
              <w:rPr>
                <w:sz w:val="22"/>
                <w:szCs w:val="22"/>
                <w:lang w:val="pt-BR" w:eastAsia="es-ES"/>
              </w:rPr>
              <w:t>Desafios da Secretaria de Fortalecimento da Democracia para 2020</w:t>
            </w:r>
          </w:p>
          <w:p w:rsidR="002B239E" w:rsidRPr="00A26FE3" w:rsidRDefault="002B239E" w:rsidP="001A2093">
            <w:pPr>
              <w:ind w:left="360"/>
              <w:jc w:val="both"/>
              <w:rPr>
                <w:i/>
                <w:sz w:val="22"/>
                <w:szCs w:val="22"/>
                <w:lang w:val="pt-BR" w:eastAsia="es-ES"/>
              </w:rPr>
            </w:pPr>
            <w:r w:rsidRPr="00A26FE3">
              <w:rPr>
                <w:i/>
                <w:sz w:val="22"/>
                <w:szCs w:val="22"/>
                <w:lang w:val="pt-BR"/>
              </w:rPr>
              <w:t>Apresentação a cargo do Secretário de Fortalecimento da Democracia</w:t>
            </w:r>
          </w:p>
          <w:p w:rsidR="002B239E" w:rsidRPr="00A26FE3" w:rsidRDefault="002B239E" w:rsidP="004931B8">
            <w:pPr>
              <w:numPr>
                <w:ilvl w:val="0"/>
                <w:numId w:val="26"/>
              </w:numPr>
              <w:ind w:right="324"/>
              <w:jc w:val="both"/>
              <w:rPr>
                <w:sz w:val="22"/>
                <w:szCs w:val="22"/>
                <w:lang w:val="pt-BR" w:eastAsia="es-ES"/>
              </w:rPr>
            </w:pPr>
            <w:r w:rsidRPr="00A26FE3">
              <w:rPr>
                <w:sz w:val="22"/>
                <w:szCs w:val="22"/>
                <w:lang w:val="pt-BR" w:eastAsia="es-ES"/>
              </w:rPr>
              <w:t>Acompanhamento dos mandatos da resolução AG/RES. 2931 (XLIX-O/19) “Fortalecimento da democracia”:</w:t>
            </w:r>
          </w:p>
          <w:p w:rsidR="002B239E" w:rsidRPr="00A26FE3" w:rsidRDefault="002B239E" w:rsidP="004931B8">
            <w:pPr>
              <w:numPr>
                <w:ilvl w:val="0"/>
                <w:numId w:val="3"/>
              </w:numPr>
              <w:jc w:val="both"/>
              <w:rPr>
                <w:sz w:val="22"/>
                <w:szCs w:val="22"/>
                <w:lang w:val="pt-BR" w:eastAsia="es-ES"/>
              </w:rPr>
            </w:pPr>
            <w:r w:rsidRPr="00A26FE3">
              <w:rPr>
                <w:sz w:val="22"/>
                <w:szCs w:val="22"/>
                <w:u w:val="single"/>
                <w:lang w:val="pt-BR" w:eastAsia="es-ES"/>
              </w:rPr>
              <w:t>Seção i</w:t>
            </w:r>
            <w:r w:rsidRPr="00A26FE3">
              <w:rPr>
                <w:sz w:val="22"/>
                <w:szCs w:val="22"/>
                <w:lang w:val="pt-BR" w:eastAsia="es-ES"/>
              </w:rPr>
              <w:t>.: Acompanhamento da Carta Democrática Interamericana.</w:t>
            </w: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2B239E" w:rsidRPr="00A26FE3" w:rsidRDefault="002B239E" w:rsidP="001A2093">
            <w:pPr>
              <w:tabs>
                <w:tab w:val="left" w:pos="342"/>
              </w:tabs>
              <w:ind w:left="360" w:hanging="360"/>
              <w:jc w:val="center"/>
              <w:rPr>
                <w:b/>
                <w:sz w:val="22"/>
                <w:szCs w:val="22"/>
                <w:lang w:val="pt-BR" w:eastAsia="es-ES"/>
              </w:rPr>
            </w:pPr>
            <w:r w:rsidRPr="00A26FE3">
              <w:rPr>
                <w:b/>
                <w:sz w:val="22"/>
                <w:szCs w:val="22"/>
                <w:lang w:val="pt-BR" w:eastAsia="es-ES"/>
              </w:rPr>
              <w:t>ABRIL DE 2020</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Quinta-feira,</w:t>
            </w:r>
          </w:p>
          <w:p w:rsidR="002B239E" w:rsidRPr="00A26FE3" w:rsidRDefault="002B239E" w:rsidP="001A2093">
            <w:pPr>
              <w:jc w:val="center"/>
              <w:rPr>
                <w:sz w:val="22"/>
                <w:szCs w:val="22"/>
                <w:lang w:val="pt-BR" w:eastAsia="es-ES"/>
              </w:rPr>
            </w:pPr>
            <w:r w:rsidRPr="00A26FE3">
              <w:rPr>
                <w:sz w:val="22"/>
                <w:szCs w:val="22"/>
                <w:lang w:val="pt-BR" w:eastAsia="es-ES"/>
              </w:rPr>
              <w:t>23 de abril de 2020</w:t>
            </w:r>
          </w:p>
          <w:p w:rsidR="002B239E" w:rsidRPr="00A26FE3" w:rsidRDefault="002B239E" w:rsidP="001A2093">
            <w:pPr>
              <w:jc w:val="center"/>
              <w:rPr>
                <w:sz w:val="22"/>
                <w:szCs w:val="22"/>
                <w:lang w:val="pt-BR" w:eastAsia="es-ES"/>
              </w:rPr>
            </w:pPr>
            <w:r w:rsidRPr="00A26FE3">
              <w:rPr>
                <w:sz w:val="22"/>
                <w:szCs w:val="22"/>
                <w:lang w:val="pt-BR" w:eastAsia="es-ES"/>
              </w:rPr>
              <w:t xml:space="preserve">14h30–16h30 </w:t>
            </w:r>
          </w:p>
          <w:p w:rsidR="002B239E" w:rsidRPr="00A26FE3" w:rsidRDefault="002B239E" w:rsidP="001A2093">
            <w:pPr>
              <w:jc w:val="center"/>
              <w:rPr>
                <w:b/>
                <w:sz w:val="22"/>
                <w:szCs w:val="22"/>
                <w:lang w:val="pt-BR" w:eastAsia="es-ES"/>
              </w:rPr>
            </w:pPr>
            <w:r w:rsidRPr="00A26FE3">
              <w:rPr>
                <w:sz w:val="22"/>
                <w:szCs w:val="22"/>
                <w:lang w:val="pt-BR" w:eastAsia="es-ES"/>
              </w:rPr>
              <w:t xml:space="preserve">Virtual </w:t>
            </w:r>
          </w:p>
        </w:tc>
        <w:tc>
          <w:tcPr>
            <w:tcW w:w="10023"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23"/>
              </w:numPr>
              <w:jc w:val="both"/>
              <w:rPr>
                <w:sz w:val="22"/>
                <w:szCs w:val="22"/>
                <w:lang w:val="pt-BR" w:eastAsia="es-ES"/>
              </w:rPr>
            </w:pPr>
            <w:r w:rsidRPr="00A26FE3">
              <w:rPr>
                <w:sz w:val="22"/>
                <w:szCs w:val="22"/>
                <w:lang w:val="pt-BR" w:eastAsia="es-ES"/>
              </w:rPr>
              <w:t>Reorganização dos trabalhos da Comissão durante as medidas de confinamento e distanciamento social devido à pandemia de COVID-19.</w:t>
            </w:r>
          </w:p>
          <w:p w:rsidR="002B239E" w:rsidRPr="00A26FE3" w:rsidRDefault="002B239E" w:rsidP="004931B8">
            <w:pPr>
              <w:numPr>
                <w:ilvl w:val="0"/>
                <w:numId w:val="23"/>
              </w:numPr>
              <w:jc w:val="both"/>
              <w:rPr>
                <w:sz w:val="22"/>
                <w:szCs w:val="22"/>
                <w:lang w:val="pt-BR" w:eastAsia="es-ES"/>
              </w:rPr>
            </w:pPr>
            <w:r w:rsidRPr="00A26FE3">
              <w:rPr>
                <w:sz w:val="22"/>
                <w:szCs w:val="22"/>
                <w:lang w:val="pt-BR" w:eastAsia="es-ES"/>
              </w:rPr>
              <w:t xml:space="preserve">Acompanhamento do mandato da resolução </w:t>
            </w:r>
            <w:r w:rsidRPr="00A26FE3">
              <w:rPr>
                <w:sz w:val="22"/>
                <w:szCs w:val="22"/>
                <w:lang w:val="pt-BR"/>
              </w:rPr>
              <w:t>AG/RES. 2931 (XLIX-O/19), “Fortalecimento da democracia</w:t>
            </w:r>
            <w:r w:rsidRPr="00A26FE3">
              <w:rPr>
                <w:sz w:val="22"/>
                <w:szCs w:val="22"/>
                <w:lang w:val="pt-BR" w:eastAsia="es-ES"/>
              </w:rPr>
              <w:t>”</w:t>
            </w:r>
          </w:p>
          <w:p w:rsidR="002B239E" w:rsidRPr="00A26FE3" w:rsidRDefault="002B239E" w:rsidP="004931B8">
            <w:pPr>
              <w:numPr>
                <w:ilvl w:val="0"/>
                <w:numId w:val="3"/>
              </w:numPr>
              <w:jc w:val="both"/>
              <w:rPr>
                <w:sz w:val="22"/>
                <w:szCs w:val="22"/>
                <w:lang w:val="pt-BR" w:eastAsia="es-ES"/>
              </w:rPr>
            </w:pPr>
            <w:r w:rsidRPr="00A26FE3">
              <w:rPr>
                <w:sz w:val="22"/>
                <w:szCs w:val="22"/>
                <w:u w:val="single"/>
                <w:lang w:val="pt-BR"/>
              </w:rPr>
              <w:t>Seção xii</w:t>
            </w:r>
            <w:r w:rsidRPr="00A26FE3">
              <w:rPr>
                <w:sz w:val="22"/>
                <w:szCs w:val="22"/>
                <w:lang w:val="pt-BR"/>
              </w:rPr>
              <w:t>: Acesso à informação pública e proteção de dados pessoais</w:t>
            </w:r>
          </w:p>
          <w:p w:rsidR="002B239E" w:rsidRPr="00A26FE3" w:rsidRDefault="002B239E" w:rsidP="004931B8">
            <w:pPr>
              <w:numPr>
                <w:ilvl w:val="1"/>
                <w:numId w:val="2"/>
              </w:numPr>
              <w:tabs>
                <w:tab w:val="left" w:pos="843"/>
              </w:tabs>
              <w:jc w:val="both"/>
              <w:rPr>
                <w:sz w:val="22"/>
                <w:szCs w:val="22"/>
                <w:lang w:val="pt-BR" w:eastAsia="es-ES"/>
              </w:rPr>
            </w:pPr>
            <w:r w:rsidRPr="00A26FE3">
              <w:rPr>
                <w:sz w:val="22"/>
                <w:szCs w:val="22"/>
                <w:lang w:val="pt-BR"/>
              </w:rPr>
              <w:t xml:space="preserve">Apresentação dos relatórios nacionais de andamento e intercâmbio de boas práticas na implementação do Programa Interamericano sobre Acesso à Informação Pública. </w:t>
            </w:r>
          </w:p>
          <w:p w:rsidR="002B239E" w:rsidRPr="00A26FE3" w:rsidRDefault="002B239E" w:rsidP="001A2093">
            <w:pPr>
              <w:tabs>
                <w:tab w:val="left" w:pos="843"/>
              </w:tabs>
              <w:ind w:left="717"/>
              <w:jc w:val="both"/>
              <w:rPr>
                <w:sz w:val="22"/>
                <w:szCs w:val="22"/>
                <w:lang w:val="pt-BR" w:eastAsia="es-ES"/>
              </w:rPr>
            </w:pP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center"/>
              <w:rPr>
                <w:sz w:val="22"/>
                <w:szCs w:val="22"/>
                <w:lang w:val="pt-BR" w:eastAsia="es-ES"/>
              </w:rPr>
            </w:pPr>
            <w:r w:rsidRPr="00A26FE3">
              <w:rPr>
                <w:sz w:val="22"/>
                <w:szCs w:val="22"/>
                <w:lang w:val="pt-BR" w:eastAsia="es-ES"/>
              </w:rPr>
              <w:t>Quinta-feira,</w:t>
            </w:r>
          </w:p>
          <w:p w:rsidR="002B239E" w:rsidRPr="00A26FE3" w:rsidRDefault="002B239E" w:rsidP="001A2093">
            <w:pPr>
              <w:jc w:val="center"/>
              <w:rPr>
                <w:sz w:val="22"/>
                <w:szCs w:val="22"/>
                <w:lang w:val="pt-BR" w:eastAsia="es-ES"/>
              </w:rPr>
            </w:pPr>
            <w:r w:rsidRPr="00A26FE3">
              <w:rPr>
                <w:sz w:val="22"/>
                <w:szCs w:val="22"/>
                <w:lang w:val="pt-BR" w:eastAsia="es-ES"/>
              </w:rPr>
              <w:t>30 de abril de 2020</w:t>
            </w:r>
          </w:p>
          <w:p w:rsidR="002B239E" w:rsidRPr="00A26FE3" w:rsidRDefault="002B239E" w:rsidP="001A2093">
            <w:pPr>
              <w:jc w:val="center"/>
              <w:rPr>
                <w:sz w:val="22"/>
                <w:szCs w:val="22"/>
                <w:lang w:val="pt-BR" w:eastAsia="es-ES"/>
              </w:rPr>
            </w:pPr>
            <w:r w:rsidRPr="00A26FE3">
              <w:rPr>
                <w:sz w:val="22"/>
                <w:szCs w:val="22"/>
                <w:lang w:val="pt-BR" w:eastAsia="es-ES"/>
              </w:rPr>
              <w:t xml:space="preserve">14h30–17h00 </w:t>
            </w:r>
          </w:p>
          <w:p w:rsidR="002B239E" w:rsidRPr="00A26FE3" w:rsidRDefault="002B239E" w:rsidP="001A2093">
            <w:pPr>
              <w:jc w:val="center"/>
              <w:rPr>
                <w:sz w:val="22"/>
                <w:szCs w:val="22"/>
                <w:lang w:val="pt-BR" w:eastAsia="es-ES"/>
              </w:rPr>
            </w:pPr>
            <w:r w:rsidRPr="00A26FE3">
              <w:rPr>
                <w:sz w:val="22"/>
                <w:szCs w:val="22"/>
                <w:lang w:val="pt-BR" w:eastAsia="es-ES"/>
              </w:rPr>
              <w:t>Virtual</w:t>
            </w: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4931B8">
            <w:pPr>
              <w:numPr>
                <w:ilvl w:val="0"/>
                <w:numId w:val="27"/>
              </w:numPr>
              <w:jc w:val="both"/>
              <w:rPr>
                <w:sz w:val="22"/>
                <w:szCs w:val="22"/>
                <w:lang w:val="pt-BR" w:eastAsia="es-ES"/>
              </w:rPr>
            </w:pPr>
            <w:r w:rsidRPr="00A26FE3">
              <w:rPr>
                <w:sz w:val="22"/>
                <w:szCs w:val="22"/>
                <w:lang w:val="pt-BR" w:eastAsia="es-ES"/>
              </w:rPr>
              <w:t>Apresentação do Relatório Anual da CIDH ao Quinquagésimo Período Ordinário de Sessões da Assembleia Geral</w:t>
            </w:r>
          </w:p>
          <w:p w:rsidR="002B239E" w:rsidRPr="00A26FE3" w:rsidRDefault="002B239E" w:rsidP="004931B8">
            <w:pPr>
              <w:numPr>
                <w:ilvl w:val="0"/>
                <w:numId w:val="27"/>
              </w:numPr>
              <w:rPr>
                <w:sz w:val="22"/>
                <w:szCs w:val="22"/>
                <w:lang w:val="pt-BR" w:eastAsia="es-ES"/>
              </w:rPr>
            </w:pPr>
            <w:r w:rsidRPr="00A26FE3">
              <w:rPr>
                <w:sz w:val="22"/>
                <w:szCs w:val="22"/>
                <w:lang w:val="pt-BR" w:eastAsia="es-ES"/>
              </w:rPr>
              <w:t>Apresentação do Relatório Anual da Corte IDH ao Quinquagésimo Período Ordinário de Sessões da Assembleia Geral</w:t>
            </w:r>
          </w:p>
          <w:p w:rsidR="002B239E" w:rsidRPr="00A26FE3" w:rsidRDefault="002B239E" w:rsidP="001A2093">
            <w:pPr>
              <w:ind w:left="360"/>
              <w:jc w:val="both"/>
              <w:rPr>
                <w:sz w:val="22"/>
                <w:szCs w:val="22"/>
                <w:lang w:val="pt-BR" w:eastAsia="es-ES"/>
              </w:rPr>
            </w:pP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B239E" w:rsidRPr="00A26FE3" w:rsidRDefault="002B239E" w:rsidP="001A2093">
            <w:pPr>
              <w:tabs>
                <w:tab w:val="left" w:pos="342"/>
              </w:tabs>
              <w:ind w:left="360" w:hanging="360"/>
              <w:jc w:val="center"/>
              <w:rPr>
                <w:b/>
                <w:sz w:val="22"/>
                <w:szCs w:val="22"/>
                <w:lang w:val="pt-BR" w:eastAsia="es-ES"/>
              </w:rPr>
            </w:pPr>
            <w:r w:rsidRPr="00A26FE3">
              <w:rPr>
                <w:b/>
                <w:sz w:val="22"/>
                <w:szCs w:val="22"/>
                <w:lang w:val="pt-BR" w:eastAsia="es-ES"/>
              </w:rPr>
              <w:t>MAIO DE 2020</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14 de maio de 2020</w:t>
            </w:r>
          </w:p>
          <w:p w:rsidR="002B239E" w:rsidRPr="00A26FE3" w:rsidRDefault="002B239E" w:rsidP="001A2093">
            <w:pPr>
              <w:jc w:val="center"/>
              <w:rPr>
                <w:sz w:val="22"/>
                <w:szCs w:val="22"/>
                <w:lang w:val="pt-BR" w:eastAsia="es-ES"/>
              </w:rPr>
            </w:pPr>
            <w:r w:rsidRPr="00A26FE3">
              <w:rPr>
                <w:sz w:val="22"/>
                <w:szCs w:val="22"/>
                <w:lang w:val="pt-BR" w:eastAsia="es-ES"/>
              </w:rPr>
              <w:lastRenderedPageBreak/>
              <w:t xml:space="preserve">14h30–17h00 </w:t>
            </w:r>
            <w:r w:rsidRPr="00A26FE3">
              <w:rPr>
                <w:sz w:val="22"/>
                <w:szCs w:val="22"/>
                <w:lang w:val="pt-BR" w:eastAsia="es-ES"/>
              </w:rPr>
              <w:br/>
              <w:t>Virtual</w:t>
            </w:r>
          </w:p>
        </w:tc>
        <w:tc>
          <w:tcPr>
            <w:tcW w:w="10023"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28"/>
              </w:numPr>
              <w:rPr>
                <w:sz w:val="22"/>
                <w:szCs w:val="22"/>
                <w:lang w:val="pt-BR" w:eastAsia="es-ES"/>
              </w:rPr>
            </w:pPr>
            <w:r w:rsidRPr="00A26FE3">
              <w:rPr>
                <w:sz w:val="22"/>
                <w:szCs w:val="22"/>
                <w:lang w:val="pt-BR" w:eastAsia="es-ES"/>
              </w:rPr>
              <w:lastRenderedPageBreak/>
              <w:t>Apresentação do Relatório Anual da CJI ao Quinquagésimo Período Ordinário de Sessões da Assembleia Geral</w:t>
            </w:r>
          </w:p>
          <w:p w:rsidR="002B239E" w:rsidRPr="00A26FE3" w:rsidRDefault="002B239E" w:rsidP="004931B8">
            <w:pPr>
              <w:numPr>
                <w:ilvl w:val="0"/>
                <w:numId w:val="28"/>
              </w:numPr>
              <w:jc w:val="both"/>
              <w:rPr>
                <w:sz w:val="22"/>
                <w:szCs w:val="22"/>
                <w:lang w:val="pt-BR" w:eastAsia="es-ES"/>
              </w:rPr>
            </w:pPr>
            <w:r w:rsidRPr="00A26FE3">
              <w:rPr>
                <w:sz w:val="22"/>
                <w:szCs w:val="22"/>
                <w:lang w:val="pt-BR" w:eastAsia="es-ES"/>
              </w:rPr>
              <w:lastRenderedPageBreak/>
              <w:t xml:space="preserve">Apresentação do Relatório Anual do CEJA  ao Quinquagésimo Período Ordinário de Sessões da Assembleia Geral </w:t>
            </w:r>
          </w:p>
          <w:p w:rsidR="002B239E" w:rsidRPr="00A26FE3" w:rsidRDefault="002B239E" w:rsidP="001A2093">
            <w:pPr>
              <w:ind w:left="360"/>
              <w:rPr>
                <w:sz w:val="22"/>
                <w:szCs w:val="22"/>
                <w:lang w:val="pt-BR" w:eastAsia="es-ES"/>
              </w:rPr>
            </w:pP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hideMark/>
          </w:tcPr>
          <w:p w:rsidR="002B239E" w:rsidRPr="00A26FE3" w:rsidRDefault="002B239E" w:rsidP="001A2093">
            <w:pPr>
              <w:jc w:val="center"/>
              <w:rPr>
                <w:sz w:val="22"/>
                <w:szCs w:val="22"/>
                <w:lang w:val="pt-BR"/>
              </w:rPr>
            </w:pPr>
            <w:r w:rsidRPr="00A26FE3">
              <w:rPr>
                <w:sz w:val="22"/>
                <w:szCs w:val="22"/>
                <w:lang w:val="pt-BR" w:eastAsia="es-ES"/>
              </w:rPr>
              <w:lastRenderedPageBreak/>
              <w:t xml:space="preserve">Quinta-feira </w:t>
            </w:r>
            <w:r w:rsidRPr="00A26FE3">
              <w:rPr>
                <w:sz w:val="22"/>
                <w:szCs w:val="22"/>
                <w:lang w:val="pt-BR" w:eastAsia="es-ES"/>
              </w:rPr>
              <w:br/>
              <w:t>28 de maio de 2020</w:t>
            </w:r>
            <w:r w:rsidRPr="00A26FE3">
              <w:rPr>
                <w:sz w:val="22"/>
                <w:szCs w:val="22"/>
                <w:lang w:val="pt-BR" w:eastAsia="es-ES"/>
              </w:rPr>
              <w:br/>
              <w:t xml:space="preserve">14h30–17h30 </w:t>
            </w:r>
            <w:r w:rsidRPr="00A26FE3">
              <w:rPr>
                <w:sz w:val="22"/>
                <w:szCs w:val="22"/>
                <w:lang w:val="pt-BR" w:eastAsia="es-ES"/>
              </w:rPr>
              <w:br/>
              <w:t xml:space="preserve">Virtual </w:t>
            </w: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4931B8">
            <w:pPr>
              <w:numPr>
                <w:ilvl w:val="0"/>
                <w:numId w:val="4"/>
              </w:numPr>
              <w:ind w:left="393"/>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jc w:val="both"/>
              <w:rPr>
                <w:sz w:val="22"/>
                <w:szCs w:val="22"/>
                <w:lang w:val="pt-BR"/>
              </w:rPr>
            </w:pPr>
            <w:r w:rsidRPr="00A26FE3">
              <w:rPr>
                <w:sz w:val="22"/>
                <w:szCs w:val="22"/>
                <w:u w:val="single"/>
                <w:lang w:val="pt-BR"/>
              </w:rPr>
              <w:t>Seção vi.</w:t>
            </w:r>
            <w:r w:rsidRPr="00A26FE3">
              <w:rPr>
                <w:sz w:val="22"/>
                <w:szCs w:val="22"/>
                <w:lang w:val="pt-BR"/>
              </w:rPr>
              <w:t>: Fortalecimento do Mecanismo de Acompanhamento para a Implementação do Protocolo de São Salvador:</w:t>
            </w:r>
          </w:p>
          <w:p w:rsidR="002B239E" w:rsidRPr="00A26FE3" w:rsidRDefault="002B239E" w:rsidP="004931B8">
            <w:pPr>
              <w:numPr>
                <w:ilvl w:val="1"/>
                <w:numId w:val="2"/>
              </w:numPr>
              <w:tabs>
                <w:tab w:val="left" w:pos="843"/>
              </w:tabs>
              <w:jc w:val="both"/>
              <w:rPr>
                <w:sz w:val="22"/>
                <w:szCs w:val="22"/>
                <w:lang w:val="pt-BR" w:eastAsia="es-ES"/>
              </w:rPr>
            </w:pPr>
            <w:r w:rsidRPr="00A26FE3">
              <w:rPr>
                <w:sz w:val="22"/>
                <w:szCs w:val="22"/>
                <w:lang w:val="pt-BR"/>
              </w:rPr>
              <w:t xml:space="preserve">Apresentação do relatório do Grupo de Trabalho Encarregado de Analisar os Relatórios Nacionais Previstos no Protocolo de São Salvador (GTPSS). </w:t>
            </w:r>
          </w:p>
          <w:p w:rsidR="002B239E" w:rsidRPr="00A26FE3" w:rsidRDefault="002B239E" w:rsidP="001A2093">
            <w:pPr>
              <w:rPr>
                <w:i/>
                <w:sz w:val="22"/>
                <w:szCs w:val="22"/>
                <w:lang w:val="pt-BR"/>
              </w:rPr>
            </w:pPr>
            <w:r w:rsidRPr="00A26FE3">
              <w:rPr>
                <w:i/>
                <w:sz w:val="22"/>
                <w:szCs w:val="22"/>
                <w:lang w:val="pt-BR"/>
              </w:rPr>
              <w:t>Apresentação a cargo da Presidência do GTPSS</w:t>
            </w:r>
          </w:p>
          <w:p w:rsidR="002B239E" w:rsidRPr="00A26FE3" w:rsidRDefault="002B239E" w:rsidP="001A2093">
            <w:pPr>
              <w:rPr>
                <w:i/>
                <w:sz w:val="22"/>
                <w:szCs w:val="22"/>
                <w:lang w:val="pt-BR"/>
              </w:rPr>
            </w:pPr>
          </w:p>
          <w:p w:rsidR="002B239E" w:rsidRPr="00A26FE3" w:rsidRDefault="002B239E" w:rsidP="004931B8">
            <w:pPr>
              <w:numPr>
                <w:ilvl w:val="0"/>
                <w:numId w:val="4"/>
              </w:numPr>
              <w:ind w:left="720"/>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jc w:val="both"/>
              <w:rPr>
                <w:sz w:val="22"/>
                <w:szCs w:val="22"/>
                <w:u w:val="single"/>
                <w:lang w:val="pt-BR" w:eastAsia="es-ES"/>
              </w:rPr>
            </w:pPr>
            <w:r w:rsidRPr="00A26FE3">
              <w:rPr>
                <w:sz w:val="22"/>
                <w:szCs w:val="22"/>
                <w:u w:val="single"/>
                <w:lang w:val="pt-BR" w:eastAsia="es-ES"/>
              </w:rPr>
              <w:t xml:space="preserve">Seção xx: Programa de Ação para a Década das Américas pelos Direitos e pela Dignidade das Pessoas com Deficiência 2016-2026 e Apoio à Comissão para a Eliminação de Todas as Formas de Discriminação contra as Pessoas com Deficiência </w:t>
            </w:r>
          </w:p>
          <w:p w:rsidR="002B239E" w:rsidRPr="00A26FE3" w:rsidRDefault="002B239E" w:rsidP="004931B8">
            <w:pPr>
              <w:numPr>
                <w:ilvl w:val="1"/>
                <w:numId w:val="4"/>
              </w:numPr>
              <w:tabs>
                <w:tab w:val="left" w:pos="843"/>
              </w:tabs>
              <w:ind w:left="1440"/>
              <w:jc w:val="both"/>
              <w:rPr>
                <w:i/>
                <w:sz w:val="22"/>
                <w:szCs w:val="22"/>
                <w:lang w:val="pt-BR" w:eastAsia="es-ES"/>
              </w:rPr>
            </w:pPr>
            <w:r w:rsidRPr="00A26FE3">
              <w:rPr>
                <w:i/>
                <w:sz w:val="22"/>
                <w:szCs w:val="22"/>
                <w:lang w:val="pt-BR"/>
              </w:rPr>
              <w:t>Relatório de acompanhamento a cargo do Departamento de Inclusão Social – Secretaria Técnica da CEDDIS</w:t>
            </w:r>
          </w:p>
          <w:p w:rsidR="002B239E" w:rsidRPr="00A26FE3" w:rsidRDefault="002B239E" w:rsidP="004931B8">
            <w:pPr>
              <w:numPr>
                <w:ilvl w:val="0"/>
                <w:numId w:val="4"/>
              </w:numPr>
              <w:ind w:left="720"/>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jc w:val="both"/>
              <w:rPr>
                <w:sz w:val="22"/>
                <w:szCs w:val="22"/>
                <w:lang w:val="pt-BR" w:eastAsia="es-ES"/>
              </w:rPr>
            </w:pPr>
            <w:r w:rsidRPr="00A26FE3">
              <w:rPr>
                <w:sz w:val="22"/>
                <w:szCs w:val="22"/>
                <w:u w:val="single"/>
                <w:lang w:val="pt-BR" w:eastAsia="es-ES"/>
              </w:rPr>
              <w:t xml:space="preserve">Seção </w:t>
            </w:r>
            <w:r w:rsidRPr="00A26FE3">
              <w:rPr>
                <w:sz w:val="22"/>
                <w:szCs w:val="22"/>
                <w:u w:val="single"/>
                <w:lang w:val="pt-BR"/>
              </w:rPr>
              <w:t>xii</w:t>
            </w:r>
            <w:r w:rsidRPr="00A26FE3">
              <w:rPr>
                <w:sz w:val="22"/>
                <w:szCs w:val="22"/>
                <w:lang w:val="pt-BR"/>
              </w:rPr>
              <w:t>: Reconhecimento e promoção dos direitos dos afrodescendentes nas Américas</w:t>
            </w:r>
          </w:p>
          <w:p w:rsidR="002B239E" w:rsidRPr="00A26FE3" w:rsidRDefault="002B239E" w:rsidP="004931B8">
            <w:pPr>
              <w:numPr>
                <w:ilvl w:val="0"/>
                <w:numId w:val="3"/>
              </w:numPr>
              <w:jc w:val="both"/>
              <w:rPr>
                <w:sz w:val="22"/>
                <w:szCs w:val="22"/>
                <w:lang w:val="pt-BR" w:eastAsia="es-ES"/>
              </w:rPr>
            </w:pPr>
            <w:r w:rsidRPr="00A26FE3">
              <w:rPr>
                <w:sz w:val="22"/>
                <w:szCs w:val="22"/>
                <w:u w:val="single"/>
                <w:lang w:val="pt-BR" w:eastAsia="es-ES"/>
              </w:rPr>
              <w:t>Seção xix</w:t>
            </w:r>
            <w:r w:rsidRPr="00A26FE3">
              <w:rPr>
                <w:sz w:val="22"/>
                <w:szCs w:val="22"/>
                <w:lang w:val="pt-BR" w:eastAsia="es-ES"/>
              </w:rPr>
              <w:t xml:space="preserve">: </w:t>
            </w:r>
            <w:r w:rsidRPr="00A26FE3">
              <w:rPr>
                <w:sz w:val="22"/>
                <w:szCs w:val="22"/>
                <w:lang w:val="pt-BR"/>
              </w:rPr>
              <w:t>Acompanhamento da implementação da Declaração Americana sobre os Direitos dos Povos Indígenas e do Plano de Ação da Declaração Americana sobre os Direitos dos Povos Indígenas (2017-2021).</w:t>
            </w:r>
          </w:p>
          <w:p w:rsidR="002B239E" w:rsidRPr="00A26FE3" w:rsidRDefault="002B239E" w:rsidP="001A2093">
            <w:pPr>
              <w:ind w:left="720"/>
              <w:jc w:val="both"/>
              <w:rPr>
                <w:i/>
                <w:sz w:val="22"/>
                <w:szCs w:val="22"/>
                <w:lang w:val="pt-BR" w:eastAsia="es-ES"/>
              </w:rPr>
            </w:pPr>
            <w:r w:rsidRPr="00A26FE3">
              <w:rPr>
                <w:i/>
                <w:sz w:val="22"/>
                <w:szCs w:val="22"/>
                <w:lang w:val="pt-BR" w:eastAsia="es-ES"/>
              </w:rPr>
              <w:t xml:space="preserve">Apresentações a cargo do Gabinete do Secretário-Geral Adjunto e do Departamento de Inclusão Social </w:t>
            </w:r>
          </w:p>
          <w:p w:rsidR="002B239E" w:rsidRPr="00A26FE3" w:rsidRDefault="002B239E" w:rsidP="001A2093">
            <w:pPr>
              <w:rPr>
                <w:iCs/>
                <w:sz w:val="22"/>
                <w:szCs w:val="22"/>
                <w:lang w:val="pt-BR" w:eastAsia="es-ES"/>
              </w:rPr>
            </w:pP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clear" w:color="auto" w:fill="D0CECE"/>
          </w:tcPr>
          <w:p w:rsidR="002B239E" w:rsidRPr="00A26FE3" w:rsidRDefault="002B239E" w:rsidP="001A2093">
            <w:pPr>
              <w:ind w:left="393"/>
              <w:jc w:val="center"/>
              <w:rPr>
                <w:b/>
                <w:bCs/>
                <w:sz w:val="22"/>
                <w:szCs w:val="22"/>
                <w:highlight w:val="yellow"/>
                <w:lang w:val="pt-BR"/>
              </w:rPr>
            </w:pPr>
            <w:r w:rsidRPr="00A26FE3">
              <w:rPr>
                <w:b/>
                <w:bCs/>
                <w:sz w:val="22"/>
                <w:szCs w:val="22"/>
                <w:lang w:val="pt-BR"/>
              </w:rPr>
              <w:t>JUNHO DE 2020</w:t>
            </w:r>
          </w:p>
        </w:tc>
      </w:tr>
      <w:tr w:rsidR="002B239E" w:rsidRPr="008E192D" w:rsidTr="00760597">
        <w:trPr>
          <w:trHeight w:val="800"/>
          <w:jc w:val="center"/>
        </w:trPr>
        <w:tc>
          <w:tcPr>
            <w:tcW w:w="2577" w:type="dxa"/>
            <w:vMerge w:val="restart"/>
            <w:tcBorders>
              <w:top w:val="single" w:sz="4" w:space="0" w:color="000000"/>
              <w:left w:val="single" w:sz="4" w:space="0" w:color="000000"/>
              <w:right w:val="single" w:sz="4" w:space="0" w:color="000000"/>
            </w:tcBorders>
            <w:hideMark/>
          </w:tcPr>
          <w:p w:rsidR="002B239E" w:rsidRPr="00A26FE3" w:rsidRDefault="002B239E" w:rsidP="001A2093">
            <w:pPr>
              <w:jc w:val="center"/>
              <w:rPr>
                <w:sz w:val="22"/>
                <w:szCs w:val="22"/>
                <w:lang w:val="pt-BR" w:eastAsia="es-ES"/>
              </w:rPr>
            </w:pPr>
            <w:r w:rsidRPr="00A26FE3">
              <w:rPr>
                <w:sz w:val="22"/>
                <w:szCs w:val="22"/>
                <w:lang w:val="pt-BR" w:eastAsia="es-ES"/>
              </w:rPr>
              <w:t xml:space="preserve">Quinta-feira </w:t>
            </w:r>
          </w:p>
          <w:p w:rsidR="002B239E" w:rsidRPr="00A26FE3" w:rsidRDefault="002B239E" w:rsidP="001A2093">
            <w:pPr>
              <w:jc w:val="center"/>
              <w:rPr>
                <w:sz w:val="22"/>
                <w:szCs w:val="22"/>
                <w:lang w:val="pt-BR" w:eastAsia="es-ES"/>
              </w:rPr>
            </w:pPr>
            <w:r w:rsidRPr="00A26FE3">
              <w:rPr>
                <w:sz w:val="22"/>
                <w:szCs w:val="22"/>
                <w:lang w:val="pt-BR" w:eastAsia="es-ES"/>
              </w:rPr>
              <w:t>11 de junho de 2020</w:t>
            </w:r>
          </w:p>
          <w:p w:rsidR="002B239E" w:rsidRPr="00A26FE3" w:rsidRDefault="002B239E" w:rsidP="001A2093">
            <w:pPr>
              <w:jc w:val="center"/>
              <w:rPr>
                <w:sz w:val="22"/>
                <w:szCs w:val="22"/>
                <w:lang w:val="pt-BR" w:eastAsia="es-ES"/>
              </w:rPr>
            </w:pPr>
            <w:r w:rsidRPr="00A26FE3">
              <w:rPr>
                <w:sz w:val="22"/>
                <w:szCs w:val="22"/>
                <w:lang w:val="pt-BR" w:eastAsia="es-ES"/>
              </w:rPr>
              <w:t xml:space="preserve">14h30–17h30 </w:t>
            </w:r>
            <w:r w:rsidRPr="00A26FE3">
              <w:rPr>
                <w:sz w:val="22"/>
                <w:szCs w:val="22"/>
                <w:lang w:val="pt-BR" w:eastAsia="es-ES"/>
              </w:rPr>
              <w:br/>
              <w:t>Virtual</w:t>
            </w:r>
          </w:p>
          <w:p w:rsidR="002B239E" w:rsidRPr="00A26FE3" w:rsidRDefault="002B239E" w:rsidP="001A2093">
            <w:pPr>
              <w:jc w:val="center"/>
              <w:rPr>
                <w:sz w:val="22"/>
                <w:szCs w:val="22"/>
                <w:lang w:val="pt-BR" w:eastAsia="es-ES"/>
              </w:rPr>
            </w:pPr>
          </w:p>
        </w:tc>
        <w:tc>
          <w:tcPr>
            <w:tcW w:w="10023"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4931B8">
            <w:pPr>
              <w:numPr>
                <w:ilvl w:val="0"/>
                <w:numId w:val="22"/>
              </w:numPr>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
              </w:numPr>
              <w:jc w:val="both"/>
              <w:rPr>
                <w:sz w:val="22"/>
                <w:szCs w:val="22"/>
                <w:lang w:val="pt-BR"/>
              </w:rPr>
            </w:pPr>
            <w:r w:rsidRPr="00A26FE3">
              <w:rPr>
                <w:sz w:val="22"/>
                <w:szCs w:val="22"/>
                <w:u w:val="single"/>
                <w:lang w:val="pt-BR" w:eastAsia="es-ES"/>
              </w:rPr>
              <w:t>Seção xiii</w:t>
            </w:r>
            <w:r w:rsidRPr="00A26FE3">
              <w:rPr>
                <w:sz w:val="22"/>
                <w:szCs w:val="22"/>
                <w:lang w:val="pt-BR"/>
              </w:rPr>
              <w:t>: Integração</w:t>
            </w:r>
            <w:r w:rsidRPr="00A26FE3">
              <w:rPr>
                <w:color w:val="000000"/>
                <w:sz w:val="22"/>
                <w:szCs w:val="22"/>
                <w:lang w:val="pt-BR"/>
              </w:rPr>
              <w:t xml:space="preserve"> equilibrada de gênero e com representatividade geográfica e dos diferentes sistemas jurídicos, da Comissão Interamericana de Direitos Humanos e da Corte Interamericana de Direitos Humanos</w:t>
            </w:r>
          </w:p>
          <w:p w:rsidR="002B239E" w:rsidRPr="00A26FE3" w:rsidRDefault="002B239E" w:rsidP="004931B8">
            <w:pPr>
              <w:numPr>
                <w:ilvl w:val="1"/>
                <w:numId w:val="2"/>
              </w:numPr>
              <w:tabs>
                <w:tab w:val="left" w:pos="843"/>
              </w:tabs>
              <w:jc w:val="both"/>
              <w:rPr>
                <w:sz w:val="22"/>
                <w:szCs w:val="22"/>
                <w:lang w:val="pt-BR" w:eastAsia="es-ES"/>
              </w:rPr>
            </w:pPr>
            <w:r w:rsidRPr="00A26FE3">
              <w:rPr>
                <w:sz w:val="22"/>
                <w:szCs w:val="22"/>
                <w:lang w:val="pt-BR"/>
              </w:rPr>
              <w:t xml:space="preserve">Sessão de acompanhamento para compartilhar boas práticas no exercício de indicação e seleção de candidatos/as à CIDH e à Corte Interamericana de Direitos Humanos, quando seja o caso, com </w:t>
            </w:r>
            <w:r w:rsidRPr="00A26FE3">
              <w:rPr>
                <w:sz w:val="22"/>
                <w:szCs w:val="22"/>
                <w:lang w:val="pt-BR"/>
              </w:rPr>
              <w:lastRenderedPageBreak/>
              <w:t>vistas a promover a paridade de gênero e o equilíbrio entre as diferentes regiões e sistemas jurídicos do Hemisfério nos dois órgãos</w:t>
            </w:r>
          </w:p>
          <w:p w:rsidR="002B239E" w:rsidRPr="00A26FE3" w:rsidRDefault="002B239E" w:rsidP="001A2093">
            <w:pPr>
              <w:tabs>
                <w:tab w:val="left" w:pos="843"/>
              </w:tabs>
              <w:ind w:left="360"/>
              <w:jc w:val="both"/>
              <w:rPr>
                <w:sz w:val="22"/>
                <w:szCs w:val="22"/>
                <w:lang w:val="pt-BR"/>
              </w:rPr>
            </w:pPr>
          </w:p>
          <w:p w:rsidR="002B239E" w:rsidRPr="00A26FE3" w:rsidRDefault="002B239E" w:rsidP="001A2093">
            <w:pPr>
              <w:tabs>
                <w:tab w:val="left" w:pos="843"/>
              </w:tabs>
              <w:ind w:left="360"/>
              <w:jc w:val="both"/>
              <w:rPr>
                <w:sz w:val="22"/>
                <w:szCs w:val="22"/>
                <w:lang w:val="pt-BR" w:eastAsia="es-ES"/>
              </w:rPr>
            </w:pPr>
          </w:p>
        </w:tc>
      </w:tr>
      <w:tr w:rsidR="002B239E" w:rsidRPr="008E192D" w:rsidTr="00760597">
        <w:trPr>
          <w:trHeight w:val="1905"/>
          <w:jc w:val="center"/>
        </w:trPr>
        <w:tc>
          <w:tcPr>
            <w:tcW w:w="2577" w:type="dxa"/>
            <w:vMerge/>
            <w:tcBorders>
              <w:left w:val="single" w:sz="4" w:space="0" w:color="000000"/>
              <w:bottom w:val="single" w:sz="4" w:space="0" w:color="000000"/>
              <w:right w:val="single" w:sz="4" w:space="0" w:color="000000"/>
            </w:tcBorders>
          </w:tcPr>
          <w:p w:rsidR="002B239E" w:rsidRPr="00A26FE3" w:rsidRDefault="002B239E" w:rsidP="001A2093">
            <w:pPr>
              <w:jc w:val="center"/>
              <w:rPr>
                <w:sz w:val="22"/>
                <w:szCs w:val="22"/>
                <w:lang w:val="pt-BR" w:eastAsia="es-ES"/>
              </w:rPr>
            </w:pP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4931B8">
            <w:pPr>
              <w:numPr>
                <w:ilvl w:val="0"/>
                <w:numId w:val="31"/>
              </w:numPr>
              <w:tabs>
                <w:tab w:val="left" w:pos="843"/>
              </w:tabs>
              <w:jc w:val="both"/>
              <w:rPr>
                <w:sz w:val="22"/>
                <w:szCs w:val="22"/>
                <w:lang w:val="pt-BR"/>
              </w:rPr>
            </w:pPr>
            <w:r w:rsidRPr="00A26FE3">
              <w:rPr>
                <w:sz w:val="22"/>
                <w:szCs w:val="22"/>
                <w:lang w:val="pt-BR"/>
              </w:rPr>
              <w:t>Boas práticas dos Estados em relação às pessoas LGBTI no contexto da pandemia de COVID-19 (</w:t>
            </w:r>
            <w:hyperlink r:id="rId17" w:history="1">
              <w:r w:rsidRPr="00A26FE3">
                <w:rPr>
                  <w:rStyle w:val="Hyperlink"/>
                  <w:sz w:val="22"/>
                  <w:szCs w:val="22"/>
                  <w:lang w:val="pt-BR"/>
                </w:rPr>
                <w:t>CP/CAJP/INF. 758/20</w:t>
              </w:r>
            </w:hyperlink>
            <w:r w:rsidRPr="00A26FE3">
              <w:rPr>
                <w:sz w:val="22"/>
                <w:szCs w:val="22"/>
                <w:lang w:val="pt-BR"/>
              </w:rPr>
              <w:t>)</w:t>
            </w:r>
          </w:p>
          <w:p w:rsidR="002B239E" w:rsidRPr="00A26FE3" w:rsidRDefault="002B239E" w:rsidP="001A2093">
            <w:pPr>
              <w:tabs>
                <w:tab w:val="left" w:pos="843"/>
              </w:tabs>
              <w:ind w:left="720"/>
              <w:jc w:val="both"/>
              <w:rPr>
                <w:sz w:val="22"/>
                <w:szCs w:val="22"/>
                <w:lang w:val="pt-BR"/>
              </w:rPr>
            </w:pPr>
          </w:p>
          <w:p w:rsidR="002B239E" w:rsidRPr="00A26FE3" w:rsidRDefault="002B239E" w:rsidP="004931B8">
            <w:pPr>
              <w:numPr>
                <w:ilvl w:val="0"/>
                <w:numId w:val="31"/>
              </w:numPr>
              <w:tabs>
                <w:tab w:val="left" w:pos="843"/>
              </w:tabs>
              <w:jc w:val="both"/>
              <w:rPr>
                <w:sz w:val="22"/>
                <w:szCs w:val="22"/>
                <w:lang w:val="pt-BR"/>
              </w:rPr>
            </w:pPr>
            <w:r w:rsidRPr="00A26FE3">
              <w:rPr>
                <w:lang w:val="pt-BR"/>
              </w:rPr>
              <w:t>Resposta da comunidade religiosa à pandemia global da COVID-19: Boas práticas e perspectivas</w:t>
            </w:r>
            <w:r w:rsidRPr="00A26FE3">
              <w:rPr>
                <w:sz w:val="22"/>
                <w:szCs w:val="22"/>
                <w:lang w:val="pt-BR"/>
              </w:rPr>
              <w:t xml:space="preserve"> (</w:t>
            </w:r>
            <w:hyperlink r:id="rId18" w:history="1">
              <w:r w:rsidRPr="00A26FE3">
                <w:rPr>
                  <w:rStyle w:val="Hyperlink"/>
                  <w:sz w:val="22"/>
                  <w:szCs w:val="22"/>
                  <w:lang w:val="pt-BR"/>
                </w:rPr>
                <w:t>CP/CAJP/INF. 767/20</w:t>
              </w:r>
            </w:hyperlink>
            <w:r w:rsidRPr="00A26FE3">
              <w:rPr>
                <w:sz w:val="22"/>
                <w:szCs w:val="22"/>
                <w:lang w:val="pt-BR"/>
              </w:rPr>
              <w:t>)</w:t>
            </w:r>
          </w:p>
          <w:p w:rsidR="002B239E" w:rsidRPr="00A26FE3" w:rsidRDefault="002B239E" w:rsidP="001A2093">
            <w:pPr>
              <w:ind w:left="360"/>
              <w:jc w:val="both"/>
              <w:rPr>
                <w:sz w:val="22"/>
                <w:szCs w:val="22"/>
                <w:lang w:val="pt-BR"/>
              </w:rPr>
            </w:pPr>
          </w:p>
        </w:tc>
      </w:tr>
      <w:tr w:rsidR="002B239E" w:rsidRPr="008E192D" w:rsidTr="00760597">
        <w:trPr>
          <w:trHeight w:val="1523"/>
          <w:jc w:val="center"/>
        </w:trPr>
        <w:tc>
          <w:tcPr>
            <w:tcW w:w="2577" w:type="dxa"/>
            <w:vMerge w:val="restart"/>
            <w:tcBorders>
              <w:top w:val="single" w:sz="4" w:space="0" w:color="000000"/>
              <w:left w:val="single" w:sz="4" w:space="0" w:color="000000"/>
              <w:right w:val="single" w:sz="4" w:space="0" w:color="000000"/>
            </w:tcBorders>
            <w:hideMark/>
          </w:tcPr>
          <w:p w:rsidR="002B239E" w:rsidRPr="00A26FE3" w:rsidRDefault="002B239E" w:rsidP="001A2093">
            <w:pPr>
              <w:jc w:val="center"/>
              <w:rPr>
                <w:sz w:val="22"/>
                <w:szCs w:val="22"/>
                <w:lang w:val="pt-BR"/>
              </w:rPr>
            </w:pPr>
            <w:r w:rsidRPr="00A26FE3">
              <w:rPr>
                <w:noProof/>
                <w:sz w:val="22"/>
                <w:szCs w:val="22"/>
              </w:rPr>
              <mc:AlternateContent>
                <mc:Choice Requires="wps">
                  <w:drawing>
                    <wp:anchor distT="0" distB="0" distL="114300" distR="114300" simplePos="0" relativeHeight="251659264" behindDoc="0" locked="1" layoutInCell="1" allowOverlap="1" wp14:anchorId="41AC4661" wp14:editId="0914CAB6">
                      <wp:simplePos x="0" y="0"/>
                      <wp:positionH relativeFrom="column">
                        <wp:posOffset>25400</wp:posOffset>
                      </wp:positionH>
                      <wp:positionV relativeFrom="page">
                        <wp:posOffset>5812155</wp:posOffset>
                      </wp:positionV>
                      <wp:extent cx="3383280" cy="228600"/>
                      <wp:effectExtent l="0" t="1905"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39E" w:rsidRPr="00F70EC9" w:rsidRDefault="002B239E" w:rsidP="002B239E">
                                  <w:pPr>
                                    <w:rPr>
                                      <w:sz w:val="18"/>
                                    </w:rPr>
                                  </w:pPr>
                                  <w:r>
                                    <w:rPr>
                                      <w:sz w:val="18"/>
                                    </w:rPr>
                                    <w:fldChar w:fldCharType="begin"/>
                                  </w:r>
                                  <w:r>
                                    <w:rPr>
                                      <w:sz w:val="18"/>
                                    </w:rPr>
                                    <w:instrText xml:space="preserve"> FILENAME  \* MERGEFORMAT </w:instrText>
                                  </w:r>
                                  <w:r>
                                    <w:rPr>
                                      <w:sz w:val="18"/>
                                    </w:rPr>
                                    <w:fldChar w:fldCharType="separate"/>
                                  </w:r>
                                  <w:r>
                                    <w:rPr>
                                      <w:noProof/>
                                      <w:sz w:val="18"/>
                                    </w:rPr>
                                    <w:t>CP41929P04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pt;margin-top:457.65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JZtgIAALo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" filled="f" stroked="f">
                      <v:textbox>
                        <w:txbxContent>
                          <w:p w:rsidR="002B239E" w:rsidRPr="00F70EC9" w:rsidRDefault="002B239E" w:rsidP="002B239E">
                            <w:pPr>
                              <w:rPr>
                                <w:sz w:val="18"/>
                              </w:rPr>
                            </w:pPr>
                            <w:r>
                              <w:rPr>
                                <w:sz w:val="18"/>
                              </w:rPr>
                              <w:fldChar w:fldCharType="begin"/>
                            </w:r>
                            <w:r>
                              <w:rPr>
                                <w:sz w:val="18"/>
                              </w:rPr>
                              <w:instrText xml:space="preserve"> FILENAME  \* MERGEFORMAT </w:instrText>
                            </w:r>
                            <w:r>
                              <w:rPr>
                                <w:sz w:val="18"/>
                              </w:rPr>
                              <w:fldChar w:fldCharType="separate"/>
                            </w:r>
                            <w:r>
                              <w:rPr>
                                <w:noProof/>
                                <w:sz w:val="18"/>
                              </w:rPr>
                              <w:t>CP41929P04</w:t>
                            </w:r>
                            <w:r>
                              <w:rPr>
                                <w:sz w:val="18"/>
                              </w:rPr>
                              <w:fldChar w:fldCharType="end"/>
                            </w:r>
                          </w:p>
                        </w:txbxContent>
                      </v:textbox>
                      <w10:wrap anchory="page"/>
                      <w10:anchorlock/>
                    </v:shape>
                  </w:pict>
                </mc:Fallback>
              </mc:AlternateContent>
            </w:r>
            <w:r w:rsidRPr="00A26FE3">
              <w:rPr>
                <w:sz w:val="22"/>
                <w:szCs w:val="22"/>
                <w:lang w:val="pt-BR" w:eastAsia="es-ES"/>
              </w:rPr>
              <w:t xml:space="preserve">Quinta-feira </w:t>
            </w:r>
            <w:r w:rsidRPr="00A26FE3">
              <w:rPr>
                <w:sz w:val="22"/>
                <w:szCs w:val="22"/>
                <w:lang w:val="pt-BR" w:eastAsia="es-ES"/>
              </w:rPr>
              <w:br/>
              <w:t xml:space="preserve"> 25 de junho de 2020</w:t>
            </w:r>
            <w:r w:rsidRPr="00A26FE3">
              <w:rPr>
                <w:sz w:val="22"/>
                <w:szCs w:val="22"/>
                <w:lang w:val="pt-BR" w:eastAsia="es-ES"/>
              </w:rPr>
              <w:br/>
              <w:t xml:space="preserve">14h30–17h30 </w:t>
            </w:r>
            <w:r w:rsidRPr="00A26FE3">
              <w:rPr>
                <w:sz w:val="22"/>
                <w:szCs w:val="22"/>
                <w:lang w:val="pt-BR" w:eastAsia="es-ES"/>
              </w:rPr>
              <w:br/>
              <w:t xml:space="preserve">Virtual </w:t>
            </w:r>
          </w:p>
        </w:tc>
        <w:tc>
          <w:tcPr>
            <w:tcW w:w="10023" w:type="dxa"/>
            <w:tcBorders>
              <w:top w:val="single" w:sz="4" w:space="0" w:color="000000"/>
              <w:left w:val="single" w:sz="4" w:space="0" w:color="000000"/>
              <w:bottom w:val="single" w:sz="4" w:space="0" w:color="000000"/>
              <w:right w:val="single" w:sz="4" w:space="0" w:color="000000"/>
            </w:tcBorders>
            <w:vAlign w:val="center"/>
            <w:hideMark/>
          </w:tcPr>
          <w:p w:rsidR="002B239E" w:rsidRPr="00A26FE3" w:rsidRDefault="002B239E" w:rsidP="001A2093">
            <w:pPr>
              <w:rPr>
                <w:sz w:val="22"/>
                <w:szCs w:val="22"/>
                <w:lang w:val="pt-BR" w:eastAsia="es-ES"/>
              </w:rPr>
            </w:pPr>
            <w:r w:rsidRPr="00A26FE3">
              <w:rPr>
                <w:sz w:val="22"/>
                <w:szCs w:val="22"/>
                <w:lang w:val="pt-BR" w:eastAsia="es-ES"/>
              </w:rPr>
              <w:t xml:space="preserve">OITAVA SESSÃO EXTRAORDINÁRIA </w:t>
            </w:r>
            <w:r w:rsidRPr="00A26FE3">
              <w:rPr>
                <w:sz w:val="22"/>
                <w:szCs w:val="22"/>
                <w:lang w:val="pt-BR"/>
              </w:rPr>
              <w:t xml:space="preserve">sobre os mecanismos de monitoramento dos centros de detenção de que dispõe cada instituição de defesa pública oficial da região — </w:t>
            </w:r>
            <w:r w:rsidRPr="00A26FE3">
              <w:rPr>
                <w:sz w:val="22"/>
                <w:szCs w:val="22"/>
                <w:lang w:val="pt-BR" w:eastAsia="es-ES"/>
              </w:rPr>
              <w:t>Seção vi. da resolução AG/RES. 2941 (XLIX-O/19)</w:t>
            </w:r>
          </w:p>
          <w:p w:rsidR="002B239E" w:rsidRPr="00A26FE3" w:rsidRDefault="002B239E" w:rsidP="001A2093">
            <w:pPr>
              <w:rPr>
                <w:sz w:val="22"/>
                <w:szCs w:val="22"/>
                <w:lang w:val="pt-BR" w:eastAsia="es-ES"/>
              </w:rPr>
            </w:pPr>
          </w:p>
          <w:p w:rsidR="002B239E" w:rsidRPr="00A26FE3" w:rsidRDefault="002B239E" w:rsidP="001A2093">
            <w:pPr>
              <w:rPr>
                <w:sz w:val="22"/>
                <w:szCs w:val="22"/>
                <w:lang w:val="pt-BR" w:eastAsia="es-ES"/>
              </w:rPr>
            </w:pPr>
          </w:p>
        </w:tc>
      </w:tr>
      <w:tr w:rsidR="002B239E" w:rsidRPr="008E192D" w:rsidTr="00760597">
        <w:trPr>
          <w:trHeight w:val="1522"/>
          <w:jc w:val="center"/>
        </w:trPr>
        <w:tc>
          <w:tcPr>
            <w:tcW w:w="2577" w:type="dxa"/>
            <w:vMerge/>
            <w:tcBorders>
              <w:left w:val="single" w:sz="4" w:space="0" w:color="000000"/>
              <w:bottom w:val="single" w:sz="4" w:space="0" w:color="000000"/>
              <w:right w:val="single" w:sz="4" w:space="0" w:color="000000"/>
            </w:tcBorders>
          </w:tcPr>
          <w:p w:rsidR="002B239E" w:rsidRPr="00A26FE3" w:rsidRDefault="002B239E" w:rsidP="001A2093">
            <w:pPr>
              <w:jc w:val="center"/>
              <w:rPr>
                <w:noProof/>
                <w:sz w:val="22"/>
                <w:szCs w:val="22"/>
                <w:lang w:val="pt-BR"/>
              </w:rPr>
            </w:pP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4931B8">
            <w:pPr>
              <w:numPr>
                <w:ilvl w:val="0"/>
                <w:numId w:val="29"/>
              </w:numPr>
              <w:jc w:val="both"/>
              <w:rPr>
                <w:sz w:val="22"/>
                <w:szCs w:val="22"/>
                <w:lang w:val="pt-BR" w:eastAsia="es-ES"/>
              </w:rPr>
            </w:pPr>
            <w:r w:rsidRPr="00A26FE3">
              <w:rPr>
                <w:sz w:val="22"/>
                <w:szCs w:val="22"/>
                <w:lang w:val="pt-BR"/>
              </w:rPr>
              <w:t>Acompanhamento dos mandatos da resolução AG/RES. 2941 (XLIX-O/19), “Promoção e proteção dos direitos humanos”</w:t>
            </w:r>
          </w:p>
          <w:p w:rsidR="002B239E" w:rsidRPr="00A26FE3" w:rsidRDefault="002B239E" w:rsidP="004931B8">
            <w:pPr>
              <w:numPr>
                <w:ilvl w:val="0"/>
                <w:numId w:val="30"/>
              </w:numPr>
              <w:jc w:val="both"/>
              <w:rPr>
                <w:sz w:val="22"/>
                <w:szCs w:val="22"/>
                <w:lang w:val="pt-BR" w:eastAsia="es-ES"/>
              </w:rPr>
            </w:pPr>
            <w:r w:rsidRPr="00A26FE3">
              <w:rPr>
                <w:sz w:val="22"/>
                <w:szCs w:val="22"/>
                <w:lang w:val="pt-BR" w:eastAsia="es-ES"/>
              </w:rPr>
              <w:t>Seção ix: Direitos das pessoas privadas de liberdade:</w:t>
            </w:r>
          </w:p>
          <w:p w:rsidR="002B239E" w:rsidRPr="00A26FE3" w:rsidRDefault="002B239E" w:rsidP="004931B8">
            <w:pPr>
              <w:numPr>
                <w:ilvl w:val="1"/>
                <w:numId w:val="31"/>
              </w:numPr>
              <w:jc w:val="both"/>
              <w:rPr>
                <w:sz w:val="22"/>
                <w:szCs w:val="22"/>
                <w:lang w:val="pt-BR" w:eastAsia="es-ES"/>
              </w:rPr>
            </w:pPr>
            <w:r w:rsidRPr="00A26FE3">
              <w:rPr>
                <w:sz w:val="22"/>
                <w:szCs w:val="22"/>
                <w:lang w:val="pt-BR" w:eastAsia="es-ES"/>
              </w:rPr>
              <w:t>Diálogo sobre boas práticas em matéria de políticas carcerárias, penitenciárias e em instituições psiquiátricas com ênfase especial em estratégias e ações que assegurem o respeito, garantia e proteção dos direitos das pessoas privadas de liberdade.</w:t>
            </w:r>
          </w:p>
          <w:p w:rsidR="002B239E" w:rsidRPr="00A26FE3" w:rsidRDefault="002B239E" w:rsidP="004931B8">
            <w:pPr>
              <w:numPr>
                <w:ilvl w:val="0"/>
                <w:numId w:val="29"/>
              </w:numPr>
              <w:jc w:val="both"/>
              <w:rPr>
                <w:sz w:val="22"/>
                <w:szCs w:val="22"/>
                <w:lang w:val="pt-BR" w:eastAsia="es-ES"/>
              </w:rPr>
            </w:pPr>
            <w:r w:rsidRPr="00A26FE3">
              <w:rPr>
                <w:sz w:val="22"/>
                <w:szCs w:val="22"/>
                <w:lang w:val="pt-BR" w:eastAsia="es-ES"/>
              </w:rPr>
              <w:t xml:space="preserve">Continuação do diálogo </w:t>
            </w:r>
            <w:r w:rsidRPr="00A26FE3">
              <w:rPr>
                <w:sz w:val="22"/>
                <w:szCs w:val="22"/>
                <w:lang w:val="pt-BR"/>
              </w:rPr>
              <w:t>sobre algumas reformas em procedimentos da OEA</w:t>
            </w:r>
          </w:p>
          <w:p w:rsidR="002B239E" w:rsidRPr="00A26FE3" w:rsidRDefault="002B239E" w:rsidP="001A2093">
            <w:pPr>
              <w:rPr>
                <w:sz w:val="22"/>
                <w:szCs w:val="22"/>
                <w:lang w:val="pt-BR" w:eastAsia="es-ES"/>
              </w:rPr>
            </w:pP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clear" w:color="auto" w:fill="D0CECE"/>
          </w:tcPr>
          <w:p w:rsidR="002B239E" w:rsidRPr="00A26FE3" w:rsidRDefault="002B239E" w:rsidP="001A2093">
            <w:pPr>
              <w:jc w:val="center"/>
              <w:rPr>
                <w:b/>
                <w:bCs/>
                <w:sz w:val="22"/>
                <w:szCs w:val="22"/>
                <w:lang w:val="pt-BR" w:eastAsia="es-ES"/>
              </w:rPr>
            </w:pPr>
            <w:r w:rsidRPr="00A26FE3">
              <w:rPr>
                <w:b/>
                <w:bCs/>
                <w:sz w:val="22"/>
                <w:szCs w:val="22"/>
                <w:lang w:val="pt-BR" w:eastAsia="es-ES"/>
              </w:rPr>
              <w:t>AGOSTO DE 2020</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tcPr>
          <w:p w:rsidR="002B239E" w:rsidRPr="00A26FE3" w:rsidRDefault="002B239E" w:rsidP="001A2093">
            <w:pPr>
              <w:jc w:val="center"/>
              <w:rPr>
                <w:noProof/>
                <w:sz w:val="22"/>
                <w:szCs w:val="22"/>
                <w:lang w:val="pt-BR"/>
              </w:rPr>
            </w:pPr>
            <w:r w:rsidRPr="00A26FE3">
              <w:rPr>
                <w:sz w:val="22"/>
                <w:szCs w:val="22"/>
                <w:lang w:val="pt-BR" w:eastAsia="es-ES"/>
              </w:rPr>
              <w:t xml:space="preserve">Sexta-feira </w:t>
            </w:r>
            <w:r w:rsidRPr="00A26FE3">
              <w:rPr>
                <w:sz w:val="22"/>
                <w:szCs w:val="22"/>
                <w:lang w:val="pt-BR" w:eastAsia="es-ES"/>
              </w:rPr>
              <w:br/>
              <w:t xml:space="preserve"> 14 de agosto de 2020</w:t>
            </w:r>
            <w:r w:rsidRPr="00A26FE3">
              <w:rPr>
                <w:sz w:val="22"/>
                <w:szCs w:val="22"/>
                <w:lang w:val="pt-BR" w:eastAsia="es-ES"/>
              </w:rPr>
              <w:br/>
            </w: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F3EE3">
            <w:pPr>
              <w:rPr>
                <w:sz w:val="22"/>
                <w:szCs w:val="22"/>
                <w:lang w:val="pt-BR" w:eastAsia="es-ES"/>
              </w:rPr>
            </w:pPr>
            <w:r w:rsidRPr="00A26FE3">
              <w:rPr>
                <w:sz w:val="22"/>
                <w:szCs w:val="22"/>
                <w:lang w:val="pt-BR" w:eastAsia="es-ES"/>
              </w:rPr>
              <w:t xml:space="preserve">Prazo para a apresentação de textos a serem incluídos nos projetos de resolução </w:t>
            </w:r>
            <w:r w:rsidRPr="00A26FE3">
              <w:rPr>
                <w:i/>
                <w:sz w:val="22"/>
                <w:szCs w:val="22"/>
                <w:lang w:val="pt-BR" w:eastAsia="es-ES"/>
              </w:rPr>
              <w:t>omnibus</w:t>
            </w:r>
          </w:p>
        </w:tc>
      </w:tr>
      <w:tr w:rsidR="002B239E" w:rsidRPr="00A26FE3" w:rsidTr="00760597">
        <w:trPr>
          <w:jc w:val="center"/>
        </w:trPr>
        <w:tc>
          <w:tcPr>
            <w:tcW w:w="12600" w:type="dxa"/>
            <w:gridSpan w:val="2"/>
            <w:tcBorders>
              <w:top w:val="single" w:sz="4" w:space="0" w:color="000000"/>
              <w:left w:val="single" w:sz="4" w:space="0" w:color="000000"/>
              <w:bottom w:val="single" w:sz="4" w:space="0" w:color="000000"/>
              <w:right w:val="single" w:sz="4" w:space="0" w:color="000000"/>
            </w:tcBorders>
            <w:shd w:val="clear" w:color="auto" w:fill="D0CECE"/>
          </w:tcPr>
          <w:p w:rsidR="002B239E" w:rsidRPr="00A26FE3" w:rsidRDefault="002B239E" w:rsidP="001F3EE3">
            <w:pPr>
              <w:jc w:val="center"/>
              <w:rPr>
                <w:b/>
                <w:bCs/>
                <w:sz w:val="22"/>
                <w:szCs w:val="22"/>
                <w:lang w:val="pt-BR" w:eastAsia="es-ES"/>
              </w:rPr>
            </w:pPr>
            <w:r w:rsidRPr="00A26FE3">
              <w:rPr>
                <w:b/>
                <w:bCs/>
                <w:sz w:val="22"/>
                <w:szCs w:val="22"/>
                <w:lang w:val="pt-BR" w:eastAsia="es-ES"/>
              </w:rPr>
              <w:t>SETEMBRO DE 2020</w:t>
            </w:r>
          </w:p>
        </w:tc>
      </w:tr>
      <w:tr w:rsidR="002B239E" w:rsidRPr="008E192D" w:rsidTr="00760597">
        <w:trPr>
          <w:jc w:val="center"/>
        </w:trPr>
        <w:tc>
          <w:tcPr>
            <w:tcW w:w="2577" w:type="dxa"/>
            <w:tcBorders>
              <w:top w:val="single" w:sz="4" w:space="0" w:color="000000"/>
              <w:left w:val="single" w:sz="4" w:space="0" w:color="000000"/>
              <w:bottom w:val="single" w:sz="4" w:space="0" w:color="000000"/>
              <w:right w:val="single" w:sz="4" w:space="0" w:color="000000"/>
            </w:tcBorders>
          </w:tcPr>
          <w:p w:rsidR="002B239E" w:rsidRDefault="001F3EE3" w:rsidP="001F3EE3">
            <w:pPr>
              <w:jc w:val="center"/>
              <w:rPr>
                <w:sz w:val="22"/>
                <w:szCs w:val="22"/>
                <w:lang w:val="pt-BR" w:eastAsia="es-ES"/>
              </w:rPr>
            </w:pPr>
            <w:r w:rsidRPr="00A26FE3">
              <w:rPr>
                <w:sz w:val="22"/>
                <w:szCs w:val="22"/>
                <w:lang w:val="pt-BR" w:eastAsia="es-ES"/>
              </w:rPr>
              <w:t xml:space="preserve">Quinta-feira </w:t>
            </w:r>
            <w:r w:rsidRPr="00A26FE3">
              <w:rPr>
                <w:sz w:val="22"/>
                <w:szCs w:val="22"/>
                <w:lang w:val="pt-BR" w:eastAsia="es-ES"/>
              </w:rPr>
              <w:br/>
              <w:t xml:space="preserve"> 3 de setembro de 2020</w:t>
            </w:r>
            <w:r w:rsidRPr="00A26FE3">
              <w:rPr>
                <w:sz w:val="22"/>
                <w:szCs w:val="22"/>
                <w:lang w:val="pt-BR" w:eastAsia="es-ES"/>
              </w:rPr>
              <w:br/>
              <w:t xml:space="preserve">14h30–17h30 </w:t>
            </w:r>
            <w:r w:rsidRPr="00A26FE3">
              <w:rPr>
                <w:sz w:val="22"/>
                <w:szCs w:val="22"/>
                <w:lang w:val="pt-BR" w:eastAsia="es-ES"/>
              </w:rPr>
              <w:br/>
              <w:t>Virtual</w:t>
            </w:r>
          </w:p>
          <w:p w:rsidR="008E192D" w:rsidRPr="00A26FE3" w:rsidRDefault="008E192D" w:rsidP="001F3EE3">
            <w:pPr>
              <w:jc w:val="center"/>
              <w:rPr>
                <w:sz w:val="22"/>
                <w:szCs w:val="22"/>
                <w:lang w:val="pt-BR" w:eastAsia="es-ES"/>
              </w:rPr>
            </w:pPr>
          </w:p>
        </w:tc>
        <w:tc>
          <w:tcPr>
            <w:tcW w:w="10023" w:type="dxa"/>
            <w:tcBorders>
              <w:top w:val="single" w:sz="4" w:space="0" w:color="000000"/>
              <w:left w:val="single" w:sz="4" w:space="0" w:color="000000"/>
              <w:bottom w:val="single" w:sz="4" w:space="0" w:color="000000"/>
              <w:right w:val="single" w:sz="4" w:space="0" w:color="000000"/>
            </w:tcBorders>
            <w:vAlign w:val="center"/>
          </w:tcPr>
          <w:p w:rsidR="002B239E" w:rsidRPr="00A26FE3" w:rsidRDefault="002B239E" w:rsidP="001A2093">
            <w:pPr>
              <w:rPr>
                <w:sz w:val="22"/>
                <w:szCs w:val="22"/>
                <w:lang w:val="pt-BR" w:eastAsia="es-ES"/>
              </w:rPr>
            </w:pPr>
            <w:r w:rsidRPr="00A26FE3">
              <w:rPr>
                <w:sz w:val="22"/>
                <w:szCs w:val="22"/>
                <w:lang w:val="pt-BR" w:eastAsia="es-ES"/>
              </w:rPr>
              <w:t>Negociação de projetos de resolução para o Quinquagésimo Período Ordinário de Sessões da Assembleia Geral</w:t>
            </w:r>
          </w:p>
        </w:tc>
      </w:tr>
      <w:tr w:rsidR="001F3EE3" w:rsidRPr="008E192D" w:rsidTr="00760597">
        <w:trPr>
          <w:trHeight w:val="70"/>
          <w:jc w:val="center"/>
        </w:trPr>
        <w:tc>
          <w:tcPr>
            <w:tcW w:w="2577" w:type="dxa"/>
            <w:shd w:val="clear" w:color="auto" w:fill="auto"/>
          </w:tcPr>
          <w:p w:rsidR="001F3EE3" w:rsidRPr="00A26FE3" w:rsidRDefault="001F3EE3" w:rsidP="001F3EE3">
            <w:pPr>
              <w:jc w:val="center"/>
              <w:rPr>
                <w:sz w:val="22"/>
                <w:szCs w:val="22"/>
                <w:lang w:val="pt-BR" w:eastAsia="es-ES"/>
              </w:rPr>
            </w:pPr>
            <w:r w:rsidRPr="00A26FE3">
              <w:rPr>
                <w:sz w:val="22"/>
                <w:szCs w:val="22"/>
                <w:lang w:val="pt-BR" w:eastAsia="es-ES"/>
              </w:rPr>
              <w:lastRenderedPageBreak/>
              <w:t xml:space="preserve">Quinta-feira </w:t>
            </w:r>
            <w:r w:rsidRPr="00A26FE3">
              <w:rPr>
                <w:sz w:val="22"/>
                <w:szCs w:val="22"/>
                <w:lang w:val="pt-BR" w:eastAsia="es-ES"/>
              </w:rPr>
              <w:br/>
              <w:t xml:space="preserve"> 10 de setembro de 2020</w:t>
            </w:r>
            <w:r w:rsidRPr="00A26FE3">
              <w:rPr>
                <w:sz w:val="22"/>
                <w:szCs w:val="22"/>
                <w:lang w:val="pt-BR" w:eastAsia="es-ES"/>
              </w:rPr>
              <w:br/>
              <w:t xml:space="preserve">14h30–17h30 </w:t>
            </w:r>
            <w:r w:rsidRPr="00A26FE3">
              <w:rPr>
                <w:sz w:val="22"/>
                <w:szCs w:val="22"/>
                <w:lang w:val="pt-BR" w:eastAsia="es-ES"/>
              </w:rPr>
              <w:br/>
              <w:t>Virtual</w:t>
            </w:r>
          </w:p>
        </w:tc>
        <w:tc>
          <w:tcPr>
            <w:tcW w:w="10024" w:type="dxa"/>
            <w:shd w:val="clear" w:color="auto" w:fill="auto"/>
            <w:vAlign w:val="center"/>
          </w:tcPr>
          <w:p w:rsidR="001F3EE3" w:rsidRPr="00A26FE3" w:rsidRDefault="001F3EE3" w:rsidP="001A2093">
            <w:pPr>
              <w:rPr>
                <w:sz w:val="22"/>
                <w:szCs w:val="22"/>
                <w:lang w:val="pt-BR" w:eastAsia="es-ES"/>
              </w:rPr>
            </w:pPr>
            <w:r w:rsidRPr="00A26FE3">
              <w:rPr>
                <w:sz w:val="22"/>
                <w:szCs w:val="22"/>
                <w:lang w:val="pt-BR" w:eastAsia="es-ES"/>
              </w:rPr>
              <w:t>Negociação de projetos de resolução para o Quinquagésimo Período Ordinário de Sessões da Assembleia Geral</w:t>
            </w:r>
          </w:p>
        </w:tc>
      </w:tr>
      <w:tr w:rsidR="001F3EE3" w:rsidRPr="008E192D" w:rsidTr="00760597">
        <w:trPr>
          <w:trHeight w:val="70"/>
          <w:jc w:val="center"/>
        </w:trPr>
        <w:tc>
          <w:tcPr>
            <w:tcW w:w="2577" w:type="dxa"/>
            <w:shd w:val="clear" w:color="auto" w:fill="auto"/>
          </w:tcPr>
          <w:p w:rsidR="001F3EE3" w:rsidRPr="00A26FE3" w:rsidRDefault="001F3EE3" w:rsidP="001F3EE3">
            <w:pPr>
              <w:jc w:val="center"/>
              <w:rPr>
                <w:sz w:val="22"/>
                <w:szCs w:val="22"/>
                <w:lang w:val="pt-BR" w:eastAsia="es-ES"/>
              </w:rPr>
            </w:pPr>
            <w:r w:rsidRPr="00A26FE3">
              <w:rPr>
                <w:sz w:val="22"/>
                <w:szCs w:val="22"/>
                <w:lang w:val="pt-BR" w:eastAsia="es-ES"/>
              </w:rPr>
              <w:t xml:space="preserve">Quinta-feira </w:t>
            </w:r>
            <w:r w:rsidRPr="00A26FE3">
              <w:rPr>
                <w:sz w:val="22"/>
                <w:szCs w:val="22"/>
                <w:lang w:val="pt-BR" w:eastAsia="es-ES"/>
              </w:rPr>
              <w:br/>
              <w:t xml:space="preserve"> 24 de setembro de 2020</w:t>
            </w:r>
            <w:r w:rsidRPr="00A26FE3">
              <w:rPr>
                <w:sz w:val="22"/>
                <w:szCs w:val="22"/>
                <w:lang w:val="pt-BR" w:eastAsia="es-ES"/>
              </w:rPr>
              <w:br/>
              <w:t xml:space="preserve">14h30–17h30 </w:t>
            </w:r>
            <w:r w:rsidRPr="00A26FE3">
              <w:rPr>
                <w:sz w:val="22"/>
                <w:szCs w:val="22"/>
                <w:lang w:val="pt-BR" w:eastAsia="es-ES"/>
              </w:rPr>
              <w:br/>
              <w:t>Virtual</w:t>
            </w:r>
          </w:p>
        </w:tc>
        <w:tc>
          <w:tcPr>
            <w:tcW w:w="10024" w:type="dxa"/>
            <w:shd w:val="clear" w:color="auto" w:fill="auto"/>
            <w:vAlign w:val="center"/>
          </w:tcPr>
          <w:p w:rsidR="001F3EE3" w:rsidRPr="00A26FE3" w:rsidRDefault="001F3EE3" w:rsidP="001A2093">
            <w:pPr>
              <w:rPr>
                <w:sz w:val="22"/>
                <w:szCs w:val="22"/>
                <w:lang w:val="pt-BR" w:eastAsia="es-ES"/>
              </w:rPr>
            </w:pPr>
            <w:r w:rsidRPr="00A26FE3">
              <w:rPr>
                <w:sz w:val="22"/>
                <w:szCs w:val="22"/>
                <w:lang w:val="pt-BR" w:eastAsia="es-ES"/>
              </w:rPr>
              <w:t>Negociação de projetos de resolução para o Quinquagésimo Período Ordinário de Sessões da Assembleia Geral</w:t>
            </w:r>
          </w:p>
        </w:tc>
      </w:tr>
      <w:tr w:rsidR="001F3EE3" w:rsidRPr="00A26FE3" w:rsidTr="00760597">
        <w:trPr>
          <w:jc w:val="center"/>
        </w:trPr>
        <w:tc>
          <w:tcPr>
            <w:tcW w:w="12601" w:type="dxa"/>
            <w:gridSpan w:val="2"/>
            <w:shd w:val="pct15" w:color="auto" w:fill="auto"/>
            <w:vAlign w:val="center"/>
          </w:tcPr>
          <w:p w:rsidR="001F3EE3" w:rsidRPr="00A26FE3" w:rsidRDefault="001F3EE3" w:rsidP="008E192D">
            <w:pPr>
              <w:tabs>
                <w:tab w:val="left" w:pos="342"/>
              </w:tabs>
              <w:spacing w:before="20" w:after="20"/>
              <w:ind w:left="360" w:hanging="360"/>
              <w:jc w:val="center"/>
              <w:rPr>
                <w:b/>
                <w:sz w:val="22"/>
                <w:szCs w:val="22"/>
                <w:lang w:val="pt-BR" w:eastAsia="es-ES"/>
              </w:rPr>
            </w:pPr>
            <w:r w:rsidRPr="00A26FE3">
              <w:rPr>
                <w:b/>
                <w:sz w:val="22"/>
                <w:szCs w:val="22"/>
                <w:lang w:val="pt-BR" w:eastAsia="es-ES"/>
              </w:rPr>
              <w:t>O</w:t>
            </w:r>
            <w:r w:rsidR="008E192D">
              <w:rPr>
                <w:b/>
                <w:sz w:val="22"/>
                <w:szCs w:val="22"/>
                <w:lang w:val="pt-BR" w:eastAsia="es-ES"/>
              </w:rPr>
              <w:t>U</w:t>
            </w:r>
            <w:r w:rsidRPr="00A26FE3">
              <w:rPr>
                <w:b/>
                <w:sz w:val="22"/>
                <w:szCs w:val="22"/>
                <w:lang w:val="pt-BR" w:eastAsia="es-ES"/>
              </w:rPr>
              <w:t>T</w:t>
            </w:r>
            <w:bookmarkStart w:id="1" w:name="_GoBack"/>
            <w:bookmarkEnd w:id="1"/>
            <w:r w:rsidRPr="00A26FE3">
              <w:rPr>
                <w:b/>
                <w:sz w:val="22"/>
                <w:szCs w:val="22"/>
                <w:lang w:val="pt-BR" w:eastAsia="es-ES"/>
              </w:rPr>
              <w:t>UBRO DE 2020</w:t>
            </w:r>
          </w:p>
        </w:tc>
      </w:tr>
      <w:tr w:rsidR="001F3EE3" w:rsidRPr="008E192D" w:rsidTr="00760597">
        <w:trPr>
          <w:trHeight w:val="70"/>
          <w:jc w:val="center"/>
        </w:trPr>
        <w:tc>
          <w:tcPr>
            <w:tcW w:w="2577" w:type="dxa"/>
            <w:shd w:val="clear" w:color="auto" w:fill="auto"/>
          </w:tcPr>
          <w:p w:rsidR="001F3EE3" w:rsidRPr="00A26FE3" w:rsidRDefault="001F3EE3" w:rsidP="001F3EE3">
            <w:pPr>
              <w:jc w:val="center"/>
              <w:rPr>
                <w:sz w:val="22"/>
                <w:szCs w:val="22"/>
                <w:lang w:val="pt-BR" w:eastAsia="es-ES"/>
              </w:rPr>
            </w:pPr>
            <w:r w:rsidRPr="00A26FE3">
              <w:rPr>
                <w:sz w:val="22"/>
                <w:szCs w:val="22"/>
                <w:lang w:val="pt-BR" w:eastAsia="es-ES"/>
              </w:rPr>
              <w:t xml:space="preserve">Quinta-feira </w:t>
            </w:r>
            <w:r w:rsidRPr="00A26FE3">
              <w:rPr>
                <w:sz w:val="22"/>
                <w:szCs w:val="22"/>
                <w:lang w:val="pt-BR" w:eastAsia="es-ES"/>
              </w:rPr>
              <w:br/>
              <w:t xml:space="preserve"> 1</w:t>
            </w:r>
            <w:r w:rsidRPr="00A26FE3">
              <w:rPr>
                <w:sz w:val="22"/>
                <w:szCs w:val="22"/>
                <w:vertAlign w:val="superscript"/>
                <w:lang w:val="pt-BR" w:eastAsia="es-ES"/>
              </w:rPr>
              <w:t>o</w:t>
            </w:r>
            <w:r w:rsidRPr="00A26FE3">
              <w:rPr>
                <w:sz w:val="22"/>
                <w:szCs w:val="22"/>
                <w:lang w:val="pt-BR" w:eastAsia="es-ES"/>
              </w:rPr>
              <w:t xml:space="preserve"> de outubro de 2020</w:t>
            </w:r>
            <w:r w:rsidRPr="00A26FE3">
              <w:rPr>
                <w:sz w:val="22"/>
                <w:szCs w:val="22"/>
                <w:lang w:val="pt-BR" w:eastAsia="es-ES"/>
              </w:rPr>
              <w:br/>
              <w:t xml:space="preserve">14h30–17h30 </w:t>
            </w:r>
            <w:r w:rsidRPr="00A26FE3">
              <w:rPr>
                <w:sz w:val="22"/>
                <w:szCs w:val="22"/>
                <w:lang w:val="pt-BR" w:eastAsia="es-ES"/>
              </w:rPr>
              <w:br/>
              <w:t>Virtual</w:t>
            </w:r>
          </w:p>
        </w:tc>
        <w:tc>
          <w:tcPr>
            <w:tcW w:w="10024" w:type="dxa"/>
            <w:shd w:val="clear" w:color="auto" w:fill="auto"/>
            <w:vAlign w:val="center"/>
          </w:tcPr>
          <w:p w:rsidR="001F3EE3" w:rsidRPr="00A26FE3" w:rsidRDefault="001F3EE3" w:rsidP="001A2093">
            <w:pPr>
              <w:rPr>
                <w:sz w:val="22"/>
                <w:szCs w:val="22"/>
                <w:lang w:val="pt-BR" w:eastAsia="es-ES"/>
              </w:rPr>
            </w:pPr>
            <w:r w:rsidRPr="00A26FE3">
              <w:rPr>
                <w:sz w:val="22"/>
                <w:szCs w:val="22"/>
                <w:lang w:val="pt-BR" w:eastAsia="es-ES"/>
              </w:rPr>
              <w:t>Negociação de projetos de resolução para o Quinquagésimo Período Ordinário de Sessões da Assembleia Geral</w:t>
            </w:r>
          </w:p>
        </w:tc>
      </w:tr>
    </w:tbl>
    <w:p w:rsidR="001F3EE3" w:rsidRPr="00A26FE3" w:rsidRDefault="001F3EE3" w:rsidP="001F3EE3">
      <w:pPr>
        <w:rPr>
          <w:sz w:val="22"/>
          <w:szCs w:val="22"/>
          <w:lang w:val="pt-BR" w:eastAsia="es-ES"/>
        </w:rPr>
      </w:pPr>
    </w:p>
    <w:p w:rsidR="00401894" w:rsidRPr="00A26FE3" w:rsidRDefault="008E192D" w:rsidP="002B239E">
      <w:pPr>
        <w:rPr>
          <w:sz w:val="20"/>
          <w:szCs w:val="20"/>
          <w:lang w:val="pt-BR"/>
        </w:rPr>
      </w:pPr>
      <w:r>
        <w:rPr>
          <w:noProof/>
          <w:sz w:val="20"/>
          <w:szCs w:val="20"/>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6866255</wp:posOffset>
                </wp:positionV>
                <wp:extent cx="3380740" cy="233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0740" cy="2336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192D" w:rsidRPr="008E192D" w:rsidRDefault="008E192D">
                            <w:pPr>
                              <w:rPr>
                                <w:sz w:val="18"/>
                              </w:rPr>
                            </w:pPr>
                            <w:r>
                              <w:rPr>
                                <w:sz w:val="18"/>
                              </w:rPr>
                              <w:fldChar w:fldCharType="begin"/>
                            </w:r>
                            <w:r>
                              <w:rPr>
                                <w:sz w:val="18"/>
                              </w:rPr>
                              <w:instrText xml:space="preserve"> FILENAME  \* MERGEFORMAT </w:instrText>
                            </w:r>
                            <w:r>
                              <w:rPr>
                                <w:sz w:val="18"/>
                              </w:rPr>
                              <w:fldChar w:fldCharType="separate"/>
                            </w:r>
                            <w:r>
                              <w:rPr>
                                <w:noProof/>
                                <w:sz w:val="18"/>
                              </w:rPr>
                              <w:t>CP42699P04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pt;margin-top:540.65pt;width:266.2pt;height:18.4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" filled="f" stroked="f">
                <v:stroke joinstyle="round"/>
                <v:path arrowok="t"/>
                <v:textbox>
                  <w:txbxContent>
                    <w:p w:rsidR="008E192D" w:rsidRPr="008E192D" w:rsidRDefault="008E192D">
                      <w:pPr>
                        <w:rPr>
                          <w:sz w:val="18"/>
                        </w:rPr>
                      </w:pPr>
                      <w:r>
                        <w:rPr>
                          <w:sz w:val="18"/>
                        </w:rPr>
                        <w:fldChar w:fldCharType="begin"/>
                      </w:r>
                      <w:r>
                        <w:rPr>
                          <w:sz w:val="18"/>
                        </w:rPr>
                        <w:instrText xml:space="preserve"> FILENAME  \* MERGEFORMAT </w:instrText>
                      </w:r>
                      <w:r>
                        <w:rPr>
                          <w:sz w:val="18"/>
                        </w:rPr>
                        <w:fldChar w:fldCharType="separate"/>
                      </w:r>
                      <w:r>
                        <w:rPr>
                          <w:noProof/>
                          <w:sz w:val="18"/>
                        </w:rPr>
                        <w:t>CP42699P04</w:t>
                      </w:r>
                      <w:r>
                        <w:rPr>
                          <w:sz w:val="18"/>
                        </w:rPr>
                        <w:fldChar w:fldCharType="end"/>
                      </w:r>
                    </w:p>
                  </w:txbxContent>
                </v:textbox>
                <w10:wrap anchory="page"/>
                <w10:anchorlock/>
              </v:shape>
            </w:pict>
          </mc:Fallback>
        </mc:AlternateContent>
      </w:r>
    </w:p>
    <w:sectPr w:rsidR="00401894" w:rsidRPr="00A26FE3" w:rsidSect="006467CF">
      <w:headerReference w:type="even" r:id="rId19"/>
      <w:headerReference w:type="default" r:id="rId20"/>
      <w:footerReference w:type="default" r:id="rId21"/>
      <w:headerReference w:type="first" r:id="rId22"/>
      <w:pgSz w:w="15840" w:h="12240" w:orient="landscape" w:code="1"/>
      <w:pgMar w:top="1620" w:right="1699" w:bottom="270" w:left="1699" w:header="720" w:footer="1161" w:gutter="0"/>
      <w:pgNumType w:chapSep="em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B8" w:rsidRDefault="004931B8">
      <w:r>
        <w:separator/>
      </w:r>
    </w:p>
  </w:endnote>
  <w:endnote w:type="continuationSeparator" w:id="0">
    <w:p w:rsidR="004931B8" w:rsidRDefault="0049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9E" w:rsidRPr="00E034D4" w:rsidRDefault="002B239E" w:rsidP="00E03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A5" w:rsidRPr="00E034D4" w:rsidRDefault="008037A5" w:rsidP="00E03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B8" w:rsidRDefault="004931B8">
      <w:r>
        <w:separator/>
      </w:r>
    </w:p>
  </w:footnote>
  <w:footnote w:type="continuationSeparator" w:id="0">
    <w:p w:rsidR="004931B8" w:rsidRDefault="004931B8">
      <w:r>
        <w:continuationSeparator/>
      </w:r>
    </w:p>
  </w:footnote>
  <w:footnote w:id="1">
    <w:p w:rsidR="002B239E" w:rsidRPr="00DA2235" w:rsidRDefault="002B239E" w:rsidP="002B239E">
      <w:pPr>
        <w:pStyle w:val="FootnoteText"/>
        <w:rPr>
          <w:lang w:val="pt-BR"/>
        </w:rPr>
      </w:pPr>
      <w:r>
        <w:rPr>
          <w:rStyle w:val="FootnoteReference"/>
        </w:rPr>
        <w:footnoteRef/>
      </w:r>
      <w:r>
        <w:rPr>
          <w:lang w:val="pt-BR"/>
        </w:rPr>
        <w:t>.</w:t>
      </w:r>
      <w:r>
        <w:rPr>
          <w:lang w:val="pt-BR"/>
        </w:rPr>
        <w:tab/>
      </w:r>
      <w:r w:rsidRPr="00DA2235">
        <w:rPr>
          <w:lang w:val="pt-BR"/>
        </w:rPr>
        <w:t>Ver nota da Missão Permanente d</w:t>
      </w:r>
      <w:r>
        <w:rPr>
          <w:lang w:val="pt-BR"/>
        </w:rPr>
        <w:t>o Canadá para a Presidência da CAJP mediante a qual solicita que a sessão extraordinária a que se refere a seção xi. da resolução AG/RES. 2941 (XLIX-O/19) seja realizada em 2020-2021 (</w:t>
      </w:r>
      <w:hyperlink r:id="rId1" w:history="1">
        <w:r w:rsidRPr="009A19EC">
          <w:rPr>
            <w:rStyle w:val="Hyperlink"/>
            <w:sz w:val="20"/>
            <w:lang w:val="pt-BR"/>
          </w:rPr>
          <w:t>CP/CAJP/INF.763/20</w:t>
        </w:r>
      </w:hyperlink>
      <w:r>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9E" w:rsidRDefault="002B239E">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p w:rsidR="002B239E" w:rsidRDefault="002B2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9E" w:rsidRDefault="002B239E">
    <w:pPr>
      <w:pStyle w:val="Header"/>
      <w:jc w:val="center"/>
    </w:pPr>
    <w:r>
      <w:t xml:space="preserve">- </w:t>
    </w:r>
    <w:r>
      <w:fldChar w:fldCharType="begin"/>
    </w:r>
    <w:r>
      <w:instrText xml:space="preserve"> PAGE   \* MERGEFORMAT </w:instrText>
    </w:r>
    <w:r>
      <w:fldChar w:fldCharType="separate"/>
    </w:r>
    <w:r w:rsidR="008E192D">
      <w:rPr>
        <w:noProof/>
      </w:rPr>
      <w:t>3</w:t>
    </w:r>
    <w:r>
      <w:rPr>
        <w:noProof/>
      </w:rPr>
      <w:fldChar w:fldCharType="end"/>
    </w:r>
    <w:r>
      <w:rPr>
        <w:noProof/>
      </w:rPr>
      <w:t xml:space="preserve"> -</w:t>
    </w:r>
  </w:p>
  <w:p w:rsidR="002B239E" w:rsidRDefault="002B2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9E" w:rsidRPr="00122538" w:rsidRDefault="002B239E">
    <w:pPr>
      <w:pStyle w:val="Header"/>
      <w:jc w:val="center"/>
      <w:rPr>
        <w:sz w:val="22"/>
        <w:szCs w:val="22"/>
      </w:rPr>
    </w:pPr>
    <w:r w:rsidRPr="00122538">
      <w:rPr>
        <w:sz w:val="22"/>
        <w:szCs w:val="22"/>
      </w:rPr>
      <w:t xml:space="preserve">- </w:t>
    </w:r>
    <w:r w:rsidRPr="00122538">
      <w:rPr>
        <w:sz w:val="22"/>
        <w:szCs w:val="22"/>
      </w:rPr>
      <w:fldChar w:fldCharType="begin"/>
    </w:r>
    <w:r w:rsidRPr="00122538">
      <w:rPr>
        <w:sz w:val="22"/>
        <w:szCs w:val="22"/>
      </w:rPr>
      <w:instrText xml:space="preserve"> PAGE   \* MERGEFORMAT </w:instrText>
    </w:r>
    <w:r w:rsidRPr="00122538">
      <w:rPr>
        <w:sz w:val="22"/>
        <w:szCs w:val="22"/>
      </w:rPr>
      <w:fldChar w:fldCharType="separate"/>
    </w:r>
    <w:r>
      <w:rPr>
        <w:noProof/>
        <w:sz w:val="22"/>
        <w:szCs w:val="22"/>
      </w:rPr>
      <w:t>20</w:t>
    </w:r>
    <w:r w:rsidRPr="00122538">
      <w:rPr>
        <w:noProof/>
        <w:sz w:val="22"/>
        <w:szCs w:val="22"/>
      </w:rPr>
      <w:fldChar w:fldCharType="end"/>
    </w:r>
    <w:r w:rsidRPr="00122538">
      <w:rPr>
        <w:noProof/>
        <w:sz w:val="22"/>
        <w:szCs w:val="22"/>
      </w:rPr>
      <w:t xml:space="preserve"> -</w:t>
    </w:r>
  </w:p>
  <w:p w:rsidR="002B239E" w:rsidRPr="00122538" w:rsidRDefault="002B239E">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9E" w:rsidRPr="00122538" w:rsidRDefault="002B239E" w:rsidP="004D1587">
    <w:pPr>
      <w:pStyle w:val="Header"/>
      <w:jc w:val="center"/>
      <w:rPr>
        <w:sz w:val="22"/>
        <w:szCs w:val="22"/>
      </w:rPr>
    </w:pPr>
    <w:r w:rsidRPr="00122538">
      <w:rPr>
        <w:sz w:val="22"/>
        <w:szCs w:val="22"/>
      </w:rPr>
      <w:t xml:space="preserve">- </w:t>
    </w:r>
    <w:r w:rsidRPr="00122538">
      <w:rPr>
        <w:rStyle w:val="PageNumber"/>
        <w:sz w:val="22"/>
        <w:szCs w:val="22"/>
      </w:rPr>
      <w:fldChar w:fldCharType="begin"/>
    </w:r>
    <w:r w:rsidRPr="00122538">
      <w:rPr>
        <w:rStyle w:val="PageNumber"/>
        <w:sz w:val="22"/>
        <w:szCs w:val="22"/>
      </w:rPr>
      <w:instrText xml:space="preserve"> PAGE </w:instrText>
    </w:r>
    <w:r w:rsidRPr="00122538">
      <w:rPr>
        <w:rStyle w:val="PageNumber"/>
        <w:sz w:val="22"/>
        <w:szCs w:val="22"/>
      </w:rPr>
      <w:fldChar w:fldCharType="separate"/>
    </w:r>
    <w:r w:rsidR="008E192D">
      <w:rPr>
        <w:rStyle w:val="PageNumber"/>
        <w:noProof/>
        <w:sz w:val="22"/>
        <w:szCs w:val="22"/>
      </w:rPr>
      <w:t>6</w:t>
    </w:r>
    <w:r w:rsidRPr="00122538">
      <w:rPr>
        <w:rStyle w:val="PageNumber"/>
        <w:sz w:val="22"/>
        <w:szCs w:val="22"/>
      </w:rPr>
      <w:fldChar w:fldCharType="end"/>
    </w:r>
    <w:r w:rsidRPr="00122538">
      <w:rPr>
        <w:rStyle w:val="PageNumber"/>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9E" w:rsidRPr="00BE253D" w:rsidRDefault="002B239E" w:rsidP="004D158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E192D">
      <w:rPr>
        <w:rStyle w:val="PageNumber"/>
        <w:noProof/>
      </w:rPr>
      <w:t>5</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A5" w:rsidRDefault="008037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A5" w:rsidRPr="00027F23" w:rsidRDefault="008037A5" w:rsidP="004D1587">
    <w:pPr>
      <w:pStyle w:val="Header"/>
      <w:jc w:val="center"/>
      <w:rPr>
        <w:sz w:val="20"/>
        <w:szCs w:val="20"/>
      </w:rPr>
    </w:pPr>
    <w:r w:rsidRPr="00027F23">
      <w:rPr>
        <w:sz w:val="20"/>
        <w:szCs w:val="20"/>
      </w:rPr>
      <w:t xml:space="preserve">- </w:t>
    </w:r>
    <w:r w:rsidRPr="00027F23">
      <w:rPr>
        <w:rStyle w:val="PageNumber"/>
        <w:sz w:val="20"/>
        <w:szCs w:val="20"/>
      </w:rPr>
      <w:fldChar w:fldCharType="begin"/>
    </w:r>
    <w:r w:rsidRPr="00027F23">
      <w:rPr>
        <w:rStyle w:val="PageNumber"/>
        <w:sz w:val="20"/>
        <w:szCs w:val="20"/>
      </w:rPr>
      <w:instrText xml:space="preserve"> PAGE </w:instrText>
    </w:r>
    <w:r w:rsidRPr="00027F23">
      <w:rPr>
        <w:rStyle w:val="PageNumber"/>
        <w:sz w:val="20"/>
        <w:szCs w:val="20"/>
      </w:rPr>
      <w:fldChar w:fldCharType="separate"/>
    </w:r>
    <w:r w:rsidR="008E192D">
      <w:rPr>
        <w:rStyle w:val="PageNumber"/>
        <w:noProof/>
        <w:sz w:val="20"/>
        <w:szCs w:val="20"/>
      </w:rPr>
      <w:t>16</w:t>
    </w:r>
    <w:r w:rsidRPr="00027F23">
      <w:rPr>
        <w:rStyle w:val="PageNumber"/>
        <w:sz w:val="20"/>
        <w:szCs w:val="20"/>
      </w:rPr>
      <w:fldChar w:fldCharType="end"/>
    </w:r>
    <w:r w:rsidRPr="00027F23">
      <w:rPr>
        <w:rStyle w:val="PageNumber"/>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A5" w:rsidRPr="00BE253D" w:rsidRDefault="008037A5" w:rsidP="004D158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0191"/>
    <w:multiLevelType w:val="hybridMultilevel"/>
    <w:tmpl w:val="327AF80E"/>
    <w:lvl w:ilvl="0" w:tplc="C284EA34">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E7A70"/>
    <w:multiLevelType w:val="hybridMultilevel"/>
    <w:tmpl w:val="C32CF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D577692"/>
    <w:multiLevelType w:val="hybridMultilevel"/>
    <w:tmpl w:val="9D40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54234"/>
    <w:multiLevelType w:val="hybridMultilevel"/>
    <w:tmpl w:val="5510A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254663"/>
    <w:multiLevelType w:val="hybridMultilevel"/>
    <w:tmpl w:val="137CE16C"/>
    <w:lvl w:ilvl="0" w:tplc="04160001">
      <w:start w:val="1"/>
      <w:numFmt w:val="bullet"/>
      <w:lvlText w:val=""/>
      <w:lvlJc w:val="left"/>
      <w:pPr>
        <w:ind w:left="1191" w:hanging="360"/>
      </w:pPr>
      <w:rPr>
        <w:rFonts w:ascii="Symbol" w:hAnsi="Symbol" w:hint="default"/>
      </w:rPr>
    </w:lvl>
    <w:lvl w:ilvl="1" w:tplc="04160003">
      <w:start w:val="1"/>
      <w:numFmt w:val="bullet"/>
      <w:lvlText w:val="o"/>
      <w:lvlJc w:val="left"/>
      <w:pPr>
        <w:ind w:left="1911" w:hanging="360"/>
      </w:pPr>
      <w:rPr>
        <w:rFonts w:ascii="Courier New" w:hAnsi="Courier New" w:cs="Courier New" w:hint="default"/>
      </w:rPr>
    </w:lvl>
    <w:lvl w:ilvl="2" w:tplc="04160005">
      <w:start w:val="1"/>
      <w:numFmt w:val="bullet"/>
      <w:lvlText w:val=""/>
      <w:lvlJc w:val="left"/>
      <w:pPr>
        <w:ind w:left="2631" w:hanging="360"/>
      </w:pPr>
      <w:rPr>
        <w:rFonts w:ascii="Wingdings" w:hAnsi="Wingdings" w:hint="default"/>
      </w:rPr>
    </w:lvl>
    <w:lvl w:ilvl="3" w:tplc="04160001">
      <w:start w:val="1"/>
      <w:numFmt w:val="bullet"/>
      <w:lvlText w:val=""/>
      <w:lvlJc w:val="left"/>
      <w:pPr>
        <w:ind w:left="3351" w:hanging="360"/>
      </w:pPr>
      <w:rPr>
        <w:rFonts w:ascii="Symbol" w:hAnsi="Symbol" w:hint="default"/>
      </w:rPr>
    </w:lvl>
    <w:lvl w:ilvl="4" w:tplc="04160003">
      <w:start w:val="1"/>
      <w:numFmt w:val="bullet"/>
      <w:lvlText w:val="o"/>
      <w:lvlJc w:val="left"/>
      <w:pPr>
        <w:ind w:left="4071" w:hanging="360"/>
      </w:pPr>
      <w:rPr>
        <w:rFonts w:ascii="Courier New" w:hAnsi="Courier New" w:cs="Courier New" w:hint="default"/>
      </w:rPr>
    </w:lvl>
    <w:lvl w:ilvl="5" w:tplc="04160005">
      <w:start w:val="1"/>
      <w:numFmt w:val="bullet"/>
      <w:lvlText w:val=""/>
      <w:lvlJc w:val="left"/>
      <w:pPr>
        <w:ind w:left="4791" w:hanging="360"/>
      </w:pPr>
      <w:rPr>
        <w:rFonts w:ascii="Wingdings" w:hAnsi="Wingdings" w:hint="default"/>
      </w:rPr>
    </w:lvl>
    <w:lvl w:ilvl="6" w:tplc="04160001">
      <w:start w:val="1"/>
      <w:numFmt w:val="bullet"/>
      <w:lvlText w:val=""/>
      <w:lvlJc w:val="left"/>
      <w:pPr>
        <w:ind w:left="5511" w:hanging="360"/>
      </w:pPr>
      <w:rPr>
        <w:rFonts w:ascii="Symbol" w:hAnsi="Symbol" w:hint="default"/>
      </w:rPr>
    </w:lvl>
    <w:lvl w:ilvl="7" w:tplc="04160003">
      <w:start w:val="1"/>
      <w:numFmt w:val="bullet"/>
      <w:lvlText w:val="o"/>
      <w:lvlJc w:val="left"/>
      <w:pPr>
        <w:ind w:left="6231" w:hanging="360"/>
      </w:pPr>
      <w:rPr>
        <w:rFonts w:ascii="Courier New" w:hAnsi="Courier New" w:cs="Courier New" w:hint="default"/>
      </w:rPr>
    </w:lvl>
    <w:lvl w:ilvl="8" w:tplc="04160005">
      <w:start w:val="1"/>
      <w:numFmt w:val="bullet"/>
      <w:lvlText w:val=""/>
      <w:lvlJc w:val="left"/>
      <w:pPr>
        <w:ind w:left="6951" w:hanging="360"/>
      </w:pPr>
      <w:rPr>
        <w:rFonts w:ascii="Wingdings" w:hAnsi="Wingdings" w:hint="default"/>
      </w:rPr>
    </w:lvl>
  </w:abstractNum>
  <w:abstractNum w:abstractNumId="8">
    <w:nsid w:val="1E055D2C"/>
    <w:multiLevelType w:val="hybridMultilevel"/>
    <w:tmpl w:val="E578E2F6"/>
    <w:lvl w:ilvl="0" w:tplc="8892F4B8">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41F79"/>
    <w:multiLevelType w:val="hybridMultilevel"/>
    <w:tmpl w:val="44FA76D2"/>
    <w:lvl w:ilvl="0" w:tplc="FFFFFFFF">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F4759"/>
    <w:multiLevelType w:val="hybridMultilevel"/>
    <w:tmpl w:val="7310A928"/>
    <w:lvl w:ilvl="0" w:tplc="B1767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22C22"/>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FD5038"/>
    <w:multiLevelType w:val="hybridMultilevel"/>
    <w:tmpl w:val="05806D2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23C6ACE"/>
    <w:multiLevelType w:val="hybridMultilevel"/>
    <w:tmpl w:val="4E98903C"/>
    <w:lvl w:ilvl="0" w:tplc="EE82912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1347AB"/>
    <w:multiLevelType w:val="hybridMultilevel"/>
    <w:tmpl w:val="F0904564"/>
    <w:lvl w:ilvl="0" w:tplc="A2EE345E">
      <w:start w:val="1"/>
      <w:numFmt w:val="decimal"/>
      <w:lvlText w:val="%1."/>
      <w:lvlJc w:val="left"/>
      <w:pPr>
        <w:ind w:left="360" w:hanging="360"/>
      </w:pPr>
      <w:rPr>
        <w:rFonts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A91153"/>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6">
    <w:nsid w:val="3BB55C62"/>
    <w:multiLevelType w:val="hybridMultilevel"/>
    <w:tmpl w:val="EDDE0962"/>
    <w:lvl w:ilvl="0" w:tplc="8892F4B8">
      <w:start w:val="1"/>
      <w:numFmt w:val="low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C15B9"/>
    <w:multiLevelType w:val="hybridMultilevel"/>
    <w:tmpl w:val="31DC2516"/>
    <w:lvl w:ilvl="0" w:tplc="3E38369E">
      <w:start w:val="1"/>
      <w:numFmt w:val="lowerRoman"/>
      <w:lvlText w:val="%1."/>
      <w:lvlJc w:val="left"/>
      <w:pPr>
        <w:ind w:left="1080" w:hanging="72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02219"/>
    <w:multiLevelType w:val="hybridMultilevel"/>
    <w:tmpl w:val="334C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92421"/>
    <w:multiLevelType w:val="hybridMultilevel"/>
    <w:tmpl w:val="2452B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023A4"/>
    <w:multiLevelType w:val="hybridMultilevel"/>
    <w:tmpl w:val="9AD8BD18"/>
    <w:lvl w:ilvl="0" w:tplc="F9B8AEAA">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50952B2D"/>
    <w:multiLevelType w:val="hybridMultilevel"/>
    <w:tmpl w:val="9834B27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6F93454"/>
    <w:multiLevelType w:val="hybridMultilevel"/>
    <w:tmpl w:val="8BF4B24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5">
    <w:nsid w:val="6B5906A9"/>
    <w:multiLevelType w:val="hybridMultilevel"/>
    <w:tmpl w:val="6F84AB86"/>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746BA"/>
    <w:multiLevelType w:val="hybridMultilevel"/>
    <w:tmpl w:val="E9AAA7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3763CF6"/>
    <w:multiLevelType w:val="hybridMultilevel"/>
    <w:tmpl w:val="DFEE515E"/>
    <w:lvl w:ilvl="0" w:tplc="04160003">
      <w:start w:val="1"/>
      <w:numFmt w:val="bullet"/>
      <w:lvlText w:val="o"/>
      <w:lvlJc w:val="left"/>
      <w:pPr>
        <w:ind w:left="1911" w:hanging="360"/>
      </w:pPr>
      <w:rPr>
        <w:rFonts w:ascii="Courier New" w:hAnsi="Courier New" w:cs="Courier New" w:hint="default"/>
      </w:rPr>
    </w:lvl>
    <w:lvl w:ilvl="1" w:tplc="04160003">
      <w:start w:val="1"/>
      <w:numFmt w:val="bullet"/>
      <w:lvlText w:val="o"/>
      <w:lvlJc w:val="left"/>
      <w:pPr>
        <w:ind w:left="2631" w:hanging="360"/>
      </w:pPr>
      <w:rPr>
        <w:rFonts w:ascii="Courier New" w:hAnsi="Courier New" w:cs="Courier New" w:hint="default"/>
      </w:rPr>
    </w:lvl>
    <w:lvl w:ilvl="2" w:tplc="04160005">
      <w:start w:val="1"/>
      <w:numFmt w:val="bullet"/>
      <w:lvlText w:val=""/>
      <w:lvlJc w:val="left"/>
      <w:pPr>
        <w:ind w:left="3351" w:hanging="360"/>
      </w:pPr>
      <w:rPr>
        <w:rFonts w:ascii="Wingdings" w:hAnsi="Wingdings" w:hint="default"/>
      </w:rPr>
    </w:lvl>
    <w:lvl w:ilvl="3" w:tplc="04160001">
      <w:start w:val="1"/>
      <w:numFmt w:val="bullet"/>
      <w:lvlText w:val=""/>
      <w:lvlJc w:val="left"/>
      <w:pPr>
        <w:ind w:left="4071" w:hanging="360"/>
      </w:pPr>
      <w:rPr>
        <w:rFonts w:ascii="Symbol" w:hAnsi="Symbol" w:hint="default"/>
      </w:rPr>
    </w:lvl>
    <w:lvl w:ilvl="4" w:tplc="04160003">
      <w:start w:val="1"/>
      <w:numFmt w:val="bullet"/>
      <w:lvlText w:val="o"/>
      <w:lvlJc w:val="left"/>
      <w:pPr>
        <w:ind w:left="4791" w:hanging="360"/>
      </w:pPr>
      <w:rPr>
        <w:rFonts w:ascii="Courier New" w:hAnsi="Courier New" w:cs="Courier New" w:hint="default"/>
      </w:rPr>
    </w:lvl>
    <w:lvl w:ilvl="5" w:tplc="04160005">
      <w:start w:val="1"/>
      <w:numFmt w:val="bullet"/>
      <w:lvlText w:val=""/>
      <w:lvlJc w:val="left"/>
      <w:pPr>
        <w:ind w:left="5511" w:hanging="360"/>
      </w:pPr>
      <w:rPr>
        <w:rFonts w:ascii="Wingdings" w:hAnsi="Wingdings" w:hint="default"/>
      </w:rPr>
    </w:lvl>
    <w:lvl w:ilvl="6" w:tplc="04160001">
      <w:start w:val="1"/>
      <w:numFmt w:val="bullet"/>
      <w:lvlText w:val=""/>
      <w:lvlJc w:val="left"/>
      <w:pPr>
        <w:ind w:left="6231" w:hanging="360"/>
      </w:pPr>
      <w:rPr>
        <w:rFonts w:ascii="Symbol" w:hAnsi="Symbol" w:hint="default"/>
      </w:rPr>
    </w:lvl>
    <w:lvl w:ilvl="7" w:tplc="04160003">
      <w:start w:val="1"/>
      <w:numFmt w:val="bullet"/>
      <w:lvlText w:val="o"/>
      <w:lvlJc w:val="left"/>
      <w:pPr>
        <w:ind w:left="6951" w:hanging="360"/>
      </w:pPr>
      <w:rPr>
        <w:rFonts w:ascii="Courier New" w:hAnsi="Courier New" w:cs="Courier New" w:hint="default"/>
      </w:rPr>
    </w:lvl>
    <w:lvl w:ilvl="8" w:tplc="04160005">
      <w:start w:val="1"/>
      <w:numFmt w:val="bullet"/>
      <w:lvlText w:val=""/>
      <w:lvlJc w:val="left"/>
      <w:pPr>
        <w:ind w:left="7671" w:hanging="360"/>
      </w:pPr>
      <w:rPr>
        <w:rFonts w:ascii="Wingdings" w:hAnsi="Wingdings" w:hint="default"/>
      </w:rPr>
    </w:lvl>
  </w:abstractNum>
  <w:abstractNum w:abstractNumId="28">
    <w:nsid w:val="74E258B6"/>
    <w:multiLevelType w:val="hybridMultilevel"/>
    <w:tmpl w:val="9AD8BD18"/>
    <w:lvl w:ilvl="0" w:tplc="F9B8AEAA">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24"/>
  </w:num>
  <w:num w:numId="3">
    <w:abstractNumId w:val="0"/>
  </w:num>
  <w:num w:numId="4">
    <w:abstractNumId w:val="11"/>
  </w:num>
  <w:num w:numId="5">
    <w:abstractNumId w:val="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28"/>
  </w:num>
  <w:num w:numId="27">
    <w:abstractNumId w:val="4"/>
  </w:num>
  <w:num w:numId="28">
    <w:abstractNumId w:val="10"/>
  </w:num>
  <w:num w:numId="29">
    <w:abstractNumId w:val="18"/>
  </w:num>
  <w:num w:numId="30">
    <w:abstractNumId w:val="2"/>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F"/>
    <w:rsid w:val="00002400"/>
    <w:rsid w:val="0000415E"/>
    <w:rsid w:val="00005B0E"/>
    <w:rsid w:val="000070D4"/>
    <w:rsid w:val="00007FB4"/>
    <w:rsid w:val="00007FFB"/>
    <w:rsid w:val="000105BE"/>
    <w:rsid w:val="00015EE8"/>
    <w:rsid w:val="000258A8"/>
    <w:rsid w:val="00027F23"/>
    <w:rsid w:val="00031DF3"/>
    <w:rsid w:val="00032023"/>
    <w:rsid w:val="000333D9"/>
    <w:rsid w:val="00034556"/>
    <w:rsid w:val="000427F5"/>
    <w:rsid w:val="0004511C"/>
    <w:rsid w:val="00045B88"/>
    <w:rsid w:val="00047052"/>
    <w:rsid w:val="0005062B"/>
    <w:rsid w:val="0005440F"/>
    <w:rsid w:val="00056D12"/>
    <w:rsid w:val="000621D3"/>
    <w:rsid w:val="000625C5"/>
    <w:rsid w:val="00064723"/>
    <w:rsid w:val="00070592"/>
    <w:rsid w:val="0007762D"/>
    <w:rsid w:val="0008028D"/>
    <w:rsid w:val="00082578"/>
    <w:rsid w:val="00084323"/>
    <w:rsid w:val="000911F9"/>
    <w:rsid w:val="00097C1E"/>
    <w:rsid w:val="000A20E1"/>
    <w:rsid w:val="000A2280"/>
    <w:rsid w:val="000A43E5"/>
    <w:rsid w:val="000B09BC"/>
    <w:rsid w:val="000B2786"/>
    <w:rsid w:val="000B34BC"/>
    <w:rsid w:val="000B72A1"/>
    <w:rsid w:val="000B760C"/>
    <w:rsid w:val="000C29A1"/>
    <w:rsid w:val="000C68EA"/>
    <w:rsid w:val="000C6BCE"/>
    <w:rsid w:val="000D5145"/>
    <w:rsid w:val="000E0921"/>
    <w:rsid w:val="000E58EC"/>
    <w:rsid w:val="000F158F"/>
    <w:rsid w:val="000F2320"/>
    <w:rsid w:val="000F2D96"/>
    <w:rsid w:val="000F35FC"/>
    <w:rsid w:val="000F4D9E"/>
    <w:rsid w:val="000F5EA3"/>
    <w:rsid w:val="001073C4"/>
    <w:rsid w:val="00107F93"/>
    <w:rsid w:val="001216F9"/>
    <w:rsid w:val="00121928"/>
    <w:rsid w:val="00121C92"/>
    <w:rsid w:val="0012376B"/>
    <w:rsid w:val="00124DD9"/>
    <w:rsid w:val="00127357"/>
    <w:rsid w:val="00133FE2"/>
    <w:rsid w:val="00142BF2"/>
    <w:rsid w:val="00147A60"/>
    <w:rsid w:val="00151442"/>
    <w:rsid w:val="00152829"/>
    <w:rsid w:val="00155325"/>
    <w:rsid w:val="00161BB4"/>
    <w:rsid w:val="00164420"/>
    <w:rsid w:val="001648F5"/>
    <w:rsid w:val="00171124"/>
    <w:rsid w:val="00171AD7"/>
    <w:rsid w:val="00172790"/>
    <w:rsid w:val="001734A9"/>
    <w:rsid w:val="00174294"/>
    <w:rsid w:val="00182E8D"/>
    <w:rsid w:val="001906CA"/>
    <w:rsid w:val="00191A80"/>
    <w:rsid w:val="00193B60"/>
    <w:rsid w:val="001954DF"/>
    <w:rsid w:val="00195D11"/>
    <w:rsid w:val="001A0191"/>
    <w:rsid w:val="001A191E"/>
    <w:rsid w:val="001A5BEB"/>
    <w:rsid w:val="001B040D"/>
    <w:rsid w:val="001B1488"/>
    <w:rsid w:val="001B2548"/>
    <w:rsid w:val="001B40A3"/>
    <w:rsid w:val="001C03AE"/>
    <w:rsid w:val="001C3F69"/>
    <w:rsid w:val="001C4F0E"/>
    <w:rsid w:val="001C5339"/>
    <w:rsid w:val="001C5A15"/>
    <w:rsid w:val="001D1938"/>
    <w:rsid w:val="001D1E73"/>
    <w:rsid w:val="001D258D"/>
    <w:rsid w:val="001D5119"/>
    <w:rsid w:val="001E29A7"/>
    <w:rsid w:val="001E2DD7"/>
    <w:rsid w:val="001E37E3"/>
    <w:rsid w:val="001F05C8"/>
    <w:rsid w:val="001F3EE3"/>
    <w:rsid w:val="002007AD"/>
    <w:rsid w:val="00200FE5"/>
    <w:rsid w:val="00203452"/>
    <w:rsid w:val="00203A66"/>
    <w:rsid w:val="0020589C"/>
    <w:rsid w:val="00205930"/>
    <w:rsid w:val="00211ECC"/>
    <w:rsid w:val="00212DD3"/>
    <w:rsid w:val="00215417"/>
    <w:rsid w:val="0021564B"/>
    <w:rsid w:val="00221391"/>
    <w:rsid w:val="00222D46"/>
    <w:rsid w:val="00225170"/>
    <w:rsid w:val="00225F61"/>
    <w:rsid w:val="0022680B"/>
    <w:rsid w:val="002306FE"/>
    <w:rsid w:val="00233B96"/>
    <w:rsid w:val="0023456F"/>
    <w:rsid w:val="002353C1"/>
    <w:rsid w:val="002354E7"/>
    <w:rsid w:val="002362E4"/>
    <w:rsid w:val="00242794"/>
    <w:rsid w:val="00244B47"/>
    <w:rsid w:val="00252120"/>
    <w:rsid w:val="00252F9E"/>
    <w:rsid w:val="002535FD"/>
    <w:rsid w:val="00261557"/>
    <w:rsid w:val="00262FD5"/>
    <w:rsid w:val="002642CB"/>
    <w:rsid w:val="00264D73"/>
    <w:rsid w:val="002655FD"/>
    <w:rsid w:val="00273EE1"/>
    <w:rsid w:val="00281B35"/>
    <w:rsid w:val="00282B18"/>
    <w:rsid w:val="002865BE"/>
    <w:rsid w:val="00286F65"/>
    <w:rsid w:val="00295A7F"/>
    <w:rsid w:val="00296DCF"/>
    <w:rsid w:val="002A0F0C"/>
    <w:rsid w:val="002A3E0B"/>
    <w:rsid w:val="002A3F6D"/>
    <w:rsid w:val="002A4449"/>
    <w:rsid w:val="002A6947"/>
    <w:rsid w:val="002B1973"/>
    <w:rsid w:val="002B239E"/>
    <w:rsid w:val="002B2DA6"/>
    <w:rsid w:val="002B3285"/>
    <w:rsid w:val="002B5DB5"/>
    <w:rsid w:val="002B649E"/>
    <w:rsid w:val="002B6E89"/>
    <w:rsid w:val="002B7AE4"/>
    <w:rsid w:val="002B7F40"/>
    <w:rsid w:val="002C2203"/>
    <w:rsid w:val="002C3170"/>
    <w:rsid w:val="002C6A44"/>
    <w:rsid w:val="002D105F"/>
    <w:rsid w:val="002D178C"/>
    <w:rsid w:val="002D54CA"/>
    <w:rsid w:val="002D7ADC"/>
    <w:rsid w:val="002E2646"/>
    <w:rsid w:val="002E3FFA"/>
    <w:rsid w:val="002E4E53"/>
    <w:rsid w:val="002E562F"/>
    <w:rsid w:val="002F067A"/>
    <w:rsid w:val="0030039B"/>
    <w:rsid w:val="00301ABE"/>
    <w:rsid w:val="00302513"/>
    <w:rsid w:val="00302B6B"/>
    <w:rsid w:val="00307491"/>
    <w:rsid w:val="00307EB1"/>
    <w:rsid w:val="0031668D"/>
    <w:rsid w:val="0032596E"/>
    <w:rsid w:val="003260C2"/>
    <w:rsid w:val="00331DB8"/>
    <w:rsid w:val="00335EB1"/>
    <w:rsid w:val="00340787"/>
    <w:rsid w:val="003407BE"/>
    <w:rsid w:val="00343BA3"/>
    <w:rsid w:val="00350C9F"/>
    <w:rsid w:val="003621CF"/>
    <w:rsid w:val="00364B54"/>
    <w:rsid w:val="003656F8"/>
    <w:rsid w:val="00367B85"/>
    <w:rsid w:val="00370B7C"/>
    <w:rsid w:val="00381C55"/>
    <w:rsid w:val="00382850"/>
    <w:rsid w:val="00382FEC"/>
    <w:rsid w:val="003919C2"/>
    <w:rsid w:val="00391A8F"/>
    <w:rsid w:val="003937E4"/>
    <w:rsid w:val="0039387D"/>
    <w:rsid w:val="003A0547"/>
    <w:rsid w:val="003A402E"/>
    <w:rsid w:val="003A4808"/>
    <w:rsid w:val="003B1F97"/>
    <w:rsid w:val="003B3FD3"/>
    <w:rsid w:val="003B7024"/>
    <w:rsid w:val="003B7EE4"/>
    <w:rsid w:val="003C112E"/>
    <w:rsid w:val="003C1430"/>
    <w:rsid w:val="003C1DB6"/>
    <w:rsid w:val="003C1E96"/>
    <w:rsid w:val="003D3DD3"/>
    <w:rsid w:val="003D5287"/>
    <w:rsid w:val="003E7FE5"/>
    <w:rsid w:val="003F112D"/>
    <w:rsid w:val="003F3B91"/>
    <w:rsid w:val="003F44D6"/>
    <w:rsid w:val="003F588A"/>
    <w:rsid w:val="003F74FC"/>
    <w:rsid w:val="00401894"/>
    <w:rsid w:val="00404CF5"/>
    <w:rsid w:val="00411F58"/>
    <w:rsid w:val="004325D2"/>
    <w:rsid w:val="00432F7C"/>
    <w:rsid w:val="004359DE"/>
    <w:rsid w:val="004361F7"/>
    <w:rsid w:val="004431B4"/>
    <w:rsid w:val="00447588"/>
    <w:rsid w:val="0045384D"/>
    <w:rsid w:val="00454D04"/>
    <w:rsid w:val="00462D67"/>
    <w:rsid w:val="0046726F"/>
    <w:rsid w:val="0046751E"/>
    <w:rsid w:val="0047008A"/>
    <w:rsid w:val="004712F5"/>
    <w:rsid w:val="004720CD"/>
    <w:rsid w:val="004750DF"/>
    <w:rsid w:val="004766B2"/>
    <w:rsid w:val="00476E82"/>
    <w:rsid w:val="00490334"/>
    <w:rsid w:val="004931B8"/>
    <w:rsid w:val="00495899"/>
    <w:rsid w:val="00497112"/>
    <w:rsid w:val="004A184D"/>
    <w:rsid w:val="004A4B27"/>
    <w:rsid w:val="004A608F"/>
    <w:rsid w:val="004A6B64"/>
    <w:rsid w:val="004B0575"/>
    <w:rsid w:val="004B3CE8"/>
    <w:rsid w:val="004B519C"/>
    <w:rsid w:val="004B56C2"/>
    <w:rsid w:val="004B6187"/>
    <w:rsid w:val="004B62A5"/>
    <w:rsid w:val="004B6A0F"/>
    <w:rsid w:val="004C3FB2"/>
    <w:rsid w:val="004D0462"/>
    <w:rsid w:val="004D0976"/>
    <w:rsid w:val="004D0B0F"/>
    <w:rsid w:val="004D1587"/>
    <w:rsid w:val="004D1A65"/>
    <w:rsid w:val="004D2DFF"/>
    <w:rsid w:val="004D401C"/>
    <w:rsid w:val="004E0688"/>
    <w:rsid w:val="004F0974"/>
    <w:rsid w:val="004F7FE2"/>
    <w:rsid w:val="00505A1E"/>
    <w:rsid w:val="00507284"/>
    <w:rsid w:val="00510A04"/>
    <w:rsid w:val="005117BF"/>
    <w:rsid w:val="00516F41"/>
    <w:rsid w:val="005256DC"/>
    <w:rsid w:val="00536114"/>
    <w:rsid w:val="0054097D"/>
    <w:rsid w:val="0054393A"/>
    <w:rsid w:val="005448C6"/>
    <w:rsid w:val="00546393"/>
    <w:rsid w:val="005470C2"/>
    <w:rsid w:val="00550175"/>
    <w:rsid w:val="005537BB"/>
    <w:rsid w:val="00554484"/>
    <w:rsid w:val="005604CC"/>
    <w:rsid w:val="005605FF"/>
    <w:rsid w:val="0056121E"/>
    <w:rsid w:val="0056474C"/>
    <w:rsid w:val="0056609A"/>
    <w:rsid w:val="00566C89"/>
    <w:rsid w:val="00567BF9"/>
    <w:rsid w:val="00571131"/>
    <w:rsid w:val="00576E24"/>
    <w:rsid w:val="0058023B"/>
    <w:rsid w:val="00585983"/>
    <w:rsid w:val="0058794C"/>
    <w:rsid w:val="0059452C"/>
    <w:rsid w:val="00596E9E"/>
    <w:rsid w:val="00597DF5"/>
    <w:rsid w:val="005A4C1D"/>
    <w:rsid w:val="005A5260"/>
    <w:rsid w:val="005A5421"/>
    <w:rsid w:val="005A55C9"/>
    <w:rsid w:val="005B0571"/>
    <w:rsid w:val="005B1CB2"/>
    <w:rsid w:val="005B6106"/>
    <w:rsid w:val="005B6919"/>
    <w:rsid w:val="005C46AA"/>
    <w:rsid w:val="005C6945"/>
    <w:rsid w:val="005D2794"/>
    <w:rsid w:val="005D307E"/>
    <w:rsid w:val="005D3A5F"/>
    <w:rsid w:val="005D4D9F"/>
    <w:rsid w:val="005D6E87"/>
    <w:rsid w:val="005D6FD2"/>
    <w:rsid w:val="005E17BA"/>
    <w:rsid w:val="005E6ED9"/>
    <w:rsid w:val="005F054B"/>
    <w:rsid w:val="005F18E9"/>
    <w:rsid w:val="005F7283"/>
    <w:rsid w:val="00602DEA"/>
    <w:rsid w:val="00603C34"/>
    <w:rsid w:val="00604332"/>
    <w:rsid w:val="00605EB2"/>
    <w:rsid w:val="00610E6C"/>
    <w:rsid w:val="0061599A"/>
    <w:rsid w:val="00616426"/>
    <w:rsid w:val="00621F94"/>
    <w:rsid w:val="0062283C"/>
    <w:rsid w:val="00624573"/>
    <w:rsid w:val="00625A0C"/>
    <w:rsid w:val="0062681B"/>
    <w:rsid w:val="00630742"/>
    <w:rsid w:val="00632727"/>
    <w:rsid w:val="00642C79"/>
    <w:rsid w:val="006467CF"/>
    <w:rsid w:val="00647564"/>
    <w:rsid w:val="00650CF4"/>
    <w:rsid w:val="0066426F"/>
    <w:rsid w:val="00666407"/>
    <w:rsid w:val="00666C1A"/>
    <w:rsid w:val="00680AB9"/>
    <w:rsid w:val="00681E51"/>
    <w:rsid w:val="006822F1"/>
    <w:rsid w:val="00682A91"/>
    <w:rsid w:val="006831E5"/>
    <w:rsid w:val="00684C5A"/>
    <w:rsid w:val="006951C0"/>
    <w:rsid w:val="0069697D"/>
    <w:rsid w:val="00697546"/>
    <w:rsid w:val="006A0365"/>
    <w:rsid w:val="006A2094"/>
    <w:rsid w:val="006A53EE"/>
    <w:rsid w:val="006C216B"/>
    <w:rsid w:val="006C249F"/>
    <w:rsid w:val="006E73B2"/>
    <w:rsid w:val="006F3DFF"/>
    <w:rsid w:val="006F50F5"/>
    <w:rsid w:val="006F5A5D"/>
    <w:rsid w:val="006F72DD"/>
    <w:rsid w:val="006F775E"/>
    <w:rsid w:val="006F7F9D"/>
    <w:rsid w:val="00701E82"/>
    <w:rsid w:val="00702ED3"/>
    <w:rsid w:val="00703EC5"/>
    <w:rsid w:val="0070411B"/>
    <w:rsid w:val="00707997"/>
    <w:rsid w:val="00710342"/>
    <w:rsid w:val="007134F7"/>
    <w:rsid w:val="00715D6D"/>
    <w:rsid w:val="00730E29"/>
    <w:rsid w:val="00732A12"/>
    <w:rsid w:val="00732DDE"/>
    <w:rsid w:val="00735D20"/>
    <w:rsid w:val="00741CCA"/>
    <w:rsid w:val="00746278"/>
    <w:rsid w:val="00746F9C"/>
    <w:rsid w:val="00747083"/>
    <w:rsid w:val="0074724D"/>
    <w:rsid w:val="007475F3"/>
    <w:rsid w:val="00747866"/>
    <w:rsid w:val="007538D8"/>
    <w:rsid w:val="0075772B"/>
    <w:rsid w:val="00760597"/>
    <w:rsid w:val="00763011"/>
    <w:rsid w:val="00770B8C"/>
    <w:rsid w:val="0077135F"/>
    <w:rsid w:val="00774772"/>
    <w:rsid w:val="00780DA9"/>
    <w:rsid w:val="00784C0F"/>
    <w:rsid w:val="0078719E"/>
    <w:rsid w:val="00790395"/>
    <w:rsid w:val="0079064E"/>
    <w:rsid w:val="00791A94"/>
    <w:rsid w:val="007A5B04"/>
    <w:rsid w:val="007A7E7F"/>
    <w:rsid w:val="007B1766"/>
    <w:rsid w:val="007B1A0F"/>
    <w:rsid w:val="007B5AD7"/>
    <w:rsid w:val="007B683B"/>
    <w:rsid w:val="007C07A1"/>
    <w:rsid w:val="007C0A97"/>
    <w:rsid w:val="007C2932"/>
    <w:rsid w:val="007C32E0"/>
    <w:rsid w:val="007C46FA"/>
    <w:rsid w:val="007C4F52"/>
    <w:rsid w:val="007D4BAA"/>
    <w:rsid w:val="007E0584"/>
    <w:rsid w:val="007E1645"/>
    <w:rsid w:val="007E21D7"/>
    <w:rsid w:val="007E319A"/>
    <w:rsid w:val="007E504A"/>
    <w:rsid w:val="007F001D"/>
    <w:rsid w:val="007F6134"/>
    <w:rsid w:val="008019D3"/>
    <w:rsid w:val="008020C3"/>
    <w:rsid w:val="008028DC"/>
    <w:rsid w:val="008037A5"/>
    <w:rsid w:val="00804773"/>
    <w:rsid w:val="00807B0D"/>
    <w:rsid w:val="0081286F"/>
    <w:rsid w:val="00815289"/>
    <w:rsid w:val="0081783B"/>
    <w:rsid w:val="00820B86"/>
    <w:rsid w:val="00826216"/>
    <w:rsid w:val="0083034D"/>
    <w:rsid w:val="00833898"/>
    <w:rsid w:val="00841295"/>
    <w:rsid w:val="00841510"/>
    <w:rsid w:val="00842E91"/>
    <w:rsid w:val="0084693C"/>
    <w:rsid w:val="00850278"/>
    <w:rsid w:val="00850E14"/>
    <w:rsid w:val="00853566"/>
    <w:rsid w:val="0085629D"/>
    <w:rsid w:val="008626E5"/>
    <w:rsid w:val="00862FFE"/>
    <w:rsid w:val="00864865"/>
    <w:rsid w:val="00864B23"/>
    <w:rsid w:val="00864B7C"/>
    <w:rsid w:val="008663C1"/>
    <w:rsid w:val="008674DF"/>
    <w:rsid w:val="008675B2"/>
    <w:rsid w:val="008714F0"/>
    <w:rsid w:val="008738E8"/>
    <w:rsid w:val="00877512"/>
    <w:rsid w:val="00880635"/>
    <w:rsid w:val="00880AB3"/>
    <w:rsid w:val="00887805"/>
    <w:rsid w:val="008917BC"/>
    <w:rsid w:val="008952D3"/>
    <w:rsid w:val="008964D8"/>
    <w:rsid w:val="00896D62"/>
    <w:rsid w:val="008B10EC"/>
    <w:rsid w:val="008B2965"/>
    <w:rsid w:val="008B706D"/>
    <w:rsid w:val="008C24D4"/>
    <w:rsid w:val="008C51B4"/>
    <w:rsid w:val="008D1406"/>
    <w:rsid w:val="008D34FA"/>
    <w:rsid w:val="008E09B2"/>
    <w:rsid w:val="008E13DE"/>
    <w:rsid w:val="008E192D"/>
    <w:rsid w:val="008E19CB"/>
    <w:rsid w:val="008F0B80"/>
    <w:rsid w:val="008F2634"/>
    <w:rsid w:val="008F28BA"/>
    <w:rsid w:val="008F3B83"/>
    <w:rsid w:val="008F49AF"/>
    <w:rsid w:val="008F5F33"/>
    <w:rsid w:val="008F645B"/>
    <w:rsid w:val="008F67DD"/>
    <w:rsid w:val="008F7CE0"/>
    <w:rsid w:val="00900F3B"/>
    <w:rsid w:val="00904EAB"/>
    <w:rsid w:val="00917E0F"/>
    <w:rsid w:val="009204F6"/>
    <w:rsid w:val="009248D7"/>
    <w:rsid w:val="00925F9F"/>
    <w:rsid w:val="00930667"/>
    <w:rsid w:val="009379BD"/>
    <w:rsid w:val="00937F8C"/>
    <w:rsid w:val="009416B1"/>
    <w:rsid w:val="009423B6"/>
    <w:rsid w:val="00943E11"/>
    <w:rsid w:val="009465C6"/>
    <w:rsid w:val="00950781"/>
    <w:rsid w:val="0097581F"/>
    <w:rsid w:val="009803CB"/>
    <w:rsid w:val="00983AF7"/>
    <w:rsid w:val="009878A7"/>
    <w:rsid w:val="00990F26"/>
    <w:rsid w:val="009919D4"/>
    <w:rsid w:val="00991E57"/>
    <w:rsid w:val="009949D6"/>
    <w:rsid w:val="00996E87"/>
    <w:rsid w:val="00997049"/>
    <w:rsid w:val="009A0BFE"/>
    <w:rsid w:val="009A335D"/>
    <w:rsid w:val="009B018C"/>
    <w:rsid w:val="009B19B9"/>
    <w:rsid w:val="009B1DF5"/>
    <w:rsid w:val="009B286E"/>
    <w:rsid w:val="009B3501"/>
    <w:rsid w:val="009B70B5"/>
    <w:rsid w:val="009C27CD"/>
    <w:rsid w:val="009C2D1E"/>
    <w:rsid w:val="009C5958"/>
    <w:rsid w:val="009C59BE"/>
    <w:rsid w:val="009C7B03"/>
    <w:rsid w:val="009C7CD7"/>
    <w:rsid w:val="009D03AD"/>
    <w:rsid w:val="009D1ABE"/>
    <w:rsid w:val="009D305D"/>
    <w:rsid w:val="009D73B1"/>
    <w:rsid w:val="009E202C"/>
    <w:rsid w:val="009E7CD9"/>
    <w:rsid w:val="009F0DCF"/>
    <w:rsid w:val="009F36B3"/>
    <w:rsid w:val="009F4D1C"/>
    <w:rsid w:val="009F5689"/>
    <w:rsid w:val="00A01B3E"/>
    <w:rsid w:val="00A04FAA"/>
    <w:rsid w:val="00A0653F"/>
    <w:rsid w:val="00A06F4F"/>
    <w:rsid w:val="00A163E3"/>
    <w:rsid w:val="00A17C83"/>
    <w:rsid w:val="00A20D27"/>
    <w:rsid w:val="00A2622C"/>
    <w:rsid w:val="00A26FE3"/>
    <w:rsid w:val="00A27456"/>
    <w:rsid w:val="00A2749B"/>
    <w:rsid w:val="00A3161E"/>
    <w:rsid w:val="00A31683"/>
    <w:rsid w:val="00A31F54"/>
    <w:rsid w:val="00A3293C"/>
    <w:rsid w:val="00A32A51"/>
    <w:rsid w:val="00A40927"/>
    <w:rsid w:val="00A440CA"/>
    <w:rsid w:val="00A47030"/>
    <w:rsid w:val="00A47111"/>
    <w:rsid w:val="00A50C67"/>
    <w:rsid w:val="00A530E8"/>
    <w:rsid w:val="00A54F9A"/>
    <w:rsid w:val="00A553C4"/>
    <w:rsid w:val="00A5674D"/>
    <w:rsid w:val="00A60755"/>
    <w:rsid w:val="00A60D92"/>
    <w:rsid w:val="00A619D8"/>
    <w:rsid w:val="00A64451"/>
    <w:rsid w:val="00A6711A"/>
    <w:rsid w:val="00A72C5F"/>
    <w:rsid w:val="00A775E7"/>
    <w:rsid w:val="00A81BE7"/>
    <w:rsid w:val="00A84399"/>
    <w:rsid w:val="00A875B7"/>
    <w:rsid w:val="00A919D0"/>
    <w:rsid w:val="00A94E7B"/>
    <w:rsid w:val="00A9774E"/>
    <w:rsid w:val="00AA0408"/>
    <w:rsid w:val="00AA1766"/>
    <w:rsid w:val="00AA1886"/>
    <w:rsid w:val="00AA29DC"/>
    <w:rsid w:val="00AA3572"/>
    <w:rsid w:val="00AB1EBF"/>
    <w:rsid w:val="00AB27F4"/>
    <w:rsid w:val="00AB33FA"/>
    <w:rsid w:val="00AB5E76"/>
    <w:rsid w:val="00AB6EB4"/>
    <w:rsid w:val="00AC320F"/>
    <w:rsid w:val="00AC41D3"/>
    <w:rsid w:val="00AD01C0"/>
    <w:rsid w:val="00AD227B"/>
    <w:rsid w:val="00AD655A"/>
    <w:rsid w:val="00AD6CA4"/>
    <w:rsid w:val="00AE1754"/>
    <w:rsid w:val="00AE1A5A"/>
    <w:rsid w:val="00AE576A"/>
    <w:rsid w:val="00AE6E93"/>
    <w:rsid w:val="00AF016A"/>
    <w:rsid w:val="00AF03F4"/>
    <w:rsid w:val="00AF15B3"/>
    <w:rsid w:val="00AF37BB"/>
    <w:rsid w:val="00AF7DD0"/>
    <w:rsid w:val="00B034B9"/>
    <w:rsid w:val="00B04709"/>
    <w:rsid w:val="00B04D99"/>
    <w:rsid w:val="00B10728"/>
    <w:rsid w:val="00B159FA"/>
    <w:rsid w:val="00B15E2D"/>
    <w:rsid w:val="00B17B0F"/>
    <w:rsid w:val="00B20B17"/>
    <w:rsid w:val="00B20FC0"/>
    <w:rsid w:val="00B214FC"/>
    <w:rsid w:val="00B27DBA"/>
    <w:rsid w:val="00B36C71"/>
    <w:rsid w:val="00B3744C"/>
    <w:rsid w:val="00B374FC"/>
    <w:rsid w:val="00B37739"/>
    <w:rsid w:val="00B41C84"/>
    <w:rsid w:val="00B42076"/>
    <w:rsid w:val="00B44175"/>
    <w:rsid w:val="00B474BC"/>
    <w:rsid w:val="00B50410"/>
    <w:rsid w:val="00B54B5B"/>
    <w:rsid w:val="00B57A44"/>
    <w:rsid w:val="00B61840"/>
    <w:rsid w:val="00B679B0"/>
    <w:rsid w:val="00B80A38"/>
    <w:rsid w:val="00B81040"/>
    <w:rsid w:val="00B840E8"/>
    <w:rsid w:val="00B84EA2"/>
    <w:rsid w:val="00B961A7"/>
    <w:rsid w:val="00B9686F"/>
    <w:rsid w:val="00BA4E80"/>
    <w:rsid w:val="00BA6898"/>
    <w:rsid w:val="00BA7E12"/>
    <w:rsid w:val="00BB30AB"/>
    <w:rsid w:val="00BB6D23"/>
    <w:rsid w:val="00BB74C8"/>
    <w:rsid w:val="00BC03FE"/>
    <w:rsid w:val="00BC0EE0"/>
    <w:rsid w:val="00BC1D0C"/>
    <w:rsid w:val="00BC31C6"/>
    <w:rsid w:val="00BD11B8"/>
    <w:rsid w:val="00BD46AF"/>
    <w:rsid w:val="00BD5BED"/>
    <w:rsid w:val="00BD61E3"/>
    <w:rsid w:val="00BE1FB9"/>
    <w:rsid w:val="00BF07C0"/>
    <w:rsid w:val="00BF3904"/>
    <w:rsid w:val="00BF70A9"/>
    <w:rsid w:val="00BF724D"/>
    <w:rsid w:val="00C012C9"/>
    <w:rsid w:val="00C119B8"/>
    <w:rsid w:val="00C14854"/>
    <w:rsid w:val="00C1650E"/>
    <w:rsid w:val="00C1666F"/>
    <w:rsid w:val="00C171A8"/>
    <w:rsid w:val="00C17CE6"/>
    <w:rsid w:val="00C24DB8"/>
    <w:rsid w:val="00C26867"/>
    <w:rsid w:val="00C32931"/>
    <w:rsid w:val="00C330B3"/>
    <w:rsid w:val="00C35474"/>
    <w:rsid w:val="00C360A2"/>
    <w:rsid w:val="00C369EA"/>
    <w:rsid w:val="00C379E4"/>
    <w:rsid w:val="00C42B32"/>
    <w:rsid w:val="00C4349A"/>
    <w:rsid w:val="00C43B3D"/>
    <w:rsid w:val="00C44EFD"/>
    <w:rsid w:val="00C51B67"/>
    <w:rsid w:val="00C536A0"/>
    <w:rsid w:val="00C606B2"/>
    <w:rsid w:val="00C651B9"/>
    <w:rsid w:val="00C670A2"/>
    <w:rsid w:val="00C67752"/>
    <w:rsid w:val="00C72E36"/>
    <w:rsid w:val="00C84931"/>
    <w:rsid w:val="00C926A5"/>
    <w:rsid w:val="00C95BB4"/>
    <w:rsid w:val="00CA0155"/>
    <w:rsid w:val="00CA2145"/>
    <w:rsid w:val="00CA32EE"/>
    <w:rsid w:val="00CA46FA"/>
    <w:rsid w:val="00CA73FB"/>
    <w:rsid w:val="00CB1F6A"/>
    <w:rsid w:val="00CB1F90"/>
    <w:rsid w:val="00CB3D1F"/>
    <w:rsid w:val="00CB45D7"/>
    <w:rsid w:val="00CB5A00"/>
    <w:rsid w:val="00CB5BBA"/>
    <w:rsid w:val="00CC291B"/>
    <w:rsid w:val="00CC52BA"/>
    <w:rsid w:val="00CC6B63"/>
    <w:rsid w:val="00CC7A76"/>
    <w:rsid w:val="00CC7BAA"/>
    <w:rsid w:val="00CD62DC"/>
    <w:rsid w:val="00CD7FF8"/>
    <w:rsid w:val="00CE5D51"/>
    <w:rsid w:val="00CF38E0"/>
    <w:rsid w:val="00CF6F7E"/>
    <w:rsid w:val="00CF7807"/>
    <w:rsid w:val="00D00192"/>
    <w:rsid w:val="00D02F43"/>
    <w:rsid w:val="00D04327"/>
    <w:rsid w:val="00D07B4A"/>
    <w:rsid w:val="00D10DCB"/>
    <w:rsid w:val="00D23D9C"/>
    <w:rsid w:val="00D2462F"/>
    <w:rsid w:val="00D374C8"/>
    <w:rsid w:val="00D37C19"/>
    <w:rsid w:val="00D439A8"/>
    <w:rsid w:val="00D45F59"/>
    <w:rsid w:val="00D47081"/>
    <w:rsid w:val="00D51CA7"/>
    <w:rsid w:val="00D530CA"/>
    <w:rsid w:val="00D549F3"/>
    <w:rsid w:val="00D57034"/>
    <w:rsid w:val="00D61679"/>
    <w:rsid w:val="00D61FD7"/>
    <w:rsid w:val="00D62A7D"/>
    <w:rsid w:val="00D6409E"/>
    <w:rsid w:val="00D6440F"/>
    <w:rsid w:val="00D64DEE"/>
    <w:rsid w:val="00D6583C"/>
    <w:rsid w:val="00D674F1"/>
    <w:rsid w:val="00D678D1"/>
    <w:rsid w:val="00D8254B"/>
    <w:rsid w:val="00D90A55"/>
    <w:rsid w:val="00D932FA"/>
    <w:rsid w:val="00D946BD"/>
    <w:rsid w:val="00DA3C96"/>
    <w:rsid w:val="00DA404A"/>
    <w:rsid w:val="00DA64DB"/>
    <w:rsid w:val="00DB0DF8"/>
    <w:rsid w:val="00DB0E6A"/>
    <w:rsid w:val="00DB5475"/>
    <w:rsid w:val="00DB745D"/>
    <w:rsid w:val="00DC6365"/>
    <w:rsid w:val="00DD559F"/>
    <w:rsid w:val="00DF0D01"/>
    <w:rsid w:val="00DF3C14"/>
    <w:rsid w:val="00E01B3D"/>
    <w:rsid w:val="00E02495"/>
    <w:rsid w:val="00E034D4"/>
    <w:rsid w:val="00E04B40"/>
    <w:rsid w:val="00E05008"/>
    <w:rsid w:val="00E07E6B"/>
    <w:rsid w:val="00E11CAB"/>
    <w:rsid w:val="00E1280A"/>
    <w:rsid w:val="00E13222"/>
    <w:rsid w:val="00E21922"/>
    <w:rsid w:val="00E34B66"/>
    <w:rsid w:val="00E378CB"/>
    <w:rsid w:val="00E41A4B"/>
    <w:rsid w:val="00E42714"/>
    <w:rsid w:val="00E462D7"/>
    <w:rsid w:val="00E50379"/>
    <w:rsid w:val="00E50D42"/>
    <w:rsid w:val="00E53625"/>
    <w:rsid w:val="00E55625"/>
    <w:rsid w:val="00E6077B"/>
    <w:rsid w:val="00E64AE1"/>
    <w:rsid w:val="00E73F6A"/>
    <w:rsid w:val="00E74F03"/>
    <w:rsid w:val="00E76D60"/>
    <w:rsid w:val="00E76E3D"/>
    <w:rsid w:val="00E8359B"/>
    <w:rsid w:val="00E86E73"/>
    <w:rsid w:val="00E9104B"/>
    <w:rsid w:val="00E95C5F"/>
    <w:rsid w:val="00EA2DC3"/>
    <w:rsid w:val="00EA4335"/>
    <w:rsid w:val="00EA521E"/>
    <w:rsid w:val="00EA5736"/>
    <w:rsid w:val="00EB41BF"/>
    <w:rsid w:val="00EB59D4"/>
    <w:rsid w:val="00EC22F6"/>
    <w:rsid w:val="00EC4D78"/>
    <w:rsid w:val="00EC5746"/>
    <w:rsid w:val="00EC7D2D"/>
    <w:rsid w:val="00ED1B43"/>
    <w:rsid w:val="00ED2E32"/>
    <w:rsid w:val="00ED2EA3"/>
    <w:rsid w:val="00ED4313"/>
    <w:rsid w:val="00ED5F9F"/>
    <w:rsid w:val="00EE24C8"/>
    <w:rsid w:val="00EE47D5"/>
    <w:rsid w:val="00EE553A"/>
    <w:rsid w:val="00EF2D99"/>
    <w:rsid w:val="00EF2E59"/>
    <w:rsid w:val="00EF457E"/>
    <w:rsid w:val="00EF641F"/>
    <w:rsid w:val="00EF6F01"/>
    <w:rsid w:val="00F00952"/>
    <w:rsid w:val="00F01EC8"/>
    <w:rsid w:val="00F04EAA"/>
    <w:rsid w:val="00F31EE6"/>
    <w:rsid w:val="00F322C6"/>
    <w:rsid w:val="00F32D40"/>
    <w:rsid w:val="00F34163"/>
    <w:rsid w:val="00F36DE7"/>
    <w:rsid w:val="00F3742F"/>
    <w:rsid w:val="00F45D6E"/>
    <w:rsid w:val="00F464CA"/>
    <w:rsid w:val="00F4750C"/>
    <w:rsid w:val="00F52883"/>
    <w:rsid w:val="00F5298F"/>
    <w:rsid w:val="00F53914"/>
    <w:rsid w:val="00F620FB"/>
    <w:rsid w:val="00F626F5"/>
    <w:rsid w:val="00F64FF2"/>
    <w:rsid w:val="00F70C90"/>
    <w:rsid w:val="00F740F6"/>
    <w:rsid w:val="00F74897"/>
    <w:rsid w:val="00F761C7"/>
    <w:rsid w:val="00F8043A"/>
    <w:rsid w:val="00F82052"/>
    <w:rsid w:val="00F8539D"/>
    <w:rsid w:val="00F87A12"/>
    <w:rsid w:val="00F9181F"/>
    <w:rsid w:val="00F91E59"/>
    <w:rsid w:val="00F92504"/>
    <w:rsid w:val="00F967E9"/>
    <w:rsid w:val="00F97E8E"/>
    <w:rsid w:val="00FA0326"/>
    <w:rsid w:val="00FA5903"/>
    <w:rsid w:val="00FB0CB3"/>
    <w:rsid w:val="00FB382A"/>
    <w:rsid w:val="00FB614F"/>
    <w:rsid w:val="00FC1350"/>
    <w:rsid w:val="00FC18A6"/>
    <w:rsid w:val="00FC2657"/>
    <w:rsid w:val="00FC31B6"/>
    <w:rsid w:val="00FC428B"/>
    <w:rsid w:val="00FC566C"/>
    <w:rsid w:val="00FC5AB3"/>
    <w:rsid w:val="00FD2925"/>
    <w:rsid w:val="00FE20A7"/>
    <w:rsid w:val="00FE2A95"/>
    <w:rsid w:val="00FE719D"/>
    <w:rsid w:val="00FF4E2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306FE"/>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295A7F"/>
    <w:pPr>
      <w:tabs>
        <w:tab w:val="center" w:pos="4680"/>
        <w:tab w:val="right" w:pos="9360"/>
      </w:tabs>
    </w:pPr>
  </w:style>
  <w:style w:type="character" w:customStyle="1" w:styleId="HeaderChar">
    <w:name w:val="Header Char"/>
    <w:aliases w:val="encabezado Char"/>
    <w:link w:val="Header"/>
    <w:uiPriority w:val="99"/>
    <w:rsid w:val="00295A7F"/>
    <w:rPr>
      <w:sz w:val="24"/>
      <w:szCs w:val="24"/>
    </w:rPr>
  </w:style>
  <w:style w:type="paragraph" w:styleId="Footer">
    <w:name w:val="footer"/>
    <w:basedOn w:val="Normal"/>
    <w:link w:val="FooterChar"/>
    <w:rsid w:val="00295A7F"/>
    <w:pPr>
      <w:tabs>
        <w:tab w:val="center" w:pos="4680"/>
        <w:tab w:val="right" w:pos="9360"/>
      </w:tabs>
    </w:pPr>
  </w:style>
  <w:style w:type="character" w:customStyle="1" w:styleId="FooterChar">
    <w:name w:val="Footer Char"/>
    <w:link w:val="Footer"/>
    <w:rsid w:val="00295A7F"/>
    <w:rPr>
      <w:sz w:val="24"/>
      <w:szCs w:val="24"/>
    </w:rPr>
  </w:style>
  <w:style w:type="character" w:styleId="PageNumber">
    <w:name w:val="page number"/>
    <w:rsid w:val="00295A7F"/>
  </w:style>
  <w:style w:type="paragraph" w:styleId="ListParagraph">
    <w:name w:val="List Paragraph"/>
    <w:basedOn w:val="Normal"/>
    <w:uiPriority w:val="72"/>
    <w:qFormat/>
    <w:rsid w:val="006F775E"/>
    <w:pPr>
      <w:ind w:left="720"/>
    </w:pPr>
  </w:style>
  <w:style w:type="character" w:styleId="Hyperlink">
    <w:name w:val="Hyperlink"/>
    <w:rsid w:val="007A5B04"/>
    <w:rPr>
      <w:color w:val="0000FF"/>
      <w:u w:val="single"/>
    </w:rPr>
  </w:style>
  <w:style w:type="character" w:styleId="CommentReference">
    <w:name w:val="annotation reference"/>
    <w:rsid w:val="00710342"/>
    <w:rPr>
      <w:sz w:val="16"/>
      <w:szCs w:val="16"/>
    </w:rPr>
  </w:style>
  <w:style w:type="paragraph" w:styleId="CommentText">
    <w:name w:val="annotation text"/>
    <w:basedOn w:val="Normal"/>
    <w:link w:val="CommentTextChar"/>
    <w:rsid w:val="00710342"/>
    <w:rPr>
      <w:sz w:val="20"/>
      <w:szCs w:val="20"/>
    </w:rPr>
  </w:style>
  <w:style w:type="character" w:customStyle="1" w:styleId="CommentTextChar">
    <w:name w:val="Comment Text Char"/>
    <w:basedOn w:val="DefaultParagraphFont"/>
    <w:link w:val="CommentText"/>
    <w:rsid w:val="00710342"/>
  </w:style>
  <w:style w:type="paragraph" w:styleId="CommentSubject">
    <w:name w:val="annotation subject"/>
    <w:basedOn w:val="CommentText"/>
    <w:next w:val="CommentText"/>
    <w:link w:val="CommentSubjectChar"/>
    <w:rsid w:val="00710342"/>
    <w:rPr>
      <w:b/>
      <w:bCs/>
    </w:rPr>
  </w:style>
  <w:style w:type="character" w:customStyle="1" w:styleId="CommentSubjectChar">
    <w:name w:val="Comment Subject Char"/>
    <w:link w:val="CommentSubject"/>
    <w:rsid w:val="00710342"/>
    <w:rPr>
      <w:b/>
      <w:bCs/>
    </w:rPr>
  </w:style>
  <w:style w:type="paragraph" w:styleId="BalloonText">
    <w:name w:val="Balloon Text"/>
    <w:basedOn w:val="Normal"/>
    <w:link w:val="BalloonTextChar"/>
    <w:rsid w:val="00710342"/>
    <w:rPr>
      <w:rFonts w:ascii="Tahoma" w:hAnsi="Tahoma" w:cs="Tahoma"/>
      <w:sz w:val="16"/>
      <w:szCs w:val="16"/>
    </w:rPr>
  </w:style>
  <w:style w:type="character" w:customStyle="1" w:styleId="BalloonTextChar">
    <w:name w:val="Balloon Text Char"/>
    <w:link w:val="BalloonText"/>
    <w:rsid w:val="00710342"/>
    <w:rPr>
      <w:rFonts w:ascii="Tahoma" w:hAnsi="Tahoma" w:cs="Tahoma"/>
      <w:sz w:val="16"/>
      <w:szCs w:val="16"/>
    </w:rPr>
  </w:style>
  <w:style w:type="character" w:styleId="FollowedHyperlink">
    <w:name w:val="FollowedHyperlink"/>
    <w:rsid w:val="00EE553A"/>
    <w:rPr>
      <w:color w:val="800080"/>
      <w:u w:val="single"/>
    </w:rPr>
  </w:style>
  <w:style w:type="table" w:styleId="TableGrid">
    <w:name w:val="Table Grid"/>
    <w:basedOn w:val="TableNormal"/>
    <w:rsid w:val="003B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C43B3D"/>
    <w:pPr>
      <w:tabs>
        <w:tab w:val="left" w:pos="360"/>
      </w:tabs>
      <w:ind w:left="360" w:hanging="360"/>
      <w:jc w:val="both"/>
    </w:pPr>
    <w:rPr>
      <w:rFonts w:ascii="CG Times" w:eastAsia="MS Mincho" w:hAnsi="CG Times"/>
      <w:sz w:val="18"/>
      <w:szCs w:val="20"/>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C43B3D"/>
    <w:rPr>
      <w:rFonts w:ascii="CG Times" w:eastAsia="MS Mincho" w:hAnsi="CG Times"/>
      <w:sz w:val="18"/>
      <w:lang w:val="es-CO" w:eastAsia="es-ES_tradnl"/>
    </w:rPr>
  </w:style>
  <w:style w:type="character" w:styleId="FootnoteReference">
    <w:name w:val="footnote reference"/>
    <w:uiPriority w:val="99"/>
    <w:rsid w:val="00C43B3D"/>
    <w:rPr>
      <w:rFonts w:cs="Times New Roman"/>
      <w:color w:val="auto"/>
      <w:vertAlign w:val="baseline"/>
    </w:rPr>
  </w:style>
  <w:style w:type="paragraph" w:styleId="NoSpacing">
    <w:name w:val="No Spacing"/>
    <w:uiPriority w:val="1"/>
    <w:qFormat/>
    <w:rsid w:val="00070592"/>
    <w:rPr>
      <w:rFonts w:ascii="Calibri" w:eastAsia="Calibri" w:hAnsi="Calibri"/>
      <w:sz w:val="22"/>
      <w:szCs w:val="22"/>
      <w:lang w:val="es-ES"/>
    </w:rPr>
  </w:style>
  <w:style w:type="paragraph" w:customStyle="1" w:styleId="Default">
    <w:name w:val="Default"/>
    <w:rsid w:val="00084323"/>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0A20E1"/>
    <w:pPr>
      <w:spacing w:before="100" w:beforeAutospacing="1" w:after="100" w:afterAutospacing="1"/>
    </w:pPr>
    <w:rPr>
      <w:rFonts w:eastAsia="Calibri"/>
    </w:rPr>
  </w:style>
  <w:style w:type="character" w:customStyle="1" w:styleId="Heading1Char">
    <w:name w:val="Heading 1 Char"/>
    <w:link w:val="Heading1"/>
    <w:uiPriority w:val="9"/>
    <w:rsid w:val="002306FE"/>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306FE"/>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295A7F"/>
    <w:pPr>
      <w:tabs>
        <w:tab w:val="center" w:pos="4680"/>
        <w:tab w:val="right" w:pos="9360"/>
      </w:tabs>
    </w:pPr>
  </w:style>
  <w:style w:type="character" w:customStyle="1" w:styleId="HeaderChar">
    <w:name w:val="Header Char"/>
    <w:aliases w:val="encabezado Char"/>
    <w:link w:val="Header"/>
    <w:uiPriority w:val="99"/>
    <w:rsid w:val="00295A7F"/>
    <w:rPr>
      <w:sz w:val="24"/>
      <w:szCs w:val="24"/>
    </w:rPr>
  </w:style>
  <w:style w:type="paragraph" w:styleId="Footer">
    <w:name w:val="footer"/>
    <w:basedOn w:val="Normal"/>
    <w:link w:val="FooterChar"/>
    <w:rsid w:val="00295A7F"/>
    <w:pPr>
      <w:tabs>
        <w:tab w:val="center" w:pos="4680"/>
        <w:tab w:val="right" w:pos="9360"/>
      </w:tabs>
    </w:pPr>
  </w:style>
  <w:style w:type="character" w:customStyle="1" w:styleId="FooterChar">
    <w:name w:val="Footer Char"/>
    <w:link w:val="Footer"/>
    <w:rsid w:val="00295A7F"/>
    <w:rPr>
      <w:sz w:val="24"/>
      <w:szCs w:val="24"/>
    </w:rPr>
  </w:style>
  <w:style w:type="character" w:styleId="PageNumber">
    <w:name w:val="page number"/>
    <w:rsid w:val="00295A7F"/>
  </w:style>
  <w:style w:type="paragraph" w:styleId="ListParagraph">
    <w:name w:val="List Paragraph"/>
    <w:basedOn w:val="Normal"/>
    <w:uiPriority w:val="72"/>
    <w:qFormat/>
    <w:rsid w:val="006F775E"/>
    <w:pPr>
      <w:ind w:left="720"/>
    </w:pPr>
  </w:style>
  <w:style w:type="character" w:styleId="Hyperlink">
    <w:name w:val="Hyperlink"/>
    <w:rsid w:val="007A5B04"/>
    <w:rPr>
      <w:color w:val="0000FF"/>
      <w:u w:val="single"/>
    </w:rPr>
  </w:style>
  <w:style w:type="character" w:styleId="CommentReference">
    <w:name w:val="annotation reference"/>
    <w:rsid w:val="00710342"/>
    <w:rPr>
      <w:sz w:val="16"/>
      <w:szCs w:val="16"/>
    </w:rPr>
  </w:style>
  <w:style w:type="paragraph" w:styleId="CommentText">
    <w:name w:val="annotation text"/>
    <w:basedOn w:val="Normal"/>
    <w:link w:val="CommentTextChar"/>
    <w:rsid w:val="00710342"/>
    <w:rPr>
      <w:sz w:val="20"/>
      <w:szCs w:val="20"/>
    </w:rPr>
  </w:style>
  <w:style w:type="character" w:customStyle="1" w:styleId="CommentTextChar">
    <w:name w:val="Comment Text Char"/>
    <w:basedOn w:val="DefaultParagraphFont"/>
    <w:link w:val="CommentText"/>
    <w:rsid w:val="00710342"/>
  </w:style>
  <w:style w:type="paragraph" w:styleId="CommentSubject">
    <w:name w:val="annotation subject"/>
    <w:basedOn w:val="CommentText"/>
    <w:next w:val="CommentText"/>
    <w:link w:val="CommentSubjectChar"/>
    <w:rsid w:val="00710342"/>
    <w:rPr>
      <w:b/>
      <w:bCs/>
    </w:rPr>
  </w:style>
  <w:style w:type="character" w:customStyle="1" w:styleId="CommentSubjectChar">
    <w:name w:val="Comment Subject Char"/>
    <w:link w:val="CommentSubject"/>
    <w:rsid w:val="00710342"/>
    <w:rPr>
      <w:b/>
      <w:bCs/>
    </w:rPr>
  </w:style>
  <w:style w:type="paragraph" w:styleId="BalloonText">
    <w:name w:val="Balloon Text"/>
    <w:basedOn w:val="Normal"/>
    <w:link w:val="BalloonTextChar"/>
    <w:rsid w:val="00710342"/>
    <w:rPr>
      <w:rFonts w:ascii="Tahoma" w:hAnsi="Tahoma" w:cs="Tahoma"/>
      <w:sz w:val="16"/>
      <w:szCs w:val="16"/>
    </w:rPr>
  </w:style>
  <w:style w:type="character" w:customStyle="1" w:styleId="BalloonTextChar">
    <w:name w:val="Balloon Text Char"/>
    <w:link w:val="BalloonText"/>
    <w:rsid w:val="00710342"/>
    <w:rPr>
      <w:rFonts w:ascii="Tahoma" w:hAnsi="Tahoma" w:cs="Tahoma"/>
      <w:sz w:val="16"/>
      <w:szCs w:val="16"/>
    </w:rPr>
  </w:style>
  <w:style w:type="character" w:styleId="FollowedHyperlink">
    <w:name w:val="FollowedHyperlink"/>
    <w:rsid w:val="00EE553A"/>
    <w:rPr>
      <w:color w:val="800080"/>
      <w:u w:val="single"/>
    </w:rPr>
  </w:style>
  <w:style w:type="table" w:styleId="TableGrid">
    <w:name w:val="Table Grid"/>
    <w:basedOn w:val="TableNormal"/>
    <w:rsid w:val="003B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C43B3D"/>
    <w:pPr>
      <w:tabs>
        <w:tab w:val="left" w:pos="360"/>
      </w:tabs>
      <w:ind w:left="360" w:hanging="360"/>
      <w:jc w:val="both"/>
    </w:pPr>
    <w:rPr>
      <w:rFonts w:ascii="CG Times" w:eastAsia="MS Mincho" w:hAnsi="CG Times"/>
      <w:sz w:val="18"/>
      <w:szCs w:val="20"/>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C43B3D"/>
    <w:rPr>
      <w:rFonts w:ascii="CG Times" w:eastAsia="MS Mincho" w:hAnsi="CG Times"/>
      <w:sz w:val="18"/>
      <w:lang w:val="es-CO" w:eastAsia="es-ES_tradnl"/>
    </w:rPr>
  </w:style>
  <w:style w:type="character" w:styleId="FootnoteReference">
    <w:name w:val="footnote reference"/>
    <w:uiPriority w:val="99"/>
    <w:rsid w:val="00C43B3D"/>
    <w:rPr>
      <w:rFonts w:cs="Times New Roman"/>
      <w:color w:val="auto"/>
      <w:vertAlign w:val="baseline"/>
    </w:rPr>
  </w:style>
  <w:style w:type="paragraph" w:styleId="NoSpacing">
    <w:name w:val="No Spacing"/>
    <w:uiPriority w:val="1"/>
    <w:qFormat/>
    <w:rsid w:val="00070592"/>
    <w:rPr>
      <w:rFonts w:ascii="Calibri" w:eastAsia="Calibri" w:hAnsi="Calibri"/>
      <w:sz w:val="22"/>
      <w:szCs w:val="22"/>
      <w:lang w:val="es-ES"/>
    </w:rPr>
  </w:style>
  <w:style w:type="paragraph" w:customStyle="1" w:styleId="Default">
    <w:name w:val="Default"/>
    <w:rsid w:val="00084323"/>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0A20E1"/>
    <w:pPr>
      <w:spacing w:before="100" w:beforeAutospacing="1" w:after="100" w:afterAutospacing="1"/>
    </w:pPr>
    <w:rPr>
      <w:rFonts w:eastAsia="Calibri"/>
    </w:rPr>
  </w:style>
  <w:style w:type="character" w:customStyle="1" w:styleId="Heading1Char">
    <w:name w:val="Heading 1 Char"/>
    <w:link w:val="Heading1"/>
    <w:uiPriority w:val="9"/>
    <w:rsid w:val="002306F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34">
      <w:bodyDiv w:val="1"/>
      <w:marLeft w:val="0"/>
      <w:marRight w:val="0"/>
      <w:marTop w:val="0"/>
      <w:marBottom w:val="0"/>
      <w:divBdr>
        <w:top w:val="none" w:sz="0" w:space="0" w:color="auto"/>
        <w:left w:val="none" w:sz="0" w:space="0" w:color="auto"/>
        <w:bottom w:val="none" w:sz="0" w:space="0" w:color="auto"/>
        <w:right w:val="none" w:sz="0" w:space="0" w:color="auto"/>
      </w:divBdr>
    </w:div>
    <w:div w:id="114953544">
      <w:bodyDiv w:val="1"/>
      <w:marLeft w:val="0"/>
      <w:marRight w:val="0"/>
      <w:marTop w:val="0"/>
      <w:marBottom w:val="0"/>
      <w:divBdr>
        <w:top w:val="none" w:sz="0" w:space="0" w:color="auto"/>
        <w:left w:val="none" w:sz="0" w:space="0" w:color="auto"/>
        <w:bottom w:val="none" w:sz="0" w:space="0" w:color="auto"/>
        <w:right w:val="none" w:sz="0" w:space="0" w:color="auto"/>
      </w:divBdr>
    </w:div>
    <w:div w:id="118963637">
      <w:bodyDiv w:val="1"/>
      <w:marLeft w:val="0"/>
      <w:marRight w:val="0"/>
      <w:marTop w:val="0"/>
      <w:marBottom w:val="0"/>
      <w:divBdr>
        <w:top w:val="none" w:sz="0" w:space="0" w:color="auto"/>
        <w:left w:val="none" w:sz="0" w:space="0" w:color="auto"/>
        <w:bottom w:val="none" w:sz="0" w:space="0" w:color="auto"/>
        <w:right w:val="none" w:sz="0" w:space="0" w:color="auto"/>
      </w:divBdr>
    </w:div>
    <w:div w:id="126750887">
      <w:bodyDiv w:val="1"/>
      <w:marLeft w:val="0"/>
      <w:marRight w:val="0"/>
      <w:marTop w:val="0"/>
      <w:marBottom w:val="0"/>
      <w:divBdr>
        <w:top w:val="none" w:sz="0" w:space="0" w:color="auto"/>
        <w:left w:val="none" w:sz="0" w:space="0" w:color="auto"/>
        <w:bottom w:val="none" w:sz="0" w:space="0" w:color="auto"/>
        <w:right w:val="none" w:sz="0" w:space="0" w:color="auto"/>
      </w:divBdr>
    </w:div>
    <w:div w:id="144008493">
      <w:bodyDiv w:val="1"/>
      <w:marLeft w:val="0"/>
      <w:marRight w:val="0"/>
      <w:marTop w:val="0"/>
      <w:marBottom w:val="0"/>
      <w:divBdr>
        <w:top w:val="none" w:sz="0" w:space="0" w:color="auto"/>
        <w:left w:val="none" w:sz="0" w:space="0" w:color="auto"/>
        <w:bottom w:val="none" w:sz="0" w:space="0" w:color="auto"/>
        <w:right w:val="none" w:sz="0" w:space="0" w:color="auto"/>
      </w:divBdr>
    </w:div>
    <w:div w:id="414742460">
      <w:bodyDiv w:val="1"/>
      <w:marLeft w:val="0"/>
      <w:marRight w:val="0"/>
      <w:marTop w:val="0"/>
      <w:marBottom w:val="0"/>
      <w:divBdr>
        <w:top w:val="none" w:sz="0" w:space="0" w:color="auto"/>
        <w:left w:val="none" w:sz="0" w:space="0" w:color="auto"/>
        <w:bottom w:val="none" w:sz="0" w:space="0" w:color="auto"/>
        <w:right w:val="none" w:sz="0" w:space="0" w:color="auto"/>
      </w:divBdr>
    </w:div>
    <w:div w:id="582881868">
      <w:bodyDiv w:val="1"/>
      <w:marLeft w:val="0"/>
      <w:marRight w:val="0"/>
      <w:marTop w:val="0"/>
      <w:marBottom w:val="0"/>
      <w:divBdr>
        <w:top w:val="none" w:sz="0" w:space="0" w:color="auto"/>
        <w:left w:val="none" w:sz="0" w:space="0" w:color="auto"/>
        <w:bottom w:val="none" w:sz="0" w:space="0" w:color="auto"/>
        <w:right w:val="none" w:sz="0" w:space="0" w:color="auto"/>
      </w:divBdr>
    </w:div>
    <w:div w:id="754402167">
      <w:bodyDiv w:val="1"/>
      <w:marLeft w:val="0"/>
      <w:marRight w:val="0"/>
      <w:marTop w:val="0"/>
      <w:marBottom w:val="0"/>
      <w:divBdr>
        <w:top w:val="none" w:sz="0" w:space="0" w:color="auto"/>
        <w:left w:val="none" w:sz="0" w:space="0" w:color="auto"/>
        <w:bottom w:val="none" w:sz="0" w:space="0" w:color="auto"/>
        <w:right w:val="none" w:sz="0" w:space="0" w:color="auto"/>
      </w:divBdr>
    </w:div>
    <w:div w:id="781808336">
      <w:bodyDiv w:val="1"/>
      <w:marLeft w:val="0"/>
      <w:marRight w:val="0"/>
      <w:marTop w:val="0"/>
      <w:marBottom w:val="0"/>
      <w:divBdr>
        <w:top w:val="none" w:sz="0" w:space="0" w:color="auto"/>
        <w:left w:val="none" w:sz="0" w:space="0" w:color="auto"/>
        <w:bottom w:val="none" w:sz="0" w:space="0" w:color="auto"/>
        <w:right w:val="none" w:sz="0" w:space="0" w:color="auto"/>
      </w:divBdr>
    </w:div>
    <w:div w:id="820003280">
      <w:bodyDiv w:val="1"/>
      <w:marLeft w:val="0"/>
      <w:marRight w:val="0"/>
      <w:marTop w:val="0"/>
      <w:marBottom w:val="0"/>
      <w:divBdr>
        <w:top w:val="none" w:sz="0" w:space="0" w:color="auto"/>
        <w:left w:val="none" w:sz="0" w:space="0" w:color="auto"/>
        <w:bottom w:val="none" w:sz="0" w:space="0" w:color="auto"/>
        <w:right w:val="none" w:sz="0" w:space="0" w:color="auto"/>
      </w:divBdr>
    </w:div>
    <w:div w:id="825242904">
      <w:bodyDiv w:val="1"/>
      <w:marLeft w:val="0"/>
      <w:marRight w:val="0"/>
      <w:marTop w:val="0"/>
      <w:marBottom w:val="0"/>
      <w:divBdr>
        <w:top w:val="none" w:sz="0" w:space="0" w:color="auto"/>
        <w:left w:val="none" w:sz="0" w:space="0" w:color="auto"/>
        <w:bottom w:val="none" w:sz="0" w:space="0" w:color="auto"/>
        <w:right w:val="none" w:sz="0" w:space="0" w:color="auto"/>
      </w:divBdr>
    </w:div>
    <w:div w:id="834997554">
      <w:bodyDiv w:val="1"/>
      <w:marLeft w:val="0"/>
      <w:marRight w:val="0"/>
      <w:marTop w:val="0"/>
      <w:marBottom w:val="0"/>
      <w:divBdr>
        <w:top w:val="none" w:sz="0" w:space="0" w:color="auto"/>
        <w:left w:val="none" w:sz="0" w:space="0" w:color="auto"/>
        <w:bottom w:val="none" w:sz="0" w:space="0" w:color="auto"/>
        <w:right w:val="none" w:sz="0" w:space="0" w:color="auto"/>
      </w:divBdr>
    </w:div>
    <w:div w:id="838619013">
      <w:bodyDiv w:val="1"/>
      <w:marLeft w:val="0"/>
      <w:marRight w:val="0"/>
      <w:marTop w:val="0"/>
      <w:marBottom w:val="0"/>
      <w:divBdr>
        <w:top w:val="none" w:sz="0" w:space="0" w:color="auto"/>
        <w:left w:val="none" w:sz="0" w:space="0" w:color="auto"/>
        <w:bottom w:val="none" w:sz="0" w:space="0" w:color="auto"/>
        <w:right w:val="none" w:sz="0" w:space="0" w:color="auto"/>
      </w:divBdr>
    </w:div>
    <w:div w:id="898399319">
      <w:bodyDiv w:val="1"/>
      <w:marLeft w:val="0"/>
      <w:marRight w:val="0"/>
      <w:marTop w:val="0"/>
      <w:marBottom w:val="0"/>
      <w:divBdr>
        <w:top w:val="none" w:sz="0" w:space="0" w:color="auto"/>
        <w:left w:val="none" w:sz="0" w:space="0" w:color="auto"/>
        <w:bottom w:val="none" w:sz="0" w:space="0" w:color="auto"/>
        <w:right w:val="none" w:sz="0" w:space="0" w:color="auto"/>
      </w:divBdr>
    </w:div>
    <w:div w:id="1019115993">
      <w:bodyDiv w:val="1"/>
      <w:marLeft w:val="0"/>
      <w:marRight w:val="0"/>
      <w:marTop w:val="0"/>
      <w:marBottom w:val="0"/>
      <w:divBdr>
        <w:top w:val="none" w:sz="0" w:space="0" w:color="auto"/>
        <w:left w:val="none" w:sz="0" w:space="0" w:color="auto"/>
        <w:bottom w:val="none" w:sz="0" w:space="0" w:color="auto"/>
        <w:right w:val="none" w:sz="0" w:space="0" w:color="auto"/>
      </w:divBdr>
    </w:div>
    <w:div w:id="1134526089">
      <w:bodyDiv w:val="1"/>
      <w:marLeft w:val="0"/>
      <w:marRight w:val="0"/>
      <w:marTop w:val="0"/>
      <w:marBottom w:val="0"/>
      <w:divBdr>
        <w:top w:val="none" w:sz="0" w:space="0" w:color="auto"/>
        <w:left w:val="none" w:sz="0" w:space="0" w:color="auto"/>
        <w:bottom w:val="none" w:sz="0" w:space="0" w:color="auto"/>
        <w:right w:val="none" w:sz="0" w:space="0" w:color="auto"/>
      </w:divBdr>
    </w:div>
    <w:div w:id="1446729050">
      <w:bodyDiv w:val="1"/>
      <w:marLeft w:val="0"/>
      <w:marRight w:val="0"/>
      <w:marTop w:val="0"/>
      <w:marBottom w:val="0"/>
      <w:divBdr>
        <w:top w:val="none" w:sz="0" w:space="0" w:color="auto"/>
        <w:left w:val="none" w:sz="0" w:space="0" w:color="auto"/>
        <w:bottom w:val="none" w:sz="0" w:space="0" w:color="auto"/>
        <w:right w:val="none" w:sz="0" w:space="0" w:color="auto"/>
      </w:divBdr>
    </w:div>
    <w:div w:id="1676882041">
      <w:bodyDiv w:val="1"/>
      <w:marLeft w:val="0"/>
      <w:marRight w:val="0"/>
      <w:marTop w:val="0"/>
      <w:marBottom w:val="0"/>
      <w:divBdr>
        <w:top w:val="none" w:sz="0" w:space="0" w:color="auto"/>
        <w:left w:val="none" w:sz="0" w:space="0" w:color="auto"/>
        <w:bottom w:val="none" w:sz="0" w:space="0" w:color="auto"/>
        <w:right w:val="none" w:sz="0" w:space="0" w:color="auto"/>
      </w:divBdr>
    </w:div>
    <w:div w:id="1736508331">
      <w:bodyDiv w:val="1"/>
      <w:marLeft w:val="0"/>
      <w:marRight w:val="0"/>
      <w:marTop w:val="0"/>
      <w:marBottom w:val="0"/>
      <w:divBdr>
        <w:top w:val="none" w:sz="0" w:space="0" w:color="auto"/>
        <w:left w:val="none" w:sz="0" w:space="0" w:color="auto"/>
        <w:bottom w:val="none" w:sz="0" w:space="0" w:color="auto"/>
        <w:right w:val="none" w:sz="0" w:space="0" w:color="auto"/>
      </w:divBdr>
    </w:div>
    <w:div w:id="1911114405">
      <w:bodyDiv w:val="1"/>
      <w:marLeft w:val="0"/>
      <w:marRight w:val="0"/>
      <w:marTop w:val="0"/>
      <w:marBottom w:val="0"/>
      <w:divBdr>
        <w:top w:val="none" w:sz="0" w:space="0" w:color="auto"/>
        <w:left w:val="none" w:sz="0" w:space="0" w:color="auto"/>
        <w:bottom w:val="none" w:sz="0" w:space="0" w:color="auto"/>
        <w:right w:val="none" w:sz="0" w:space="0" w:color="auto"/>
      </w:divBdr>
    </w:div>
    <w:div w:id="2035494420">
      <w:bodyDiv w:val="1"/>
      <w:marLeft w:val="0"/>
      <w:marRight w:val="0"/>
      <w:marTop w:val="0"/>
      <w:marBottom w:val="0"/>
      <w:divBdr>
        <w:top w:val="none" w:sz="0" w:space="0" w:color="auto"/>
        <w:left w:val="none" w:sz="0" w:space="0" w:color="auto"/>
        <w:bottom w:val="none" w:sz="0" w:space="0" w:color="auto"/>
        <w:right w:val="none" w:sz="0" w:space="0" w:color="auto"/>
      </w:divBdr>
    </w:div>
    <w:div w:id="20565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cm.oas.org/doc_public/PORTUGUESE/HIST_20/CP42412P0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cm.oas.org/doc_public/PORTUGUESE/HIST_20/CP42368P06.docx" TargetMode="External"/><Relationship Id="rId2" Type="http://schemas.openxmlformats.org/officeDocument/2006/relationships/numbering" Target="numbering.xml"/><Relationship Id="rId16" Type="http://schemas.openxmlformats.org/officeDocument/2006/relationships/hyperlink" Target="http://www.oas.org/es/sla/cji/docs/informes_culminados_recientemente_Contratos_Internacionales_resolucion.pdf"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cm.oas.org/doc_public/portuguese/HIST_19/CP41368p03.doc" TargetMode="External"/><Relationship Id="rId14" Type="http://schemas.openxmlformats.org/officeDocument/2006/relationships/footer" Target="footer1.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portuguese/HIST_20/CP42392p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A600-0110-4114-8DD0-89649591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4746</Words>
  <Characters>28046</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32727</CharactersWithSpaces>
  <SharedDoc>false</SharedDoc>
  <HLinks>
    <vt:vector size="30" baseType="variant">
      <vt:variant>
        <vt:i4>262235</vt:i4>
      </vt:variant>
      <vt:variant>
        <vt:i4>9</vt:i4>
      </vt:variant>
      <vt:variant>
        <vt:i4>0</vt:i4>
      </vt:variant>
      <vt:variant>
        <vt:i4>5</vt:i4>
      </vt:variant>
      <vt:variant>
        <vt:lpwstr>http://scm.oas.org/doc_public/SPANISH/HIST_20/CP42412S03.docx</vt:lpwstr>
      </vt:variant>
      <vt:variant>
        <vt:lpwstr/>
      </vt:variant>
      <vt:variant>
        <vt:i4>196694</vt:i4>
      </vt:variant>
      <vt:variant>
        <vt:i4>6</vt:i4>
      </vt:variant>
      <vt:variant>
        <vt:i4>0</vt:i4>
      </vt:variant>
      <vt:variant>
        <vt:i4>5</vt:i4>
      </vt:variant>
      <vt:variant>
        <vt:lpwstr>http://scm.oas.org/doc_public/SPANISH/HIST_20/CP42368S03.docx</vt:lpwstr>
      </vt:variant>
      <vt:variant>
        <vt:lpwstr/>
      </vt:variant>
      <vt:variant>
        <vt:i4>6946832</vt:i4>
      </vt:variant>
      <vt:variant>
        <vt:i4>3</vt:i4>
      </vt:variant>
      <vt:variant>
        <vt:i4>0</vt:i4>
      </vt:variant>
      <vt:variant>
        <vt:i4>5</vt:i4>
      </vt:variant>
      <vt:variant>
        <vt:lpwstr>http://www.oas.org/es/sla/cji/docs/informes_culminados_recientemente_Contratos_Internacionales_resolucion.pdf</vt:lpwstr>
      </vt:variant>
      <vt:variant>
        <vt:lpwstr/>
      </vt:variant>
      <vt:variant>
        <vt:i4>196703</vt:i4>
      </vt:variant>
      <vt:variant>
        <vt:i4>0</vt:i4>
      </vt:variant>
      <vt:variant>
        <vt:i4>0</vt:i4>
      </vt:variant>
      <vt:variant>
        <vt:i4>5</vt:i4>
      </vt:variant>
      <vt:variant>
        <vt:lpwstr>http://scm.oas.org/doc_public/SPANISH/HIST_19/CP41368S03.doc</vt:lpwstr>
      </vt:variant>
      <vt:variant>
        <vt:lpwstr/>
      </vt:variant>
      <vt:variant>
        <vt:i4>589916</vt:i4>
      </vt:variant>
      <vt:variant>
        <vt:i4>0</vt:i4>
      </vt:variant>
      <vt:variant>
        <vt:i4>0</vt:i4>
      </vt:variant>
      <vt:variant>
        <vt:i4>5</vt:i4>
      </vt:variant>
      <vt:variant>
        <vt:lpwstr>http://scm.oas.org/doc_public/SPANISH/HIST_20/CP42392S06.docx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%username%;E. Díaz-Avalos</dc:creator>
  <cp:lastModifiedBy>Santos, Ada</cp:lastModifiedBy>
  <cp:revision>5</cp:revision>
  <cp:lastPrinted>2019-09-30T14:17:00Z</cp:lastPrinted>
  <dcterms:created xsi:type="dcterms:W3CDTF">2020-07-24T18:36:00Z</dcterms:created>
  <dcterms:modified xsi:type="dcterms:W3CDTF">2020-07-24T19:45:00Z</dcterms:modified>
</cp:coreProperties>
</file>