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52FD" w14:textId="4311B9E0" w:rsidR="00F71F45" w:rsidRPr="008E00D1" w:rsidRDefault="00F71F45" w:rsidP="00F71F45">
      <w:pPr>
        <w:tabs>
          <w:tab w:val="center" w:pos="2880"/>
          <w:tab w:val="left" w:pos="7200"/>
        </w:tabs>
        <w:jc w:val="both"/>
        <w:rPr>
          <w:sz w:val="22"/>
          <w:szCs w:val="22"/>
        </w:rPr>
      </w:pPr>
      <w:r>
        <w:rPr>
          <w:sz w:val="22"/>
          <w:szCs w:val="22"/>
        </w:rPr>
        <w:tab/>
      </w:r>
      <w:r w:rsidRPr="008E00D1">
        <w:rPr>
          <w:sz w:val="22"/>
          <w:szCs w:val="22"/>
        </w:rPr>
        <w:t>CONSEIL PERMANENT DE</w:t>
      </w:r>
      <w:r>
        <w:rPr>
          <w:sz w:val="22"/>
          <w:szCs w:val="22"/>
        </w:rPr>
        <w:tab/>
      </w:r>
      <w:r w:rsidRPr="008E00D1">
        <w:rPr>
          <w:sz w:val="22"/>
          <w:szCs w:val="22"/>
        </w:rPr>
        <w:t>OEA/Ser.G</w:t>
      </w:r>
    </w:p>
    <w:p w14:paraId="5D3F947E" w14:textId="031F3ACC" w:rsidR="00F71F45" w:rsidRPr="008E00D1" w:rsidRDefault="00F71F45" w:rsidP="00F71F45">
      <w:pPr>
        <w:tabs>
          <w:tab w:val="center" w:pos="2880"/>
          <w:tab w:val="left" w:pos="7200"/>
        </w:tabs>
        <w:ind w:right="-584"/>
        <w:jc w:val="both"/>
        <w:rPr>
          <w:sz w:val="22"/>
          <w:szCs w:val="22"/>
        </w:rPr>
      </w:pPr>
      <w:r>
        <w:rPr>
          <w:sz w:val="22"/>
          <w:szCs w:val="22"/>
        </w:rPr>
        <w:tab/>
      </w:r>
      <w:r w:rsidRPr="008E00D1">
        <w:rPr>
          <w:sz w:val="22"/>
          <w:szCs w:val="22"/>
        </w:rPr>
        <w:t>L’ORGANISATION DES ÉTATS AMÉRICAINS</w:t>
      </w:r>
      <w:r>
        <w:rPr>
          <w:sz w:val="22"/>
          <w:szCs w:val="22"/>
        </w:rPr>
        <w:tab/>
      </w:r>
      <w:r w:rsidRPr="008E00D1">
        <w:rPr>
          <w:sz w:val="22"/>
          <w:szCs w:val="22"/>
        </w:rPr>
        <w:t>CP/CAJP-3553/21 rev. 3</w:t>
      </w:r>
    </w:p>
    <w:p w14:paraId="6B3084C8" w14:textId="2E48DCEF" w:rsidR="00F71F45" w:rsidRPr="008E00D1" w:rsidRDefault="00F71F45" w:rsidP="00F71F45">
      <w:pPr>
        <w:tabs>
          <w:tab w:val="center" w:pos="2880"/>
          <w:tab w:val="left" w:pos="7200"/>
        </w:tabs>
        <w:jc w:val="both"/>
        <w:rPr>
          <w:sz w:val="22"/>
          <w:szCs w:val="22"/>
        </w:rPr>
      </w:pPr>
      <w:r>
        <w:rPr>
          <w:sz w:val="22"/>
          <w:szCs w:val="22"/>
        </w:rPr>
        <w:tab/>
      </w:r>
      <w:r>
        <w:rPr>
          <w:sz w:val="22"/>
          <w:szCs w:val="22"/>
        </w:rPr>
        <w:tab/>
      </w:r>
      <w:r w:rsidRPr="008E00D1">
        <w:rPr>
          <w:sz w:val="22"/>
          <w:szCs w:val="22"/>
        </w:rPr>
        <w:t>26 avril 2021</w:t>
      </w:r>
    </w:p>
    <w:p w14:paraId="3F62D2C9" w14:textId="4EDD274A" w:rsidR="00F71F45" w:rsidRDefault="00F71F45" w:rsidP="00F71F45">
      <w:pPr>
        <w:tabs>
          <w:tab w:val="center" w:pos="2880"/>
          <w:tab w:val="left" w:pos="7200"/>
        </w:tabs>
        <w:ind w:right="-760"/>
        <w:jc w:val="both"/>
        <w:rPr>
          <w:sz w:val="22"/>
          <w:szCs w:val="22"/>
        </w:rPr>
      </w:pPr>
      <w:r>
        <w:rPr>
          <w:sz w:val="22"/>
          <w:szCs w:val="22"/>
        </w:rPr>
        <w:tab/>
      </w:r>
      <w:r w:rsidRPr="008E00D1">
        <w:rPr>
          <w:sz w:val="22"/>
          <w:szCs w:val="22"/>
        </w:rPr>
        <w:t>COMMISSION DES QUESTIONS JURIDIQUES</w:t>
      </w:r>
      <w:r w:rsidRPr="008E00D1">
        <w:rPr>
          <w:sz w:val="22"/>
          <w:szCs w:val="22"/>
        </w:rPr>
        <w:tab/>
      </w:r>
      <w:r w:rsidRPr="008E00D1">
        <w:rPr>
          <w:sz w:val="22"/>
          <w:szCs w:val="22"/>
        </w:rPr>
        <w:t>Original: espagnol</w:t>
      </w:r>
    </w:p>
    <w:p w14:paraId="15391CA0" w14:textId="2076DCD1" w:rsidR="00F71F45" w:rsidRPr="008E00D1" w:rsidRDefault="00F71F45" w:rsidP="00F71F45">
      <w:pPr>
        <w:tabs>
          <w:tab w:val="center" w:pos="2880"/>
          <w:tab w:val="left" w:pos="7200"/>
        </w:tabs>
        <w:ind w:right="-760"/>
        <w:jc w:val="both"/>
        <w:rPr>
          <w:sz w:val="22"/>
          <w:szCs w:val="22"/>
        </w:rPr>
      </w:pPr>
      <w:r>
        <w:rPr>
          <w:sz w:val="22"/>
          <w:szCs w:val="22"/>
        </w:rPr>
        <w:tab/>
      </w:r>
      <w:r w:rsidRPr="008E00D1">
        <w:rPr>
          <w:sz w:val="22"/>
          <w:szCs w:val="22"/>
        </w:rPr>
        <w:t>ET POLITIQUES</w:t>
      </w:r>
    </w:p>
    <w:p w14:paraId="4D3D32AC" w14:textId="220DB681" w:rsidR="00F71F45" w:rsidRPr="008E00D1" w:rsidRDefault="00F71F45" w:rsidP="00F71F45">
      <w:pPr>
        <w:tabs>
          <w:tab w:val="left" w:pos="717"/>
          <w:tab w:val="center" w:pos="3591"/>
          <w:tab w:val="left" w:pos="7200"/>
        </w:tabs>
        <w:ind w:right="-1120"/>
        <w:jc w:val="both"/>
        <w:rPr>
          <w:sz w:val="22"/>
          <w:szCs w:val="22"/>
        </w:rPr>
      </w:pPr>
    </w:p>
    <w:p w14:paraId="3FCDDF87" w14:textId="7DB545EF" w:rsidR="00F71F45" w:rsidRPr="008E00D1" w:rsidRDefault="00F71F45" w:rsidP="00F71F45">
      <w:pPr>
        <w:tabs>
          <w:tab w:val="left" w:pos="717"/>
          <w:tab w:val="center" w:pos="2880"/>
          <w:tab w:val="left" w:pos="7200"/>
        </w:tabs>
        <w:jc w:val="both"/>
        <w:rPr>
          <w:sz w:val="22"/>
          <w:szCs w:val="22"/>
        </w:rPr>
      </w:pPr>
    </w:p>
    <w:p w14:paraId="58051F39" w14:textId="5BF539D7" w:rsidR="00F71F45" w:rsidRPr="008E00D1" w:rsidRDefault="00F71F45" w:rsidP="00F71F45">
      <w:pPr>
        <w:tabs>
          <w:tab w:val="left" w:pos="6597"/>
        </w:tabs>
        <w:jc w:val="both"/>
        <w:rPr>
          <w:sz w:val="22"/>
          <w:szCs w:val="22"/>
        </w:rPr>
      </w:pPr>
    </w:p>
    <w:p w14:paraId="33684207" w14:textId="77777777" w:rsidR="008E00D1" w:rsidRPr="008E00D1" w:rsidRDefault="008E00D1" w:rsidP="008E00D1">
      <w:pPr>
        <w:widowControl w:val="0"/>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rPr>
      </w:pPr>
    </w:p>
    <w:p w14:paraId="0F2A6C15" w14:textId="77777777" w:rsidR="008E00D1" w:rsidRPr="008E00D1" w:rsidRDefault="008E00D1" w:rsidP="00F71F45">
      <w:pPr>
        <w:autoSpaceDE w:val="0"/>
        <w:autoSpaceDN w:val="0"/>
        <w:adjustRightInd w:val="0"/>
        <w:jc w:val="both"/>
        <w:rPr>
          <w:sz w:val="22"/>
          <w:szCs w:val="22"/>
        </w:rPr>
      </w:pPr>
    </w:p>
    <w:p w14:paraId="69812A02" w14:textId="77777777" w:rsidR="008E00D1" w:rsidRPr="008E00D1" w:rsidRDefault="008E00D1" w:rsidP="00F71F45">
      <w:pPr>
        <w:autoSpaceDE w:val="0"/>
        <w:autoSpaceDN w:val="0"/>
        <w:adjustRightInd w:val="0"/>
        <w:jc w:val="both"/>
        <w:rPr>
          <w:sz w:val="22"/>
          <w:szCs w:val="22"/>
        </w:rPr>
      </w:pPr>
    </w:p>
    <w:p w14:paraId="1B357A67" w14:textId="77777777" w:rsidR="008E00D1" w:rsidRPr="008E00D1" w:rsidRDefault="008E00D1" w:rsidP="00F71F45">
      <w:pPr>
        <w:autoSpaceDE w:val="0"/>
        <w:autoSpaceDN w:val="0"/>
        <w:adjustRightInd w:val="0"/>
        <w:jc w:val="both"/>
        <w:rPr>
          <w:sz w:val="22"/>
          <w:szCs w:val="22"/>
        </w:rPr>
      </w:pPr>
    </w:p>
    <w:p w14:paraId="6DA57591" w14:textId="77777777" w:rsidR="008E00D1" w:rsidRPr="008E00D1" w:rsidRDefault="008E00D1" w:rsidP="00F71F45">
      <w:pPr>
        <w:autoSpaceDE w:val="0"/>
        <w:autoSpaceDN w:val="0"/>
        <w:adjustRightInd w:val="0"/>
        <w:jc w:val="both"/>
        <w:rPr>
          <w:sz w:val="22"/>
          <w:szCs w:val="22"/>
        </w:rPr>
      </w:pPr>
    </w:p>
    <w:p w14:paraId="7F9C25B2" w14:textId="77777777" w:rsidR="008E00D1" w:rsidRPr="008E00D1" w:rsidRDefault="008E00D1" w:rsidP="00F71F45">
      <w:pPr>
        <w:autoSpaceDE w:val="0"/>
        <w:autoSpaceDN w:val="0"/>
        <w:adjustRightInd w:val="0"/>
        <w:jc w:val="both"/>
        <w:rPr>
          <w:sz w:val="22"/>
          <w:szCs w:val="22"/>
        </w:rPr>
      </w:pPr>
    </w:p>
    <w:p w14:paraId="245F1EC4" w14:textId="77777777" w:rsidR="008E00D1" w:rsidRPr="008E00D1" w:rsidRDefault="008E00D1" w:rsidP="00F71F45">
      <w:pPr>
        <w:autoSpaceDE w:val="0"/>
        <w:autoSpaceDN w:val="0"/>
        <w:adjustRightInd w:val="0"/>
        <w:jc w:val="both"/>
        <w:rPr>
          <w:sz w:val="22"/>
          <w:szCs w:val="22"/>
        </w:rPr>
      </w:pPr>
    </w:p>
    <w:p w14:paraId="702C1DD7" w14:textId="77777777" w:rsidR="008E00D1" w:rsidRPr="008E00D1" w:rsidRDefault="008E00D1" w:rsidP="00F71F45">
      <w:pPr>
        <w:autoSpaceDE w:val="0"/>
        <w:autoSpaceDN w:val="0"/>
        <w:adjustRightInd w:val="0"/>
        <w:jc w:val="both"/>
        <w:rPr>
          <w:sz w:val="22"/>
          <w:szCs w:val="22"/>
        </w:rPr>
      </w:pPr>
    </w:p>
    <w:p w14:paraId="6781BCBC" w14:textId="77777777" w:rsidR="008E00D1" w:rsidRPr="008E00D1" w:rsidRDefault="008E00D1" w:rsidP="00F71F45">
      <w:pPr>
        <w:autoSpaceDE w:val="0"/>
        <w:autoSpaceDN w:val="0"/>
        <w:adjustRightInd w:val="0"/>
        <w:jc w:val="both"/>
        <w:rPr>
          <w:sz w:val="22"/>
          <w:szCs w:val="22"/>
        </w:rPr>
      </w:pPr>
    </w:p>
    <w:p w14:paraId="77326D68" w14:textId="77777777" w:rsidR="008E00D1" w:rsidRPr="008E00D1" w:rsidRDefault="008E00D1" w:rsidP="00F71F45">
      <w:pPr>
        <w:autoSpaceDE w:val="0"/>
        <w:autoSpaceDN w:val="0"/>
        <w:adjustRightInd w:val="0"/>
        <w:jc w:val="both"/>
        <w:rPr>
          <w:sz w:val="22"/>
          <w:szCs w:val="22"/>
        </w:rPr>
      </w:pPr>
    </w:p>
    <w:p w14:paraId="01B4F7D6" w14:textId="174A7479" w:rsidR="008E00D1" w:rsidRPr="008E00D1" w:rsidRDefault="008E00D1" w:rsidP="008E00D1">
      <w:pPr>
        <w:autoSpaceDE w:val="0"/>
        <w:autoSpaceDN w:val="0"/>
        <w:adjustRightInd w:val="0"/>
        <w:jc w:val="center"/>
        <w:rPr>
          <w:sz w:val="22"/>
          <w:szCs w:val="22"/>
        </w:rPr>
      </w:pPr>
      <w:r w:rsidRPr="008E00D1">
        <w:rPr>
          <w:sz w:val="22"/>
          <w:szCs w:val="22"/>
        </w:rPr>
        <w:t xml:space="preserve">NEUVIÈME RÉUNION SPÉCIALE SUR LES BONNES PRATIQUES VISANT À GARANTIR L’ACCÈS À LA JUSTICE DES PEUPLES AUTOCHTONES POUR LA DÉFENSE DE LEURS DROITS FONDAMENTAUX RÉALISÉES PAR CHAQUE INSTITUTION OFFICIELLE </w:t>
      </w:r>
      <w:r w:rsidR="00F71F45">
        <w:rPr>
          <w:sz w:val="22"/>
          <w:szCs w:val="22"/>
        </w:rPr>
        <w:br/>
      </w:r>
      <w:r w:rsidRPr="008E00D1">
        <w:rPr>
          <w:sz w:val="22"/>
          <w:szCs w:val="22"/>
        </w:rPr>
        <w:t>DÉFENSE PUBLIQUE DE LA RÉGION</w:t>
      </w:r>
    </w:p>
    <w:p w14:paraId="1694805F" w14:textId="77777777" w:rsidR="008E00D1" w:rsidRPr="008E00D1" w:rsidRDefault="008E00D1" w:rsidP="008E00D1">
      <w:pPr>
        <w:autoSpaceDE w:val="0"/>
        <w:autoSpaceDN w:val="0"/>
        <w:adjustRightInd w:val="0"/>
        <w:jc w:val="center"/>
        <w:rPr>
          <w:sz w:val="22"/>
          <w:szCs w:val="22"/>
          <w:lang w:eastAsia="en-US"/>
        </w:rPr>
      </w:pPr>
    </w:p>
    <w:p w14:paraId="5A0D75C2" w14:textId="77777777" w:rsidR="008E00D1" w:rsidRPr="008E00D1" w:rsidRDefault="008E00D1" w:rsidP="008E00D1">
      <w:pPr>
        <w:autoSpaceDE w:val="0"/>
        <w:autoSpaceDN w:val="0"/>
        <w:adjustRightInd w:val="0"/>
        <w:jc w:val="center"/>
        <w:rPr>
          <w:sz w:val="22"/>
          <w:szCs w:val="22"/>
        </w:rPr>
      </w:pPr>
      <w:r w:rsidRPr="008E00D1">
        <w:rPr>
          <w:sz w:val="22"/>
          <w:szCs w:val="22"/>
        </w:rPr>
        <w:t>PROGRAMME</w:t>
      </w:r>
    </w:p>
    <w:p w14:paraId="516B7BA0" w14:textId="77777777" w:rsidR="008E00D1" w:rsidRPr="008E00D1" w:rsidRDefault="008E00D1" w:rsidP="008E00D1">
      <w:pPr>
        <w:jc w:val="center"/>
        <w:rPr>
          <w:sz w:val="22"/>
          <w:szCs w:val="22"/>
        </w:rPr>
      </w:pPr>
      <w:r w:rsidRPr="008E00D1">
        <w:rPr>
          <w:sz w:val="22"/>
          <w:szCs w:val="22"/>
        </w:rPr>
        <w:t xml:space="preserve"> </w:t>
      </w:r>
    </w:p>
    <w:p w14:paraId="23729566" w14:textId="77777777" w:rsidR="008E00D1" w:rsidRPr="008E00D1" w:rsidRDefault="008E00D1" w:rsidP="008E00D1">
      <w:pPr>
        <w:jc w:val="center"/>
        <w:rPr>
          <w:sz w:val="22"/>
          <w:szCs w:val="22"/>
        </w:rPr>
      </w:pPr>
      <w:r w:rsidRPr="008E00D1">
        <w:rPr>
          <w:sz w:val="22"/>
          <w:szCs w:val="22"/>
        </w:rPr>
        <w:t>30 avril 2021</w:t>
      </w:r>
    </w:p>
    <w:p w14:paraId="7DDA2F96" w14:textId="77777777" w:rsidR="008E00D1" w:rsidRPr="008E00D1" w:rsidRDefault="008E00D1" w:rsidP="008E00D1">
      <w:pPr>
        <w:tabs>
          <w:tab w:val="left" w:pos="720"/>
          <w:tab w:val="left" w:pos="1440"/>
          <w:tab w:val="left" w:pos="1800"/>
          <w:tab w:val="left" w:pos="2340"/>
          <w:tab w:val="left" w:pos="2880"/>
        </w:tabs>
        <w:jc w:val="center"/>
        <w:rPr>
          <w:sz w:val="22"/>
          <w:szCs w:val="22"/>
        </w:rPr>
      </w:pPr>
    </w:p>
    <w:p w14:paraId="36607CE9" w14:textId="77777777" w:rsidR="008E00D1" w:rsidRPr="008E00D1" w:rsidRDefault="008E00D1" w:rsidP="008E00D1">
      <w:pPr>
        <w:autoSpaceDE w:val="0"/>
        <w:autoSpaceDN w:val="0"/>
        <w:adjustRightInd w:val="0"/>
        <w:jc w:val="center"/>
        <w:rPr>
          <w:sz w:val="22"/>
          <w:szCs w:val="22"/>
        </w:rPr>
      </w:pPr>
      <w:r w:rsidRPr="008E00D1">
        <w:rPr>
          <w:sz w:val="22"/>
          <w:szCs w:val="22"/>
        </w:rPr>
        <w:t>(Approuvé par la CAJP durant sa réunion du 11 février 2021)</w:t>
      </w:r>
    </w:p>
    <w:p w14:paraId="2EA4D462" w14:textId="77777777" w:rsidR="008E00D1" w:rsidRPr="008E00D1" w:rsidRDefault="008E00D1" w:rsidP="008E00D1">
      <w:pPr>
        <w:autoSpaceDE w:val="0"/>
        <w:autoSpaceDN w:val="0"/>
        <w:adjustRightInd w:val="0"/>
        <w:jc w:val="center"/>
        <w:rPr>
          <w:sz w:val="22"/>
          <w:szCs w:val="22"/>
        </w:rPr>
      </w:pPr>
    </w:p>
    <w:p w14:paraId="04746FFF" w14:textId="77777777" w:rsidR="008E00D1" w:rsidRPr="008E00D1" w:rsidRDefault="008E00D1" w:rsidP="008E00D1">
      <w:pPr>
        <w:rPr>
          <w:sz w:val="22"/>
          <w:szCs w:val="22"/>
        </w:rPr>
        <w:sectPr w:rsidR="008E00D1" w:rsidRPr="008E00D1">
          <w:pgSz w:w="12240" w:h="15840"/>
          <w:pgMar w:top="2160" w:right="1570" w:bottom="1296" w:left="1714" w:header="1296" w:footer="1296" w:gutter="0"/>
          <w:cols w:space="720"/>
        </w:sectPr>
      </w:pPr>
    </w:p>
    <w:p w14:paraId="01F94C8D" w14:textId="77777777" w:rsidR="008E00D1" w:rsidRPr="008E00D1" w:rsidRDefault="008E00D1" w:rsidP="008E00D1">
      <w:pPr>
        <w:autoSpaceDE w:val="0"/>
        <w:autoSpaceDN w:val="0"/>
        <w:adjustRightInd w:val="0"/>
        <w:jc w:val="center"/>
        <w:rPr>
          <w:sz w:val="22"/>
          <w:szCs w:val="22"/>
        </w:rPr>
      </w:pPr>
      <w:r w:rsidRPr="008E00D1">
        <w:rPr>
          <w:sz w:val="22"/>
          <w:szCs w:val="22"/>
        </w:rPr>
        <w:lastRenderedPageBreak/>
        <w:t>NEUVIÈME RÉUNION SPÉCIALE SUR LES BONNES PRATIQUES VISANT À GARANTIR L’ACCÈS À LA JUSTICE DES PEUPLES AUTOCHTONES POUR LA DÉFENSE DE LEURS DROITS FONDAMENTAUX RÉALISÉES PAR CHAQUE INSTITUTION OFFICIELLE DE DÉFENSE PUBLIQUE DE LA RÉGION</w:t>
      </w:r>
    </w:p>
    <w:p w14:paraId="53FA7891" w14:textId="77777777" w:rsidR="008E00D1" w:rsidRPr="00F71F45" w:rsidRDefault="008E00D1" w:rsidP="00F71F45">
      <w:pPr>
        <w:jc w:val="both"/>
        <w:rPr>
          <w:bCs/>
          <w:sz w:val="22"/>
          <w:szCs w:val="22"/>
        </w:rPr>
      </w:pPr>
    </w:p>
    <w:p w14:paraId="4AF0271F" w14:textId="77777777" w:rsidR="008E00D1" w:rsidRPr="008E00D1" w:rsidRDefault="008E00D1" w:rsidP="008E00D1">
      <w:pPr>
        <w:jc w:val="center"/>
        <w:rPr>
          <w:sz w:val="22"/>
          <w:szCs w:val="22"/>
        </w:rPr>
      </w:pPr>
      <w:r w:rsidRPr="008E00D1">
        <w:rPr>
          <w:sz w:val="22"/>
          <w:szCs w:val="22"/>
        </w:rPr>
        <w:t>PROGRAMME</w:t>
      </w:r>
    </w:p>
    <w:p w14:paraId="7A19B5F0" w14:textId="77777777" w:rsidR="008E00D1" w:rsidRPr="008E00D1" w:rsidRDefault="008E00D1" w:rsidP="008E00D1">
      <w:pPr>
        <w:rPr>
          <w:sz w:val="22"/>
          <w:szCs w:val="22"/>
        </w:rPr>
      </w:pPr>
    </w:p>
    <w:p w14:paraId="4765A4AF" w14:textId="77777777" w:rsidR="008E00D1" w:rsidRPr="008E00D1" w:rsidRDefault="008E00D1" w:rsidP="008E00D1">
      <w:pPr>
        <w:ind w:left="2880"/>
        <w:jc w:val="both"/>
        <w:rPr>
          <w:sz w:val="22"/>
          <w:szCs w:val="22"/>
        </w:rPr>
      </w:pPr>
      <w:r w:rsidRPr="008E00D1">
        <w:rPr>
          <w:sz w:val="22"/>
          <w:szCs w:val="22"/>
          <w:u w:val="single"/>
        </w:rPr>
        <w:t>Date</w:t>
      </w:r>
      <w:r w:rsidRPr="008E00D1">
        <w:rPr>
          <w:sz w:val="22"/>
          <w:szCs w:val="22"/>
        </w:rPr>
        <w:t> :</w:t>
      </w:r>
      <w:r w:rsidRPr="008E00D1">
        <w:rPr>
          <w:sz w:val="22"/>
          <w:szCs w:val="22"/>
        </w:rPr>
        <w:tab/>
        <w:t>30 avril 2021</w:t>
      </w:r>
    </w:p>
    <w:p w14:paraId="216BA804" w14:textId="77777777" w:rsidR="008E00D1" w:rsidRPr="008E00D1" w:rsidRDefault="008E00D1" w:rsidP="008E00D1">
      <w:pPr>
        <w:ind w:left="2160" w:firstLine="720"/>
        <w:rPr>
          <w:sz w:val="22"/>
          <w:szCs w:val="22"/>
        </w:rPr>
      </w:pPr>
      <w:r w:rsidRPr="008E00D1">
        <w:rPr>
          <w:sz w:val="22"/>
          <w:szCs w:val="22"/>
          <w:u w:val="single"/>
        </w:rPr>
        <w:t>Heure</w:t>
      </w:r>
      <w:r w:rsidRPr="008E00D1">
        <w:rPr>
          <w:sz w:val="22"/>
          <w:szCs w:val="22"/>
        </w:rPr>
        <w:t xml:space="preserve"> :</w:t>
      </w:r>
      <w:r w:rsidRPr="008E00D1">
        <w:rPr>
          <w:sz w:val="22"/>
          <w:szCs w:val="22"/>
        </w:rPr>
        <w:tab/>
        <w:t>10 h 00 – 13 h 00</w:t>
      </w:r>
    </w:p>
    <w:p w14:paraId="3A195E25" w14:textId="77777777" w:rsidR="008E00D1" w:rsidRPr="008E00D1" w:rsidRDefault="008E00D1" w:rsidP="008E00D1">
      <w:pPr>
        <w:ind w:left="2880"/>
        <w:rPr>
          <w:sz w:val="22"/>
          <w:szCs w:val="22"/>
        </w:rPr>
      </w:pPr>
      <w:r w:rsidRPr="008E00D1">
        <w:rPr>
          <w:sz w:val="22"/>
          <w:szCs w:val="22"/>
          <w:u w:val="single"/>
        </w:rPr>
        <w:t>Lieu</w:t>
      </w:r>
      <w:r w:rsidRPr="008E00D1">
        <w:rPr>
          <w:sz w:val="22"/>
          <w:szCs w:val="22"/>
        </w:rPr>
        <w:t xml:space="preserve"> :</w:t>
      </w:r>
      <w:r w:rsidRPr="008E00D1">
        <w:rPr>
          <w:sz w:val="22"/>
          <w:szCs w:val="22"/>
        </w:rPr>
        <w:tab/>
        <w:t>virtuel</w:t>
      </w:r>
    </w:p>
    <w:p w14:paraId="7A3D9039" w14:textId="77777777" w:rsidR="008E00D1" w:rsidRPr="008E00D1" w:rsidRDefault="008E00D1" w:rsidP="00F71F45">
      <w:pPr>
        <w:autoSpaceDE w:val="0"/>
        <w:autoSpaceDN w:val="0"/>
        <w:adjustRightInd w:val="0"/>
        <w:jc w:val="both"/>
        <w:rPr>
          <w:sz w:val="22"/>
          <w:szCs w:val="22"/>
        </w:rPr>
      </w:pPr>
    </w:p>
    <w:p w14:paraId="26D2D24B" w14:textId="77777777" w:rsidR="008E00D1" w:rsidRPr="008E00D1" w:rsidRDefault="008E00D1" w:rsidP="00F71F45">
      <w:pPr>
        <w:autoSpaceDE w:val="0"/>
        <w:autoSpaceDN w:val="0"/>
        <w:adjustRightInd w:val="0"/>
        <w:jc w:val="both"/>
        <w:rPr>
          <w:sz w:val="22"/>
          <w:szCs w:val="22"/>
        </w:rPr>
      </w:pPr>
    </w:p>
    <w:p w14:paraId="00DA5D31" w14:textId="77777777" w:rsidR="008E00D1" w:rsidRPr="008E00D1" w:rsidRDefault="008E00D1" w:rsidP="008E00D1">
      <w:pPr>
        <w:autoSpaceDE w:val="0"/>
        <w:autoSpaceDN w:val="0"/>
        <w:adjustRightInd w:val="0"/>
        <w:ind w:firstLine="720"/>
        <w:jc w:val="both"/>
        <w:rPr>
          <w:sz w:val="22"/>
          <w:szCs w:val="22"/>
        </w:rPr>
      </w:pPr>
      <w:r w:rsidRPr="008E00D1">
        <w:rPr>
          <w:sz w:val="22"/>
          <w:szCs w:val="22"/>
        </w:rPr>
        <w:t xml:space="preserve">La résolution AG/RES. 2961 (L-O/20), «  Promotion et protection des droits de la personne », adoptée par l’Assemblée générale en octobre 2020, affirmait l’importance fondamentale du service de défense juridique gratuite offert par les défenseurs publics des Amériques pour la promotion et la protection du droit d’accès à la justice de toutes les personnes, en particulier de celles qui se trouvent en situation de vulnérabilité, ce qui constitue une facette essentielle de la consolidation de la démocratie, et elle soulignait le travail des défenseurs publics des Amériques, qui continuent de travailler dans le contexte de la pandémie de COVID-19, en particulier en ce qui concerne les personnes privées de liberté afin que les conditions d’hygiène et l’accès réel à la santé soient garantis à ce groupe vulnérable, entre autres questions. </w:t>
      </w:r>
    </w:p>
    <w:p w14:paraId="5435E163" w14:textId="77777777" w:rsidR="008E00D1" w:rsidRPr="008E00D1" w:rsidRDefault="008E00D1" w:rsidP="008E00D1">
      <w:pPr>
        <w:autoSpaceDE w:val="0"/>
        <w:autoSpaceDN w:val="0"/>
        <w:adjustRightInd w:val="0"/>
        <w:jc w:val="both"/>
        <w:rPr>
          <w:sz w:val="22"/>
          <w:szCs w:val="22"/>
        </w:rPr>
      </w:pPr>
    </w:p>
    <w:p w14:paraId="321482D6" w14:textId="77777777" w:rsidR="008E00D1" w:rsidRPr="008E00D1" w:rsidRDefault="008E00D1" w:rsidP="008E00D1">
      <w:pPr>
        <w:autoSpaceDE w:val="0"/>
        <w:autoSpaceDN w:val="0"/>
        <w:adjustRightInd w:val="0"/>
        <w:ind w:firstLine="720"/>
        <w:jc w:val="both"/>
        <w:rPr>
          <w:sz w:val="22"/>
          <w:szCs w:val="22"/>
        </w:rPr>
      </w:pPr>
      <w:r w:rsidRPr="008E00D1">
        <w:rPr>
          <w:sz w:val="22"/>
          <w:szCs w:val="22"/>
        </w:rPr>
        <w:t>L'Assemblée générale a en outre encouragé les États membres, conformément à leur législation et à leurs politiques nationales, et en particulier les institutions officielles de défense publique, à garantir l'accès à la justice selon une approche interculturelle pour l'exercice effectif de tous les droits de l'homme des peuples autochtones, en particulier de leurs droits économiques, sociaux et culturels.</w:t>
      </w:r>
    </w:p>
    <w:p w14:paraId="57EC11F3" w14:textId="77777777" w:rsidR="008E00D1" w:rsidRPr="008E00D1" w:rsidRDefault="008E00D1" w:rsidP="00F71F45">
      <w:pPr>
        <w:autoSpaceDE w:val="0"/>
        <w:autoSpaceDN w:val="0"/>
        <w:adjustRightInd w:val="0"/>
        <w:jc w:val="both"/>
        <w:rPr>
          <w:sz w:val="22"/>
          <w:szCs w:val="22"/>
        </w:rPr>
      </w:pPr>
    </w:p>
    <w:p w14:paraId="167978B0" w14:textId="77777777" w:rsidR="008E00D1" w:rsidRPr="008E00D1" w:rsidRDefault="008E00D1" w:rsidP="008E00D1">
      <w:pPr>
        <w:autoSpaceDE w:val="0"/>
        <w:autoSpaceDN w:val="0"/>
        <w:adjustRightInd w:val="0"/>
        <w:ind w:firstLine="720"/>
        <w:jc w:val="both"/>
        <w:rPr>
          <w:sz w:val="22"/>
          <w:szCs w:val="22"/>
        </w:rPr>
      </w:pPr>
      <w:r w:rsidRPr="008E00D1">
        <w:rPr>
          <w:sz w:val="22"/>
          <w:szCs w:val="22"/>
        </w:rPr>
        <w:t>L’Assemblée générale a également demandé au Conseil permanent de charger la CAAP d’inclure dans son plan de travail, dans le but de favoriser le partage de données d’expériences et de bonnes pratiques, et avant la cinquante-et-unième session ordinaire de l’Assemblée générale, le point « La défense publique officielle autonome en tant que sauvegarde des droits humains de toutes les personnes sans aucun type de discrimination, en particulier des peuples autochtones ». À cet égard, elle a demandé la tenue, au premier trimestre de 2021, d’une neuvième réunion extraordinaire de la CAJP sur les bonnes pratiques destinées à garantir l’accès des peuples autochtones à la justice ainsi que leurs droits humains par tous les défenseurs publics officiels de la région, réunion à laquelle seraient présents les États membres et leurs institutions publiques officielles respectives d’assistance juridique, des membres de l’Association interaméricaine des bureaux de défenseurs publics (AIDEF), des experts du secteur universitaire et de la société civile, ainsi que des organisations internationales.  La résolution a établi que l’assistance des membres de l’AIDEF sera garantie par cette organisation.</w:t>
      </w:r>
    </w:p>
    <w:p w14:paraId="4D17B082" w14:textId="77777777" w:rsidR="008E00D1" w:rsidRPr="008E00D1" w:rsidRDefault="008E00D1" w:rsidP="00F71F45">
      <w:pPr>
        <w:autoSpaceDE w:val="0"/>
        <w:autoSpaceDN w:val="0"/>
        <w:adjustRightInd w:val="0"/>
        <w:jc w:val="both"/>
        <w:rPr>
          <w:sz w:val="22"/>
          <w:szCs w:val="22"/>
        </w:rPr>
      </w:pPr>
    </w:p>
    <w:p w14:paraId="20DB4A63" w14:textId="77777777" w:rsidR="008E00D1" w:rsidRPr="008E00D1" w:rsidRDefault="008E00D1" w:rsidP="008E00D1">
      <w:pPr>
        <w:suppressAutoHyphens/>
        <w:jc w:val="center"/>
        <w:rPr>
          <w:sz w:val="22"/>
          <w:szCs w:val="22"/>
        </w:rPr>
      </w:pPr>
      <w:r w:rsidRPr="008E00D1">
        <w:rPr>
          <w:sz w:val="22"/>
          <w:szCs w:val="22"/>
        </w:rPr>
        <w:br w:type="column"/>
      </w:r>
      <w:r w:rsidRPr="008E00D1">
        <w:rPr>
          <w:sz w:val="22"/>
          <w:szCs w:val="22"/>
        </w:rPr>
        <w:lastRenderedPageBreak/>
        <w:t>PROGRAMME</w:t>
      </w:r>
    </w:p>
    <w:p w14:paraId="17C185AB" w14:textId="77777777" w:rsidR="008E00D1" w:rsidRPr="008E00D1" w:rsidRDefault="008E00D1" w:rsidP="008E00D1">
      <w:pPr>
        <w:suppressAutoHyphens/>
        <w:rPr>
          <w:sz w:val="22"/>
          <w:szCs w:val="22"/>
        </w:rPr>
      </w:pPr>
    </w:p>
    <w:p w14:paraId="7631B275" w14:textId="77777777" w:rsidR="008E00D1" w:rsidRPr="008E00D1" w:rsidRDefault="008E00D1" w:rsidP="008E00D1">
      <w:pPr>
        <w:numPr>
          <w:ilvl w:val="0"/>
          <w:numId w:val="15"/>
        </w:numPr>
        <w:suppressAutoHyphens/>
        <w:ind w:hanging="720"/>
        <w:rPr>
          <w:sz w:val="22"/>
          <w:szCs w:val="22"/>
        </w:rPr>
      </w:pPr>
      <w:r w:rsidRPr="008E00D1">
        <w:rPr>
          <w:sz w:val="22"/>
          <w:szCs w:val="22"/>
        </w:rPr>
        <w:t>Allocutions d’ouverture</w:t>
      </w:r>
    </w:p>
    <w:p w14:paraId="6B981B54" w14:textId="77777777" w:rsidR="008E00D1" w:rsidRPr="008E00D1" w:rsidRDefault="008E00D1" w:rsidP="00F71F45">
      <w:pPr>
        <w:suppressAutoHyphens/>
        <w:jc w:val="both"/>
        <w:rPr>
          <w:sz w:val="22"/>
          <w:szCs w:val="22"/>
        </w:rPr>
      </w:pPr>
    </w:p>
    <w:p w14:paraId="455D43DA" w14:textId="77777777" w:rsidR="008E00D1" w:rsidRPr="008E00D1" w:rsidRDefault="008E00D1" w:rsidP="008E00D1">
      <w:pPr>
        <w:numPr>
          <w:ilvl w:val="0"/>
          <w:numId w:val="17"/>
        </w:numPr>
        <w:contextualSpacing/>
        <w:jc w:val="both"/>
        <w:rPr>
          <w:sz w:val="22"/>
          <w:szCs w:val="22"/>
        </w:rPr>
      </w:pPr>
      <w:r w:rsidRPr="008E00D1">
        <w:rPr>
          <w:sz w:val="22"/>
          <w:szCs w:val="22"/>
        </w:rPr>
        <w:t>Allocution de l’Ambassadeur Josué Fiallo, Représentant permanent de la République dominicaine et Président de la Commission des questions juridiques et politiques</w:t>
      </w:r>
    </w:p>
    <w:p w14:paraId="2600D00C" w14:textId="77777777" w:rsidR="008E00D1" w:rsidRPr="008E00D1" w:rsidRDefault="008E00D1" w:rsidP="00F71F45">
      <w:pPr>
        <w:pStyle w:val="ListParagraph"/>
        <w:numPr>
          <w:ilvl w:val="0"/>
          <w:numId w:val="17"/>
        </w:numPr>
        <w:jc w:val="both"/>
        <w:rPr>
          <w:sz w:val="22"/>
          <w:szCs w:val="22"/>
          <w:lang w:val="fr-CA"/>
        </w:rPr>
      </w:pPr>
      <w:r w:rsidRPr="008E00D1">
        <w:rPr>
          <w:sz w:val="22"/>
          <w:szCs w:val="22"/>
          <w:lang w:val="fr-CA"/>
        </w:rPr>
        <w:t xml:space="preserve">Allocution de M. Dante Negro, Directeur du Département du droit international du Secrétariat général de l’OEA : </w:t>
      </w:r>
      <w:hyperlink r:id="rId8" w:history="1">
        <w:r w:rsidRPr="008E00D1">
          <w:rPr>
            <w:rStyle w:val="Hyperlink"/>
            <w:sz w:val="22"/>
            <w:szCs w:val="22"/>
            <w:lang w:val="fr-CA"/>
          </w:rPr>
          <w:t>Lien</w:t>
        </w:r>
      </w:hyperlink>
    </w:p>
    <w:p w14:paraId="083A2BA3" w14:textId="77777777" w:rsidR="008E00D1" w:rsidRPr="008E00D1" w:rsidRDefault="008E00D1" w:rsidP="00F71F45">
      <w:pPr>
        <w:suppressAutoHyphens/>
        <w:jc w:val="both"/>
        <w:rPr>
          <w:sz w:val="22"/>
          <w:szCs w:val="22"/>
        </w:rPr>
      </w:pPr>
    </w:p>
    <w:p w14:paraId="77D16F55" w14:textId="77777777" w:rsidR="008E00D1" w:rsidRPr="008E00D1" w:rsidRDefault="008E00D1" w:rsidP="008E00D1">
      <w:pPr>
        <w:numPr>
          <w:ilvl w:val="0"/>
          <w:numId w:val="15"/>
        </w:numPr>
        <w:suppressAutoHyphens/>
        <w:ind w:hanging="720"/>
        <w:jc w:val="both"/>
        <w:rPr>
          <w:sz w:val="22"/>
          <w:szCs w:val="22"/>
        </w:rPr>
      </w:pPr>
      <w:r w:rsidRPr="008E00D1">
        <w:rPr>
          <w:sz w:val="22"/>
          <w:szCs w:val="22"/>
        </w:rPr>
        <w:t>Bonnes pratiques destinées à garantir l’accès à la justice des peuples autochtones pour la défense de leurs droits fondamentaux réalisées par chaque institution de défense publique officielle de la région</w:t>
      </w:r>
    </w:p>
    <w:p w14:paraId="38A8F602" w14:textId="77777777" w:rsidR="008E00D1" w:rsidRPr="008E00D1" w:rsidRDefault="008E00D1" w:rsidP="008E00D1">
      <w:pPr>
        <w:suppressAutoHyphens/>
        <w:jc w:val="both"/>
        <w:rPr>
          <w:sz w:val="22"/>
          <w:szCs w:val="22"/>
        </w:rPr>
      </w:pPr>
    </w:p>
    <w:p w14:paraId="44F27462" w14:textId="77777777" w:rsidR="008E00D1" w:rsidRPr="008E00D1" w:rsidRDefault="008E00D1" w:rsidP="008E00D1">
      <w:pPr>
        <w:numPr>
          <w:ilvl w:val="0"/>
          <w:numId w:val="17"/>
        </w:numPr>
        <w:suppressAutoHyphens/>
        <w:jc w:val="both"/>
        <w:rPr>
          <w:sz w:val="22"/>
          <w:szCs w:val="22"/>
        </w:rPr>
      </w:pPr>
      <w:r w:rsidRPr="008E00D1">
        <w:rPr>
          <w:sz w:val="22"/>
          <w:szCs w:val="22"/>
        </w:rPr>
        <w:t>Intervention de M</w:t>
      </w:r>
      <w:r w:rsidRPr="008E00D1">
        <w:rPr>
          <w:sz w:val="22"/>
          <w:szCs w:val="22"/>
          <w:vertAlign w:val="superscript"/>
        </w:rPr>
        <w:t>me</w:t>
      </w:r>
      <w:r w:rsidRPr="008E00D1">
        <w:rPr>
          <w:sz w:val="22"/>
          <w:szCs w:val="22"/>
        </w:rPr>
        <w:t xml:space="preserve"> Stella Maris Martínez, Défenseure générale de la République argentine et coordinatrice générale de l'Association interaméricaine des bureaux de défenseurs publics (AIDEF) : </w:t>
      </w:r>
      <w:hyperlink r:id="rId9" w:history="1">
        <w:r w:rsidRPr="008E00D1">
          <w:rPr>
            <w:rStyle w:val="Hyperlink"/>
            <w:sz w:val="22"/>
            <w:szCs w:val="22"/>
            <w:lang w:val="fr-CA"/>
          </w:rPr>
          <w:t>Lien</w:t>
        </w:r>
      </w:hyperlink>
    </w:p>
    <w:p w14:paraId="24679C49" w14:textId="77777777" w:rsidR="008E00D1" w:rsidRPr="008E00D1" w:rsidRDefault="008E00D1" w:rsidP="008E00D1">
      <w:pPr>
        <w:numPr>
          <w:ilvl w:val="0"/>
          <w:numId w:val="17"/>
        </w:numPr>
        <w:suppressAutoHyphens/>
        <w:jc w:val="both"/>
        <w:rPr>
          <w:sz w:val="22"/>
          <w:szCs w:val="22"/>
        </w:rPr>
      </w:pPr>
      <w:r w:rsidRPr="008E00D1">
        <w:rPr>
          <w:sz w:val="22"/>
          <w:szCs w:val="22"/>
        </w:rPr>
        <w:t xml:space="preserve">Intervention de M. Marco Montero, Défenseur national du Chili (suppléant) et Secrétaire général de l'AIDEF : </w:t>
      </w:r>
      <w:hyperlink r:id="rId10" w:history="1">
        <w:r w:rsidRPr="008E00D1">
          <w:rPr>
            <w:rStyle w:val="Hyperlink"/>
            <w:sz w:val="22"/>
            <w:szCs w:val="22"/>
            <w:lang w:val="fr-CA"/>
          </w:rPr>
          <w:t>Lien</w:t>
        </w:r>
      </w:hyperlink>
    </w:p>
    <w:p w14:paraId="35E35757" w14:textId="77777777" w:rsidR="008E00D1" w:rsidRPr="008E00D1" w:rsidRDefault="008E00D1" w:rsidP="008E00D1">
      <w:pPr>
        <w:numPr>
          <w:ilvl w:val="0"/>
          <w:numId w:val="17"/>
        </w:numPr>
        <w:suppressAutoHyphens/>
        <w:jc w:val="both"/>
        <w:rPr>
          <w:sz w:val="22"/>
          <w:szCs w:val="22"/>
        </w:rPr>
      </w:pPr>
      <w:r w:rsidRPr="008E00D1">
        <w:rPr>
          <w:sz w:val="22"/>
          <w:szCs w:val="22"/>
        </w:rPr>
        <w:t>Intervention de M</w:t>
      </w:r>
      <w:r w:rsidRPr="008E00D1">
        <w:rPr>
          <w:sz w:val="22"/>
          <w:szCs w:val="22"/>
          <w:vertAlign w:val="superscript"/>
        </w:rPr>
        <w:t>me</w:t>
      </w:r>
      <w:r w:rsidRPr="008E00D1">
        <w:rPr>
          <w:sz w:val="22"/>
          <w:szCs w:val="22"/>
        </w:rPr>
        <w:t xml:space="preserve"> Antonia Urrejola, de la Commission interaméricaine des droits de l’homme, Rapporteuse pour les droits des peuples autochtones</w:t>
      </w:r>
    </w:p>
    <w:p w14:paraId="6D9A6EA2" w14:textId="77777777" w:rsidR="008E00D1" w:rsidRPr="008E00D1" w:rsidRDefault="008E00D1" w:rsidP="008E00D1">
      <w:pPr>
        <w:numPr>
          <w:ilvl w:val="0"/>
          <w:numId w:val="17"/>
        </w:numPr>
        <w:suppressAutoHyphens/>
        <w:jc w:val="both"/>
        <w:rPr>
          <w:sz w:val="22"/>
          <w:szCs w:val="22"/>
        </w:rPr>
      </w:pPr>
      <w:r w:rsidRPr="008E00D1">
        <w:rPr>
          <w:sz w:val="22"/>
          <w:szCs w:val="22"/>
        </w:rPr>
        <w:t>Interventions des États membres</w:t>
      </w:r>
    </w:p>
    <w:p w14:paraId="5893285F" w14:textId="77777777" w:rsidR="008E00D1" w:rsidRPr="008E00D1" w:rsidRDefault="008E00D1" w:rsidP="008E00D1">
      <w:pPr>
        <w:suppressAutoHyphens/>
        <w:jc w:val="both"/>
        <w:rPr>
          <w:sz w:val="22"/>
          <w:szCs w:val="22"/>
        </w:rPr>
      </w:pPr>
    </w:p>
    <w:p w14:paraId="2080B787" w14:textId="77777777" w:rsidR="008E00D1" w:rsidRPr="008E00D1" w:rsidRDefault="008E00D1" w:rsidP="008E00D1">
      <w:pPr>
        <w:numPr>
          <w:ilvl w:val="0"/>
          <w:numId w:val="15"/>
        </w:numPr>
        <w:suppressAutoHyphens/>
        <w:ind w:hanging="720"/>
        <w:jc w:val="both"/>
        <w:rPr>
          <w:sz w:val="22"/>
          <w:szCs w:val="22"/>
        </w:rPr>
      </w:pPr>
      <w:r w:rsidRPr="008E00D1">
        <w:rPr>
          <w:sz w:val="22"/>
          <w:szCs w:val="22"/>
        </w:rPr>
        <w:t>Allocution de clôture</w:t>
      </w:r>
    </w:p>
    <w:p w14:paraId="050D88EB" w14:textId="77777777" w:rsidR="008E00D1" w:rsidRPr="008E00D1" w:rsidRDefault="008E00D1" w:rsidP="00F71F45">
      <w:pPr>
        <w:suppressAutoHyphens/>
        <w:jc w:val="both"/>
        <w:rPr>
          <w:sz w:val="22"/>
          <w:szCs w:val="22"/>
        </w:rPr>
      </w:pPr>
    </w:p>
    <w:p w14:paraId="734A4ECC" w14:textId="77777777" w:rsidR="008E00D1" w:rsidRPr="008E00D1" w:rsidRDefault="008E00D1" w:rsidP="00F71F45">
      <w:pPr>
        <w:pStyle w:val="ListParagraph"/>
        <w:numPr>
          <w:ilvl w:val="0"/>
          <w:numId w:val="17"/>
        </w:numPr>
        <w:jc w:val="both"/>
        <w:rPr>
          <w:sz w:val="22"/>
          <w:szCs w:val="22"/>
          <w:lang w:val="fr-CA"/>
        </w:rPr>
      </w:pPr>
      <w:r w:rsidRPr="008E00D1">
        <w:rPr>
          <w:sz w:val="22"/>
          <w:szCs w:val="22"/>
          <w:lang w:val="fr-CA"/>
        </w:rPr>
        <w:t>Allocution de l’Ambassadeur Josué Fiallo, Représentant permanent de la République dominicaine et Président de la Commission des questions juridiques et politiques</w:t>
      </w:r>
    </w:p>
    <w:p w14:paraId="04BDE77E" w14:textId="005FD3C0" w:rsidR="008E00D1" w:rsidRPr="008E00D1" w:rsidRDefault="00F71F45" w:rsidP="00F71F45">
      <w:pPr>
        <w:suppressAutoHyphens/>
        <w:jc w:val="both"/>
        <w:rPr>
          <w:sz w:val="22"/>
          <w:szCs w:val="22"/>
        </w:rPr>
      </w:pPr>
      <w:r>
        <w:rPr>
          <w:noProof/>
          <w:sz w:val="22"/>
          <w:szCs w:val="22"/>
        </w:rPr>
        <mc:AlternateContent>
          <mc:Choice Requires="wps">
            <w:drawing>
              <wp:anchor distT="0" distB="0" distL="114300" distR="114300" simplePos="0" relativeHeight="251659264" behindDoc="0" locked="1" layoutInCell="1" allowOverlap="1" wp14:anchorId="774B1788" wp14:editId="2ECF1635">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DB2D934" w14:textId="57C30633" w:rsidR="00F71F45" w:rsidRPr="00F71F45" w:rsidRDefault="00F71F45">
                            <w:pPr>
                              <w:rPr>
                                <w:sz w:val="18"/>
                              </w:rPr>
                            </w:pPr>
                            <w:r>
                              <w:rPr>
                                <w:sz w:val="18"/>
                              </w:rPr>
                              <w:fldChar w:fldCharType="begin"/>
                            </w:r>
                            <w:r>
                              <w:rPr>
                                <w:sz w:val="18"/>
                              </w:rPr>
                              <w:instrText xml:space="preserve"> FILENAME  \* MERGEFORMAT </w:instrText>
                            </w:r>
                            <w:r>
                              <w:rPr>
                                <w:sz w:val="18"/>
                              </w:rPr>
                              <w:fldChar w:fldCharType="separate"/>
                            </w:r>
                            <w:r>
                              <w:rPr>
                                <w:noProof/>
                                <w:sz w:val="18"/>
                              </w:rPr>
                              <w:t>CP43915F04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4B1788"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2DB2D934" w14:textId="57C30633" w:rsidR="00F71F45" w:rsidRPr="00F71F45" w:rsidRDefault="00F71F45">
                      <w:pPr>
                        <w:rPr>
                          <w:sz w:val="18"/>
                        </w:rPr>
                      </w:pPr>
                      <w:r>
                        <w:rPr>
                          <w:sz w:val="18"/>
                        </w:rPr>
                        <w:fldChar w:fldCharType="begin"/>
                      </w:r>
                      <w:r>
                        <w:rPr>
                          <w:sz w:val="18"/>
                        </w:rPr>
                        <w:instrText xml:space="preserve"> FILENAME  \* MERGEFORMAT </w:instrText>
                      </w:r>
                      <w:r>
                        <w:rPr>
                          <w:sz w:val="18"/>
                        </w:rPr>
                        <w:fldChar w:fldCharType="separate"/>
                      </w:r>
                      <w:r>
                        <w:rPr>
                          <w:noProof/>
                          <w:sz w:val="18"/>
                        </w:rPr>
                        <w:t>CP43915F04</w:t>
                      </w:r>
                      <w:r>
                        <w:rPr>
                          <w:sz w:val="18"/>
                        </w:rPr>
                        <w:fldChar w:fldCharType="end"/>
                      </w:r>
                    </w:p>
                  </w:txbxContent>
                </v:textbox>
                <w10:wrap anchory="page"/>
                <w10:anchorlock/>
              </v:shape>
            </w:pict>
          </mc:Fallback>
        </mc:AlternateContent>
      </w:r>
    </w:p>
    <w:sectPr w:rsidR="008E00D1" w:rsidRPr="008E00D1" w:rsidSect="00DD0D64">
      <w:headerReference w:type="default" r:id="rId11"/>
      <w:type w:val="oddPage"/>
      <w:pgSz w:w="12240" w:h="15840" w:code="1"/>
      <w:pgMar w:top="2160" w:right="1570" w:bottom="1296" w:left="1714"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F9782" w14:textId="77777777" w:rsidR="00A62797" w:rsidRPr="003F39B1" w:rsidRDefault="00A62797" w:rsidP="00000073">
      <w:r>
        <w:separator/>
      </w:r>
    </w:p>
  </w:endnote>
  <w:endnote w:type="continuationSeparator" w:id="0">
    <w:p w14:paraId="1FAB5696" w14:textId="77777777" w:rsidR="00A62797" w:rsidRPr="003F39B1" w:rsidRDefault="00A62797" w:rsidP="0000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D9701" w14:textId="77777777" w:rsidR="00A62797" w:rsidRPr="003F39B1" w:rsidRDefault="00A62797" w:rsidP="00000073">
      <w:r>
        <w:separator/>
      </w:r>
    </w:p>
  </w:footnote>
  <w:footnote w:type="continuationSeparator" w:id="0">
    <w:p w14:paraId="1400F4AD" w14:textId="77777777" w:rsidR="00A62797" w:rsidRPr="003F39B1" w:rsidRDefault="00A62797" w:rsidP="00000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726297522"/>
      <w:docPartObj>
        <w:docPartGallery w:val="Page Numbers (Top of Page)"/>
        <w:docPartUnique/>
      </w:docPartObj>
    </w:sdtPr>
    <w:sdtEndPr>
      <w:rPr>
        <w:noProof/>
      </w:rPr>
    </w:sdtEndPr>
    <w:sdtContent>
      <w:p w14:paraId="4BE58F38" w14:textId="3F9DD919" w:rsidR="00DD0D64" w:rsidRPr="00DD0D64" w:rsidRDefault="00DD0D64">
        <w:pPr>
          <w:pStyle w:val="Header"/>
          <w:jc w:val="center"/>
          <w:rPr>
            <w:sz w:val="22"/>
            <w:szCs w:val="22"/>
          </w:rPr>
        </w:pPr>
        <w:r w:rsidRPr="00DD0D64">
          <w:rPr>
            <w:sz w:val="22"/>
            <w:szCs w:val="22"/>
          </w:rPr>
          <w:t xml:space="preserve">- </w:t>
        </w:r>
        <w:r w:rsidRPr="00DD0D64">
          <w:rPr>
            <w:sz w:val="22"/>
            <w:szCs w:val="22"/>
          </w:rPr>
          <w:fldChar w:fldCharType="begin"/>
        </w:r>
        <w:r w:rsidRPr="00DD0D64">
          <w:rPr>
            <w:sz w:val="22"/>
            <w:szCs w:val="22"/>
          </w:rPr>
          <w:instrText xml:space="preserve"> PAGE   \* MERGEFORMAT </w:instrText>
        </w:r>
        <w:r w:rsidRPr="00DD0D64">
          <w:rPr>
            <w:sz w:val="22"/>
            <w:szCs w:val="22"/>
          </w:rPr>
          <w:fldChar w:fldCharType="separate"/>
        </w:r>
        <w:r w:rsidRPr="00DD0D64">
          <w:rPr>
            <w:noProof/>
            <w:sz w:val="22"/>
            <w:szCs w:val="22"/>
          </w:rPr>
          <w:t>2</w:t>
        </w:r>
        <w:r w:rsidRPr="00DD0D64">
          <w:rPr>
            <w:noProof/>
            <w:sz w:val="22"/>
            <w:szCs w:val="22"/>
          </w:rPr>
          <w:fldChar w:fldCharType="end"/>
        </w:r>
        <w:r w:rsidRPr="00DD0D64">
          <w:rPr>
            <w:noProof/>
            <w:sz w:val="22"/>
            <w:szCs w:val="22"/>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236"/>
    <w:multiLevelType w:val="hybridMultilevel"/>
    <w:tmpl w:val="B0A0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2022D"/>
    <w:multiLevelType w:val="hybridMultilevel"/>
    <w:tmpl w:val="CCFEBE16"/>
    <w:lvl w:ilvl="0" w:tplc="B442BAFA">
      <w:start w:val="1"/>
      <w:numFmt w:val="decimal"/>
      <w:lvlText w:val="%1."/>
      <w:lvlJc w:val="left"/>
      <w:pPr>
        <w:ind w:left="810" w:hanging="360"/>
      </w:pPr>
      <w:rPr>
        <w:rFonts w:ascii="Times New Roman" w:eastAsia="Times New Roman" w:hAnsi="Times New Roman" w:cs="Times New Roman"/>
        <w:vanish w:val="0"/>
      </w:rPr>
    </w:lvl>
    <w:lvl w:ilvl="1" w:tplc="10090003" w:tentative="1">
      <w:start w:val="1"/>
      <w:numFmt w:val="bullet"/>
      <w:lvlText w:val="o"/>
      <w:lvlJc w:val="left"/>
      <w:pPr>
        <w:ind w:left="1530" w:hanging="360"/>
      </w:pPr>
      <w:rPr>
        <w:rFonts w:ascii="Courier New" w:hAnsi="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 w15:restartNumberingAfterBreak="0">
    <w:nsid w:val="144E24BE"/>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rPr>
        <w:rFonts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3" w15:restartNumberingAfterBreak="0">
    <w:nsid w:val="1A515DD6"/>
    <w:multiLevelType w:val="hybridMultilevel"/>
    <w:tmpl w:val="CBDAE9C4"/>
    <w:lvl w:ilvl="0" w:tplc="5350A8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3C6ACE"/>
    <w:multiLevelType w:val="hybridMultilevel"/>
    <w:tmpl w:val="443A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B0F3D"/>
    <w:multiLevelType w:val="hybridMultilevel"/>
    <w:tmpl w:val="EC1A69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63F534D"/>
    <w:multiLevelType w:val="hybridMultilevel"/>
    <w:tmpl w:val="88A81C80"/>
    <w:lvl w:ilvl="0" w:tplc="9FB46A90">
      <w:numFmt w:val="bullet"/>
      <w:lvlText w:val="-"/>
      <w:lvlJc w:val="left"/>
      <w:pPr>
        <w:ind w:left="1082" w:hanging="360"/>
      </w:pPr>
      <w:rPr>
        <w:rFonts w:ascii="Times New Roman" w:eastAsia="Times New Roman" w:hAnsi="Times New Roman" w:cs="Times New Roman"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7" w15:restartNumberingAfterBreak="0">
    <w:nsid w:val="36C738BC"/>
    <w:multiLevelType w:val="hybridMultilevel"/>
    <w:tmpl w:val="AB86E472"/>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8" w15:restartNumberingAfterBreak="0">
    <w:nsid w:val="39775C8B"/>
    <w:multiLevelType w:val="hybridMultilevel"/>
    <w:tmpl w:val="0D725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9BC74AD"/>
    <w:multiLevelType w:val="hybridMultilevel"/>
    <w:tmpl w:val="C9D0ECB4"/>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10" w15:restartNumberingAfterBreak="0">
    <w:nsid w:val="4C2E4C6B"/>
    <w:multiLevelType w:val="hybridMultilevel"/>
    <w:tmpl w:val="9E22F51A"/>
    <w:lvl w:ilvl="0" w:tplc="04090019">
      <w:start w:val="1"/>
      <w:numFmt w:val="lowerLetter"/>
      <w:lvlText w:val="%1."/>
      <w:lvlJc w:val="left"/>
      <w:pPr>
        <w:ind w:left="394" w:hanging="360"/>
      </w:pPr>
      <w:rPr>
        <w:rFonts w:hint="default"/>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0409000B">
      <w:start w:val="1"/>
      <w:numFmt w:val="bullet"/>
      <w:lvlText w:val=""/>
      <w:lvlJc w:val="left"/>
      <w:pPr>
        <w:ind w:left="2554" w:hanging="360"/>
      </w:pPr>
      <w:rPr>
        <w:rFonts w:ascii="Wingdings" w:hAnsi="Wingdings"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1" w15:restartNumberingAfterBreak="0">
    <w:nsid w:val="4D2D0D82"/>
    <w:multiLevelType w:val="hybridMultilevel"/>
    <w:tmpl w:val="E042C00C"/>
    <w:lvl w:ilvl="0" w:tplc="7BBC7C3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E3764B7"/>
    <w:multiLevelType w:val="hybridMultilevel"/>
    <w:tmpl w:val="BA40A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3495FC6"/>
    <w:multiLevelType w:val="hybridMultilevel"/>
    <w:tmpl w:val="0B9832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5CD64944"/>
    <w:multiLevelType w:val="hybridMultilevel"/>
    <w:tmpl w:val="1916D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FE141F"/>
    <w:multiLevelType w:val="hybridMultilevel"/>
    <w:tmpl w:val="B890FDD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3"/>
  </w:num>
  <w:num w:numId="4">
    <w:abstractNumId w:val="6"/>
  </w:num>
  <w:num w:numId="5">
    <w:abstractNumId w:val="1"/>
  </w:num>
  <w:num w:numId="6">
    <w:abstractNumId w:val="4"/>
  </w:num>
  <w:num w:numId="7">
    <w:abstractNumId w:val="11"/>
  </w:num>
  <w:num w:numId="8">
    <w:abstractNumId w:val="8"/>
  </w:num>
  <w:num w:numId="9">
    <w:abstractNumId w:val="0"/>
  </w:num>
  <w:num w:numId="10">
    <w:abstractNumId w:val="9"/>
  </w:num>
  <w:num w:numId="11">
    <w:abstractNumId w:val="13"/>
  </w:num>
  <w:num w:numId="12">
    <w:abstractNumId w:val="7"/>
  </w:num>
  <w:num w:numId="13">
    <w:abstractNumId w:val="10"/>
  </w:num>
  <w:num w:numId="14">
    <w:abstractNumId w:val="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2D"/>
    <w:rsid w:val="00000073"/>
    <w:rsid w:val="00006741"/>
    <w:rsid w:val="00020E86"/>
    <w:rsid w:val="000323C6"/>
    <w:rsid w:val="00052817"/>
    <w:rsid w:val="000667CB"/>
    <w:rsid w:val="00070336"/>
    <w:rsid w:val="0007714F"/>
    <w:rsid w:val="00077446"/>
    <w:rsid w:val="00091FCC"/>
    <w:rsid w:val="00093588"/>
    <w:rsid w:val="000A277F"/>
    <w:rsid w:val="000A621E"/>
    <w:rsid w:val="000B529D"/>
    <w:rsid w:val="000B5F51"/>
    <w:rsid w:val="000D0C03"/>
    <w:rsid w:val="000E1670"/>
    <w:rsid w:val="000E37F7"/>
    <w:rsid w:val="000E6223"/>
    <w:rsid w:val="000F3687"/>
    <w:rsid w:val="000F5072"/>
    <w:rsid w:val="000F5988"/>
    <w:rsid w:val="001053B7"/>
    <w:rsid w:val="001118CF"/>
    <w:rsid w:val="00132259"/>
    <w:rsid w:val="001369D5"/>
    <w:rsid w:val="00174845"/>
    <w:rsid w:val="00174D1D"/>
    <w:rsid w:val="001803D5"/>
    <w:rsid w:val="00186DC0"/>
    <w:rsid w:val="00191FC1"/>
    <w:rsid w:val="001924E8"/>
    <w:rsid w:val="001966B2"/>
    <w:rsid w:val="001A3802"/>
    <w:rsid w:val="001A50A2"/>
    <w:rsid w:val="001B38E1"/>
    <w:rsid w:val="001B4C07"/>
    <w:rsid w:val="001D4C88"/>
    <w:rsid w:val="001D5564"/>
    <w:rsid w:val="001E0B60"/>
    <w:rsid w:val="001E3C99"/>
    <w:rsid w:val="001F21FF"/>
    <w:rsid w:val="001F4626"/>
    <w:rsid w:val="001F6B6E"/>
    <w:rsid w:val="00200C7C"/>
    <w:rsid w:val="0021364F"/>
    <w:rsid w:val="00227869"/>
    <w:rsid w:val="00233D6E"/>
    <w:rsid w:val="00241904"/>
    <w:rsid w:val="002535C1"/>
    <w:rsid w:val="002561A7"/>
    <w:rsid w:val="002642D1"/>
    <w:rsid w:val="0027370D"/>
    <w:rsid w:val="0028145F"/>
    <w:rsid w:val="00284A35"/>
    <w:rsid w:val="00285A38"/>
    <w:rsid w:val="002B1754"/>
    <w:rsid w:val="002B44F8"/>
    <w:rsid w:val="002B63E8"/>
    <w:rsid w:val="002C66A1"/>
    <w:rsid w:val="002D5C61"/>
    <w:rsid w:val="002F3C8A"/>
    <w:rsid w:val="002F555B"/>
    <w:rsid w:val="0030653E"/>
    <w:rsid w:val="003114E1"/>
    <w:rsid w:val="00322941"/>
    <w:rsid w:val="003316A8"/>
    <w:rsid w:val="0033584A"/>
    <w:rsid w:val="00340F48"/>
    <w:rsid w:val="003670E0"/>
    <w:rsid w:val="00367159"/>
    <w:rsid w:val="0037242D"/>
    <w:rsid w:val="00376C2B"/>
    <w:rsid w:val="003805F9"/>
    <w:rsid w:val="00387166"/>
    <w:rsid w:val="00390E6F"/>
    <w:rsid w:val="00397E48"/>
    <w:rsid w:val="003A3B37"/>
    <w:rsid w:val="003B590A"/>
    <w:rsid w:val="003C13D4"/>
    <w:rsid w:val="0040131F"/>
    <w:rsid w:val="00401E9C"/>
    <w:rsid w:val="00411978"/>
    <w:rsid w:val="004270B0"/>
    <w:rsid w:val="004354A9"/>
    <w:rsid w:val="004377F0"/>
    <w:rsid w:val="0044140F"/>
    <w:rsid w:val="00446E81"/>
    <w:rsid w:val="00451F0F"/>
    <w:rsid w:val="00453963"/>
    <w:rsid w:val="00455C4C"/>
    <w:rsid w:val="00461602"/>
    <w:rsid w:val="004624B6"/>
    <w:rsid w:val="004B1CF2"/>
    <w:rsid w:val="004B47B9"/>
    <w:rsid w:val="004B5A2F"/>
    <w:rsid w:val="004C1633"/>
    <w:rsid w:val="004C316C"/>
    <w:rsid w:val="004C4EB7"/>
    <w:rsid w:val="004D5C2F"/>
    <w:rsid w:val="004F1FA1"/>
    <w:rsid w:val="004F4C29"/>
    <w:rsid w:val="004F5C50"/>
    <w:rsid w:val="005162A8"/>
    <w:rsid w:val="0051741B"/>
    <w:rsid w:val="0052117B"/>
    <w:rsid w:val="005239EB"/>
    <w:rsid w:val="00532194"/>
    <w:rsid w:val="00533B43"/>
    <w:rsid w:val="00534807"/>
    <w:rsid w:val="00553C02"/>
    <w:rsid w:val="00556BD5"/>
    <w:rsid w:val="005611BE"/>
    <w:rsid w:val="00564317"/>
    <w:rsid w:val="005700DF"/>
    <w:rsid w:val="00584928"/>
    <w:rsid w:val="005B2399"/>
    <w:rsid w:val="005B7C10"/>
    <w:rsid w:val="005D7176"/>
    <w:rsid w:val="005E3816"/>
    <w:rsid w:val="005E3F5A"/>
    <w:rsid w:val="005F1A0A"/>
    <w:rsid w:val="005F451E"/>
    <w:rsid w:val="005F5CC2"/>
    <w:rsid w:val="006128F7"/>
    <w:rsid w:val="00613B3F"/>
    <w:rsid w:val="00654785"/>
    <w:rsid w:val="00656CF7"/>
    <w:rsid w:val="00670214"/>
    <w:rsid w:val="00682894"/>
    <w:rsid w:val="006A354D"/>
    <w:rsid w:val="006C2C49"/>
    <w:rsid w:val="006F0BDA"/>
    <w:rsid w:val="006F293C"/>
    <w:rsid w:val="00717308"/>
    <w:rsid w:val="00727FC9"/>
    <w:rsid w:val="007447AF"/>
    <w:rsid w:val="00770077"/>
    <w:rsid w:val="007909FB"/>
    <w:rsid w:val="00791994"/>
    <w:rsid w:val="00797716"/>
    <w:rsid w:val="007A3C14"/>
    <w:rsid w:val="007A7243"/>
    <w:rsid w:val="007D1A11"/>
    <w:rsid w:val="007E0010"/>
    <w:rsid w:val="007E2F00"/>
    <w:rsid w:val="007E6EB9"/>
    <w:rsid w:val="007E7296"/>
    <w:rsid w:val="00810FF2"/>
    <w:rsid w:val="008277AB"/>
    <w:rsid w:val="00830821"/>
    <w:rsid w:val="00833CCD"/>
    <w:rsid w:val="0085022B"/>
    <w:rsid w:val="008529DC"/>
    <w:rsid w:val="00862642"/>
    <w:rsid w:val="00862F15"/>
    <w:rsid w:val="008801AE"/>
    <w:rsid w:val="00881D1B"/>
    <w:rsid w:val="00884973"/>
    <w:rsid w:val="008919F2"/>
    <w:rsid w:val="00892B43"/>
    <w:rsid w:val="008A416E"/>
    <w:rsid w:val="008A57EB"/>
    <w:rsid w:val="008C4EA8"/>
    <w:rsid w:val="008E00D1"/>
    <w:rsid w:val="008E4F6E"/>
    <w:rsid w:val="008E5351"/>
    <w:rsid w:val="008E68FE"/>
    <w:rsid w:val="008F0A69"/>
    <w:rsid w:val="008F2922"/>
    <w:rsid w:val="008F63D0"/>
    <w:rsid w:val="00906795"/>
    <w:rsid w:val="009105E9"/>
    <w:rsid w:val="009141C3"/>
    <w:rsid w:val="0092465E"/>
    <w:rsid w:val="00937D25"/>
    <w:rsid w:val="0094580B"/>
    <w:rsid w:val="009638D4"/>
    <w:rsid w:val="009641E0"/>
    <w:rsid w:val="00975128"/>
    <w:rsid w:val="00987D16"/>
    <w:rsid w:val="00992A66"/>
    <w:rsid w:val="009A0714"/>
    <w:rsid w:val="009B38AF"/>
    <w:rsid w:val="009C5B8F"/>
    <w:rsid w:val="009C6196"/>
    <w:rsid w:val="009C7996"/>
    <w:rsid w:val="009D6B7C"/>
    <w:rsid w:val="009E3476"/>
    <w:rsid w:val="009E55EA"/>
    <w:rsid w:val="009F3603"/>
    <w:rsid w:val="00A017FE"/>
    <w:rsid w:val="00A07275"/>
    <w:rsid w:val="00A1067D"/>
    <w:rsid w:val="00A20224"/>
    <w:rsid w:val="00A2446F"/>
    <w:rsid w:val="00A4569C"/>
    <w:rsid w:val="00A45E1D"/>
    <w:rsid w:val="00A5145B"/>
    <w:rsid w:val="00A552B4"/>
    <w:rsid w:val="00A62797"/>
    <w:rsid w:val="00A71A1B"/>
    <w:rsid w:val="00A741DC"/>
    <w:rsid w:val="00A8220B"/>
    <w:rsid w:val="00A83EC5"/>
    <w:rsid w:val="00AA48FF"/>
    <w:rsid w:val="00AB0B8A"/>
    <w:rsid w:val="00AB4B50"/>
    <w:rsid w:val="00AB634F"/>
    <w:rsid w:val="00B108DA"/>
    <w:rsid w:val="00B61043"/>
    <w:rsid w:val="00B6606D"/>
    <w:rsid w:val="00B67725"/>
    <w:rsid w:val="00B7545D"/>
    <w:rsid w:val="00B90B4A"/>
    <w:rsid w:val="00BA0466"/>
    <w:rsid w:val="00BA1823"/>
    <w:rsid w:val="00BA5547"/>
    <w:rsid w:val="00BA5B70"/>
    <w:rsid w:val="00BB7C4C"/>
    <w:rsid w:val="00BC0335"/>
    <w:rsid w:val="00BC0F03"/>
    <w:rsid w:val="00BC4697"/>
    <w:rsid w:val="00BD30C1"/>
    <w:rsid w:val="00BE43A4"/>
    <w:rsid w:val="00C03468"/>
    <w:rsid w:val="00C05DD6"/>
    <w:rsid w:val="00C12D07"/>
    <w:rsid w:val="00C151BB"/>
    <w:rsid w:val="00C171E8"/>
    <w:rsid w:val="00C26C86"/>
    <w:rsid w:val="00C62BC3"/>
    <w:rsid w:val="00C6312E"/>
    <w:rsid w:val="00C70E23"/>
    <w:rsid w:val="00C7451F"/>
    <w:rsid w:val="00C81556"/>
    <w:rsid w:val="00C8208F"/>
    <w:rsid w:val="00C84922"/>
    <w:rsid w:val="00C9490B"/>
    <w:rsid w:val="00CA280C"/>
    <w:rsid w:val="00CB22CC"/>
    <w:rsid w:val="00CB5F1D"/>
    <w:rsid w:val="00CB769D"/>
    <w:rsid w:val="00CD1F3E"/>
    <w:rsid w:val="00CD2F1F"/>
    <w:rsid w:val="00CD30B9"/>
    <w:rsid w:val="00CE6669"/>
    <w:rsid w:val="00CE6865"/>
    <w:rsid w:val="00CF21C5"/>
    <w:rsid w:val="00CF3B0E"/>
    <w:rsid w:val="00D00C76"/>
    <w:rsid w:val="00D140A8"/>
    <w:rsid w:val="00D1486E"/>
    <w:rsid w:val="00D170C5"/>
    <w:rsid w:val="00D202B7"/>
    <w:rsid w:val="00D2322F"/>
    <w:rsid w:val="00D3011E"/>
    <w:rsid w:val="00D33568"/>
    <w:rsid w:val="00D81CD5"/>
    <w:rsid w:val="00D91A22"/>
    <w:rsid w:val="00D92216"/>
    <w:rsid w:val="00D92951"/>
    <w:rsid w:val="00D92B9C"/>
    <w:rsid w:val="00D961E5"/>
    <w:rsid w:val="00DB27C7"/>
    <w:rsid w:val="00DC6693"/>
    <w:rsid w:val="00DC7380"/>
    <w:rsid w:val="00DD0D64"/>
    <w:rsid w:val="00DE389E"/>
    <w:rsid w:val="00DE3972"/>
    <w:rsid w:val="00DF1259"/>
    <w:rsid w:val="00E02BB7"/>
    <w:rsid w:val="00E074AF"/>
    <w:rsid w:val="00E14A21"/>
    <w:rsid w:val="00E21B54"/>
    <w:rsid w:val="00E34C01"/>
    <w:rsid w:val="00E50B6C"/>
    <w:rsid w:val="00E54C2F"/>
    <w:rsid w:val="00E551E6"/>
    <w:rsid w:val="00E56817"/>
    <w:rsid w:val="00E84158"/>
    <w:rsid w:val="00EB1899"/>
    <w:rsid w:val="00ED1F8C"/>
    <w:rsid w:val="00ED3103"/>
    <w:rsid w:val="00ED34B6"/>
    <w:rsid w:val="00ED5322"/>
    <w:rsid w:val="00EE1F9C"/>
    <w:rsid w:val="00F019A7"/>
    <w:rsid w:val="00F054EA"/>
    <w:rsid w:val="00F15E1C"/>
    <w:rsid w:val="00F23EB6"/>
    <w:rsid w:val="00F71F45"/>
    <w:rsid w:val="00F75C80"/>
    <w:rsid w:val="00F8151D"/>
    <w:rsid w:val="00F82A08"/>
    <w:rsid w:val="00F87817"/>
    <w:rsid w:val="00FA4FF6"/>
    <w:rsid w:val="00FA6F3C"/>
    <w:rsid w:val="00FB6322"/>
    <w:rsid w:val="00FC5526"/>
    <w:rsid w:val="00FE3F7D"/>
    <w:rsid w:val="00FE57AF"/>
    <w:rsid w:val="00FF3ECE"/>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BD5A17"/>
  <w15:chartTrackingRefBased/>
  <w15:docId w15:val="{09788414-2B0D-4A16-BD63-36A8E599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0D1"/>
    <w:rPr>
      <w:sz w:val="24"/>
      <w:szCs w:val="24"/>
      <w:lang w:val="fr-CA"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1AED"/>
    <w:pPr>
      <w:ind w:left="720"/>
    </w:pPr>
    <w:rPr>
      <w:lang w:val="es-ES"/>
    </w:rPr>
  </w:style>
  <w:style w:type="character" w:styleId="Hyperlink">
    <w:name w:val="Hyperlink"/>
    <w:rsid w:val="001E4E96"/>
    <w:rPr>
      <w:color w:val="0000FF"/>
      <w:u w:val="single"/>
      <w:lang w:val="es-ES" w:eastAsia="es-ES"/>
    </w:rPr>
  </w:style>
  <w:style w:type="character" w:styleId="FollowedHyperlink">
    <w:name w:val="FollowedHyperlink"/>
    <w:rsid w:val="001E4E96"/>
    <w:rPr>
      <w:color w:val="800080"/>
      <w:u w:val="single"/>
      <w:lang w:val="es-ES" w:eastAsia="es-ES"/>
    </w:rPr>
  </w:style>
  <w:style w:type="paragraph" w:styleId="Header">
    <w:name w:val="header"/>
    <w:basedOn w:val="Normal"/>
    <w:link w:val="HeaderChar"/>
    <w:uiPriority w:val="99"/>
    <w:rsid w:val="006122EA"/>
    <w:pPr>
      <w:tabs>
        <w:tab w:val="center" w:pos="4680"/>
        <w:tab w:val="right" w:pos="9360"/>
      </w:tabs>
    </w:pPr>
    <w:rPr>
      <w:lang w:val="es-ES"/>
    </w:rPr>
  </w:style>
  <w:style w:type="character" w:customStyle="1" w:styleId="HeaderChar">
    <w:name w:val="Header Char"/>
    <w:link w:val="Header"/>
    <w:uiPriority w:val="99"/>
    <w:rsid w:val="006122EA"/>
    <w:rPr>
      <w:sz w:val="24"/>
      <w:szCs w:val="24"/>
      <w:lang w:val="es-ES" w:eastAsia="es-ES"/>
    </w:rPr>
  </w:style>
  <w:style w:type="paragraph" w:styleId="Footer">
    <w:name w:val="footer"/>
    <w:basedOn w:val="Normal"/>
    <w:link w:val="FooterChar"/>
    <w:rsid w:val="006122EA"/>
    <w:pPr>
      <w:tabs>
        <w:tab w:val="center" w:pos="4680"/>
        <w:tab w:val="right" w:pos="9360"/>
      </w:tabs>
    </w:pPr>
    <w:rPr>
      <w:lang w:val="es-ES"/>
    </w:rPr>
  </w:style>
  <w:style w:type="character" w:customStyle="1" w:styleId="FooterChar">
    <w:name w:val="Footer Char"/>
    <w:link w:val="Footer"/>
    <w:rsid w:val="006122EA"/>
    <w:rPr>
      <w:sz w:val="24"/>
      <w:szCs w:val="24"/>
      <w:lang w:val="es-ES" w:eastAsia="es-ES"/>
    </w:rPr>
  </w:style>
  <w:style w:type="paragraph" w:styleId="BalloonText">
    <w:name w:val="Balloon Text"/>
    <w:basedOn w:val="Normal"/>
    <w:link w:val="BalloonTextChar"/>
    <w:rsid w:val="00225721"/>
    <w:rPr>
      <w:rFonts w:ascii="Tahoma" w:hAnsi="Tahoma" w:cs="Tahoma"/>
      <w:sz w:val="16"/>
      <w:szCs w:val="16"/>
      <w:lang w:val="es-ES"/>
    </w:rPr>
  </w:style>
  <w:style w:type="character" w:customStyle="1" w:styleId="BalloonTextChar">
    <w:name w:val="Balloon Text Char"/>
    <w:link w:val="BalloonText"/>
    <w:rsid w:val="00225721"/>
    <w:rPr>
      <w:rFonts w:ascii="Tahoma" w:hAnsi="Tahoma" w:cs="Tahoma"/>
      <w:sz w:val="16"/>
      <w:szCs w:val="16"/>
      <w:lang w:val="es-ES" w:eastAsia="es-ES"/>
    </w:rPr>
  </w:style>
  <w:style w:type="paragraph" w:customStyle="1" w:styleId="Default">
    <w:name w:val="Default"/>
    <w:rsid w:val="00BF3E4E"/>
    <w:pPr>
      <w:autoSpaceDE w:val="0"/>
      <w:autoSpaceDN w:val="0"/>
      <w:adjustRightInd w:val="0"/>
    </w:pPr>
    <w:rPr>
      <w:color w:val="000000"/>
      <w:sz w:val="24"/>
      <w:szCs w:val="24"/>
      <w:lang w:val="es-ES" w:eastAsia="es-ES"/>
    </w:rPr>
  </w:style>
  <w:style w:type="character" w:styleId="CommentReference">
    <w:name w:val="annotation reference"/>
    <w:rsid w:val="00682894"/>
    <w:rPr>
      <w:sz w:val="16"/>
      <w:szCs w:val="16"/>
      <w:lang w:val="es-ES" w:eastAsia="es-ES"/>
    </w:rPr>
  </w:style>
  <w:style w:type="paragraph" w:styleId="CommentText">
    <w:name w:val="annotation text"/>
    <w:basedOn w:val="Normal"/>
    <w:link w:val="CommentTextChar"/>
    <w:rsid w:val="00682894"/>
    <w:rPr>
      <w:sz w:val="20"/>
      <w:szCs w:val="20"/>
      <w:lang w:val="es-ES"/>
    </w:rPr>
  </w:style>
  <w:style w:type="character" w:customStyle="1" w:styleId="CommentTextChar">
    <w:name w:val="Comment Text Char"/>
    <w:link w:val="CommentText"/>
    <w:rsid w:val="00682894"/>
    <w:rPr>
      <w:lang w:val="es-ES" w:eastAsia="es-ES"/>
    </w:rPr>
  </w:style>
  <w:style w:type="table" w:styleId="TableGrid">
    <w:name w:val="Table Grid"/>
    <w:basedOn w:val="TableNormal"/>
    <w:rsid w:val="00227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Uppercase">
    <w:name w:val="Title Uppercase"/>
    <w:basedOn w:val="Normal"/>
    <w:rsid w:val="00227869"/>
    <w:pPr>
      <w:tabs>
        <w:tab w:val="left" w:pos="720"/>
        <w:tab w:val="left" w:pos="1440"/>
        <w:tab w:val="left" w:pos="2160"/>
        <w:tab w:val="left" w:pos="2880"/>
        <w:tab w:val="left" w:pos="7200"/>
        <w:tab w:val="left" w:pos="7920"/>
        <w:tab w:val="left" w:pos="8640"/>
      </w:tabs>
      <w:jc w:val="center"/>
    </w:pPr>
    <w:rPr>
      <w:sz w:val="22"/>
      <w:szCs w:val="20"/>
      <w:lang w:val="es-ES" w:eastAsia="en-U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locked/>
    <w:rsid w:val="00FE3F7D"/>
    <w:rPr>
      <w:rFonts w:ascii="CG Times" w:hAnsi="CG Times"/>
      <w:lang w:eastAsia="es-ES_tradnl"/>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w:basedOn w:val="Normal"/>
    <w:link w:val="FootnoteTextChar"/>
    <w:uiPriority w:val="99"/>
    <w:unhideWhenUsed/>
    <w:rsid w:val="00FE3F7D"/>
    <w:pPr>
      <w:ind w:left="360" w:hanging="360"/>
      <w:jc w:val="both"/>
    </w:pPr>
    <w:rPr>
      <w:rFonts w:ascii="CG Times" w:hAnsi="CG Times"/>
      <w:sz w:val="20"/>
      <w:szCs w:val="20"/>
      <w:lang w:val="en-US" w:eastAsia="es-ES_tradnl"/>
    </w:rPr>
  </w:style>
  <w:style w:type="character" w:customStyle="1" w:styleId="FootnoteTextChar1">
    <w:name w:val="Footnote Text Char1"/>
    <w:rsid w:val="00FE3F7D"/>
    <w:rPr>
      <w:lang w:val="es-ES" w:eastAsia="es-ES"/>
    </w:rPr>
  </w:style>
  <w:style w:type="character" w:styleId="FootnoteReference">
    <w:name w:val="footnote reference"/>
    <w:uiPriority w:val="99"/>
    <w:unhideWhenUsed/>
    <w:rsid w:val="00FE3F7D"/>
    <w:rPr>
      <w:rFonts w:ascii="Times New Roman" w:hAnsi="Times New Roman" w:cs="Times New Roman" w:hint="default"/>
      <w:color w:val="auto"/>
      <w:vertAlign w:val="baseline"/>
    </w:rPr>
  </w:style>
  <w:style w:type="character" w:styleId="UnresolvedMention">
    <w:name w:val="Unresolved Mention"/>
    <w:basedOn w:val="DefaultParagraphFont"/>
    <w:uiPriority w:val="99"/>
    <w:semiHidden/>
    <w:unhideWhenUsed/>
    <w:rsid w:val="00DD0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80204">
      <w:bodyDiv w:val="1"/>
      <w:marLeft w:val="0"/>
      <w:marRight w:val="0"/>
      <w:marTop w:val="0"/>
      <w:marBottom w:val="0"/>
      <w:divBdr>
        <w:top w:val="none" w:sz="0" w:space="0" w:color="auto"/>
        <w:left w:val="none" w:sz="0" w:space="0" w:color="auto"/>
        <w:bottom w:val="none" w:sz="0" w:space="0" w:color="auto"/>
        <w:right w:val="none" w:sz="0" w:space="0" w:color="auto"/>
      </w:divBdr>
    </w:div>
    <w:div w:id="1601142259">
      <w:bodyDiv w:val="1"/>
      <w:marLeft w:val="0"/>
      <w:marRight w:val="0"/>
      <w:marTop w:val="0"/>
      <w:marBottom w:val="0"/>
      <w:divBdr>
        <w:top w:val="none" w:sz="0" w:space="0" w:color="auto"/>
        <w:left w:val="none" w:sz="0" w:space="0" w:color="auto"/>
        <w:bottom w:val="none" w:sz="0" w:space="0" w:color="auto"/>
        <w:right w:val="none" w:sz="0" w:space="0" w:color="auto"/>
      </w:divBdr>
    </w:div>
    <w:div w:id="1670518456">
      <w:bodyDiv w:val="1"/>
      <w:marLeft w:val="0"/>
      <w:marRight w:val="0"/>
      <w:marTop w:val="0"/>
      <w:marBottom w:val="0"/>
      <w:divBdr>
        <w:top w:val="none" w:sz="0" w:space="0" w:color="auto"/>
        <w:left w:val="none" w:sz="0" w:space="0" w:color="auto"/>
        <w:bottom w:val="none" w:sz="0" w:space="0" w:color="auto"/>
        <w:right w:val="none" w:sz="0" w:space="0" w:color="auto"/>
      </w:divBdr>
    </w:div>
    <w:div w:id="201603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pdfs/2021/CP43915CAJPNegro.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m.oas.org/pdfs/2021/CP43915CAJPMontero.pdf" TargetMode="External"/><Relationship Id="rId4" Type="http://schemas.openxmlformats.org/officeDocument/2006/relationships/settings" Target="settings.xml"/><Relationship Id="rId9" Type="http://schemas.openxmlformats.org/officeDocument/2006/relationships/hyperlink" Target="http://scm.oas.org/pdfs/2021/CP43915CAJPMar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1D770-E8F5-44FF-BAF2-B2681599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660</Words>
  <Characters>3801</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Palmer, Margaret</cp:lastModifiedBy>
  <cp:revision>10</cp:revision>
  <cp:lastPrinted>2017-02-03T19:23:00Z</cp:lastPrinted>
  <dcterms:created xsi:type="dcterms:W3CDTF">2021-04-26T14:47:00Z</dcterms:created>
  <dcterms:modified xsi:type="dcterms:W3CDTF">2021-04-26T21:45:00Z</dcterms:modified>
</cp:coreProperties>
</file>