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70F0A939" w:rsidR="003F62F8" w:rsidRPr="00E857DA" w:rsidRDefault="008C6517" w:rsidP="001B15D4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17">
        <w:rPr>
          <w:b/>
          <w:sz w:val="22"/>
          <w:szCs w:val="22"/>
          <w:lang w:val="pt-BR"/>
        </w:rPr>
        <w:t>VIGÉSIMO QUINTO</w:t>
      </w:r>
      <w:r w:rsidRPr="00E857DA">
        <w:rPr>
          <w:b/>
          <w:bCs/>
          <w:noProof/>
          <w:sz w:val="22"/>
          <w:szCs w:val="22"/>
          <w:lang w:val="pt-BR" w:eastAsia="pt-BR"/>
        </w:rPr>
        <w:t xml:space="preserve"> </w:t>
      </w:r>
      <w:r w:rsidRPr="008C6517">
        <w:rPr>
          <w:b/>
          <w:sz w:val="22"/>
          <w:szCs w:val="22"/>
          <w:lang w:val="pt-BR"/>
        </w:rPr>
        <w:t xml:space="preserve">CONGRESSO </w:t>
      </w:r>
      <w:r w:rsidRPr="008C6517">
        <w:rPr>
          <w:b/>
          <w:bCs/>
          <w:sz w:val="22"/>
          <w:lang w:val="pt-BR"/>
        </w:rPr>
        <w:t xml:space="preserve">INTERAMERICANO </w:t>
      </w:r>
      <w:r w:rsidRPr="008C6517">
        <w:rPr>
          <w:b/>
          <w:sz w:val="22"/>
          <w:szCs w:val="22"/>
          <w:lang w:val="pt-BR"/>
        </w:rPr>
        <w:t xml:space="preserve">DE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OEA/Ser.K/</w:t>
      </w:r>
      <w:r>
        <w:rPr>
          <w:snapToGrid w:val="0"/>
          <w:sz w:val="22"/>
          <w:szCs w:val="22"/>
          <w:lang w:val="pt-BR"/>
        </w:rPr>
        <w:t>II</w:t>
      </w:r>
      <w:r w:rsidR="003F62F8" w:rsidRPr="00E857DA">
        <w:rPr>
          <w:snapToGrid w:val="0"/>
          <w:sz w:val="22"/>
          <w:szCs w:val="22"/>
          <w:lang w:val="pt-BR"/>
        </w:rPr>
        <w:t>I.</w:t>
      </w:r>
      <w:r w:rsidR="00502A58" w:rsidRPr="00E857DA">
        <w:rPr>
          <w:snapToGrid w:val="0"/>
          <w:sz w:val="22"/>
          <w:szCs w:val="22"/>
          <w:lang w:val="pt-BR"/>
        </w:rPr>
        <w:t>2</w:t>
      </w:r>
      <w:r>
        <w:rPr>
          <w:snapToGrid w:val="0"/>
          <w:sz w:val="22"/>
          <w:szCs w:val="22"/>
          <w:lang w:val="pt-BR"/>
        </w:rPr>
        <w:t>6</w:t>
      </w:r>
      <w:r w:rsidR="003F62F8" w:rsidRPr="00E857DA">
        <w:rPr>
          <w:snapToGrid w:val="0"/>
          <w:sz w:val="22"/>
          <w:szCs w:val="22"/>
          <w:lang w:val="pt-BR"/>
        </w:rPr>
        <w:t>.1</w:t>
      </w:r>
    </w:p>
    <w:p w14:paraId="36F3A146" w14:textId="7B2FB1DA" w:rsidR="00D16A48" w:rsidRPr="00E857DA" w:rsidRDefault="008C6517" w:rsidP="001B15D4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8C6517">
        <w:rPr>
          <w:b/>
          <w:sz w:val="22"/>
          <w:szCs w:val="22"/>
          <w:lang w:val="pt-BR"/>
        </w:rPr>
        <w:t>MINISTROS</w:t>
      </w:r>
      <w:r>
        <w:rPr>
          <w:b/>
          <w:sz w:val="22"/>
          <w:szCs w:val="22"/>
          <w:lang w:val="pt-BR"/>
        </w:rPr>
        <w:t xml:space="preserve"> E </w:t>
      </w:r>
      <w:r w:rsidRPr="008C6517">
        <w:rPr>
          <w:b/>
          <w:sz w:val="22"/>
          <w:szCs w:val="22"/>
          <w:lang w:val="pt-BR"/>
        </w:rPr>
        <w:t>ALTAS AUTORIDADES</w:t>
      </w:r>
      <w:r w:rsidRPr="008C6517">
        <w:rPr>
          <w:sz w:val="22"/>
          <w:szCs w:val="22"/>
          <w:lang w:val="pt-BR"/>
        </w:rPr>
        <w:t xml:space="preserve"> </w:t>
      </w:r>
      <w:r w:rsidRPr="008C6517">
        <w:rPr>
          <w:b/>
          <w:sz w:val="22"/>
          <w:szCs w:val="22"/>
          <w:lang w:val="pt-BR"/>
        </w:rPr>
        <w:t>DE TURISMO</w:t>
      </w:r>
      <w:r w:rsidR="003F62F8" w:rsidRPr="00E857DA">
        <w:rPr>
          <w:b/>
          <w:bCs/>
          <w:sz w:val="22"/>
          <w:szCs w:val="22"/>
          <w:lang w:val="pt-BR"/>
        </w:rPr>
        <w:tab/>
      </w:r>
      <w:r w:rsidR="003F62F8" w:rsidRPr="00E857DA">
        <w:rPr>
          <w:bCs/>
          <w:sz w:val="22"/>
          <w:szCs w:val="22"/>
          <w:lang w:val="pt-BR"/>
        </w:rPr>
        <w:t>CIDI</w:t>
      </w:r>
      <w:r w:rsidR="003F62F8" w:rsidRPr="00E857DA">
        <w:rPr>
          <w:b/>
          <w:bCs/>
          <w:sz w:val="22"/>
          <w:szCs w:val="22"/>
          <w:lang w:val="pt-BR"/>
        </w:rPr>
        <w:t>/</w:t>
      </w:r>
      <w:r w:rsidR="003F62F8" w:rsidRPr="00E857DA">
        <w:rPr>
          <w:snapToGrid w:val="0"/>
          <w:sz w:val="22"/>
          <w:szCs w:val="22"/>
          <w:lang w:val="pt-BR"/>
        </w:rPr>
        <w:t>T</w:t>
      </w:r>
      <w:r w:rsidR="00D802CE">
        <w:rPr>
          <w:snapToGrid w:val="0"/>
          <w:sz w:val="22"/>
          <w:szCs w:val="22"/>
          <w:lang w:val="pt-BR"/>
        </w:rPr>
        <w:t>UR-XXV</w:t>
      </w:r>
      <w:r w:rsidR="003F62F8" w:rsidRPr="00E857DA">
        <w:rPr>
          <w:snapToGrid w:val="0"/>
          <w:sz w:val="22"/>
          <w:szCs w:val="22"/>
          <w:lang w:val="pt-BR"/>
        </w:rPr>
        <w:t>/</w:t>
      </w:r>
      <w:r w:rsidR="00E506E0" w:rsidRPr="00E857DA">
        <w:rPr>
          <w:snapToGrid w:val="0"/>
          <w:sz w:val="22"/>
          <w:szCs w:val="22"/>
          <w:lang w:val="pt-BR"/>
        </w:rPr>
        <w:t>doc.</w:t>
      </w:r>
      <w:r w:rsidR="00D802CE">
        <w:rPr>
          <w:snapToGrid w:val="0"/>
          <w:sz w:val="22"/>
          <w:szCs w:val="22"/>
          <w:lang w:val="pt-BR"/>
        </w:rPr>
        <w:t xml:space="preserve"> </w:t>
      </w:r>
      <w:r w:rsidR="001B15D4">
        <w:rPr>
          <w:snapToGrid w:val="0"/>
          <w:sz w:val="22"/>
          <w:szCs w:val="22"/>
          <w:lang w:val="pt-BR"/>
        </w:rPr>
        <w:t>2</w:t>
      </w:r>
      <w:r w:rsidR="003F62F8" w:rsidRPr="00E857DA">
        <w:rPr>
          <w:snapToGrid w:val="0"/>
          <w:sz w:val="22"/>
          <w:szCs w:val="22"/>
          <w:lang w:val="pt-BR"/>
        </w:rPr>
        <w:t>/</w:t>
      </w:r>
      <w:r w:rsidR="00502A58" w:rsidRPr="00E857DA">
        <w:rPr>
          <w:snapToGrid w:val="0"/>
          <w:sz w:val="22"/>
          <w:szCs w:val="22"/>
          <w:lang w:val="pt-BR"/>
        </w:rPr>
        <w:t>2</w:t>
      </w:r>
      <w:r w:rsidR="00704C0D">
        <w:rPr>
          <w:snapToGrid w:val="0"/>
          <w:sz w:val="22"/>
          <w:szCs w:val="22"/>
          <w:lang w:val="pt-BR"/>
        </w:rPr>
        <w:t>1 rev.</w:t>
      </w:r>
      <w:r w:rsidR="00AF5DB7">
        <w:rPr>
          <w:snapToGrid w:val="0"/>
          <w:sz w:val="22"/>
          <w:szCs w:val="22"/>
          <w:lang w:val="pt-BR"/>
        </w:rPr>
        <w:t>2</w:t>
      </w:r>
    </w:p>
    <w:p w14:paraId="3B7EC06A" w14:textId="3C3A7526" w:rsidR="003F62F8" w:rsidRPr="00E857DA" w:rsidRDefault="00D802CE" w:rsidP="001B15D4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 w:rsidRPr="00D802CE">
        <w:rPr>
          <w:lang w:val="pt-BR"/>
        </w:rPr>
        <w:t xml:space="preserve">6 de outubro </w:t>
      </w:r>
      <w:r>
        <w:rPr>
          <w:lang w:val="pt-BR"/>
        </w:rPr>
        <w:t xml:space="preserve">de </w:t>
      </w:r>
      <w:r w:rsidRPr="00D802CE">
        <w:rPr>
          <w:lang w:val="pt-BR"/>
        </w:rPr>
        <w:t>2021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AF5DB7">
        <w:rPr>
          <w:snapToGrid w:val="0"/>
          <w:sz w:val="22"/>
          <w:szCs w:val="22"/>
          <w:lang w:val="pt-BR"/>
        </w:rPr>
        <w:t>6</w:t>
      </w:r>
      <w:r w:rsidR="00704C0D">
        <w:rPr>
          <w:snapToGrid w:val="0"/>
          <w:sz w:val="22"/>
          <w:szCs w:val="22"/>
          <w:lang w:val="pt-BR"/>
        </w:rPr>
        <w:t xml:space="preserve"> outubro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2021</w:t>
      </w:r>
    </w:p>
    <w:p w14:paraId="08A86F03" w14:textId="19A736FA" w:rsidR="00502A58" w:rsidRPr="00E857DA" w:rsidRDefault="00502A58" w:rsidP="001B15D4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857DA">
        <w:rPr>
          <w:color w:val="000000"/>
          <w:sz w:val="22"/>
          <w:szCs w:val="22"/>
          <w:lang w:val="pt-BR"/>
        </w:rPr>
        <w:t>Estados Unidos da América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40B78B06" w14:textId="77777777" w:rsidR="003F62F8" w:rsidRPr="00E857DA" w:rsidRDefault="00502A58" w:rsidP="001B15D4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>VIRTUAL</w:t>
      </w:r>
      <w:r w:rsidR="003F62F8" w:rsidRPr="00E857DA">
        <w:rPr>
          <w:sz w:val="22"/>
          <w:szCs w:val="22"/>
          <w:lang w:val="pt-BR"/>
        </w:rPr>
        <w:tab/>
      </w:r>
    </w:p>
    <w:p w14:paraId="5C5D4337" w14:textId="77777777" w:rsidR="00032517" w:rsidRPr="00E857DA" w:rsidRDefault="00032517" w:rsidP="001B15D4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2DB2436E" w:rsidR="008C6517" w:rsidRDefault="008C6517" w:rsidP="001B15D4">
      <w:pPr>
        <w:rPr>
          <w:sz w:val="22"/>
          <w:szCs w:val="22"/>
          <w:lang w:val="pt-BR"/>
        </w:rPr>
      </w:pPr>
    </w:p>
    <w:p w14:paraId="2AD1B14C" w14:textId="77777777" w:rsidR="008C6517" w:rsidRPr="001B15D4" w:rsidRDefault="008C6517" w:rsidP="001B15D4">
      <w:pPr>
        <w:rPr>
          <w:sz w:val="22"/>
          <w:szCs w:val="22"/>
          <w:lang w:val="pt-BR"/>
        </w:rPr>
      </w:pPr>
    </w:p>
    <w:p w14:paraId="4F1DB95B" w14:textId="57D63D7C" w:rsidR="001B15D4" w:rsidRPr="00AF5DB7" w:rsidRDefault="001B15D4" w:rsidP="001B15D4">
      <w:pPr>
        <w:jc w:val="center"/>
        <w:rPr>
          <w:sz w:val="22"/>
          <w:szCs w:val="22"/>
          <w:lang w:val="pt-PT"/>
        </w:rPr>
      </w:pPr>
      <w:r w:rsidRPr="00AF5DB7">
        <w:rPr>
          <w:sz w:val="22"/>
          <w:szCs w:val="22"/>
          <w:lang w:val="pt-PT"/>
        </w:rPr>
        <w:t>AGENDA ANOTADA</w:t>
      </w:r>
    </w:p>
    <w:p w14:paraId="425CB33F" w14:textId="77777777" w:rsidR="001B15D4" w:rsidRPr="00704C0D" w:rsidRDefault="001B15D4" w:rsidP="001B15D4">
      <w:pPr>
        <w:jc w:val="center"/>
        <w:rPr>
          <w:b/>
          <w:bCs/>
          <w:iCs/>
          <w:sz w:val="22"/>
          <w:szCs w:val="22"/>
          <w:lang w:val="pt-PT" w:eastAsia="es-ES"/>
        </w:rPr>
      </w:pPr>
    </w:p>
    <w:p w14:paraId="30E808D1" w14:textId="43E97987" w:rsidR="001B15D4" w:rsidRPr="00B06F19" w:rsidRDefault="001B15D4" w:rsidP="001B15D4">
      <w:pPr>
        <w:jc w:val="center"/>
        <w:rPr>
          <w:iCs/>
          <w:sz w:val="22"/>
          <w:szCs w:val="22"/>
          <w:lang w:val="pt-PT" w:eastAsia="es-ES"/>
        </w:rPr>
      </w:pPr>
      <w:r w:rsidRPr="00B06F19">
        <w:rPr>
          <w:iCs/>
          <w:sz w:val="22"/>
          <w:szCs w:val="22"/>
          <w:lang w:val="pt-PT" w:eastAsia="es-ES"/>
        </w:rPr>
        <w:t>"Pela reconstrução e reativação do turismo pós-Covid-19"</w:t>
      </w:r>
    </w:p>
    <w:p w14:paraId="79E1A9EA" w14:textId="39C14A66" w:rsidR="001B15D4" w:rsidRDefault="001B15D4" w:rsidP="001B15D4">
      <w:pPr>
        <w:tabs>
          <w:tab w:val="left" w:pos="1354"/>
        </w:tabs>
        <w:rPr>
          <w:sz w:val="22"/>
          <w:szCs w:val="22"/>
          <w:lang w:val="pt-PT"/>
        </w:rPr>
      </w:pPr>
    </w:p>
    <w:p w14:paraId="47500C29" w14:textId="06876570" w:rsidR="00B06F19" w:rsidRDefault="00B06F19" w:rsidP="00B06F19">
      <w:pPr>
        <w:tabs>
          <w:tab w:val="left" w:pos="1354"/>
        </w:tabs>
        <w:jc w:val="center"/>
        <w:rPr>
          <w:sz w:val="22"/>
          <w:szCs w:val="22"/>
          <w:lang w:val="pt-PT"/>
        </w:rPr>
      </w:pPr>
      <w:r w:rsidRPr="00B06F19">
        <w:rPr>
          <w:sz w:val="22"/>
          <w:szCs w:val="22"/>
          <w:lang w:val="pt-PT"/>
        </w:rPr>
        <w:t>(Aprovada na primeira sessão plenária)</w:t>
      </w:r>
    </w:p>
    <w:p w14:paraId="4FCE9511" w14:textId="77777777" w:rsidR="00B06F19" w:rsidRPr="001B15D4" w:rsidRDefault="00B06F19" w:rsidP="00B06F19">
      <w:pPr>
        <w:tabs>
          <w:tab w:val="left" w:pos="1354"/>
        </w:tabs>
        <w:jc w:val="center"/>
        <w:rPr>
          <w:sz w:val="22"/>
          <w:szCs w:val="22"/>
          <w:lang w:val="pt-PT"/>
        </w:rPr>
      </w:pPr>
    </w:p>
    <w:p w14:paraId="0DA73439" w14:textId="77777777" w:rsidR="001B15D4" w:rsidRPr="001B15D4" w:rsidRDefault="001B15D4" w:rsidP="001B1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2"/>
          <w:szCs w:val="22"/>
          <w:lang w:val="pt-BR"/>
        </w:rPr>
      </w:pPr>
      <w:r w:rsidRPr="001B15D4">
        <w:rPr>
          <w:color w:val="202124"/>
          <w:sz w:val="22"/>
          <w:szCs w:val="22"/>
          <w:lang w:val="pt-PT"/>
        </w:rPr>
        <w:t>(Preparado pela Seção de Cultura e Turismo, Departamento de Desenvolvimento Econômico)</w:t>
      </w:r>
    </w:p>
    <w:p w14:paraId="02C43331" w14:textId="3BECA216" w:rsidR="001B15D4" w:rsidRPr="001B15D4" w:rsidRDefault="001B15D4" w:rsidP="001B15D4">
      <w:pPr>
        <w:tabs>
          <w:tab w:val="left" w:pos="1354"/>
        </w:tabs>
        <w:rPr>
          <w:sz w:val="22"/>
          <w:szCs w:val="22"/>
          <w:lang w:val="pt-BR"/>
        </w:rPr>
      </w:pPr>
    </w:p>
    <w:p w14:paraId="45A9E87B" w14:textId="77777777" w:rsidR="001B15D4" w:rsidRPr="001B15D4" w:rsidRDefault="001B15D4" w:rsidP="001B15D4">
      <w:pPr>
        <w:tabs>
          <w:tab w:val="left" w:pos="1354"/>
        </w:tabs>
        <w:rPr>
          <w:sz w:val="22"/>
          <w:szCs w:val="22"/>
          <w:lang w:val="pt-PT"/>
        </w:rPr>
      </w:pPr>
    </w:p>
    <w:p w14:paraId="50A719FC" w14:textId="77777777" w:rsidR="001B15D4" w:rsidRPr="001B15D4" w:rsidRDefault="001B15D4" w:rsidP="001B15D4">
      <w:pPr>
        <w:numPr>
          <w:ilvl w:val="0"/>
          <w:numId w:val="5"/>
        </w:numPr>
        <w:tabs>
          <w:tab w:val="left" w:pos="720"/>
        </w:tabs>
        <w:ind w:hanging="720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ANTECEDENTES</w:t>
      </w:r>
    </w:p>
    <w:p w14:paraId="359CAD24" w14:textId="77777777" w:rsidR="001B15D4" w:rsidRPr="001B15D4" w:rsidRDefault="001B15D4" w:rsidP="001B15D4">
      <w:pPr>
        <w:tabs>
          <w:tab w:val="left" w:pos="720"/>
        </w:tabs>
        <w:rPr>
          <w:sz w:val="22"/>
          <w:szCs w:val="22"/>
          <w:lang w:val="pt-PT"/>
        </w:rPr>
      </w:pPr>
    </w:p>
    <w:p w14:paraId="56AB1AB0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Em 11 de março de 2020, a Organização Mundial da Saúde (OMS) declara oficialmente a pandemia denominada Covid-19, causada pelo coronavírus. Devido a essa situação, em 20 de abril desse ano, 100% dos destinos mundiais introduzem restrições de mobilidade; e, em 1</w:t>
      </w:r>
      <w:r w:rsidRPr="001B15D4">
        <w:rPr>
          <w:sz w:val="22"/>
          <w:szCs w:val="22"/>
          <w:vertAlign w:val="superscript"/>
          <w:lang w:val="pt-PT"/>
        </w:rPr>
        <w:t>o</w:t>
      </w:r>
      <w:r w:rsidRPr="001B15D4">
        <w:rPr>
          <w:sz w:val="22"/>
          <w:szCs w:val="22"/>
          <w:lang w:val="pt-PT"/>
        </w:rPr>
        <w:t xml:space="preserve"> de novembro, 27% dos destinos mundiais fecham completamente suas fronteiras ao turismo internacional. Essa pandemia causou, em 2020, a maior crise vivida pelo setor de viagens e turismo desde a Segunda Guerra Mundial, o que determinou a diminuição das chegadas de turistas em todo o mundo em 74%. Estima-se que a perda de receita em escala mundial chegue a US$1,3 bilhão. A Organização Mundial do Turismo (OMT) calcula, além disso, que essa situação provocou perdas do PIB mundial de, aproximadamente, US$2 bilhões; e colocou em risco entre 100 milhões e 120 milhões de empregos diretos no turismo.</w:t>
      </w:r>
      <w:r w:rsidRPr="001B15D4">
        <w:rPr>
          <w:sz w:val="22"/>
          <w:szCs w:val="22"/>
          <w:u w:val="single"/>
          <w:vertAlign w:val="superscript"/>
          <w:lang w:val="pt-PT"/>
        </w:rPr>
        <w:footnoteReference w:id="2"/>
      </w:r>
      <w:r w:rsidRPr="001B15D4">
        <w:rPr>
          <w:sz w:val="22"/>
          <w:szCs w:val="22"/>
          <w:vertAlign w:val="superscript"/>
          <w:lang w:val="pt-PT"/>
        </w:rPr>
        <w:t xml:space="preserve">/ </w:t>
      </w:r>
      <w:r w:rsidRPr="001B15D4">
        <w:rPr>
          <w:sz w:val="22"/>
          <w:szCs w:val="22"/>
          <w:lang w:val="pt-PT"/>
        </w:rPr>
        <w:t>Em nossa região – as Américas –, as chegadas de turistas sofreram uma redução de 69%, menos que no mundo em geral ou que nas demais quatro sub-regiões da OMT. Como era de se supor, o Caribe, a região do mundo que mais depende do turismo, se viu afetado de maneira desproporcional: o Fundo Monetário Internacional (FMI) calcula que as nações do Caribe que dependem do turismo tenham perdido aproximadamente 12% do PIB em 2020, em comparação com a contração mundial de 4,4% observada durante o mesmo período (Perspectivas da Economia Mundial, FMI, outubro de 2020).</w:t>
      </w:r>
    </w:p>
    <w:p w14:paraId="7D2BBF41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</w:p>
    <w:p w14:paraId="12552158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Diante dessa situação de crise vivida pelo setor, a Comissão Interamericana de Turismo (CITUR) organizou duas reuniões em 2020, uma em agosto, de caráter extraordinário, e a segunda em novembro, de caráter ordinário, para oferecer aos Estados membros um espaço no qual pudessem, entre outros aspectos, examinar a natureza e o custo do impacto da pandemia no setor do turismo, as políticas adotadas para apoiar as empresas pequenas, as companhias de turismo e os trabalhadores do setor, bem como os protocolos e as estratégias utilizados para que o setor pudesse continuar funcionando durante a pandemia. Nessas reuniões da CITUR, recomendou-se a criação de quatro grupos de trabalho para apoiar a sustentabilidade do setor do turismo nas Américas. Um desses grupos se dedica à elaboração de um plano de ação para a recuperação das indústrias de cruzeiros e das linhas aéreas, e outro se centra na importância de que se disponha de protocolos biossanitários padronizados para as viagens e o </w:t>
      </w:r>
      <w:r w:rsidRPr="001B15D4">
        <w:rPr>
          <w:sz w:val="22"/>
          <w:szCs w:val="22"/>
          <w:lang w:val="pt-PT"/>
        </w:rPr>
        <w:lastRenderedPageBreak/>
        <w:t xml:space="preserve">turismo na região, a fim de combater a Covid-19. Os dois grupos restantes analisam a questão da mudança do clima e do desenvolvimento sustentável e a formulação de uma estratégia 2050. </w:t>
      </w:r>
    </w:p>
    <w:p w14:paraId="66ECE2D7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Até este momento, em 2021, a CITUR realizou outras duas reuniões extraordinárias, em março e em junho, para examinar os avanços dos quatro grupos de trabalho, analisar o estágio da situação e buscar medidas comuns para enfrentar os efeitos da pandemia, reativar o setor de viagens e turismo e prepará-lo para o pós-pandemia. </w:t>
      </w:r>
    </w:p>
    <w:p w14:paraId="28C742F3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</w:p>
    <w:p w14:paraId="7F602CE1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O Governo do Paraguai, anfitrião do Vigésimo Quinto Congresso Interamericano de Ministros e Altas Autoridades de Turismo, em vista da crise enfrentada pelo setor, propõe que o tema da reunião seja </w:t>
      </w:r>
      <w:r w:rsidRPr="001B15D4">
        <w:rPr>
          <w:b/>
          <w:bCs/>
          <w:iCs/>
          <w:sz w:val="22"/>
          <w:szCs w:val="22"/>
          <w:lang w:val="pt-PT"/>
        </w:rPr>
        <w:t>"Pela reconstrução e reativação do turismo pós-Covid-19",</w:t>
      </w:r>
      <w:r w:rsidRPr="001B15D4">
        <w:rPr>
          <w:sz w:val="22"/>
          <w:szCs w:val="22"/>
          <w:lang w:val="pt-PT"/>
        </w:rPr>
        <w:t xml:space="preserve"> que reflete a necessidade de reconstrução do setor que foi o mais afetado, com milhares de empresas e negócios fechados e a perda de milhões de postos de trabalho, com efeito dominó na economia. Segundo a Conferência das Nações Unidas sobre Comércio e Desenvolvimento (UNCTAD), a redução do turismo provoca um aumento médio de 5,5% do desemprego da mão de obra não qualificada, com uma grande variação de 0% a 15%, segundo a importância do turismo para a economia.</w:t>
      </w:r>
      <w:r w:rsidRPr="001B15D4">
        <w:rPr>
          <w:sz w:val="22"/>
          <w:szCs w:val="22"/>
          <w:u w:val="single"/>
          <w:vertAlign w:val="superscript"/>
          <w:lang w:val="pt-PT"/>
        </w:rPr>
        <w:footnoteReference w:id="3"/>
      </w:r>
      <w:r w:rsidRPr="001B15D4">
        <w:rPr>
          <w:sz w:val="22"/>
          <w:szCs w:val="22"/>
          <w:vertAlign w:val="superscript"/>
          <w:lang w:val="pt-PT"/>
        </w:rPr>
        <w:t>/</w:t>
      </w:r>
    </w:p>
    <w:p w14:paraId="27A6B451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</w:p>
    <w:p w14:paraId="41605594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Do mesmo modo, destaca a necessidade de que se reative o setor para quando se dê início à suspensão das restrições de mobilidade e os turistas voltem a viajar pela região. A mesma UNCTAD salienta que a queda do turismo internacional devido à pandemia do coronavírus poderia causar uma perda de mais de quatro bilhões de dólares no PIB global durante os anos de 2020 e 2021,</w:t>
      </w:r>
      <w:r w:rsidRPr="001B15D4">
        <w:rPr>
          <w:sz w:val="22"/>
          <w:szCs w:val="22"/>
          <w:u w:val="single"/>
          <w:vertAlign w:val="superscript"/>
          <w:lang w:val="pt-PT"/>
        </w:rPr>
        <w:footnoteReference w:id="4"/>
      </w:r>
      <w:r w:rsidRPr="001B15D4">
        <w:rPr>
          <w:sz w:val="22"/>
          <w:szCs w:val="22"/>
          <w:vertAlign w:val="superscript"/>
          <w:lang w:val="pt-PT"/>
        </w:rPr>
        <w:t>/</w:t>
      </w:r>
      <w:r w:rsidRPr="001B15D4">
        <w:rPr>
          <w:sz w:val="22"/>
          <w:szCs w:val="22"/>
          <w:lang w:val="pt-PT"/>
        </w:rPr>
        <w:t xml:space="preserve"> enquanto a OMT prevê que o setor turístico não voltará aos níveis anteriores à pandemia antes de 2023.</w:t>
      </w:r>
    </w:p>
    <w:p w14:paraId="27BFD38D" w14:textId="77777777" w:rsidR="001B15D4" w:rsidRPr="001B15D4" w:rsidRDefault="001B15D4" w:rsidP="001B15D4">
      <w:pPr>
        <w:tabs>
          <w:tab w:val="left" w:pos="720"/>
        </w:tabs>
        <w:jc w:val="both"/>
        <w:rPr>
          <w:sz w:val="22"/>
          <w:szCs w:val="22"/>
          <w:lang w:val="pt-PT"/>
        </w:rPr>
      </w:pPr>
    </w:p>
    <w:p w14:paraId="05239853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B.</w:t>
      </w:r>
      <w:r w:rsidRPr="001B15D4">
        <w:rPr>
          <w:sz w:val="22"/>
          <w:szCs w:val="22"/>
          <w:lang w:val="pt-PT"/>
        </w:rPr>
        <w:tab/>
        <w:t>TEMAS DE DEBATE PROPOSTOS</w:t>
      </w:r>
    </w:p>
    <w:p w14:paraId="4197624C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67A2D5A6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O Congresso seria, em princípio, realizado na modalidade presencial, mas, ante a persistência da crise sanitária e da dificuldade de mobilização no Hemisfério, o Governo do Paraguai, em abril de 2021, se vê na necessidade de propor que a reunião seja na modalidade virtual, e que seja realizada em 6 de outubro de 2021, para o que apresenta um projeto de resolução, o qual foi aprovado posteriormente pelo Conselho Interamericano de Desenvolvimento Integral [CIDI/RES. 347 (CXII-O/21)]. Essa situação extraordinária modifica o formato regular de uma reunião presencial de dois dias para uma reunião virtual de um só dia.</w:t>
      </w:r>
    </w:p>
    <w:p w14:paraId="6CEB2B8D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14F2AFCB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Dada essa nova realidade, o Governo do Paraguai propõe condensá-los nos seguintes dois subtemas:</w:t>
      </w:r>
    </w:p>
    <w:p w14:paraId="3D4EC40E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11C4279A" w14:textId="77777777" w:rsidR="001B15D4" w:rsidRPr="001B15D4" w:rsidRDefault="001B15D4" w:rsidP="001B15D4">
      <w:pPr>
        <w:numPr>
          <w:ilvl w:val="0"/>
          <w:numId w:val="8"/>
        </w:num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 xml:space="preserve">Estratégias para atenuar os efeitos negativos da Covid-19 no turismo; </w:t>
      </w:r>
    </w:p>
    <w:p w14:paraId="2D30029B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5E0CEF9" w14:textId="77777777" w:rsidR="001B15D4" w:rsidRPr="001B15D4" w:rsidRDefault="001B15D4" w:rsidP="001B15D4">
      <w:pPr>
        <w:numPr>
          <w:ilvl w:val="0"/>
          <w:numId w:val="8"/>
        </w:num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O turismo pós-Covid-19.</w:t>
      </w:r>
    </w:p>
    <w:p w14:paraId="3C70F80E" w14:textId="77777777" w:rsidR="001B15D4" w:rsidRPr="001B15D4" w:rsidRDefault="001B15D4" w:rsidP="001B15D4">
      <w:pPr>
        <w:rPr>
          <w:sz w:val="22"/>
          <w:szCs w:val="22"/>
          <w:lang w:val="pt-PT"/>
        </w:rPr>
      </w:pPr>
    </w:p>
    <w:p w14:paraId="54E90382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O primeiro subtema, </w:t>
      </w:r>
      <w:r w:rsidRPr="001B15D4">
        <w:rPr>
          <w:b/>
          <w:bCs/>
          <w:iCs/>
          <w:sz w:val="22"/>
          <w:szCs w:val="22"/>
          <w:lang w:val="pt-PT"/>
        </w:rPr>
        <w:t xml:space="preserve">“Estratégias para atenuar os efeitos negativos da Covid-19 no turismo” </w:t>
      </w:r>
      <w:r w:rsidRPr="001B15D4">
        <w:rPr>
          <w:sz w:val="22"/>
          <w:szCs w:val="22"/>
          <w:lang w:val="pt-PT"/>
        </w:rPr>
        <w:t>busca analisar as políticas públicas que os Estados membros tenham adotado frente à crise e propor medidas conjuntas para reativar o setor de viagens e turismo nas Américas, de forma segura e sustentável.</w:t>
      </w:r>
    </w:p>
    <w:p w14:paraId="0A386494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</w:p>
    <w:p w14:paraId="307726C8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Vale a pena ressaltar que os Estados membros, individualmente, selecionaram e adotaram diversos parâmetros, com a finalidade de possibilitar o funcionamento seguro da indústria do turismo </w:t>
      </w:r>
      <w:r w:rsidRPr="001B15D4">
        <w:rPr>
          <w:sz w:val="22"/>
          <w:szCs w:val="22"/>
          <w:lang w:val="pt-PT"/>
        </w:rPr>
        <w:lastRenderedPageBreak/>
        <w:t xml:space="preserve">no ambiente atual, especialmente para o transporte aéreo e de cruzeiros. Esses parâmetros consistiram em requisitos relativos à vacinação, testes de Covid-19 antes da partida ou na chegada, a quarentena, o controle da temperatura antes da saída ou na chegada e o uso de máscara. </w:t>
      </w:r>
    </w:p>
    <w:p w14:paraId="66179627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</w:p>
    <w:p w14:paraId="31E84BA8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Nesse sentido, cumpre salientar que a União Europeia adotou o chamado Passaporte Verde ou Certificado COVID Digital,</w:t>
      </w:r>
      <w:r w:rsidRPr="001B15D4">
        <w:rPr>
          <w:sz w:val="22"/>
          <w:szCs w:val="22"/>
          <w:u w:val="single"/>
          <w:vertAlign w:val="superscript"/>
          <w:lang w:val="pt-PT"/>
        </w:rPr>
        <w:footnoteReference w:id="5"/>
      </w:r>
      <w:r w:rsidRPr="001B15D4">
        <w:rPr>
          <w:sz w:val="22"/>
          <w:szCs w:val="22"/>
          <w:vertAlign w:val="superscript"/>
          <w:lang w:val="pt-PT"/>
        </w:rPr>
        <w:t>/</w:t>
      </w:r>
      <w:r w:rsidRPr="001B15D4">
        <w:rPr>
          <w:sz w:val="22"/>
          <w:szCs w:val="22"/>
          <w:lang w:val="pt-PT"/>
        </w:rPr>
        <w:t xml:space="preserve"> situação que marcará, sem dúvida, uma tendência que põe as demais regiões em situação de expectativa e que torna necessária a análise da possibilidade de se chegar a um acordo entre os países das Américas</w:t>
      </w:r>
      <w:r w:rsidRPr="001B15D4">
        <w:rPr>
          <w:lang w:val="pt-PT"/>
        </w:rPr>
        <w:t xml:space="preserve"> </w:t>
      </w:r>
      <w:r w:rsidRPr="001B15D4">
        <w:rPr>
          <w:sz w:val="22"/>
          <w:szCs w:val="22"/>
          <w:lang w:val="pt-PT"/>
        </w:rPr>
        <w:t>sobre um certificado similar, a que cada Estado membro poderia aderir de forma voluntária. A propósito, cabe mencionar que vários governos do Hemisfério vêm estudando a possibilidade de adotar individualmente medidas similares. A colaboração interinstitucional, em especial das autoridades dos setores da saúde e do turismo, é essencial nesse processo.</w:t>
      </w:r>
    </w:p>
    <w:p w14:paraId="37AB3EAE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</w:p>
    <w:p w14:paraId="3F905A19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Ante a paralização e a diminuição das viagens aéreas e de cruzeiros, o fechamento de fronteiras, a inadimplência de linhas aéreas e a perda de frequências, a região enfrenta uma falta de conectividade que, em si, já era um desafio regional, e que agora afetará, ante a falta de opções, a reativação das viagens pelo menos aos níveis pré-pandemia. Diante desse panorama, torna-se necessário considerar mecanismos para recuperar e melhorar a mencionada conectividade. Políticas como a de céu aberto, incentivo às empresas (de acordo com suas obrigações internacionais) e eliminação de taxas e impostos nas passagens, assumiram relevância neste momento. Como exemplo, podemos citar Honduras, que acaba de adotar legislação nesse sentido,</w:t>
      </w:r>
      <w:r w:rsidRPr="001B15D4">
        <w:rPr>
          <w:sz w:val="22"/>
          <w:szCs w:val="22"/>
          <w:u w:val="single"/>
          <w:vertAlign w:val="superscript"/>
          <w:lang w:val="pt-PT"/>
        </w:rPr>
        <w:footnoteReference w:id="6"/>
      </w:r>
      <w:r w:rsidRPr="001B15D4">
        <w:rPr>
          <w:sz w:val="22"/>
          <w:szCs w:val="22"/>
          <w:vertAlign w:val="superscript"/>
          <w:lang w:val="pt-PT"/>
        </w:rPr>
        <w:t>/</w:t>
      </w:r>
      <w:r w:rsidRPr="001B15D4">
        <w:rPr>
          <w:sz w:val="22"/>
          <w:szCs w:val="22"/>
          <w:lang w:val="pt-PT"/>
        </w:rPr>
        <w:t xml:space="preserve"> enquanto outros países analisam medidas similares.</w:t>
      </w:r>
    </w:p>
    <w:p w14:paraId="1FDD5676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</w:p>
    <w:p w14:paraId="094ABD7E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No âmbito da CITUR, o Grupo de Trabalho para a Elaboração de um Plano de Ação para a Recuperação das Indústrias de Cruzeiros e Linhas Aéreas no Pós-Pandemia, com a participação de importantes organizações e associações do setor privado, analisou o cenário que o setor apresenta e se propõe a oferecer recomendações aos Estados membros, contribuições que serão de grande valor para os diálogos ministeriais durante o Congresso.</w:t>
      </w:r>
    </w:p>
    <w:p w14:paraId="13544F56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</w:p>
    <w:p w14:paraId="24745170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Do mesmo modo, os governos prepararam protocolos de biossegurança que devem ser cumpridos pelos prestadores de serviços turísticos, como operadores maioristas de viagens, agências de viagens, transportadores turísticos, restaurantes e hotéis, entre outros, a fim de conferir certa segurança aos turistas e às comunidades receptoras. O intercâmbio de boas práticas, a cooperação regional e a capacitação são elementos relevantes para garantir uma eficaz implementação dos protocolos, o que contribuirá para a reativação do turismo.</w:t>
      </w:r>
    </w:p>
    <w:p w14:paraId="1D64FC33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</w:p>
    <w:p w14:paraId="462BE115" w14:textId="77777777" w:rsidR="001B15D4" w:rsidRPr="001B15D4" w:rsidRDefault="001B15D4" w:rsidP="001B15D4">
      <w:pPr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O Congresso buscará abordar aspectos como a recuperação do emprego, incentivos</w:t>
      </w:r>
      <w:r w:rsidRPr="001B15D4" w:rsidDel="00614993">
        <w:rPr>
          <w:sz w:val="22"/>
          <w:szCs w:val="22"/>
          <w:lang w:val="pt-PT"/>
        </w:rPr>
        <w:t xml:space="preserve"> </w:t>
      </w:r>
      <w:r w:rsidRPr="001B15D4">
        <w:rPr>
          <w:sz w:val="22"/>
          <w:szCs w:val="22"/>
          <w:lang w:val="pt-PT"/>
        </w:rPr>
        <w:t>e medidas paliativas, uma vez que é essencial considerar o apoio às empresas turísticas e às comunidades receptoras, inclusive o turismo comunitário e indígena nos destinos, que viram suas receitas seriamente reduzidas. Sem o setor privado e as comunidades receptoras não pode haver turismo, e a região enfrenta a possibilidade de que exista em um determinado momento excesso de demanda e escassez de oferta, o que indubitavelmente afetará, a curto prazo, a reativação a níveis pré-pandemia. Atualmente, em alguns países que deram início à reativação, o fechamento de estabelecimentos e a falta de mão de obra já vêm provocando defasagem entre a oferta e a demanda.</w:t>
      </w:r>
    </w:p>
    <w:p w14:paraId="1C66B115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AA42CED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O segundo subtema, </w:t>
      </w:r>
      <w:r w:rsidRPr="001B15D4">
        <w:rPr>
          <w:b/>
          <w:bCs/>
          <w:i/>
          <w:iCs/>
          <w:sz w:val="22"/>
          <w:szCs w:val="22"/>
          <w:lang w:val="pt-PT"/>
        </w:rPr>
        <w:t>“O turismo pós-Covid-19”</w:t>
      </w:r>
      <w:r w:rsidRPr="001B15D4">
        <w:rPr>
          <w:i/>
          <w:iCs/>
          <w:sz w:val="22"/>
          <w:szCs w:val="22"/>
          <w:lang w:val="pt-PT"/>
        </w:rPr>
        <w:t>,</w:t>
      </w:r>
      <w:r w:rsidRPr="001B15D4">
        <w:rPr>
          <w:i/>
          <w:sz w:val="22"/>
          <w:szCs w:val="22"/>
          <w:lang w:val="pt-PT"/>
        </w:rPr>
        <w:t xml:space="preserve"> </w:t>
      </w:r>
      <w:r w:rsidRPr="001B15D4">
        <w:rPr>
          <w:sz w:val="22"/>
          <w:szCs w:val="22"/>
          <w:lang w:val="pt-PT"/>
        </w:rPr>
        <w:t>também assume relevância, já que, na reconstrução do turismo pós-Covid, se deve analisar como queremos fazê-lo. Antes da atual crise, os destinos turísticos enfrentavam situações como excesso de carga, degradação do meio ambiente, trabalho precário, sazonalidade, acesso às novas tecnologias, conectividade aérea e marítima, facilitação de viagens e turismo, qualidade dos serviços e produtos, promoção do multidestino e segurança turística, entre outros.</w:t>
      </w:r>
    </w:p>
    <w:p w14:paraId="775C3FB5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9050B20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No âmbito do Plano de Trabalho da CITUR, tentou-se abordar e enfrentar esses problemas, buscou-se apoiar as micro, pequenas e médias empresas (MPMEs) turísticas, em especial as redes de pequenos hotéis; os Estados membros compreenderam a necessidade de que o turismo também beneficie as comunidades receptoras, em especial as rurais, e buscou-se colaborar e intercambiar boas práticas para fomentar o turismo rural comunitário e o turismo indígena; em colaboração com a Secretaria de Segurança Multidimensional, prestou-se apoio ao aprimoramento da capacidade nacional e dos destinos em segurança turística; abordou-se a necessidade de cooperação regional para facilitar as viagens e o turismo bem como para promover o melhoramento da conectividade regional.</w:t>
      </w:r>
    </w:p>
    <w:p w14:paraId="41889494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FB8D652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A Presidência da CITUR, ao ter presentes essas ações e a necessidade de sugerir-nos como reconstruir o turismo de forma mais sustentável e inclusiva, propôs, na Reunião Extraordinária de agosto de 2020, a criação de dois grupos de trabalho para: “Desenvolver uma agenda sobre a mudança do clima e o desenvolvimento sustentável do turismo nas Américas” e “Desenvolver uma Agenda 2050 para as Américas”.</w:t>
      </w:r>
    </w:p>
    <w:p w14:paraId="6102D87C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4537FEF0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O Congresso revisará as ações desenvolvidas e dialogará sobre as políticas conjuntas a serem implementadas. Esse diálogo, para o qual serão convidadas importantes organizações e associações do setor privado e da sociedade civil, para ressaltar a importância das parcerias público-privadas, também incluirá a participação do setor acadêmico e das comunidades receptoras, com ênfase nas populações afrodescendentes e indígenas e nas pessoas com deficiência.</w:t>
      </w:r>
    </w:p>
    <w:p w14:paraId="103C1AA0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6CD63301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 xml:space="preserve">Em concordância com esse subtema, é importante salientar o lema do Dia Mundial do Turismo 2021, </w:t>
      </w:r>
      <w:r w:rsidRPr="001B15D4">
        <w:rPr>
          <w:b/>
          <w:bCs/>
          <w:iCs/>
          <w:sz w:val="22"/>
          <w:szCs w:val="22"/>
          <w:lang w:val="pt-PT"/>
        </w:rPr>
        <w:t>“Turismo para um crescimento inclusivo”</w:t>
      </w:r>
      <w:r w:rsidRPr="001B15D4">
        <w:rPr>
          <w:iCs/>
          <w:sz w:val="22"/>
          <w:szCs w:val="22"/>
          <w:lang w:val="pt-PT"/>
        </w:rPr>
        <w:t>,</w:t>
      </w:r>
      <w:r w:rsidRPr="001B15D4">
        <w:rPr>
          <w:sz w:val="22"/>
          <w:szCs w:val="22"/>
          <w:lang w:val="pt-PT"/>
        </w:rPr>
        <w:t xml:space="preserve"> elemento a ser levado em consideração nos diálogos dessa reunião ministerial.</w:t>
      </w:r>
    </w:p>
    <w:p w14:paraId="706FA71E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066B308C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A reunião abordará ainda outros temas.</w:t>
      </w:r>
    </w:p>
    <w:p w14:paraId="59322E12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05A67F05" w14:textId="49FB088C" w:rsidR="001B15D4" w:rsidRPr="001B15D4" w:rsidRDefault="001B15D4" w:rsidP="001B15D4">
      <w:pPr>
        <w:contextualSpacing/>
        <w:jc w:val="both"/>
        <w:rPr>
          <w:i/>
          <w:sz w:val="22"/>
          <w:szCs w:val="22"/>
          <w:lang w:val="pt-PT"/>
        </w:rPr>
      </w:pPr>
      <w:r w:rsidRPr="001B15D4">
        <w:rPr>
          <w:i/>
          <w:sz w:val="22"/>
          <w:szCs w:val="22"/>
          <w:lang w:val="pt-PT"/>
        </w:rPr>
        <w:tab/>
      </w:r>
      <w:r w:rsidRPr="001B15D4">
        <w:rPr>
          <w:b/>
          <w:bCs/>
          <w:iCs/>
          <w:sz w:val="22"/>
          <w:szCs w:val="22"/>
          <w:lang w:val="pt-PT"/>
        </w:rPr>
        <w:t>Definição da sede do Vigésimo Sexto Congresso Interamericano de Ministros e Altas Autoridades de Turismo</w:t>
      </w:r>
      <w:r w:rsidRPr="001B15D4">
        <w:rPr>
          <w:iCs/>
          <w:sz w:val="22"/>
          <w:szCs w:val="22"/>
          <w:lang w:val="pt-PT"/>
        </w:rPr>
        <w:t>:</w:t>
      </w:r>
      <w:r w:rsidRPr="001B15D4">
        <w:rPr>
          <w:sz w:val="22"/>
          <w:szCs w:val="22"/>
          <w:lang w:val="pt-PT"/>
        </w:rPr>
        <w:t xml:space="preserve"> será aprovada a sede do Congresso seguinte, entre os Estados membros que façam oferecimento. </w:t>
      </w:r>
    </w:p>
    <w:p w14:paraId="5F638F06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0972B977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i/>
          <w:sz w:val="22"/>
          <w:szCs w:val="22"/>
          <w:lang w:val="pt-PT"/>
        </w:rPr>
        <w:tab/>
      </w:r>
      <w:r w:rsidRPr="001B15D4">
        <w:rPr>
          <w:b/>
          <w:bCs/>
          <w:iCs/>
          <w:sz w:val="22"/>
          <w:szCs w:val="22"/>
          <w:lang w:val="pt-PT"/>
        </w:rPr>
        <w:t>Consideração e aprovação do Projeto de Declaração</w:t>
      </w:r>
      <w:r w:rsidRPr="001B15D4">
        <w:rPr>
          <w:iCs/>
          <w:sz w:val="22"/>
          <w:szCs w:val="22"/>
          <w:lang w:val="pt-PT"/>
        </w:rPr>
        <w:t>:</w:t>
      </w:r>
      <w:r w:rsidRPr="001B15D4">
        <w:rPr>
          <w:i/>
          <w:sz w:val="22"/>
          <w:szCs w:val="22"/>
          <w:lang w:val="pt-PT"/>
        </w:rPr>
        <w:t xml:space="preserve"> </w:t>
      </w:r>
      <w:r w:rsidRPr="001B15D4">
        <w:rPr>
          <w:sz w:val="22"/>
          <w:szCs w:val="22"/>
          <w:lang w:val="pt-PT"/>
        </w:rPr>
        <w:t>as delegações discutirão o Projeto de Declaração e procederão a sua aprovação.</w:t>
      </w:r>
    </w:p>
    <w:p w14:paraId="1141CD5F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4705F66" w14:textId="77777777" w:rsidR="001B15D4" w:rsidRPr="001B15D4" w:rsidRDefault="001B15D4" w:rsidP="001B15D4">
      <w:pPr>
        <w:ind w:left="720"/>
        <w:contextualSpacing/>
        <w:jc w:val="both"/>
        <w:rPr>
          <w:b/>
          <w:bCs/>
          <w:iCs/>
          <w:sz w:val="22"/>
          <w:szCs w:val="22"/>
          <w:lang w:val="pt-PT"/>
        </w:rPr>
      </w:pPr>
      <w:r w:rsidRPr="001B15D4">
        <w:rPr>
          <w:b/>
          <w:bCs/>
          <w:iCs/>
          <w:sz w:val="22"/>
          <w:szCs w:val="22"/>
          <w:lang w:val="pt-PT"/>
        </w:rPr>
        <w:t>Outros assuntos</w:t>
      </w:r>
    </w:p>
    <w:p w14:paraId="06089424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1227D284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C.</w:t>
      </w:r>
      <w:r w:rsidRPr="001B15D4">
        <w:rPr>
          <w:sz w:val="22"/>
          <w:szCs w:val="22"/>
          <w:lang w:val="pt-PT"/>
        </w:rPr>
        <w:tab/>
        <w:t xml:space="preserve">PROPÓSITO DA REUNIÃO </w:t>
      </w:r>
    </w:p>
    <w:p w14:paraId="1CC3D697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00C2105" w14:textId="77777777" w:rsidR="001B15D4" w:rsidRPr="001B15D4" w:rsidRDefault="001B15D4" w:rsidP="001B15D4">
      <w:pPr>
        <w:numPr>
          <w:ilvl w:val="0"/>
          <w:numId w:val="6"/>
        </w:num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Dialogar sobre o impacto causado pela Covid-19 no turismo das Américas.</w:t>
      </w:r>
    </w:p>
    <w:p w14:paraId="0C5B7F35" w14:textId="77777777" w:rsidR="001B15D4" w:rsidRPr="001B15D4" w:rsidRDefault="001B15D4" w:rsidP="001B15D4">
      <w:pPr>
        <w:rPr>
          <w:sz w:val="22"/>
          <w:szCs w:val="22"/>
          <w:lang w:val="pt-PT"/>
        </w:rPr>
      </w:pPr>
    </w:p>
    <w:p w14:paraId="2D2BC52F" w14:textId="77777777" w:rsidR="001B15D4" w:rsidRPr="001B15D4" w:rsidRDefault="001B15D4" w:rsidP="001B15D4">
      <w:pPr>
        <w:numPr>
          <w:ilvl w:val="0"/>
          <w:numId w:val="6"/>
        </w:num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lastRenderedPageBreak/>
        <w:t>Discutir políticas e ações destinadas à reconstrução e à reativação do turismo.</w:t>
      </w:r>
    </w:p>
    <w:p w14:paraId="03386702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5D45D6B" w14:textId="77777777" w:rsidR="001B15D4" w:rsidRPr="001B15D4" w:rsidRDefault="001B15D4" w:rsidP="001B15D4">
      <w:pPr>
        <w:keepNext/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D.</w:t>
      </w:r>
      <w:r w:rsidRPr="001B15D4">
        <w:rPr>
          <w:sz w:val="22"/>
          <w:szCs w:val="22"/>
          <w:lang w:val="pt-PT"/>
        </w:rPr>
        <w:tab/>
        <w:t>RESULTADOS ESPERADOS DA REUNIÃO</w:t>
      </w:r>
    </w:p>
    <w:p w14:paraId="5F10935C" w14:textId="77777777" w:rsidR="001B15D4" w:rsidRPr="001B15D4" w:rsidRDefault="001B15D4" w:rsidP="001B15D4">
      <w:pPr>
        <w:keepNext/>
        <w:contextualSpacing/>
        <w:jc w:val="both"/>
        <w:rPr>
          <w:sz w:val="22"/>
          <w:szCs w:val="22"/>
          <w:lang w:val="pt-PT"/>
        </w:rPr>
      </w:pPr>
    </w:p>
    <w:p w14:paraId="19F217D3" w14:textId="77777777" w:rsidR="001B15D4" w:rsidRPr="001B15D4" w:rsidRDefault="001B15D4" w:rsidP="001B15D4">
      <w:pPr>
        <w:numPr>
          <w:ilvl w:val="0"/>
          <w:numId w:val="7"/>
        </w:numPr>
        <w:ind w:left="1440" w:hanging="720"/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Melhoramento do diálogo e da cooperação regional em turismo.</w:t>
      </w:r>
    </w:p>
    <w:p w14:paraId="7788C69A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5537F0B0" w14:textId="77777777" w:rsidR="001B15D4" w:rsidRPr="001B15D4" w:rsidRDefault="001B15D4" w:rsidP="001B15D4">
      <w:pPr>
        <w:numPr>
          <w:ilvl w:val="0"/>
          <w:numId w:val="7"/>
        </w:numPr>
        <w:ind w:left="1440" w:hanging="720"/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Celebração de acordos para reconstruir e reativar o turismo nas Américas, de maneira conjunta.</w:t>
      </w:r>
    </w:p>
    <w:p w14:paraId="5E197BC2" w14:textId="77777777" w:rsidR="001B15D4" w:rsidRPr="001B15D4" w:rsidRDefault="001B15D4" w:rsidP="001B15D4">
      <w:pPr>
        <w:ind w:left="720" w:hanging="720"/>
        <w:contextualSpacing/>
        <w:jc w:val="both"/>
        <w:rPr>
          <w:sz w:val="22"/>
          <w:szCs w:val="22"/>
          <w:lang w:val="pt-PT"/>
        </w:rPr>
      </w:pPr>
    </w:p>
    <w:p w14:paraId="12ADA9EE" w14:textId="77777777" w:rsidR="001B15D4" w:rsidRPr="001B15D4" w:rsidRDefault="001B15D4" w:rsidP="001B15D4">
      <w:pPr>
        <w:numPr>
          <w:ilvl w:val="0"/>
          <w:numId w:val="7"/>
        </w:numPr>
        <w:ind w:left="1440" w:hanging="720"/>
        <w:contextualSpacing/>
        <w:jc w:val="both"/>
        <w:rPr>
          <w:sz w:val="22"/>
          <w:szCs w:val="22"/>
          <w:lang w:val="pt-PT" w:eastAsia="es-ES"/>
        </w:rPr>
      </w:pPr>
      <w:r w:rsidRPr="001B15D4">
        <w:rPr>
          <w:sz w:val="22"/>
          <w:szCs w:val="22"/>
          <w:lang w:val="pt-PT"/>
        </w:rPr>
        <w:t>Aprovação da Declaração do Vigésimo Quinto Congresso Interamericano de Ministros e Altas Autoridades de Turismo</w:t>
      </w:r>
      <w:r w:rsidRPr="001B15D4">
        <w:rPr>
          <w:sz w:val="22"/>
          <w:szCs w:val="22"/>
          <w:lang w:val="pt-PT" w:eastAsia="es-ES"/>
        </w:rPr>
        <w:t>.</w:t>
      </w:r>
    </w:p>
    <w:p w14:paraId="2B5CCAE1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21DFF527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>E.</w:t>
      </w:r>
      <w:r w:rsidRPr="001B15D4">
        <w:rPr>
          <w:sz w:val="22"/>
          <w:szCs w:val="22"/>
          <w:lang w:val="pt-PT"/>
        </w:rPr>
        <w:tab/>
        <w:t xml:space="preserve">ESTRUTURA DA REUNIÃO </w:t>
      </w:r>
    </w:p>
    <w:p w14:paraId="27CCA3B9" w14:textId="77777777" w:rsidR="001B15D4" w:rsidRPr="001B15D4" w:rsidRDefault="001B15D4" w:rsidP="001B15D4">
      <w:pPr>
        <w:contextualSpacing/>
        <w:jc w:val="both"/>
        <w:rPr>
          <w:sz w:val="22"/>
          <w:szCs w:val="22"/>
          <w:lang w:val="pt-PT"/>
        </w:rPr>
      </w:pPr>
    </w:p>
    <w:p w14:paraId="70B1BFC7" w14:textId="77777777" w:rsidR="001B15D4" w:rsidRPr="001B15D4" w:rsidRDefault="001B15D4" w:rsidP="001B15D4">
      <w:pPr>
        <w:tabs>
          <w:tab w:val="left" w:pos="720"/>
        </w:tabs>
        <w:contextualSpacing/>
        <w:jc w:val="both"/>
        <w:rPr>
          <w:sz w:val="22"/>
          <w:szCs w:val="22"/>
          <w:lang w:val="pt-PT"/>
        </w:rPr>
      </w:pPr>
      <w:r w:rsidRPr="001B15D4">
        <w:rPr>
          <w:sz w:val="22"/>
          <w:szCs w:val="22"/>
          <w:lang w:val="pt-PT"/>
        </w:rPr>
        <w:tab/>
        <w:t>A reunião oferecerá um foro para a troca de experiências entre os Estados membros e servirá para promover o diálogo entre os Ministros, bem como entre os Ministros e outros atores sociais. Cada uma das sessões plenárias será dedicada a um subtema específico da reunião e incluirá exposições escritas, verbais ou gráficas de Ministros do Turismo, especialistas nos temas, representantes do setor privado, líderes comunitários e outros atores sociais. Após a fase das exposições sobre cada subtema, os Ministros disporão de tempo suficiente – pelo menos 45 minutos – para um diálogo abrangente, com a oportunidade de apresentar outros aspectos, intercambiar experiências dos países ou apresentar possíveis opções de políticas relacionadas à área que se esteja considerando.</w:t>
      </w:r>
    </w:p>
    <w:p w14:paraId="6E1731BF" w14:textId="77777777" w:rsidR="001B15D4" w:rsidRPr="001B15D4" w:rsidRDefault="001B15D4" w:rsidP="001B15D4">
      <w:pPr>
        <w:tabs>
          <w:tab w:val="left" w:pos="720"/>
        </w:tabs>
        <w:contextualSpacing/>
        <w:jc w:val="both"/>
        <w:rPr>
          <w:sz w:val="22"/>
          <w:szCs w:val="22"/>
          <w:lang w:val="pt-PT"/>
        </w:rPr>
      </w:pPr>
    </w:p>
    <w:p w14:paraId="0ADC615A" w14:textId="0473CA81" w:rsidR="001B15D4" w:rsidRPr="001B15D4" w:rsidRDefault="001B15D4" w:rsidP="001B15D4">
      <w:pPr>
        <w:jc w:val="both"/>
        <w:outlineLvl w:val="0"/>
        <w:rPr>
          <w:sz w:val="22"/>
          <w:szCs w:val="22"/>
          <w:lang w:val="pt-PT"/>
        </w:rPr>
      </w:pPr>
    </w:p>
    <w:p w14:paraId="51C81A5E" w14:textId="343D4393" w:rsidR="0075038B" w:rsidRPr="00E857DA" w:rsidRDefault="004C7788" w:rsidP="001B15D4">
      <w:pPr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563F53" wp14:editId="5622FF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773BC0" w14:textId="69AD9DC2" w:rsidR="004C7788" w:rsidRPr="004C7788" w:rsidRDefault="004C77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C0E3C">
                              <w:rPr>
                                <w:noProof/>
                                <w:sz w:val="18"/>
                              </w:rPr>
                              <w:t>CIDTU00183P01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D773BC0" w14:textId="69AD9DC2" w:rsidR="004C7788" w:rsidRPr="004C7788" w:rsidRDefault="004C77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C0E3C">
                        <w:rPr>
                          <w:noProof/>
                          <w:sz w:val="18"/>
                        </w:rPr>
                        <w:t>CIDTU00183P01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038B" w:rsidRPr="00E857DA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DCD4" w14:textId="77777777" w:rsidR="00115438" w:rsidRPr="006C7BB6" w:rsidRDefault="00115438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507820E" w14:textId="77777777" w:rsidR="00115438" w:rsidRPr="006C7BB6" w:rsidRDefault="00115438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65325D34" w14:textId="77777777" w:rsidR="00115438" w:rsidRDefault="00115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6560" w14:textId="77777777" w:rsidR="00115438" w:rsidRPr="006C7BB6" w:rsidRDefault="00115438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3A3034F4" w14:textId="77777777" w:rsidR="00115438" w:rsidRPr="006C7BB6" w:rsidRDefault="00115438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64FA2B9F" w14:textId="77777777" w:rsidR="00115438" w:rsidRDefault="00115438"/>
  </w:footnote>
  <w:footnote w:id="2">
    <w:p w14:paraId="5555BE06" w14:textId="77777777" w:rsidR="001B15D4" w:rsidRPr="001B15D4" w:rsidRDefault="001B15D4" w:rsidP="001B15D4">
      <w:pPr>
        <w:pStyle w:val="FootnoteText"/>
        <w:ind w:left="720" w:hanging="360"/>
        <w:rPr>
          <w:lang w:val="pt-BR"/>
        </w:rPr>
      </w:pPr>
      <w:r w:rsidRPr="001B15D4">
        <w:rPr>
          <w:rStyle w:val="FootnoteReference"/>
          <w:vertAlign w:val="baseline"/>
        </w:rPr>
        <w:footnoteRef/>
      </w:r>
      <w:r w:rsidRPr="001B15D4">
        <w:rPr>
          <w:lang w:val="pt-BR"/>
        </w:rPr>
        <w:t>.</w:t>
      </w:r>
      <w:r w:rsidRPr="001B15D4">
        <w:rPr>
          <w:lang w:val="pt-BR"/>
        </w:rPr>
        <w:tab/>
        <w:t xml:space="preserve">Ver OMT, </w:t>
      </w:r>
      <w:hyperlink r:id="rId1" w:history="1">
        <w:r w:rsidRPr="001B15D4">
          <w:rPr>
            <w:rStyle w:val="Hyperlink"/>
            <w:lang w:val="pt-BR"/>
          </w:rPr>
          <w:t>https://www.unwto.org/covid-19-and-tourism-2020</w:t>
        </w:r>
      </w:hyperlink>
      <w:r w:rsidRPr="001B15D4">
        <w:rPr>
          <w:lang w:val="pt-BR"/>
        </w:rPr>
        <w:t>.</w:t>
      </w:r>
    </w:p>
  </w:footnote>
  <w:footnote w:id="3">
    <w:p w14:paraId="5567D5E7" w14:textId="77777777" w:rsidR="001B15D4" w:rsidRPr="001B15D4" w:rsidRDefault="001B15D4" w:rsidP="001B15D4">
      <w:pPr>
        <w:pStyle w:val="FootnoteText"/>
        <w:ind w:left="720" w:hanging="360"/>
      </w:pPr>
      <w:r w:rsidRPr="001B15D4">
        <w:rPr>
          <w:rStyle w:val="FootnoteReference"/>
          <w:vertAlign w:val="baseline"/>
        </w:rPr>
        <w:footnoteRef/>
      </w:r>
      <w:r w:rsidRPr="001B15D4">
        <w:t>.</w:t>
      </w:r>
      <w:r w:rsidRPr="001B15D4">
        <w:tab/>
        <w:t xml:space="preserve">Ver UN, </w:t>
      </w:r>
      <w:hyperlink r:id="rId2" w:history="1">
        <w:r w:rsidRPr="001B15D4">
          <w:rPr>
            <w:rStyle w:val="Hyperlink"/>
          </w:rPr>
          <w:t>https://news.un.org/es/story/2021/06/1493872</w:t>
        </w:r>
      </w:hyperlink>
      <w:r w:rsidRPr="001B15D4">
        <w:t xml:space="preserve">. </w:t>
      </w:r>
    </w:p>
  </w:footnote>
  <w:footnote w:id="4">
    <w:p w14:paraId="0B85E413" w14:textId="77777777" w:rsidR="001B15D4" w:rsidRPr="001B15D4" w:rsidRDefault="001B15D4" w:rsidP="001B15D4">
      <w:pPr>
        <w:pStyle w:val="FootnoteText"/>
        <w:ind w:left="720" w:hanging="360"/>
        <w:rPr>
          <w:lang w:val="pt-BR"/>
        </w:rPr>
      </w:pPr>
      <w:r w:rsidRPr="001B15D4">
        <w:rPr>
          <w:rStyle w:val="FootnoteReference"/>
          <w:vertAlign w:val="baseline"/>
        </w:rPr>
        <w:footnoteRef/>
      </w:r>
      <w:r w:rsidRPr="001B15D4">
        <w:rPr>
          <w:lang w:val="pt-BR"/>
        </w:rPr>
        <w:t>.</w:t>
      </w:r>
      <w:r w:rsidRPr="001B15D4">
        <w:rPr>
          <w:lang w:val="pt-BR"/>
        </w:rPr>
        <w:tab/>
        <w:t>Idem.</w:t>
      </w:r>
    </w:p>
  </w:footnote>
  <w:footnote w:id="5">
    <w:p w14:paraId="2A8B689F" w14:textId="77777777" w:rsidR="001B15D4" w:rsidRPr="001B15D4" w:rsidRDefault="001B15D4" w:rsidP="001B15D4">
      <w:pPr>
        <w:pStyle w:val="FootnoteText"/>
        <w:ind w:left="720" w:hanging="360"/>
        <w:rPr>
          <w:lang w:val="pt-BR"/>
        </w:rPr>
      </w:pPr>
      <w:r w:rsidRPr="00340969">
        <w:rPr>
          <w:rStyle w:val="FootnoteReference"/>
        </w:rPr>
        <w:footnoteRef/>
      </w:r>
      <w:r w:rsidRPr="001B15D4">
        <w:rPr>
          <w:lang w:val="pt-BR"/>
        </w:rPr>
        <w:t>.</w:t>
      </w:r>
      <w:r w:rsidRPr="001B15D4">
        <w:rPr>
          <w:lang w:val="pt-BR"/>
        </w:rPr>
        <w:tab/>
        <w:t xml:space="preserve">Ver </w:t>
      </w:r>
      <w:hyperlink r:id="rId3" w:history="1">
        <w:r w:rsidRPr="001B15D4">
          <w:rPr>
            <w:rStyle w:val="Hyperlink"/>
            <w:lang w:val="pt-BR"/>
          </w:rPr>
          <w:t>https://ec.europa.eu/info/live-work-travel-eu/coronavirus-response/safe-covid-19-vaccines-europeans/eu-digital-covid-certificate_es</w:t>
        </w:r>
      </w:hyperlink>
      <w:r w:rsidRPr="001B15D4">
        <w:rPr>
          <w:lang w:val="pt-BR"/>
        </w:rPr>
        <w:t xml:space="preserve">. </w:t>
      </w:r>
    </w:p>
  </w:footnote>
  <w:footnote w:id="6">
    <w:p w14:paraId="41396CAF" w14:textId="77777777" w:rsidR="001B15D4" w:rsidRPr="00413F81" w:rsidRDefault="001B15D4" w:rsidP="001B15D4">
      <w:pPr>
        <w:pStyle w:val="FootnoteText"/>
        <w:ind w:left="720" w:hanging="360"/>
        <w:rPr>
          <w:lang w:val="es-CO"/>
        </w:rPr>
      </w:pPr>
      <w:r w:rsidRPr="001B15D4">
        <w:rPr>
          <w:rStyle w:val="FootnoteReference"/>
          <w:vertAlign w:val="baseline"/>
        </w:rPr>
        <w:footnoteRef/>
      </w:r>
      <w:r w:rsidRPr="001B15D4">
        <w:rPr>
          <w:lang w:val="es-CO"/>
        </w:rPr>
        <w:t>.</w:t>
      </w:r>
      <w:r w:rsidRPr="001B15D4">
        <w:rPr>
          <w:lang w:val="es-CO"/>
        </w:rPr>
        <w:tab/>
        <w:t xml:space="preserve">Ver </w:t>
      </w:r>
      <w:hyperlink r:id="rId4" w:history="1">
        <w:r w:rsidRPr="001B15D4">
          <w:rPr>
            <w:rStyle w:val="Hyperlink"/>
            <w:lang w:val="es-CO"/>
          </w:rPr>
          <w:t>https://aerolatinnews.com/destacado/iata-felicita-al-gobierno-de-honduras-por-incentivos-para-las-lineas-aereas/</w:t>
        </w:r>
      </w:hyperlink>
      <w:r w:rsidRPr="001B15D4">
        <w:rPr>
          <w:lang w:val="es-CO"/>
        </w:rPr>
        <w:t>.</w:t>
      </w:r>
      <w:r w:rsidRPr="00413F81">
        <w:rPr>
          <w:lang w:val="es-C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438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5D4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C7788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5903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5DAB"/>
    <w:rsid w:val="006E4C70"/>
    <w:rsid w:val="006F18EF"/>
    <w:rsid w:val="006F21CF"/>
    <w:rsid w:val="006F743C"/>
    <w:rsid w:val="00701885"/>
    <w:rsid w:val="00704C0D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6E7"/>
    <w:rsid w:val="008A2528"/>
    <w:rsid w:val="008B0259"/>
    <w:rsid w:val="008B0759"/>
    <w:rsid w:val="008B07FE"/>
    <w:rsid w:val="008B250C"/>
    <w:rsid w:val="008B477A"/>
    <w:rsid w:val="008B54F3"/>
    <w:rsid w:val="008B5855"/>
    <w:rsid w:val="008C0E3C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3BC7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5DB7"/>
    <w:rsid w:val="00AF667B"/>
    <w:rsid w:val="00AF7204"/>
    <w:rsid w:val="00B0108C"/>
    <w:rsid w:val="00B05740"/>
    <w:rsid w:val="00B06F19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2E7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4E02F6"/>
    <w:rPr>
      <w:sz w:val="20"/>
      <w:szCs w:val="20"/>
      <w:lang w:eastAsia="x-none"/>
    </w:rPr>
  </w:style>
  <w:style w:type="character" w:styleId="FootnoteReference">
    <w:name w:val="footnote reference"/>
    <w:uiPriority w:val="99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uiPriority w:val="99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live-work-travel-eu/coronavirus-response/safe-covid-19-vaccines-europeans/eu-digital-covid-certificate_es" TargetMode="External"/><Relationship Id="rId2" Type="http://schemas.openxmlformats.org/officeDocument/2006/relationships/hyperlink" Target="https://news.un.org/es/story/2021/06/1493872" TargetMode="External"/><Relationship Id="rId1" Type="http://schemas.openxmlformats.org/officeDocument/2006/relationships/hyperlink" Target="https://www.unwto.org/covid-19-and-tourism-2020" TargetMode="External"/><Relationship Id="rId4" Type="http://schemas.openxmlformats.org/officeDocument/2006/relationships/hyperlink" Target="https://aerolatinnews.com/destacado/iata-felicita-al-gobierno-de-honduras-por-incentivos-para-las-lineas-ae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11422</Characters>
  <Application>Microsoft Office Word</Application>
  <DocSecurity>4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2021-10-06T23:54:00Z</dcterms:created>
  <dcterms:modified xsi:type="dcterms:W3CDTF">2021-10-06T23:54:00Z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