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B079B" w14:textId="42976CAD" w:rsidR="00B20293" w:rsidRDefault="00B20293" w:rsidP="0054553B">
      <w:pPr>
        <w:jc w:val="center"/>
        <w:rPr>
          <w:b/>
          <w:bCs/>
          <w:sz w:val="22"/>
          <w:szCs w:val="22"/>
          <w:lang w:val="es-MX"/>
        </w:rPr>
      </w:pPr>
      <w:r w:rsidRPr="00D06C4C">
        <w:rPr>
          <w:b/>
          <w:bCs/>
          <w:sz w:val="22"/>
          <w:szCs w:val="22"/>
          <w:lang w:val="es-MX"/>
        </w:rPr>
        <w:t>COMITÉ INTERAMERICANO CONTRA EL TERRORISMO (CICTE)</w:t>
      </w:r>
    </w:p>
    <w:p w14:paraId="4630F3A0" w14:textId="77777777" w:rsidR="00964D83" w:rsidRPr="00D06C4C" w:rsidRDefault="00964D83" w:rsidP="0054553B">
      <w:pPr>
        <w:jc w:val="center"/>
        <w:rPr>
          <w:b/>
          <w:bCs/>
          <w:sz w:val="22"/>
          <w:szCs w:val="22"/>
          <w:lang w:val="es-MX"/>
        </w:rPr>
      </w:pPr>
    </w:p>
    <w:p w14:paraId="07407692" w14:textId="77777777" w:rsidR="00964D83" w:rsidRPr="00B34784" w:rsidRDefault="00964D83" w:rsidP="00964D83">
      <w:pPr>
        <w:tabs>
          <w:tab w:val="left" w:pos="7200"/>
        </w:tabs>
        <w:rPr>
          <w:sz w:val="22"/>
          <w:szCs w:val="22"/>
          <w:lang w:val="es-AR"/>
        </w:rPr>
      </w:pPr>
      <w:r w:rsidRPr="00B34784">
        <w:rPr>
          <w:sz w:val="22"/>
          <w:szCs w:val="22"/>
          <w:lang w:val="es-AR"/>
        </w:rPr>
        <w:t>VIGÉSIMO PRIMER PERÍODO ORDINARIO DE SESIONES</w:t>
      </w:r>
      <w:r w:rsidRPr="00B34784">
        <w:rPr>
          <w:sz w:val="22"/>
          <w:szCs w:val="22"/>
          <w:lang w:val="es-AR"/>
        </w:rPr>
        <w:tab/>
        <w:t>OEA/</w:t>
      </w:r>
      <w:proofErr w:type="spellStart"/>
      <w:r w:rsidRPr="00B34784">
        <w:rPr>
          <w:sz w:val="22"/>
          <w:szCs w:val="22"/>
          <w:lang w:val="es-AR"/>
        </w:rPr>
        <w:t>Ser.L</w:t>
      </w:r>
      <w:proofErr w:type="spellEnd"/>
      <w:r w:rsidRPr="00B34784">
        <w:rPr>
          <w:sz w:val="22"/>
          <w:szCs w:val="22"/>
          <w:lang w:val="es-AR"/>
        </w:rPr>
        <w:t>/X.2.21</w:t>
      </w:r>
    </w:p>
    <w:p w14:paraId="4F1182D9" w14:textId="36DCA958" w:rsidR="00964D83" w:rsidRPr="00B34784" w:rsidRDefault="00964D83" w:rsidP="00964D83">
      <w:pPr>
        <w:tabs>
          <w:tab w:val="left" w:pos="7200"/>
        </w:tabs>
        <w:ind w:right="-1109"/>
        <w:rPr>
          <w:sz w:val="22"/>
          <w:szCs w:val="22"/>
          <w:lang w:val="es-AR"/>
        </w:rPr>
      </w:pPr>
      <w:r w:rsidRPr="00B34784">
        <w:rPr>
          <w:sz w:val="22"/>
          <w:szCs w:val="22"/>
          <w:lang w:val="es-AR"/>
        </w:rPr>
        <w:t>7 y 8 de octubre de 2021</w:t>
      </w:r>
      <w:r w:rsidRPr="00B34784">
        <w:rPr>
          <w:sz w:val="22"/>
          <w:szCs w:val="22"/>
          <w:lang w:val="es-AR"/>
        </w:rPr>
        <w:tab/>
        <w:t>CICTE/doc.</w:t>
      </w:r>
      <w:r w:rsidR="00AA3265">
        <w:rPr>
          <w:sz w:val="22"/>
          <w:szCs w:val="22"/>
          <w:lang w:val="es-AR"/>
        </w:rPr>
        <w:t>10</w:t>
      </w:r>
      <w:r w:rsidRPr="00B34784">
        <w:rPr>
          <w:sz w:val="22"/>
          <w:szCs w:val="22"/>
          <w:lang w:val="es-AR"/>
        </w:rPr>
        <w:t>/21</w:t>
      </w:r>
      <w:r w:rsidR="001A7B5E">
        <w:rPr>
          <w:sz w:val="22"/>
          <w:szCs w:val="22"/>
          <w:lang w:val="es-AR"/>
        </w:rPr>
        <w:t xml:space="preserve"> </w:t>
      </w:r>
      <w:proofErr w:type="spellStart"/>
      <w:r w:rsidR="001A7B5E">
        <w:rPr>
          <w:sz w:val="22"/>
          <w:szCs w:val="22"/>
          <w:lang w:val="es-AR"/>
        </w:rPr>
        <w:t>rev</w:t>
      </w:r>
      <w:r w:rsidR="00FC0E71">
        <w:rPr>
          <w:sz w:val="22"/>
          <w:szCs w:val="22"/>
          <w:lang w:val="es-AR"/>
        </w:rPr>
        <w:t>.</w:t>
      </w:r>
      <w:proofErr w:type="spellEnd"/>
      <w:r w:rsidR="001A7B5E">
        <w:rPr>
          <w:sz w:val="22"/>
          <w:szCs w:val="22"/>
          <w:lang w:val="es-AR"/>
        </w:rPr>
        <w:t xml:space="preserve"> 1</w:t>
      </w:r>
    </w:p>
    <w:p w14:paraId="6DD5A76E" w14:textId="6436B1E2" w:rsidR="00964D83" w:rsidRPr="00B34784" w:rsidRDefault="00964D83" w:rsidP="00964D83">
      <w:pPr>
        <w:tabs>
          <w:tab w:val="left" w:pos="7200"/>
        </w:tabs>
        <w:rPr>
          <w:sz w:val="22"/>
          <w:szCs w:val="22"/>
          <w:lang w:val="es-AR"/>
        </w:rPr>
      </w:pPr>
      <w:r w:rsidRPr="00B34784">
        <w:rPr>
          <w:sz w:val="22"/>
          <w:szCs w:val="22"/>
          <w:lang w:val="es-AR"/>
        </w:rPr>
        <w:t>Washington, D.C</w:t>
      </w:r>
      <w:r w:rsidRPr="00B34784">
        <w:rPr>
          <w:sz w:val="22"/>
          <w:szCs w:val="22"/>
          <w:lang w:val="es-AR"/>
        </w:rPr>
        <w:tab/>
      </w:r>
      <w:r w:rsidR="001A7B5E">
        <w:rPr>
          <w:sz w:val="22"/>
          <w:szCs w:val="22"/>
          <w:lang w:val="es-AR"/>
        </w:rPr>
        <w:t>8</w:t>
      </w:r>
      <w:r w:rsidRPr="00B34784">
        <w:rPr>
          <w:sz w:val="22"/>
          <w:szCs w:val="22"/>
          <w:lang w:val="es-AR"/>
        </w:rPr>
        <w:t xml:space="preserve"> </w:t>
      </w:r>
      <w:r w:rsidR="00900BED">
        <w:rPr>
          <w:sz w:val="22"/>
          <w:szCs w:val="22"/>
          <w:lang w:val="es-AR"/>
        </w:rPr>
        <w:t>octubre</w:t>
      </w:r>
      <w:r w:rsidRPr="00B34784">
        <w:rPr>
          <w:sz w:val="22"/>
          <w:szCs w:val="22"/>
          <w:lang w:val="es-AR"/>
        </w:rPr>
        <w:t xml:space="preserve"> 2021</w:t>
      </w:r>
    </w:p>
    <w:p w14:paraId="388516AE" w14:textId="64FED1BB" w:rsidR="00964D83" w:rsidRPr="00B34784" w:rsidRDefault="00964D83" w:rsidP="00964D83">
      <w:pPr>
        <w:tabs>
          <w:tab w:val="left" w:pos="7200"/>
        </w:tabs>
        <w:ind w:right="-29"/>
        <w:jc w:val="both"/>
        <w:rPr>
          <w:sz w:val="22"/>
          <w:szCs w:val="22"/>
          <w:lang w:val="es-AR"/>
        </w:rPr>
      </w:pPr>
      <w:r w:rsidRPr="00B34784">
        <w:rPr>
          <w:sz w:val="22"/>
          <w:szCs w:val="22"/>
          <w:lang w:val="es-AR"/>
        </w:rPr>
        <w:tab/>
        <w:t xml:space="preserve">Original: </w:t>
      </w:r>
      <w:proofErr w:type="spellStart"/>
      <w:r>
        <w:rPr>
          <w:sz w:val="22"/>
          <w:szCs w:val="22"/>
          <w:lang w:val="es-AR"/>
        </w:rPr>
        <w:t>ingl</w:t>
      </w:r>
      <w:proofErr w:type="spellEnd"/>
      <w:r w:rsidR="00DE0125" w:rsidRPr="00D06C4C">
        <w:rPr>
          <w:sz w:val="22"/>
          <w:szCs w:val="22"/>
          <w:lang w:val="es-MX"/>
        </w:rPr>
        <w:t>é</w:t>
      </w:r>
      <w:r>
        <w:rPr>
          <w:sz w:val="22"/>
          <w:szCs w:val="22"/>
          <w:lang w:val="es-AR"/>
        </w:rPr>
        <w:t>s</w:t>
      </w:r>
    </w:p>
    <w:p w14:paraId="653FA9C9" w14:textId="77777777" w:rsidR="00B20293" w:rsidRPr="00D06C4C" w:rsidRDefault="00B20293" w:rsidP="0054553B">
      <w:pPr>
        <w:ind w:right="-900"/>
        <w:rPr>
          <w:caps/>
          <w:sz w:val="22"/>
          <w:szCs w:val="22"/>
          <w:lang w:val="es-MX"/>
        </w:rPr>
      </w:pPr>
    </w:p>
    <w:p w14:paraId="4CB50FA4" w14:textId="77777777" w:rsidR="00B20293" w:rsidRPr="00D06C4C" w:rsidRDefault="00B20293" w:rsidP="0054553B">
      <w:pPr>
        <w:widowControl w:val="0"/>
        <w:tabs>
          <w:tab w:val="left" w:pos="6840"/>
        </w:tabs>
        <w:ind w:right="-29"/>
        <w:jc w:val="both"/>
        <w:rPr>
          <w:sz w:val="22"/>
          <w:szCs w:val="22"/>
          <w:lang w:val="es-MX"/>
        </w:rPr>
      </w:pPr>
    </w:p>
    <w:p w14:paraId="5925DCAB" w14:textId="77777777" w:rsidR="00B20293" w:rsidRPr="00D06C4C" w:rsidRDefault="00B20293" w:rsidP="0054553B">
      <w:pPr>
        <w:widowControl w:val="0"/>
        <w:tabs>
          <w:tab w:val="left" w:pos="6840"/>
        </w:tabs>
        <w:ind w:right="-29"/>
        <w:jc w:val="both"/>
        <w:rPr>
          <w:sz w:val="22"/>
          <w:szCs w:val="22"/>
          <w:lang w:val="es-MX"/>
        </w:rPr>
      </w:pPr>
    </w:p>
    <w:p w14:paraId="1C8F8103" w14:textId="77777777" w:rsidR="00B20293" w:rsidRPr="00D06C4C" w:rsidRDefault="00B20293" w:rsidP="0054553B">
      <w:pPr>
        <w:widowControl w:val="0"/>
        <w:tabs>
          <w:tab w:val="left" w:pos="6840"/>
        </w:tabs>
        <w:ind w:right="-29"/>
        <w:jc w:val="both"/>
        <w:rPr>
          <w:sz w:val="22"/>
          <w:szCs w:val="22"/>
          <w:lang w:val="es-MX"/>
        </w:rPr>
      </w:pPr>
    </w:p>
    <w:p w14:paraId="4855115A" w14:textId="4468AF54" w:rsidR="00B20293" w:rsidRPr="00D06C4C" w:rsidRDefault="00B20293" w:rsidP="0054553B">
      <w:pPr>
        <w:jc w:val="center"/>
        <w:rPr>
          <w:caps/>
          <w:sz w:val="22"/>
          <w:szCs w:val="22"/>
          <w:lang w:val="es-MX"/>
        </w:rPr>
      </w:pPr>
      <w:r w:rsidRPr="00D06C4C">
        <w:rPr>
          <w:caps/>
          <w:sz w:val="22"/>
          <w:szCs w:val="22"/>
          <w:lang w:val="es-MX"/>
        </w:rPr>
        <w:t>propuesta del CICTE para la Resolución Ómnibus de la CSH</w:t>
      </w:r>
    </w:p>
    <w:p w14:paraId="02878B8E" w14:textId="77777777" w:rsidR="00B20293" w:rsidRPr="00D06C4C" w:rsidRDefault="00B20293" w:rsidP="0054553B">
      <w:pPr>
        <w:rPr>
          <w:sz w:val="22"/>
          <w:szCs w:val="22"/>
          <w:lang w:val="es-MX"/>
        </w:rPr>
      </w:pPr>
    </w:p>
    <w:p w14:paraId="2501829B" w14:textId="5EF9015A" w:rsidR="00B20293" w:rsidRPr="00D06C4C" w:rsidRDefault="00B20293" w:rsidP="0054553B">
      <w:pPr>
        <w:jc w:val="center"/>
        <w:rPr>
          <w:sz w:val="22"/>
          <w:szCs w:val="22"/>
          <w:lang w:val="es-MX"/>
        </w:rPr>
      </w:pPr>
      <w:r w:rsidRPr="00D06C4C">
        <w:rPr>
          <w:sz w:val="22"/>
          <w:szCs w:val="22"/>
          <w:lang w:val="es-MX"/>
        </w:rPr>
        <w:t>(</w:t>
      </w:r>
      <w:r w:rsidR="001A7B5E" w:rsidRPr="001A7B5E">
        <w:rPr>
          <w:szCs w:val="22"/>
          <w:lang w:val="es-US"/>
        </w:rPr>
        <w:t xml:space="preserve">Aprobado durante el vigésimo </w:t>
      </w:r>
      <w:r w:rsidR="001A7B5E" w:rsidRPr="001A7B5E">
        <w:rPr>
          <w:szCs w:val="22"/>
          <w:lang w:val="es-US"/>
        </w:rPr>
        <w:t>primer</w:t>
      </w:r>
      <w:r w:rsidR="001A7B5E">
        <w:rPr>
          <w:szCs w:val="22"/>
          <w:lang w:val="es-US"/>
        </w:rPr>
        <w:t xml:space="preserve"> </w:t>
      </w:r>
      <w:r w:rsidR="001A7B5E" w:rsidRPr="001A7B5E">
        <w:rPr>
          <w:szCs w:val="22"/>
          <w:lang w:val="es-US"/>
        </w:rPr>
        <w:t>período ordinario de sesiones</w:t>
      </w:r>
      <w:r w:rsidRPr="00D06C4C">
        <w:rPr>
          <w:sz w:val="22"/>
          <w:szCs w:val="22"/>
          <w:lang w:val="es-MX"/>
        </w:rPr>
        <w:t>)</w:t>
      </w:r>
    </w:p>
    <w:p w14:paraId="45FC3ABE" w14:textId="77777777" w:rsidR="00B20293" w:rsidRPr="00D06C4C" w:rsidRDefault="00B20293" w:rsidP="00F3262A">
      <w:pPr>
        <w:rPr>
          <w:sz w:val="22"/>
          <w:szCs w:val="22"/>
          <w:lang w:val="es-MX"/>
        </w:rPr>
      </w:pPr>
    </w:p>
    <w:p w14:paraId="786671F9" w14:textId="77777777" w:rsidR="00B20293" w:rsidRPr="00D06C4C" w:rsidRDefault="00B20293" w:rsidP="0054553B">
      <w:pPr>
        <w:jc w:val="both"/>
        <w:rPr>
          <w:sz w:val="22"/>
          <w:szCs w:val="22"/>
          <w:lang w:val="es-MX"/>
        </w:rPr>
      </w:pPr>
    </w:p>
    <w:p w14:paraId="0D2F4D54" w14:textId="7D2A2E8A" w:rsidR="00B20293" w:rsidRPr="00D06C4C" w:rsidRDefault="00B20293" w:rsidP="00DE0125">
      <w:pPr>
        <w:tabs>
          <w:tab w:val="left" w:pos="7080"/>
        </w:tabs>
        <w:spacing w:line="360" w:lineRule="auto"/>
        <w:jc w:val="both"/>
        <w:rPr>
          <w:b/>
          <w:bCs/>
          <w:sz w:val="22"/>
          <w:szCs w:val="22"/>
          <w:lang w:val="es-MX"/>
        </w:rPr>
      </w:pPr>
      <w:r w:rsidRPr="00D06C4C">
        <w:rPr>
          <w:b/>
          <w:bCs/>
          <w:sz w:val="22"/>
          <w:szCs w:val="22"/>
          <w:lang w:val="es-MX"/>
        </w:rPr>
        <w:t>Convención Interamericana contra el Terrorismo</w:t>
      </w:r>
    </w:p>
    <w:p w14:paraId="6AB64A55" w14:textId="77777777" w:rsidR="00B20293" w:rsidRPr="00D06C4C" w:rsidRDefault="00B20293" w:rsidP="00DE0125">
      <w:pPr>
        <w:spacing w:line="360" w:lineRule="auto"/>
        <w:jc w:val="both"/>
        <w:rPr>
          <w:bCs/>
          <w:sz w:val="22"/>
          <w:szCs w:val="22"/>
          <w:lang w:val="es-MX"/>
        </w:rPr>
      </w:pPr>
    </w:p>
    <w:p w14:paraId="6E4E8F45" w14:textId="77777777" w:rsidR="00B20293" w:rsidRPr="00D06C4C" w:rsidRDefault="00B20293" w:rsidP="00DE0125">
      <w:pPr>
        <w:numPr>
          <w:ilvl w:val="0"/>
          <w:numId w:val="6"/>
        </w:numPr>
        <w:spacing w:line="360" w:lineRule="auto"/>
        <w:ind w:left="0"/>
        <w:jc w:val="both"/>
        <w:rPr>
          <w:sz w:val="22"/>
          <w:szCs w:val="22"/>
          <w:lang w:val="es-MX"/>
        </w:rPr>
      </w:pPr>
      <w:r w:rsidRPr="00D06C4C">
        <w:rPr>
          <w:sz w:val="22"/>
          <w:szCs w:val="22"/>
          <w:lang w:val="es-MX"/>
        </w:rPr>
        <w:t>Invitar a los Estados Miembros que aún no lo han hecho a que consideren la posibilidad de ratificar o adherirse, según sea el caso, a la Convención Interamericana contra el Terrorismo adoptada en Bridgetown, Barbados, el 3 de junio de 2002 y a apoyar su plena implementación.</w:t>
      </w:r>
    </w:p>
    <w:p w14:paraId="56DB3596" w14:textId="77777777" w:rsidR="00B20293" w:rsidRPr="00D06C4C" w:rsidRDefault="00B20293" w:rsidP="00DE0125">
      <w:pPr>
        <w:spacing w:line="360" w:lineRule="auto"/>
        <w:jc w:val="both"/>
        <w:rPr>
          <w:sz w:val="22"/>
          <w:szCs w:val="22"/>
          <w:lang w:val="es-MX"/>
        </w:rPr>
      </w:pPr>
    </w:p>
    <w:p w14:paraId="32A3AE82" w14:textId="77777777" w:rsidR="00B20293" w:rsidRPr="00D06C4C" w:rsidRDefault="00B20293" w:rsidP="00DE0125">
      <w:pPr>
        <w:numPr>
          <w:ilvl w:val="0"/>
          <w:numId w:val="6"/>
        </w:numPr>
        <w:spacing w:line="360" w:lineRule="auto"/>
        <w:ind w:left="0"/>
        <w:jc w:val="both"/>
        <w:rPr>
          <w:sz w:val="22"/>
          <w:szCs w:val="22"/>
          <w:lang w:val="es-MX"/>
        </w:rPr>
      </w:pPr>
      <w:r w:rsidRPr="00D06C4C">
        <w:rPr>
          <w:sz w:val="22"/>
          <w:szCs w:val="22"/>
          <w:lang w:val="es-MX"/>
        </w:rPr>
        <w:t xml:space="preserve">Convocar a la primera reunión de los Estados Parte de la Convención Interamericana contra el Terrorismo en 2022 para conmemorar el vigésimo aniversario de su firma. </w:t>
      </w:r>
    </w:p>
    <w:p w14:paraId="4C6A8419" w14:textId="77777777" w:rsidR="00B20293" w:rsidRPr="00D06C4C" w:rsidRDefault="00B20293" w:rsidP="00DE0125">
      <w:pPr>
        <w:spacing w:line="360" w:lineRule="auto"/>
        <w:jc w:val="both"/>
        <w:rPr>
          <w:sz w:val="22"/>
          <w:szCs w:val="22"/>
          <w:lang w:val="es-MX"/>
        </w:rPr>
      </w:pPr>
    </w:p>
    <w:p w14:paraId="2D5A88E0" w14:textId="77777777" w:rsidR="00B20293" w:rsidRPr="00D06C4C" w:rsidRDefault="00B20293" w:rsidP="00DE0125">
      <w:pPr>
        <w:spacing w:line="360" w:lineRule="auto"/>
        <w:jc w:val="both"/>
        <w:rPr>
          <w:b/>
          <w:bCs/>
          <w:sz w:val="22"/>
          <w:szCs w:val="22"/>
          <w:lang w:val="es-MX"/>
        </w:rPr>
      </w:pPr>
      <w:r w:rsidRPr="00D06C4C">
        <w:rPr>
          <w:b/>
          <w:bCs/>
          <w:sz w:val="22"/>
          <w:szCs w:val="22"/>
          <w:lang w:val="es-MX"/>
        </w:rPr>
        <w:t>Comité Interamericano contra el Terrorismo (CICTE)</w:t>
      </w:r>
    </w:p>
    <w:p w14:paraId="0541D265" w14:textId="77777777" w:rsidR="00B20293" w:rsidRPr="00D06C4C" w:rsidRDefault="00B20293" w:rsidP="00DE0125">
      <w:pPr>
        <w:spacing w:line="360" w:lineRule="auto"/>
        <w:jc w:val="both"/>
        <w:rPr>
          <w:sz w:val="22"/>
          <w:szCs w:val="22"/>
          <w:lang w:val="es-MX"/>
        </w:rPr>
      </w:pPr>
    </w:p>
    <w:p w14:paraId="49311813" w14:textId="77777777" w:rsidR="00B20293" w:rsidRPr="00D06C4C" w:rsidRDefault="00B20293" w:rsidP="00DE0125">
      <w:pPr>
        <w:numPr>
          <w:ilvl w:val="0"/>
          <w:numId w:val="7"/>
        </w:numPr>
        <w:spacing w:line="360" w:lineRule="auto"/>
        <w:ind w:left="0"/>
        <w:jc w:val="both"/>
        <w:rPr>
          <w:sz w:val="22"/>
          <w:szCs w:val="22"/>
          <w:lang w:val="es-MX"/>
        </w:rPr>
      </w:pPr>
      <w:r w:rsidRPr="00D06C4C">
        <w:rPr>
          <w:sz w:val="22"/>
          <w:szCs w:val="22"/>
          <w:lang w:val="es-MX"/>
        </w:rPr>
        <w:t>Reiterar su condena firme e inequívoca del terrorismo en todas sus formas y manifestaciones, independientemente de quién lo cometa, dónde y con qué propósito.</w:t>
      </w:r>
    </w:p>
    <w:p w14:paraId="7B757142" w14:textId="77777777" w:rsidR="00B20293" w:rsidRPr="00D06C4C" w:rsidRDefault="00B20293" w:rsidP="00DE0125">
      <w:pPr>
        <w:spacing w:line="360" w:lineRule="auto"/>
        <w:jc w:val="both"/>
        <w:rPr>
          <w:sz w:val="22"/>
          <w:szCs w:val="22"/>
          <w:lang w:val="es-MX"/>
        </w:rPr>
      </w:pPr>
    </w:p>
    <w:p w14:paraId="6386E171" w14:textId="381FFDC8" w:rsidR="00B20293" w:rsidRPr="00D06C4C" w:rsidRDefault="00B20293" w:rsidP="00DE0125">
      <w:pPr>
        <w:numPr>
          <w:ilvl w:val="0"/>
          <w:numId w:val="7"/>
        </w:numPr>
        <w:spacing w:line="360" w:lineRule="auto"/>
        <w:ind w:left="0"/>
        <w:jc w:val="both"/>
        <w:rPr>
          <w:sz w:val="22"/>
          <w:szCs w:val="22"/>
          <w:lang w:val="es-MX"/>
        </w:rPr>
      </w:pPr>
      <w:r w:rsidRPr="00D06C4C">
        <w:rPr>
          <w:sz w:val="22"/>
          <w:szCs w:val="22"/>
          <w:lang w:val="es-MX"/>
        </w:rPr>
        <w:t>Reafirmar su compromiso con el trabajo del Comité Interamericano contra el Terrorismo (CICTE) como la principal entidad regional para prevenir y combatir el terrorismo en las Américas, reconocer sus grandes logros a lo largo de más de 20 años y apoyar la implementación de su plan de trabajo 2021-2022.</w:t>
      </w:r>
    </w:p>
    <w:p w14:paraId="433D114A" w14:textId="77777777" w:rsidR="0054553B" w:rsidRPr="00F3262A" w:rsidRDefault="0054553B" w:rsidP="00DE0125">
      <w:pPr>
        <w:spacing w:line="360" w:lineRule="auto"/>
        <w:rPr>
          <w:lang w:val="es-MX"/>
        </w:rPr>
      </w:pPr>
    </w:p>
    <w:p w14:paraId="61AFC4D4" w14:textId="55F75111" w:rsidR="0054553B" w:rsidRPr="00D06C4C" w:rsidRDefault="0054553B" w:rsidP="00DE0125">
      <w:pPr>
        <w:numPr>
          <w:ilvl w:val="0"/>
          <w:numId w:val="7"/>
        </w:numPr>
        <w:spacing w:line="360" w:lineRule="auto"/>
        <w:ind w:left="0"/>
        <w:jc w:val="both"/>
        <w:rPr>
          <w:sz w:val="22"/>
          <w:szCs w:val="22"/>
          <w:lang w:val="es-MX"/>
        </w:rPr>
      </w:pPr>
      <w:r w:rsidRPr="00D06C4C">
        <w:rPr>
          <w:sz w:val="22"/>
          <w:szCs w:val="22"/>
          <w:lang w:val="es-MX"/>
        </w:rPr>
        <w:t xml:space="preserve">Instar a los Estados Miembros a que, con apoyo de la Secretaría del CICTE, continúen implementando las medidas de fomento de la confianza cibernética identificadas en la Lista de medidas de fomento de la confianza y la seguridad de la OEA (CP/CSH-1953/20 </w:t>
      </w:r>
      <w:proofErr w:type="spellStart"/>
      <w:r w:rsidRPr="00D06C4C">
        <w:rPr>
          <w:sz w:val="22"/>
          <w:szCs w:val="22"/>
          <w:lang w:val="es-MX"/>
        </w:rPr>
        <w:t>rev.</w:t>
      </w:r>
      <w:proofErr w:type="spellEnd"/>
      <w:r w:rsidRPr="00D06C4C">
        <w:rPr>
          <w:sz w:val="22"/>
          <w:szCs w:val="22"/>
          <w:lang w:val="es-MX"/>
        </w:rPr>
        <w:t xml:space="preserve"> 1.), en particular a través </w:t>
      </w:r>
      <w:r w:rsidRPr="00D06C4C">
        <w:rPr>
          <w:sz w:val="22"/>
          <w:szCs w:val="22"/>
          <w:lang w:val="es-MX"/>
        </w:rPr>
        <w:lastRenderedPageBreak/>
        <w:t xml:space="preserve">del fortalecimiento de las capacidades nacionales y de la promoción del Portal de Puntos de Contacto, con el objeto de fortalecer la cooperación regional, la transparencia, la previsibilidad y la estabilidad en el ciberespacio, así como para fomentar la acción regional en respuesta a incidentes cibernéticos maliciosos que amenazan la seguridad nacional de los Estados miembros y nuestra visión común de un entorno digital abierto, accesible, interoperable, confiable, pacífico y seguro. </w:t>
      </w:r>
    </w:p>
    <w:p w14:paraId="47E1A02E" w14:textId="77777777" w:rsidR="0054553B" w:rsidRPr="00D06C4C" w:rsidRDefault="0054553B" w:rsidP="00DE0125">
      <w:pPr>
        <w:spacing w:line="360" w:lineRule="auto"/>
        <w:jc w:val="both"/>
        <w:rPr>
          <w:sz w:val="22"/>
          <w:szCs w:val="22"/>
          <w:lang w:val="es-MX"/>
        </w:rPr>
      </w:pPr>
    </w:p>
    <w:p w14:paraId="2F1ED88D" w14:textId="1FEA3B5E" w:rsidR="0054553B" w:rsidRPr="00D06C4C" w:rsidRDefault="0054553B" w:rsidP="00DE0125">
      <w:pPr>
        <w:numPr>
          <w:ilvl w:val="0"/>
          <w:numId w:val="7"/>
        </w:numPr>
        <w:spacing w:line="360" w:lineRule="auto"/>
        <w:ind w:left="0"/>
        <w:jc w:val="both"/>
        <w:rPr>
          <w:sz w:val="22"/>
          <w:szCs w:val="22"/>
          <w:lang w:val="es-MX"/>
        </w:rPr>
      </w:pPr>
      <w:r w:rsidRPr="00D06C4C">
        <w:rPr>
          <w:sz w:val="22"/>
          <w:szCs w:val="22"/>
          <w:lang w:val="es-MX"/>
        </w:rPr>
        <w:t xml:space="preserve">Fomentar la cooperación, el intercambio de mejores prácticas, así como el desarrollo y fortalecimiento de capacidades en ciber diplomacia, ciberseguridad, lucha contra la ciberdelincuencia y promoción de un ciberespacio abierto, accesible, interoperable, confiable, pacífico y seguro. </w:t>
      </w:r>
    </w:p>
    <w:p w14:paraId="77F44775" w14:textId="77777777" w:rsidR="007F03EE" w:rsidRPr="00D06C4C" w:rsidRDefault="007F03EE" w:rsidP="00DE0125">
      <w:pPr>
        <w:spacing w:line="360" w:lineRule="auto"/>
        <w:jc w:val="both"/>
        <w:rPr>
          <w:sz w:val="22"/>
          <w:szCs w:val="22"/>
          <w:lang w:val="es-MX"/>
        </w:rPr>
      </w:pPr>
    </w:p>
    <w:p w14:paraId="1D9B1010" w14:textId="2E8BEC35" w:rsidR="0054553B" w:rsidRPr="00D06C4C" w:rsidRDefault="0054553B" w:rsidP="00DE0125">
      <w:pPr>
        <w:numPr>
          <w:ilvl w:val="0"/>
          <w:numId w:val="7"/>
        </w:numPr>
        <w:spacing w:line="360" w:lineRule="auto"/>
        <w:ind w:left="0"/>
        <w:jc w:val="both"/>
        <w:rPr>
          <w:sz w:val="22"/>
          <w:szCs w:val="22"/>
          <w:lang w:val="es-MX"/>
        </w:rPr>
      </w:pPr>
      <w:r w:rsidRPr="00D06C4C">
        <w:rPr>
          <w:sz w:val="22"/>
          <w:szCs w:val="22"/>
          <w:lang w:val="es-MX"/>
        </w:rPr>
        <w:t>Solicitar a los expertos del Grupo de Trabajo sobre Medidas de Cooperación y Confianza en el Ciberespacio que estudien formas de mejorar la implementación de las normas para el comportamiento responsable de los Estados en el ciberespacio contenidas en los informes del Grupo de Expertos Gubernamentales sobre la promoción del Comportamiento Responsable de los Estados en el Ciberespacio en el contexto de la seguridad internacional (GGE) y Grupo de Trabajo de Composición Abierta sobre los Avances en la Esfera de la Información y las Telecomunicaciones en el Contexto de la Seguridad Internacional (OEWG), y solicitar a la Secretaría del CICTE que apoye este esfuerzo.</w:t>
      </w:r>
    </w:p>
    <w:p w14:paraId="48F17556" w14:textId="722F340A" w:rsidR="00D06C4C" w:rsidRPr="00D06C4C" w:rsidRDefault="00D06C4C" w:rsidP="00DE0125">
      <w:pPr>
        <w:spacing w:line="360" w:lineRule="auto"/>
        <w:jc w:val="both"/>
        <w:rPr>
          <w:sz w:val="22"/>
          <w:szCs w:val="22"/>
          <w:lang w:val="es-MX"/>
        </w:rPr>
      </w:pPr>
    </w:p>
    <w:p w14:paraId="17EC4EA2" w14:textId="5F915F03" w:rsidR="00D06C4C" w:rsidRPr="00D06C4C" w:rsidRDefault="00D06C4C" w:rsidP="00DE0125">
      <w:pPr>
        <w:spacing w:line="360" w:lineRule="auto"/>
        <w:ind w:firstLine="720"/>
        <w:jc w:val="both"/>
        <w:rPr>
          <w:sz w:val="22"/>
          <w:szCs w:val="22"/>
          <w:lang w:val="es-MX"/>
        </w:rPr>
      </w:pPr>
      <w:r w:rsidRPr="00A42D17">
        <w:rPr>
          <w:b/>
          <w:bCs/>
          <w:color w:val="201F1E"/>
          <w:sz w:val="22"/>
          <w:lang w:val="es-MX"/>
        </w:rPr>
        <w:t>5 bis</w:t>
      </w:r>
      <w:r w:rsidRPr="00D06C4C">
        <w:rPr>
          <w:color w:val="201F1E"/>
          <w:sz w:val="22"/>
          <w:lang w:val="es-MX"/>
        </w:rPr>
        <w:t>. [CH, MEX y EE. UU.: Hacer suyos los informes consensuados 2021 del Grupo de Trabajo de Composición Abierta sobre los Avances en la Esfera de la Información y las Telecomunicaciones en el Contexto de la Seguridad Internacional y del Grupo de Expertos Gubernamentales sobre la promoción del comportamiento responsable de los Estados en el ciberespacio en el contexto de la seguridad internacional, y comprometerse a apoyar e implementar el marco de referencia sobre el comportamiento responsable de los Estados, plasmado en esos informes.]</w:t>
      </w:r>
    </w:p>
    <w:p w14:paraId="23AF368E" w14:textId="77777777" w:rsidR="0054553B" w:rsidRPr="00D06C4C" w:rsidRDefault="0054553B" w:rsidP="00DE0125">
      <w:pPr>
        <w:spacing w:line="360" w:lineRule="auto"/>
        <w:jc w:val="both"/>
        <w:rPr>
          <w:sz w:val="22"/>
          <w:szCs w:val="22"/>
          <w:lang w:val="es-MX"/>
        </w:rPr>
      </w:pPr>
    </w:p>
    <w:p w14:paraId="5FAB4149" w14:textId="55E85C54" w:rsidR="0054553B" w:rsidRPr="00D06C4C" w:rsidRDefault="0054553B" w:rsidP="00DE0125">
      <w:pPr>
        <w:numPr>
          <w:ilvl w:val="0"/>
          <w:numId w:val="7"/>
        </w:numPr>
        <w:spacing w:line="360" w:lineRule="auto"/>
        <w:ind w:left="0"/>
        <w:jc w:val="both"/>
        <w:rPr>
          <w:sz w:val="22"/>
          <w:szCs w:val="22"/>
          <w:lang w:val="es-MX"/>
        </w:rPr>
      </w:pPr>
      <w:r w:rsidRPr="00D06C4C">
        <w:rPr>
          <w:sz w:val="22"/>
          <w:szCs w:val="22"/>
          <w:lang w:val="es-MX"/>
        </w:rPr>
        <w:t xml:space="preserve">Convocar la Cuarta Reunión del Grupo de Trabajo sobre Medidas de Cooperación y Confianza en el Ciberespacio para el primer semestre del 2022. </w:t>
      </w:r>
    </w:p>
    <w:p w14:paraId="48839E9E" w14:textId="77777777" w:rsidR="00B20293" w:rsidRPr="00D06C4C" w:rsidRDefault="00B20293" w:rsidP="00DE0125">
      <w:pPr>
        <w:spacing w:line="360" w:lineRule="auto"/>
        <w:jc w:val="both"/>
        <w:rPr>
          <w:sz w:val="22"/>
          <w:szCs w:val="22"/>
          <w:lang w:val="es-MX"/>
        </w:rPr>
      </w:pPr>
    </w:p>
    <w:p w14:paraId="7C68E2D2" w14:textId="77777777" w:rsidR="00B20293" w:rsidRPr="00D06C4C" w:rsidRDefault="00B20293" w:rsidP="00DE0125">
      <w:pPr>
        <w:numPr>
          <w:ilvl w:val="0"/>
          <w:numId w:val="7"/>
        </w:numPr>
        <w:spacing w:line="360" w:lineRule="auto"/>
        <w:ind w:left="0"/>
        <w:jc w:val="both"/>
        <w:rPr>
          <w:sz w:val="22"/>
          <w:szCs w:val="22"/>
          <w:lang w:val="es-MX"/>
        </w:rPr>
      </w:pPr>
      <w:r w:rsidRPr="00D06C4C">
        <w:rPr>
          <w:sz w:val="22"/>
          <w:szCs w:val="22"/>
          <w:lang w:val="es-MX"/>
        </w:rPr>
        <w:t xml:space="preserve">Solicitar que la SSM, a través de la Secretaría del CICTE, brinde asistencia legislativa y técnica y capacitación, cuando corresponda y de acuerdo con las leyes nacionales, y que implemente mecanismos para fortalecer la identificación e investigación de los grupos delictivos terroristas que </w:t>
      </w:r>
      <w:r w:rsidRPr="00D06C4C">
        <w:rPr>
          <w:sz w:val="22"/>
          <w:szCs w:val="22"/>
          <w:lang w:val="es-MX"/>
        </w:rPr>
        <w:lastRenderedPageBreak/>
        <w:t xml:space="preserve">operan en la región, incluyendo a través de cooperación en materia de inteligencia e intercambio de información. </w:t>
      </w:r>
    </w:p>
    <w:p w14:paraId="5ED280CF" w14:textId="77777777" w:rsidR="00B20293" w:rsidRPr="00D06C4C" w:rsidRDefault="00B20293" w:rsidP="00DE0125">
      <w:pPr>
        <w:spacing w:line="360" w:lineRule="auto"/>
        <w:jc w:val="both"/>
        <w:rPr>
          <w:sz w:val="22"/>
          <w:szCs w:val="22"/>
          <w:lang w:val="es-MX"/>
        </w:rPr>
      </w:pPr>
    </w:p>
    <w:p w14:paraId="4CA45C0A" w14:textId="5F6DE88B" w:rsidR="00B20293" w:rsidRPr="00D06C4C" w:rsidRDefault="00B20293" w:rsidP="00DE0125">
      <w:pPr>
        <w:numPr>
          <w:ilvl w:val="0"/>
          <w:numId w:val="7"/>
        </w:numPr>
        <w:spacing w:line="360" w:lineRule="auto"/>
        <w:ind w:left="0"/>
        <w:jc w:val="both"/>
        <w:rPr>
          <w:sz w:val="22"/>
          <w:szCs w:val="22"/>
          <w:lang w:val="es-MX"/>
        </w:rPr>
      </w:pPr>
      <w:r w:rsidRPr="00D06C4C">
        <w:rPr>
          <w:sz w:val="22"/>
          <w:szCs w:val="22"/>
          <w:lang w:val="es-MX"/>
        </w:rPr>
        <w:t xml:space="preserve">Encomendarle a la Secretaría General de la OEA que, en vista de los vínculos emergentes y deplorables entre la delincuencia organizada transnacional y el terrorismo en todas sus formas, convoque, a través de la SSM, a una reunión conjunta del Comité Interamericano contra el Terrorismo (CICTE) y la Comisión Interamericana para el Control del Abuso de Drogas (CICAD), durante el segundo trimestre de 2022, para debatir las brechas existentes y fortalecer la cooperación hemisférica con vistas a prevenir y mitigar el impacto de este flagelo en nuestro </w:t>
      </w:r>
      <w:r w:rsidR="007F03EE" w:rsidRPr="00D06C4C">
        <w:rPr>
          <w:sz w:val="22"/>
          <w:szCs w:val="22"/>
          <w:lang w:val="es-MX"/>
        </w:rPr>
        <w:t>h</w:t>
      </w:r>
      <w:r w:rsidRPr="00D06C4C">
        <w:rPr>
          <w:sz w:val="22"/>
          <w:szCs w:val="22"/>
          <w:lang w:val="es-MX"/>
        </w:rPr>
        <w:t xml:space="preserve">emisferio. </w:t>
      </w:r>
    </w:p>
    <w:p w14:paraId="586BD97A" w14:textId="77777777" w:rsidR="00B20293" w:rsidRPr="00D06C4C" w:rsidRDefault="00B20293" w:rsidP="00DE0125">
      <w:pPr>
        <w:spacing w:line="360" w:lineRule="auto"/>
        <w:contextualSpacing/>
        <w:jc w:val="both"/>
        <w:rPr>
          <w:sz w:val="22"/>
          <w:szCs w:val="22"/>
          <w:lang w:val="es-MX"/>
        </w:rPr>
      </w:pPr>
    </w:p>
    <w:p w14:paraId="3C830219" w14:textId="77777777" w:rsidR="00B20293" w:rsidRPr="00D06C4C" w:rsidRDefault="00B20293" w:rsidP="00DE0125">
      <w:pPr>
        <w:numPr>
          <w:ilvl w:val="0"/>
          <w:numId w:val="7"/>
        </w:numPr>
        <w:spacing w:line="360" w:lineRule="auto"/>
        <w:ind w:left="0"/>
        <w:jc w:val="both"/>
        <w:rPr>
          <w:sz w:val="22"/>
          <w:szCs w:val="22"/>
          <w:lang w:val="es-MX"/>
        </w:rPr>
      </w:pPr>
      <w:r w:rsidRPr="00D06C4C">
        <w:rPr>
          <w:sz w:val="22"/>
          <w:szCs w:val="22"/>
          <w:lang w:val="es-MX"/>
        </w:rPr>
        <w:t>Convocar al vigésimo segundo período ordinario de sesiones del CICTE durante el primer semestre de 2022 o con suficiente antelación al período ordinario de sesiones de la Asamblea General de ese año.</w:t>
      </w:r>
    </w:p>
    <w:p w14:paraId="08F45EB0" w14:textId="77777777" w:rsidR="00B20293" w:rsidRPr="00D06C4C" w:rsidRDefault="00B20293" w:rsidP="00DE0125">
      <w:pPr>
        <w:spacing w:line="360" w:lineRule="auto"/>
        <w:jc w:val="both"/>
        <w:rPr>
          <w:sz w:val="22"/>
          <w:szCs w:val="22"/>
          <w:lang w:val="es-MX"/>
        </w:rPr>
      </w:pPr>
    </w:p>
    <w:p w14:paraId="21E1451B" w14:textId="77777777" w:rsidR="00B20293" w:rsidRPr="00D06C4C" w:rsidRDefault="00B20293" w:rsidP="00DE0125">
      <w:pPr>
        <w:widowControl w:val="0"/>
        <w:tabs>
          <w:tab w:val="left" w:pos="6840"/>
        </w:tabs>
        <w:spacing w:line="360" w:lineRule="auto"/>
        <w:ind w:right="-29"/>
        <w:jc w:val="both"/>
        <w:rPr>
          <w:sz w:val="22"/>
          <w:szCs w:val="22"/>
          <w:lang w:val="es-MX"/>
        </w:rPr>
      </w:pPr>
    </w:p>
    <w:p w14:paraId="5A24D501" w14:textId="77777777" w:rsidR="00B20293" w:rsidRPr="00D06C4C" w:rsidRDefault="00B20293" w:rsidP="00DE0125">
      <w:pPr>
        <w:widowControl w:val="0"/>
        <w:tabs>
          <w:tab w:val="left" w:pos="6840"/>
        </w:tabs>
        <w:spacing w:line="360" w:lineRule="auto"/>
        <w:ind w:right="-29"/>
        <w:jc w:val="both"/>
        <w:rPr>
          <w:sz w:val="22"/>
          <w:szCs w:val="22"/>
          <w:lang w:val="es-MX"/>
        </w:rPr>
      </w:pPr>
    </w:p>
    <w:p w14:paraId="520C6A0B" w14:textId="77777777" w:rsidR="00B20293" w:rsidRPr="00D06C4C" w:rsidRDefault="00B20293" w:rsidP="0054553B">
      <w:pPr>
        <w:widowControl w:val="0"/>
        <w:tabs>
          <w:tab w:val="left" w:pos="6840"/>
        </w:tabs>
        <w:ind w:right="-29"/>
        <w:jc w:val="both"/>
        <w:rPr>
          <w:sz w:val="22"/>
          <w:szCs w:val="22"/>
          <w:lang w:val="es-MX"/>
        </w:rPr>
      </w:pPr>
    </w:p>
    <w:p w14:paraId="723DC48B" w14:textId="281801D2" w:rsidR="00B20293" w:rsidRPr="00D06C4C" w:rsidRDefault="00F3262A" w:rsidP="0054553B">
      <w:pPr>
        <w:widowControl w:val="0"/>
        <w:tabs>
          <w:tab w:val="left" w:pos="6840"/>
        </w:tabs>
        <w:ind w:right="-29"/>
        <w:jc w:val="both"/>
        <w:rPr>
          <w:sz w:val="22"/>
          <w:szCs w:val="22"/>
          <w:lang w:val="es-MX"/>
        </w:rPr>
      </w:pPr>
      <w:r>
        <w:rPr>
          <w:noProof/>
          <w:sz w:val="22"/>
          <w:szCs w:val="22"/>
          <w:lang w:val="es-MX"/>
        </w:rPr>
        <mc:AlternateContent>
          <mc:Choice Requires="wps">
            <w:drawing>
              <wp:anchor distT="0" distB="0" distL="114300" distR="114300" simplePos="0" relativeHeight="251659264" behindDoc="0" locked="1" layoutInCell="1" allowOverlap="1" wp14:anchorId="3C0A9953" wp14:editId="361FCDE2">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5547F00" w14:textId="648C8667" w:rsidR="00F3262A" w:rsidRPr="00F3262A" w:rsidRDefault="00F3262A">
                            <w:pPr>
                              <w:rPr>
                                <w:sz w:val="18"/>
                              </w:rPr>
                            </w:pPr>
                            <w:r>
                              <w:rPr>
                                <w:sz w:val="18"/>
                              </w:rPr>
                              <w:fldChar w:fldCharType="begin"/>
                            </w:r>
                            <w:r>
                              <w:rPr>
                                <w:sz w:val="18"/>
                              </w:rPr>
                              <w:instrText xml:space="preserve"> FILENAME  \* MERGEFORMAT </w:instrText>
                            </w:r>
                            <w:r>
                              <w:rPr>
                                <w:sz w:val="18"/>
                              </w:rPr>
                              <w:fldChar w:fldCharType="separate"/>
                            </w:r>
                            <w:r w:rsidR="00FC0E71">
                              <w:rPr>
                                <w:noProof/>
                                <w:sz w:val="18"/>
                              </w:rPr>
                              <w:t>CICTE01440S01.docx</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0A9953"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75547F00" w14:textId="648C8667" w:rsidR="00F3262A" w:rsidRPr="00F3262A" w:rsidRDefault="00F3262A">
                      <w:pPr>
                        <w:rPr>
                          <w:sz w:val="18"/>
                        </w:rPr>
                      </w:pPr>
                      <w:r>
                        <w:rPr>
                          <w:sz w:val="18"/>
                        </w:rPr>
                        <w:fldChar w:fldCharType="begin"/>
                      </w:r>
                      <w:r>
                        <w:rPr>
                          <w:sz w:val="18"/>
                        </w:rPr>
                        <w:instrText xml:space="preserve"> FILENAME  \* MERGEFORMAT </w:instrText>
                      </w:r>
                      <w:r>
                        <w:rPr>
                          <w:sz w:val="18"/>
                        </w:rPr>
                        <w:fldChar w:fldCharType="separate"/>
                      </w:r>
                      <w:r w:rsidR="00FC0E71">
                        <w:rPr>
                          <w:noProof/>
                          <w:sz w:val="18"/>
                        </w:rPr>
                        <w:t>CICTE01440S01.docx</w:t>
                      </w:r>
                      <w:r>
                        <w:rPr>
                          <w:sz w:val="18"/>
                        </w:rPr>
                        <w:fldChar w:fldCharType="end"/>
                      </w:r>
                    </w:p>
                  </w:txbxContent>
                </v:textbox>
                <w10:wrap anchory="page"/>
                <w10:anchorlock/>
              </v:shape>
            </w:pict>
          </mc:Fallback>
        </mc:AlternateContent>
      </w:r>
    </w:p>
    <w:sectPr w:rsidR="00B20293" w:rsidRPr="00D06C4C" w:rsidSect="00947CB5">
      <w:headerReference w:type="default" r:id="rId10"/>
      <w:headerReference w:type="first" r:id="rId11"/>
      <w:type w:val="oddPage"/>
      <w:pgSz w:w="12240" w:h="15840"/>
      <w:pgMar w:top="2160" w:right="1570" w:bottom="1296" w:left="1699" w:header="720" w:footer="720" w:gutter="0"/>
      <w:pgNumType w:fmt="numberInDash"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0FE4" w14:textId="77777777" w:rsidR="001A5E83" w:rsidRPr="00E3460E" w:rsidRDefault="001A5E83" w:rsidP="00876D80">
      <w:pPr>
        <w:rPr>
          <w:noProof/>
        </w:rPr>
      </w:pPr>
      <w:r w:rsidRPr="00E3460E">
        <w:rPr>
          <w:noProof/>
        </w:rPr>
        <w:separator/>
      </w:r>
    </w:p>
  </w:endnote>
  <w:endnote w:type="continuationSeparator" w:id="0">
    <w:p w14:paraId="6A2A8A98" w14:textId="77777777" w:rsidR="001A5E83" w:rsidRPr="00E3460E" w:rsidRDefault="001A5E83" w:rsidP="00876D80">
      <w:pPr>
        <w:rPr>
          <w:noProof/>
        </w:rPr>
      </w:pPr>
      <w:r w:rsidRPr="00E3460E">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1CA6A" w14:textId="77777777" w:rsidR="001A5E83" w:rsidRPr="00E3460E" w:rsidRDefault="001A5E83" w:rsidP="00876D80">
      <w:pPr>
        <w:rPr>
          <w:noProof/>
        </w:rPr>
      </w:pPr>
      <w:r w:rsidRPr="00E3460E">
        <w:rPr>
          <w:noProof/>
        </w:rPr>
        <w:separator/>
      </w:r>
    </w:p>
  </w:footnote>
  <w:footnote w:type="continuationSeparator" w:id="0">
    <w:p w14:paraId="1A2BA855" w14:textId="77777777" w:rsidR="001A5E83" w:rsidRPr="00E3460E" w:rsidRDefault="001A5E83" w:rsidP="00876D80">
      <w:pPr>
        <w:rPr>
          <w:noProof/>
        </w:rPr>
      </w:pPr>
      <w:r w:rsidRPr="00E3460E">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56F1" w14:textId="77777777" w:rsidR="00B20293" w:rsidRPr="00E3460E" w:rsidRDefault="00B20293" w:rsidP="00876D80">
    <w:pPr>
      <w:pStyle w:val="Header"/>
      <w:jc w:val="center"/>
      <w:rPr>
        <w:noProof/>
        <w:sz w:val="20"/>
        <w:szCs w:val="20"/>
      </w:rPr>
    </w:pPr>
    <w:r w:rsidRPr="00E3460E">
      <w:rPr>
        <w:noProof/>
        <w:sz w:val="20"/>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672B" w14:textId="73F3FBE0" w:rsidR="00B20293" w:rsidRDefault="00675DC1">
    <w:pPr>
      <w:pStyle w:val="Header"/>
    </w:pPr>
    <w:r>
      <w:rPr>
        <w:noProof/>
      </w:rPr>
      <w:drawing>
        <wp:anchor distT="0" distB="0" distL="114300" distR="114300" simplePos="0" relativeHeight="251659264" behindDoc="0" locked="0" layoutInCell="1" allowOverlap="1" wp14:anchorId="35B5D7D4" wp14:editId="43C4360E">
          <wp:simplePos x="0" y="0"/>
          <wp:positionH relativeFrom="column">
            <wp:posOffset>0</wp:posOffset>
          </wp:positionH>
          <wp:positionV relativeFrom="paragraph">
            <wp:posOffset>-57150</wp:posOffset>
          </wp:positionV>
          <wp:extent cx="2258695" cy="6394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C0D79"/>
    <w:multiLevelType w:val="hybridMultilevel"/>
    <w:tmpl w:val="32C8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429DD"/>
    <w:multiLevelType w:val="hybridMultilevel"/>
    <w:tmpl w:val="9690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71876"/>
    <w:multiLevelType w:val="hybridMultilevel"/>
    <w:tmpl w:val="40546A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803326D"/>
    <w:multiLevelType w:val="hybridMultilevel"/>
    <w:tmpl w:val="275EB7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5663E99"/>
    <w:multiLevelType w:val="hybridMultilevel"/>
    <w:tmpl w:val="4666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C476B"/>
    <w:multiLevelType w:val="hybridMultilevel"/>
    <w:tmpl w:val="30CEDFD2"/>
    <w:lvl w:ilvl="0" w:tplc="219A60C0">
      <w:start w:val="1"/>
      <w:numFmt w:val="decimal"/>
      <w:lvlText w:val="%1."/>
      <w:lvlJc w:val="left"/>
      <w:pPr>
        <w:ind w:left="180" w:firstLine="720"/>
      </w:pPr>
      <w:rPr>
        <w:rFonts w:cs="Times New Roman" w:hint="default"/>
        <w:b w:val="0"/>
        <w:bCs w:val="0"/>
        <w:i w:val="0"/>
        <w:iCs w:val="0"/>
        <w:strike w:val="0"/>
        <w:dstrike w:val="0"/>
        <w:vanish w:val="0"/>
        <w:color w:val="auto"/>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6" w15:restartNumberingAfterBreak="0">
    <w:nsid w:val="544116A5"/>
    <w:multiLevelType w:val="hybridMultilevel"/>
    <w:tmpl w:val="1098E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1C436BC"/>
    <w:multiLevelType w:val="hybridMultilevel"/>
    <w:tmpl w:val="6AFCB744"/>
    <w:lvl w:ilvl="0" w:tplc="5FE8A05A">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80"/>
    <w:rsid w:val="000112BD"/>
    <w:rsid w:val="000120B2"/>
    <w:rsid w:val="00021D96"/>
    <w:rsid w:val="0003568D"/>
    <w:rsid w:val="000673E7"/>
    <w:rsid w:val="00067FCF"/>
    <w:rsid w:val="000A108D"/>
    <w:rsid w:val="000A63B5"/>
    <w:rsid w:val="00101A8F"/>
    <w:rsid w:val="001377C8"/>
    <w:rsid w:val="00143EA5"/>
    <w:rsid w:val="001578A0"/>
    <w:rsid w:val="00160D8F"/>
    <w:rsid w:val="00160D95"/>
    <w:rsid w:val="00162440"/>
    <w:rsid w:val="0016675D"/>
    <w:rsid w:val="0017360D"/>
    <w:rsid w:val="00182CE8"/>
    <w:rsid w:val="001A5E83"/>
    <w:rsid w:val="001A67A2"/>
    <w:rsid w:val="001A7B5E"/>
    <w:rsid w:val="001B0D01"/>
    <w:rsid w:val="001B4132"/>
    <w:rsid w:val="001B500D"/>
    <w:rsid w:val="001C3CE6"/>
    <w:rsid w:val="001C6786"/>
    <w:rsid w:val="001F1E1E"/>
    <w:rsid w:val="001F4213"/>
    <w:rsid w:val="002310B0"/>
    <w:rsid w:val="00250D94"/>
    <w:rsid w:val="002671EB"/>
    <w:rsid w:val="002702E0"/>
    <w:rsid w:val="002821B5"/>
    <w:rsid w:val="002A3A1D"/>
    <w:rsid w:val="002F3623"/>
    <w:rsid w:val="00300EB5"/>
    <w:rsid w:val="00311C87"/>
    <w:rsid w:val="0031650B"/>
    <w:rsid w:val="003229C6"/>
    <w:rsid w:val="00325BF5"/>
    <w:rsid w:val="00337BA6"/>
    <w:rsid w:val="00364DC5"/>
    <w:rsid w:val="00381229"/>
    <w:rsid w:val="00391A8F"/>
    <w:rsid w:val="003A2C67"/>
    <w:rsid w:val="003A5D13"/>
    <w:rsid w:val="003A6B8D"/>
    <w:rsid w:val="003A7A84"/>
    <w:rsid w:val="003F4F83"/>
    <w:rsid w:val="003F614F"/>
    <w:rsid w:val="003F66CC"/>
    <w:rsid w:val="00416CE4"/>
    <w:rsid w:val="0042391D"/>
    <w:rsid w:val="00452621"/>
    <w:rsid w:val="0048179B"/>
    <w:rsid w:val="00497923"/>
    <w:rsid w:val="004A3C6D"/>
    <w:rsid w:val="004B656A"/>
    <w:rsid w:val="004C102D"/>
    <w:rsid w:val="004C1E16"/>
    <w:rsid w:val="004C2364"/>
    <w:rsid w:val="004C507D"/>
    <w:rsid w:val="004C5A0E"/>
    <w:rsid w:val="00506F9C"/>
    <w:rsid w:val="00511635"/>
    <w:rsid w:val="00512C1A"/>
    <w:rsid w:val="00514929"/>
    <w:rsid w:val="00517549"/>
    <w:rsid w:val="005359D5"/>
    <w:rsid w:val="0054553B"/>
    <w:rsid w:val="005559C0"/>
    <w:rsid w:val="00586DA9"/>
    <w:rsid w:val="00590DFD"/>
    <w:rsid w:val="005B5833"/>
    <w:rsid w:val="005C462C"/>
    <w:rsid w:val="005F4A11"/>
    <w:rsid w:val="005F5218"/>
    <w:rsid w:val="00613700"/>
    <w:rsid w:val="00634431"/>
    <w:rsid w:val="00642283"/>
    <w:rsid w:val="00647B06"/>
    <w:rsid w:val="00671F49"/>
    <w:rsid w:val="00675DC1"/>
    <w:rsid w:val="00691749"/>
    <w:rsid w:val="00692E2F"/>
    <w:rsid w:val="006A156A"/>
    <w:rsid w:val="006B2B9B"/>
    <w:rsid w:val="006B52A2"/>
    <w:rsid w:val="006C3607"/>
    <w:rsid w:val="006F1D37"/>
    <w:rsid w:val="00744CCC"/>
    <w:rsid w:val="00755800"/>
    <w:rsid w:val="00786BB4"/>
    <w:rsid w:val="0079254E"/>
    <w:rsid w:val="00796B9C"/>
    <w:rsid w:val="007A1B45"/>
    <w:rsid w:val="007B1267"/>
    <w:rsid w:val="007C7881"/>
    <w:rsid w:val="007E19D7"/>
    <w:rsid w:val="007E3081"/>
    <w:rsid w:val="007F03EE"/>
    <w:rsid w:val="008115A8"/>
    <w:rsid w:val="0081643A"/>
    <w:rsid w:val="00821508"/>
    <w:rsid w:val="008412B4"/>
    <w:rsid w:val="00855F2E"/>
    <w:rsid w:val="00865E16"/>
    <w:rsid w:val="008762AC"/>
    <w:rsid w:val="00876D80"/>
    <w:rsid w:val="00877807"/>
    <w:rsid w:val="008D06BD"/>
    <w:rsid w:val="008D0EA9"/>
    <w:rsid w:val="008D1406"/>
    <w:rsid w:val="00900BED"/>
    <w:rsid w:val="0091244F"/>
    <w:rsid w:val="00916912"/>
    <w:rsid w:val="009224A8"/>
    <w:rsid w:val="00947CB5"/>
    <w:rsid w:val="00947F96"/>
    <w:rsid w:val="00957C3C"/>
    <w:rsid w:val="00964D83"/>
    <w:rsid w:val="00983197"/>
    <w:rsid w:val="009A6288"/>
    <w:rsid w:val="009C1B5D"/>
    <w:rsid w:val="009C1CD9"/>
    <w:rsid w:val="009C37B2"/>
    <w:rsid w:val="00A240A7"/>
    <w:rsid w:val="00A42D17"/>
    <w:rsid w:val="00A4491F"/>
    <w:rsid w:val="00A56100"/>
    <w:rsid w:val="00A67006"/>
    <w:rsid w:val="00A83D4C"/>
    <w:rsid w:val="00A86221"/>
    <w:rsid w:val="00A87C3E"/>
    <w:rsid w:val="00AA3265"/>
    <w:rsid w:val="00AC3682"/>
    <w:rsid w:val="00AC65D8"/>
    <w:rsid w:val="00AD4CAB"/>
    <w:rsid w:val="00AF1758"/>
    <w:rsid w:val="00B074CA"/>
    <w:rsid w:val="00B20293"/>
    <w:rsid w:val="00B20C43"/>
    <w:rsid w:val="00B2211B"/>
    <w:rsid w:val="00B50987"/>
    <w:rsid w:val="00B57289"/>
    <w:rsid w:val="00B6641C"/>
    <w:rsid w:val="00B7486F"/>
    <w:rsid w:val="00B771F8"/>
    <w:rsid w:val="00BC0EA8"/>
    <w:rsid w:val="00BC2361"/>
    <w:rsid w:val="00BD3A76"/>
    <w:rsid w:val="00C04BED"/>
    <w:rsid w:val="00C10439"/>
    <w:rsid w:val="00C13CE9"/>
    <w:rsid w:val="00C1697E"/>
    <w:rsid w:val="00C31ED9"/>
    <w:rsid w:val="00C57236"/>
    <w:rsid w:val="00C63855"/>
    <w:rsid w:val="00C80D8B"/>
    <w:rsid w:val="00C8488E"/>
    <w:rsid w:val="00C86E0F"/>
    <w:rsid w:val="00C93E01"/>
    <w:rsid w:val="00CE1721"/>
    <w:rsid w:val="00CE4315"/>
    <w:rsid w:val="00CE4C7D"/>
    <w:rsid w:val="00CF05BA"/>
    <w:rsid w:val="00D06C4C"/>
    <w:rsid w:val="00D42896"/>
    <w:rsid w:val="00D855F3"/>
    <w:rsid w:val="00D9258E"/>
    <w:rsid w:val="00DB13CA"/>
    <w:rsid w:val="00DB59EC"/>
    <w:rsid w:val="00DE0125"/>
    <w:rsid w:val="00DF5B2F"/>
    <w:rsid w:val="00E1313B"/>
    <w:rsid w:val="00E2013F"/>
    <w:rsid w:val="00E3460E"/>
    <w:rsid w:val="00E36D59"/>
    <w:rsid w:val="00E36EDC"/>
    <w:rsid w:val="00E47CBD"/>
    <w:rsid w:val="00E54FB2"/>
    <w:rsid w:val="00E8470A"/>
    <w:rsid w:val="00EA2D36"/>
    <w:rsid w:val="00EA4A8D"/>
    <w:rsid w:val="00EB3ED7"/>
    <w:rsid w:val="00ED52E1"/>
    <w:rsid w:val="00F3262A"/>
    <w:rsid w:val="00F41AE1"/>
    <w:rsid w:val="00F664C8"/>
    <w:rsid w:val="00F80014"/>
    <w:rsid w:val="00F8102C"/>
    <w:rsid w:val="00F8543A"/>
    <w:rsid w:val="00FA0712"/>
    <w:rsid w:val="00FB1554"/>
    <w:rsid w:val="00FB4CBD"/>
    <w:rsid w:val="00FB58F7"/>
    <w:rsid w:val="00FB756B"/>
    <w:rsid w:val="00FC0E71"/>
    <w:rsid w:val="00FD0B57"/>
    <w:rsid w:val="00FE53B3"/>
    <w:rsid w:val="00FE78E8"/>
    <w:rsid w:val="00FF4C2D"/>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6C0AE95"/>
  <w15:docId w15:val="{48FDF8EC-C1C6-4ED0-98E3-6386FFB3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D80"/>
    <w:rPr>
      <w:sz w:val="24"/>
      <w:szCs w:val="24"/>
    </w:rPr>
  </w:style>
  <w:style w:type="paragraph" w:styleId="Heading1">
    <w:name w:val="heading 1"/>
    <w:basedOn w:val="Normal"/>
    <w:next w:val="Normal"/>
    <w:link w:val="Heading1Char"/>
    <w:uiPriority w:val="99"/>
    <w:qFormat/>
    <w:rsid w:val="00D4289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qFormat/>
    <w:rsid w:val="0016244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2896"/>
    <w:rPr>
      <w:rFonts w:ascii="Calibri Light" w:hAnsi="Calibri Light" w:cs="Times New Roman"/>
      <w:b/>
      <w:snapToGrid w:val="0"/>
      <w:kern w:val="32"/>
      <w:sz w:val="32"/>
    </w:rPr>
  </w:style>
  <w:style w:type="character" w:customStyle="1" w:styleId="Heading2Char">
    <w:name w:val="Heading 2 Char"/>
    <w:basedOn w:val="DefaultParagraphFont"/>
    <w:link w:val="Heading2"/>
    <w:uiPriority w:val="99"/>
    <w:semiHidden/>
    <w:locked/>
    <w:rsid w:val="00162440"/>
    <w:rPr>
      <w:rFonts w:ascii="Calibri Light" w:hAnsi="Calibri Light" w:cs="Times New Roman"/>
      <w:b/>
      <w:i/>
      <w:snapToGrid w:val="0"/>
      <w:sz w:val="28"/>
    </w:rPr>
  </w:style>
  <w:style w:type="paragraph" w:styleId="Header">
    <w:name w:val="header"/>
    <w:basedOn w:val="Normal"/>
    <w:link w:val="HeaderChar"/>
    <w:uiPriority w:val="99"/>
    <w:rsid w:val="00876D80"/>
    <w:pPr>
      <w:tabs>
        <w:tab w:val="center" w:pos="4680"/>
        <w:tab w:val="right" w:pos="9360"/>
      </w:tabs>
    </w:pPr>
  </w:style>
  <w:style w:type="character" w:customStyle="1" w:styleId="HeaderChar">
    <w:name w:val="Header Char"/>
    <w:basedOn w:val="DefaultParagraphFont"/>
    <w:link w:val="Header"/>
    <w:uiPriority w:val="99"/>
    <w:locked/>
    <w:rsid w:val="00876D80"/>
    <w:rPr>
      <w:rFonts w:cs="Times New Roman"/>
      <w:snapToGrid w:val="0"/>
      <w:sz w:val="24"/>
    </w:rPr>
  </w:style>
  <w:style w:type="paragraph" w:styleId="Footer">
    <w:name w:val="footer"/>
    <w:basedOn w:val="Normal"/>
    <w:link w:val="FooterChar"/>
    <w:uiPriority w:val="99"/>
    <w:rsid w:val="00876D80"/>
    <w:pPr>
      <w:tabs>
        <w:tab w:val="center" w:pos="4680"/>
        <w:tab w:val="right" w:pos="9360"/>
      </w:tabs>
    </w:pPr>
  </w:style>
  <w:style w:type="character" w:customStyle="1" w:styleId="FooterChar">
    <w:name w:val="Footer Char"/>
    <w:basedOn w:val="DefaultParagraphFont"/>
    <w:link w:val="Footer"/>
    <w:uiPriority w:val="99"/>
    <w:locked/>
    <w:rsid w:val="00876D80"/>
    <w:rPr>
      <w:rFonts w:cs="Times New Roman"/>
      <w:snapToGrid w:val="0"/>
      <w:sz w:val="24"/>
    </w:rPr>
  </w:style>
  <w:style w:type="paragraph" w:styleId="BodyTextIndent3">
    <w:name w:val="Body Text Indent 3"/>
    <w:basedOn w:val="Normal"/>
    <w:link w:val="BodyTextIndent3Char"/>
    <w:uiPriority w:val="99"/>
    <w:rsid w:val="00FE78E8"/>
    <w:pPr>
      <w:spacing w:line="480" w:lineRule="auto"/>
      <w:ind w:left="90" w:firstLine="630"/>
      <w:jc w:val="both"/>
    </w:pPr>
    <w:rPr>
      <w:sz w:val="22"/>
      <w:szCs w:val="22"/>
      <w:lang w:val="es-ES" w:eastAsia="es-ES"/>
    </w:rPr>
  </w:style>
  <w:style w:type="character" w:customStyle="1" w:styleId="BodyTextIndent3Char">
    <w:name w:val="Body Text Indent 3 Char"/>
    <w:basedOn w:val="DefaultParagraphFont"/>
    <w:link w:val="BodyTextIndent3"/>
    <w:uiPriority w:val="99"/>
    <w:locked/>
    <w:rsid w:val="00FE78E8"/>
    <w:rPr>
      <w:rFonts w:cs="Times New Roman"/>
      <w:snapToGrid w:val="0"/>
      <w:sz w:val="22"/>
      <w:lang w:val="es-ES" w:eastAsia="es-ES"/>
    </w:rPr>
  </w:style>
  <w:style w:type="character" w:styleId="Hyperlink">
    <w:name w:val="Hyperlink"/>
    <w:basedOn w:val="DefaultParagraphFont"/>
    <w:uiPriority w:val="99"/>
    <w:rsid w:val="00EA4A8D"/>
    <w:rPr>
      <w:rFonts w:cs="Times New Roman"/>
      <w:color w:val="0563C1"/>
      <w:u w:val="single"/>
    </w:rPr>
  </w:style>
  <w:style w:type="character" w:styleId="Emphasis">
    <w:name w:val="Emphasis"/>
    <w:basedOn w:val="DefaultParagraphFont"/>
    <w:uiPriority w:val="99"/>
    <w:qFormat/>
    <w:rsid w:val="00D42896"/>
    <w:rPr>
      <w:rFonts w:cs="Times New Roman"/>
      <w:i/>
    </w:rPr>
  </w:style>
  <w:style w:type="character" w:customStyle="1" w:styleId="UnresolvedMention1">
    <w:name w:val="Unresolved Mention1"/>
    <w:uiPriority w:val="99"/>
    <w:semiHidden/>
    <w:rsid w:val="00CE4C7D"/>
    <w:rPr>
      <w:color w:val="605E5C"/>
      <w:shd w:val="clear" w:color="auto" w:fill="E1DFDD"/>
    </w:rPr>
  </w:style>
  <w:style w:type="paragraph" w:styleId="ListParagraph">
    <w:name w:val="List Paragraph"/>
    <w:basedOn w:val="Normal"/>
    <w:uiPriority w:val="99"/>
    <w:qFormat/>
    <w:rsid w:val="00162440"/>
    <w:pPr>
      <w:spacing w:after="200" w:line="276" w:lineRule="auto"/>
      <w:ind w:left="720"/>
      <w:contextualSpacing/>
    </w:pPr>
    <w:rPr>
      <w:rFonts w:ascii="Calibri" w:hAnsi="Calibri"/>
      <w:sz w:val="22"/>
      <w:szCs w:val="22"/>
    </w:rPr>
  </w:style>
  <w:style w:type="paragraph" w:styleId="FootnoteText">
    <w:name w:val="footnote text"/>
    <w:basedOn w:val="Normal"/>
    <w:link w:val="FootnoteTextChar"/>
    <w:uiPriority w:val="99"/>
    <w:rsid w:val="00162440"/>
    <w:rPr>
      <w:rFonts w:ascii="Calibri" w:hAnsi="Calibri"/>
      <w:sz w:val="20"/>
      <w:szCs w:val="20"/>
    </w:rPr>
  </w:style>
  <w:style w:type="character" w:customStyle="1" w:styleId="FootnoteTextChar">
    <w:name w:val="Footnote Text Char"/>
    <w:basedOn w:val="DefaultParagraphFont"/>
    <w:link w:val="FootnoteText"/>
    <w:uiPriority w:val="99"/>
    <w:locked/>
    <w:rsid w:val="00162440"/>
    <w:rPr>
      <w:rFonts w:ascii="Calibri" w:hAnsi="Calibri" w:cs="Times New Roman"/>
    </w:rPr>
  </w:style>
  <w:style w:type="character" w:styleId="FootnoteReference">
    <w:name w:val="footnote reference"/>
    <w:basedOn w:val="DefaultParagraphFont"/>
    <w:uiPriority w:val="99"/>
    <w:rsid w:val="00162440"/>
    <w:rPr>
      <w:rFonts w:cs="Times New Roman"/>
      <w:vertAlign w:val="superscript"/>
    </w:rPr>
  </w:style>
  <w:style w:type="paragraph" w:styleId="NoSpacing">
    <w:name w:val="No Spacing"/>
    <w:uiPriority w:val="99"/>
    <w:qFormat/>
    <w:rsid w:val="00162440"/>
    <w:rPr>
      <w:rFonts w:ascii="Calibri" w:hAnsi="Calibri"/>
    </w:rPr>
  </w:style>
  <w:style w:type="paragraph" w:styleId="Revision">
    <w:name w:val="Revision"/>
    <w:hidden/>
    <w:uiPriority w:val="99"/>
    <w:semiHidden/>
    <w:rsid w:val="007A1B45"/>
    <w:rPr>
      <w:sz w:val="24"/>
      <w:szCs w:val="24"/>
    </w:rPr>
  </w:style>
  <w:style w:type="character" w:styleId="CommentReference">
    <w:name w:val="annotation reference"/>
    <w:basedOn w:val="DefaultParagraphFont"/>
    <w:uiPriority w:val="99"/>
    <w:rsid w:val="007A1B45"/>
    <w:rPr>
      <w:rFonts w:cs="Times New Roman"/>
      <w:sz w:val="16"/>
    </w:rPr>
  </w:style>
  <w:style w:type="paragraph" w:styleId="CommentText">
    <w:name w:val="annotation text"/>
    <w:basedOn w:val="Normal"/>
    <w:link w:val="CommentTextChar"/>
    <w:uiPriority w:val="99"/>
    <w:rsid w:val="007A1B45"/>
    <w:rPr>
      <w:sz w:val="20"/>
      <w:szCs w:val="20"/>
    </w:rPr>
  </w:style>
  <w:style w:type="character" w:customStyle="1" w:styleId="CommentTextChar">
    <w:name w:val="Comment Text Char"/>
    <w:basedOn w:val="DefaultParagraphFont"/>
    <w:link w:val="CommentText"/>
    <w:uiPriority w:val="99"/>
    <w:locked/>
    <w:rsid w:val="007A1B45"/>
    <w:rPr>
      <w:rFonts w:cs="Times New Roman"/>
      <w:snapToGrid w:val="0"/>
      <w:lang w:val="en-US" w:eastAsia="en-US"/>
    </w:rPr>
  </w:style>
  <w:style w:type="paragraph" w:styleId="CommentSubject">
    <w:name w:val="annotation subject"/>
    <w:basedOn w:val="CommentText"/>
    <w:next w:val="CommentText"/>
    <w:link w:val="CommentSubjectChar"/>
    <w:uiPriority w:val="99"/>
    <w:rsid w:val="007A1B45"/>
    <w:rPr>
      <w:b/>
      <w:bCs/>
    </w:rPr>
  </w:style>
  <w:style w:type="character" w:customStyle="1" w:styleId="CommentSubjectChar">
    <w:name w:val="Comment Subject Char"/>
    <w:basedOn w:val="CommentTextChar"/>
    <w:link w:val="CommentSubject"/>
    <w:uiPriority w:val="99"/>
    <w:locked/>
    <w:rsid w:val="007A1B45"/>
    <w:rPr>
      <w:rFonts w:cs="Times New Roman"/>
      <w:b/>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842241">
      <w:bodyDiv w:val="1"/>
      <w:marLeft w:val="0"/>
      <w:marRight w:val="0"/>
      <w:marTop w:val="0"/>
      <w:marBottom w:val="0"/>
      <w:divBdr>
        <w:top w:val="none" w:sz="0" w:space="0" w:color="auto"/>
        <w:left w:val="none" w:sz="0" w:space="0" w:color="auto"/>
        <w:bottom w:val="none" w:sz="0" w:space="0" w:color="auto"/>
        <w:right w:val="none" w:sz="0" w:space="0" w:color="auto"/>
      </w:divBdr>
    </w:div>
    <w:div w:id="1786848455">
      <w:marLeft w:val="0"/>
      <w:marRight w:val="0"/>
      <w:marTop w:val="0"/>
      <w:marBottom w:val="0"/>
      <w:divBdr>
        <w:top w:val="none" w:sz="0" w:space="0" w:color="auto"/>
        <w:left w:val="none" w:sz="0" w:space="0" w:color="auto"/>
        <w:bottom w:val="none" w:sz="0" w:space="0" w:color="auto"/>
        <w:right w:val="none" w:sz="0" w:space="0" w:color="auto"/>
      </w:divBdr>
      <w:divsChild>
        <w:div w:id="1786848461">
          <w:marLeft w:val="0"/>
          <w:marRight w:val="0"/>
          <w:marTop w:val="0"/>
          <w:marBottom w:val="0"/>
          <w:divBdr>
            <w:top w:val="none" w:sz="0" w:space="0" w:color="auto"/>
            <w:left w:val="none" w:sz="0" w:space="0" w:color="auto"/>
            <w:bottom w:val="none" w:sz="0" w:space="0" w:color="auto"/>
            <w:right w:val="none" w:sz="0" w:space="0" w:color="auto"/>
          </w:divBdr>
          <w:divsChild>
            <w:div w:id="1786848488">
              <w:marLeft w:val="0"/>
              <w:marRight w:val="0"/>
              <w:marTop w:val="0"/>
              <w:marBottom w:val="0"/>
              <w:divBdr>
                <w:top w:val="none" w:sz="0" w:space="0" w:color="auto"/>
                <w:left w:val="none" w:sz="0" w:space="0" w:color="auto"/>
                <w:bottom w:val="none" w:sz="0" w:space="0" w:color="auto"/>
                <w:right w:val="none" w:sz="0" w:space="0" w:color="auto"/>
              </w:divBdr>
              <w:divsChild>
                <w:div w:id="1786848481">
                  <w:marLeft w:val="0"/>
                  <w:marRight w:val="0"/>
                  <w:marTop w:val="0"/>
                  <w:marBottom w:val="0"/>
                  <w:divBdr>
                    <w:top w:val="none" w:sz="0" w:space="0" w:color="auto"/>
                    <w:left w:val="none" w:sz="0" w:space="0" w:color="auto"/>
                    <w:bottom w:val="none" w:sz="0" w:space="0" w:color="auto"/>
                    <w:right w:val="none" w:sz="0" w:space="0" w:color="auto"/>
                  </w:divBdr>
                  <w:divsChild>
                    <w:div w:id="1786848468">
                      <w:marLeft w:val="0"/>
                      <w:marRight w:val="0"/>
                      <w:marTop w:val="0"/>
                      <w:marBottom w:val="0"/>
                      <w:divBdr>
                        <w:top w:val="none" w:sz="0" w:space="0" w:color="auto"/>
                        <w:left w:val="none" w:sz="0" w:space="0" w:color="auto"/>
                        <w:bottom w:val="none" w:sz="0" w:space="0" w:color="auto"/>
                        <w:right w:val="none" w:sz="0" w:space="0" w:color="auto"/>
                      </w:divBdr>
                      <w:divsChild>
                        <w:div w:id="1786848448">
                          <w:marLeft w:val="0"/>
                          <w:marRight w:val="0"/>
                          <w:marTop w:val="0"/>
                          <w:marBottom w:val="0"/>
                          <w:divBdr>
                            <w:top w:val="none" w:sz="0" w:space="0" w:color="auto"/>
                            <w:left w:val="none" w:sz="0" w:space="0" w:color="auto"/>
                            <w:bottom w:val="none" w:sz="0" w:space="0" w:color="auto"/>
                            <w:right w:val="none" w:sz="0" w:space="0" w:color="auto"/>
                          </w:divBdr>
                          <w:divsChild>
                            <w:div w:id="1786848458">
                              <w:marLeft w:val="0"/>
                              <w:marRight w:val="0"/>
                              <w:marTop w:val="0"/>
                              <w:marBottom w:val="0"/>
                              <w:divBdr>
                                <w:top w:val="none" w:sz="0" w:space="0" w:color="auto"/>
                                <w:left w:val="none" w:sz="0" w:space="0" w:color="auto"/>
                                <w:bottom w:val="none" w:sz="0" w:space="0" w:color="auto"/>
                                <w:right w:val="none" w:sz="0" w:space="0" w:color="auto"/>
                              </w:divBdr>
                              <w:divsChild>
                                <w:div w:id="1786848457">
                                  <w:marLeft w:val="0"/>
                                  <w:marRight w:val="0"/>
                                  <w:marTop w:val="0"/>
                                  <w:marBottom w:val="0"/>
                                  <w:divBdr>
                                    <w:top w:val="none" w:sz="0" w:space="0" w:color="auto"/>
                                    <w:left w:val="none" w:sz="0" w:space="0" w:color="auto"/>
                                    <w:bottom w:val="none" w:sz="0" w:space="0" w:color="auto"/>
                                    <w:right w:val="none" w:sz="0" w:space="0" w:color="auto"/>
                                  </w:divBdr>
                                  <w:divsChild>
                                    <w:div w:id="1786848466">
                                      <w:marLeft w:val="0"/>
                                      <w:marRight w:val="0"/>
                                      <w:marTop w:val="0"/>
                                      <w:marBottom w:val="0"/>
                                      <w:divBdr>
                                        <w:top w:val="none" w:sz="0" w:space="0" w:color="auto"/>
                                        <w:left w:val="none" w:sz="0" w:space="0" w:color="auto"/>
                                        <w:bottom w:val="none" w:sz="0" w:space="0" w:color="auto"/>
                                        <w:right w:val="none" w:sz="0" w:space="0" w:color="auto"/>
                                      </w:divBdr>
                                      <w:divsChild>
                                        <w:div w:id="1786848463">
                                          <w:marLeft w:val="0"/>
                                          <w:marRight w:val="0"/>
                                          <w:marTop w:val="0"/>
                                          <w:marBottom w:val="0"/>
                                          <w:divBdr>
                                            <w:top w:val="none" w:sz="0" w:space="0" w:color="auto"/>
                                            <w:left w:val="none" w:sz="0" w:space="0" w:color="auto"/>
                                            <w:bottom w:val="none" w:sz="0" w:space="0" w:color="auto"/>
                                            <w:right w:val="none" w:sz="0" w:space="0" w:color="auto"/>
                                          </w:divBdr>
                                          <w:divsChild>
                                            <w:div w:id="1786848459">
                                              <w:marLeft w:val="0"/>
                                              <w:marRight w:val="0"/>
                                              <w:marTop w:val="0"/>
                                              <w:marBottom w:val="495"/>
                                              <w:divBdr>
                                                <w:top w:val="none" w:sz="0" w:space="0" w:color="auto"/>
                                                <w:left w:val="none" w:sz="0" w:space="0" w:color="auto"/>
                                                <w:bottom w:val="none" w:sz="0" w:space="0" w:color="auto"/>
                                                <w:right w:val="none" w:sz="0" w:space="0" w:color="auto"/>
                                              </w:divBdr>
                                              <w:divsChild>
                                                <w:div w:id="17868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848456">
      <w:marLeft w:val="0"/>
      <w:marRight w:val="0"/>
      <w:marTop w:val="0"/>
      <w:marBottom w:val="0"/>
      <w:divBdr>
        <w:top w:val="none" w:sz="0" w:space="0" w:color="auto"/>
        <w:left w:val="none" w:sz="0" w:space="0" w:color="auto"/>
        <w:bottom w:val="none" w:sz="0" w:space="0" w:color="auto"/>
        <w:right w:val="none" w:sz="0" w:space="0" w:color="auto"/>
      </w:divBdr>
    </w:div>
    <w:div w:id="1786848460">
      <w:marLeft w:val="0"/>
      <w:marRight w:val="0"/>
      <w:marTop w:val="0"/>
      <w:marBottom w:val="0"/>
      <w:divBdr>
        <w:top w:val="none" w:sz="0" w:space="0" w:color="auto"/>
        <w:left w:val="none" w:sz="0" w:space="0" w:color="auto"/>
        <w:bottom w:val="none" w:sz="0" w:space="0" w:color="auto"/>
        <w:right w:val="none" w:sz="0" w:space="0" w:color="auto"/>
      </w:divBdr>
      <w:divsChild>
        <w:div w:id="1786848440">
          <w:marLeft w:val="0"/>
          <w:marRight w:val="0"/>
          <w:marTop w:val="0"/>
          <w:marBottom w:val="0"/>
          <w:divBdr>
            <w:top w:val="none" w:sz="0" w:space="0" w:color="auto"/>
            <w:left w:val="none" w:sz="0" w:space="0" w:color="auto"/>
            <w:bottom w:val="none" w:sz="0" w:space="0" w:color="auto"/>
            <w:right w:val="none" w:sz="0" w:space="0" w:color="auto"/>
          </w:divBdr>
          <w:divsChild>
            <w:div w:id="1786848449">
              <w:marLeft w:val="0"/>
              <w:marRight w:val="0"/>
              <w:marTop w:val="0"/>
              <w:marBottom w:val="0"/>
              <w:divBdr>
                <w:top w:val="none" w:sz="0" w:space="0" w:color="auto"/>
                <w:left w:val="none" w:sz="0" w:space="0" w:color="auto"/>
                <w:bottom w:val="none" w:sz="0" w:space="0" w:color="auto"/>
                <w:right w:val="none" w:sz="0" w:space="0" w:color="auto"/>
              </w:divBdr>
              <w:divsChild>
                <w:div w:id="1786848444">
                  <w:marLeft w:val="0"/>
                  <w:marRight w:val="0"/>
                  <w:marTop w:val="0"/>
                  <w:marBottom w:val="0"/>
                  <w:divBdr>
                    <w:top w:val="none" w:sz="0" w:space="0" w:color="auto"/>
                    <w:left w:val="none" w:sz="0" w:space="0" w:color="auto"/>
                    <w:bottom w:val="none" w:sz="0" w:space="0" w:color="auto"/>
                    <w:right w:val="none" w:sz="0" w:space="0" w:color="auto"/>
                  </w:divBdr>
                  <w:divsChild>
                    <w:div w:id="1786848480">
                      <w:marLeft w:val="0"/>
                      <w:marRight w:val="0"/>
                      <w:marTop w:val="0"/>
                      <w:marBottom w:val="0"/>
                      <w:divBdr>
                        <w:top w:val="none" w:sz="0" w:space="0" w:color="auto"/>
                        <w:left w:val="none" w:sz="0" w:space="0" w:color="auto"/>
                        <w:bottom w:val="none" w:sz="0" w:space="0" w:color="auto"/>
                        <w:right w:val="none" w:sz="0" w:space="0" w:color="auto"/>
                      </w:divBdr>
                      <w:divsChild>
                        <w:div w:id="1786848482">
                          <w:marLeft w:val="0"/>
                          <w:marRight w:val="0"/>
                          <w:marTop w:val="0"/>
                          <w:marBottom w:val="0"/>
                          <w:divBdr>
                            <w:top w:val="none" w:sz="0" w:space="0" w:color="auto"/>
                            <w:left w:val="none" w:sz="0" w:space="0" w:color="auto"/>
                            <w:bottom w:val="none" w:sz="0" w:space="0" w:color="auto"/>
                            <w:right w:val="none" w:sz="0" w:space="0" w:color="auto"/>
                          </w:divBdr>
                          <w:divsChild>
                            <w:div w:id="1786848469">
                              <w:marLeft w:val="0"/>
                              <w:marRight w:val="0"/>
                              <w:marTop w:val="0"/>
                              <w:marBottom w:val="0"/>
                              <w:divBdr>
                                <w:top w:val="none" w:sz="0" w:space="0" w:color="auto"/>
                                <w:left w:val="none" w:sz="0" w:space="0" w:color="auto"/>
                                <w:bottom w:val="none" w:sz="0" w:space="0" w:color="auto"/>
                                <w:right w:val="none" w:sz="0" w:space="0" w:color="auto"/>
                              </w:divBdr>
                              <w:divsChild>
                                <w:div w:id="1786848476">
                                  <w:marLeft w:val="0"/>
                                  <w:marRight w:val="0"/>
                                  <w:marTop w:val="0"/>
                                  <w:marBottom w:val="0"/>
                                  <w:divBdr>
                                    <w:top w:val="none" w:sz="0" w:space="0" w:color="auto"/>
                                    <w:left w:val="none" w:sz="0" w:space="0" w:color="auto"/>
                                    <w:bottom w:val="none" w:sz="0" w:space="0" w:color="auto"/>
                                    <w:right w:val="none" w:sz="0" w:space="0" w:color="auto"/>
                                  </w:divBdr>
                                  <w:divsChild>
                                    <w:div w:id="1786848470">
                                      <w:marLeft w:val="0"/>
                                      <w:marRight w:val="0"/>
                                      <w:marTop w:val="0"/>
                                      <w:marBottom w:val="0"/>
                                      <w:divBdr>
                                        <w:top w:val="none" w:sz="0" w:space="0" w:color="auto"/>
                                        <w:left w:val="none" w:sz="0" w:space="0" w:color="auto"/>
                                        <w:bottom w:val="none" w:sz="0" w:space="0" w:color="auto"/>
                                        <w:right w:val="none" w:sz="0" w:space="0" w:color="auto"/>
                                      </w:divBdr>
                                      <w:divsChild>
                                        <w:div w:id="1786848475">
                                          <w:marLeft w:val="0"/>
                                          <w:marRight w:val="0"/>
                                          <w:marTop w:val="0"/>
                                          <w:marBottom w:val="0"/>
                                          <w:divBdr>
                                            <w:top w:val="none" w:sz="0" w:space="0" w:color="auto"/>
                                            <w:left w:val="none" w:sz="0" w:space="0" w:color="auto"/>
                                            <w:bottom w:val="none" w:sz="0" w:space="0" w:color="auto"/>
                                            <w:right w:val="none" w:sz="0" w:space="0" w:color="auto"/>
                                          </w:divBdr>
                                          <w:divsChild>
                                            <w:div w:id="1786848489">
                                              <w:marLeft w:val="0"/>
                                              <w:marRight w:val="0"/>
                                              <w:marTop w:val="0"/>
                                              <w:marBottom w:val="495"/>
                                              <w:divBdr>
                                                <w:top w:val="none" w:sz="0" w:space="0" w:color="auto"/>
                                                <w:left w:val="none" w:sz="0" w:space="0" w:color="auto"/>
                                                <w:bottom w:val="none" w:sz="0" w:space="0" w:color="auto"/>
                                                <w:right w:val="none" w:sz="0" w:space="0" w:color="auto"/>
                                              </w:divBdr>
                                              <w:divsChild>
                                                <w:div w:id="17868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848464">
      <w:marLeft w:val="0"/>
      <w:marRight w:val="0"/>
      <w:marTop w:val="0"/>
      <w:marBottom w:val="0"/>
      <w:divBdr>
        <w:top w:val="none" w:sz="0" w:space="0" w:color="auto"/>
        <w:left w:val="none" w:sz="0" w:space="0" w:color="auto"/>
        <w:bottom w:val="none" w:sz="0" w:space="0" w:color="auto"/>
        <w:right w:val="none" w:sz="0" w:space="0" w:color="auto"/>
      </w:divBdr>
      <w:divsChild>
        <w:div w:id="1786848453">
          <w:marLeft w:val="0"/>
          <w:marRight w:val="0"/>
          <w:marTop w:val="0"/>
          <w:marBottom w:val="0"/>
          <w:divBdr>
            <w:top w:val="none" w:sz="0" w:space="0" w:color="auto"/>
            <w:left w:val="none" w:sz="0" w:space="0" w:color="auto"/>
            <w:bottom w:val="none" w:sz="0" w:space="0" w:color="auto"/>
            <w:right w:val="none" w:sz="0" w:space="0" w:color="auto"/>
          </w:divBdr>
          <w:divsChild>
            <w:div w:id="1786848454">
              <w:marLeft w:val="0"/>
              <w:marRight w:val="0"/>
              <w:marTop w:val="0"/>
              <w:marBottom w:val="0"/>
              <w:divBdr>
                <w:top w:val="none" w:sz="0" w:space="0" w:color="auto"/>
                <w:left w:val="none" w:sz="0" w:space="0" w:color="auto"/>
                <w:bottom w:val="none" w:sz="0" w:space="0" w:color="auto"/>
                <w:right w:val="none" w:sz="0" w:space="0" w:color="auto"/>
              </w:divBdr>
              <w:divsChild>
                <w:div w:id="1786848451">
                  <w:marLeft w:val="0"/>
                  <w:marRight w:val="0"/>
                  <w:marTop w:val="0"/>
                  <w:marBottom w:val="0"/>
                  <w:divBdr>
                    <w:top w:val="none" w:sz="0" w:space="0" w:color="auto"/>
                    <w:left w:val="none" w:sz="0" w:space="0" w:color="auto"/>
                    <w:bottom w:val="none" w:sz="0" w:space="0" w:color="auto"/>
                    <w:right w:val="none" w:sz="0" w:space="0" w:color="auto"/>
                  </w:divBdr>
                  <w:divsChild>
                    <w:div w:id="1786848443">
                      <w:marLeft w:val="0"/>
                      <w:marRight w:val="0"/>
                      <w:marTop w:val="0"/>
                      <w:marBottom w:val="0"/>
                      <w:divBdr>
                        <w:top w:val="none" w:sz="0" w:space="0" w:color="auto"/>
                        <w:left w:val="none" w:sz="0" w:space="0" w:color="auto"/>
                        <w:bottom w:val="none" w:sz="0" w:space="0" w:color="auto"/>
                        <w:right w:val="none" w:sz="0" w:space="0" w:color="auto"/>
                      </w:divBdr>
                      <w:divsChild>
                        <w:div w:id="1786848446">
                          <w:marLeft w:val="0"/>
                          <w:marRight w:val="0"/>
                          <w:marTop w:val="0"/>
                          <w:marBottom w:val="0"/>
                          <w:divBdr>
                            <w:top w:val="none" w:sz="0" w:space="0" w:color="auto"/>
                            <w:left w:val="none" w:sz="0" w:space="0" w:color="auto"/>
                            <w:bottom w:val="none" w:sz="0" w:space="0" w:color="auto"/>
                            <w:right w:val="none" w:sz="0" w:space="0" w:color="auto"/>
                          </w:divBdr>
                          <w:divsChild>
                            <w:div w:id="1786848467">
                              <w:marLeft w:val="0"/>
                              <w:marRight w:val="0"/>
                              <w:marTop w:val="0"/>
                              <w:marBottom w:val="0"/>
                              <w:divBdr>
                                <w:top w:val="none" w:sz="0" w:space="0" w:color="auto"/>
                                <w:left w:val="none" w:sz="0" w:space="0" w:color="auto"/>
                                <w:bottom w:val="none" w:sz="0" w:space="0" w:color="auto"/>
                                <w:right w:val="none" w:sz="0" w:space="0" w:color="auto"/>
                              </w:divBdr>
                              <w:divsChild>
                                <w:div w:id="1786848441">
                                  <w:marLeft w:val="0"/>
                                  <w:marRight w:val="0"/>
                                  <w:marTop w:val="0"/>
                                  <w:marBottom w:val="0"/>
                                  <w:divBdr>
                                    <w:top w:val="none" w:sz="0" w:space="0" w:color="auto"/>
                                    <w:left w:val="none" w:sz="0" w:space="0" w:color="auto"/>
                                    <w:bottom w:val="none" w:sz="0" w:space="0" w:color="auto"/>
                                    <w:right w:val="none" w:sz="0" w:space="0" w:color="auto"/>
                                  </w:divBdr>
                                  <w:divsChild>
                                    <w:div w:id="1786848478">
                                      <w:marLeft w:val="0"/>
                                      <w:marRight w:val="0"/>
                                      <w:marTop w:val="0"/>
                                      <w:marBottom w:val="0"/>
                                      <w:divBdr>
                                        <w:top w:val="none" w:sz="0" w:space="0" w:color="auto"/>
                                        <w:left w:val="none" w:sz="0" w:space="0" w:color="auto"/>
                                        <w:bottom w:val="none" w:sz="0" w:space="0" w:color="auto"/>
                                        <w:right w:val="none" w:sz="0" w:space="0" w:color="auto"/>
                                      </w:divBdr>
                                      <w:divsChild>
                                        <w:div w:id="1786848442">
                                          <w:marLeft w:val="0"/>
                                          <w:marRight w:val="0"/>
                                          <w:marTop w:val="0"/>
                                          <w:marBottom w:val="0"/>
                                          <w:divBdr>
                                            <w:top w:val="none" w:sz="0" w:space="0" w:color="auto"/>
                                            <w:left w:val="none" w:sz="0" w:space="0" w:color="auto"/>
                                            <w:bottom w:val="none" w:sz="0" w:space="0" w:color="auto"/>
                                            <w:right w:val="none" w:sz="0" w:space="0" w:color="auto"/>
                                          </w:divBdr>
                                          <w:divsChild>
                                            <w:div w:id="1786848486">
                                              <w:marLeft w:val="0"/>
                                              <w:marRight w:val="0"/>
                                              <w:marTop w:val="0"/>
                                              <w:marBottom w:val="495"/>
                                              <w:divBdr>
                                                <w:top w:val="none" w:sz="0" w:space="0" w:color="auto"/>
                                                <w:left w:val="none" w:sz="0" w:space="0" w:color="auto"/>
                                                <w:bottom w:val="none" w:sz="0" w:space="0" w:color="auto"/>
                                                <w:right w:val="none" w:sz="0" w:space="0" w:color="auto"/>
                                              </w:divBdr>
                                              <w:divsChild>
                                                <w:div w:id="17868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848465">
      <w:marLeft w:val="0"/>
      <w:marRight w:val="0"/>
      <w:marTop w:val="0"/>
      <w:marBottom w:val="0"/>
      <w:divBdr>
        <w:top w:val="none" w:sz="0" w:space="0" w:color="auto"/>
        <w:left w:val="none" w:sz="0" w:space="0" w:color="auto"/>
        <w:bottom w:val="none" w:sz="0" w:space="0" w:color="auto"/>
        <w:right w:val="none" w:sz="0" w:space="0" w:color="auto"/>
      </w:divBdr>
    </w:div>
    <w:div w:id="1786848484">
      <w:marLeft w:val="0"/>
      <w:marRight w:val="0"/>
      <w:marTop w:val="0"/>
      <w:marBottom w:val="0"/>
      <w:divBdr>
        <w:top w:val="none" w:sz="0" w:space="0" w:color="auto"/>
        <w:left w:val="none" w:sz="0" w:space="0" w:color="auto"/>
        <w:bottom w:val="none" w:sz="0" w:space="0" w:color="auto"/>
        <w:right w:val="none" w:sz="0" w:space="0" w:color="auto"/>
      </w:divBdr>
      <w:divsChild>
        <w:div w:id="1786848452">
          <w:marLeft w:val="0"/>
          <w:marRight w:val="0"/>
          <w:marTop w:val="0"/>
          <w:marBottom w:val="0"/>
          <w:divBdr>
            <w:top w:val="none" w:sz="0" w:space="0" w:color="auto"/>
            <w:left w:val="none" w:sz="0" w:space="0" w:color="auto"/>
            <w:bottom w:val="none" w:sz="0" w:space="0" w:color="auto"/>
            <w:right w:val="none" w:sz="0" w:space="0" w:color="auto"/>
          </w:divBdr>
          <w:divsChild>
            <w:div w:id="1786848472">
              <w:marLeft w:val="0"/>
              <w:marRight w:val="0"/>
              <w:marTop w:val="0"/>
              <w:marBottom w:val="0"/>
              <w:divBdr>
                <w:top w:val="none" w:sz="0" w:space="0" w:color="auto"/>
                <w:left w:val="none" w:sz="0" w:space="0" w:color="auto"/>
                <w:bottom w:val="none" w:sz="0" w:space="0" w:color="auto"/>
                <w:right w:val="none" w:sz="0" w:space="0" w:color="auto"/>
              </w:divBdr>
              <w:divsChild>
                <w:div w:id="1786848487">
                  <w:marLeft w:val="0"/>
                  <w:marRight w:val="0"/>
                  <w:marTop w:val="0"/>
                  <w:marBottom w:val="0"/>
                  <w:divBdr>
                    <w:top w:val="none" w:sz="0" w:space="0" w:color="auto"/>
                    <w:left w:val="none" w:sz="0" w:space="0" w:color="auto"/>
                    <w:bottom w:val="none" w:sz="0" w:space="0" w:color="auto"/>
                    <w:right w:val="none" w:sz="0" w:space="0" w:color="auto"/>
                  </w:divBdr>
                  <w:divsChild>
                    <w:div w:id="1786848462">
                      <w:marLeft w:val="0"/>
                      <w:marRight w:val="0"/>
                      <w:marTop w:val="0"/>
                      <w:marBottom w:val="0"/>
                      <w:divBdr>
                        <w:top w:val="none" w:sz="0" w:space="0" w:color="auto"/>
                        <w:left w:val="none" w:sz="0" w:space="0" w:color="auto"/>
                        <w:bottom w:val="none" w:sz="0" w:space="0" w:color="auto"/>
                        <w:right w:val="none" w:sz="0" w:space="0" w:color="auto"/>
                      </w:divBdr>
                      <w:divsChild>
                        <w:div w:id="1786848483">
                          <w:marLeft w:val="0"/>
                          <w:marRight w:val="0"/>
                          <w:marTop w:val="0"/>
                          <w:marBottom w:val="0"/>
                          <w:divBdr>
                            <w:top w:val="none" w:sz="0" w:space="0" w:color="auto"/>
                            <w:left w:val="none" w:sz="0" w:space="0" w:color="auto"/>
                            <w:bottom w:val="none" w:sz="0" w:space="0" w:color="auto"/>
                            <w:right w:val="none" w:sz="0" w:space="0" w:color="auto"/>
                          </w:divBdr>
                          <w:divsChild>
                            <w:div w:id="1786848450">
                              <w:marLeft w:val="0"/>
                              <w:marRight w:val="0"/>
                              <w:marTop w:val="0"/>
                              <w:marBottom w:val="0"/>
                              <w:divBdr>
                                <w:top w:val="none" w:sz="0" w:space="0" w:color="auto"/>
                                <w:left w:val="none" w:sz="0" w:space="0" w:color="auto"/>
                                <w:bottom w:val="none" w:sz="0" w:space="0" w:color="auto"/>
                                <w:right w:val="none" w:sz="0" w:space="0" w:color="auto"/>
                              </w:divBdr>
                              <w:divsChild>
                                <w:div w:id="1786848471">
                                  <w:marLeft w:val="0"/>
                                  <w:marRight w:val="0"/>
                                  <w:marTop w:val="0"/>
                                  <w:marBottom w:val="0"/>
                                  <w:divBdr>
                                    <w:top w:val="none" w:sz="0" w:space="0" w:color="auto"/>
                                    <w:left w:val="none" w:sz="0" w:space="0" w:color="auto"/>
                                    <w:bottom w:val="none" w:sz="0" w:space="0" w:color="auto"/>
                                    <w:right w:val="none" w:sz="0" w:space="0" w:color="auto"/>
                                  </w:divBdr>
                                  <w:divsChild>
                                    <w:div w:id="1786848485">
                                      <w:marLeft w:val="0"/>
                                      <w:marRight w:val="0"/>
                                      <w:marTop w:val="0"/>
                                      <w:marBottom w:val="0"/>
                                      <w:divBdr>
                                        <w:top w:val="none" w:sz="0" w:space="0" w:color="auto"/>
                                        <w:left w:val="none" w:sz="0" w:space="0" w:color="auto"/>
                                        <w:bottom w:val="none" w:sz="0" w:space="0" w:color="auto"/>
                                        <w:right w:val="none" w:sz="0" w:space="0" w:color="auto"/>
                                      </w:divBdr>
                                      <w:divsChild>
                                        <w:div w:id="1786848447">
                                          <w:marLeft w:val="0"/>
                                          <w:marRight w:val="0"/>
                                          <w:marTop w:val="0"/>
                                          <w:marBottom w:val="0"/>
                                          <w:divBdr>
                                            <w:top w:val="none" w:sz="0" w:space="0" w:color="auto"/>
                                            <w:left w:val="none" w:sz="0" w:space="0" w:color="auto"/>
                                            <w:bottom w:val="none" w:sz="0" w:space="0" w:color="auto"/>
                                            <w:right w:val="none" w:sz="0" w:space="0" w:color="auto"/>
                                          </w:divBdr>
                                          <w:divsChild>
                                            <w:div w:id="1786848479">
                                              <w:marLeft w:val="0"/>
                                              <w:marRight w:val="0"/>
                                              <w:marTop w:val="0"/>
                                              <w:marBottom w:val="495"/>
                                              <w:divBdr>
                                                <w:top w:val="none" w:sz="0" w:space="0" w:color="auto"/>
                                                <w:left w:val="none" w:sz="0" w:space="0" w:color="auto"/>
                                                <w:bottom w:val="none" w:sz="0" w:space="0" w:color="auto"/>
                                                <w:right w:val="none" w:sz="0" w:space="0" w:color="auto"/>
                                              </w:divBdr>
                                              <w:divsChild>
                                                <w:div w:id="17868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3BAB20-A08A-41E3-919D-D12DC362AD1B}">
  <we:reference id="461a3b20-6f4c-433d-b624-cdf1d17a08e0" version="1.0.0.0" store="EXCatalog" storeType="EXCatalog"/>
  <we:alternateReferences>
    <we:reference id="WA200002783"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A5E74-E5F9-46EA-9054-E23E176BB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DAB37-47FF-4809-AF22-0C5CF35135EE}">
  <ds:schemaRefs>
    <ds:schemaRef ds:uri="http://schemas.microsoft.com/sharepoint/v3/contenttype/forms"/>
  </ds:schemaRefs>
</ds:datastoreItem>
</file>

<file path=customXml/itemProps3.xml><?xml version="1.0" encoding="utf-8"?>
<ds:datastoreItem xmlns:ds="http://schemas.openxmlformats.org/officeDocument/2006/customXml" ds:itemID="{B932CD8C-81E0-4D37-ADAE-B176D3CC7FF2}">
  <ds:schemaRefs>
    <ds:schemaRef ds:uri="http://purl.org/dc/elements/1.1/"/>
    <ds:schemaRef ds:uri="http://schemas.microsoft.com/office/2006/metadata/properties"/>
    <ds:schemaRef ds:uri="89f4cd83-a2d3-4405-9b45-6aff5241ff8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Burbano, Carmela</cp:lastModifiedBy>
  <cp:revision>4</cp:revision>
  <cp:lastPrinted>2021-07-13T20:38:00Z</cp:lastPrinted>
  <dcterms:created xsi:type="dcterms:W3CDTF">2021-10-08T16:23:00Z</dcterms:created>
  <dcterms:modified xsi:type="dcterms:W3CDTF">2021-10-08T16:29:00Z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