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2F47" w14:textId="77777777" w:rsidR="0047270D" w:rsidRPr="00973274" w:rsidRDefault="0047270D" w:rsidP="0047270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</w:rPr>
        <w:t>COMITÉ INTERAMÉRICAIN CONTRE LE TERRORISME (CICTE)</w:t>
      </w:r>
    </w:p>
    <w:p w14:paraId="2540AEAE" w14:textId="77777777" w:rsidR="0047270D" w:rsidRPr="002C64B8" w:rsidRDefault="0047270D" w:rsidP="0047270D">
      <w:pPr>
        <w:tabs>
          <w:tab w:val="left" w:pos="7200"/>
        </w:tabs>
        <w:rPr>
          <w:sz w:val="22"/>
          <w:szCs w:val="22"/>
          <w:lang w:val="fr-FR"/>
        </w:rPr>
      </w:pPr>
    </w:p>
    <w:p w14:paraId="3D7A14AA" w14:textId="153068EF" w:rsidR="0047270D" w:rsidRDefault="0047270D" w:rsidP="0047270D">
      <w:pPr>
        <w:tabs>
          <w:tab w:val="left" w:pos="7200"/>
        </w:tabs>
        <w:rPr>
          <w:snapToGrid/>
          <w:sz w:val="22"/>
          <w:szCs w:val="22"/>
        </w:rPr>
      </w:pPr>
      <w:r>
        <w:rPr>
          <w:sz w:val="22"/>
        </w:rPr>
        <w:t>VINGT-DEUXIÈME SESSION ORDINAIRE</w:t>
      </w:r>
      <w:r w:rsidR="00F43F3F">
        <w:rPr>
          <w:sz w:val="22"/>
        </w:rPr>
        <w:tab/>
      </w:r>
      <w:r>
        <w:rPr>
          <w:sz w:val="22"/>
        </w:rPr>
        <w:t>OEA/Ser.L/X.2.22</w:t>
      </w:r>
    </w:p>
    <w:p w14:paraId="0F77943A" w14:textId="79800900" w:rsidR="0047270D" w:rsidRDefault="0047270D" w:rsidP="0047270D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</w:rPr>
        <w:t>27 juillet 2022</w:t>
      </w:r>
      <w:r w:rsidR="00F43F3F">
        <w:rPr>
          <w:sz w:val="22"/>
        </w:rPr>
        <w:tab/>
      </w:r>
      <w:r>
        <w:rPr>
          <w:sz w:val="22"/>
        </w:rPr>
        <w:t>CICTE/doc.3/22</w:t>
      </w:r>
      <w:r w:rsidR="002E6471">
        <w:rPr>
          <w:sz w:val="22"/>
        </w:rPr>
        <w:t xml:space="preserve"> </w:t>
      </w:r>
      <w:proofErr w:type="spellStart"/>
      <w:r w:rsidR="002E6471">
        <w:rPr>
          <w:sz w:val="22"/>
        </w:rPr>
        <w:t>rev</w:t>
      </w:r>
      <w:proofErr w:type="spellEnd"/>
      <w:r w:rsidR="002E6471">
        <w:rPr>
          <w:sz w:val="22"/>
        </w:rPr>
        <w:t xml:space="preserve">. </w:t>
      </w:r>
      <w:r w:rsidR="00904800">
        <w:rPr>
          <w:sz w:val="22"/>
        </w:rPr>
        <w:t>2</w:t>
      </w:r>
    </w:p>
    <w:p w14:paraId="797E4012" w14:textId="225605F5" w:rsidR="0047270D" w:rsidRDefault="0047270D" w:rsidP="0047270D">
      <w:pPr>
        <w:tabs>
          <w:tab w:val="left" w:pos="7200"/>
        </w:tabs>
        <w:rPr>
          <w:sz w:val="22"/>
          <w:szCs w:val="22"/>
        </w:rPr>
      </w:pPr>
      <w:r>
        <w:rPr>
          <w:sz w:val="22"/>
        </w:rPr>
        <w:t>Washington, D.C.</w:t>
      </w:r>
      <w:r>
        <w:rPr>
          <w:sz w:val="22"/>
        </w:rPr>
        <w:tab/>
      </w:r>
      <w:r w:rsidR="00904800">
        <w:rPr>
          <w:sz w:val="22"/>
        </w:rPr>
        <w:t>27</w:t>
      </w:r>
      <w:r>
        <w:rPr>
          <w:sz w:val="22"/>
        </w:rPr>
        <w:t xml:space="preserve"> juillet 2022</w:t>
      </w:r>
    </w:p>
    <w:p w14:paraId="7B6CEBEB" w14:textId="77777777" w:rsidR="0047270D" w:rsidRDefault="0047270D" w:rsidP="0047270D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</w:rPr>
        <w:tab/>
        <w:t>Original: espagnol</w:t>
      </w:r>
    </w:p>
    <w:p w14:paraId="3E17AD3F" w14:textId="0F102914" w:rsidR="006F655D" w:rsidRPr="002C64B8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7A04AD2B" w14:textId="207440B6" w:rsidR="002C64B8" w:rsidRDefault="002C64B8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26E343C9" w14:textId="77777777" w:rsidR="002C64B8" w:rsidRPr="002C64B8" w:rsidRDefault="002C64B8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2D5E21EE" w14:textId="77777777" w:rsidR="006F655D" w:rsidRPr="005129C2" w:rsidRDefault="006F655D" w:rsidP="006F655D">
      <w:pPr>
        <w:outlineLvl w:val="0"/>
        <w:rPr>
          <w:noProof/>
          <w:sz w:val="22"/>
          <w:szCs w:val="22"/>
        </w:rPr>
      </w:pPr>
    </w:p>
    <w:p w14:paraId="4AA24FA4" w14:textId="4E0A208D" w:rsidR="005129C2" w:rsidRDefault="005129C2" w:rsidP="006F655D">
      <w:pPr>
        <w:jc w:val="center"/>
        <w:rPr>
          <w:sz w:val="22"/>
        </w:rPr>
      </w:pPr>
      <w:r>
        <w:rPr>
          <w:sz w:val="22"/>
        </w:rPr>
        <w:t>ORDRE DU JOUR</w:t>
      </w:r>
    </w:p>
    <w:p w14:paraId="6D009736" w14:textId="77777777" w:rsidR="002E6471" w:rsidRDefault="002E6471" w:rsidP="006F655D">
      <w:pPr>
        <w:jc w:val="center"/>
        <w:rPr>
          <w:sz w:val="22"/>
          <w:szCs w:val="22"/>
        </w:rPr>
      </w:pPr>
    </w:p>
    <w:p w14:paraId="09CAE741" w14:textId="11CD28B7" w:rsidR="006868A1" w:rsidRDefault="006868A1" w:rsidP="006868A1">
      <w:pPr>
        <w:jc w:val="center"/>
        <w:rPr>
          <w:snapToGrid/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(Approuvé</w:t>
      </w:r>
      <w:r>
        <w:rPr>
          <w:spacing w:val="-2"/>
          <w:sz w:val="22"/>
          <w:szCs w:val="22"/>
          <w:lang w:val="fr-FR"/>
        </w:rPr>
        <w:t xml:space="preserve"> à la première séance plénière, tenue le </w:t>
      </w:r>
      <w:r w:rsidR="00904800">
        <w:rPr>
          <w:spacing w:val="-2"/>
          <w:sz w:val="22"/>
          <w:szCs w:val="22"/>
          <w:lang w:val="fr-FR"/>
        </w:rPr>
        <w:t>2</w:t>
      </w:r>
      <w:r>
        <w:rPr>
          <w:sz w:val="22"/>
          <w:szCs w:val="22"/>
        </w:rPr>
        <w:t xml:space="preserve">7 </w:t>
      </w:r>
      <w:r w:rsidR="00904800">
        <w:rPr>
          <w:sz w:val="22"/>
          <w:szCs w:val="22"/>
        </w:rPr>
        <w:t>j</w:t>
      </w:r>
      <w:r w:rsidR="00904800">
        <w:rPr>
          <w:sz w:val="22"/>
        </w:rPr>
        <w:t>uillet</w:t>
      </w:r>
      <w:r>
        <w:rPr>
          <w:color w:val="000000"/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202</w:t>
      </w:r>
      <w:r w:rsidR="00904800">
        <w:rPr>
          <w:sz w:val="22"/>
          <w:szCs w:val="22"/>
        </w:rPr>
        <w:t>2</w:t>
      </w:r>
      <w:r>
        <w:rPr>
          <w:color w:val="000000"/>
          <w:sz w:val="22"/>
          <w:szCs w:val="22"/>
          <w:lang w:val="fr-FR"/>
        </w:rPr>
        <w:t xml:space="preserve">) </w:t>
      </w:r>
    </w:p>
    <w:p w14:paraId="0D58A142" w14:textId="4F04C7A6" w:rsidR="006F655D" w:rsidRPr="006868A1" w:rsidRDefault="006F655D" w:rsidP="006F655D">
      <w:pPr>
        <w:jc w:val="both"/>
        <w:rPr>
          <w:noProof/>
          <w:sz w:val="22"/>
          <w:szCs w:val="22"/>
          <w:lang w:val="fr-FR"/>
        </w:rPr>
      </w:pPr>
    </w:p>
    <w:p w14:paraId="056C18EE" w14:textId="77777777" w:rsidR="005129C2" w:rsidRPr="005129C2" w:rsidRDefault="005129C2" w:rsidP="006F655D">
      <w:pPr>
        <w:jc w:val="both"/>
        <w:rPr>
          <w:noProof/>
          <w:sz w:val="22"/>
          <w:szCs w:val="22"/>
        </w:rPr>
      </w:pPr>
    </w:p>
    <w:p w14:paraId="1C2F0B17" w14:textId="3B766D21" w:rsidR="006F655D" w:rsidRPr="00036529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Examen et approbation du projet d’ordre du jour et du projet de calendrier</w:t>
      </w:r>
    </w:p>
    <w:p w14:paraId="53C927FA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670F8B9E" w14:textId="03305F76" w:rsidR="006F655D" w:rsidRPr="00036529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Élection du bureau</w:t>
      </w:r>
    </w:p>
    <w:p w14:paraId="5A6C1885" w14:textId="77777777" w:rsidR="006F655D" w:rsidRPr="00036529" w:rsidRDefault="006F655D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Présidence du CICTE</w:t>
      </w:r>
    </w:p>
    <w:p w14:paraId="7FF58446" w14:textId="70356B22" w:rsidR="006F655D" w:rsidRPr="00036529" w:rsidRDefault="006F655D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Vice-présidence du CICTE</w:t>
      </w:r>
    </w:p>
    <w:p w14:paraId="08E06918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31A87DA6" w14:textId="4B2FA1E1" w:rsidR="009077A0" w:rsidRPr="00036529" w:rsidRDefault="009077A0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Réforme du Règlement du Comité interaméricain contre le terrorisme</w:t>
      </w:r>
    </w:p>
    <w:p w14:paraId="27E915E2" w14:textId="77777777" w:rsidR="009077A0" w:rsidRPr="005129C2" w:rsidRDefault="009077A0" w:rsidP="002C64B8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242C7458" w14:textId="11F6406F" w:rsidR="006F655D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Thème</w:t>
      </w:r>
      <w:r w:rsidR="00F43F3F">
        <w:rPr>
          <w:sz w:val="22"/>
        </w:rPr>
        <w:t> </w:t>
      </w:r>
      <w:r>
        <w:rPr>
          <w:sz w:val="22"/>
        </w:rPr>
        <w:t>: Sécurité de l'aviation civile et des grandes manifestations</w:t>
      </w:r>
    </w:p>
    <w:p w14:paraId="58781767" w14:textId="4C59FFC8" w:rsidR="006F655D" w:rsidRPr="005129C2" w:rsidRDefault="005B0AF8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Perspectives régionales</w:t>
      </w:r>
    </w:p>
    <w:p w14:paraId="7235AA17" w14:textId="32CF6389" w:rsidR="006F655D" w:rsidRDefault="005B0AF8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Contributions des organisations internationales et régionales, des observateurs permanents et d'autres invités</w:t>
      </w:r>
    </w:p>
    <w:p w14:paraId="357FF2DB" w14:textId="592A4C78" w:rsidR="005129C2" w:rsidRPr="00036529" w:rsidRDefault="005129C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Débat interactif entre les États membres : enseignements tirés, pratiques efficaces et outils disponibles</w:t>
      </w:r>
    </w:p>
    <w:p w14:paraId="0FCB2C05" w14:textId="77777777" w:rsidR="006F655D" w:rsidRPr="00092206" w:rsidRDefault="006F655D" w:rsidP="00B33CE5">
      <w:pPr>
        <w:pStyle w:val="ListParagraph"/>
        <w:ind w:left="0"/>
        <w:rPr>
          <w:noProof/>
          <w:sz w:val="22"/>
          <w:szCs w:val="22"/>
        </w:rPr>
      </w:pPr>
    </w:p>
    <w:p w14:paraId="49B917A8" w14:textId="2F12A769" w:rsidR="0026224D" w:rsidRPr="00092206" w:rsidRDefault="0026224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Thème</w:t>
      </w:r>
      <w:r w:rsidR="00F43F3F">
        <w:rPr>
          <w:sz w:val="22"/>
        </w:rPr>
        <w:t> </w:t>
      </w:r>
      <w:r>
        <w:rPr>
          <w:sz w:val="22"/>
        </w:rPr>
        <w:t>: Sécurité de la chaîne d'approvisionnement</w:t>
      </w:r>
    </w:p>
    <w:p w14:paraId="7CE95F38" w14:textId="6CCFAE19" w:rsidR="0091609C" w:rsidRPr="00092206" w:rsidRDefault="0091609C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Perspectives régionales</w:t>
      </w:r>
    </w:p>
    <w:p w14:paraId="5F5CC953" w14:textId="7656E53F" w:rsidR="0091609C" w:rsidRPr="00036529" w:rsidRDefault="0091609C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Contributions des organisations internationales et régionales, des observateurs permanents et d'autres invités</w:t>
      </w:r>
    </w:p>
    <w:p w14:paraId="22818424" w14:textId="7EA59EF0" w:rsidR="005129C2" w:rsidRPr="00036529" w:rsidRDefault="005129C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Débat interactif entre les États membres : enseignements tirés, pratiques efficaces et outils disponibles</w:t>
      </w:r>
    </w:p>
    <w:p w14:paraId="405E4E29" w14:textId="77777777" w:rsidR="0091609C" w:rsidRPr="00036529" w:rsidRDefault="0091609C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671C8599" w14:textId="31A6A984" w:rsidR="00275F8F" w:rsidRPr="00036529" w:rsidRDefault="00275F8F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Thème</w:t>
      </w:r>
      <w:r w:rsidR="00F43F3F">
        <w:rPr>
          <w:sz w:val="22"/>
        </w:rPr>
        <w:t> </w:t>
      </w:r>
      <w:r>
        <w:rPr>
          <w:sz w:val="22"/>
        </w:rPr>
        <w:t>: Coopération pour prévenir l'extrémisme violent susceptible de conduire au terrorisme</w:t>
      </w:r>
    </w:p>
    <w:p w14:paraId="705DEC79" w14:textId="19D575B5" w:rsidR="00B33CE5" w:rsidRPr="00036529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 xml:space="preserve">Présentation de rapport par le Secrétariat du CICTE </w:t>
      </w:r>
    </w:p>
    <w:p w14:paraId="1D234EC3" w14:textId="77777777" w:rsidR="002E6471" w:rsidRPr="002E6471" w:rsidRDefault="00B33CE5" w:rsidP="002E6471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Exposé de la présidence du CICTE (prospective)</w:t>
      </w:r>
    </w:p>
    <w:p w14:paraId="31583A9F" w14:textId="556BA199" w:rsidR="002E6471" w:rsidRPr="002E6471" w:rsidRDefault="002E6471" w:rsidP="002E6471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2E6471">
        <w:rPr>
          <w:sz w:val="22"/>
          <w:lang w:val="fr-FR"/>
        </w:rPr>
        <w:t>Interventions des États membres</w:t>
      </w:r>
    </w:p>
    <w:p w14:paraId="4B2860F5" w14:textId="77777777" w:rsidR="00275F8F" w:rsidRPr="00036529" w:rsidRDefault="00275F8F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70952581" w14:textId="039AB824" w:rsidR="00275F8F" w:rsidRPr="00036529" w:rsidRDefault="005129C2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Thème</w:t>
      </w:r>
      <w:r w:rsidR="00F43F3F">
        <w:rPr>
          <w:sz w:val="22"/>
        </w:rPr>
        <w:t> </w:t>
      </w:r>
      <w:r>
        <w:rPr>
          <w:sz w:val="22"/>
        </w:rPr>
        <w:t>: La cybersécurité dans les Amériques</w:t>
      </w:r>
    </w:p>
    <w:p w14:paraId="077EE6F2" w14:textId="7A8C3983" w:rsidR="00B33CE5" w:rsidRPr="00036529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 xml:space="preserve">Présentation de rapport par le Secrétariat du CICTE </w:t>
      </w:r>
    </w:p>
    <w:p w14:paraId="702A58BE" w14:textId="275DCEC9" w:rsidR="00B33CE5" w:rsidRPr="002E6471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 xml:space="preserve">Exposé de la présidence du Groupe de travail chargé des mesures de confiance dans le cyberespace </w:t>
      </w:r>
    </w:p>
    <w:p w14:paraId="2CF72AAD" w14:textId="77777777" w:rsidR="002E6471" w:rsidRPr="002E6471" w:rsidRDefault="002E6471" w:rsidP="002E6471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2E6471">
        <w:rPr>
          <w:sz w:val="22"/>
          <w:lang w:val="fr-FR"/>
        </w:rPr>
        <w:t>Interventions des États membres</w:t>
      </w:r>
    </w:p>
    <w:p w14:paraId="54D2B575" w14:textId="77777777" w:rsidR="002E6471" w:rsidRPr="00036529" w:rsidRDefault="002E6471" w:rsidP="002E6471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noProof/>
          <w:sz w:val="22"/>
          <w:szCs w:val="22"/>
        </w:rPr>
      </w:pPr>
    </w:p>
    <w:p w14:paraId="367F5FD2" w14:textId="77777777" w:rsidR="00275F8F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lastRenderedPageBreak/>
        <w:t>Rapport du Secrétariat du CICTE sur les activités réalisées pendant la période 2021-2022</w:t>
      </w:r>
    </w:p>
    <w:p w14:paraId="1E940BD9" w14:textId="77777777" w:rsidR="009077A0" w:rsidRPr="005129C2" w:rsidRDefault="009077A0" w:rsidP="002C64B8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1EF17CC1" w14:textId="77777777" w:rsidR="00275F8F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 xml:space="preserve">Examen et approbation du Plan de travail 2022-2023 du CICTE </w:t>
      </w:r>
    </w:p>
    <w:p w14:paraId="30975881" w14:textId="77777777" w:rsidR="009077A0" w:rsidRPr="005129C2" w:rsidRDefault="009077A0" w:rsidP="002C64B8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30FC3DA0" w14:textId="02C49583" w:rsidR="009077A0" w:rsidRPr="005129C2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Examen et approbation des paragraphes du projet de résolution globale sur la sécurité multidimensionnelle</w:t>
      </w:r>
    </w:p>
    <w:p w14:paraId="392B0A15" w14:textId="77777777" w:rsidR="009077A0" w:rsidRPr="005129C2" w:rsidRDefault="009077A0" w:rsidP="002C64B8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19367BB9" w14:textId="15506884" w:rsidR="006F655D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Autres questions</w:t>
      </w:r>
    </w:p>
    <w:p w14:paraId="7A1E18BB" w14:textId="77777777" w:rsidR="00057FBD" w:rsidRPr="00057FBD" w:rsidRDefault="00057FBD" w:rsidP="002C64B8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48C64A52" w14:textId="350CA763" w:rsidR="00057FBD" w:rsidRPr="005129C2" w:rsidRDefault="00CE1D4E" w:rsidP="002C64B8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2C64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7E5F26" wp14:editId="0AE79A20">
                <wp:simplePos x="0" y="0"/>
                <wp:positionH relativeFrom="margin">
                  <wp:align>left</wp:align>
                </wp:positionH>
                <wp:positionV relativeFrom="page">
                  <wp:posOffset>9182100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61E49" w14:textId="3654FB6C" w:rsidR="00CE1D4E" w:rsidRPr="00CE1D4E" w:rsidRDefault="00CE1D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04800">
                              <w:rPr>
                                <w:noProof/>
                                <w:sz w:val="18"/>
                              </w:rPr>
                              <w:t>CICTE01491F01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5F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23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0+jwIAAIcFAAAOAAAAZHJzL2Uyb0RvYy54bWysVN9P2zAQfp+0/8Hy+0gbGOsiUtTBmCZV&#10;gAYTz65jkwjH59nXNuWv39lJA2MTmqa9JGffL993393JadcatlE+NGBLPj2YcKashKqx9yX/fnvx&#10;bsZZQGErYcCqku9U4Kfzt29Otq5QOdRgKuUZBbGh2LqS14iuyLIga9WKcABOWVJq8K1AOvr7rPJi&#10;S9Fbk+WTyXG2BV85D1KFQLfnvZLPU3ytlcQrrYNCZkpOb8P09em7it9sfiKKey9c3cjhGeIfXtGK&#10;xlLSMdS5QMHWvvktVNtIDwE0HkhoM9C6kSrVQNVMJy+quamFU6kWAie4Eabw/8LKy82Nu/YMu0/Q&#10;UQNTEcEtQT4EwibbulAMNhHTUASyjoV22rfxTyUwciRsdyOeqkMm6fLwcHaYz0glSZfns+NJAjx7&#10;8nY+4BcFLYtCyT31K71AbJYBY35R7E1iMgsXjTGpZ8a+uKiVqD7biuHOEc8ssY2zbclbVXFmFJEz&#10;SskVRWP+xpKSxywJg77sBADujIq5jf2mNGsqKjTvYYukVWfGs40gulUP05gvRSHL6KLp9aPTgPWv&#10;Tgb3ToNtdFOJyKPj5PVso3XKCBZHx7ax4F931r39vuq+1lg2dquOqoniCqodUcZDP03ByYuG2rcU&#10;Aa+Fp/GhjtNKwCv6aAPUBBgkzmrwj3+6j/bEatJS12gcSx5+rIWnHpqvlvj+cXp0FOc3HY7ef8jp&#10;4J9rVs81dt2eAbVgSsvHySRGezR7UXto72hzLGJWUgkrKXfJcS+eYb8kaPNItVgkI5pYJ3Bpb5zc&#10;T0ok5213J7wbGIzE/UvYD64oXhC5t42NsbBYI+gmsfwJ1QF4mvbEnGEzxXXy/Jysnvbn/CcAAAD/&#10;/wMAUEsDBBQABgAIAAAAIQArh/+E3AAAAAoBAAAPAAAAZHJzL2Rvd25yZXYueG1sTE9NT8MwDL0j&#10;8R8iI3FjKd2YRmk6DSQOHHZgwN1tvLZa45Qm6wq/Hu/EbvZ79vvI15Pr1EhDaD0buJ8loIgrb1uu&#10;DXx+vN6tQIWIbLHzTAZ+KMC6uL7KMbP+xO807mKtRIRDhgaaGPtM61A15DDMfE8s3N4PDqOsQ63t&#10;gCcRd51Ok2SpHbYsDg329NJQddgdncQYv8r5Y9z4ELb79PntF7fl4duY25tp8wQq0hT/j+EcX36g&#10;kEylP7INqjMgRaKgi8VSJuEf5qlUKc/QKk1AF7m+rFD8AQAA//8DAFBLAQItABQABgAIAAAAIQC2&#10;gziS/gAAAOEBAAATAAAAAAAAAAAAAAAAAAAAAABbQ29udGVudF9UeXBlc10ueG1sUEsBAi0AFAAG&#10;AAgAAAAhADj9If/WAAAAlAEAAAsAAAAAAAAAAAAAAAAALwEAAF9yZWxzLy5yZWxzUEsBAi0AFAAG&#10;AAgAAAAhAEbKvT6PAgAAhwUAAA4AAAAAAAAAAAAAAAAALgIAAGRycy9lMm9Eb2MueG1sUEsBAi0A&#10;FAAGAAgAAAAhACuH/4TcAAAACgEAAA8AAAAAAAAAAAAAAAAA6QQAAGRycy9kb3ducmV2LnhtbFBL&#10;BQYAAAAABAAEAPMAAADyBQAAAAA=&#10;" filled="f" stroked="f" strokeweight="1pt">
                <v:textbox>
                  <w:txbxContent>
                    <w:p w14:paraId="00361E49" w14:textId="3654FB6C" w:rsidR="00CE1D4E" w:rsidRPr="00CE1D4E" w:rsidRDefault="00CE1D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04800">
                        <w:rPr>
                          <w:noProof/>
                          <w:sz w:val="18"/>
                        </w:rPr>
                        <w:t>CICTE01491F01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57FBD" w:rsidRPr="005129C2" w:rsidSect="006F23C0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A4FA" w14:textId="77777777" w:rsidR="00817581" w:rsidRPr="006F655D" w:rsidRDefault="00817581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31FD7029" w14:textId="77777777" w:rsidR="00817581" w:rsidRPr="006F655D" w:rsidRDefault="00817581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EAE0" w14:textId="77777777" w:rsidR="00817581" w:rsidRPr="006F655D" w:rsidRDefault="00817581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67F49C1F" w14:textId="77777777" w:rsidR="00817581" w:rsidRPr="006F655D" w:rsidRDefault="00817581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>
      <w:rPr>
        <w:b/>
        <w:noProof/>
        <w:snapToGrid/>
        <w:sz w:val="22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16C1B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70A"/>
    <w:rsid w:val="00275F8F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C64B8"/>
    <w:rsid w:val="002D343A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6471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4CE7"/>
    <w:rsid w:val="0037634D"/>
    <w:rsid w:val="0037660A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97FCF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32F8"/>
    <w:rsid w:val="005D5B92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0B0"/>
    <w:rsid w:val="006846C3"/>
    <w:rsid w:val="0068523D"/>
    <w:rsid w:val="006868A1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45A7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331C"/>
    <w:rsid w:val="00714662"/>
    <w:rsid w:val="007154CD"/>
    <w:rsid w:val="0071615B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581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4800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52D8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5EE1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3E33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D727F"/>
    <w:rsid w:val="00CE1252"/>
    <w:rsid w:val="00CE1D4E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15E9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B12"/>
    <w:rsid w:val="00E02BE6"/>
    <w:rsid w:val="00E043D8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84524"/>
    <w:rsid w:val="00E90E37"/>
    <w:rsid w:val="00E95CAE"/>
    <w:rsid w:val="00E96ABD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F8D"/>
    <w:rsid w:val="00F32543"/>
    <w:rsid w:val="00F33F3E"/>
    <w:rsid w:val="00F341DB"/>
    <w:rsid w:val="00F4151C"/>
    <w:rsid w:val="00F43F3F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link w:val="ListParagraphChar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fr-CA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character" w:customStyle="1" w:styleId="ListParagraphChar">
    <w:name w:val="List Paragraph Char"/>
    <w:link w:val="ListParagraph"/>
    <w:uiPriority w:val="34"/>
    <w:rsid w:val="002E6471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2019-05-14T16:45:00Z</cp:lastPrinted>
  <dcterms:created xsi:type="dcterms:W3CDTF">2022-07-27T14:40:00Z</dcterms:created>
  <dcterms:modified xsi:type="dcterms:W3CDTF">2022-07-27T14:42:00Z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