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Pr="000F2049" w:rsidRDefault="000E624D" w:rsidP="000F2049">
      <w:pPr>
        <w:tabs>
          <w:tab w:val="left" w:pos="360"/>
          <w:tab w:val="left" w:pos="1890"/>
          <w:tab w:val="left" w:pos="7200"/>
        </w:tabs>
        <w:ind w:left="360"/>
        <w:jc w:val="both"/>
        <w:rPr>
          <w:b/>
          <w:bCs/>
          <w:sz w:val="22"/>
          <w:szCs w:val="22"/>
        </w:rPr>
      </w:pPr>
    </w:p>
    <w:p w14:paraId="3F870823" w14:textId="07E45FFD" w:rsidR="00AF0549" w:rsidRPr="000F2049" w:rsidRDefault="00E95860" w:rsidP="000F2049">
      <w:pPr>
        <w:tabs>
          <w:tab w:val="left" w:pos="360"/>
          <w:tab w:val="left" w:pos="1890"/>
          <w:tab w:val="left" w:pos="7200"/>
        </w:tabs>
        <w:jc w:val="both"/>
        <w:rPr>
          <w:sz w:val="22"/>
          <w:szCs w:val="22"/>
        </w:rPr>
      </w:pPr>
      <w:r w:rsidRPr="000F2049">
        <w:rPr>
          <w:b/>
          <w:bCs/>
          <w:sz w:val="22"/>
          <w:szCs w:val="22"/>
        </w:rPr>
        <w:tab/>
      </w:r>
      <w:r w:rsidR="000F2049" w:rsidRPr="000F2049">
        <w:rPr>
          <w:b/>
          <w:bCs/>
          <w:sz w:val="22"/>
          <w:szCs w:val="22"/>
        </w:rPr>
        <w:t>SIXTH MEETING OF MINISTERS AND HIGH AUTHORITIES</w:t>
      </w:r>
      <w:r w:rsidR="00AF0549" w:rsidRPr="000F2049">
        <w:rPr>
          <w:b/>
          <w:bCs/>
          <w:sz w:val="22"/>
          <w:szCs w:val="22"/>
        </w:rPr>
        <w:tab/>
      </w:r>
      <w:r w:rsidR="00AF0549" w:rsidRPr="000F2049">
        <w:rPr>
          <w:snapToGrid w:val="0"/>
          <w:sz w:val="22"/>
          <w:szCs w:val="22"/>
        </w:rPr>
        <w:t>OEA/</w:t>
      </w:r>
      <w:proofErr w:type="spellStart"/>
      <w:r w:rsidR="00AF0549" w:rsidRPr="000F2049">
        <w:rPr>
          <w:snapToGrid w:val="0"/>
          <w:sz w:val="22"/>
          <w:szCs w:val="22"/>
        </w:rPr>
        <w:t>Ser.K</w:t>
      </w:r>
      <w:proofErr w:type="spellEnd"/>
      <w:r w:rsidR="00AF0549" w:rsidRPr="000F2049">
        <w:rPr>
          <w:snapToGrid w:val="0"/>
          <w:sz w:val="22"/>
          <w:szCs w:val="22"/>
        </w:rPr>
        <w:t>/</w:t>
      </w:r>
      <w:r w:rsidR="000F2049">
        <w:rPr>
          <w:snapToGrid w:val="0"/>
          <w:sz w:val="22"/>
          <w:szCs w:val="22"/>
        </w:rPr>
        <w:t>XVIII.6</w:t>
      </w:r>
    </w:p>
    <w:p w14:paraId="598CBC5D" w14:textId="4E677126" w:rsidR="000F2049" w:rsidRDefault="000F2049" w:rsidP="000F2049">
      <w:pPr>
        <w:tabs>
          <w:tab w:val="left" w:pos="360"/>
          <w:tab w:val="left" w:pos="1890"/>
          <w:tab w:val="left" w:pos="6480"/>
        </w:tabs>
        <w:ind w:left="360" w:right="-1109"/>
        <w:jc w:val="both"/>
        <w:rPr>
          <w:bCs/>
          <w:snapToGrid w:val="0"/>
          <w:sz w:val="22"/>
          <w:szCs w:val="22"/>
        </w:rPr>
      </w:pPr>
      <w:r w:rsidRPr="000F2049">
        <w:rPr>
          <w:b/>
          <w:bCs/>
          <w:sz w:val="22"/>
          <w:szCs w:val="22"/>
        </w:rPr>
        <w:t>OF SCIENCE AND TECHNOLOGY</w:t>
      </w:r>
      <w:r w:rsidR="00AF0549" w:rsidRPr="000F2049">
        <w:rPr>
          <w:b/>
          <w:bCs/>
          <w:sz w:val="22"/>
          <w:szCs w:val="22"/>
        </w:rPr>
        <w:tab/>
      </w:r>
      <w:r w:rsidRPr="000F2049">
        <w:rPr>
          <w:b/>
          <w:bCs/>
          <w:sz w:val="22"/>
          <w:szCs w:val="22"/>
        </w:rPr>
        <w:tab/>
      </w:r>
      <w:r w:rsidR="00AF0549" w:rsidRPr="000F2049">
        <w:rPr>
          <w:bCs/>
          <w:sz w:val="22"/>
          <w:szCs w:val="22"/>
        </w:rPr>
        <w:t>CIDI/</w:t>
      </w:r>
      <w:r>
        <w:rPr>
          <w:bCs/>
          <w:sz w:val="22"/>
          <w:szCs w:val="22"/>
        </w:rPr>
        <w:t>REMCYT-VI</w:t>
      </w:r>
      <w:r w:rsidR="00AF0549" w:rsidRPr="000F2049">
        <w:rPr>
          <w:bCs/>
          <w:snapToGrid w:val="0"/>
          <w:sz w:val="22"/>
          <w:szCs w:val="22"/>
        </w:rPr>
        <w:t>/doc.</w:t>
      </w:r>
      <w:r w:rsidR="002143E8">
        <w:rPr>
          <w:bCs/>
          <w:snapToGrid w:val="0"/>
          <w:sz w:val="22"/>
          <w:szCs w:val="22"/>
        </w:rPr>
        <w:t xml:space="preserve"> 5</w:t>
      </w:r>
      <w:r w:rsidR="00AF0549" w:rsidRPr="000F2049">
        <w:rPr>
          <w:bCs/>
          <w:snapToGrid w:val="0"/>
          <w:sz w:val="22"/>
          <w:szCs w:val="22"/>
        </w:rPr>
        <w:t>/21</w:t>
      </w:r>
    </w:p>
    <w:p w14:paraId="2B010FF3" w14:textId="328451AA" w:rsidR="00AF0549" w:rsidRPr="000F2049" w:rsidRDefault="000F2049" w:rsidP="002143E8">
      <w:pPr>
        <w:tabs>
          <w:tab w:val="left" w:pos="360"/>
          <w:tab w:val="left" w:pos="1890"/>
          <w:tab w:val="left" w:pos="6480"/>
          <w:tab w:val="left" w:pos="7200"/>
        </w:tabs>
        <w:ind w:left="360" w:right="-1109"/>
        <w:jc w:val="both"/>
        <w:rPr>
          <w:snapToGrid w:val="0"/>
          <w:sz w:val="22"/>
          <w:szCs w:val="22"/>
        </w:rPr>
      </w:pPr>
      <w:r w:rsidRPr="000F2049">
        <w:rPr>
          <w:sz w:val="22"/>
          <w:szCs w:val="22"/>
        </w:rPr>
        <w:t>December 7 – 8, 2021</w:t>
      </w:r>
      <w:r w:rsidR="00AF0549" w:rsidRPr="000F2049">
        <w:rPr>
          <w:b/>
          <w:bCs/>
          <w:snapToGrid w:val="0"/>
          <w:sz w:val="22"/>
          <w:szCs w:val="22"/>
        </w:rPr>
        <w:tab/>
      </w:r>
      <w:r>
        <w:rPr>
          <w:b/>
          <w:bCs/>
          <w:snapToGrid w:val="0"/>
          <w:sz w:val="22"/>
          <w:szCs w:val="22"/>
        </w:rPr>
        <w:tab/>
      </w:r>
      <w:r w:rsidR="00AE0D5E">
        <w:rPr>
          <w:snapToGrid w:val="0"/>
          <w:sz w:val="22"/>
          <w:szCs w:val="22"/>
        </w:rPr>
        <w:t xml:space="preserve">3 </w:t>
      </w:r>
      <w:r w:rsidR="000D70E4">
        <w:rPr>
          <w:snapToGrid w:val="0"/>
          <w:sz w:val="22"/>
          <w:szCs w:val="22"/>
        </w:rPr>
        <w:t>December</w:t>
      </w:r>
      <w:r w:rsidRPr="000F2049">
        <w:rPr>
          <w:snapToGrid w:val="0"/>
          <w:sz w:val="22"/>
          <w:szCs w:val="22"/>
        </w:rPr>
        <w:t xml:space="preserve"> </w:t>
      </w:r>
      <w:r w:rsidR="00AF0549" w:rsidRPr="000F2049">
        <w:rPr>
          <w:snapToGrid w:val="0"/>
          <w:sz w:val="22"/>
          <w:szCs w:val="22"/>
        </w:rPr>
        <w:t>2021</w:t>
      </w:r>
    </w:p>
    <w:p w14:paraId="62CD9A7E" w14:textId="02A80485" w:rsidR="00AF0549" w:rsidRPr="000F2049" w:rsidRDefault="00AF0549" w:rsidP="000F2049">
      <w:pPr>
        <w:tabs>
          <w:tab w:val="left" w:pos="360"/>
          <w:tab w:val="left" w:pos="1890"/>
          <w:tab w:val="left" w:pos="7200"/>
          <w:tab w:val="left" w:pos="7290"/>
        </w:tabs>
        <w:ind w:left="360"/>
        <w:jc w:val="both"/>
        <w:rPr>
          <w:color w:val="000000"/>
          <w:sz w:val="22"/>
          <w:szCs w:val="22"/>
        </w:rPr>
      </w:pPr>
      <w:r w:rsidRPr="000F2049">
        <w:rPr>
          <w:color w:val="000000"/>
          <w:sz w:val="22"/>
          <w:szCs w:val="22"/>
        </w:rPr>
        <w:t>Washington, D.C., United States of America</w:t>
      </w:r>
      <w:r w:rsidRPr="000F2049">
        <w:rPr>
          <w:color w:val="000000"/>
          <w:sz w:val="22"/>
          <w:szCs w:val="22"/>
        </w:rPr>
        <w:tab/>
      </w:r>
      <w:r w:rsidRPr="000F2049">
        <w:rPr>
          <w:sz w:val="22"/>
          <w:szCs w:val="22"/>
        </w:rPr>
        <w:t xml:space="preserve">Original: </w:t>
      </w:r>
      <w:r w:rsidR="00CE67EA">
        <w:rPr>
          <w:sz w:val="22"/>
          <w:szCs w:val="22"/>
        </w:rPr>
        <w:t>English</w:t>
      </w:r>
    </w:p>
    <w:p w14:paraId="2ECD3812" w14:textId="162CBD8F" w:rsidR="000E624D" w:rsidRPr="000F2049" w:rsidRDefault="00AF0549" w:rsidP="000F2049">
      <w:pPr>
        <w:pBdr>
          <w:bottom w:val="single" w:sz="12" w:space="2" w:color="auto"/>
        </w:pBdr>
        <w:tabs>
          <w:tab w:val="left" w:pos="360"/>
          <w:tab w:val="left" w:pos="1890"/>
          <w:tab w:val="left" w:pos="6840"/>
        </w:tabs>
        <w:ind w:left="360" w:right="-29"/>
        <w:rPr>
          <w:color w:val="000000"/>
          <w:sz w:val="22"/>
          <w:szCs w:val="22"/>
        </w:rPr>
      </w:pPr>
      <w:r w:rsidRPr="000F2049">
        <w:rPr>
          <w:color w:val="000000"/>
          <w:sz w:val="22"/>
          <w:szCs w:val="22"/>
        </w:rPr>
        <w:t>VIRTUAL</w:t>
      </w:r>
    </w:p>
    <w:p w14:paraId="4D70C15C" w14:textId="77777777" w:rsidR="000E624D" w:rsidRPr="000F2049" w:rsidRDefault="000E624D" w:rsidP="000F2049">
      <w:pPr>
        <w:pBdr>
          <w:bottom w:val="single" w:sz="12" w:space="2" w:color="auto"/>
        </w:pBdr>
        <w:tabs>
          <w:tab w:val="left" w:pos="360"/>
          <w:tab w:val="left" w:pos="1890"/>
          <w:tab w:val="left" w:pos="6840"/>
        </w:tabs>
        <w:ind w:left="360" w:right="-29"/>
        <w:rPr>
          <w:color w:val="000000"/>
          <w:sz w:val="22"/>
          <w:szCs w:val="22"/>
        </w:rPr>
      </w:pPr>
    </w:p>
    <w:p w14:paraId="20283835" w14:textId="77777777" w:rsidR="000E624D" w:rsidRPr="000F2049" w:rsidRDefault="000E624D" w:rsidP="000F2049">
      <w:pPr>
        <w:tabs>
          <w:tab w:val="left" w:pos="720"/>
          <w:tab w:val="left" w:pos="1890"/>
          <w:tab w:val="center" w:pos="4320"/>
          <w:tab w:val="right" w:pos="8640"/>
        </w:tabs>
        <w:jc w:val="center"/>
        <w:rPr>
          <w:sz w:val="22"/>
          <w:szCs w:val="22"/>
        </w:rPr>
      </w:pPr>
    </w:p>
    <w:p w14:paraId="2F4E193B" w14:textId="77777777" w:rsidR="000D70E4" w:rsidRPr="007632B6" w:rsidRDefault="000D70E4" w:rsidP="000D70E4">
      <w:pPr>
        <w:tabs>
          <w:tab w:val="left" w:pos="6750"/>
        </w:tabs>
        <w:jc w:val="center"/>
        <w:rPr>
          <w:snapToGrid w:val="0"/>
          <w:sz w:val="22"/>
          <w:szCs w:val="22"/>
        </w:rPr>
      </w:pPr>
    </w:p>
    <w:p w14:paraId="622AB44A" w14:textId="77777777" w:rsidR="000D70E4" w:rsidRPr="007632B6" w:rsidRDefault="000D70E4" w:rsidP="000D70E4">
      <w:pPr>
        <w:tabs>
          <w:tab w:val="left" w:pos="6750"/>
        </w:tabs>
        <w:jc w:val="center"/>
        <w:rPr>
          <w:snapToGrid w:val="0"/>
          <w:sz w:val="22"/>
          <w:szCs w:val="22"/>
        </w:rPr>
      </w:pPr>
    </w:p>
    <w:p w14:paraId="1B535C24" w14:textId="77777777" w:rsidR="000D70E4" w:rsidRPr="007632B6" w:rsidRDefault="000D70E4" w:rsidP="000D70E4">
      <w:pPr>
        <w:tabs>
          <w:tab w:val="left" w:pos="6750"/>
        </w:tabs>
        <w:jc w:val="center"/>
        <w:rPr>
          <w:snapToGrid w:val="0"/>
          <w:sz w:val="22"/>
          <w:szCs w:val="22"/>
        </w:rPr>
      </w:pPr>
    </w:p>
    <w:p w14:paraId="6802A213" w14:textId="77777777" w:rsidR="000D70E4" w:rsidRPr="007632B6" w:rsidRDefault="000D70E4" w:rsidP="000D70E4">
      <w:pPr>
        <w:tabs>
          <w:tab w:val="left" w:pos="6750"/>
        </w:tabs>
        <w:jc w:val="center"/>
        <w:rPr>
          <w:snapToGrid w:val="0"/>
          <w:sz w:val="22"/>
          <w:szCs w:val="22"/>
        </w:rPr>
      </w:pPr>
    </w:p>
    <w:p w14:paraId="48109A4E" w14:textId="77777777" w:rsidR="000D70E4" w:rsidRPr="007632B6" w:rsidRDefault="000D70E4" w:rsidP="000D70E4">
      <w:pPr>
        <w:tabs>
          <w:tab w:val="left" w:pos="6750"/>
        </w:tabs>
        <w:jc w:val="center"/>
        <w:rPr>
          <w:snapToGrid w:val="0"/>
          <w:sz w:val="22"/>
          <w:szCs w:val="22"/>
        </w:rPr>
      </w:pPr>
    </w:p>
    <w:p w14:paraId="3FFC6F4A" w14:textId="77777777" w:rsidR="000D70E4" w:rsidRPr="007632B6" w:rsidRDefault="000D70E4" w:rsidP="000D70E4">
      <w:pPr>
        <w:tabs>
          <w:tab w:val="left" w:pos="6750"/>
        </w:tabs>
        <w:jc w:val="center"/>
        <w:rPr>
          <w:snapToGrid w:val="0"/>
          <w:sz w:val="22"/>
          <w:szCs w:val="22"/>
        </w:rPr>
      </w:pPr>
    </w:p>
    <w:p w14:paraId="52463243" w14:textId="77777777" w:rsidR="000D70E4" w:rsidRPr="007632B6" w:rsidRDefault="000D70E4" w:rsidP="000D70E4">
      <w:pPr>
        <w:tabs>
          <w:tab w:val="left" w:pos="6750"/>
        </w:tabs>
        <w:jc w:val="center"/>
        <w:rPr>
          <w:snapToGrid w:val="0"/>
          <w:sz w:val="22"/>
          <w:szCs w:val="22"/>
        </w:rPr>
      </w:pPr>
    </w:p>
    <w:p w14:paraId="6A032002" w14:textId="77777777" w:rsidR="000D70E4" w:rsidRPr="007632B6" w:rsidRDefault="000D70E4" w:rsidP="000D70E4">
      <w:pPr>
        <w:tabs>
          <w:tab w:val="left" w:pos="6750"/>
        </w:tabs>
        <w:jc w:val="center"/>
        <w:rPr>
          <w:snapToGrid w:val="0"/>
          <w:sz w:val="22"/>
          <w:szCs w:val="22"/>
        </w:rPr>
      </w:pPr>
    </w:p>
    <w:p w14:paraId="14EFED9B" w14:textId="77777777" w:rsidR="000D70E4" w:rsidRPr="007632B6" w:rsidRDefault="000D70E4" w:rsidP="000D70E4">
      <w:pPr>
        <w:tabs>
          <w:tab w:val="left" w:pos="6750"/>
        </w:tabs>
        <w:jc w:val="center"/>
        <w:rPr>
          <w:snapToGrid w:val="0"/>
          <w:sz w:val="22"/>
          <w:szCs w:val="22"/>
        </w:rPr>
      </w:pPr>
    </w:p>
    <w:p w14:paraId="537B16F8" w14:textId="77777777" w:rsidR="000D70E4" w:rsidRPr="007632B6" w:rsidRDefault="000D70E4" w:rsidP="000D70E4">
      <w:pPr>
        <w:tabs>
          <w:tab w:val="left" w:pos="6750"/>
        </w:tabs>
        <w:jc w:val="center"/>
        <w:rPr>
          <w:snapToGrid w:val="0"/>
          <w:sz w:val="22"/>
          <w:szCs w:val="22"/>
        </w:rPr>
      </w:pPr>
    </w:p>
    <w:p w14:paraId="342D02C2" w14:textId="77777777" w:rsidR="000D70E4" w:rsidRPr="007632B6" w:rsidRDefault="000D70E4" w:rsidP="000D70E4">
      <w:pPr>
        <w:tabs>
          <w:tab w:val="left" w:pos="6750"/>
        </w:tabs>
        <w:jc w:val="center"/>
        <w:rPr>
          <w:snapToGrid w:val="0"/>
          <w:sz w:val="22"/>
          <w:szCs w:val="22"/>
        </w:rPr>
      </w:pPr>
    </w:p>
    <w:p w14:paraId="3DCF9E13" w14:textId="77777777" w:rsidR="000D70E4" w:rsidRPr="007632B6" w:rsidRDefault="000D70E4" w:rsidP="000D70E4">
      <w:pPr>
        <w:tabs>
          <w:tab w:val="left" w:pos="6750"/>
        </w:tabs>
        <w:jc w:val="center"/>
        <w:rPr>
          <w:snapToGrid w:val="0"/>
          <w:sz w:val="22"/>
          <w:szCs w:val="22"/>
        </w:rPr>
      </w:pPr>
    </w:p>
    <w:p w14:paraId="60F01152" w14:textId="77777777" w:rsidR="000D70E4" w:rsidRPr="007632B6" w:rsidRDefault="000D70E4" w:rsidP="000D70E4">
      <w:pPr>
        <w:tabs>
          <w:tab w:val="left" w:pos="6750"/>
        </w:tabs>
        <w:jc w:val="center"/>
        <w:rPr>
          <w:snapToGrid w:val="0"/>
          <w:sz w:val="22"/>
          <w:szCs w:val="22"/>
        </w:rPr>
      </w:pPr>
    </w:p>
    <w:p w14:paraId="74D56F7F" w14:textId="77777777" w:rsidR="000D70E4" w:rsidRPr="007632B6" w:rsidRDefault="000D70E4" w:rsidP="000D70E4">
      <w:pPr>
        <w:tabs>
          <w:tab w:val="left" w:pos="6750"/>
        </w:tabs>
        <w:jc w:val="center"/>
        <w:rPr>
          <w:snapToGrid w:val="0"/>
          <w:sz w:val="22"/>
          <w:szCs w:val="22"/>
        </w:rPr>
      </w:pPr>
    </w:p>
    <w:p w14:paraId="54492363" w14:textId="508FA991" w:rsidR="000D70E4" w:rsidRPr="000D70E4" w:rsidRDefault="000D70E4" w:rsidP="000D70E4">
      <w:pPr>
        <w:pStyle w:val="BodyText"/>
        <w:tabs>
          <w:tab w:val="left" w:pos="0"/>
        </w:tabs>
        <w:rPr>
          <w:rFonts w:ascii="Times New Roman" w:hAnsi="Times New Roman"/>
          <w:bCs w:val="0"/>
          <w:szCs w:val="22"/>
          <w:lang w:val="en-US"/>
        </w:rPr>
      </w:pPr>
      <w:r w:rsidRPr="000D70E4">
        <w:rPr>
          <w:rFonts w:ascii="Times New Roman" w:hAnsi="Times New Roman"/>
          <w:bCs w:val="0"/>
          <w:szCs w:val="22"/>
          <w:lang w:val="en-US"/>
        </w:rPr>
        <w:t>REPORT ON ACTIVITIES IN SCIENCE AND TECHNOLOGY</w:t>
      </w:r>
      <w:r w:rsidRPr="000D70E4" w:rsidDel="009D64FD">
        <w:rPr>
          <w:rFonts w:ascii="Times New Roman" w:hAnsi="Times New Roman"/>
          <w:bCs w:val="0"/>
          <w:szCs w:val="22"/>
          <w:lang w:val="en-US"/>
        </w:rPr>
        <w:t xml:space="preserve"> </w:t>
      </w:r>
    </w:p>
    <w:p w14:paraId="14DF6A07" w14:textId="77777777" w:rsidR="000D70E4" w:rsidRPr="007632B6" w:rsidRDefault="000D70E4" w:rsidP="000D70E4">
      <w:pPr>
        <w:tabs>
          <w:tab w:val="left" w:pos="6750"/>
        </w:tabs>
        <w:jc w:val="both"/>
        <w:rPr>
          <w:snapToGrid w:val="0"/>
          <w:sz w:val="22"/>
          <w:szCs w:val="22"/>
        </w:rPr>
      </w:pPr>
    </w:p>
    <w:p w14:paraId="59F358F2" w14:textId="77777777" w:rsidR="000D70E4" w:rsidRPr="007632B6" w:rsidRDefault="000D70E4" w:rsidP="000D70E4">
      <w:pPr>
        <w:autoSpaceDE w:val="0"/>
        <w:autoSpaceDN w:val="0"/>
        <w:adjustRightInd w:val="0"/>
        <w:jc w:val="center"/>
        <w:rPr>
          <w:iCs/>
          <w:snapToGrid w:val="0"/>
          <w:sz w:val="22"/>
          <w:szCs w:val="22"/>
        </w:rPr>
      </w:pPr>
      <w:r w:rsidRPr="007632B6">
        <w:rPr>
          <w:snapToGrid w:val="0"/>
          <w:sz w:val="22"/>
          <w:szCs w:val="22"/>
        </w:rPr>
        <w:t>(</w:t>
      </w:r>
      <w:r w:rsidRPr="007632B6">
        <w:rPr>
          <w:iCs/>
          <w:snapToGrid w:val="0"/>
          <w:sz w:val="22"/>
          <w:szCs w:val="22"/>
        </w:rPr>
        <w:t xml:space="preserve">Prepared by the Competitiveness, Innovation and Technology Section </w:t>
      </w:r>
    </w:p>
    <w:p w14:paraId="67A823EA" w14:textId="1836BD5A" w:rsidR="000D70E4" w:rsidRDefault="000D70E4" w:rsidP="000D70E4">
      <w:pPr>
        <w:autoSpaceDE w:val="0"/>
        <w:autoSpaceDN w:val="0"/>
        <w:adjustRightInd w:val="0"/>
        <w:jc w:val="center"/>
        <w:rPr>
          <w:iCs/>
          <w:snapToGrid w:val="0"/>
          <w:sz w:val="22"/>
          <w:szCs w:val="22"/>
        </w:rPr>
      </w:pPr>
      <w:r w:rsidRPr="007632B6">
        <w:rPr>
          <w:iCs/>
          <w:snapToGrid w:val="0"/>
          <w:sz w:val="22"/>
          <w:szCs w:val="22"/>
        </w:rPr>
        <w:t>of the Department of Economic Development)</w:t>
      </w:r>
      <w:r>
        <w:rPr>
          <w:iCs/>
          <w:snapToGrid w:val="0"/>
          <w:sz w:val="22"/>
          <w:szCs w:val="22"/>
        </w:rPr>
        <w:br w:type="page"/>
      </w:r>
    </w:p>
    <w:p w14:paraId="27B6BB87" w14:textId="020FF2E0" w:rsidR="000D70E4" w:rsidRPr="000D70E4" w:rsidRDefault="000D70E4" w:rsidP="000D70E4">
      <w:pPr>
        <w:pStyle w:val="BodyText"/>
        <w:tabs>
          <w:tab w:val="left" w:pos="0"/>
        </w:tabs>
        <w:rPr>
          <w:rFonts w:ascii="Times New Roman" w:hAnsi="Times New Roman"/>
          <w:bCs w:val="0"/>
          <w:szCs w:val="22"/>
          <w:lang w:val="en-US"/>
        </w:rPr>
      </w:pPr>
      <w:r w:rsidRPr="000D70E4">
        <w:rPr>
          <w:rFonts w:ascii="Times New Roman" w:hAnsi="Times New Roman"/>
          <w:bCs w:val="0"/>
          <w:szCs w:val="22"/>
          <w:lang w:val="en-US"/>
        </w:rPr>
        <w:lastRenderedPageBreak/>
        <w:t>REPORT ON ACTIVITIES</w:t>
      </w:r>
      <w:r w:rsidR="003B5749">
        <w:rPr>
          <w:rFonts w:ascii="Times New Roman" w:hAnsi="Times New Roman"/>
          <w:bCs w:val="0"/>
          <w:szCs w:val="22"/>
          <w:lang w:val="en-US"/>
        </w:rPr>
        <w:t xml:space="preserve"> </w:t>
      </w:r>
      <w:r w:rsidRPr="000D70E4">
        <w:rPr>
          <w:rFonts w:ascii="Times New Roman" w:hAnsi="Times New Roman"/>
          <w:bCs w:val="0"/>
          <w:szCs w:val="22"/>
          <w:lang w:val="en-US"/>
        </w:rPr>
        <w:t>IN SCIENCE AND TECHNOLOGY</w:t>
      </w:r>
      <w:r w:rsidRPr="000D70E4" w:rsidDel="009D64FD">
        <w:rPr>
          <w:rFonts w:ascii="Times New Roman" w:hAnsi="Times New Roman"/>
          <w:bCs w:val="0"/>
          <w:szCs w:val="22"/>
          <w:lang w:val="en-US"/>
        </w:rPr>
        <w:t xml:space="preserve"> </w:t>
      </w:r>
    </w:p>
    <w:p w14:paraId="2844E05E" w14:textId="77777777" w:rsidR="000D70E4" w:rsidRPr="007632B6" w:rsidRDefault="000D70E4" w:rsidP="000D70E4">
      <w:pPr>
        <w:tabs>
          <w:tab w:val="left" w:pos="6750"/>
        </w:tabs>
        <w:jc w:val="both"/>
        <w:rPr>
          <w:snapToGrid w:val="0"/>
          <w:sz w:val="22"/>
          <w:szCs w:val="22"/>
        </w:rPr>
      </w:pPr>
    </w:p>
    <w:p w14:paraId="75604412" w14:textId="77777777" w:rsidR="000D70E4" w:rsidRPr="007632B6" w:rsidRDefault="000D70E4" w:rsidP="000D70E4">
      <w:pPr>
        <w:autoSpaceDE w:val="0"/>
        <w:autoSpaceDN w:val="0"/>
        <w:adjustRightInd w:val="0"/>
        <w:jc w:val="center"/>
        <w:rPr>
          <w:iCs/>
          <w:snapToGrid w:val="0"/>
          <w:sz w:val="22"/>
          <w:szCs w:val="22"/>
        </w:rPr>
      </w:pPr>
      <w:r w:rsidRPr="007632B6">
        <w:rPr>
          <w:snapToGrid w:val="0"/>
          <w:sz w:val="22"/>
          <w:szCs w:val="22"/>
        </w:rPr>
        <w:t>(</w:t>
      </w:r>
      <w:r w:rsidRPr="007632B6">
        <w:rPr>
          <w:iCs/>
          <w:snapToGrid w:val="0"/>
          <w:sz w:val="22"/>
          <w:szCs w:val="22"/>
        </w:rPr>
        <w:t xml:space="preserve">Prepared by the Competitiveness, Innovation and Technology Section </w:t>
      </w:r>
    </w:p>
    <w:p w14:paraId="09206326" w14:textId="77777777" w:rsidR="000D70E4" w:rsidRPr="007632B6" w:rsidRDefault="000D70E4" w:rsidP="000D70E4">
      <w:pPr>
        <w:autoSpaceDE w:val="0"/>
        <w:autoSpaceDN w:val="0"/>
        <w:adjustRightInd w:val="0"/>
        <w:jc w:val="center"/>
        <w:rPr>
          <w:iCs/>
          <w:snapToGrid w:val="0"/>
          <w:sz w:val="22"/>
          <w:szCs w:val="22"/>
        </w:rPr>
      </w:pPr>
      <w:r w:rsidRPr="007632B6">
        <w:rPr>
          <w:iCs/>
          <w:snapToGrid w:val="0"/>
          <w:sz w:val="22"/>
          <w:szCs w:val="22"/>
        </w:rPr>
        <w:t>of the Department of Economic Development)</w:t>
      </w:r>
    </w:p>
    <w:p w14:paraId="3A885EFA" w14:textId="77777777" w:rsidR="000D70E4" w:rsidRPr="007632B6" w:rsidRDefault="000D70E4" w:rsidP="000D70E4">
      <w:pPr>
        <w:autoSpaceDE w:val="0"/>
        <w:autoSpaceDN w:val="0"/>
        <w:adjustRightInd w:val="0"/>
        <w:rPr>
          <w:iCs/>
          <w:snapToGrid w:val="0"/>
          <w:sz w:val="22"/>
          <w:szCs w:val="22"/>
        </w:rPr>
      </w:pPr>
    </w:p>
    <w:p w14:paraId="1CB0832D" w14:textId="77777777" w:rsidR="000D70E4" w:rsidRPr="002E4692" w:rsidRDefault="000D70E4" w:rsidP="000D70E4">
      <w:pPr>
        <w:tabs>
          <w:tab w:val="left" w:pos="6750"/>
        </w:tabs>
        <w:jc w:val="both"/>
        <w:rPr>
          <w:b/>
          <w:snapToGrid w:val="0"/>
          <w:sz w:val="22"/>
          <w:szCs w:val="22"/>
        </w:rPr>
      </w:pPr>
    </w:p>
    <w:p w14:paraId="3AA50D78" w14:textId="77777777" w:rsidR="000D70E4" w:rsidRPr="007632B6" w:rsidRDefault="000D70E4" w:rsidP="000D70E4">
      <w:pPr>
        <w:pStyle w:val="ListParagraph"/>
        <w:tabs>
          <w:tab w:val="left" w:pos="6750"/>
        </w:tabs>
        <w:ind w:left="0"/>
        <w:jc w:val="both"/>
        <w:rPr>
          <w:snapToGrid w:val="0"/>
          <w:sz w:val="22"/>
          <w:szCs w:val="22"/>
        </w:rPr>
      </w:pPr>
      <w:r w:rsidRPr="007632B6">
        <w:rPr>
          <w:snapToGrid w:val="0"/>
          <w:sz w:val="22"/>
          <w:szCs w:val="22"/>
        </w:rPr>
        <w:t>INTRODUCTION</w:t>
      </w:r>
    </w:p>
    <w:p w14:paraId="6902904E" w14:textId="77777777" w:rsidR="000D70E4" w:rsidRPr="007632B6" w:rsidRDefault="000D70E4" w:rsidP="000D70E4">
      <w:pPr>
        <w:tabs>
          <w:tab w:val="left" w:pos="360"/>
          <w:tab w:val="left" w:pos="6750"/>
        </w:tabs>
        <w:jc w:val="both"/>
        <w:rPr>
          <w:b/>
          <w:snapToGrid w:val="0"/>
          <w:sz w:val="22"/>
          <w:szCs w:val="22"/>
        </w:rPr>
      </w:pPr>
    </w:p>
    <w:p w14:paraId="2266E6C4" w14:textId="32B84480" w:rsidR="000D70E4" w:rsidRDefault="000D70E4" w:rsidP="000D70E4">
      <w:pPr>
        <w:tabs>
          <w:tab w:val="left" w:pos="720"/>
          <w:tab w:val="left" w:pos="6750"/>
        </w:tabs>
        <w:jc w:val="both"/>
        <w:rPr>
          <w:bCs/>
          <w:snapToGrid w:val="0"/>
          <w:sz w:val="22"/>
          <w:szCs w:val="22"/>
        </w:rPr>
      </w:pPr>
      <w:r>
        <w:rPr>
          <w:snapToGrid w:val="0"/>
          <w:sz w:val="22"/>
          <w:szCs w:val="22"/>
        </w:rPr>
        <w:tab/>
      </w:r>
      <w:bookmarkStart w:id="0" w:name="_Hlk89441432"/>
      <w:bookmarkStart w:id="1" w:name="_Hlk89441377"/>
      <w:r w:rsidRPr="007632B6">
        <w:rPr>
          <w:snapToGrid w:val="0"/>
          <w:sz w:val="22"/>
          <w:szCs w:val="22"/>
        </w:rPr>
        <w:t xml:space="preserve">This report of the General Secretariat relates to the activities undertaken since the V Meeting of Ministers and High Authorities of Science and Technology held in Medellín, Colombia on November 2-3, 2017 </w:t>
      </w:r>
      <w:r w:rsidR="00F8030A">
        <w:rPr>
          <w:snapToGrid w:val="0"/>
          <w:sz w:val="22"/>
          <w:szCs w:val="22"/>
        </w:rPr>
        <w:t xml:space="preserve">pursuant to </w:t>
      </w:r>
      <w:r w:rsidRPr="007632B6">
        <w:rPr>
          <w:sz w:val="22"/>
          <w:szCs w:val="22"/>
        </w:rPr>
        <w:t>the</w:t>
      </w:r>
      <w:r w:rsidR="003B5749">
        <w:rPr>
          <w:sz w:val="22"/>
          <w:szCs w:val="22"/>
        </w:rPr>
        <w:t xml:space="preserve"> 2018-2020 </w:t>
      </w:r>
      <w:r w:rsidR="00F8030A">
        <w:rPr>
          <w:sz w:val="22"/>
          <w:szCs w:val="22"/>
        </w:rPr>
        <w:t xml:space="preserve">Work Plan of the </w:t>
      </w:r>
      <w:r w:rsidRPr="007632B6">
        <w:rPr>
          <w:sz w:val="22"/>
          <w:szCs w:val="22"/>
        </w:rPr>
        <w:t xml:space="preserve">Inter-American </w:t>
      </w:r>
      <w:r w:rsidRPr="003B5749">
        <w:rPr>
          <w:bCs/>
          <w:snapToGrid w:val="0"/>
          <w:sz w:val="22"/>
          <w:szCs w:val="22"/>
        </w:rPr>
        <w:t xml:space="preserve">Committee on Science and Technology (COMCYT) </w:t>
      </w:r>
      <w:r w:rsidR="00F8030A" w:rsidRPr="003B5749">
        <w:rPr>
          <w:bCs/>
          <w:snapToGrid w:val="0"/>
          <w:sz w:val="22"/>
          <w:szCs w:val="22"/>
        </w:rPr>
        <w:t xml:space="preserve">for the implementation of the ministerial mandates </w:t>
      </w:r>
      <w:r w:rsidR="00CB6402" w:rsidRPr="003B5749">
        <w:rPr>
          <w:bCs/>
          <w:snapToGrid w:val="0"/>
          <w:sz w:val="22"/>
          <w:szCs w:val="22"/>
        </w:rPr>
        <w:t xml:space="preserve">agreed by the authorities of the COMCYT during its Planning </w:t>
      </w:r>
      <w:r w:rsidRPr="003B5749">
        <w:rPr>
          <w:bCs/>
          <w:snapToGrid w:val="0"/>
          <w:sz w:val="22"/>
          <w:szCs w:val="22"/>
        </w:rPr>
        <w:t>Meeting held on May 21-22, 2018</w:t>
      </w:r>
      <w:r w:rsidR="00F8030A" w:rsidRPr="003B5749">
        <w:rPr>
          <w:bCs/>
          <w:snapToGrid w:val="0"/>
          <w:sz w:val="22"/>
          <w:szCs w:val="22"/>
        </w:rPr>
        <w:t xml:space="preserve"> and presented to the </w:t>
      </w:r>
      <w:r w:rsidR="00F8030A">
        <w:rPr>
          <w:bCs/>
          <w:snapToGrid w:val="0"/>
          <w:sz w:val="22"/>
          <w:szCs w:val="22"/>
        </w:rPr>
        <w:t>Inter</w:t>
      </w:r>
      <w:r w:rsidR="003B138B">
        <w:rPr>
          <w:bCs/>
          <w:snapToGrid w:val="0"/>
          <w:sz w:val="22"/>
          <w:szCs w:val="22"/>
        </w:rPr>
        <w:t>-A</w:t>
      </w:r>
      <w:r w:rsidR="00F8030A">
        <w:rPr>
          <w:bCs/>
          <w:snapToGrid w:val="0"/>
          <w:sz w:val="22"/>
          <w:szCs w:val="22"/>
        </w:rPr>
        <w:t>merican Council of Integral Development (</w:t>
      </w:r>
      <w:r w:rsidR="00F8030A" w:rsidRPr="003B5749">
        <w:rPr>
          <w:bCs/>
          <w:snapToGrid w:val="0"/>
          <w:sz w:val="22"/>
          <w:szCs w:val="22"/>
        </w:rPr>
        <w:t>CIDI</w:t>
      </w:r>
      <w:r w:rsidR="00F8030A">
        <w:rPr>
          <w:bCs/>
          <w:snapToGrid w:val="0"/>
          <w:sz w:val="22"/>
          <w:szCs w:val="22"/>
        </w:rPr>
        <w:t>)</w:t>
      </w:r>
      <w:r w:rsidR="00F8030A" w:rsidRPr="003B5749">
        <w:rPr>
          <w:bCs/>
          <w:snapToGrid w:val="0"/>
          <w:sz w:val="22"/>
          <w:szCs w:val="22"/>
        </w:rPr>
        <w:t xml:space="preserve">, through its Committee on </w:t>
      </w:r>
      <w:r w:rsidR="003B138B">
        <w:rPr>
          <w:bCs/>
          <w:snapToGrid w:val="0"/>
          <w:sz w:val="22"/>
          <w:szCs w:val="22"/>
        </w:rPr>
        <w:t xml:space="preserve">Partnership for Development </w:t>
      </w:r>
      <w:r w:rsidR="00F8030A" w:rsidRPr="003B5749">
        <w:rPr>
          <w:bCs/>
          <w:snapToGrid w:val="0"/>
          <w:sz w:val="22"/>
          <w:szCs w:val="22"/>
        </w:rPr>
        <w:t>Policies</w:t>
      </w:r>
      <w:r w:rsidR="00F8030A">
        <w:rPr>
          <w:bCs/>
          <w:snapToGrid w:val="0"/>
          <w:sz w:val="22"/>
          <w:szCs w:val="22"/>
        </w:rPr>
        <w:t>,</w:t>
      </w:r>
      <w:r w:rsidR="00F8030A" w:rsidRPr="003B5749">
        <w:rPr>
          <w:bCs/>
          <w:snapToGrid w:val="0"/>
          <w:sz w:val="22"/>
          <w:szCs w:val="22"/>
        </w:rPr>
        <w:t xml:space="preserve"> on November 8, 2018, in order to receive feedback from all </w:t>
      </w:r>
      <w:r w:rsidR="003B138B">
        <w:rPr>
          <w:bCs/>
          <w:snapToGrid w:val="0"/>
          <w:sz w:val="22"/>
          <w:szCs w:val="22"/>
        </w:rPr>
        <w:t>m</w:t>
      </w:r>
      <w:r w:rsidR="00F8030A" w:rsidRPr="003B5749">
        <w:rPr>
          <w:bCs/>
          <w:snapToGrid w:val="0"/>
          <w:sz w:val="22"/>
          <w:szCs w:val="22"/>
        </w:rPr>
        <w:t xml:space="preserve">ember </w:t>
      </w:r>
      <w:r w:rsidR="003B138B">
        <w:rPr>
          <w:bCs/>
          <w:snapToGrid w:val="0"/>
          <w:sz w:val="22"/>
          <w:szCs w:val="22"/>
        </w:rPr>
        <w:t>s</w:t>
      </w:r>
      <w:r w:rsidR="00F8030A" w:rsidRPr="003B5749">
        <w:rPr>
          <w:bCs/>
          <w:snapToGrid w:val="0"/>
          <w:sz w:val="22"/>
          <w:szCs w:val="22"/>
        </w:rPr>
        <w:t>tates as well as to foster coordination among the different ministerial processes</w:t>
      </w:r>
      <w:r w:rsidRPr="003B5749">
        <w:rPr>
          <w:bCs/>
          <w:snapToGrid w:val="0"/>
          <w:sz w:val="22"/>
          <w:szCs w:val="22"/>
        </w:rPr>
        <w:t>.</w:t>
      </w:r>
      <w:r w:rsidRPr="007632B6">
        <w:rPr>
          <w:snapToGrid w:val="0"/>
          <w:sz w:val="22"/>
          <w:szCs w:val="22"/>
        </w:rPr>
        <w:t xml:space="preserve"> The report also includes a section on the COMCYT dialogues undertaken </w:t>
      </w:r>
      <w:r w:rsidRPr="007632B6">
        <w:rPr>
          <w:bCs/>
          <w:snapToGrid w:val="0"/>
          <w:sz w:val="22"/>
          <w:szCs w:val="22"/>
        </w:rPr>
        <w:t xml:space="preserve">to assist member states in their response to the COVID-19 pandemic </w:t>
      </w:r>
      <w:proofErr w:type="gramStart"/>
      <w:r w:rsidRPr="007632B6">
        <w:rPr>
          <w:bCs/>
          <w:snapToGrid w:val="0"/>
          <w:sz w:val="22"/>
          <w:szCs w:val="22"/>
        </w:rPr>
        <w:t>through the use of</w:t>
      </w:r>
      <w:proofErr w:type="gramEnd"/>
      <w:r w:rsidRPr="007632B6">
        <w:rPr>
          <w:bCs/>
          <w:snapToGrid w:val="0"/>
          <w:sz w:val="22"/>
          <w:szCs w:val="22"/>
        </w:rPr>
        <w:t xml:space="preserve"> science, technology and innovation.</w:t>
      </w:r>
      <w:bookmarkEnd w:id="0"/>
    </w:p>
    <w:bookmarkEnd w:id="1"/>
    <w:p w14:paraId="60AFAC4B" w14:textId="77777777" w:rsidR="000D70E4" w:rsidRPr="007632B6" w:rsidRDefault="000D70E4" w:rsidP="000D70E4">
      <w:pPr>
        <w:jc w:val="both"/>
        <w:rPr>
          <w:rFonts w:eastAsia="Calibri"/>
          <w:bCs/>
          <w:sz w:val="22"/>
          <w:szCs w:val="22"/>
          <w:highlight w:val="yellow"/>
        </w:rPr>
      </w:pPr>
    </w:p>
    <w:p w14:paraId="4E7190D6" w14:textId="77777777" w:rsidR="000D70E4" w:rsidRPr="007632B6" w:rsidRDefault="000D70E4" w:rsidP="000D70E4">
      <w:pPr>
        <w:pStyle w:val="ListParagraph"/>
        <w:tabs>
          <w:tab w:val="left" w:pos="6750"/>
        </w:tabs>
        <w:ind w:left="0"/>
        <w:jc w:val="both"/>
        <w:rPr>
          <w:snapToGrid w:val="0"/>
          <w:sz w:val="22"/>
          <w:szCs w:val="22"/>
        </w:rPr>
      </w:pPr>
      <w:r w:rsidRPr="007632B6">
        <w:rPr>
          <w:snapToGrid w:val="0"/>
          <w:sz w:val="22"/>
          <w:szCs w:val="22"/>
        </w:rPr>
        <w:t>BACKGROUND</w:t>
      </w:r>
    </w:p>
    <w:p w14:paraId="75CE488A" w14:textId="77777777" w:rsidR="000D70E4" w:rsidRPr="003B138B" w:rsidRDefault="000D70E4" w:rsidP="003B138B">
      <w:pPr>
        <w:contextualSpacing/>
        <w:jc w:val="both"/>
        <w:rPr>
          <w:sz w:val="22"/>
          <w:szCs w:val="22"/>
        </w:rPr>
      </w:pPr>
    </w:p>
    <w:p w14:paraId="05C1DE6E" w14:textId="25850708" w:rsidR="000D70E4" w:rsidRDefault="000D70E4" w:rsidP="000D70E4">
      <w:pPr>
        <w:pStyle w:val="ListParagraph"/>
        <w:ind w:left="0" w:firstLine="720"/>
        <w:contextualSpacing/>
        <w:jc w:val="both"/>
        <w:rPr>
          <w:sz w:val="22"/>
          <w:szCs w:val="22"/>
        </w:rPr>
      </w:pPr>
      <w:r w:rsidRPr="007632B6">
        <w:rPr>
          <w:sz w:val="22"/>
          <w:szCs w:val="22"/>
        </w:rPr>
        <w:t xml:space="preserve">At the V Meeting of Ministers and High Authorities of Science and Technology, </w:t>
      </w:r>
      <w:r w:rsidR="003B138B">
        <w:rPr>
          <w:sz w:val="22"/>
          <w:szCs w:val="22"/>
        </w:rPr>
        <w:t>a</w:t>
      </w:r>
      <w:r w:rsidRPr="007632B6">
        <w:rPr>
          <w:sz w:val="22"/>
          <w:szCs w:val="22"/>
        </w:rPr>
        <w:t xml:space="preserve">uthorities adopted the </w:t>
      </w:r>
      <w:hyperlink r:id="rId11" w:history="1">
        <w:r w:rsidRPr="002E4692">
          <w:rPr>
            <w:rStyle w:val="Hyperlink"/>
            <w:sz w:val="22"/>
            <w:szCs w:val="22"/>
          </w:rPr>
          <w:t>Declaration of Medellin</w:t>
        </w:r>
      </w:hyperlink>
      <w:r w:rsidRPr="002E4692">
        <w:rPr>
          <w:sz w:val="22"/>
          <w:szCs w:val="22"/>
        </w:rPr>
        <w:t xml:space="preserve"> </w:t>
      </w:r>
      <w:r w:rsidR="003B138B">
        <w:rPr>
          <w:b/>
          <w:bCs/>
          <w:sz w:val="22"/>
          <w:szCs w:val="22"/>
        </w:rPr>
        <w:t>“</w:t>
      </w:r>
      <w:r w:rsidRPr="002E4692">
        <w:rPr>
          <w:b/>
          <w:bCs/>
          <w:sz w:val="22"/>
          <w:szCs w:val="22"/>
        </w:rPr>
        <w:t>Science, Technology and Innovation as Pillars of Transformation in the Americas,”</w:t>
      </w:r>
      <w:r w:rsidRPr="007632B6">
        <w:rPr>
          <w:i/>
          <w:iCs/>
          <w:sz w:val="22"/>
          <w:szCs w:val="22"/>
        </w:rPr>
        <w:t xml:space="preserve"> </w:t>
      </w:r>
      <w:r w:rsidRPr="007632B6">
        <w:rPr>
          <w:sz w:val="22"/>
          <w:szCs w:val="22"/>
        </w:rPr>
        <w:t>which reaffirmed the structure, composition and methodology of the four (4) Working Groups of the COMCYT (Working Group 1 on Innovation; Working Group 2 on Education in Engineering; Working Group 3 on National Quality Infrastructure and Working Group 4 on Technological Development). The Declaration also expanded the scope of their actions by including the following cross-cutting themes:</w:t>
      </w:r>
    </w:p>
    <w:p w14:paraId="797EE505" w14:textId="77777777" w:rsidR="000D70E4" w:rsidRPr="003B138B" w:rsidRDefault="000D70E4" w:rsidP="003B138B">
      <w:pPr>
        <w:contextualSpacing/>
        <w:jc w:val="both"/>
        <w:rPr>
          <w:sz w:val="22"/>
          <w:szCs w:val="22"/>
        </w:rPr>
      </w:pPr>
    </w:p>
    <w:p w14:paraId="1424E076" w14:textId="77777777" w:rsidR="000D70E4" w:rsidRPr="007632B6" w:rsidRDefault="000D70E4" w:rsidP="000D70E4">
      <w:pPr>
        <w:numPr>
          <w:ilvl w:val="0"/>
          <w:numId w:val="7"/>
        </w:numPr>
        <w:ind w:left="1440" w:hanging="720"/>
        <w:jc w:val="both"/>
        <w:rPr>
          <w:sz w:val="22"/>
          <w:szCs w:val="22"/>
        </w:rPr>
      </w:pPr>
      <w:r w:rsidRPr="007632B6">
        <w:rPr>
          <w:sz w:val="22"/>
          <w:szCs w:val="22"/>
        </w:rPr>
        <w:t xml:space="preserve">Transformative technologies: incorporate the exchange of good practices on the value and impact of transformative technologies among member states to respond to the region’s main challenges and </w:t>
      </w:r>
      <w:proofErr w:type="gramStart"/>
      <w:r w:rsidRPr="007632B6">
        <w:rPr>
          <w:sz w:val="22"/>
          <w:szCs w:val="22"/>
        </w:rPr>
        <w:t>imperatives;</w:t>
      </w:r>
      <w:proofErr w:type="gramEnd"/>
    </w:p>
    <w:p w14:paraId="65C3DB38" w14:textId="77777777" w:rsidR="000D70E4" w:rsidRPr="007632B6" w:rsidRDefault="000D70E4" w:rsidP="003B138B">
      <w:pPr>
        <w:jc w:val="both"/>
        <w:rPr>
          <w:sz w:val="22"/>
          <w:szCs w:val="22"/>
        </w:rPr>
      </w:pPr>
    </w:p>
    <w:p w14:paraId="25BDD0B5" w14:textId="77777777" w:rsidR="000D70E4" w:rsidRPr="007632B6" w:rsidRDefault="000D70E4" w:rsidP="000D70E4">
      <w:pPr>
        <w:numPr>
          <w:ilvl w:val="0"/>
          <w:numId w:val="7"/>
        </w:numPr>
        <w:ind w:left="1440" w:hanging="720"/>
        <w:jc w:val="both"/>
        <w:rPr>
          <w:sz w:val="22"/>
          <w:szCs w:val="22"/>
        </w:rPr>
      </w:pPr>
      <w:r w:rsidRPr="007632B6">
        <w:rPr>
          <w:sz w:val="22"/>
          <w:szCs w:val="22"/>
        </w:rPr>
        <w:t xml:space="preserve">The inclusion of women and girls, and other populations in vulnerable situations, in the areas of science, technology and innovation: enhance their learning opportunities; increase their engagement in civic and political life; encourage their insertion in the labor market and foster their participation in social transformation processes brought about by scientific and technological </w:t>
      </w:r>
      <w:proofErr w:type="gramStart"/>
      <w:r w:rsidRPr="007632B6">
        <w:rPr>
          <w:sz w:val="22"/>
          <w:szCs w:val="22"/>
        </w:rPr>
        <w:t>advancements;</w:t>
      </w:r>
      <w:proofErr w:type="gramEnd"/>
    </w:p>
    <w:p w14:paraId="7DFC6FAA" w14:textId="77777777" w:rsidR="000D70E4" w:rsidRPr="007632B6" w:rsidRDefault="000D70E4" w:rsidP="003B138B">
      <w:pPr>
        <w:jc w:val="both"/>
        <w:rPr>
          <w:sz w:val="22"/>
          <w:szCs w:val="22"/>
        </w:rPr>
      </w:pPr>
    </w:p>
    <w:p w14:paraId="5854CAA3" w14:textId="77777777" w:rsidR="000D70E4" w:rsidRPr="007632B6" w:rsidRDefault="000D70E4" w:rsidP="000D70E4">
      <w:pPr>
        <w:numPr>
          <w:ilvl w:val="0"/>
          <w:numId w:val="7"/>
        </w:numPr>
        <w:ind w:left="1440" w:hanging="720"/>
        <w:jc w:val="both"/>
        <w:rPr>
          <w:sz w:val="22"/>
          <w:szCs w:val="22"/>
        </w:rPr>
      </w:pPr>
      <w:r w:rsidRPr="007632B6">
        <w:rPr>
          <w:sz w:val="22"/>
          <w:szCs w:val="22"/>
        </w:rPr>
        <w:t xml:space="preserve">Multisectoral collaboration among governments, the private sector, higher education institutions, civil </w:t>
      </w:r>
      <w:proofErr w:type="gramStart"/>
      <w:r w:rsidRPr="007632B6">
        <w:rPr>
          <w:sz w:val="22"/>
          <w:szCs w:val="22"/>
        </w:rPr>
        <w:t>society</w:t>
      </w:r>
      <w:proofErr w:type="gramEnd"/>
      <w:r w:rsidRPr="007632B6">
        <w:rPr>
          <w:sz w:val="22"/>
          <w:szCs w:val="22"/>
        </w:rPr>
        <w:t xml:space="preserve"> and other social actors to develop efficient, high-impact regional cooperation policies and programs.</w:t>
      </w:r>
    </w:p>
    <w:p w14:paraId="47EEAF0C" w14:textId="77777777" w:rsidR="000D70E4" w:rsidRPr="007632B6" w:rsidRDefault="000D70E4" w:rsidP="000D70E4">
      <w:pPr>
        <w:jc w:val="both"/>
        <w:rPr>
          <w:color w:val="171717"/>
          <w:sz w:val="22"/>
          <w:szCs w:val="22"/>
        </w:rPr>
      </w:pPr>
    </w:p>
    <w:p w14:paraId="2ABE456A" w14:textId="7541163A" w:rsidR="000D70E4" w:rsidRPr="007632B6" w:rsidRDefault="000D70E4" w:rsidP="000D70E4">
      <w:pPr>
        <w:ind w:firstLine="720"/>
        <w:jc w:val="both"/>
        <w:rPr>
          <w:sz w:val="22"/>
          <w:szCs w:val="22"/>
        </w:rPr>
      </w:pPr>
      <w:r w:rsidRPr="007632B6">
        <w:rPr>
          <w:sz w:val="22"/>
          <w:szCs w:val="22"/>
        </w:rPr>
        <w:t xml:space="preserve">Another important result of the Ministerial was the election of COMCYT Authorities and Coordinators of the four (4) Working Groups: </w:t>
      </w:r>
    </w:p>
    <w:p w14:paraId="6079B61E" w14:textId="27939921" w:rsidR="003B138B" w:rsidRDefault="003B138B" w:rsidP="000D70E4">
      <w:pPr>
        <w:jc w:val="both"/>
        <w:rPr>
          <w:sz w:val="22"/>
          <w:szCs w:val="22"/>
        </w:rPr>
      </w:pPr>
      <w:r>
        <w:rPr>
          <w:sz w:val="22"/>
          <w:szCs w:val="22"/>
        </w:rPr>
        <w:br w:type="page"/>
      </w:r>
    </w:p>
    <w:p w14:paraId="384C8918" w14:textId="77777777" w:rsidR="000D70E4" w:rsidRDefault="000D70E4" w:rsidP="000D70E4">
      <w:pPr>
        <w:tabs>
          <w:tab w:val="left" w:pos="7380"/>
        </w:tabs>
        <w:ind w:left="720"/>
        <w:jc w:val="both"/>
        <w:rPr>
          <w:bCs/>
          <w:color w:val="171717"/>
          <w:sz w:val="22"/>
          <w:szCs w:val="22"/>
          <w:u w:val="single"/>
        </w:rPr>
      </w:pPr>
      <w:r w:rsidRPr="007632B6">
        <w:rPr>
          <w:bCs/>
          <w:color w:val="171717"/>
          <w:sz w:val="22"/>
          <w:szCs w:val="22"/>
          <w:u w:val="single"/>
        </w:rPr>
        <w:lastRenderedPageBreak/>
        <w:t>COMCYT AUTHORITIES:</w:t>
      </w:r>
    </w:p>
    <w:p w14:paraId="6B3442A5" w14:textId="77777777" w:rsidR="000D70E4" w:rsidRPr="007632B6" w:rsidRDefault="000D70E4" w:rsidP="000D70E4">
      <w:pPr>
        <w:tabs>
          <w:tab w:val="left" w:pos="7380"/>
        </w:tabs>
        <w:ind w:left="720"/>
        <w:jc w:val="both"/>
        <w:rPr>
          <w:bCs/>
          <w:color w:val="171717"/>
          <w:sz w:val="22"/>
          <w:szCs w:val="22"/>
          <w:u w:val="single"/>
        </w:rPr>
      </w:pPr>
    </w:p>
    <w:p w14:paraId="4EEDA77B" w14:textId="77777777" w:rsidR="000D70E4" w:rsidRPr="007632B6" w:rsidRDefault="000D70E4" w:rsidP="003B138B">
      <w:pPr>
        <w:tabs>
          <w:tab w:val="left" w:pos="7380"/>
        </w:tabs>
        <w:ind w:left="720"/>
        <w:jc w:val="both"/>
        <w:rPr>
          <w:bCs/>
          <w:color w:val="171717"/>
          <w:sz w:val="22"/>
          <w:szCs w:val="22"/>
          <w:u w:val="single"/>
        </w:rPr>
      </w:pPr>
      <w:r w:rsidRPr="007632B6">
        <w:rPr>
          <w:bCs/>
          <w:color w:val="171717"/>
          <w:sz w:val="22"/>
          <w:szCs w:val="22"/>
        </w:rPr>
        <w:t xml:space="preserve">Chair: COLOMBIA, Ministry of Science, </w:t>
      </w:r>
      <w:proofErr w:type="gramStart"/>
      <w:r w:rsidRPr="007632B6">
        <w:rPr>
          <w:bCs/>
          <w:color w:val="171717"/>
          <w:sz w:val="22"/>
          <w:szCs w:val="22"/>
        </w:rPr>
        <w:t>Technology</w:t>
      </w:r>
      <w:proofErr w:type="gramEnd"/>
      <w:r w:rsidRPr="007632B6">
        <w:rPr>
          <w:bCs/>
          <w:color w:val="171717"/>
          <w:sz w:val="22"/>
          <w:szCs w:val="22"/>
        </w:rPr>
        <w:t xml:space="preserve"> and Innovation (MINCIENCIAS)</w:t>
      </w:r>
    </w:p>
    <w:p w14:paraId="0E3EF71F" w14:textId="77777777" w:rsidR="000D70E4" w:rsidRPr="007632B6" w:rsidRDefault="000D70E4" w:rsidP="003B138B">
      <w:pPr>
        <w:tabs>
          <w:tab w:val="left" w:pos="7380"/>
        </w:tabs>
        <w:ind w:left="720"/>
        <w:jc w:val="both"/>
        <w:rPr>
          <w:bCs/>
          <w:color w:val="171717"/>
          <w:sz w:val="22"/>
          <w:szCs w:val="22"/>
        </w:rPr>
      </w:pPr>
      <w:r w:rsidRPr="007632B6">
        <w:rPr>
          <w:bCs/>
          <w:color w:val="171717"/>
          <w:sz w:val="22"/>
          <w:szCs w:val="22"/>
        </w:rPr>
        <w:t>First Vice Chair: JAMAICA, Ministry of Science, Energy and Technology (MSET)</w:t>
      </w:r>
    </w:p>
    <w:p w14:paraId="209B2725" w14:textId="77777777" w:rsidR="000D70E4" w:rsidRPr="007632B6" w:rsidRDefault="000D70E4" w:rsidP="003B138B">
      <w:pPr>
        <w:tabs>
          <w:tab w:val="left" w:pos="7380"/>
        </w:tabs>
        <w:ind w:left="720"/>
        <w:jc w:val="both"/>
        <w:rPr>
          <w:bCs/>
          <w:color w:val="171717"/>
          <w:sz w:val="22"/>
          <w:szCs w:val="22"/>
        </w:rPr>
      </w:pPr>
      <w:r w:rsidRPr="007632B6">
        <w:rPr>
          <w:bCs/>
          <w:color w:val="171717"/>
          <w:sz w:val="22"/>
          <w:szCs w:val="22"/>
        </w:rPr>
        <w:t>Second Vice Chair: PERU, National Council of Science, Technology and Technological Innovation (CONCYTEC)</w:t>
      </w:r>
    </w:p>
    <w:p w14:paraId="7B3989D5" w14:textId="77777777" w:rsidR="000D70E4" w:rsidRPr="007632B6" w:rsidRDefault="000D70E4" w:rsidP="003B138B">
      <w:pPr>
        <w:tabs>
          <w:tab w:val="left" w:pos="7380"/>
        </w:tabs>
        <w:ind w:left="720"/>
        <w:jc w:val="both"/>
        <w:rPr>
          <w:bCs/>
          <w:color w:val="171717"/>
          <w:sz w:val="22"/>
          <w:szCs w:val="22"/>
        </w:rPr>
      </w:pPr>
    </w:p>
    <w:p w14:paraId="6969B6F3" w14:textId="77777777" w:rsidR="000D70E4" w:rsidRDefault="000D70E4" w:rsidP="003B138B">
      <w:pPr>
        <w:ind w:left="720"/>
        <w:jc w:val="both"/>
        <w:rPr>
          <w:bCs/>
          <w:color w:val="171717"/>
          <w:sz w:val="22"/>
          <w:szCs w:val="22"/>
        </w:rPr>
      </w:pPr>
      <w:r w:rsidRPr="007632B6">
        <w:rPr>
          <w:bCs/>
          <w:color w:val="171717"/>
          <w:sz w:val="22"/>
          <w:szCs w:val="22"/>
          <w:u w:val="single"/>
        </w:rPr>
        <w:t>Working Group 1 on Innovation:</w:t>
      </w:r>
    </w:p>
    <w:p w14:paraId="179C6AD0" w14:textId="77777777" w:rsidR="000D70E4" w:rsidRPr="007632B6" w:rsidRDefault="000D70E4" w:rsidP="003B138B">
      <w:pPr>
        <w:ind w:left="720"/>
        <w:jc w:val="both"/>
        <w:rPr>
          <w:bCs/>
          <w:color w:val="171717"/>
          <w:sz w:val="22"/>
          <w:szCs w:val="22"/>
        </w:rPr>
      </w:pPr>
    </w:p>
    <w:p w14:paraId="66BA5B91" w14:textId="77777777" w:rsidR="000D70E4" w:rsidRPr="007632B6" w:rsidRDefault="000D70E4" w:rsidP="003B138B">
      <w:pPr>
        <w:ind w:left="720"/>
        <w:jc w:val="both"/>
        <w:rPr>
          <w:bCs/>
          <w:color w:val="171717"/>
          <w:sz w:val="22"/>
          <w:szCs w:val="22"/>
        </w:rPr>
      </w:pPr>
      <w:r w:rsidRPr="007632B6">
        <w:rPr>
          <w:bCs/>
          <w:color w:val="171717"/>
          <w:sz w:val="22"/>
          <w:szCs w:val="22"/>
        </w:rPr>
        <w:t>Chair: MEXICO, National Council of Science and Technology (CONACYT)</w:t>
      </w:r>
    </w:p>
    <w:p w14:paraId="1657B7C0" w14:textId="77777777" w:rsidR="000D70E4" w:rsidRPr="007632B6" w:rsidRDefault="000D70E4" w:rsidP="003B138B">
      <w:pPr>
        <w:ind w:left="720"/>
        <w:jc w:val="both"/>
        <w:rPr>
          <w:bCs/>
          <w:color w:val="171717"/>
          <w:sz w:val="22"/>
          <w:szCs w:val="22"/>
        </w:rPr>
      </w:pPr>
      <w:r w:rsidRPr="007632B6">
        <w:rPr>
          <w:bCs/>
          <w:color w:val="171717"/>
          <w:sz w:val="22"/>
          <w:szCs w:val="22"/>
        </w:rPr>
        <w:t>Vice Chair: COSTA RICA, Ministry of Science, Technology and Telecommunications (MICITT)</w:t>
      </w:r>
    </w:p>
    <w:p w14:paraId="3E30EDB5" w14:textId="77777777" w:rsidR="000D70E4" w:rsidRPr="007632B6" w:rsidRDefault="000D70E4" w:rsidP="003B138B">
      <w:pPr>
        <w:ind w:left="720"/>
        <w:jc w:val="both"/>
        <w:rPr>
          <w:bCs/>
          <w:color w:val="171717"/>
          <w:sz w:val="22"/>
          <w:szCs w:val="22"/>
        </w:rPr>
      </w:pPr>
    </w:p>
    <w:p w14:paraId="761C11FE" w14:textId="77777777" w:rsidR="000D70E4" w:rsidRDefault="000D70E4" w:rsidP="003B138B">
      <w:pPr>
        <w:ind w:left="720"/>
        <w:jc w:val="both"/>
        <w:rPr>
          <w:bCs/>
          <w:color w:val="171717"/>
          <w:sz w:val="22"/>
          <w:szCs w:val="22"/>
        </w:rPr>
      </w:pPr>
      <w:r w:rsidRPr="007632B6">
        <w:rPr>
          <w:bCs/>
          <w:color w:val="171717"/>
          <w:sz w:val="22"/>
          <w:szCs w:val="22"/>
          <w:u w:val="single"/>
        </w:rPr>
        <w:t>Working Group 2 on Human Resources Training and Education in Engineering:</w:t>
      </w:r>
      <w:r w:rsidRPr="007632B6">
        <w:rPr>
          <w:bCs/>
          <w:color w:val="171717"/>
          <w:sz w:val="22"/>
          <w:szCs w:val="22"/>
        </w:rPr>
        <w:t xml:space="preserve"> </w:t>
      </w:r>
    </w:p>
    <w:p w14:paraId="2DEB23ED" w14:textId="77777777" w:rsidR="000D70E4" w:rsidRPr="007632B6" w:rsidRDefault="000D70E4" w:rsidP="003B138B">
      <w:pPr>
        <w:ind w:left="720"/>
        <w:jc w:val="both"/>
        <w:rPr>
          <w:bCs/>
          <w:color w:val="171717"/>
          <w:sz w:val="22"/>
          <w:szCs w:val="22"/>
        </w:rPr>
      </w:pPr>
    </w:p>
    <w:p w14:paraId="30CE0F3E" w14:textId="77777777" w:rsidR="000D70E4" w:rsidRPr="007632B6" w:rsidRDefault="000D70E4" w:rsidP="003B138B">
      <w:pPr>
        <w:ind w:left="720"/>
        <w:jc w:val="both"/>
        <w:rPr>
          <w:bCs/>
          <w:color w:val="171717"/>
          <w:sz w:val="22"/>
          <w:szCs w:val="22"/>
        </w:rPr>
      </w:pPr>
      <w:r w:rsidRPr="007632B6">
        <w:rPr>
          <w:bCs/>
          <w:color w:val="171717"/>
          <w:sz w:val="22"/>
          <w:szCs w:val="22"/>
        </w:rPr>
        <w:t>Chair: ARGENTINA, Ministry of Science, Technology and Productive Innovation (MINCYT)</w:t>
      </w:r>
    </w:p>
    <w:p w14:paraId="6C2B96B0" w14:textId="77777777" w:rsidR="000D70E4" w:rsidRPr="007632B6" w:rsidRDefault="000D70E4" w:rsidP="003B138B">
      <w:pPr>
        <w:ind w:left="720"/>
        <w:jc w:val="both"/>
        <w:rPr>
          <w:bCs/>
          <w:color w:val="171717"/>
          <w:sz w:val="22"/>
          <w:szCs w:val="22"/>
        </w:rPr>
      </w:pPr>
      <w:r w:rsidRPr="007632B6">
        <w:rPr>
          <w:bCs/>
          <w:color w:val="171717"/>
          <w:sz w:val="22"/>
          <w:szCs w:val="22"/>
        </w:rPr>
        <w:t>Vice Chair: NICARAGUA, Nicaraguan Council of Science and Technology (CONICYT)</w:t>
      </w:r>
    </w:p>
    <w:p w14:paraId="5F40BD9F" w14:textId="77777777" w:rsidR="000D70E4" w:rsidRPr="007632B6" w:rsidRDefault="000D70E4" w:rsidP="003B138B">
      <w:pPr>
        <w:ind w:left="720"/>
        <w:jc w:val="both"/>
        <w:rPr>
          <w:bCs/>
          <w:color w:val="171717"/>
          <w:sz w:val="22"/>
          <w:szCs w:val="22"/>
        </w:rPr>
      </w:pPr>
    </w:p>
    <w:p w14:paraId="51B754F4" w14:textId="77777777" w:rsidR="000D70E4" w:rsidRDefault="000D70E4" w:rsidP="003B138B">
      <w:pPr>
        <w:ind w:left="720"/>
        <w:jc w:val="both"/>
        <w:rPr>
          <w:bCs/>
          <w:color w:val="171717"/>
          <w:sz w:val="22"/>
          <w:szCs w:val="22"/>
        </w:rPr>
      </w:pPr>
      <w:r w:rsidRPr="007632B6">
        <w:rPr>
          <w:bCs/>
          <w:color w:val="171717"/>
          <w:sz w:val="22"/>
          <w:szCs w:val="22"/>
          <w:u w:val="single"/>
        </w:rPr>
        <w:t>Working Group 3 on National Quality Infrastructure:</w:t>
      </w:r>
      <w:r w:rsidRPr="007632B6">
        <w:rPr>
          <w:bCs/>
          <w:color w:val="171717"/>
          <w:sz w:val="22"/>
          <w:szCs w:val="22"/>
        </w:rPr>
        <w:t xml:space="preserve"> </w:t>
      </w:r>
    </w:p>
    <w:p w14:paraId="0142E677" w14:textId="77777777" w:rsidR="000D70E4" w:rsidRPr="007632B6" w:rsidRDefault="000D70E4" w:rsidP="003B138B">
      <w:pPr>
        <w:ind w:left="720"/>
        <w:jc w:val="both"/>
        <w:rPr>
          <w:bCs/>
          <w:color w:val="171717"/>
          <w:sz w:val="22"/>
          <w:szCs w:val="22"/>
        </w:rPr>
      </w:pPr>
    </w:p>
    <w:p w14:paraId="7E902431" w14:textId="77777777" w:rsidR="000D70E4" w:rsidRPr="007632B6" w:rsidRDefault="000D70E4" w:rsidP="003B138B">
      <w:pPr>
        <w:ind w:left="720"/>
        <w:jc w:val="both"/>
        <w:rPr>
          <w:bCs/>
          <w:color w:val="171717"/>
          <w:sz w:val="22"/>
          <w:szCs w:val="22"/>
        </w:rPr>
      </w:pPr>
      <w:r w:rsidRPr="007632B6">
        <w:rPr>
          <w:bCs/>
          <w:color w:val="171717"/>
          <w:sz w:val="22"/>
          <w:szCs w:val="22"/>
        </w:rPr>
        <w:t>Chair: CANADA, National Research Council (NRC)</w:t>
      </w:r>
    </w:p>
    <w:p w14:paraId="7AC95825" w14:textId="77777777" w:rsidR="000D70E4" w:rsidRPr="007632B6" w:rsidRDefault="000D70E4" w:rsidP="003B138B">
      <w:pPr>
        <w:ind w:left="720"/>
        <w:jc w:val="both"/>
        <w:rPr>
          <w:bCs/>
          <w:color w:val="171717"/>
          <w:sz w:val="22"/>
          <w:szCs w:val="22"/>
        </w:rPr>
      </w:pPr>
      <w:r w:rsidRPr="007632B6">
        <w:rPr>
          <w:bCs/>
          <w:color w:val="171717"/>
          <w:sz w:val="22"/>
          <w:szCs w:val="22"/>
        </w:rPr>
        <w:t>First Vice Chair: UNITED STATES, National Institute of Standards and Technology (NIST)</w:t>
      </w:r>
    </w:p>
    <w:p w14:paraId="194781D9" w14:textId="77777777" w:rsidR="000D70E4" w:rsidRPr="007632B6" w:rsidRDefault="000D70E4" w:rsidP="000D70E4">
      <w:pPr>
        <w:ind w:left="720"/>
        <w:jc w:val="both"/>
        <w:rPr>
          <w:bCs/>
          <w:color w:val="171717"/>
          <w:sz w:val="22"/>
          <w:szCs w:val="22"/>
        </w:rPr>
      </w:pPr>
      <w:r w:rsidRPr="007632B6">
        <w:rPr>
          <w:bCs/>
          <w:color w:val="171717"/>
          <w:sz w:val="22"/>
          <w:szCs w:val="22"/>
        </w:rPr>
        <w:t xml:space="preserve">Second Vice Chair: PARAGUAY, National Council of Science and Technology (CONACYT) </w:t>
      </w:r>
    </w:p>
    <w:p w14:paraId="674D25CA" w14:textId="77777777" w:rsidR="000D70E4" w:rsidRPr="007632B6" w:rsidRDefault="000D70E4" w:rsidP="000D70E4">
      <w:pPr>
        <w:ind w:left="720"/>
        <w:jc w:val="both"/>
        <w:rPr>
          <w:bCs/>
          <w:color w:val="171717"/>
          <w:sz w:val="22"/>
          <w:szCs w:val="22"/>
        </w:rPr>
      </w:pPr>
    </w:p>
    <w:p w14:paraId="15AFACEC" w14:textId="77777777" w:rsidR="000D70E4" w:rsidRDefault="000D70E4" w:rsidP="000D70E4">
      <w:pPr>
        <w:ind w:left="720"/>
        <w:jc w:val="both"/>
        <w:rPr>
          <w:bCs/>
          <w:color w:val="171717"/>
          <w:sz w:val="22"/>
          <w:szCs w:val="22"/>
        </w:rPr>
      </w:pPr>
      <w:r w:rsidRPr="007632B6">
        <w:rPr>
          <w:bCs/>
          <w:color w:val="171717"/>
          <w:sz w:val="22"/>
          <w:szCs w:val="22"/>
          <w:u w:val="single"/>
        </w:rPr>
        <w:t>Working Group 4 on Technological Development:</w:t>
      </w:r>
      <w:r w:rsidRPr="007632B6">
        <w:rPr>
          <w:bCs/>
          <w:color w:val="171717"/>
          <w:sz w:val="22"/>
          <w:szCs w:val="22"/>
        </w:rPr>
        <w:t xml:space="preserve"> </w:t>
      </w:r>
    </w:p>
    <w:p w14:paraId="0F899ADA" w14:textId="77777777" w:rsidR="000D70E4" w:rsidRPr="007632B6" w:rsidRDefault="000D70E4" w:rsidP="000D70E4">
      <w:pPr>
        <w:ind w:left="720"/>
        <w:jc w:val="both"/>
        <w:rPr>
          <w:bCs/>
          <w:color w:val="171717"/>
          <w:sz w:val="22"/>
          <w:szCs w:val="22"/>
        </w:rPr>
      </w:pPr>
    </w:p>
    <w:p w14:paraId="2D064AC1" w14:textId="77777777" w:rsidR="000D70E4" w:rsidRPr="007632B6" w:rsidRDefault="000D70E4" w:rsidP="000D70E4">
      <w:pPr>
        <w:ind w:left="720"/>
        <w:jc w:val="both"/>
        <w:rPr>
          <w:bCs/>
          <w:color w:val="171717"/>
          <w:sz w:val="22"/>
          <w:szCs w:val="22"/>
        </w:rPr>
      </w:pPr>
      <w:r w:rsidRPr="007632B6">
        <w:rPr>
          <w:bCs/>
          <w:color w:val="171717"/>
          <w:sz w:val="22"/>
          <w:szCs w:val="22"/>
        </w:rPr>
        <w:t>Chair: GUATEMALA, National Secretariat of Science and Technology (SENACYT)</w:t>
      </w:r>
    </w:p>
    <w:p w14:paraId="656E925F" w14:textId="77777777" w:rsidR="000D70E4" w:rsidRPr="007632B6" w:rsidRDefault="000D70E4" w:rsidP="000D70E4">
      <w:pPr>
        <w:ind w:left="720"/>
        <w:jc w:val="both"/>
        <w:rPr>
          <w:bCs/>
          <w:color w:val="171717"/>
          <w:sz w:val="22"/>
          <w:szCs w:val="22"/>
        </w:rPr>
      </w:pPr>
      <w:r w:rsidRPr="007632B6">
        <w:rPr>
          <w:bCs/>
          <w:color w:val="171717"/>
          <w:sz w:val="22"/>
          <w:szCs w:val="22"/>
        </w:rPr>
        <w:t>Vice Chair: CHILE, Production Development Corporation (CORFO)</w:t>
      </w:r>
    </w:p>
    <w:p w14:paraId="5DF2328F" w14:textId="77777777" w:rsidR="000D70E4" w:rsidRPr="007632B6" w:rsidRDefault="000D70E4" w:rsidP="000D70E4">
      <w:pPr>
        <w:pStyle w:val="ListParagraph"/>
        <w:tabs>
          <w:tab w:val="left" w:pos="7380"/>
        </w:tabs>
        <w:ind w:left="0"/>
        <w:contextualSpacing/>
        <w:jc w:val="both"/>
        <w:rPr>
          <w:color w:val="000000"/>
          <w:sz w:val="22"/>
          <w:szCs w:val="22"/>
          <w:lang w:eastAsia="es-CR"/>
        </w:rPr>
      </w:pPr>
      <w:bookmarkStart w:id="2" w:name="_Hlk89442590"/>
    </w:p>
    <w:p w14:paraId="2F8A6EF1" w14:textId="54ED81DF" w:rsidR="000D70E4" w:rsidRPr="007632B6" w:rsidRDefault="000D70E4" w:rsidP="000D70E4">
      <w:pPr>
        <w:pStyle w:val="ListParagraph"/>
        <w:tabs>
          <w:tab w:val="left" w:pos="720"/>
          <w:tab w:val="left" w:pos="7380"/>
        </w:tabs>
        <w:ind w:left="0"/>
        <w:contextualSpacing/>
        <w:jc w:val="both"/>
        <w:rPr>
          <w:color w:val="000000"/>
          <w:sz w:val="22"/>
          <w:szCs w:val="22"/>
          <w:lang w:eastAsia="es-CR"/>
        </w:rPr>
      </w:pPr>
      <w:r>
        <w:rPr>
          <w:color w:val="000000"/>
          <w:sz w:val="22"/>
          <w:szCs w:val="22"/>
          <w:lang w:eastAsia="es-CR"/>
        </w:rPr>
        <w:tab/>
      </w:r>
      <w:r w:rsidRPr="003B138B">
        <w:rPr>
          <w:color w:val="000000"/>
          <w:sz w:val="22"/>
          <w:szCs w:val="22"/>
          <w:lang w:eastAsia="es-CR"/>
        </w:rPr>
        <w:t>Following the Ministerial Meeting, a Planning Meeting of the COMCYT Authorities was held at the OAS Secretariat headquarters</w:t>
      </w:r>
      <w:r w:rsidRPr="007632B6">
        <w:rPr>
          <w:color w:val="000000"/>
          <w:sz w:val="22"/>
          <w:szCs w:val="22"/>
          <w:lang w:eastAsia="es-CR"/>
        </w:rPr>
        <w:t xml:space="preserve"> in Washington, D.C. on May 21-22, 2018, during which Authorities </w:t>
      </w:r>
      <w:r w:rsidR="002D0C45">
        <w:rPr>
          <w:color w:val="000000"/>
          <w:sz w:val="22"/>
          <w:szCs w:val="22"/>
          <w:lang w:eastAsia="es-CR"/>
        </w:rPr>
        <w:t xml:space="preserve">agreed on a </w:t>
      </w:r>
      <w:r w:rsidRPr="007632B6">
        <w:rPr>
          <w:color w:val="000000"/>
          <w:sz w:val="22"/>
          <w:szCs w:val="22"/>
          <w:lang w:eastAsia="es-CR"/>
        </w:rPr>
        <w:t xml:space="preserve"> </w:t>
      </w:r>
      <w:hyperlink r:id="rId12" w:history="1">
        <w:r w:rsidRPr="007632B6">
          <w:rPr>
            <w:rStyle w:val="Hyperlink"/>
            <w:sz w:val="22"/>
            <w:szCs w:val="22"/>
            <w:lang w:eastAsia="es-CR"/>
          </w:rPr>
          <w:t>COMCYT Work Plan 2018-2020</w:t>
        </w:r>
      </w:hyperlink>
      <w:r w:rsidRPr="007632B6">
        <w:rPr>
          <w:color w:val="000000"/>
          <w:sz w:val="22"/>
          <w:szCs w:val="22"/>
          <w:lang w:eastAsia="es-CR"/>
        </w:rPr>
        <w:t>, w</w:t>
      </w:r>
      <w:r w:rsidR="009E46E4">
        <w:rPr>
          <w:color w:val="000000"/>
          <w:sz w:val="22"/>
          <w:szCs w:val="22"/>
          <w:lang w:eastAsia="es-CR"/>
        </w:rPr>
        <w:t xml:space="preserve">ith </w:t>
      </w:r>
      <w:r w:rsidRPr="007632B6">
        <w:rPr>
          <w:color w:val="000000"/>
          <w:sz w:val="22"/>
          <w:szCs w:val="22"/>
          <w:lang w:eastAsia="es-CR"/>
        </w:rPr>
        <w:t xml:space="preserve">a roadmap for the next three years, including specific activities, dates, venues, sources of funding and indicators to measure progress and results, in order to comply with the mandates established by the </w:t>
      </w:r>
      <w:r w:rsidRPr="00F74C83">
        <w:rPr>
          <w:b/>
          <w:bCs/>
          <w:color w:val="000000"/>
          <w:sz w:val="22"/>
          <w:szCs w:val="22"/>
          <w:lang w:eastAsia="es-CR"/>
        </w:rPr>
        <w:t>Declaration of Medellin</w:t>
      </w:r>
      <w:r w:rsidRPr="007632B6">
        <w:rPr>
          <w:color w:val="000000"/>
          <w:sz w:val="22"/>
          <w:szCs w:val="22"/>
          <w:lang w:eastAsia="es-CR"/>
        </w:rPr>
        <w:t>.</w:t>
      </w:r>
      <w:r w:rsidR="002D0C45">
        <w:rPr>
          <w:color w:val="000000"/>
          <w:sz w:val="22"/>
          <w:szCs w:val="22"/>
          <w:lang w:eastAsia="es-CR"/>
        </w:rPr>
        <w:t xml:space="preserve"> The Work Plan of COMCYT was </w:t>
      </w:r>
      <w:r w:rsidR="002D0C45" w:rsidRPr="00403F87">
        <w:rPr>
          <w:bCs/>
          <w:snapToGrid w:val="0"/>
          <w:sz w:val="22"/>
          <w:szCs w:val="22"/>
        </w:rPr>
        <w:t xml:space="preserve">presented to CIDI, through its Committee on </w:t>
      </w:r>
      <w:r w:rsidR="003B138B">
        <w:rPr>
          <w:bCs/>
          <w:snapToGrid w:val="0"/>
          <w:sz w:val="22"/>
          <w:szCs w:val="22"/>
        </w:rPr>
        <w:t xml:space="preserve">Partnerships for Development </w:t>
      </w:r>
      <w:r w:rsidR="002D0C45" w:rsidRPr="00403F87">
        <w:rPr>
          <w:bCs/>
          <w:snapToGrid w:val="0"/>
          <w:sz w:val="22"/>
          <w:szCs w:val="22"/>
        </w:rPr>
        <w:t>Policies</w:t>
      </w:r>
      <w:r w:rsidR="002D0C45">
        <w:rPr>
          <w:bCs/>
          <w:snapToGrid w:val="0"/>
          <w:sz w:val="22"/>
          <w:szCs w:val="22"/>
        </w:rPr>
        <w:t>,</w:t>
      </w:r>
      <w:r w:rsidR="002D0C45" w:rsidRPr="00403F87">
        <w:rPr>
          <w:bCs/>
          <w:snapToGrid w:val="0"/>
          <w:sz w:val="22"/>
          <w:szCs w:val="22"/>
        </w:rPr>
        <w:t xml:space="preserve"> on November 8, 2018, </w:t>
      </w:r>
      <w:proofErr w:type="gramStart"/>
      <w:r w:rsidR="002D0C45" w:rsidRPr="00403F87">
        <w:rPr>
          <w:bCs/>
          <w:snapToGrid w:val="0"/>
          <w:sz w:val="22"/>
          <w:szCs w:val="22"/>
        </w:rPr>
        <w:t>in order to</w:t>
      </w:r>
      <w:proofErr w:type="gramEnd"/>
      <w:r w:rsidR="002D0C45" w:rsidRPr="00403F87">
        <w:rPr>
          <w:bCs/>
          <w:snapToGrid w:val="0"/>
          <w:sz w:val="22"/>
          <w:szCs w:val="22"/>
        </w:rPr>
        <w:t xml:space="preserve"> receive feedback from all Member States as well as to foster coordination among the different ministerial processes</w:t>
      </w:r>
      <w:r w:rsidR="003B138B">
        <w:rPr>
          <w:bCs/>
          <w:snapToGrid w:val="0"/>
          <w:sz w:val="22"/>
          <w:szCs w:val="22"/>
        </w:rPr>
        <w:t>.</w:t>
      </w:r>
    </w:p>
    <w:bookmarkEnd w:id="2"/>
    <w:p w14:paraId="6CCEE8F7" w14:textId="77777777" w:rsidR="000D70E4" w:rsidRPr="007632B6" w:rsidRDefault="000D70E4" w:rsidP="000D70E4">
      <w:pPr>
        <w:pStyle w:val="ListParagraph"/>
        <w:ind w:left="0"/>
        <w:jc w:val="both"/>
        <w:rPr>
          <w:color w:val="171717"/>
          <w:sz w:val="22"/>
          <w:szCs w:val="22"/>
        </w:rPr>
      </w:pPr>
    </w:p>
    <w:p w14:paraId="58CC4EA1" w14:textId="7CFE41C7" w:rsidR="000D70E4" w:rsidRDefault="000D70E4" w:rsidP="000D70E4">
      <w:pPr>
        <w:pStyle w:val="ListParagraph"/>
        <w:ind w:left="0" w:firstLine="720"/>
        <w:contextualSpacing/>
        <w:jc w:val="both"/>
        <w:rPr>
          <w:color w:val="171717"/>
          <w:sz w:val="22"/>
          <w:szCs w:val="22"/>
        </w:rPr>
      </w:pPr>
      <w:bookmarkStart w:id="3" w:name="_Hlk89442870"/>
      <w:r w:rsidRPr="007632B6">
        <w:rPr>
          <w:color w:val="171717"/>
          <w:sz w:val="22"/>
          <w:szCs w:val="22"/>
        </w:rPr>
        <w:t xml:space="preserve">In terms of </w:t>
      </w:r>
      <w:r w:rsidRPr="007632B6">
        <w:rPr>
          <w:color w:val="171717"/>
          <w:sz w:val="22"/>
          <w:szCs w:val="22"/>
          <w:u w:val="single"/>
        </w:rPr>
        <w:t>meetings of high-level authorities</w:t>
      </w:r>
      <w:r w:rsidRPr="007632B6">
        <w:rPr>
          <w:color w:val="171717"/>
          <w:sz w:val="22"/>
          <w:szCs w:val="22"/>
        </w:rPr>
        <w:t xml:space="preserve">, the Work Plan included the holding of a </w:t>
      </w:r>
      <w:r w:rsidR="003B138B">
        <w:rPr>
          <w:color w:val="171717"/>
          <w:sz w:val="22"/>
          <w:szCs w:val="22"/>
        </w:rPr>
        <w:t xml:space="preserve">regular meeting of </w:t>
      </w:r>
      <w:r w:rsidRPr="007632B6">
        <w:rPr>
          <w:color w:val="171717"/>
          <w:sz w:val="22"/>
          <w:szCs w:val="22"/>
        </w:rPr>
        <w:t xml:space="preserve">COMCYT in the second semester of 2019; a Preparatory Meeting for the </w:t>
      </w:r>
      <w:r w:rsidR="00D93D28">
        <w:rPr>
          <w:color w:val="171717"/>
          <w:sz w:val="22"/>
          <w:szCs w:val="22"/>
        </w:rPr>
        <w:t>m</w:t>
      </w:r>
      <w:r w:rsidRPr="007632B6">
        <w:rPr>
          <w:color w:val="171717"/>
          <w:sz w:val="22"/>
          <w:szCs w:val="22"/>
        </w:rPr>
        <w:t xml:space="preserve">inisterial </w:t>
      </w:r>
      <w:r w:rsidR="00D93D28">
        <w:rPr>
          <w:color w:val="171717"/>
          <w:sz w:val="22"/>
          <w:szCs w:val="22"/>
        </w:rPr>
        <w:t>m</w:t>
      </w:r>
      <w:r w:rsidRPr="007632B6">
        <w:rPr>
          <w:color w:val="171717"/>
          <w:sz w:val="22"/>
          <w:szCs w:val="22"/>
        </w:rPr>
        <w:t xml:space="preserve">eeting and the Sixth Meeting of Ministers and High Authorities of Science and Technology to be held </w:t>
      </w:r>
      <w:r w:rsidR="009E46E4">
        <w:rPr>
          <w:color w:val="171717"/>
          <w:sz w:val="22"/>
          <w:szCs w:val="22"/>
        </w:rPr>
        <w:t xml:space="preserve">originally </w:t>
      </w:r>
      <w:r w:rsidRPr="007632B6">
        <w:rPr>
          <w:color w:val="171717"/>
          <w:sz w:val="22"/>
          <w:szCs w:val="22"/>
        </w:rPr>
        <w:t>in 2020 in Jamaica</w:t>
      </w:r>
      <w:r w:rsidR="009E46E4">
        <w:rPr>
          <w:color w:val="171717"/>
          <w:sz w:val="22"/>
          <w:szCs w:val="22"/>
        </w:rPr>
        <w:t xml:space="preserve"> </w:t>
      </w:r>
      <w:r w:rsidR="009E46E4" w:rsidRPr="00D93D28">
        <w:rPr>
          <w:color w:val="171717"/>
          <w:sz w:val="22"/>
          <w:szCs w:val="22"/>
        </w:rPr>
        <w:t>and</w:t>
      </w:r>
      <w:r w:rsidR="00D93D28">
        <w:rPr>
          <w:color w:val="171717"/>
          <w:sz w:val="22"/>
          <w:szCs w:val="22"/>
        </w:rPr>
        <w:t xml:space="preserve"> </w:t>
      </w:r>
      <w:r w:rsidRPr="00D93D28">
        <w:rPr>
          <w:color w:val="171717"/>
          <w:sz w:val="22"/>
          <w:szCs w:val="22"/>
        </w:rPr>
        <w:t>postponed for 2021 due the COVID-19 pandemic.</w:t>
      </w:r>
    </w:p>
    <w:p w14:paraId="30F15CEB" w14:textId="77777777" w:rsidR="000D70E4" w:rsidRPr="007632B6" w:rsidRDefault="000D70E4" w:rsidP="000D70E4">
      <w:pPr>
        <w:pStyle w:val="ListParagraph"/>
        <w:ind w:left="0" w:firstLine="720"/>
        <w:contextualSpacing/>
        <w:jc w:val="both"/>
        <w:rPr>
          <w:color w:val="171717"/>
          <w:sz w:val="22"/>
          <w:szCs w:val="22"/>
        </w:rPr>
      </w:pPr>
    </w:p>
    <w:bookmarkEnd w:id="3"/>
    <w:p w14:paraId="36866276" w14:textId="77777777" w:rsidR="000D70E4" w:rsidRPr="007632B6" w:rsidRDefault="000D70E4" w:rsidP="000D70E4">
      <w:pPr>
        <w:ind w:firstLine="720"/>
        <w:rPr>
          <w:color w:val="171717"/>
          <w:sz w:val="22"/>
          <w:szCs w:val="22"/>
        </w:rPr>
      </w:pPr>
      <w:r w:rsidRPr="007632B6">
        <w:rPr>
          <w:color w:val="171717"/>
          <w:sz w:val="22"/>
          <w:szCs w:val="22"/>
        </w:rPr>
        <w:t xml:space="preserve">In terms of </w:t>
      </w:r>
      <w:r w:rsidRPr="007632B6">
        <w:rPr>
          <w:color w:val="171717"/>
          <w:sz w:val="22"/>
          <w:szCs w:val="22"/>
          <w:u w:val="single"/>
        </w:rPr>
        <w:t>Working Groups</w:t>
      </w:r>
      <w:r w:rsidRPr="007632B6">
        <w:rPr>
          <w:color w:val="171717"/>
          <w:sz w:val="22"/>
          <w:szCs w:val="22"/>
        </w:rPr>
        <w:t>, the Work Plan provided the following:</w:t>
      </w:r>
    </w:p>
    <w:p w14:paraId="5C7C2075" w14:textId="77777777" w:rsidR="000D70E4" w:rsidRPr="007632B6" w:rsidRDefault="000D70E4" w:rsidP="000D70E4">
      <w:pPr>
        <w:rPr>
          <w:color w:val="171717"/>
          <w:sz w:val="22"/>
          <w:szCs w:val="22"/>
        </w:rPr>
      </w:pPr>
    </w:p>
    <w:p w14:paraId="20F60F4F" w14:textId="77777777" w:rsidR="000D70E4" w:rsidRPr="007632B6" w:rsidRDefault="000D70E4" w:rsidP="000D70E4">
      <w:pPr>
        <w:pStyle w:val="ListParagraph"/>
        <w:numPr>
          <w:ilvl w:val="0"/>
          <w:numId w:val="10"/>
        </w:numPr>
        <w:ind w:left="1440" w:hanging="720"/>
        <w:contextualSpacing/>
        <w:jc w:val="both"/>
        <w:rPr>
          <w:color w:val="171717"/>
          <w:sz w:val="22"/>
          <w:szCs w:val="22"/>
        </w:rPr>
      </w:pPr>
      <w:r w:rsidRPr="007632B6">
        <w:rPr>
          <w:color w:val="171717"/>
          <w:sz w:val="22"/>
          <w:szCs w:val="22"/>
        </w:rPr>
        <w:t xml:space="preserve">That Working Group 1 continue to support exchange of experiences on the topic of transformative technologies and Industry 4.0 in the </w:t>
      </w:r>
      <w:proofErr w:type="gramStart"/>
      <w:r w:rsidRPr="007632B6">
        <w:rPr>
          <w:color w:val="171717"/>
          <w:sz w:val="22"/>
          <w:szCs w:val="22"/>
        </w:rPr>
        <w:t>Americas;</w:t>
      </w:r>
      <w:proofErr w:type="gramEnd"/>
    </w:p>
    <w:p w14:paraId="1AB60545" w14:textId="412E6275" w:rsidR="000D70E4" w:rsidRDefault="000D70E4" w:rsidP="000D70E4">
      <w:pPr>
        <w:pStyle w:val="ListParagraph"/>
        <w:numPr>
          <w:ilvl w:val="0"/>
          <w:numId w:val="10"/>
        </w:numPr>
        <w:ind w:left="1440" w:hanging="720"/>
        <w:contextualSpacing/>
        <w:jc w:val="both"/>
        <w:rPr>
          <w:color w:val="171717"/>
          <w:sz w:val="22"/>
          <w:szCs w:val="22"/>
        </w:rPr>
      </w:pPr>
      <w:r w:rsidRPr="007632B6">
        <w:rPr>
          <w:color w:val="171717"/>
          <w:sz w:val="22"/>
          <w:szCs w:val="22"/>
        </w:rPr>
        <w:lastRenderedPageBreak/>
        <w:t xml:space="preserve">That Working Group 2 continues to promote comprehensive education and training in engineering for undergraduate and graduate students and mutual recognition between engineering education institutions to facilitate exchanges, fellowships and </w:t>
      </w:r>
      <w:proofErr w:type="gramStart"/>
      <w:r w:rsidRPr="007632B6">
        <w:rPr>
          <w:color w:val="171717"/>
          <w:sz w:val="22"/>
          <w:szCs w:val="22"/>
        </w:rPr>
        <w:t>apprenticeships;</w:t>
      </w:r>
      <w:proofErr w:type="gramEnd"/>
    </w:p>
    <w:p w14:paraId="2B840363" w14:textId="77777777" w:rsidR="00D93D28" w:rsidRPr="00D93D28" w:rsidRDefault="00D93D28" w:rsidP="00D93D28">
      <w:pPr>
        <w:ind w:left="720"/>
        <w:contextualSpacing/>
        <w:jc w:val="both"/>
        <w:rPr>
          <w:color w:val="171717"/>
          <w:sz w:val="22"/>
          <w:szCs w:val="22"/>
        </w:rPr>
      </w:pPr>
    </w:p>
    <w:p w14:paraId="53F4EB0D" w14:textId="40CC21AF" w:rsidR="000D70E4" w:rsidRDefault="000D70E4" w:rsidP="000D70E4">
      <w:pPr>
        <w:pStyle w:val="ListParagraph"/>
        <w:numPr>
          <w:ilvl w:val="0"/>
          <w:numId w:val="10"/>
        </w:numPr>
        <w:ind w:left="1440" w:hanging="720"/>
        <w:contextualSpacing/>
        <w:jc w:val="both"/>
        <w:rPr>
          <w:color w:val="171717"/>
          <w:sz w:val="22"/>
          <w:szCs w:val="22"/>
        </w:rPr>
      </w:pPr>
      <w:r w:rsidRPr="007632B6">
        <w:rPr>
          <w:color w:val="171717"/>
          <w:sz w:val="22"/>
          <w:szCs w:val="22"/>
        </w:rPr>
        <w:t xml:space="preserve">That Working Group 3 continues raising awareness on the topic of NQI with new and diverse actors, including the opportunity of future activities with the </w:t>
      </w:r>
      <w:proofErr w:type="gramStart"/>
      <w:r w:rsidRPr="007632B6">
        <w:rPr>
          <w:color w:val="171717"/>
          <w:sz w:val="22"/>
          <w:szCs w:val="22"/>
        </w:rPr>
        <w:t>RIAC;</w:t>
      </w:r>
      <w:proofErr w:type="gramEnd"/>
    </w:p>
    <w:p w14:paraId="723505D8" w14:textId="77777777" w:rsidR="00D93D28" w:rsidRPr="00D93D28" w:rsidRDefault="00D93D28" w:rsidP="00D93D28">
      <w:pPr>
        <w:contextualSpacing/>
        <w:jc w:val="both"/>
        <w:rPr>
          <w:color w:val="171717"/>
          <w:sz w:val="22"/>
          <w:szCs w:val="22"/>
        </w:rPr>
      </w:pPr>
    </w:p>
    <w:p w14:paraId="75EA3A65" w14:textId="77777777" w:rsidR="000D70E4" w:rsidRPr="007632B6" w:rsidRDefault="000D70E4" w:rsidP="000D70E4">
      <w:pPr>
        <w:pStyle w:val="ListParagraph"/>
        <w:numPr>
          <w:ilvl w:val="0"/>
          <w:numId w:val="10"/>
        </w:numPr>
        <w:ind w:left="1440" w:hanging="720"/>
        <w:contextualSpacing/>
        <w:jc w:val="both"/>
        <w:rPr>
          <w:color w:val="171717"/>
          <w:sz w:val="22"/>
          <w:szCs w:val="22"/>
        </w:rPr>
      </w:pPr>
      <w:r w:rsidRPr="007632B6">
        <w:rPr>
          <w:color w:val="171717"/>
          <w:sz w:val="22"/>
          <w:szCs w:val="22"/>
        </w:rPr>
        <w:t xml:space="preserve">That Working Group 4 continues with the implementation of the “HUB on Technology Transfer and Commercialization for the Americas” to help professionals, entrepreneurs and academics transfer </w:t>
      </w:r>
      <w:r w:rsidRPr="007632B6">
        <w:rPr>
          <w:sz w:val="22"/>
          <w:szCs w:val="22"/>
        </w:rPr>
        <w:t xml:space="preserve">their solutions, </w:t>
      </w:r>
      <w:proofErr w:type="gramStart"/>
      <w:r w:rsidRPr="007632B6">
        <w:rPr>
          <w:sz w:val="22"/>
          <w:szCs w:val="22"/>
        </w:rPr>
        <w:t>products</w:t>
      </w:r>
      <w:proofErr w:type="gramEnd"/>
      <w:r w:rsidRPr="007632B6">
        <w:rPr>
          <w:sz w:val="22"/>
          <w:szCs w:val="22"/>
        </w:rPr>
        <w:t xml:space="preserve"> and services “from idea to market.”</w:t>
      </w:r>
    </w:p>
    <w:p w14:paraId="35CF2B61" w14:textId="77777777" w:rsidR="000D70E4" w:rsidRPr="00F74C83" w:rsidRDefault="000D70E4" w:rsidP="000D70E4">
      <w:pPr>
        <w:contextualSpacing/>
        <w:jc w:val="both"/>
        <w:rPr>
          <w:color w:val="171717"/>
          <w:sz w:val="22"/>
          <w:szCs w:val="22"/>
        </w:rPr>
      </w:pPr>
    </w:p>
    <w:p w14:paraId="67BFF749" w14:textId="6242F73E" w:rsidR="000D70E4" w:rsidRPr="007632B6" w:rsidRDefault="000D70E4" w:rsidP="000D70E4">
      <w:pPr>
        <w:pStyle w:val="ListParagraph"/>
        <w:tabs>
          <w:tab w:val="left" w:pos="90"/>
          <w:tab w:val="left" w:pos="720"/>
        </w:tabs>
        <w:ind w:left="90"/>
        <w:contextualSpacing/>
        <w:jc w:val="both"/>
        <w:rPr>
          <w:color w:val="171717"/>
          <w:sz w:val="22"/>
          <w:szCs w:val="22"/>
        </w:rPr>
      </w:pPr>
      <w:r>
        <w:rPr>
          <w:color w:val="171717"/>
          <w:sz w:val="22"/>
          <w:szCs w:val="22"/>
        </w:rPr>
        <w:tab/>
      </w:r>
      <w:r w:rsidRPr="007632B6">
        <w:rPr>
          <w:color w:val="171717"/>
          <w:sz w:val="22"/>
          <w:szCs w:val="22"/>
        </w:rPr>
        <w:t xml:space="preserve">The Plan also incorporated two </w:t>
      </w:r>
      <w:r w:rsidRPr="007632B6">
        <w:rPr>
          <w:color w:val="171717"/>
          <w:sz w:val="22"/>
          <w:szCs w:val="22"/>
          <w:u w:val="single"/>
        </w:rPr>
        <w:t>cross-cutting activities</w:t>
      </w:r>
      <w:r w:rsidRPr="007632B6">
        <w:rPr>
          <w:color w:val="171717"/>
          <w:sz w:val="22"/>
          <w:szCs w:val="22"/>
        </w:rPr>
        <w:t xml:space="preserve"> of great interest to the COMCYT, such</w:t>
      </w:r>
      <w:r>
        <w:rPr>
          <w:color w:val="171717"/>
          <w:sz w:val="22"/>
          <w:szCs w:val="22"/>
        </w:rPr>
        <w:t xml:space="preserve"> </w:t>
      </w:r>
      <w:r w:rsidRPr="007632B6">
        <w:rPr>
          <w:color w:val="171717"/>
          <w:sz w:val="22"/>
          <w:szCs w:val="22"/>
        </w:rPr>
        <w:t>as:</w:t>
      </w:r>
    </w:p>
    <w:p w14:paraId="4A7E9D8F" w14:textId="77777777" w:rsidR="000D70E4" w:rsidRPr="007632B6" w:rsidRDefault="000D70E4" w:rsidP="000D70E4">
      <w:pPr>
        <w:pStyle w:val="ListParagraph"/>
        <w:rPr>
          <w:color w:val="171717"/>
          <w:sz w:val="22"/>
          <w:szCs w:val="22"/>
        </w:rPr>
      </w:pPr>
    </w:p>
    <w:p w14:paraId="766F6252" w14:textId="77777777" w:rsidR="000D70E4" w:rsidRDefault="000D70E4" w:rsidP="000D70E4">
      <w:pPr>
        <w:pStyle w:val="ListParagraph"/>
        <w:numPr>
          <w:ilvl w:val="0"/>
          <w:numId w:val="8"/>
        </w:numPr>
        <w:tabs>
          <w:tab w:val="left" w:pos="720"/>
          <w:tab w:val="left" w:pos="1440"/>
        </w:tabs>
        <w:ind w:left="1440" w:hanging="720"/>
        <w:contextualSpacing/>
        <w:jc w:val="both"/>
        <w:rPr>
          <w:color w:val="171717"/>
          <w:sz w:val="22"/>
          <w:szCs w:val="22"/>
        </w:rPr>
      </w:pPr>
      <w:r w:rsidRPr="007632B6">
        <w:rPr>
          <w:color w:val="171717"/>
          <w:sz w:val="22"/>
          <w:szCs w:val="22"/>
        </w:rPr>
        <w:t xml:space="preserve">The creation of a Virtual Group of Experts on Technology Foresight </w:t>
      </w:r>
      <w:proofErr w:type="gramStart"/>
      <w:r w:rsidRPr="007632B6">
        <w:rPr>
          <w:color w:val="171717"/>
          <w:sz w:val="22"/>
          <w:szCs w:val="22"/>
        </w:rPr>
        <w:t>in order to</w:t>
      </w:r>
      <w:proofErr w:type="gramEnd"/>
      <w:r w:rsidRPr="007632B6">
        <w:rPr>
          <w:color w:val="171717"/>
          <w:sz w:val="22"/>
          <w:szCs w:val="22"/>
        </w:rPr>
        <w:t xml:space="preserve"> share existing capacities and good practices on transformative technologies among governments, the private sector and academia, interested in collaborating in this field. </w:t>
      </w:r>
    </w:p>
    <w:p w14:paraId="2A1BC8CB" w14:textId="77777777" w:rsidR="000D70E4" w:rsidRPr="007632B6" w:rsidRDefault="000D70E4" w:rsidP="000D70E4">
      <w:pPr>
        <w:pStyle w:val="ListParagraph"/>
        <w:tabs>
          <w:tab w:val="left" w:pos="720"/>
          <w:tab w:val="left" w:pos="1440"/>
        </w:tabs>
        <w:ind w:left="1440" w:hanging="720"/>
        <w:contextualSpacing/>
        <w:jc w:val="both"/>
        <w:rPr>
          <w:color w:val="171717"/>
          <w:sz w:val="22"/>
          <w:szCs w:val="22"/>
        </w:rPr>
      </w:pPr>
    </w:p>
    <w:p w14:paraId="06F2E7E5" w14:textId="77777777" w:rsidR="000D70E4" w:rsidRPr="007632B6" w:rsidRDefault="000D70E4" w:rsidP="000D70E4">
      <w:pPr>
        <w:pStyle w:val="ListParagraph"/>
        <w:numPr>
          <w:ilvl w:val="0"/>
          <w:numId w:val="8"/>
        </w:numPr>
        <w:tabs>
          <w:tab w:val="left" w:pos="720"/>
          <w:tab w:val="left" w:pos="1440"/>
        </w:tabs>
        <w:ind w:left="1440" w:hanging="720"/>
        <w:contextualSpacing/>
        <w:jc w:val="both"/>
        <w:rPr>
          <w:sz w:val="22"/>
          <w:szCs w:val="22"/>
        </w:rPr>
      </w:pPr>
      <w:r w:rsidRPr="007632B6">
        <w:rPr>
          <w:color w:val="171717"/>
          <w:sz w:val="22"/>
          <w:szCs w:val="22"/>
        </w:rPr>
        <w:t xml:space="preserve">The exchange of good practices on gender equity and equality in STEM; </w:t>
      </w:r>
      <w:proofErr w:type="gramStart"/>
      <w:r w:rsidRPr="007632B6">
        <w:rPr>
          <w:color w:val="171717"/>
          <w:sz w:val="22"/>
          <w:szCs w:val="22"/>
        </w:rPr>
        <w:t>in order to</w:t>
      </w:r>
      <w:proofErr w:type="gramEnd"/>
      <w:r w:rsidRPr="007632B6">
        <w:rPr>
          <w:color w:val="171717"/>
          <w:sz w:val="22"/>
          <w:szCs w:val="22"/>
        </w:rPr>
        <w:t xml:space="preserve"> identify mechanisms to help foster the participation of women in scientific research, as well as in promoting their insertion in the labor market and access to leadership and decision-making positions in scientific and technological fields. </w:t>
      </w:r>
    </w:p>
    <w:p w14:paraId="2FB6EEFE" w14:textId="77777777" w:rsidR="000D70E4" w:rsidRPr="007632B6" w:rsidRDefault="000D70E4" w:rsidP="000D70E4">
      <w:pPr>
        <w:tabs>
          <w:tab w:val="left" w:pos="540"/>
          <w:tab w:val="left" w:pos="1080"/>
          <w:tab w:val="left" w:pos="1170"/>
          <w:tab w:val="left" w:pos="1350"/>
        </w:tabs>
        <w:contextualSpacing/>
        <w:jc w:val="both"/>
        <w:rPr>
          <w:sz w:val="22"/>
          <w:szCs w:val="22"/>
        </w:rPr>
      </w:pPr>
    </w:p>
    <w:p w14:paraId="17FB65F6" w14:textId="77777777" w:rsidR="000D70E4" w:rsidRPr="007632B6" w:rsidRDefault="000D70E4" w:rsidP="000D70E4">
      <w:pPr>
        <w:rPr>
          <w:color w:val="171717"/>
          <w:sz w:val="22"/>
          <w:szCs w:val="22"/>
        </w:rPr>
      </w:pPr>
      <w:r w:rsidRPr="007632B6">
        <w:rPr>
          <w:color w:val="171717"/>
          <w:sz w:val="22"/>
          <w:szCs w:val="22"/>
        </w:rPr>
        <w:t>IMPLEMENTATION OF THE MINISTERIAL DECLARATION</w:t>
      </w:r>
    </w:p>
    <w:p w14:paraId="2283401F" w14:textId="77777777" w:rsidR="000D70E4" w:rsidRPr="007632B6" w:rsidRDefault="000D70E4" w:rsidP="000D70E4">
      <w:pPr>
        <w:jc w:val="both"/>
        <w:rPr>
          <w:color w:val="171717"/>
          <w:sz w:val="22"/>
          <w:szCs w:val="22"/>
        </w:rPr>
      </w:pPr>
    </w:p>
    <w:p w14:paraId="203FB01E" w14:textId="3D95CD50" w:rsidR="000D70E4" w:rsidRPr="007632B6" w:rsidRDefault="000D70E4" w:rsidP="000D70E4">
      <w:pPr>
        <w:ind w:firstLine="720"/>
        <w:jc w:val="both"/>
        <w:rPr>
          <w:sz w:val="22"/>
          <w:szCs w:val="22"/>
        </w:rPr>
      </w:pPr>
      <w:r w:rsidRPr="007632B6">
        <w:rPr>
          <w:color w:val="171717"/>
          <w:sz w:val="22"/>
          <w:szCs w:val="22"/>
        </w:rPr>
        <w:t>Below is a description of the</w:t>
      </w:r>
      <w:r w:rsidRPr="007632B6">
        <w:rPr>
          <w:sz w:val="22"/>
          <w:szCs w:val="22"/>
        </w:rPr>
        <w:t xml:space="preserve"> main meetings, programs and activities developed and/or under implementation as part of the Declaration of Medellin and the COMCYT </w:t>
      </w:r>
      <w:r w:rsidR="00D93D28" w:rsidRPr="007632B6">
        <w:rPr>
          <w:sz w:val="22"/>
          <w:szCs w:val="22"/>
        </w:rPr>
        <w:t>2018-2021</w:t>
      </w:r>
      <w:r w:rsidRPr="007632B6">
        <w:rPr>
          <w:sz w:val="22"/>
          <w:szCs w:val="22"/>
        </w:rPr>
        <w:t>Work Plan.</w:t>
      </w:r>
    </w:p>
    <w:p w14:paraId="465433FB" w14:textId="77777777" w:rsidR="000D70E4" w:rsidRPr="007632B6" w:rsidRDefault="000D70E4" w:rsidP="000D70E4">
      <w:pPr>
        <w:jc w:val="both"/>
        <w:rPr>
          <w:sz w:val="22"/>
          <w:szCs w:val="22"/>
        </w:rPr>
      </w:pPr>
    </w:p>
    <w:p w14:paraId="275B1028" w14:textId="77777777" w:rsidR="000D70E4" w:rsidRPr="007632B6" w:rsidRDefault="000D70E4" w:rsidP="000D70E4">
      <w:pPr>
        <w:pStyle w:val="ListParagraph"/>
        <w:numPr>
          <w:ilvl w:val="0"/>
          <w:numId w:val="11"/>
        </w:numPr>
        <w:tabs>
          <w:tab w:val="left" w:pos="1440"/>
        </w:tabs>
        <w:ind w:left="1440" w:hanging="720"/>
        <w:jc w:val="both"/>
        <w:rPr>
          <w:b/>
          <w:bCs/>
          <w:sz w:val="22"/>
          <w:szCs w:val="22"/>
          <w:u w:val="single"/>
        </w:rPr>
      </w:pPr>
      <w:r w:rsidRPr="007632B6">
        <w:rPr>
          <w:b/>
          <w:bCs/>
          <w:sz w:val="22"/>
          <w:szCs w:val="22"/>
          <w:u w:val="single"/>
        </w:rPr>
        <w:t>Meetings of High-Level Authorities</w:t>
      </w:r>
    </w:p>
    <w:p w14:paraId="6B879E8D" w14:textId="77777777" w:rsidR="000D70E4" w:rsidRPr="007632B6" w:rsidRDefault="000D70E4" w:rsidP="000D70E4">
      <w:pPr>
        <w:rPr>
          <w:color w:val="171717"/>
          <w:sz w:val="22"/>
          <w:szCs w:val="22"/>
        </w:rPr>
      </w:pPr>
    </w:p>
    <w:p w14:paraId="4CDA8720" w14:textId="77777777" w:rsidR="000D70E4" w:rsidRPr="007632B6" w:rsidRDefault="000D70E4" w:rsidP="000D70E4">
      <w:pPr>
        <w:pStyle w:val="ListParagraph"/>
        <w:numPr>
          <w:ilvl w:val="0"/>
          <w:numId w:val="12"/>
        </w:numPr>
        <w:tabs>
          <w:tab w:val="left" w:pos="1440"/>
        </w:tabs>
        <w:ind w:left="1440" w:firstLine="0"/>
        <w:jc w:val="both"/>
        <w:rPr>
          <w:color w:val="171717"/>
          <w:sz w:val="22"/>
          <w:szCs w:val="22"/>
          <w:u w:val="single"/>
        </w:rPr>
      </w:pPr>
      <w:r w:rsidRPr="007632B6">
        <w:rPr>
          <w:color w:val="171717"/>
          <w:sz w:val="22"/>
          <w:szCs w:val="22"/>
          <w:u w:val="single"/>
        </w:rPr>
        <w:t>Ninth Meeting of the COMCYT</w:t>
      </w:r>
    </w:p>
    <w:p w14:paraId="767EB2DC" w14:textId="77777777" w:rsidR="000D70E4" w:rsidRPr="007632B6" w:rsidRDefault="000D70E4" w:rsidP="000D70E4">
      <w:pPr>
        <w:tabs>
          <w:tab w:val="left" w:pos="1440"/>
        </w:tabs>
        <w:ind w:left="1440" w:hanging="720"/>
        <w:jc w:val="both"/>
        <w:rPr>
          <w:color w:val="171717"/>
          <w:sz w:val="22"/>
          <w:szCs w:val="22"/>
        </w:rPr>
      </w:pPr>
    </w:p>
    <w:p w14:paraId="75A092C3" w14:textId="66B7AC89" w:rsidR="000D70E4" w:rsidRPr="007632B6" w:rsidRDefault="000D70E4" w:rsidP="00D93D28">
      <w:pPr>
        <w:ind w:left="1440" w:firstLine="720"/>
        <w:jc w:val="both"/>
        <w:rPr>
          <w:sz w:val="22"/>
          <w:szCs w:val="22"/>
        </w:rPr>
      </w:pPr>
      <w:r w:rsidRPr="007632B6">
        <w:rPr>
          <w:bCs/>
          <w:sz w:val="22"/>
          <w:szCs w:val="22"/>
        </w:rPr>
        <w:t>The Ninth Regular Meeting of the COMYT was held at the OAS</w:t>
      </w:r>
      <w:r w:rsidR="00D93D28">
        <w:rPr>
          <w:bCs/>
          <w:sz w:val="22"/>
          <w:szCs w:val="22"/>
        </w:rPr>
        <w:t xml:space="preserve"> Secretariat’s</w:t>
      </w:r>
      <w:r w:rsidRPr="007632B6">
        <w:rPr>
          <w:bCs/>
          <w:sz w:val="22"/>
          <w:szCs w:val="22"/>
        </w:rPr>
        <w:t xml:space="preserve"> Headquarters in Washington D.C., on December 11-12, 2019. The Meeting was chaired by </w:t>
      </w:r>
      <w:bookmarkStart w:id="4" w:name="_Hlk89443414"/>
      <w:r w:rsidR="002903AF">
        <w:rPr>
          <w:bCs/>
          <w:sz w:val="22"/>
          <w:szCs w:val="22"/>
        </w:rPr>
        <w:t xml:space="preserve">Mr. </w:t>
      </w:r>
      <w:r w:rsidR="009E46E4">
        <w:rPr>
          <w:bCs/>
          <w:sz w:val="22"/>
          <w:szCs w:val="22"/>
        </w:rPr>
        <w:t>Errol Morrison</w:t>
      </w:r>
      <w:r w:rsidR="002903AF">
        <w:rPr>
          <w:bCs/>
          <w:sz w:val="22"/>
          <w:szCs w:val="22"/>
        </w:rPr>
        <w:t xml:space="preserve">, Director General, National Commission </w:t>
      </w:r>
      <w:r w:rsidR="00C51AC6">
        <w:rPr>
          <w:bCs/>
          <w:sz w:val="22"/>
          <w:szCs w:val="22"/>
        </w:rPr>
        <w:t>on Science and Technology (NCST),</w:t>
      </w:r>
      <w:r w:rsidR="002903AF">
        <w:rPr>
          <w:bCs/>
          <w:sz w:val="22"/>
          <w:szCs w:val="22"/>
        </w:rPr>
        <w:t xml:space="preserve"> </w:t>
      </w:r>
      <w:bookmarkEnd w:id="4"/>
      <w:r w:rsidR="00C51AC6">
        <w:rPr>
          <w:bCs/>
          <w:sz w:val="22"/>
          <w:szCs w:val="22"/>
        </w:rPr>
        <w:t xml:space="preserve">of </w:t>
      </w:r>
      <w:r w:rsidRPr="007632B6">
        <w:rPr>
          <w:bCs/>
          <w:sz w:val="22"/>
          <w:szCs w:val="22"/>
        </w:rPr>
        <w:t xml:space="preserve">Jamaica, as First Vice Chair of the COMCYT. Sixty-nine (69) participants attended the Meeting, including authorities from Capital and representatives from the Permanent Missions from 21 OAS member states, as well as strategic partners of the COMCYT from the private and academic sectors. </w:t>
      </w:r>
    </w:p>
    <w:p w14:paraId="2C2B31F6" w14:textId="77777777" w:rsidR="000D70E4" w:rsidRPr="007632B6" w:rsidRDefault="000D70E4" w:rsidP="000D70E4">
      <w:pPr>
        <w:ind w:left="1440" w:hanging="720"/>
        <w:rPr>
          <w:bCs/>
          <w:sz w:val="22"/>
          <w:szCs w:val="22"/>
        </w:rPr>
      </w:pPr>
    </w:p>
    <w:p w14:paraId="10286C3B" w14:textId="78D2AA27" w:rsidR="000D70E4" w:rsidRPr="007632B6" w:rsidRDefault="000D70E4" w:rsidP="00D93D28">
      <w:pPr>
        <w:ind w:left="1440" w:firstLine="720"/>
        <w:jc w:val="both"/>
        <w:rPr>
          <w:bCs/>
          <w:sz w:val="22"/>
          <w:szCs w:val="22"/>
        </w:rPr>
      </w:pPr>
      <w:r w:rsidRPr="007632B6">
        <w:rPr>
          <w:bCs/>
          <w:sz w:val="22"/>
          <w:szCs w:val="22"/>
        </w:rPr>
        <w:t>The Meeting allowed to: a) Assess the progress made in the implementation of the Ministerial Agr</w:t>
      </w:r>
      <w:r w:rsidR="00C51AC6">
        <w:rPr>
          <w:bCs/>
          <w:sz w:val="22"/>
          <w:szCs w:val="22"/>
        </w:rPr>
        <w:t>e</w:t>
      </w:r>
      <w:r w:rsidRPr="007632B6">
        <w:rPr>
          <w:bCs/>
          <w:sz w:val="22"/>
          <w:szCs w:val="22"/>
        </w:rPr>
        <w:t xml:space="preserve">ements; b) Share good practices and regional trends on science and technology; </w:t>
      </w:r>
      <w:proofErr w:type="gramStart"/>
      <w:r w:rsidRPr="007632B6">
        <w:rPr>
          <w:bCs/>
          <w:sz w:val="22"/>
          <w:szCs w:val="22"/>
        </w:rPr>
        <w:t>and,</w:t>
      </w:r>
      <w:proofErr w:type="gramEnd"/>
      <w:r w:rsidRPr="007632B6">
        <w:rPr>
          <w:bCs/>
          <w:sz w:val="22"/>
          <w:szCs w:val="22"/>
        </w:rPr>
        <w:t xml:space="preserve"> c) Agree on the main theme and sub-themes for the Sixth Meeting of Ministers and High Authorities of Science and Technology.</w:t>
      </w:r>
    </w:p>
    <w:p w14:paraId="79CCE04F" w14:textId="77777777" w:rsidR="000D70E4" w:rsidRPr="007632B6" w:rsidRDefault="000D70E4" w:rsidP="000D70E4">
      <w:pPr>
        <w:tabs>
          <w:tab w:val="left" w:pos="1440"/>
        </w:tabs>
        <w:jc w:val="both"/>
        <w:rPr>
          <w:color w:val="171717"/>
          <w:sz w:val="22"/>
          <w:szCs w:val="22"/>
        </w:rPr>
      </w:pPr>
    </w:p>
    <w:p w14:paraId="43C61E7A" w14:textId="77777777" w:rsidR="000D70E4" w:rsidRPr="007632B6" w:rsidRDefault="000D70E4" w:rsidP="000D70E4">
      <w:pPr>
        <w:pStyle w:val="ListParagraph"/>
        <w:numPr>
          <w:ilvl w:val="0"/>
          <w:numId w:val="12"/>
        </w:numPr>
        <w:tabs>
          <w:tab w:val="left" w:pos="1440"/>
        </w:tabs>
        <w:ind w:left="1440" w:firstLine="0"/>
        <w:jc w:val="both"/>
        <w:rPr>
          <w:bCs/>
          <w:color w:val="171717"/>
          <w:sz w:val="22"/>
          <w:szCs w:val="22"/>
        </w:rPr>
      </w:pPr>
      <w:r w:rsidRPr="007632B6">
        <w:rPr>
          <w:bCs/>
          <w:color w:val="171717"/>
          <w:sz w:val="22"/>
          <w:szCs w:val="22"/>
          <w:u w:val="single"/>
        </w:rPr>
        <w:t>Second Planning Meeting of the COMCYT Authorities</w:t>
      </w:r>
    </w:p>
    <w:p w14:paraId="228BF7D4" w14:textId="77777777" w:rsidR="000D70E4" w:rsidRPr="007632B6" w:rsidRDefault="000D70E4" w:rsidP="000D70E4">
      <w:pPr>
        <w:tabs>
          <w:tab w:val="left" w:pos="1440"/>
        </w:tabs>
        <w:ind w:left="720"/>
        <w:jc w:val="both"/>
        <w:rPr>
          <w:color w:val="171717"/>
          <w:sz w:val="22"/>
          <w:szCs w:val="22"/>
        </w:rPr>
      </w:pPr>
    </w:p>
    <w:p w14:paraId="6EAF3AC2" w14:textId="77777777" w:rsidR="000D70E4" w:rsidRPr="007632B6" w:rsidRDefault="000D70E4" w:rsidP="00D93D28">
      <w:pPr>
        <w:ind w:left="1440" w:firstLine="720"/>
        <w:jc w:val="both"/>
        <w:rPr>
          <w:sz w:val="22"/>
          <w:szCs w:val="22"/>
        </w:rPr>
      </w:pPr>
      <w:r w:rsidRPr="007632B6">
        <w:rPr>
          <w:sz w:val="22"/>
          <w:szCs w:val="22"/>
        </w:rPr>
        <w:t xml:space="preserve">In light of the postponement of the Sixth Meeting of Ministers and High Authorities of Science and Technology due to the COVID-19 pandemic, a Second </w:t>
      </w:r>
      <w:r w:rsidRPr="007632B6">
        <w:rPr>
          <w:sz w:val="22"/>
          <w:szCs w:val="22"/>
        </w:rPr>
        <w:lastRenderedPageBreak/>
        <w:t xml:space="preserve">Planning Meeting of COMCYT Authorities was held (virtually) on July 15, </w:t>
      </w:r>
      <w:proofErr w:type="gramStart"/>
      <w:r w:rsidRPr="007632B6">
        <w:rPr>
          <w:sz w:val="22"/>
          <w:szCs w:val="22"/>
        </w:rPr>
        <w:t>2020</w:t>
      </w:r>
      <w:proofErr w:type="gramEnd"/>
      <w:r w:rsidRPr="007632B6">
        <w:rPr>
          <w:sz w:val="22"/>
          <w:szCs w:val="22"/>
        </w:rPr>
        <w:t xml:space="preserve"> to consider the extension of the COMCYT Work Plan until the end of 2021. This meeting was also essential to explore the ongoing work and role of the COMCYT in mitigating the effects of the COVID-19 pandemic in the region.</w:t>
      </w:r>
      <w:r w:rsidRPr="007632B6" w:rsidDel="006061B7">
        <w:rPr>
          <w:sz w:val="22"/>
          <w:szCs w:val="22"/>
        </w:rPr>
        <w:t xml:space="preserve"> </w:t>
      </w:r>
      <w:r w:rsidRPr="007632B6">
        <w:rPr>
          <w:sz w:val="22"/>
          <w:szCs w:val="22"/>
        </w:rPr>
        <w:t xml:space="preserve">Authorities proposed additional activities to the Work Plan within the scope of COMCYT, specifically as it relates to the application of science, </w:t>
      </w:r>
      <w:proofErr w:type="gramStart"/>
      <w:r w:rsidRPr="007632B6">
        <w:rPr>
          <w:sz w:val="22"/>
          <w:szCs w:val="22"/>
        </w:rPr>
        <w:t>technology</w:t>
      </w:r>
      <w:proofErr w:type="gramEnd"/>
      <w:r w:rsidRPr="007632B6">
        <w:rPr>
          <w:sz w:val="22"/>
          <w:szCs w:val="22"/>
        </w:rPr>
        <w:t xml:space="preserve"> and innovation in the response to the COVID-19 pandemic.</w:t>
      </w:r>
    </w:p>
    <w:p w14:paraId="536E0DE6" w14:textId="77777777" w:rsidR="000D70E4" w:rsidRPr="007632B6" w:rsidRDefault="000D70E4" w:rsidP="000D70E4">
      <w:pPr>
        <w:jc w:val="both"/>
        <w:rPr>
          <w:sz w:val="22"/>
          <w:szCs w:val="22"/>
        </w:rPr>
      </w:pPr>
    </w:p>
    <w:p w14:paraId="40182046" w14:textId="77777777" w:rsidR="000D70E4" w:rsidRPr="007632B6" w:rsidRDefault="000D70E4" w:rsidP="000D70E4">
      <w:pPr>
        <w:pStyle w:val="ListParagraph"/>
        <w:numPr>
          <w:ilvl w:val="0"/>
          <w:numId w:val="12"/>
        </w:numPr>
        <w:tabs>
          <w:tab w:val="left" w:pos="720"/>
          <w:tab w:val="left" w:pos="2160"/>
        </w:tabs>
        <w:ind w:left="2160" w:hanging="720"/>
        <w:jc w:val="both"/>
        <w:rPr>
          <w:bCs/>
          <w:sz w:val="22"/>
          <w:szCs w:val="22"/>
          <w:u w:val="single"/>
        </w:rPr>
      </w:pPr>
      <w:r w:rsidRPr="007632B6">
        <w:rPr>
          <w:sz w:val="22"/>
          <w:szCs w:val="22"/>
          <w:u w:val="single"/>
        </w:rPr>
        <w:t xml:space="preserve">Preparatory Meeting of the </w:t>
      </w:r>
      <w:r w:rsidRPr="007632B6">
        <w:rPr>
          <w:bCs/>
          <w:color w:val="171717"/>
          <w:sz w:val="22"/>
          <w:szCs w:val="22"/>
          <w:u w:val="single"/>
        </w:rPr>
        <w:t>Sixth Meeting of Ministers and High Authorities of Science and Technology</w:t>
      </w:r>
    </w:p>
    <w:p w14:paraId="789AF099" w14:textId="77777777" w:rsidR="000D70E4" w:rsidRPr="007632B6" w:rsidRDefault="000D70E4" w:rsidP="000D70E4">
      <w:pPr>
        <w:jc w:val="both"/>
        <w:rPr>
          <w:sz w:val="22"/>
          <w:szCs w:val="22"/>
          <w:u w:val="single"/>
        </w:rPr>
      </w:pPr>
    </w:p>
    <w:p w14:paraId="6B0D0F3F" w14:textId="14DFD07C" w:rsidR="000D70E4" w:rsidRPr="007632B6" w:rsidRDefault="000D70E4" w:rsidP="00D93D28">
      <w:pPr>
        <w:pStyle w:val="ListParagraph"/>
        <w:ind w:left="1440" w:firstLine="720"/>
        <w:jc w:val="both"/>
        <w:rPr>
          <w:sz w:val="22"/>
          <w:szCs w:val="22"/>
        </w:rPr>
      </w:pPr>
      <w:bookmarkStart w:id="5" w:name="_Hlk89444043"/>
      <w:r w:rsidRPr="007632B6">
        <w:rPr>
          <w:sz w:val="22"/>
          <w:szCs w:val="22"/>
        </w:rPr>
        <w:t>The Prepa</w:t>
      </w:r>
      <w:r w:rsidR="00C51AC6">
        <w:rPr>
          <w:sz w:val="22"/>
          <w:szCs w:val="22"/>
        </w:rPr>
        <w:t>ra</w:t>
      </w:r>
      <w:r w:rsidRPr="007632B6">
        <w:rPr>
          <w:sz w:val="22"/>
          <w:szCs w:val="22"/>
        </w:rPr>
        <w:t xml:space="preserve">tory Meeting of the Sixth Meeting of Ministers and High Authorities of Science and </w:t>
      </w:r>
      <w:r w:rsidRPr="00D93D28">
        <w:rPr>
          <w:sz w:val="22"/>
          <w:szCs w:val="22"/>
        </w:rPr>
        <w:t xml:space="preserve">Technology was held (virtually) on November 22, 2021. Member states negotiated and agreed upon the draft Declaration of Jamaica </w:t>
      </w:r>
      <w:r w:rsidRPr="00D93D28">
        <w:rPr>
          <w:b/>
          <w:bCs/>
          <w:sz w:val="22"/>
          <w:szCs w:val="22"/>
        </w:rPr>
        <w:t>“Harnessing the Power of Transformative Science and Technologies to Drive our Communities Forward,”</w:t>
      </w:r>
      <w:r w:rsidRPr="00D93D28">
        <w:rPr>
          <w:sz w:val="22"/>
          <w:szCs w:val="22"/>
        </w:rPr>
        <w:t xml:space="preserve"> to be adopted at the Sixth Ministerial Meeting</w:t>
      </w:r>
      <w:r w:rsidRPr="007632B6">
        <w:rPr>
          <w:sz w:val="22"/>
          <w:szCs w:val="22"/>
        </w:rPr>
        <w:t>. The Preparatory Meeting was Chaired by</w:t>
      </w:r>
      <w:r w:rsidR="00C51AC6">
        <w:rPr>
          <w:sz w:val="22"/>
          <w:szCs w:val="22"/>
        </w:rPr>
        <w:t xml:space="preserve"> Ms.</w:t>
      </w:r>
      <w:r w:rsidR="00D93D28">
        <w:rPr>
          <w:sz w:val="22"/>
          <w:szCs w:val="22"/>
        </w:rPr>
        <w:t xml:space="preserve"> </w:t>
      </w:r>
      <w:proofErr w:type="spellStart"/>
      <w:r w:rsidR="00510A78">
        <w:rPr>
          <w:sz w:val="22"/>
          <w:szCs w:val="22"/>
        </w:rPr>
        <w:t>Wahkeen</w:t>
      </w:r>
      <w:proofErr w:type="spellEnd"/>
      <w:r w:rsidR="00510A78">
        <w:rPr>
          <w:sz w:val="22"/>
          <w:szCs w:val="22"/>
        </w:rPr>
        <w:t xml:space="preserve"> Murray, Chief Technical Director, of </w:t>
      </w:r>
      <w:r w:rsidRPr="007632B6">
        <w:rPr>
          <w:sz w:val="22"/>
          <w:szCs w:val="22"/>
        </w:rPr>
        <w:t>Ministry of Science, Energy and Technology of Jamaica and counted on the participation of 19 delegations.</w:t>
      </w:r>
    </w:p>
    <w:p w14:paraId="6F0ED2DA" w14:textId="77777777" w:rsidR="000D70E4" w:rsidRPr="00D93D28" w:rsidRDefault="000D70E4" w:rsidP="00D93D28">
      <w:pPr>
        <w:jc w:val="both"/>
        <w:rPr>
          <w:sz w:val="22"/>
          <w:szCs w:val="22"/>
        </w:rPr>
      </w:pPr>
    </w:p>
    <w:bookmarkEnd w:id="5"/>
    <w:p w14:paraId="26BBF5D9" w14:textId="77777777" w:rsidR="000D70E4" w:rsidRPr="007632B6" w:rsidRDefault="000D70E4" w:rsidP="000D70E4">
      <w:pPr>
        <w:pStyle w:val="ListParagraph"/>
        <w:numPr>
          <w:ilvl w:val="0"/>
          <w:numId w:val="12"/>
        </w:numPr>
        <w:tabs>
          <w:tab w:val="left" w:pos="1440"/>
        </w:tabs>
        <w:ind w:left="1440" w:firstLine="0"/>
        <w:jc w:val="both"/>
        <w:rPr>
          <w:color w:val="171717"/>
          <w:sz w:val="22"/>
          <w:szCs w:val="22"/>
        </w:rPr>
      </w:pPr>
      <w:r w:rsidRPr="007632B6">
        <w:rPr>
          <w:bCs/>
          <w:color w:val="171717"/>
          <w:sz w:val="22"/>
          <w:szCs w:val="22"/>
          <w:u w:val="single"/>
        </w:rPr>
        <w:t xml:space="preserve">Sixth Meeting of Ministers and High Authorities of Science and Technology </w:t>
      </w:r>
    </w:p>
    <w:p w14:paraId="13D35B07" w14:textId="77777777" w:rsidR="000D70E4" w:rsidRPr="00D93D28" w:rsidRDefault="000D70E4" w:rsidP="00D93D28">
      <w:pPr>
        <w:tabs>
          <w:tab w:val="left" w:pos="1440"/>
        </w:tabs>
        <w:ind w:left="1440"/>
        <w:jc w:val="both"/>
        <w:rPr>
          <w:color w:val="171717"/>
          <w:sz w:val="22"/>
          <w:szCs w:val="22"/>
        </w:rPr>
      </w:pPr>
    </w:p>
    <w:p w14:paraId="2E57E32D" w14:textId="6395CFD9" w:rsidR="000D70E4" w:rsidRPr="002E4692" w:rsidRDefault="000D70E4" w:rsidP="000D70E4">
      <w:pPr>
        <w:tabs>
          <w:tab w:val="left" w:pos="1440"/>
        </w:tabs>
        <w:ind w:left="1440" w:hanging="720"/>
        <w:jc w:val="both"/>
        <w:rPr>
          <w:color w:val="171717"/>
          <w:sz w:val="22"/>
          <w:szCs w:val="22"/>
        </w:rPr>
      </w:pPr>
      <w:r>
        <w:rPr>
          <w:color w:val="171717"/>
          <w:sz w:val="22"/>
          <w:szCs w:val="22"/>
        </w:rPr>
        <w:tab/>
      </w:r>
      <w:r w:rsidR="00D93D28">
        <w:rPr>
          <w:color w:val="171717"/>
          <w:sz w:val="22"/>
          <w:szCs w:val="22"/>
        </w:rPr>
        <w:tab/>
      </w:r>
      <w:r w:rsidRPr="007632B6">
        <w:rPr>
          <w:color w:val="171717"/>
          <w:sz w:val="22"/>
          <w:szCs w:val="22"/>
        </w:rPr>
        <w:t xml:space="preserve">On April 27, 2021, the Inter-American Council for Integral Development (CIDI) approved the resolution </w:t>
      </w:r>
      <w:r w:rsidRPr="00D93D28">
        <w:rPr>
          <w:color w:val="171717"/>
          <w:sz w:val="22"/>
          <w:szCs w:val="22"/>
        </w:rPr>
        <w:t xml:space="preserve">convening the Sixth Meeting of Ministers and High Authorities of Science and Technology (VI REMCYT), to be held on December 7, 2021. The Government of Jamaica, through its Permanent Mission to the OAS, presented </w:t>
      </w:r>
      <w:r w:rsidR="001E6B0B">
        <w:rPr>
          <w:color w:val="171717"/>
          <w:sz w:val="22"/>
          <w:szCs w:val="22"/>
        </w:rPr>
        <w:t>to</w:t>
      </w:r>
      <w:r w:rsidRPr="00D93D28">
        <w:rPr>
          <w:color w:val="171717"/>
          <w:sz w:val="22"/>
          <w:szCs w:val="22"/>
        </w:rPr>
        <w:t xml:space="preserve"> CIDI on October 26, 2021, a draft resolution to change the date of the Sixth Meeting of Ministers and High Authorities of Science and Technology</w:t>
      </w:r>
      <w:r w:rsidRPr="007632B6">
        <w:rPr>
          <w:color w:val="171717"/>
          <w:sz w:val="22"/>
          <w:szCs w:val="22"/>
        </w:rPr>
        <w:t xml:space="preserve">, to be held in a virtual format on December 7-8, </w:t>
      </w:r>
      <w:proofErr w:type="gramStart"/>
      <w:r w:rsidRPr="007632B6">
        <w:rPr>
          <w:color w:val="171717"/>
          <w:sz w:val="22"/>
          <w:szCs w:val="22"/>
        </w:rPr>
        <w:t>2021</w:t>
      </w:r>
      <w:proofErr w:type="gramEnd"/>
      <w:r w:rsidRPr="007632B6">
        <w:rPr>
          <w:color w:val="171717"/>
          <w:sz w:val="22"/>
          <w:szCs w:val="22"/>
        </w:rPr>
        <w:t xml:space="preserve"> under the theme </w:t>
      </w:r>
      <w:r w:rsidRPr="00887267">
        <w:rPr>
          <w:b/>
          <w:bCs/>
          <w:sz w:val="22"/>
          <w:szCs w:val="22"/>
        </w:rPr>
        <w:t>“Harnessing the Power of Transformative Science and Technologies to Drive our Communities Forward.”</w:t>
      </w:r>
    </w:p>
    <w:p w14:paraId="7CB301B2" w14:textId="77777777" w:rsidR="000D70E4" w:rsidRPr="007632B6" w:rsidRDefault="000D70E4" w:rsidP="000D70E4">
      <w:pPr>
        <w:tabs>
          <w:tab w:val="left" w:pos="1440"/>
        </w:tabs>
        <w:ind w:left="1440" w:hanging="720"/>
        <w:jc w:val="both"/>
        <w:rPr>
          <w:color w:val="171717"/>
          <w:sz w:val="22"/>
          <w:szCs w:val="22"/>
        </w:rPr>
      </w:pPr>
    </w:p>
    <w:p w14:paraId="7A550D63" w14:textId="276FE914" w:rsidR="000D70E4" w:rsidRPr="007632B6" w:rsidRDefault="000D70E4" w:rsidP="000D70E4">
      <w:pPr>
        <w:tabs>
          <w:tab w:val="left" w:pos="1440"/>
        </w:tabs>
        <w:ind w:left="1440" w:hanging="720"/>
        <w:jc w:val="both"/>
        <w:rPr>
          <w:color w:val="171717"/>
          <w:sz w:val="22"/>
          <w:szCs w:val="22"/>
        </w:rPr>
      </w:pPr>
      <w:r>
        <w:rPr>
          <w:color w:val="171717"/>
          <w:sz w:val="22"/>
          <w:szCs w:val="22"/>
        </w:rPr>
        <w:tab/>
      </w:r>
      <w:r w:rsidR="001E6B0B">
        <w:rPr>
          <w:color w:val="171717"/>
          <w:sz w:val="22"/>
          <w:szCs w:val="22"/>
        </w:rPr>
        <w:tab/>
      </w:r>
      <w:r w:rsidRPr="007632B6">
        <w:rPr>
          <w:color w:val="171717"/>
          <w:sz w:val="22"/>
          <w:szCs w:val="22"/>
        </w:rPr>
        <w:t xml:space="preserve">The objective of the VI REMCYT </w:t>
      </w:r>
      <w:r w:rsidR="001E6B0B">
        <w:rPr>
          <w:color w:val="171717"/>
          <w:sz w:val="22"/>
          <w:szCs w:val="22"/>
        </w:rPr>
        <w:t xml:space="preserve">is </w:t>
      </w:r>
      <w:r w:rsidRPr="007632B6">
        <w:rPr>
          <w:color w:val="171717"/>
          <w:sz w:val="22"/>
          <w:szCs w:val="22"/>
        </w:rPr>
        <w:t xml:space="preserve">for </w:t>
      </w:r>
      <w:r w:rsidR="001E6B0B">
        <w:rPr>
          <w:color w:val="171717"/>
          <w:sz w:val="22"/>
          <w:szCs w:val="22"/>
        </w:rPr>
        <w:t>m</w:t>
      </w:r>
      <w:r w:rsidRPr="007632B6">
        <w:rPr>
          <w:color w:val="171717"/>
          <w:sz w:val="22"/>
          <w:szCs w:val="22"/>
        </w:rPr>
        <w:t xml:space="preserve">inisters and </w:t>
      </w:r>
      <w:r w:rsidR="001E6B0B">
        <w:rPr>
          <w:color w:val="171717"/>
          <w:sz w:val="22"/>
          <w:szCs w:val="22"/>
        </w:rPr>
        <w:t>h</w:t>
      </w:r>
      <w:r w:rsidRPr="007632B6">
        <w:rPr>
          <w:color w:val="171717"/>
          <w:sz w:val="22"/>
          <w:szCs w:val="22"/>
        </w:rPr>
        <w:t xml:space="preserve">igh </w:t>
      </w:r>
      <w:r w:rsidR="001E6B0B">
        <w:rPr>
          <w:color w:val="171717"/>
          <w:sz w:val="22"/>
          <w:szCs w:val="22"/>
        </w:rPr>
        <w:t>a</w:t>
      </w:r>
      <w:r w:rsidRPr="007632B6">
        <w:rPr>
          <w:color w:val="171717"/>
          <w:sz w:val="22"/>
          <w:szCs w:val="22"/>
        </w:rPr>
        <w:t xml:space="preserve">uthorities to advance a </w:t>
      </w:r>
      <w:r w:rsidRPr="001E6B0B">
        <w:rPr>
          <w:color w:val="171717"/>
          <w:sz w:val="22"/>
          <w:szCs w:val="22"/>
        </w:rPr>
        <w:t>hemispheric cooperation agenda on science and technology within the framework of the draft Declaration</w:t>
      </w:r>
      <w:r w:rsidRPr="002E4692">
        <w:rPr>
          <w:color w:val="171717"/>
          <w:sz w:val="22"/>
          <w:szCs w:val="22"/>
        </w:rPr>
        <w:t xml:space="preserve"> of Jamaica</w:t>
      </w:r>
      <w:r w:rsidRPr="007632B6">
        <w:rPr>
          <w:color w:val="171717"/>
          <w:sz w:val="22"/>
          <w:szCs w:val="22"/>
        </w:rPr>
        <w:t xml:space="preserve"> and to engage in discussion on concrete, high-impact regional projects to support the recovery of the COVID-19 pandemic in member states </w:t>
      </w:r>
      <w:proofErr w:type="gramStart"/>
      <w:r w:rsidRPr="007632B6">
        <w:rPr>
          <w:color w:val="171717"/>
          <w:sz w:val="22"/>
          <w:szCs w:val="22"/>
        </w:rPr>
        <w:t>through the use of</w:t>
      </w:r>
      <w:proofErr w:type="gramEnd"/>
      <w:r w:rsidRPr="007632B6">
        <w:rPr>
          <w:color w:val="171717"/>
          <w:sz w:val="22"/>
          <w:szCs w:val="22"/>
        </w:rPr>
        <w:t xml:space="preserve"> transformative technologies.</w:t>
      </w:r>
    </w:p>
    <w:p w14:paraId="2BEF7565" w14:textId="77777777" w:rsidR="000D70E4" w:rsidRPr="007632B6" w:rsidRDefault="000D70E4" w:rsidP="000D70E4">
      <w:pPr>
        <w:tabs>
          <w:tab w:val="left" w:pos="1440"/>
        </w:tabs>
        <w:jc w:val="both"/>
        <w:rPr>
          <w:color w:val="171717"/>
          <w:sz w:val="22"/>
          <w:szCs w:val="22"/>
        </w:rPr>
      </w:pPr>
    </w:p>
    <w:p w14:paraId="1C7762DC" w14:textId="77777777" w:rsidR="000D70E4" w:rsidRPr="007632B6" w:rsidRDefault="000D70E4" w:rsidP="001E6B0B">
      <w:pPr>
        <w:pStyle w:val="ListParagraph"/>
        <w:numPr>
          <w:ilvl w:val="0"/>
          <w:numId w:val="11"/>
        </w:numPr>
        <w:tabs>
          <w:tab w:val="left" w:pos="1440"/>
        </w:tabs>
        <w:ind w:left="1440" w:hanging="720"/>
        <w:contextualSpacing/>
        <w:jc w:val="both"/>
        <w:rPr>
          <w:b/>
          <w:color w:val="171717"/>
          <w:sz w:val="22"/>
          <w:szCs w:val="22"/>
          <w:u w:val="single"/>
        </w:rPr>
      </w:pPr>
      <w:r w:rsidRPr="007632B6">
        <w:rPr>
          <w:b/>
          <w:color w:val="171717"/>
          <w:sz w:val="22"/>
          <w:szCs w:val="22"/>
          <w:u w:val="single"/>
        </w:rPr>
        <w:t>Ministerial Dialogues "Science, Technology and Innovation to Mitigate the Effects of COVID-19: Good Practices from COMCYT Members and Partners"</w:t>
      </w:r>
    </w:p>
    <w:p w14:paraId="2B184A1F" w14:textId="77777777" w:rsidR="000D70E4" w:rsidRPr="007632B6" w:rsidRDefault="000D70E4" w:rsidP="000D70E4">
      <w:pPr>
        <w:tabs>
          <w:tab w:val="left" w:pos="1440"/>
        </w:tabs>
        <w:ind w:left="720"/>
        <w:jc w:val="both"/>
        <w:rPr>
          <w:sz w:val="22"/>
          <w:szCs w:val="22"/>
        </w:rPr>
      </w:pPr>
    </w:p>
    <w:p w14:paraId="5DE04394" w14:textId="754D41CA" w:rsidR="000D70E4" w:rsidRPr="007632B6" w:rsidRDefault="000D70E4" w:rsidP="000D70E4">
      <w:pPr>
        <w:tabs>
          <w:tab w:val="left" w:pos="1440"/>
        </w:tabs>
        <w:ind w:left="720"/>
        <w:jc w:val="both"/>
        <w:rPr>
          <w:sz w:val="22"/>
          <w:szCs w:val="22"/>
        </w:rPr>
      </w:pPr>
      <w:r>
        <w:rPr>
          <w:sz w:val="22"/>
          <w:szCs w:val="22"/>
        </w:rPr>
        <w:tab/>
      </w:r>
      <w:r w:rsidRPr="007632B6">
        <w:rPr>
          <w:sz w:val="22"/>
          <w:szCs w:val="22"/>
        </w:rPr>
        <w:t>In an effort to support OAS member states during the challenging time brought about by the COVID-19 pandemic, the COMCYT Technical Secretariat organized two high-level virtual dialogues under the theme</w:t>
      </w:r>
      <w:r w:rsidRPr="00357C04">
        <w:rPr>
          <w:b/>
          <w:bCs/>
          <w:sz w:val="22"/>
          <w:szCs w:val="22"/>
        </w:rPr>
        <w:t xml:space="preserve">: </w:t>
      </w:r>
      <w:r w:rsidR="001E6B0B">
        <w:rPr>
          <w:b/>
          <w:bCs/>
          <w:sz w:val="22"/>
          <w:szCs w:val="22"/>
        </w:rPr>
        <w:t>“</w:t>
      </w:r>
      <w:r w:rsidRPr="00357C04">
        <w:rPr>
          <w:b/>
          <w:bCs/>
          <w:sz w:val="22"/>
          <w:szCs w:val="22"/>
        </w:rPr>
        <w:t xml:space="preserve">Science, Technology and Innovation to mitigate the effects of COVID-19: Good Practices from COMCYT Members and </w:t>
      </w:r>
      <w:proofErr w:type="spellStart"/>
      <w:r w:rsidRPr="00357C04">
        <w:rPr>
          <w:b/>
          <w:bCs/>
          <w:sz w:val="22"/>
          <w:szCs w:val="22"/>
        </w:rPr>
        <w:t>Partners</w:t>
      </w:r>
      <w:r w:rsidR="001E6B0B">
        <w:rPr>
          <w:b/>
          <w:bCs/>
          <w:sz w:val="22"/>
          <w:szCs w:val="22"/>
        </w:rPr>
        <w:t>”</w:t>
      </w:r>
      <w:r w:rsidRPr="007632B6">
        <w:rPr>
          <w:sz w:val="22"/>
          <w:szCs w:val="22"/>
        </w:rPr>
        <w:t>during</w:t>
      </w:r>
      <w:proofErr w:type="spellEnd"/>
      <w:r w:rsidRPr="007632B6">
        <w:rPr>
          <w:sz w:val="22"/>
          <w:szCs w:val="22"/>
        </w:rPr>
        <w:t xml:space="preserve"> which Ministers and High Authorities of Science, Technology and Innovation from Brazil, Chile, Colombia, Costa Rica, Jamaica, Mexico and Peru shared over 15 good practices and national science, technology and innovation (STI) strategies to address the social and economic impacts of COVID-19. These dialogues were held on April 29, </w:t>
      </w:r>
      <w:proofErr w:type="gramStart"/>
      <w:r w:rsidRPr="007632B6">
        <w:rPr>
          <w:sz w:val="22"/>
          <w:szCs w:val="22"/>
        </w:rPr>
        <w:t>2020</w:t>
      </w:r>
      <w:proofErr w:type="gramEnd"/>
      <w:r w:rsidRPr="007632B6">
        <w:rPr>
          <w:sz w:val="22"/>
          <w:szCs w:val="22"/>
        </w:rPr>
        <w:t xml:space="preserve"> and May 22, 2020 respectively and reached over 750 participants from 26 countries, including senior authorities and officials, COMCYT strategic partners and Permanent Missions to the OAS.</w:t>
      </w:r>
    </w:p>
    <w:p w14:paraId="784C737C" w14:textId="77777777" w:rsidR="000D70E4" w:rsidRPr="007632B6" w:rsidRDefault="000D70E4" w:rsidP="000D70E4">
      <w:pPr>
        <w:pStyle w:val="ListParagraph"/>
        <w:numPr>
          <w:ilvl w:val="0"/>
          <w:numId w:val="11"/>
        </w:numPr>
        <w:tabs>
          <w:tab w:val="left" w:pos="1440"/>
        </w:tabs>
        <w:ind w:left="1440" w:hanging="720"/>
        <w:jc w:val="both"/>
        <w:rPr>
          <w:b/>
          <w:bCs/>
          <w:color w:val="171717"/>
          <w:sz w:val="22"/>
          <w:szCs w:val="22"/>
          <w:u w:val="single"/>
        </w:rPr>
      </w:pPr>
      <w:r w:rsidRPr="007632B6">
        <w:rPr>
          <w:b/>
          <w:bCs/>
          <w:color w:val="171717"/>
          <w:sz w:val="22"/>
          <w:szCs w:val="22"/>
          <w:u w:val="single"/>
        </w:rPr>
        <w:lastRenderedPageBreak/>
        <w:t xml:space="preserve">Thematic Sessions of the COMCYT </w:t>
      </w:r>
    </w:p>
    <w:p w14:paraId="27F742B3" w14:textId="77777777" w:rsidR="000D70E4" w:rsidRPr="007632B6" w:rsidRDefault="000D70E4" w:rsidP="000D70E4">
      <w:pPr>
        <w:rPr>
          <w:color w:val="171717"/>
          <w:sz w:val="22"/>
          <w:szCs w:val="22"/>
        </w:rPr>
      </w:pPr>
    </w:p>
    <w:p w14:paraId="53C6A12C" w14:textId="77777777" w:rsidR="000D70E4" w:rsidRPr="007632B6" w:rsidRDefault="000D70E4" w:rsidP="000D70E4">
      <w:pPr>
        <w:pStyle w:val="ListParagraph"/>
        <w:ind w:firstLine="720"/>
        <w:contextualSpacing/>
        <w:jc w:val="both"/>
        <w:rPr>
          <w:color w:val="000000"/>
          <w:sz w:val="22"/>
          <w:szCs w:val="22"/>
        </w:rPr>
      </w:pPr>
      <w:bookmarkStart w:id="6" w:name="_Hlk85391140"/>
      <w:r w:rsidRPr="007632B6">
        <w:rPr>
          <w:color w:val="000000"/>
          <w:sz w:val="22"/>
          <w:szCs w:val="22"/>
        </w:rPr>
        <w:t>Based on the success of the 2020 dialogues, the COMCYT held six additional thematic sessions (virtual) between April and June 2021 on themes of interest to the member states.</w:t>
      </w:r>
    </w:p>
    <w:p w14:paraId="0621EE27" w14:textId="77777777" w:rsidR="000D70E4" w:rsidRPr="007632B6" w:rsidRDefault="000D70E4" w:rsidP="000D70E4">
      <w:pPr>
        <w:pStyle w:val="ListParagraph"/>
        <w:contextualSpacing/>
        <w:jc w:val="both"/>
        <w:rPr>
          <w:color w:val="000000"/>
          <w:sz w:val="22"/>
          <w:szCs w:val="22"/>
        </w:rPr>
      </w:pPr>
    </w:p>
    <w:p w14:paraId="5EBA077D" w14:textId="77777777" w:rsidR="000D70E4" w:rsidRPr="007632B6" w:rsidRDefault="000D70E4" w:rsidP="000D70E4">
      <w:pPr>
        <w:pStyle w:val="ListParagraph"/>
        <w:tabs>
          <w:tab w:val="left" w:pos="1440"/>
        </w:tabs>
        <w:ind w:firstLine="720"/>
        <w:contextualSpacing/>
        <w:jc w:val="both"/>
        <w:rPr>
          <w:color w:val="000000"/>
          <w:sz w:val="22"/>
          <w:szCs w:val="22"/>
        </w:rPr>
      </w:pPr>
      <w:r w:rsidRPr="007632B6">
        <w:rPr>
          <w:color w:val="000000"/>
          <w:sz w:val="22"/>
          <w:szCs w:val="22"/>
        </w:rPr>
        <w:t xml:space="preserve">In total, over 50 good practices and experiences were shared with more than 500 participants connected from 24 countries. The topics for discussions included: </w:t>
      </w:r>
    </w:p>
    <w:p w14:paraId="21BE1E87" w14:textId="77777777" w:rsidR="000D70E4" w:rsidRPr="007632B6" w:rsidRDefault="000D70E4" w:rsidP="000D70E4">
      <w:pPr>
        <w:pStyle w:val="ListParagraph"/>
        <w:contextualSpacing/>
        <w:jc w:val="both"/>
        <w:rPr>
          <w:color w:val="000000"/>
          <w:sz w:val="22"/>
          <w:szCs w:val="22"/>
        </w:rPr>
      </w:pPr>
    </w:p>
    <w:p w14:paraId="15A5EBE6" w14:textId="77777777" w:rsidR="000D70E4" w:rsidRPr="007632B6" w:rsidRDefault="000D70E4" w:rsidP="000D70E4">
      <w:pPr>
        <w:pStyle w:val="ListParagraph"/>
        <w:tabs>
          <w:tab w:val="left" w:pos="2160"/>
        </w:tabs>
        <w:ind w:left="2160" w:hanging="720"/>
        <w:contextualSpacing/>
        <w:jc w:val="both"/>
        <w:rPr>
          <w:color w:val="000000"/>
          <w:sz w:val="22"/>
          <w:szCs w:val="22"/>
        </w:rPr>
      </w:pPr>
      <w:r w:rsidRPr="007632B6">
        <w:rPr>
          <w:color w:val="000000"/>
          <w:sz w:val="22"/>
          <w:szCs w:val="22"/>
        </w:rPr>
        <w:t>a)</w:t>
      </w:r>
      <w:r w:rsidRPr="007632B6">
        <w:rPr>
          <w:color w:val="000000"/>
          <w:sz w:val="22"/>
          <w:szCs w:val="22"/>
        </w:rPr>
        <w:tab/>
        <w:t>Innovation and Entrepreneurship in the Americas (April 22, 2021)</w:t>
      </w:r>
    </w:p>
    <w:p w14:paraId="19579BA4" w14:textId="77777777" w:rsidR="000D70E4" w:rsidRPr="007632B6" w:rsidRDefault="000D70E4" w:rsidP="000D70E4">
      <w:pPr>
        <w:pStyle w:val="ListParagraph"/>
        <w:tabs>
          <w:tab w:val="left" w:pos="2160"/>
        </w:tabs>
        <w:ind w:left="2160" w:hanging="720"/>
        <w:contextualSpacing/>
        <w:jc w:val="both"/>
        <w:rPr>
          <w:color w:val="000000"/>
          <w:sz w:val="22"/>
          <w:szCs w:val="22"/>
        </w:rPr>
      </w:pPr>
      <w:r w:rsidRPr="007632B6">
        <w:rPr>
          <w:color w:val="000000"/>
          <w:sz w:val="22"/>
          <w:szCs w:val="22"/>
        </w:rPr>
        <w:t>b)</w:t>
      </w:r>
      <w:r w:rsidRPr="007632B6">
        <w:rPr>
          <w:color w:val="000000"/>
          <w:sz w:val="22"/>
          <w:szCs w:val="22"/>
        </w:rPr>
        <w:tab/>
        <w:t>Policies of Artificial intelligence in the Americas (April 29, 2021)</w:t>
      </w:r>
    </w:p>
    <w:p w14:paraId="50FAA830" w14:textId="77777777" w:rsidR="000D70E4" w:rsidRPr="007632B6" w:rsidRDefault="000D70E4" w:rsidP="000D70E4">
      <w:pPr>
        <w:pStyle w:val="ListParagraph"/>
        <w:tabs>
          <w:tab w:val="left" w:pos="2160"/>
        </w:tabs>
        <w:ind w:left="2160" w:hanging="720"/>
        <w:contextualSpacing/>
        <w:jc w:val="both"/>
        <w:rPr>
          <w:color w:val="000000"/>
          <w:sz w:val="22"/>
          <w:szCs w:val="22"/>
        </w:rPr>
      </w:pPr>
      <w:r w:rsidRPr="007632B6">
        <w:rPr>
          <w:color w:val="000000"/>
          <w:sz w:val="22"/>
          <w:szCs w:val="22"/>
        </w:rPr>
        <w:t>c)</w:t>
      </w:r>
      <w:r w:rsidRPr="007632B6">
        <w:rPr>
          <w:color w:val="000000"/>
          <w:sz w:val="22"/>
          <w:szCs w:val="22"/>
        </w:rPr>
        <w:tab/>
        <w:t>Inclusive Innovation and Women in STEM (May 6, 2021)</w:t>
      </w:r>
    </w:p>
    <w:p w14:paraId="3B130976" w14:textId="77777777" w:rsidR="000D70E4" w:rsidRPr="007632B6" w:rsidRDefault="000D70E4" w:rsidP="000D70E4">
      <w:pPr>
        <w:pStyle w:val="ListParagraph"/>
        <w:tabs>
          <w:tab w:val="left" w:pos="2160"/>
        </w:tabs>
        <w:ind w:left="2160" w:hanging="720"/>
        <w:contextualSpacing/>
        <w:jc w:val="both"/>
        <w:rPr>
          <w:color w:val="000000"/>
          <w:sz w:val="22"/>
          <w:szCs w:val="22"/>
        </w:rPr>
      </w:pPr>
      <w:r w:rsidRPr="007632B6">
        <w:rPr>
          <w:color w:val="000000"/>
          <w:sz w:val="22"/>
          <w:szCs w:val="22"/>
        </w:rPr>
        <w:t>d)</w:t>
      </w:r>
      <w:r w:rsidRPr="007632B6">
        <w:rPr>
          <w:color w:val="000000"/>
          <w:sz w:val="22"/>
          <w:szCs w:val="22"/>
        </w:rPr>
        <w:tab/>
        <w:t>Impact Engineering (May 20, 2021)</w:t>
      </w:r>
    </w:p>
    <w:p w14:paraId="645ECD68" w14:textId="77777777" w:rsidR="000D70E4" w:rsidRPr="007632B6" w:rsidRDefault="000D70E4" w:rsidP="000D70E4">
      <w:pPr>
        <w:pStyle w:val="ListParagraph"/>
        <w:tabs>
          <w:tab w:val="left" w:pos="2160"/>
        </w:tabs>
        <w:ind w:left="2160" w:hanging="720"/>
        <w:contextualSpacing/>
        <w:jc w:val="both"/>
        <w:rPr>
          <w:color w:val="000000"/>
          <w:sz w:val="22"/>
          <w:szCs w:val="22"/>
        </w:rPr>
      </w:pPr>
      <w:r w:rsidRPr="007632B6">
        <w:rPr>
          <w:color w:val="000000"/>
          <w:sz w:val="22"/>
          <w:szCs w:val="22"/>
        </w:rPr>
        <w:t>e)</w:t>
      </w:r>
      <w:r w:rsidRPr="007632B6">
        <w:rPr>
          <w:color w:val="000000"/>
          <w:sz w:val="22"/>
          <w:szCs w:val="22"/>
        </w:rPr>
        <w:tab/>
        <w:t>National Quality Infrastructure as a Pillar for Sustainable Development (May 27, 2021)</w:t>
      </w:r>
    </w:p>
    <w:p w14:paraId="23FAEAF2" w14:textId="77777777" w:rsidR="000D70E4" w:rsidRPr="007632B6" w:rsidRDefault="000D70E4" w:rsidP="000D70E4">
      <w:pPr>
        <w:pStyle w:val="ListParagraph"/>
        <w:tabs>
          <w:tab w:val="left" w:pos="2160"/>
        </w:tabs>
        <w:ind w:left="2160" w:hanging="720"/>
        <w:contextualSpacing/>
        <w:jc w:val="both"/>
        <w:rPr>
          <w:color w:val="000000"/>
          <w:sz w:val="22"/>
          <w:szCs w:val="22"/>
        </w:rPr>
      </w:pPr>
      <w:r w:rsidRPr="007632B6">
        <w:rPr>
          <w:color w:val="000000"/>
          <w:sz w:val="22"/>
          <w:szCs w:val="22"/>
        </w:rPr>
        <w:t>f)</w:t>
      </w:r>
      <w:r w:rsidRPr="007632B6">
        <w:rPr>
          <w:color w:val="000000"/>
          <w:sz w:val="22"/>
          <w:szCs w:val="22"/>
        </w:rPr>
        <w:tab/>
        <w:t>Bioeconomy: Sharing of Good Practices and Priorities</w:t>
      </w:r>
      <w:bookmarkEnd w:id="6"/>
      <w:r w:rsidRPr="007632B6">
        <w:rPr>
          <w:color w:val="000000"/>
          <w:sz w:val="22"/>
          <w:szCs w:val="22"/>
        </w:rPr>
        <w:t xml:space="preserve"> (June 3, 2021)</w:t>
      </w:r>
    </w:p>
    <w:p w14:paraId="6C14096C" w14:textId="77777777" w:rsidR="000D70E4" w:rsidRPr="007632B6" w:rsidRDefault="000D70E4" w:rsidP="000D70E4">
      <w:pPr>
        <w:tabs>
          <w:tab w:val="left" w:pos="1440"/>
        </w:tabs>
        <w:jc w:val="both"/>
        <w:rPr>
          <w:sz w:val="22"/>
          <w:szCs w:val="22"/>
        </w:rPr>
      </w:pPr>
    </w:p>
    <w:p w14:paraId="57BA6753" w14:textId="77777777" w:rsidR="000D70E4" w:rsidRPr="007632B6" w:rsidRDefault="000D70E4" w:rsidP="000D70E4">
      <w:pPr>
        <w:pStyle w:val="ListParagraph"/>
        <w:numPr>
          <w:ilvl w:val="0"/>
          <w:numId w:val="11"/>
        </w:numPr>
        <w:tabs>
          <w:tab w:val="left" w:pos="1440"/>
        </w:tabs>
        <w:ind w:left="1440" w:hanging="720"/>
        <w:jc w:val="both"/>
        <w:rPr>
          <w:b/>
          <w:bCs/>
          <w:color w:val="171717"/>
          <w:sz w:val="22"/>
          <w:szCs w:val="22"/>
          <w:u w:val="single"/>
        </w:rPr>
      </w:pPr>
      <w:r w:rsidRPr="007632B6">
        <w:rPr>
          <w:b/>
          <w:bCs/>
          <w:color w:val="171717"/>
          <w:sz w:val="22"/>
          <w:szCs w:val="22"/>
          <w:u w:val="single"/>
        </w:rPr>
        <w:t>COMCYT Working Groups</w:t>
      </w:r>
    </w:p>
    <w:p w14:paraId="251AB4FE" w14:textId="77777777" w:rsidR="000D70E4" w:rsidRPr="007632B6" w:rsidRDefault="000D70E4" w:rsidP="000D70E4">
      <w:pPr>
        <w:tabs>
          <w:tab w:val="left" w:pos="1440"/>
        </w:tabs>
        <w:ind w:left="720"/>
        <w:jc w:val="both"/>
        <w:rPr>
          <w:color w:val="171717"/>
          <w:sz w:val="22"/>
          <w:szCs w:val="22"/>
        </w:rPr>
      </w:pPr>
    </w:p>
    <w:p w14:paraId="0C9E45F3" w14:textId="77777777" w:rsidR="000D70E4" w:rsidRPr="007632B6" w:rsidRDefault="000D70E4" w:rsidP="000D70E4">
      <w:pPr>
        <w:tabs>
          <w:tab w:val="left" w:pos="1440"/>
        </w:tabs>
        <w:ind w:left="720"/>
        <w:jc w:val="both"/>
        <w:rPr>
          <w:color w:val="171717"/>
          <w:sz w:val="22"/>
          <w:szCs w:val="22"/>
        </w:rPr>
      </w:pPr>
      <w:r>
        <w:rPr>
          <w:color w:val="171717"/>
          <w:sz w:val="22"/>
          <w:szCs w:val="22"/>
        </w:rPr>
        <w:tab/>
      </w:r>
      <w:r w:rsidRPr="007632B6">
        <w:rPr>
          <w:color w:val="171717"/>
          <w:sz w:val="22"/>
          <w:szCs w:val="22"/>
        </w:rPr>
        <w:t xml:space="preserve">Since 2018 over 45 videoconferences, webinars, </w:t>
      </w:r>
      <w:proofErr w:type="gramStart"/>
      <w:r w:rsidRPr="007632B6">
        <w:rPr>
          <w:color w:val="171717"/>
          <w:sz w:val="22"/>
          <w:szCs w:val="22"/>
        </w:rPr>
        <w:t>roundtables</w:t>
      </w:r>
      <w:proofErr w:type="gramEnd"/>
      <w:r w:rsidRPr="007632B6">
        <w:rPr>
          <w:color w:val="171717"/>
          <w:sz w:val="22"/>
          <w:szCs w:val="22"/>
        </w:rPr>
        <w:t xml:space="preserve"> and training sessions of the four (4) Working Groups have been held, contributing to the exchange of experiences between COMCYT members and strategic partners as well as professionals in the region.</w:t>
      </w:r>
    </w:p>
    <w:p w14:paraId="2EEE2E4E" w14:textId="77777777" w:rsidR="000D70E4" w:rsidRPr="007632B6" w:rsidRDefault="000D70E4" w:rsidP="000D70E4">
      <w:pPr>
        <w:tabs>
          <w:tab w:val="left" w:pos="1440"/>
        </w:tabs>
        <w:ind w:left="720"/>
        <w:jc w:val="both"/>
        <w:rPr>
          <w:color w:val="171717"/>
          <w:sz w:val="22"/>
          <w:szCs w:val="22"/>
        </w:rPr>
      </w:pPr>
    </w:p>
    <w:p w14:paraId="02733491" w14:textId="77777777" w:rsidR="000D70E4" w:rsidRPr="007632B6" w:rsidRDefault="000D70E4" w:rsidP="000D70E4">
      <w:pPr>
        <w:pStyle w:val="ListParagraph"/>
        <w:numPr>
          <w:ilvl w:val="0"/>
          <w:numId w:val="13"/>
        </w:numPr>
        <w:tabs>
          <w:tab w:val="left" w:pos="810"/>
          <w:tab w:val="left" w:pos="1440"/>
        </w:tabs>
        <w:ind w:left="2160" w:hanging="720"/>
        <w:jc w:val="both"/>
        <w:rPr>
          <w:color w:val="171717"/>
          <w:sz w:val="22"/>
          <w:szCs w:val="22"/>
          <w:u w:val="single"/>
        </w:rPr>
      </w:pPr>
      <w:r w:rsidRPr="007632B6">
        <w:rPr>
          <w:color w:val="171717"/>
          <w:sz w:val="22"/>
          <w:szCs w:val="22"/>
          <w:u w:val="single"/>
        </w:rPr>
        <w:t>Working Group 1 on Innovation</w:t>
      </w:r>
    </w:p>
    <w:p w14:paraId="18B44411" w14:textId="77777777" w:rsidR="000D70E4" w:rsidRPr="007632B6" w:rsidRDefault="000D70E4" w:rsidP="000D70E4">
      <w:pPr>
        <w:pStyle w:val="ListParagraph"/>
        <w:tabs>
          <w:tab w:val="left" w:pos="1440"/>
        </w:tabs>
        <w:ind w:left="1080"/>
        <w:jc w:val="both"/>
        <w:rPr>
          <w:color w:val="171717"/>
          <w:sz w:val="22"/>
          <w:szCs w:val="22"/>
        </w:rPr>
      </w:pPr>
    </w:p>
    <w:p w14:paraId="56A40C28" w14:textId="2FE1D673" w:rsidR="000D70E4" w:rsidRPr="007632B6" w:rsidRDefault="001E6B0B" w:rsidP="000D70E4">
      <w:pPr>
        <w:tabs>
          <w:tab w:val="left" w:pos="1440"/>
        </w:tabs>
        <w:ind w:left="1440"/>
        <w:contextualSpacing/>
        <w:jc w:val="both"/>
        <w:rPr>
          <w:sz w:val="22"/>
          <w:szCs w:val="22"/>
        </w:rPr>
      </w:pPr>
      <w:r>
        <w:rPr>
          <w:sz w:val="22"/>
          <w:szCs w:val="22"/>
        </w:rPr>
        <w:tab/>
      </w:r>
      <w:r w:rsidR="000D70E4" w:rsidRPr="007632B6">
        <w:rPr>
          <w:sz w:val="22"/>
          <w:szCs w:val="22"/>
        </w:rPr>
        <w:t xml:space="preserve">Under working Group 1, COMCYT members and strategic partners exchanged good practices on innovation and R&amp;D in a variety of sectors including transportation, energy, agriculture, and health. Some of the prime topics for discussion included the use and applications of advanced manufacturing, 3D printing, robotics, big data, A.I, machine learning </w:t>
      </w:r>
      <w:proofErr w:type="gramStart"/>
      <w:r w:rsidR="000D70E4" w:rsidRPr="007632B6">
        <w:rPr>
          <w:sz w:val="22"/>
          <w:szCs w:val="22"/>
        </w:rPr>
        <w:t>and  blockchain</w:t>
      </w:r>
      <w:proofErr w:type="gramEnd"/>
      <w:r w:rsidR="000D70E4" w:rsidRPr="007632B6">
        <w:rPr>
          <w:sz w:val="22"/>
          <w:szCs w:val="22"/>
        </w:rPr>
        <w:t xml:space="preserve">, among other. Special sessions on </w:t>
      </w:r>
      <w:r w:rsidR="000D70E4" w:rsidRPr="00357C04">
        <w:rPr>
          <w:b/>
          <w:bCs/>
          <w:sz w:val="22"/>
          <w:szCs w:val="22"/>
        </w:rPr>
        <w:t>financing innovation</w:t>
      </w:r>
      <w:r w:rsidR="000D70E4" w:rsidRPr="007632B6">
        <w:rPr>
          <w:sz w:val="22"/>
          <w:szCs w:val="22"/>
        </w:rPr>
        <w:t xml:space="preserve"> were also held in the framework of Peru’s Innovation Week on June 21, </w:t>
      </w:r>
      <w:proofErr w:type="gramStart"/>
      <w:r w:rsidR="000D70E4" w:rsidRPr="007632B6">
        <w:rPr>
          <w:sz w:val="22"/>
          <w:szCs w:val="22"/>
        </w:rPr>
        <w:t>2021</w:t>
      </w:r>
      <w:proofErr w:type="gramEnd"/>
      <w:r w:rsidR="000D70E4" w:rsidRPr="007632B6">
        <w:rPr>
          <w:sz w:val="22"/>
          <w:szCs w:val="22"/>
        </w:rPr>
        <w:t xml:space="preserve"> as well as in the framework of the Inter-American Council for Integral Development (CIDI) on November 30, 2021.</w:t>
      </w:r>
    </w:p>
    <w:p w14:paraId="6E732C0D" w14:textId="77777777" w:rsidR="000D70E4" w:rsidRPr="007632B6" w:rsidRDefault="000D70E4" w:rsidP="000D70E4">
      <w:pPr>
        <w:contextualSpacing/>
        <w:jc w:val="both"/>
        <w:rPr>
          <w:sz w:val="22"/>
          <w:szCs w:val="22"/>
        </w:rPr>
      </w:pPr>
    </w:p>
    <w:p w14:paraId="536DE08A" w14:textId="77777777" w:rsidR="000D70E4" w:rsidRPr="007632B6" w:rsidRDefault="000D70E4" w:rsidP="000D70E4">
      <w:pPr>
        <w:pStyle w:val="ListParagraph"/>
        <w:numPr>
          <w:ilvl w:val="0"/>
          <w:numId w:val="13"/>
        </w:numPr>
        <w:ind w:left="2160" w:hanging="720"/>
        <w:contextualSpacing/>
        <w:jc w:val="both"/>
        <w:rPr>
          <w:sz w:val="22"/>
          <w:szCs w:val="22"/>
          <w:u w:val="single"/>
        </w:rPr>
      </w:pPr>
      <w:r w:rsidRPr="007632B6">
        <w:rPr>
          <w:sz w:val="22"/>
          <w:szCs w:val="22"/>
          <w:u w:val="single"/>
        </w:rPr>
        <w:t xml:space="preserve">Working Group 2 on Education in Engineering </w:t>
      </w:r>
    </w:p>
    <w:p w14:paraId="394BE4AD" w14:textId="77777777" w:rsidR="000D70E4" w:rsidRPr="00357C04" w:rsidRDefault="000D70E4" w:rsidP="000D70E4">
      <w:pPr>
        <w:contextualSpacing/>
        <w:jc w:val="both"/>
        <w:rPr>
          <w:sz w:val="22"/>
          <w:szCs w:val="22"/>
        </w:rPr>
      </w:pPr>
    </w:p>
    <w:p w14:paraId="2F9092D2" w14:textId="05ECBB32" w:rsidR="000D70E4" w:rsidRPr="007632B6" w:rsidRDefault="001E6B0B" w:rsidP="000D70E4">
      <w:pPr>
        <w:pStyle w:val="ListParagraph"/>
        <w:tabs>
          <w:tab w:val="left" w:pos="1440"/>
        </w:tabs>
        <w:ind w:left="1440"/>
        <w:contextualSpacing/>
        <w:jc w:val="both"/>
        <w:rPr>
          <w:sz w:val="22"/>
          <w:szCs w:val="22"/>
        </w:rPr>
      </w:pPr>
      <w:r>
        <w:rPr>
          <w:sz w:val="22"/>
          <w:szCs w:val="22"/>
        </w:rPr>
        <w:tab/>
      </w:r>
      <w:r w:rsidR="000D70E4" w:rsidRPr="007632B6">
        <w:rPr>
          <w:sz w:val="22"/>
          <w:szCs w:val="22"/>
        </w:rPr>
        <w:t xml:space="preserve">Within the framework of the activities of Working Group 2 in Engineering Education, the COMCYT Technical Secretariat actively participated and presented in four regional forums for dialogue on engineering education, namely: a) The Annual Conference of the Latin American and Caribbean Consortium of Engineering Institutions (LACCEI) and the Summit of “Engineering for the Americas” (Lima, Peru, in June 2018; Montego Bay, Jamaica, in July 2019; Buenos Aires, Argentina (virtual) in July 2020 and July 2021); b) the General Assembly of the Pan American Federation of Engineering Societies (UPADI) held in Cartagena, Colombia in October 2018 and Santa Cruz, Bolivia in 2019); c) the World Engineering Education Forum (WEEF) held in Albuquerque, New Mexico in November 2018 and in virtual formats in 2020 and 2021); and d) the ACOFI International Engineering Education Meeting held in Cartagena, Colombia in September 2019 and September 2021. These annual meetings allowed for the exchange of good </w:t>
      </w:r>
      <w:r w:rsidR="000D70E4" w:rsidRPr="007632B6">
        <w:rPr>
          <w:sz w:val="22"/>
          <w:szCs w:val="22"/>
        </w:rPr>
        <w:lastRenderedPageBreak/>
        <w:t xml:space="preserve">practices, networking opportunities and training in the field of engineering education for more than 9000 professionals and engineering students of the Americas. </w:t>
      </w:r>
    </w:p>
    <w:p w14:paraId="585D5130" w14:textId="77777777" w:rsidR="000D70E4" w:rsidRPr="007632B6" w:rsidRDefault="000D70E4" w:rsidP="000D70E4">
      <w:pPr>
        <w:pStyle w:val="ListParagraph"/>
        <w:tabs>
          <w:tab w:val="left" w:pos="540"/>
        </w:tabs>
        <w:ind w:left="0"/>
        <w:contextualSpacing/>
        <w:jc w:val="both"/>
        <w:rPr>
          <w:sz w:val="22"/>
          <w:szCs w:val="22"/>
        </w:rPr>
      </w:pPr>
    </w:p>
    <w:p w14:paraId="0F00828C" w14:textId="77777777" w:rsidR="000D70E4" w:rsidRPr="007632B6" w:rsidRDefault="000D70E4" w:rsidP="000D70E4">
      <w:pPr>
        <w:pStyle w:val="ListParagraph"/>
        <w:numPr>
          <w:ilvl w:val="0"/>
          <w:numId w:val="13"/>
        </w:numPr>
        <w:tabs>
          <w:tab w:val="left" w:pos="2160"/>
        </w:tabs>
        <w:ind w:left="2160" w:hanging="720"/>
        <w:jc w:val="both"/>
        <w:rPr>
          <w:sz w:val="22"/>
          <w:szCs w:val="22"/>
          <w:u w:val="single"/>
        </w:rPr>
      </w:pPr>
      <w:r w:rsidRPr="007632B6">
        <w:rPr>
          <w:sz w:val="22"/>
          <w:szCs w:val="22"/>
          <w:u w:val="single"/>
        </w:rPr>
        <w:t xml:space="preserve">Working Group 3 on National Quality Infrastructure </w:t>
      </w:r>
    </w:p>
    <w:p w14:paraId="219CDBC0" w14:textId="77777777" w:rsidR="000D70E4" w:rsidRPr="001E6B0B" w:rsidRDefault="000D70E4" w:rsidP="001E6B0B">
      <w:pPr>
        <w:tabs>
          <w:tab w:val="left" w:pos="540"/>
        </w:tabs>
        <w:jc w:val="both"/>
        <w:rPr>
          <w:sz w:val="22"/>
          <w:szCs w:val="22"/>
        </w:rPr>
      </w:pPr>
    </w:p>
    <w:p w14:paraId="19A712A5" w14:textId="44149883" w:rsidR="000D70E4" w:rsidRPr="007632B6" w:rsidRDefault="001E6B0B" w:rsidP="000D70E4">
      <w:pPr>
        <w:tabs>
          <w:tab w:val="left" w:pos="1440"/>
        </w:tabs>
        <w:ind w:left="1440"/>
        <w:jc w:val="both"/>
        <w:rPr>
          <w:sz w:val="22"/>
          <w:szCs w:val="22"/>
        </w:rPr>
      </w:pPr>
      <w:r>
        <w:rPr>
          <w:sz w:val="22"/>
          <w:szCs w:val="22"/>
        </w:rPr>
        <w:tab/>
      </w:r>
      <w:r w:rsidR="000D70E4" w:rsidRPr="007632B6">
        <w:rPr>
          <w:sz w:val="22"/>
          <w:szCs w:val="22"/>
        </w:rPr>
        <w:t xml:space="preserve">Under Working Group 3, the COMCYT Technical Secretariat participated in the General Assembly of the Inter-American Metrology System (SIM) held on September 28, </w:t>
      </w:r>
      <w:proofErr w:type="gramStart"/>
      <w:r w:rsidR="000D70E4" w:rsidRPr="007632B6">
        <w:rPr>
          <w:sz w:val="22"/>
          <w:szCs w:val="22"/>
        </w:rPr>
        <w:t>2018</w:t>
      </w:r>
      <w:proofErr w:type="gramEnd"/>
      <w:r w:rsidR="000D70E4" w:rsidRPr="007632B6">
        <w:rPr>
          <w:sz w:val="22"/>
          <w:szCs w:val="22"/>
        </w:rPr>
        <w:t xml:space="preserve"> at the National Institute of Standards and Technology (NIST) in Gaithersburg, Maryland, as well as virtually on November 20, 2020 and November 12, 2021. The Technical Secretariat presented a progress report on the activities carried out </w:t>
      </w:r>
      <w:proofErr w:type="gramStart"/>
      <w:r w:rsidR="000D70E4" w:rsidRPr="007632B6">
        <w:rPr>
          <w:sz w:val="22"/>
          <w:szCs w:val="22"/>
        </w:rPr>
        <w:t>in the area of</w:t>
      </w:r>
      <w:proofErr w:type="gramEnd"/>
      <w:r w:rsidR="000D70E4" w:rsidRPr="007632B6">
        <w:rPr>
          <w:sz w:val="22"/>
          <w:szCs w:val="22"/>
        </w:rPr>
        <w:t xml:space="preserve"> National Quality Infrastructure, including the participation of CENAMEP Panamá in representation of the SIM in the 9</w:t>
      </w:r>
      <w:r w:rsidR="000D70E4" w:rsidRPr="007632B6">
        <w:rPr>
          <w:sz w:val="22"/>
          <w:szCs w:val="22"/>
          <w:vertAlign w:val="superscript"/>
        </w:rPr>
        <w:t>th</w:t>
      </w:r>
      <w:r w:rsidR="000D70E4" w:rsidRPr="007632B6">
        <w:rPr>
          <w:sz w:val="22"/>
          <w:szCs w:val="22"/>
        </w:rPr>
        <w:t xml:space="preserve"> Edition of the Americas Competitiveness Exchange (ACE) of the Inter-American </w:t>
      </w:r>
      <w:r w:rsidRPr="007632B6">
        <w:rPr>
          <w:sz w:val="22"/>
          <w:szCs w:val="22"/>
        </w:rPr>
        <w:t>Competitiveness</w:t>
      </w:r>
      <w:r w:rsidR="000D70E4" w:rsidRPr="007632B6">
        <w:rPr>
          <w:sz w:val="22"/>
          <w:szCs w:val="22"/>
        </w:rPr>
        <w:t xml:space="preserve"> Network (RIAC); as well as the exchange of good practices on NQI as part of the COMCYT dialogues, which highlighted the work from our partners in Uruguay, Jamaica and Saint Lucia.</w:t>
      </w:r>
    </w:p>
    <w:p w14:paraId="3982F8C4" w14:textId="77777777" w:rsidR="000D70E4" w:rsidRPr="007632B6" w:rsidRDefault="000D70E4" w:rsidP="000D70E4">
      <w:pPr>
        <w:tabs>
          <w:tab w:val="left" w:pos="540"/>
        </w:tabs>
        <w:jc w:val="both"/>
        <w:rPr>
          <w:sz w:val="22"/>
          <w:szCs w:val="22"/>
        </w:rPr>
      </w:pPr>
    </w:p>
    <w:p w14:paraId="708E5336" w14:textId="72B5166F" w:rsidR="000D70E4" w:rsidRPr="007632B6" w:rsidRDefault="001E6B0B" w:rsidP="000D70E4">
      <w:pPr>
        <w:tabs>
          <w:tab w:val="left" w:pos="1440"/>
        </w:tabs>
        <w:ind w:left="1440"/>
        <w:jc w:val="both"/>
        <w:rPr>
          <w:sz w:val="22"/>
          <w:szCs w:val="22"/>
        </w:rPr>
      </w:pPr>
      <w:r>
        <w:rPr>
          <w:sz w:val="22"/>
          <w:szCs w:val="22"/>
        </w:rPr>
        <w:tab/>
      </w:r>
      <w:r w:rsidR="000D70E4" w:rsidRPr="007632B6">
        <w:rPr>
          <w:sz w:val="22"/>
          <w:szCs w:val="22"/>
        </w:rPr>
        <w:t xml:space="preserve">Also under Working Group 3, an extension of the Agreement between the OAS and the German Government through its National Metrology Institute (PTB) was signed, to provide 2+ million euros in technical assistance to the National Metrology Offices of OAS member states for multilateral projects related to Biodiversity and Circular Economy. </w:t>
      </w:r>
    </w:p>
    <w:p w14:paraId="1F1B40EB" w14:textId="77777777" w:rsidR="000D70E4" w:rsidRPr="007632B6" w:rsidRDefault="000D70E4" w:rsidP="000D70E4">
      <w:pPr>
        <w:tabs>
          <w:tab w:val="left" w:pos="540"/>
        </w:tabs>
        <w:jc w:val="both"/>
        <w:rPr>
          <w:sz w:val="22"/>
          <w:szCs w:val="22"/>
        </w:rPr>
      </w:pPr>
    </w:p>
    <w:p w14:paraId="73964C69" w14:textId="77777777" w:rsidR="000D70E4" w:rsidRPr="007632B6" w:rsidRDefault="000D70E4" w:rsidP="000D70E4">
      <w:pPr>
        <w:pStyle w:val="ListParagraph"/>
        <w:numPr>
          <w:ilvl w:val="0"/>
          <w:numId w:val="13"/>
        </w:numPr>
        <w:tabs>
          <w:tab w:val="left" w:pos="1440"/>
        </w:tabs>
        <w:ind w:left="1440" w:firstLine="0"/>
        <w:jc w:val="both"/>
        <w:rPr>
          <w:sz w:val="22"/>
          <w:szCs w:val="22"/>
          <w:u w:val="single"/>
        </w:rPr>
      </w:pPr>
      <w:r w:rsidRPr="007632B6">
        <w:rPr>
          <w:sz w:val="22"/>
          <w:szCs w:val="22"/>
          <w:u w:val="single"/>
        </w:rPr>
        <w:t xml:space="preserve">Working Group 4 on Technological Development </w:t>
      </w:r>
    </w:p>
    <w:p w14:paraId="67FE5E90" w14:textId="77777777" w:rsidR="000D70E4" w:rsidRPr="007632B6" w:rsidRDefault="000D70E4" w:rsidP="000D70E4">
      <w:pPr>
        <w:tabs>
          <w:tab w:val="left" w:pos="540"/>
        </w:tabs>
        <w:ind w:left="540" w:hanging="270"/>
        <w:jc w:val="both"/>
        <w:rPr>
          <w:sz w:val="22"/>
          <w:szCs w:val="22"/>
        </w:rPr>
      </w:pPr>
    </w:p>
    <w:p w14:paraId="247EB56C" w14:textId="55988DC7" w:rsidR="000D70E4" w:rsidRPr="007632B6" w:rsidRDefault="001E6B0B" w:rsidP="000D70E4">
      <w:pPr>
        <w:tabs>
          <w:tab w:val="left" w:pos="540"/>
        </w:tabs>
        <w:ind w:left="1440"/>
        <w:jc w:val="both"/>
        <w:rPr>
          <w:sz w:val="22"/>
          <w:szCs w:val="22"/>
        </w:rPr>
      </w:pPr>
      <w:r>
        <w:rPr>
          <w:sz w:val="22"/>
          <w:szCs w:val="22"/>
        </w:rPr>
        <w:tab/>
      </w:r>
      <w:r w:rsidR="000D70E4" w:rsidRPr="007632B6">
        <w:rPr>
          <w:sz w:val="22"/>
          <w:szCs w:val="22"/>
        </w:rPr>
        <w:t>Under Working Group 4 of the COMCYT, four editions of the program “HUB on Technology Transfer and Commercialization for the Americas” were held:</w:t>
      </w:r>
    </w:p>
    <w:p w14:paraId="2C02B46C" w14:textId="77777777" w:rsidR="000D70E4" w:rsidRPr="007632B6" w:rsidRDefault="000D70E4" w:rsidP="000D70E4">
      <w:pPr>
        <w:tabs>
          <w:tab w:val="left" w:pos="540"/>
        </w:tabs>
        <w:ind w:left="1440"/>
        <w:jc w:val="both"/>
        <w:rPr>
          <w:sz w:val="22"/>
          <w:szCs w:val="22"/>
        </w:rPr>
      </w:pPr>
    </w:p>
    <w:p w14:paraId="7ED051F2" w14:textId="77777777" w:rsidR="000D70E4" w:rsidRPr="007632B6" w:rsidRDefault="000D70E4" w:rsidP="000D70E4">
      <w:pPr>
        <w:pStyle w:val="ListParagraph"/>
        <w:numPr>
          <w:ilvl w:val="0"/>
          <w:numId w:val="14"/>
        </w:numPr>
        <w:tabs>
          <w:tab w:val="left" w:pos="540"/>
        </w:tabs>
        <w:ind w:left="1440" w:firstLine="720"/>
        <w:jc w:val="both"/>
        <w:rPr>
          <w:sz w:val="22"/>
          <w:szCs w:val="22"/>
        </w:rPr>
      </w:pPr>
      <w:r>
        <w:rPr>
          <w:sz w:val="22"/>
          <w:szCs w:val="22"/>
        </w:rPr>
        <w:t>S</w:t>
      </w:r>
      <w:r w:rsidRPr="007632B6">
        <w:rPr>
          <w:sz w:val="22"/>
          <w:szCs w:val="22"/>
        </w:rPr>
        <w:t>antiago, Chile from August 27 to September 7, 2018</w:t>
      </w:r>
    </w:p>
    <w:p w14:paraId="18E4B265" w14:textId="77777777" w:rsidR="000D70E4" w:rsidRPr="007632B6" w:rsidRDefault="000D70E4" w:rsidP="000D70E4">
      <w:pPr>
        <w:pStyle w:val="ListParagraph"/>
        <w:numPr>
          <w:ilvl w:val="0"/>
          <w:numId w:val="14"/>
        </w:numPr>
        <w:tabs>
          <w:tab w:val="left" w:pos="540"/>
        </w:tabs>
        <w:ind w:left="1440" w:firstLine="720"/>
        <w:jc w:val="both"/>
        <w:rPr>
          <w:sz w:val="22"/>
          <w:szCs w:val="22"/>
        </w:rPr>
      </w:pPr>
      <w:r w:rsidRPr="007632B6">
        <w:rPr>
          <w:sz w:val="22"/>
          <w:szCs w:val="22"/>
        </w:rPr>
        <w:t>Panama City, Panama from May 6 to 11, 2019</w:t>
      </w:r>
    </w:p>
    <w:p w14:paraId="189C7B60" w14:textId="77777777" w:rsidR="000D70E4" w:rsidRPr="007632B6" w:rsidRDefault="000D70E4" w:rsidP="000D70E4">
      <w:pPr>
        <w:pStyle w:val="ListParagraph"/>
        <w:numPr>
          <w:ilvl w:val="0"/>
          <w:numId w:val="14"/>
        </w:numPr>
        <w:tabs>
          <w:tab w:val="left" w:pos="540"/>
        </w:tabs>
        <w:ind w:left="1440" w:firstLine="720"/>
        <w:jc w:val="both"/>
        <w:rPr>
          <w:sz w:val="22"/>
          <w:szCs w:val="22"/>
        </w:rPr>
      </w:pPr>
      <w:r w:rsidRPr="007632B6">
        <w:rPr>
          <w:sz w:val="22"/>
          <w:szCs w:val="22"/>
        </w:rPr>
        <w:t>Barranquilla, Colombia, from November 12 to 22, 2019</w:t>
      </w:r>
    </w:p>
    <w:p w14:paraId="4635CB92" w14:textId="77777777" w:rsidR="000D70E4" w:rsidRPr="007632B6" w:rsidRDefault="000D70E4" w:rsidP="000D70E4">
      <w:pPr>
        <w:pStyle w:val="ListParagraph"/>
        <w:numPr>
          <w:ilvl w:val="0"/>
          <w:numId w:val="14"/>
        </w:numPr>
        <w:tabs>
          <w:tab w:val="left" w:pos="540"/>
        </w:tabs>
        <w:ind w:left="1440" w:firstLine="720"/>
        <w:jc w:val="both"/>
        <w:rPr>
          <w:sz w:val="22"/>
          <w:szCs w:val="22"/>
        </w:rPr>
      </w:pPr>
      <w:r w:rsidRPr="007632B6">
        <w:rPr>
          <w:sz w:val="22"/>
          <w:szCs w:val="22"/>
        </w:rPr>
        <w:t>Dominica from October 5 to 9, 2020</w:t>
      </w:r>
    </w:p>
    <w:p w14:paraId="18CF74A3" w14:textId="77777777" w:rsidR="000D70E4" w:rsidRPr="007632B6" w:rsidRDefault="000D70E4" w:rsidP="000D70E4">
      <w:pPr>
        <w:tabs>
          <w:tab w:val="left" w:pos="540"/>
        </w:tabs>
        <w:ind w:left="1440"/>
        <w:jc w:val="both"/>
        <w:rPr>
          <w:sz w:val="22"/>
          <w:szCs w:val="22"/>
        </w:rPr>
      </w:pPr>
    </w:p>
    <w:p w14:paraId="69BA4776" w14:textId="5883E967" w:rsidR="000D70E4" w:rsidRPr="007632B6" w:rsidRDefault="001E6B0B" w:rsidP="000D70E4">
      <w:pPr>
        <w:tabs>
          <w:tab w:val="left" w:pos="540"/>
        </w:tabs>
        <w:ind w:left="1440"/>
        <w:jc w:val="both"/>
        <w:rPr>
          <w:sz w:val="22"/>
          <w:szCs w:val="22"/>
        </w:rPr>
      </w:pPr>
      <w:r>
        <w:rPr>
          <w:color w:val="171717"/>
          <w:sz w:val="22"/>
          <w:szCs w:val="22"/>
        </w:rPr>
        <w:tab/>
      </w:r>
      <w:r w:rsidR="000D70E4" w:rsidRPr="007632B6">
        <w:rPr>
          <w:color w:val="171717"/>
          <w:sz w:val="22"/>
          <w:szCs w:val="22"/>
        </w:rPr>
        <w:t>Between</w:t>
      </w:r>
      <w:r w:rsidR="000D70E4" w:rsidRPr="007632B6">
        <w:rPr>
          <w:sz w:val="22"/>
          <w:szCs w:val="22"/>
        </w:rPr>
        <w:t xml:space="preserve"> 2018 and 2020, the Technical Secretariat received and reviewed over 480 applications from 21 countries for the program (all editions combined) to receive training, mentoring and accelerate their technologies, solutions, </w:t>
      </w:r>
      <w:proofErr w:type="gramStart"/>
      <w:r w:rsidR="000D70E4" w:rsidRPr="007632B6">
        <w:rPr>
          <w:sz w:val="22"/>
          <w:szCs w:val="22"/>
        </w:rPr>
        <w:t>products</w:t>
      </w:r>
      <w:proofErr w:type="gramEnd"/>
      <w:r w:rsidR="000D70E4" w:rsidRPr="007632B6">
        <w:rPr>
          <w:sz w:val="22"/>
          <w:szCs w:val="22"/>
        </w:rPr>
        <w:t xml:space="preserve"> or services “from idea to market.” Today </w:t>
      </w:r>
      <w:r w:rsidR="000D70E4" w:rsidRPr="007632B6">
        <w:rPr>
          <w:color w:val="171717"/>
          <w:sz w:val="22"/>
          <w:szCs w:val="22"/>
        </w:rPr>
        <w:t>the HUB counts on a network of more than 380+ graduates from 21 countries of the Americas who regularly maintain contact, and have expressed interest in continuing to learn, collaborate and obtain mentoring opportunities and additional technology acceleration tips.</w:t>
      </w:r>
    </w:p>
    <w:p w14:paraId="2A546730" w14:textId="77777777" w:rsidR="000D70E4" w:rsidRPr="007632B6" w:rsidRDefault="000D70E4" w:rsidP="000D70E4">
      <w:pPr>
        <w:tabs>
          <w:tab w:val="left" w:pos="1440"/>
        </w:tabs>
        <w:ind w:left="1440"/>
        <w:jc w:val="both"/>
        <w:rPr>
          <w:color w:val="171717"/>
          <w:sz w:val="22"/>
          <w:szCs w:val="22"/>
        </w:rPr>
      </w:pPr>
    </w:p>
    <w:p w14:paraId="030776CE" w14:textId="6D77781F" w:rsidR="000D70E4" w:rsidRPr="007632B6" w:rsidRDefault="000D70E4" w:rsidP="001E6B0B">
      <w:pPr>
        <w:ind w:left="1440" w:firstLine="720"/>
        <w:contextualSpacing/>
        <w:jc w:val="both"/>
        <w:rPr>
          <w:color w:val="000000"/>
          <w:sz w:val="22"/>
          <w:szCs w:val="22"/>
        </w:rPr>
      </w:pPr>
      <w:r w:rsidRPr="007632B6">
        <w:rPr>
          <w:color w:val="000000"/>
          <w:sz w:val="22"/>
          <w:szCs w:val="22"/>
        </w:rPr>
        <w:t xml:space="preserve">One of the highlights of the HUB program has been its transitioning to a </w:t>
      </w:r>
      <w:r w:rsidRPr="007632B6">
        <w:rPr>
          <w:color w:val="000000"/>
          <w:sz w:val="22"/>
          <w:szCs w:val="22"/>
          <w:u w:val="single"/>
        </w:rPr>
        <w:t>virtual format</w:t>
      </w:r>
      <w:r w:rsidRPr="007632B6">
        <w:rPr>
          <w:color w:val="000000"/>
          <w:sz w:val="22"/>
          <w:szCs w:val="22"/>
        </w:rPr>
        <w:t xml:space="preserve"> in the context of the COVID-19 pandemic to support 35 entrepreneurs in Dominica and help them expand their outreach during the pandemic. </w:t>
      </w:r>
    </w:p>
    <w:p w14:paraId="21554B69" w14:textId="77777777" w:rsidR="000D70E4" w:rsidRPr="007632B6" w:rsidRDefault="000D70E4" w:rsidP="000D70E4">
      <w:pPr>
        <w:tabs>
          <w:tab w:val="left" w:pos="1440"/>
        </w:tabs>
        <w:jc w:val="both"/>
        <w:rPr>
          <w:b/>
          <w:bCs/>
          <w:color w:val="171717"/>
          <w:sz w:val="22"/>
          <w:szCs w:val="22"/>
          <w:u w:val="single"/>
        </w:rPr>
      </w:pPr>
    </w:p>
    <w:p w14:paraId="603ACB8A" w14:textId="579DF3A7" w:rsidR="000D70E4" w:rsidRPr="007632B6" w:rsidRDefault="000D70E4" w:rsidP="000D70E4">
      <w:pPr>
        <w:pStyle w:val="ListParagraph"/>
        <w:numPr>
          <w:ilvl w:val="0"/>
          <w:numId w:val="11"/>
        </w:numPr>
        <w:tabs>
          <w:tab w:val="left" w:pos="1440"/>
        </w:tabs>
        <w:ind w:left="1440" w:hanging="720"/>
        <w:jc w:val="both"/>
        <w:rPr>
          <w:b/>
          <w:bCs/>
          <w:color w:val="171717"/>
          <w:sz w:val="22"/>
          <w:szCs w:val="22"/>
          <w:u w:val="single"/>
        </w:rPr>
      </w:pPr>
      <w:r w:rsidRPr="007632B6">
        <w:rPr>
          <w:b/>
          <w:bCs/>
          <w:color w:val="171717"/>
          <w:sz w:val="22"/>
          <w:szCs w:val="22"/>
          <w:u w:val="single"/>
        </w:rPr>
        <w:t>HUB on Technology Transfer and Commercialization for the Americas and “COMUNITT” Mentoring Platform</w:t>
      </w:r>
    </w:p>
    <w:p w14:paraId="4A9F6983" w14:textId="77777777" w:rsidR="000D70E4" w:rsidRPr="007632B6" w:rsidRDefault="000D70E4" w:rsidP="000D70E4">
      <w:pPr>
        <w:tabs>
          <w:tab w:val="left" w:pos="1440"/>
        </w:tabs>
        <w:jc w:val="both"/>
        <w:rPr>
          <w:color w:val="171717"/>
          <w:sz w:val="22"/>
          <w:szCs w:val="22"/>
        </w:rPr>
      </w:pPr>
    </w:p>
    <w:p w14:paraId="609FB482" w14:textId="77777777" w:rsidR="000D70E4" w:rsidRPr="007632B6" w:rsidRDefault="000D70E4" w:rsidP="000D70E4">
      <w:pPr>
        <w:tabs>
          <w:tab w:val="left" w:pos="720"/>
        </w:tabs>
        <w:ind w:left="720"/>
        <w:jc w:val="both"/>
        <w:rPr>
          <w:color w:val="171717"/>
          <w:sz w:val="22"/>
          <w:szCs w:val="22"/>
        </w:rPr>
      </w:pPr>
      <w:r>
        <w:rPr>
          <w:color w:val="171717"/>
          <w:sz w:val="22"/>
          <w:szCs w:val="22"/>
        </w:rPr>
        <w:tab/>
      </w:r>
      <w:r w:rsidRPr="007632B6">
        <w:rPr>
          <w:color w:val="171717"/>
          <w:sz w:val="22"/>
          <w:szCs w:val="22"/>
        </w:rPr>
        <w:t xml:space="preserve">During the pandemic, the Technical Secretariat focused its effort on the development of two (2) virtual mentoring platforms to complement the HUB program – one called “COMUNITT”, </w:t>
      </w:r>
      <w:r w:rsidRPr="007632B6">
        <w:rPr>
          <w:color w:val="171717"/>
          <w:sz w:val="22"/>
          <w:szCs w:val="22"/>
        </w:rPr>
        <w:lastRenderedPageBreak/>
        <w:t xml:space="preserve">in collaboration with the University of California at Riverside and the other called “COMCYT Central” with mentors from all over the region. Together, these platforms offer forums; reference articles and other tools; training opportunities; and access to mentors for specific consultations </w:t>
      </w:r>
      <w:proofErr w:type="gramStart"/>
      <w:r w:rsidRPr="007632B6">
        <w:rPr>
          <w:color w:val="171717"/>
          <w:sz w:val="22"/>
          <w:szCs w:val="22"/>
        </w:rPr>
        <w:t>in order to</w:t>
      </w:r>
      <w:proofErr w:type="gramEnd"/>
      <w:r w:rsidRPr="007632B6">
        <w:rPr>
          <w:color w:val="171717"/>
          <w:sz w:val="22"/>
          <w:szCs w:val="22"/>
        </w:rPr>
        <w:t xml:space="preserve"> accelerate promising technologies while also contributing to the diversification of the economies of the region.</w:t>
      </w:r>
    </w:p>
    <w:p w14:paraId="69DCCAF9" w14:textId="77777777" w:rsidR="000D70E4" w:rsidRPr="007632B6" w:rsidRDefault="000D70E4" w:rsidP="000D70E4">
      <w:pPr>
        <w:tabs>
          <w:tab w:val="left" w:pos="1440"/>
        </w:tabs>
        <w:ind w:left="1440" w:hanging="720"/>
        <w:jc w:val="both"/>
        <w:rPr>
          <w:color w:val="000000"/>
          <w:sz w:val="22"/>
          <w:szCs w:val="22"/>
        </w:rPr>
      </w:pPr>
    </w:p>
    <w:p w14:paraId="566393F0" w14:textId="77777777" w:rsidR="000D70E4" w:rsidRPr="007632B6" w:rsidRDefault="000D70E4" w:rsidP="000D70E4">
      <w:pPr>
        <w:tabs>
          <w:tab w:val="left" w:pos="720"/>
        </w:tabs>
        <w:ind w:left="720"/>
        <w:jc w:val="both"/>
        <w:rPr>
          <w:color w:val="171717"/>
          <w:sz w:val="22"/>
          <w:szCs w:val="22"/>
        </w:rPr>
      </w:pPr>
      <w:r>
        <w:rPr>
          <w:color w:val="171717"/>
          <w:sz w:val="22"/>
          <w:szCs w:val="22"/>
        </w:rPr>
        <w:tab/>
      </w:r>
      <w:r w:rsidRPr="007632B6">
        <w:rPr>
          <w:color w:val="171717"/>
          <w:sz w:val="22"/>
          <w:szCs w:val="22"/>
        </w:rPr>
        <w:t xml:space="preserve">Both platforms were launched on June 21, </w:t>
      </w:r>
      <w:proofErr w:type="gramStart"/>
      <w:r w:rsidRPr="007632B6">
        <w:rPr>
          <w:color w:val="171717"/>
          <w:sz w:val="22"/>
          <w:szCs w:val="22"/>
        </w:rPr>
        <w:t>2021</w:t>
      </w:r>
      <w:proofErr w:type="gramEnd"/>
      <w:r w:rsidRPr="007632B6">
        <w:rPr>
          <w:color w:val="171717"/>
          <w:sz w:val="22"/>
          <w:szCs w:val="22"/>
        </w:rPr>
        <w:t xml:space="preserve"> in the framework of Peru’s National Innovation Week organized by the National Council of Science, Technology and Innovation of Peru (CONCYTEC). The launch counted on 45 institutions from Peru and other countries. </w:t>
      </w:r>
    </w:p>
    <w:p w14:paraId="17DFA305" w14:textId="77777777" w:rsidR="000D70E4" w:rsidRPr="007632B6" w:rsidRDefault="000D70E4" w:rsidP="000D70E4">
      <w:pPr>
        <w:tabs>
          <w:tab w:val="left" w:pos="1440"/>
        </w:tabs>
        <w:jc w:val="both"/>
        <w:rPr>
          <w:color w:val="171717"/>
          <w:sz w:val="22"/>
          <w:szCs w:val="22"/>
        </w:rPr>
      </w:pPr>
    </w:p>
    <w:p w14:paraId="41540165" w14:textId="77777777" w:rsidR="000D70E4" w:rsidRPr="007632B6" w:rsidRDefault="000D70E4" w:rsidP="000D70E4">
      <w:pPr>
        <w:pStyle w:val="ListParagraph"/>
        <w:numPr>
          <w:ilvl w:val="0"/>
          <w:numId w:val="11"/>
        </w:numPr>
        <w:tabs>
          <w:tab w:val="left" w:pos="1440"/>
        </w:tabs>
        <w:ind w:left="1440" w:hanging="720"/>
        <w:jc w:val="both"/>
        <w:rPr>
          <w:b/>
          <w:bCs/>
          <w:color w:val="171717"/>
          <w:sz w:val="22"/>
          <w:szCs w:val="22"/>
          <w:u w:val="single"/>
        </w:rPr>
      </w:pPr>
      <w:r w:rsidRPr="007632B6">
        <w:rPr>
          <w:b/>
          <w:bCs/>
          <w:color w:val="171717"/>
          <w:sz w:val="22"/>
          <w:szCs w:val="22"/>
          <w:u w:val="single"/>
        </w:rPr>
        <w:t xml:space="preserve">Exchange of Experiences on Technology Foresight: </w:t>
      </w:r>
      <w:proofErr w:type="spellStart"/>
      <w:r w:rsidRPr="007632B6">
        <w:rPr>
          <w:b/>
          <w:bCs/>
          <w:color w:val="171717"/>
          <w:sz w:val="22"/>
          <w:szCs w:val="22"/>
          <w:u w:val="single"/>
        </w:rPr>
        <w:t>Prospecta</w:t>
      </w:r>
      <w:proofErr w:type="spellEnd"/>
      <w:r w:rsidRPr="007632B6">
        <w:rPr>
          <w:b/>
          <w:bCs/>
          <w:color w:val="171717"/>
          <w:sz w:val="22"/>
          <w:szCs w:val="22"/>
          <w:u w:val="single"/>
        </w:rPr>
        <w:t xml:space="preserve"> Americas and the Network of Centers of Excellence on Transformative Technologies for the Americas</w:t>
      </w:r>
    </w:p>
    <w:p w14:paraId="4EC64DC4" w14:textId="77777777" w:rsidR="000D70E4" w:rsidRPr="007632B6" w:rsidRDefault="000D70E4" w:rsidP="000D70E4">
      <w:pPr>
        <w:tabs>
          <w:tab w:val="left" w:pos="540"/>
          <w:tab w:val="left" w:pos="1440"/>
        </w:tabs>
        <w:ind w:left="720"/>
        <w:jc w:val="both"/>
        <w:rPr>
          <w:sz w:val="22"/>
          <w:szCs w:val="22"/>
        </w:rPr>
      </w:pPr>
    </w:p>
    <w:p w14:paraId="28A23C62" w14:textId="5443017D" w:rsidR="000D70E4" w:rsidRPr="007632B6" w:rsidRDefault="000D70E4" w:rsidP="000D70E4">
      <w:pPr>
        <w:pStyle w:val="ListParagraph"/>
        <w:numPr>
          <w:ilvl w:val="0"/>
          <w:numId w:val="15"/>
        </w:numPr>
        <w:tabs>
          <w:tab w:val="left" w:pos="540"/>
          <w:tab w:val="left" w:pos="1440"/>
        </w:tabs>
        <w:ind w:left="2160" w:hanging="720"/>
        <w:jc w:val="both"/>
        <w:rPr>
          <w:sz w:val="22"/>
          <w:szCs w:val="22"/>
          <w:u w:val="single"/>
        </w:rPr>
      </w:pPr>
      <w:r w:rsidRPr="007632B6">
        <w:rPr>
          <w:sz w:val="22"/>
          <w:szCs w:val="22"/>
          <w:u w:val="single"/>
        </w:rPr>
        <w:t>International Seminars</w:t>
      </w:r>
    </w:p>
    <w:p w14:paraId="72F34FD1" w14:textId="77777777" w:rsidR="000D70E4" w:rsidRPr="007632B6" w:rsidRDefault="000D70E4" w:rsidP="000D70E4">
      <w:pPr>
        <w:pStyle w:val="ListParagraph"/>
        <w:tabs>
          <w:tab w:val="left" w:pos="540"/>
          <w:tab w:val="left" w:pos="1440"/>
        </w:tabs>
        <w:ind w:left="2160" w:hanging="720"/>
        <w:jc w:val="both"/>
        <w:rPr>
          <w:sz w:val="22"/>
          <w:szCs w:val="22"/>
        </w:rPr>
      </w:pPr>
    </w:p>
    <w:p w14:paraId="7B4A0B6B" w14:textId="4AC720D2" w:rsidR="000D70E4" w:rsidRPr="007632B6" w:rsidRDefault="001E6B0B" w:rsidP="000D70E4">
      <w:pPr>
        <w:tabs>
          <w:tab w:val="left" w:pos="540"/>
          <w:tab w:val="left" w:pos="1440"/>
        </w:tabs>
        <w:ind w:left="1440"/>
        <w:jc w:val="both"/>
        <w:rPr>
          <w:sz w:val="22"/>
          <w:szCs w:val="22"/>
        </w:rPr>
      </w:pPr>
      <w:r>
        <w:rPr>
          <w:sz w:val="22"/>
          <w:szCs w:val="22"/>
        </w:rPr>
        <w:tab/>
      </w:r>
      <w:r w:rsidR="000D70E4" w:rsidRPr="007632B6">
        <w:rPr>
          <w:sz w:val="22"/>
          <w:szCs w:val="22"/>
        </w:rPr>
        <w:t xml:space="preserve">On October 24-25, </w:t>
      </w:r>
      <w:proofErr w:type="gramStart"/>
      <w:r w:rsidR="000D70E4" w:rsidRPr="007632B6">
        <w:rPr>
          <w:sz w:val="22"/>
          <w:szCs w:val="22"/>
        </w:rPr>
        <w:t>2019</w:t>
      </w:r>
      <w:proofErr w:type="gramEnd"/>
      <w:r w:rsidR="000D70E4" w:rsidRPr="007632B6">
        <w:rPr>
          <w:sz w:val="22"/>
          <w:szCs w:val="22"/>
        </w:rPr>
        <w:t xml:space="preserve"> the city of Lima, Peru, was host of </w:t>
      </w:r>
      <w:proofErr w:type="spellStart"/>
      <w:r w:rsidR="000D70E4" w:rsidRPr="007632B6">
        <w:rPr>
          <w:sz w:val="22"/>
          <w:szCs w:val="22"/>
        </w:rPr>
        <w:t>Prospecta</w:t>
      </w:r>
      <w:proofErr w:type="spellEnd"/>
      <w:r w:rsidR="000D70E4" w:rsidRPr="007632B6">
        <w:rPr>
          <w:sz w:val="22"/>
          <w:szCs w:val="22"/>
        </w:rPr>
        <w:t xml:space="preserve"> Americas - the First International Seminar on Technology Foresight for the Americas. The program brought together 1,200 registered participants who attended the event in person, and more than 25,000 people connected via Live Webcast. The event sought to improve the social appropriation of knowledge of 10 transformative technologies, namely Big Data; Robotics; Blockchain, virtual reality; artificial intelligence; quantum computing; gene editing; biomedical engineering; 3D and 4D additive manufacturing and new nanostructured materials – and assess their social and economic opportunities in the Americas.</w:t>
      </w:r>
    </w:p>
    <w:p w14:paraId="62A509DF" w14:textId="77777777" w:rsidR="000D70E4" w:rsidRPr="007632B6" w:rsidRDefault="000D70E4" w:rsidP="000D70E4">
      <w:pPr>
        <w:tabs>
          <w:tab w:val="left" w:pos="540"/>
          <w:tab w:val="left" w:pos="1440"/>
        </w:tabs>
        <w:ind w:left="720"/>
        <w:jc w:val="both"/>
        <w:rPr>
          <w:sz w:val="22"/>
          <w:szCs w:val="22"/>
        </w:rPr>
      </w:pPr>
    </w:p>
    <w:p w14:paraId="70788F8B" w14:textId="0528D160" w:rsidR="000D70E4" w:rsidRPr="007632B6" w:rsidRDefault="001E6B0B" w:rsidP="000D70E4">
      <w:pPr>
        <w:tabs>
          <w:tab w:val="left" w:pos="540"/>
          <w:tab w:val="left" w:pos="1440"/>
        </w:tabs>
        <w:ind w:left="1440"/>
        <w:jc w:val="both"/>
        <w:rPr>
          <w:sz w:val="22"/>
          <w:szCs w:val="22"/>
        </w:rPr>
      </w:pPr>
      <w:r>
        <w:rPr>
          <w:sz w:val="22"/>
          <w:szCs w:val="22"/>
        </w:rPr>
        <w:tab/>
      </w:r>
      <w:r w:rsidR="000D70E4" w:rsidRPr="007632B6">
        <w:rPr>
          <w:sz w:val="22"/>
          <w:szCs w:val="22"/>
        </w:rPr>
        <w:t xml:space="preserve">As a result of the Seminar, the State of Hidalgo, Mexico, with the support of the Permanent Mission of Mexico to the OAS, offered to host the Second Edition of the program in Pachuca (initially scheduled for September 23-24, 2020). However, due to the COVID-19 pandemic, the Government of Hidalgo, the Secretariat of Foreign Affairs of Mexico, the CONACYT and the Permanent Mission of Mexico, supported by the Technical Secretariat, carried out a Virtual Edition of </w:t>
      </w:r>
      <w:proofErr w:type="spellStart"/>
      <w:r w:rsidR="000D70E4" w:rsidRPr="007632B6">
        <w:rPr>
          <w:sz w:val="22"/>
          <w:szCs w:val="22"/>
        </w:rPr>
        <w:t>Prospecta</w:t>
      </w:r>
      <w:proofErr w:type="spellEnd"/>
      <w:r w:rsidR="000D70E4" w:rsidRPr="007632B6">
        <w:rPr>
          <w:sz w:val="22"/>
          <w:szCs w:val="22"/>
        </w:rPr>
        <w:t xml:space="preserve"> Americas in November of 2020 under the theme </w:t>
      </w:r>
      <w:r w:rsidR="000D70E4" w:rsidRPr="003047F9">
        <w:rPr>
          <w:b/>
          <w:bCs/>
          <w:sz w:val="22"/>
          <w:szCs w:val="22"/>
        </w:rPr>
        <w:t>“Technology Foresight in the Americas: Challenges of a New Reality”</w:t>
      </w:r>
      <w:r w:rsidR="000D70E4" w:rsidRPr="007632B6">
        <w:rPr>
          <w:sz w:val="22"/>
          <w:szCs w:val="22"/>
        </w:rPr>
        <w:t xml:space="preserve"> as well as two Strategic Sessions on Blockchain and A.I. on October 27-28, 2021. Both events gathered more than 5.000 views from </w:t>
      </w:r>
      <w:proofErr w:type="gramStart"/>
      <w:r w:rsidR="000D70E4" w:rsidRPr="007632B6">
        <w:rPr>
          <w:sz w:val="22"/>
          <w:szCs w:val="22"/>
        </w:rPr>
        <w:t>all across</w:t>
      </w:r>
      <w:proofErr w:type="gramEnd"/>
      <w:r w:rsidR="000D70E4" w:rsidRPr="007632B6">
        <w:rPr>
          <w:sz w:val="22"/>
          <w:szCs w:val="22"/>
        </w:rPr>
        <w:t xml:space="preserve"> the region.</w:t>
      </w:r>
    </w:p>
    <w:p w14:paraId="5C27B809" w14:textId="77777777" w:rsidR="000D70E4" w:rsidRPr="007632B6" w:rsidRDefault="000D70E4" w:rsidP="000D70E4">
      <w:pPr>
        <w:tabs>
          <w:tab w:val="left" w:pos="540"/>
          <w:tab w:val="left" w:pos="1440"/>
        </w:tabs>
        <w:ind w:left="1440"/>
        <w:jc w:val="both"/>
        <w:rPr>
          <w:sz w:val="22"/>
          <w:szCs w:val="22"/>
        </w:rPr>
      </w:pPr>
    </w:p>
    <w:p w14:paraId="7ACC2AE0" w14:textId="77777777" w:rsidR="000D70E4" w:rsidRPr="007632B6" w:rsidRDefault="000D70E4" w:rsidP="001E6B0B">
      <w:pPr>
        <w:pStyle w:val="ListParagraph"/>
        <w:ind w:left="1440" w:firstLine="720"/>
        <w:jc w:val="both"/>
        <w:rPr>
          <w:color w:val="000000"/>
          <w:sz w:val="22"/>
          <w:szCs w:val="22"/>
        </w:rPr>
      </w:pPr>
      <w:r w:rsidRPr="007632B6">
        <w:rPr>
          <w:color w:val="000000"/>
          <w:sz w:val="22"/>
          <w:szCs w:val="22"/>
        </w:rPr>
        <w:t xml:space="preserve">Additionally, under the </w:t>
      </w:r>
      <w:proofErr w:type="spellStart"/>
      <w:r w:rsidRPr="007632B6">
        <w:rPr>
          <w:color w:val="000000"/>
          <w:sz w:val="22"/>
          <w:szCs w:val="22"/>
        </w:rPr>
        <w:t>Prospecta</w:t>
      </w:r>
      <w:proofErr w:type="spellEnd"/>
      <w:r w:rsidRPr="007632B6">
        <w:rPr>
          <w:color w:val="000000"/>
          <w:sz w:val="22"/>
          <w:szCs w:val="22"/>
        </w:rPr>
        <w:t xml:space="preserve"> Americas initiative, two (2) regional technology foresight studies were launched, in collaboration with </w:t>
      </w:r>
      <w:proofErr w:type="spellStart"/>
      <w:r w:rsidRPr="007632B6">
        <w:rPr>
          <w:color w:val="000000"/>
          <w:sz w:val="22"/>
          <w:szCs w:val="22"/>
        </w:rPr>
        <w:t>Minciencias</w:t>
      </w:r>
      <w:proofErr w:type="spellEnd"/>
      <w:r w:rsidRPr="007632B6">
        <w:rPr>
          <w:color w:val="000000"/>
          <w:sz w:val="22"/>
          <w:szCs w:val="22"/>
        </w:rPr>
        <w:t xml:space="preserve"> Colombia – one on “The Future of Work in Latin America,” directed by the Center for Strategic Thinking and Foresight of the Universidad </w:t>
      </w:r>
      <w:proofErr w:type="spellStart"/>
      <w:r w:rsidRPr="007632B6">
        <w:rPr>
          <w:color w:val="000000"/>
          <w:sz w:val="22"/>
          <w:szCs w:val="22"/>
        </w:rPr>
        <w:t>Externado</w:t>
      </w:r>
      <w:proofErr w:type="spellEnd"/>
      <w:r w:rsidRPr="007632B6">
        <w:rPr>
          <w:color w:val="000000"/>
          <w:sz w:val="22"/>
          <w:szCs w:val="22"/>
        </w:rPr>
        <w:t xml:space="preserve"> de Colombia – and another one “Foresight in the Agri Food Sector in Latin America and the Caribbean,” directed by the Open Network on Foresight and Innovation of the </w:t>
      </w:r>
      <w:proofErr w:type="spellStart"/>
      <w:r w:rsidRPr="007632B6">
        <w:rPr>
          <w:color w:val="000000"/>
          <w:sz w:val="22"/>
          <w:szCs w:val="22"/>
        </w:rPr>
        <w:t>Ibero</w:t>
      </w:r>
      <w:proofErr w:type="spellEnd"/>
      <w:r w:rsidRPr="007632B6">
        <w:rPr>
          <w:color w:val="000000"/>
          <w:sz w:val="22"/>
          <w:szCs w:val="22"/>
        </w:rPr>
        <w:t>-American Program on Science and Technology for Development (CYTED).</w:t>
      </w:r>
    </w:p>
    <w:p w14:paraId="0595CC03" w14:textId="77777777" w:rsidR="000D70E4" w:rsidRPr="007632B6" w:rsidRDefault="000D70E4" w:rsidP="000D70E4">
      <w:pPr>
        <w:pStyle w:val="ListParagraph"/>
        <w:rPr>
          <w:color w:val="000000"/>
          <w:sz w:val="22"/>
          <w:szCs w:val="22"/>
        </w:rPr>
      </w:pPr>
    </w:p>
    <w:p w14:paraId="5EC053A6" w14:textId="77777777" w:rsidR="000D70E4" w:rsidRPr="007632B6" w:rsidRDefault="000D70E4" w:rsidP="001E6B0B">
      <w:pPr>
        <w:pStyle w:val="ListParagraph"/>
        <w:ind w:left="1440" w:firstLine="720"/>
        <w:jc w:val="both"/>
        <w:rPr>
          <w:color w:val="000000"/>
          <w:sz w:val="22"/>
          <w:szCs w:val="22"/>
        </w:rPr>
      </w:pPr>
      <w:r w:rsidRPr="007632B6">
        <w:rPr>
          <w:color w:val="000000"/>
          <w:sz w:val="22"/>
          <w:szCs w:val="22"/>
        </w:rPr>
        <w:t xml:space="preserve">It is also worth mentioning that under </w:t>
      </w:r>
      <w:proofErr w:type="spellStart"/>
      <w:r w:rsidRPr="007632B6">
        <w:rPr>
          <w:color w:val="000000"/>
          <w:sz w:val="22"/>
          <w:szCs w:val="22"/>
        </w:rPr>
        <w:t>Prospecta</w:t>
      </w:r>
      <w:proofErr w:type="spellEnd"/>
      <w:r w:rsidRPr="007632B6">
        <w:rPr>
          <w:color w:val="000000"/>
          <w:sz w:val="22"/>
          <w:szCs w:val="22"/>
        </w:rPr>
        <w:t xml:space="preserve"> Americas two (2) Webinars on Neuroscience and technology were organized in collaboration with the CONCYTEC and the Scientific University of the South (Peru) in October 2020, to discuss rapid advances, future developments, and the impact of neuroscience in the Americas.</w:t>
      </w:r>
    </w:p>
    <w:p w14:paraId="1355E8DD" w14:textId="77777777" w:rsidR="000D70E4" w:rsidRPr="007632B6" w:rsidRDefault="000D70E4" w:rsidP="000D70E4">
      <w:pPr>
        <w:tabs>
          <w:tab w:val="left" w:pos="540"/>
          <w:tab w:val="left" w:pos="1440"/>
        </w:tabs>
        <w:jc w:val="both"/>
        <w:rPr>
          <w:sz w:val="22"/>
          <w:szCs w:val="22"/>
        </w:rPr>
      </w:pPr>
    </w:p>
    <w:p w14:paraId="61D32CCA" w14:textId="77777777" w:rsidR="000D70E4" w:rsidRPr="007632B6" w:rsidRDefault="000D70E4" w:rsidP="000D70E4">
      <w:pPr>
        <w:pStyle w:val="ListParagraph"/>
        <w:numPr>
          <w:ilvl w:val="0"/>
          <w:numId w:val="15"/>
        </w:numPr>
        <w:tabs>
          <w:tab w:val="left" w:pos="1440"/>
        </w:tabs>
        <w:ind w:left="1440" w:firstLine="0"/>
        <w:jc w:val="both"/>
        <w:rPr>
          <w:sz w:val="22"/>
          <w:szCs w:val="22"/>
          <w:u w:val="single"/>
        </w:rPr>
      </w:pPr>
      <w:r w:rsidRPr="007632B6">
        <w:rPr>
          <w:sz w:val="22"/>
          <w:szCs w:val="22"/>
          <w:u w:val="single"/>
        </w:rPr>
        <w:lastRenderedPageBreak/>
        <w:t xml:space="preserve">Centers of Excellence </w:t>
      </w:r>
    </w:p>
    <w:p w14:paraId="7D6A3EA9" w14:textId="77777777" w:rsidR="000D70E4" w:rsidRPr="007632B6" w:rsidRDefault="000D70E4" w:rsidP="000D70E4">
      <w:pPr>
        <w:tabs>
          <w:tab w:val="left" w:pos="1440"/>
        </w:tabs>
        <w:ind w:left="1440"/>
        <w:jc w:val="both"/>
        <w:rPr>
          <w:sz w:val="22"/>
          <w:szCs w:val="22"/>
        </w:rPr>
      </w:pPr>
    </w:p>
    <w:p w14:paraId="6FF2CE35" w14:textId="09F4F7D1" w:rsidR="000D70E4" w:rsidRPr="007632B6" w:rsidRDefault="001E6B0B" w:rsidP="000D70E4">
      <w:pPr>
        <w:tabs>
          <w:tab w:val="left" w:pos="1440"/>
        </w:tabs>
        <w:ind w:left="1440"/>
        <w:jc w:val="both"/>
        <w:rPr>
          <w:sz w:val="22"/>
          <w:szCs w:val="22"/>
        </w:rPr>
      </w:pPr>
      <w:r>
        <w:rPr>
          <w:sz w:val="22"/>
          <w:szCs w:val="22"/>
        </w:rPr>
        <w:tab/>
      </w:r>
      <w:r w:rsidR="000D70E4" w:rsidRPr="007632B6">
        <w:rPr>
          <w:sz w:val="22"/>
          <w:szCs w:val="22"/>
        </w:rPr>
        <w:t xml:space="preserve">Furthermore, under </w:t>
      </w:r>
      <w:proofErr w:type="spellStart"/>
      <w:r w:rsidR="000D70E4" w:rsidRPr="007632B6">
        <w:rPr>
          <w:sz w:val="22"/>
          <w:szCs w:val="22"/>
        </w:rPr>
        <w:t>Prospecta</w:t>
      </w:r>
      <w:proofErr w:type="spellEnd"/>
      <w:r w:rsidR="000D70E4" w:rsidRPr="007632B6">
        <w:rPr>
          <w:sz w:val="22"/>
          <w:szCs w:val="22"/>
        </w:rPr>
        <w:t xml:space="preserve"> Americas, a proposal to launch “Centers of Excellence of </w:t>
      </w:r>
      <w:proofErr w:type="spellStart"/>
      <w:r w:rsidR="000D70E4" w:rsidRPr="007632B6">
        <w:rPr>
          <w:sz w:val="22"/>
          <w:szCs w:val="22"/>
        </w:rPr>
        <w:t>Prospecta</w:t>
      </w:r>
      <w:proofErr w:type="spellEnd"/>
      <w:r w:rsidR="000D70E4" w:rsidRPr="007632B6">
        <w:rPr>
          <w:sz w:val="22"/>
          <w:szCs w:val="22"/>
        </w:rPr>
        <w:t xml:space="preserve"> Americas” (one Center for each of the 10 transformative technologies) was formulated. The Centers shall be based on existing R&amp;D infrastructure in OAS member states (for example: universities) and according to the national priorities of the countries that request to host them. The purpose of this “Network of Centers of Excellence” will be to strengthen capacities; provide technical assistance and to lead research projects and prospective studies on the effects that these technologies will have in the region, including the job market. The first two Centers of Excellence are scheduled to be launched on December 7, </w:t>
      </w:r>
      <w:proofErr w:type="gramStart"/>
      <w:r w:rsidR="000D70E4" w:rsidRPr="007632B6">
        <w:rPr>
          <w:sz w:val="22"/>
          <w:szCs w:val="22"/>
        </w:rPr>
        <w:t>2021</w:t>
      </w:r>
      <w:proofErr w:type="gramEnd"/>
      <w:r w:rsidR="000D70E4" w:rsidRPr="007632B6">
        <w:rPr>
          <w:sz w:val="22"/>
          <w:szCs w:val="22"/>
        </w:rPr>
        <w:t xml:space="preserve"> in the framework of the Ministerial Meeting – a Center on Blockchain in Hidalgo, Mexico; and a Center on Robotics and A.I. in Barranquilla, Colombia.</w:t>
      </w:r>
    </w:p>
    <w:p w14:paraId="50DDA7FC" w14:textId="77777777" w:rsidR="000D70E4" w:rsidRPr="007632B6" w:rsidRDefault="000D70E4" w:rsidP="000D70E4">
      <w:pPr>
        <w:tabs>
          <w:tab w:val="left" w:pos="1440"/>
        </w:tabs>
        <w:jc w:val="both"/>
        <w:rPr>
          <w:color w:val="171717"/>
          <w:sz w:val="22"/>
          <w:szCs w:val="22"/>
        </w:rPr>
      </w:pPr>
    </w:p>
    <w:p w14:paraId="62825B91" w14:textId="77777777" w:rsidR="000D70E4" w:rsidRPr="007632B6" w:rsidRDefault="000D70E4" w:rsidP="000D70E4">
      <w:pPr>
        <w:pStyle w:val="ListParagraph"/>
        <w:numPr>
          <w:ilvl w:val="0"/>
          <w:numId w:val="11"/>
        </w:numPr>
        <w:tabs>
          <w:tab w:val="left" w:pos="1440"/>
        </w:tabs>
        <w:ind w:left="1440" w:hanging="720"/>
        <w:jc w:val="both"/>
        <w:rPr>
          <w:b/>
          <w:bCs/>
          <w:color w:val="171717"/>
          <w:sz w:val="22"/>
          <w:szCs w:val="22"/>
          <w:u w:val="single"/>
        </w:rPr>
      </w:pPr>
      <w:r w:rsidRPr="007632B6">
        <w:rPr>
          <w:b/>
          <w:bCs/>
          <w:color w:val="171717"/>
          <w:sz w:val="22"/>
          <w:szCs w:val="22"/>
          <w:u w:val="single"/>
        </w:rPr>
        <w:t xml:space="preserve">Cross-cutting Theme: Inclusion of Women and Girls, and Other Vulnerable Populations in the Fields of Science, </w:t>
      </w:r>
      <w:proofErr w:type="gramStart"/>
      <w:r w:rsidRPr="007632B6">
        <w:rPr>
          <w:b/>
          <w:bCs/>
          <w:color w:val="171717"/>
          <w:sz w:val="22"/>
          <w:szCs w:val="22"/>
          <w:u w:val="single"/>
        </w:rPr>
        <w:t>Technology</w:t>
      </w:r>
      <w:proofErr w:type="gramEnd"/>
      <w:r w:rsidRPr="007632B6">
        <w:rPr>
          <w:b/>
          <w:bCs/>
          <w:color w:val="171717"/>
          <w:sz w:val="22"/>
          <w:szCs w:val="22"/>
          <w:u w:val="single"/>
        </w:rPr>
        <w:t xml:space="preserve"> and Innovation</w:t>
      </w:r>
    </w:p>
    <w:p w14:paraId="3DFFAE88" w14:textId="77777777" w:rsidR="000D70E4" w:rsidRPr="007632B6" w:rsidRDefault="000D70E4" w:rsidP="000D70E4">
      <w:pPr>
        <w:tabs>
          <w:tab w:val="left" w:pos="1440"/>
        </w:tabs>
        <w:ind w:left="720"/>
        <w:jc w:val="both"/>
        <w:rPr>
          <w:sz w:val="22"/>
          <w:szCs w:val="22"/>
        </w:rPr>
      </w:pPr>
    </w:p>
    <w:p w14:paraId="14D75D9E" w14:textId="77777777" w:rsidR="000D70E4" w:rsidRPr="007632B6" w:rsidRDefault="000D70E4" w:rsidP="000D70E4">
      <w:pPr>
        <w:tabs>
          <w:tab w:val="left" w:pos="1440"/>
        </w:tabs>
        <w:ind w:left="720"/>
        <w:jc w:val="both"/>
        <w:rPr>
          <w:sz w:val="22"/>
          <w:szCs w:val="22"/>
        </w:rPr>
      </w:pPr>
      <w:r>
        <w:rPr>
          <w:sz w:val="22"/>
          <w:szCs w:val="22"/>
        </w:rPr>
        <w:tab/>
      </w:r>
      <w:r w:rsidRPr="007632B6">
        <w:rPr>
          <w:sz w:val="22"/>
          <w:szCs w:val="22"/>
        </w:rPr>
        <w:t xml:space="preserve">One of the cross-cutting collaboration themes within the framework of COMCYT has been inclusion and equality of opportunities in science, </w:t>
      </w:r>
      <w:proofErr w:type="gramStart"/>
      <w:r w:rsidRPr="007632B6">
        <w:rPr>
          <w:sz w:val="22"/>
          <w:szCs w:val="22"/>
        </w:rPr>
        <w:t>technology</w:t>
      </w:r>
      <w:proofErr w:type="gramEnd"/>
      <w:r w:rsidRPr="007632B6">
        <w:rPr>
          <w:sz w:val="22"/>
          <w:szCs w:val="22"/>
        </w:rPr>
        <w:t xml:space="preserve"> and innovation. As such, </w:t>
      </w:r>
      <w:proofErr w:type="gramStart"/>
      <w:r w:rsidRPr="007632B6">
        <w:rPr>
          <w:sz w:val="22"/>
          <w:szCs w:val="22"/>
        </w:rPr>
        <w:t>a large number of</w:t>
      </w:r>
      <w:proofErr w:type="gramEnd"/>
      <w:r w:rsidRPr="007632B6">
        <w:rPr>
          <w:sz w:val="22"/>
          <w:szCs w:val="22"/>
        </w:rPr>
        <w:t xml:space="preserve"> activities have been caried out to support this </w:t>
      </w:r>
      <w:proofErr w:type="spellStart"/>
      <w:r w:rsidRPr="007632B6">
        <w:rPr>
          <w:sz w:val="22"/>
          <w:szCs w:val="22"/>
        </w:rPr>
        <w:t>endevor</w:t>
      </w:r>
      <w:proofErr w:type="spellEnd"/>
      <w:r w:rsidRPr="007632B6">
        <w:rPr>
          <w:sz w:val="22"/>
          <w:szCs w:val="22"/>
        </w:rPr>
        <w:t xml:space="preserve">, including but not limited to: </w:t>
      </w:r>
    </w:p>
    <w:p w14:paraId="252F3172" w14:textId="77777777" w:rsidR="000D70E4" w:rsidRPr="007632B6" w:rsidRDefault="000D70E4" w:rsidP="000D70E4">
      <w:pPr>
        <w:tabs>
          <w:tab w:val="left" w:pos="1440"/>
        </w:tabs>
        <w:ind w:left="720"/>
        <w:jc w:val="both"/>
        <w:rPr>
          <w:sz w:val="22"/>
          <w:szCs w:val="22"/>
        </w:rPr>
      </w:pPr>
    </w:p>
    <w:p w14:paraId="1E889AFD" w14:textId="77777777" w:rsidR="000D70E4" w:rsidRPr="007632B6" w:rsidRDefault="000D70E4" w:rsidP="000D70E4">
      <w:pPr>
        <w:pStyle w:val="ListParagraph"/>
        <w:numPr>
          <w:ilvl w:val="0"/>
          <w:numId w:val="9"/>
        </w:numPr>
        <w:tabs>
          <w:tab w:val="left" w:pos="2160"/>
        </w:tabs>
        <w:ind w:left="2160" w:hanging="720"/>
        <w:contextualSpacing/>
        <w:jc w:val="both"/>
        <w:rPr>
          <w:sz w:val="22"/>
          <w:szCs w:val="22"/>
        </w:rPr>
      </w:pPr>
      <w:r w:rsidRPr="007632B6">
        <w:rPr>
          <w:sz w:val="22"/>
          <w:szCs w:val="22"/>
        </w:rPr>
        <w:t xml:space="preserve">In May 2018, COLCIENCIAS Colombia (now MINCIENCIAS), held the Workshop </w:t>
      </w:r>
      <w:r w:rsidRPr="003047F9">
        <w:rPr>
          <w:b/>
          <w:bCs/>
          <w:sz w:val="22"/>
          <w:szCs w:val="22"/>
        </w:rPr>
        <w:t>“Towards the promotion of the participation of women in scientific research in Latin America,”</w:t>
      </w:r>
      <w:r w:rsidRPr="007632B6">
        <w:rPr>
          <w:sz w:val="22"/>
          <w:szCs w:val="22"/>
        </w:rPr>
        <w:t xml:space="preserve"> in Bogota, in collaboration with the Colombian Observatory of Science and Technology (OCYT) and the International Development Research Center of Canada (IDRC) </w:t>
      </w:r>
      <w:proofErr w:type="gramStart"/>
      <w:r w:rsidRPr="007632B6">
        <w:rPr>
          <w:sz w:val="22"/>
          <w:szCs w:val="22"/>
        </w:rPr>
        <w:t>in order to</w:t>
      </w:r>
      <w:proofErr w:type="gramEnd"/>
      <w:r w:rsidRPr="007632B6">
        <w:rPr>
          <w:sz w:val="22"/>
          <w:szCs w:val="22"/>
        </w:rPr>
        <w:t xml:space="preserve"> generate a space to share knowledge and experiences, for discussion and learning, on the participation of women in research scientific in Latin America.</w:t>
      </w:r>
    </w:p>
    <w:p w14:paraId="79AE94B4" w14:textId="77777777" w:rsidR="000D70E4" w:rsidRPr="007632B6" w:rsidRDefault="000D70E4" w:rsidP="000D70E4">
      <w:pPr>
        <w:pStyle w:val="ListParagraph"/>
        <w:tabs>
          <w:tab w:val="left" w:pos="2160"/>
        </w:tabs>
        <w:ind w:left="2160" w:hanging="720"/>
        <w:contextualSpacing/>
        <w:jc w:val="both"/>
        <w:rPr>
          <w:sz w:val="22"/>
          <w:szCs w:val="22"/>
        </w:rPr>
      </w:pPr>
    </w:p>
    <w:p w14:paraId="398BB175" w14:textId="77777777" w:rsidR="000D70E4" w:rsidRPr="007632B6" w:rsidRDefault="000D70E4" w:rsidP="000D70E4">
      <w:pPr>
        <w:pStyle w:val="ListParagraph"/>
        <w:numPr>
          <w:ilvl w:val="0"/>
          <w:numId w:val="9"/>
        </w:numPr>
        <w:tabs>
          <w:tab w:val="left" w:pos="2160"/>
        </w:tabs>
        <w:ind w:left="2160" w:hanging="720"/>
        <w:contextualSpacing/>
        <w:jc w:val="both"/>
        <w:rPr>
          <w:sz w:val="22"/>
          <w:szCs w:val="22"/>
        </w:rPr>
      </w:pPr>
      <w:r w:rsidRPr="007632B6">
        <w:rPr>
          <w:sz w:val="22"/>
          <w:szCs w:val="22"/>
        </w:rPr>
        <w:t xml:space="preserve">On September 19, 2019, the Technical Secretariat of the COMCYT also organized a videoconference on the issue of gender equity and equality in STEM for the members and strategic partners of the COMCYT during which 21 speakers from 12 countries shared experiences and good practices of inclusion and equality. </w:t>
      </w:r>
    </w:p>
    <w:p w14:paraId="3F2396EB" w14:textId="77777777" w:rsidR="000D70E4" w:rsidRPr="007632B6" w:rsidRDefault="000D70E4" w:rsidP="000D70E4">
      <w:pPr>
        <w:pStyle w:val="ListParagraph"/>
        <w:tabs>
          <w:tab w:val="left" w:pos="2160"/>
        </w:tabs>
        <w:ind w:left="2160" w:hanging="720"/>
        <w:rPr>
          <w:sz w:val="22"/>
          <w:szCs w:val="22"/>
        </w:rPr>
      </w:pPr>
    </w:p>
    <w:p w14:paraId="53617ECD" w14:textId="77777777" w:rsidR="000D70E4" w:rsidRPr="007632B6" w:rsidRDefault="000D70E4" w:rsidP="000D70E4">
      <w:pPr>
        <w:pStyle w:val="ListParagraph"/>
        <w:numPr>
          <w:ilvl w:val="0"/>
          <w:numId w:val="9"/>
        </w:numPr>
        <w:tabs>
          <w:tab w:val="left" w:pos="2160"/>
        </w:tabs>
        <w:ind w:left="2160" w:hanging="720"/>
        <w:contextualSpacing/>
        <w:jc w:val="both"/>
        <w:rPr>
          <w:sz w:val="22"/>
          <w:szCs w:val="22"/>
        </w:rPr>
      </w:pPr>
      <w:r w:rsidRPr="007632B6">
        <w:rPr>
          <w:sz w:val="22"/>
          <w:szCs w:val="22"/>
        </w:rPr>
        <w:t xml:space="preserve">During the IX COMCYT Meeting held in Washington, D.C., a panel on </w:t>
      </w:r>
      <w:r w:rsidRPr="003047F9">
        <w:rPr>
          <w:b/>
          <w:bCs/>
          <w:sz w:val="22"/>
          <w:szCs w:val="22"/>
        </w:rPr>
        <w:t>“Inclusive Innovation: Regional Experiences and Collaborative Projects with a Social Impact in Science and Technology”</w:t>
      </w:r>
      <w:r w:rsidRPr="007632B6">
        <w:rPr>
          <w:sz w:val="22"/>
          <w:szCs w:val="22"/>
        </w:rPr>
        <w:t xml:space="preserve"> was held, during which Anima – a technological baccalaureate initiative from Uruguay - and the “MITACS </w:t>
      </w:r>
      <w:r w:rsidRPr="007632B6">
        <w:rPr>
          <w:bCs/>
          <w:sz w:val="22"/>
          <w:szCs w:val="22"/>
        </w:rPr>
        <w:t>Indigenous Communities Engagement Initiative”</w:t>
      </w:r>
      <w:r w:rsidRPr="007632B6">
        <w:rPr>
          <w:sz w:val="22"/>
          <w:szCs w:val="22"/>
        </w:rPr>
        <w:t xml:space="preserve"> (Canada) participated</w:t>
      </w:r>
      <w:proofErr w:type="gramStart"/>
      <w:r w:rsidRPr="007632B6">
        <w:rPr>
          <w:sz w:val="22"/>
          <w:szCs w:val="22"/>
        </w:rPr>
        <w:t xml:space="preserve">.  </w:t>
      </w:r>
      <w:proofErr w:type="gramEnd"/>
      <w:r w:rsidRPr="007632B6">
        <w:rPr>
          <w:sz w:val="22"/>
          <w:szCs w:val="22"/>
        </w:rPr>
        <w:t>Furthermore, a panel discussion on “Transformative Technologies and the role of Women in Industry 4.0” was also held, in which representatives from Georgetown University (United States) and the Global Engineering Deans Council (GEDC) presented.</w:t>
      </w:r>
    </w:p>
    <w:p w14:paraId="5E4A589C" w14:textId="77777777" w:rsidR="000D70E4" w:rsidRPr="007632B6" w:rsidRDefault="000D70E4" w:rsidP="000D70E4">
      <w:pPr>
        <w:tabs>
          <w:tab w:val="left" w:pos="1440"/>
          <w:tab w:val="left" w:pos="2160"/>
        </w:tabs>
        <w:ind w:left="2160" w:hanging="720"/>
        <w:jc w:val="both"/>
        <w:rPr>
          <w:sz w:val="22"/>
          <w:szCs w:val="22"/>
        </w:rPr>
      </w:pPr>
    </w:p>
    <w:p w14:paraId="65364637" w14:textId="6133B27F" w:rsidR="000D70E4" w:rsidRPr="007632B6" w:rsidRDefault="000D70E4" w:rsidP="000D70E4">
      <w:pPr>
        <w:pStyle w:val="ListParagraph"/>
        <w:numPr>
          <w:ilvl w:val="0"/>
          <w:numId w:val="9"/>
        </w:numPr>
        <w:tabs>
          <w:tab w:val="left" w:pos="2160"/>
        </w:tabs>
        <w:ind w:left="2160" w:hanging="720"/>
        <w:contextualSpacing/>
        <w:jc w:val="both"/>
        <w:rPr>
          <w:sz w:val="22"/>
          <w:szCs w:val="22"/>
        </w:rPr>
      </w:pPr>
      <w:r w:rsidRPr="007632B6">
        <w:rPr>
          <w:sz w:val="22"/>
          <w:szCs w:val="22"/>
        </w:rPr>
        <w:t xml:space="preserve">Another recent gender in STEM initiative is the launch of the </w:t>
      </w:r>
      <w:r w:rsidRPr="001E6B0B">
        <w:rPr>
          <w:b/>
          <w:bCs/>
          <w:sz w:val="22"/>
          <w:szCs w:val="22"/>
        </w:rPr>
        <w:t>“Matilda Regional Chair on Women in Engineering in the Americas”</w:t>
      </w:r>
      <w:r w:rsidRPr="007632B6">
        <w:rPr>
          <w:sz w:val="22"/>
          <w:szCs w:val="22"/>
        </w:rPr>
        <w:t xml:space="preserve"> which aims to recognize and showcase the social, </w:t>
      </w:r>
      <w:proofErr w:type="gramStart"/>
      <w:r w:rsidRPr="007632B6">
        <w:rPr>
          <w:sz w:val="22"/>
          <w:szCs w:val="22"/>
        </w:rPr>
        <w:t>scientific</w:t>
      </w:r>
      <w:proofErr w:type="gramEnd"/>
      <w:r w:rsidRPr="007632B6">
        <w:rPr>
          <w:sz w:val="22"/>
          <w:szCs w:val="22"/>
        </w:rPr>
        <w:t xml:space="preserve"> and intellectual contributions of women to STEM fields. The Chair currently counts on 102 members from 46 institutions in 8 </w:t>
      </w:r>
      <w:r w:rsidRPr="007632B6">
        <w:rPr>
          <w:sz w:val="22"/>
          <w:szCs w:val="22"/>
        </w:rPr>
        <w:lastRenderedPageBreak/>
        <w:t xml:space="preserve">countries of the region. In 2020, the COMCYT Technical Secretariat contributed to the publication “Matilda and Women in Engineering in Latin America” (Second Edition) which showcases the stories of 44 women from 10 Latin American countries who decided to pursue STEM careers. The publication was launched virtually on June 6, </w:t>
      </w:r>
      <w:proofErr w:type="gramStart"/>
      <w:r w:rsidRPr="007632B6">
        <w:rPr>
          <w:sz w:val="22"/>
          <w:szCs w:val="22"/>
        </w:rPr>
        <w:t>2020</w:t>
      </w:r>
      <w:proofErr w:type="gramEnd"/>
      <w:r w:rsidRPr="007632B6">
        <w:rPr>
          <w:sz w:val="22"/>
          <w:szCs w:val="22"/>
        </w:rPr>
        <w:t xml:space="preserve"> and counted on more than 5,300 connected participants.</w:t>
      </w:r>
    </w:p>
    <w:p w14:paraId="6E309B3F" w14:textId="1753A78D" w:rsidR="000D70E4" w:rsidRDefault="000D70E4" w:rsidP="000D70E4">
      <w:pPr>
        <w:tabs>
          <w:tab w:val="left" w:pos="1440"/>
        </w:tabs>
        <w:jc w:val="both"/>
        <w:rPr>
          <w:sz w:val="22"/>
          <w:szCs w:val="22"/>
        </w:rPr>
      </w:pPr>
    </w:p>
    <w:p w14:paraId="59C0B5F9" w14:textId="77777777" w:rsidR="000D70E4" w:rsidRPr="007632B6" w:rsidRDefault="000D70E4" w:rsidP="000D70E4">
      <w:pPr>
        <w:pStyle w:val="ListParagraph"/>
        <w:numPr>
          <w:ilvl w:val="0"/>
          <w:numId w:val="11"/>
        </w:numPr>
        <w:tabs>
          <w:tab w:val="left" w:pos="1440"/>
        </w:tabs>
        <w:ind w:left="1440" w:hanging="720"/>
        <w:jc w:val="both"/>
        <w:rPr>
          <w:b/>
          <w:bCs/>
          <w:sz w:val="22"/>
          <w:szCs w:val="22"/>
          <w:u w:val="single"/>
        </w:rPr>
      </w:pPr>
      <w:r w:rsidRPr="007632B6">
        <w:rPr>
          <w:b/>
          <w:bCs/>
          <w:sz w:val="22"/>
          <w:szCs w:val="22"/>
          <w:u w:val="single"/>
        </w:rPr>
        <w:t>Outreach</w:t>
      </w:r>
    </w:p>
    <w:p w14:paraId="5111F57C" w14:textId="77777777" w:rsidR="000D70E4" w:rsidRPr="007632B6" w:rsidRDefault="000D70E4" w:rsidP="000D70E4">
      <w:pPr>
        <w:tabs>
          <w:tab w:val="left" w:pos="540"/>
        </w:tabs>
        <w:contextualSpacing/>
        <w:jc w:val="both"/>
        <w:rPr>
          <w:sz w:val="22"/>
          <w:szCs w:val="22"/>
        </w:rPr>
      </w:pPr>
    </w:p>
    <w:p w14:paraId="390382B2" w14:textId="77777777" w:rsidR="000D70E4" w:rsidRPr="007632B6" w:rsidRDefault="000D70E4" w:rsidP="000D70E4">
      <w:pPr>
        <w:pStyle w:val="ListParagraph"/>
        <w:tabs>
          <w:tab w:val="left" w:pos="720"/>
        </w:tabs>
        <w:contextualSpacing/>
        <w:jc w:val="both"/>
        <w:rPr>
          <w:sz w:val="22"/>
          <w:szCs w:val="22"/>
        </w:rPr>
      </w:pPr>
      <w:r>
        <w:rPr>
          <w:sz w:val="22"/>
          <w:szCs w:val="22"/>
        </w:rPr>
        <w:tab/>
      </w:r>
      <w:r w:rsidRPr="007632B6">
        <w:rPr>
          <w:sz w:val="22"/>
          <w:szCs w:val="22"/>
        </w:rPr>
        <w:t>Finally, the Technical Secretariat is pleased to report the inclusion of new strategic partners to the COMCYT Working Groups:</w:t>
      </w:r>
    </w:p>
    <w:p w14:paraId="56B9A8AD" w14:textId="77777777" w:rsidR="000D70E4" w:rsidRPr="007632B6" w:rsidRDefault="000D70E4" w:rsidP="000D70E4">
      <w:pPr>
        <w:pStyle w:val="ListParagraph"/>
        <w:tabs>
          <w:tab w:val="left" w:pos="720"/>
        </w:tabs>
        <w:ind w:left="810" w:hanging="180"/>
        <w:contextualSpacing/>
        <w:jc w:val="both"/>
        <w:rPr>
          <w:sz w:val="22"/>
          <w:szCs w:val="22"/>
        </w:rPr>
      </w:pPr>
    </w:p>
    <w:p w14:paraId="2B88CFAA" w14:textId="77777777" w:rsidR="000D70E4" w:rsidRPr="007632B6" w:rsidRDefault="000D70E4" w:rsidP="000D70E4">
      <w:pPr>
        <w:pStyle w:val="ListParagraph"/>
        <w:tabs>
          <w:tab w:val="left" w:pos="720"/>
          <w:tab w:val="left" w:pos="2160"/>
        </w:tabs>
        <w:ind w:left="2160" w:hanging="720"/>
        <w:contextualSpacing/>
        <w:jc w:val="both"/>
        <w:rPr>
          <w:sz w:val="22"/>
          <w:szCs w:val="22"/>
        </w:rPr>
      </w:pPr>
      <w:r w:rsidRPr="007632B6">
        <w:rPr>
          <w:sz w:val="22"/>
          <w:szCs w:val="22"/>
        </w:rPr>
        <w:t>-</w:t>
      </w:r>
      <w:r>
        <w:rPr>
          <w:sz w:val="22"/>
          <w:szCs w:val="22"/>
        </w:rPr>
        <w:tab/>
      </w:r>
      <w:r w:rsidRPr="007632B6">
        <w:rPr>
          <w:sz w:val="22"/>
          <w:szCs w:val="22"/>
        </w:rPr>
        <w:t xml:space="preserve">Federal Council of Engineering Deans of the Republic of Argentina (CONFEDI) in Working Group </w:t>
      </w:r>
      <w:proofErr w:type="gramStart"/>
      <w:r w:rsidRPr="007632B6">
        <w:rPr>
          <w:sz w:val="22"/>
          <w:szCs w:val="22"/>
        </w:rPr>
        <w:t>2;</w:t>
      </w:r>
      <w:proofErr w:type="gramEnd"/>
      <w:r w:rsidRPr="007632B6">
        <w:rPr>
          <w:sz w:val="22"/>
          <w:szCs w:val="22"/>
        </w:rPr>
        <w:t xml:space="preserve"> </w:t>
      </w:r>
    </w:p>
    <w:p w14:paraId="3A9365EE" w14:textId="77777777" w:rsidR="000D70E4" w:rsidRPr="007632B6" w:rsidRDefault="000D70E4" w:rsidP="000D70E4">
      <w:pPr>
        <w:pStyle w:val="ListParagraph"/>
        <w:tabs>
          <w:tab w:val="left" w:pos="720"/>
          <w:tab w:val="left" w:pos="2160"/>
        </w:tabs>
        <w:ind w:left="2160" w:hanging="720"/>
        <w:contextualSpacing/>
        <w:jc w:val="both"/>
        <w:rPr>
          <w:sz w:val="22"/>
          <w:szCs w:val="22"/>
        </w:rPr>
      </w:pPr>
      <w:r w:rsidRPr="007632B6">
        <w:rPr>
          <w:sz w:val="22"/>
          <w:szCs w:val="22"/>
        </w:rPr>
        <w:t>-</w:t>
      </w:r>
      <w:r>
        <w:rPr>
          <w:sz w:val="22"/>
          <w:szCs w:val="22"/>
        </w:rPr>
        <w:tab/>
      </w:r>
      <w:r w:rsidRPr="007632B6">
        <w:rPr>
          <w:sz w:val="22"/>
          <w:szCs w:val="22"/>
        </w:rPr>
        <w:t>Universidad de Desarrollo (Santiago, Chile) in Working Group 4</w:t>
      </w:r>
    </w:p>
    <w:p w14:paraId="43BA25A4" w14:textId="77777777" w:rsidR="000D70E4" w:rsidRPr="007632B6" w:rsidRDefault="000D70E4" w:rsidP="000D70E4">
      <w:pPr>
        <w:pStyle w:val="ListParagraph"/>
        <w:tabs>
          <w:tab w:val="left" w:pos="720"/>
          <w:tab w:val="left" w:pos="2160"/>
        </w:tabs>
        <w:ind w:left="2160" w:hanging="720"/>
        <w:contextualSpacing/>
        <w:jc w:val="both"/>
        <w:rPr>
          <w:sz w:val="22"/>
          <w:szCs w:val="22"/>
        </w:rPr>
      </w:pPr>
      <w:r w:rsidRPr="007632B6">
        <w:rPr>
          <w:sz w:val="22"/>
          <w:szCs w:val="22"/>
        </w:rPr>
        <w:t>-</w:t>
      </w:r>
      <w:r>
        <w:rPr>
          <w:sz w:val="22"/>
          <w:szCs w:val="22"/>
        </w:rPr>
        <w:tab/>
      </w:r>
      <w:proofErr w:type="spellStart"/>
      <w:r w:rsidRPr="007632B6">
        <w:rPr>
          <w:sz w:val="22"/>
          <w:szCs w:val="22"/>
        </w:rPr>
        <w:t>Cientech</w:t>
      </w:r>
      <w:proofErr w:type="spellEnd"/>
      <w:r w:rsidRPr="007632B6">
        <w:rPr>
          <w:sz w:val="22"/>
          <w:szCs w:val="22"/>
        </w:rPr>
        <w:t xml:space="preserve"> Corporation - Knowledge Transfer and Innovation Center (Barranquilla, Colombia) in Working Groups 1 and </w:t>
      </w:r>
      <w:proofErr w:type="gramStart"/>
      <w:r w:rsidRPr="007632B6">
        <w:rPr>
          <w:sz w:val="22"/>
          <w:szCs w:val="22"/>
        </w:rPr>
        <w:t>4;</w:t>
      </w:r>
      <w:proofErr w:type="gramEnd"/>
      <w:r w:rsidRPr="007632B6">
        <w:rPr>
          <w:sz w:val="22"/>
          <w:szCs w:val="22"/>
        </w:rPr>
        <w:t xml:space="preserve"> </w:t>
      </w:r>
    </w:p>
    <w:p w14:paraId="5742D7AC" w14:textId="77777777" w:rsidR="000D70E4" w:rsidRPr="007632B6" w:rsidRDefault="000D70E4" w:rsidP="000D70E4">
      <w:pPr>
        <w:pStyle w:val="ListParagraph"/>
        <w:tabs>
          <w:tab w:val="left" w:pos="720"/>
          <w:tab w:val="left" w:pos="2160"/>
        </w:tabs>
        <w:ind w:left="2160" w:hanging="720"/>
        <w:contextualSpacing/>
        <w:jc w:val="both"/>
        <w:rPr>
          <w:sz w:val="22"/>
          <w:szCs w:val="22"/>
        </w:rPr>
      </w:pPr>
      <w:r w:rsidRPr="007632B6">
        <w:rPr>
          <w:sz w:val="22"/>
          <w:szCs w:val="22"/>
        </w:rPr>
        <w:t>-</w:t>
      </w:r>
      <w:r>
        <w:rPr>
          <w:sz w:val="22"/>
          <w:szCs w:val="22"/>
        </w:rPr>
        <w:tab/>
      </w:r>
      <w:proofErr w:type="spellStart"/>
      <w:r w:rsidRPr="007632B6">
        <w:rPr>
          <w:sz w:val="22"/>
          <w:szCs w:val="22"/>
        </w:rPr>
        <w:t>Reddi</w:t>
      </w:r>
      <w:proofErr w:type="spellEnd"/>
      <w:r w:rsidRPr="007632B6">
        <w:rPr>
          <w:sz w:val="22"/>
          <w:szCs w:val="22"/>
        </w:rPr>
        <w:t xml:space="preserve"> (Cali, Colombia) - Technology </w:t>
      </w:r>
      <w:proofErr w:type="spellStart"/>
      <w:r w:rsidRPr="007632B6">
        <w:rPr>
          <w:sz w:val="22"/>
          <w:szCs w:val="22"/>
        </w:rPr>
        <w:t>Developement</w:t>
      </w:r>
      <w:proofErr w:type="spellEnd"/>
      <w:r w:rsidRPr="007632B6">
        <w:rPr>
          <w:sz w:val="22"/>
          <w:szCs w:val="22"/>
        </w:rPr>
        <w:t xml:space="preserve"> Agency in Working Group 4</w:t>
      </w:r>
    </w:p>
    <w:p w14:paraId="3A58CC2F" w14:textId="77777777" w:rsidR="000D70E4" w:rsidRPr="007632B6" w:rsidRDefault="000D70E4" w:rsidP="000D70E4">
      <w:pPr>
        <w:pStyle w:val="ListParagraph"/>
        <w:tabs>
          <w:tab w:val="left" w:pos="720"/>
          <w:tab w:val="left" w:pos="2160"/>
        </w:tabs>
        <w:ind w:left="2160" w:hanging="720"/>
        <w:contextualSpacing/>
        <w:jc w:val="both"/>
        <w:rPr>
          <w:sz w:val="22"/>
          <w:szCs w:val="22"/>
        </w:rPr>
      </w:pPr>
      <w:r w:rsidRPr="007632B6">
        <w:rPr>
          <w:sz w:val="22"/>
          <w:szCs w:val="22"/>
        </w:rPr>
        <w:t>-</w:t>
      </w:r>
      <w:r>
        <w:rPr>
          <w:sz w:val="22"/>
          <w:szCs w:val="22"/>
        </w:rPr>
        <w:tab/>
      </w:r>
      <w:r w:rsidRPr="007632B6">
        <w:rPr>
          <w:sz w:val="22"/>
          <w:szCs w:val="22"/>
        </w:rPr>
        <w:t xml:space="preserve">University of </w:t>
      </w:r>
      <w:proofErr w:type="spellStart"/>
      <w:r w:rsidRPr="007632B6">
        <w:rPr>
          <w:sz w:val="22"/>
          <w:szCs w:val="22"/>
        </w:rPr>
        <w:t>Turabo’s</w:t>
      </w:r>
      <w:proofErr w:type="spellEnd"/>
      <w:r w:rsidRPr="007632B6">
        <w:rPr>
          <w:sz w:val="22"/>
          <w:szCs w:val="22"/>
        </w:rPr>
        <w:t xml:space="preserve"> School of Engineering, Puerto Rico, in Working Group 2</w:t>
      </w:r>
    </w:p>
    <w:p w14:paraId="7B9DF3B9" w14:textId="77777777" w:rsidR="000D70E4" w:rsidRPr="007632B6" w:rsidRDefault="000D70E4" w:rsidP="000D70E4">
      <w:pPr>
        <w:pStyle w:val="ListParagraph"/>
        <w:tabs>
          <w:tab w:val="left" w:pos="720"/>
          <w:tab w:val="left" w:pos="2160"/>
        </w:tabs>
        <w:ind w:left="2160" w:hanging="720"/>
        <w:contextualSpacing/>
        <w:jc w:val="both"/>
        <w:rPr>
          <w:sz w:val="22"/>
          <w:szCs w:val="22"/>
        </w:rPr>
      </w:pPr>
      <w:r w:rsidRPr="007632B6">
        <w:rPr>
          <w:sz w:val="22"/>
          <w:szCs w:val="22"/>
        </w:rPr>
        <w:t>-</w:t>
      </w:r>
      <w:r>
        <w:rPr>
          <w:sz w:val="22"/>
          <w:szCs w:val="22"/>
        </w:rPr>
        <w:tab/>
      </w:r>
      <w:r w:rsidRPr="007632B6">
        <w:rPr>
          <w:sz w:val="22"/>
          <w:szCs w:val="22"/>
        </w:rPr>
        <w:t>TECSUP Polytechnic University of Peru in Working Group 2</w:t>
      </w:r>
    </w:p>
    <w:p w14:paraId="759BF970" w14:textId="77777777" w:rsidR="000D70E4" w:rsidRPr="007632B6" w:rsidRDefault="000D70E4" w:rsidP="000D70E4">
      <w:pPr>
        <w:pStyle w:val="ListParagraph"/>
        <w:tabs>
          <w:tab w:val="left" w:pos="720"/>
          <w:tab w:val="left" w:pos="2160"/>
        </w:tabs>
        <w:ind w:left="2160" w:hanging="720"/>
        <w:contextualSpacing/>
        <w:jc w:val="both"/>
        <w:rPr>
          <w:sz w:val="22"/>
          <w:szCs w:val="22"/>
        </w:rPr>
      </w:pPr>
      <w:r w:rsidRPr="007632B6">
        <w:rPr>
          <w:sz w:val="22"/>
          <w:szCs w:val="22"/>
        </w:rPr>
        <w:t>-</w:t>
      </w:r>
      <w:r>
        <w:rPr>
          <w:sz w:val="22"/>
          <w:szCs w:val="22"/>
        </w:rPr>
        <w:tab/>
      </w:r>
      <w:r w:rsidRPr="007632B6">
        <w:rPr>
          <w:sz w:val="22"/>
          <w:szCs w:val="22"/>
        </w:rPr>
        <w:t>Illinois Institute of Technology in Working Group 1, 2 and 4</w:t>
      </w:r>
    </w:p>
    <w:p w14:paraId="7BBD39FD" w14:textId="77777777" w:rsidR="000D70E4" w:rsidRPr="007632B6" w:rsidRDefault="000D70E4" w:rsidP="000D70E4">
      <w:pPr>
        <w:pStyle w:val="ListParagraph"/>
        <w:tabs>
          <w:tab w:val="left" w:pos="720"/>
          <w:tab w:val="left" w:pos="2160"/>
        </w:tabs>
        <w:ind w:left="2160" w:hanging="720"/>
        <w:contextualSpacing/>
        <w:jc w:val="both"/>
        <w:rPr>
          <w:sz w:val="22"/>
          <w:szCs w:val="22"/>
        </w:rPr>
      </w:pPr>
      <w:r w:rsidRPr="007632B6">
        <w:rPr>
          <w:sz w:val="22"/>
          <w:szCs w:val="22"/>
        </w:rPr>
        <w:t>-</w:t>
      </w:r>
      <w:r>
        <w:rPr>
          <w:sz w:val="22"/>
          <w:szCs w:val="22"/>
        </w:rPr>
        <w:tab/>
      </w:r>
      <w:r w:rsidRPr="007632B6">
        <w:rPr>
          <w:sz w:val="22"/>
          <w:szCs w:val="22"/>
        </w:rPr>
        <w:t>CEDIA Ecuador in Working Group 4.</w:t>
      </w:r>
    </w:p>
    <w:p w14:paraId="2566AC4D" w14:textId="77777777" w:rsidR="000D70E4" w:rsidRPr="007632B6" w:rsidRDefault="000D70E4" w:rsidP="000D70E4">
      <w:pPr>
        <w:jc w:val="both"/>
        <w:rPr>
          <w:rFonts w:eastAsia="Calibri"/>
          <w:bCs/>
          <w:sz w:val="22"/>
          <w:szCs w:val="22"/>
          <w:highlight w:val="yellow"/>
        </w:rPr>
      </w:pPr>
    </w:p>
    <w:p w14:paraId="3AA486D7" w14:textId="43ECE945" w:rsidR="000E624D" w:rsidRPr="000F2049" w:rsidRDefault="00B3521E" w:rsidP="001E6B0B">
      <w:pPr>
        <w:tabs>
          <w:tab w:val="left" w:pos="720"/>
          <w:tab w:val="left" w:pos="1890"/>
          <w:tab w:val="center" w:pos="4320"/>
          <w:tab w:val="right" w:pos="8640"/>
        </w:tabs>
        <w:rPr>
          <w:sz w:val="22"/>
          <w:szCs w:val="22"/>
        </w:rPr>
      </w:pPr>
      <w:r>
        <w:rPr>
          <w:noProof/>
          <w:sz w:val="22"/>
          <w:szCs w:val="22"/>
        </w:rPr>
        <mc:AlternateContent>
          <mc:Choice Requires="wps">
            <w:drawing>
              <wp:anchor distT="0" distB="0" distL="114300" distR="114300" simplePos="0" relativeHeight="251659264" behindDoc="0" locked="1" layoutInCell="1" allowOverlap="1" wp14:anchorId="72BDCF89" wp14:editId="379DF39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421080" w14:textId="7383FEEB" w:rsidR="00B3521E" w:rsidRPr="00B3521E" w:rsidRDefault="00B3521E">
                            <w:pPr>
                              <w:rPr>
                                <w:sz w:val="18"/>
                              </w:rPr>
                            </w:pPr>
                            <w:r>
                              <w:rPr>
                                <w:sz w:val="18"/>
                              </w:rPr>
                              <w:fldChar w:fldCharType="begin"/>
                            </w:r>
                            <w:r>
                              <w:rPr>
                                <w:sz w:val="18"/>
                              </w:rPr>
                              <w:instrText xml:space="preserve"> FILENAME  \* MERGEFORMAT </w:instrText>
                            </w:r>
                            <w:r>
                              <w:rPr>
                                <w:sz w:val="18"/>
                              </w:rPr>
                              <w:fldChar w:fldCharType="separate"/>
                            </w:r>
                            <w:r>
                              <w:rPr>
                                <w:noProof/>
                                <w:sz w:val="18"/>
                              </w:rPr>
                              <w:t>CIDCT00100E01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BDCF89"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5A421080" w14:textId="7383FEEB" w:rsidR="00B3521E" w:rsidRPr="00B3521E" w:rsidRDefault="00B3521E">
                      <w:pPr>
                        <w:rPr>
                          <w:sz w:val="18"/>
                        </w:rPr>
                      </w:pPr>
                      <w:r>
                        <w:rPr>
                          <w:sz w:val="18"/>
                        </w:rPr>
                        <w:fldChar w:fldCharType="begin"/>
                      </w:r>
                      <w:r>
                        <w:rPr>
                          <w:sz w:val="18"/>
                        </w:rPr>
                        <w:instrText xml:space="preserve"> FILENAME  \* MERGEFORMAT </w:instrText>
                      </w:r>
                      <w:r>
                        <w:rPr>
                          <w:sz w:val="18"/>
                        </w:rPr>
                        <w:fldChar w:fldCharType="separate"/>
                      </w:r>
                      <w:r>
                        <w:rPr>
                          <w:noProof/>
                          <w:sz w:val="18"/>
                        </w:rPr>
                        <w:t>CIDCT00100E01</w:t>
                      </w:r>
                      <w:r>
                        <w:rPr>
                          <w:sz w:val="18"/>
                        </w:rPr>
                        <w:fldChar w:fldCharType="end"/>
                      </w:r>
                    </w:p>
                  </w:txbxContent>
                </v:textbox>
                <w10:wrap anchory="page"/>
                <w10:anchorlock/>
              </v:shape>
            </w:pict>
          </mc:Fallback>
        </mc:AlternateContent>
      </w:r>
    </w:p>
    <w:sectPr w:rsidR="000E624D" w:rsidRPr="000F2049" w:rsidSect="00E428C4">
      <w:headerReference w:type="even" r:id="rId13"/>
      <w:headerReference w:type="default" r:id="rId14"/>
      <w:headerReference w:type="first" r:id="rId15"/>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4195" w14:textId="77777777" w:rsidR="00B136B8" w:rsidRDefault="00B136B8">
      <w:r>
        <w:separator/>
      </w:r>
    </w:p>
  </w:endnote>
  <w:endnote w:type="continuationSeparator" w:id="0">
    <w:p w14:paraId="1C874819" w14:textId="77777777" w:rsidR="00B136B8" w:rsidRDefault="00B136B8">
      <w:r>
        <w:continuationSeparator/>
      </w:r>
    </w:p>
  </w:endnote>
  <w:endnote w:type="continuationNotice" w:id="1">
    <w:p w14:paraId="61BFF697" w14:textId="77777777" w:rsidR="00B136B8" w:rsidRDefault="00B13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3A24" w14:textId="77777777" w:rsidR="00B136B8" w:rsidRDefault="00B136B8">
      <w:r>
        <w:separator/>
      </w:r>
    </w:p>
  </w:footnote>
  <w:footnote w:type="continuationSeparator" w:id="0">
    <w:p w14:paraId="39DBA0A3" w14:textId="77777777" w:rsidR="00B136B8" w:rsidRDefault="00B136B8">
      <w:r>
        <w:continuationSeparator/>
      </w:r>
    </w:p>
  </w:footnote>
  <w:footnote w:type="continuationNotice" w:id="1">
    <w:p w14:paraId="6F4D5CF1" w14:textId="77777777" w:rsidR="00B136B8" w:rsidRDefault="00B13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6"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4BAIAAO8DAAAOAAAAZHJzL2Uyb0RvYy54bWysU8Fu2zAMvQ/YPwi6L3bSLOuMOEWXIsOA&#10;rhvQ7gNkWbaFyaJGKbGzrx8lp1nQ3obpIIji4xMfSa1vxt6wg0KvwZZ8Pss5U1ZCrW1b8h9Pu3fX&#10;nPkgbC0MWFXyo/L8ZvP2zXpwhVpAB6ZWyIjE+mJwJe9CcEWWedmpXvgZOGXJ2QD2IpCJbVajGIi9&#10;N9kiz1fZAFg7BKm8p9u7yck3ib9plAzfmsarwEzJKbeQdkx7FfdssxZFi8J1Wp7SEP+QRS+0pUfP&#10;VHciCLZH/Yqq1xLBQxNmEvoMmkZLlTSQmnn+Qs1jJ5xKWqg43p3L5P8frXw4fEema+odZ1b01KIn&#10;NQb2CUY2j9UZnC8I9OgIFka6jsio1Lt7kD89s7DthG3VLSIMnRI1ZZcis4vQicdHkmr4CjU9I/YB&#10;EtHYYB8JqRiM2KlLx3NnYiqSLper1dVySS5JvuvV1SpPrctE8Rzt0IfPCnoWDyVH6nxiF4d7H0gH&#10;QZ8hKXswut5pY5KBbbU1yA6CpmSXVpROIf4SZmwEW4hhkzveJJlR2aQxjNV4KlsF9ZEEI0xTR7+E&#10;Dh3gb84GmriS+197gYoz88VS0T7Ok8KQjOX7DwuSi5ee6tIjrCSqkgfOpuM2TGO9d6jbjl6a2mTh&#10;lgrd6FSD2JEpq1PeNFVJ5+kHxLG9tBPq7z/d/AEAAP//AwBQSwMEFAAGAAgAAAAhAGy36VffAAAA&#10;CgEAAA8AAABkcnMvZG93bnJldi54bWxMj8tOwzAQRfdI/IM1SGxQawN5tGmcCpBAbFv6AZPETaLG&#10;4yh2m/TvGVZ0ObpH957Jt7PtxcWMvnOk4XmpQBiqXN1Ro+Hw87lYgfABqcbekdFwNR62xf1djlnt&#10;JtqZyz40gkvIZ6ihDWHIpPRVayz6pRsMcXZ0o8XA59jIesSJy20vX5RKpMWOeKHFwXy0pjrtz1bD&#10;8Xt6itdT+RUO6S5K3rFLS3fV+vFhftuACGYO/zD86bM6FOxUujPVXvQaUhUzqWHxqhIQDKxUtAZR&#10;MqniCGSRy9sXil8AAAD//wMAUEsBAi0AFAAGAAgAAAAhALaDOJL+AAAA4QEAABMAAAAAAAAAAAAA&#10;AAAAAAAAAFtDb250ZW50X1R5cGVzXS54bWxQSwECLQAUAAYACAAAACEAOP0h/9YAAACUAQAACwAA&#10;AAAAAAAAAAAAAAAvAQAAX3JlbHMvLnJlbHNQSwECLQAUAAYACAAAACEAv1nquAQCAADvAwAADgAA&#10;AAAAAAAAAAAAAAAuAgAAZHJzL2Uyb0RvYy54bWxQSwECLQAUAAYACAAAACEAbLfpV98AAAAKAQAA&#10;DwAAAAAAAAAAAAAAAABeBAAAZHJzL2Rvd25yZXYueG1sUEsFBgAAAAAEAAQA8wAAAGoFAAAAAA==&#10;" stroked="f">
              <v:textbo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7"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HeWSpve&#10;AAAACwEAAA8AAABkcnMvZG93bnJldi54bWxMj0FOwzAQRfdI3MEaJDaotYloEkKcCpBAbFt6gEk8&#10;TSLicRS7TXp73BUsR/P1/3vldrGDONPke8caHtcKBHHjTM+thsP3xyoH4QOywcExabiQh211e1Ni&#10;YdzMOzrvQytiCfsCNXQhjIWUvunIol+7kTj+jm6yGOI5tdJMOMdyO8hEqVRa7DkudDjSe0fNz/5k&#10;NRy/5ofN81x/hkO2e0rfsM9qd9H6/m55fQERaAl/YbjiR3SoIlPtTmy8GDTkSkWXoGG1yRIQ14RS&#10;SbSpNWR5CrIq5X+H6hcAAP//AwBQSwECLQAUAAYACAAAACEAtoM4kv4AAADhAQAAEwAAAAAAAAAA&#10;AAAAAAAAAAAAW0NvbnRlbnRfVHlwZXNdLnhtbFBLAQItABQABgAIAAAAIQA4/SH/1gAAAJQBAAAL&#10;AAAAAAAAAAAAAAAAAC8BAABfcmVscy8ucmVsc1BLAQItABQABgAIAAAAIQBKOYQuBwIAAPYDAAAO&#10;AAAAAAAAAAAAAAAAAC4CAABkcnMvZTJvRG9jLnhtbFBLAQItABQABgAIAAAAIQB3lkqb3gAAAAsB&#10;AAAPAAAAAAAAAAAAAAAAAGEEAABkcnMvZG93bnJldi54bWxQSwUGAAAAAAQABADzAAAAbAU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95"/>
    <w:multiLevelType w:val="hybridMultilevel"/>
    <w:tmpl w:val="FD38D4A4"/>
    <w:lvl w:ilvl="0" w:tplc="1A64F09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464D0"/>
    <w:multiLevelType w:val="hybridMultilevel"/>
    <w:tmpl w:val="76D0848C"/>
    <w:lvl w:ilvl="0" w:tplc="DFAECE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81617"/>
    <w:multiLevelType w:val="hybridMultilevel"/>
    <w:tmpl w:val="4668987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344440EC"/>
    <w:multiLevelType w:val="hybridMultilevel"/>
    <w:tmpl w:val="9D44C6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FE44D59"/>
    <w:multiLevelType w:val="hybridMultilevel"/>
    <w:tmpl w:val="6F6E54D8"/>
    <w:lvl w:ilvl="0" w:tplc="02EEA0F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15:restartNumberingAfterBreak="0">
    <w:nsid w:val="51950928"/>
    <w:multiLevelType w:val="hybridMultilevel"/>
    <w:tmpl w:val="5AFE3944"/>
    <w:lvl w:ilvl="0" w:tplc="04090017">
      <w:start w:val="1"/>
      <w:numFmt w:val="lowerLetter"/>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9248E"/>
    <w:multiLevelType w:val="hybridMultilevel"/>
    <w:tmpl w:val="1272F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92065D6"/>
    <w:multiLevelType w:val="hybridMultilevel"/>
    <w:tmpl w:val="6D6C5D44"/>
    <w:lvl w:ilvl="0" w:tplc="86527F6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B6E4440"/>
    <w:multiLevelType w:val="hybridMultilevel"/>
    <w:tmpl w:val="D5A47192"/>
    <w:lvl w:ilvl="0" w:tplc="6E16C632">
      <w:start w:val="1"/>
      <w:numFmt w:val="lowerLetter"/>
      <w:lvlText w:val="%1)"/>
      <w:lvlJc w:val="left"/>
      <w:pPr>
        <w:ind w:left="1080" w:hanging="360"/>
      </w:pPr>
      <w:rPr>
        <w:rFonts w:ascii="Times New Roman" w:eastAsia="Times New Roman" w:hAnsi="Times New Roman" w:cs="Times New Roman"/>
        <w:b w:val="0"/>
        <w:bCs/>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4362C46"/>
    <w:multiLevelType w:val="hybridMultilevel"/>
    <w:tmpl w:val="6C6AB9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1FC1EA1"/>
    <w:multiLevelType w:val="hybridMultilevel"/>
    <w:tmpl w:val="3D30E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60C05"/>
    <w:multiLevelType w:val="hybridMultilevel"/>
    <w:tmpl w:val="664A99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BB941C8"/>
    <w:multiLevelType w:val="hybridMultilevel"/>
    <w:tmpl w:val="D182F60C"/>
    <w:lvl w:ilvl="0" w:tplc="BC2EA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3D448F"/>
    <w:multiLevelType w:val="hybridMultilevel"/>
    <w:tmpl w:val="C9B47460"/>
    <w:lvl w:ilvl="0" w:tplc="5202948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8"/>
  </w:num>
  <w:num w:numId="5">
    <w:abstractNumId w:val="3"/>
  </w:num>
  <w:num w:numId="6">
    <w:abstractNumId w:val="2"/>
  </w:num>
  <w:num w:numId="7">
    <w:abstractNumId w:val="4"/>
  </w:num>
  <w:num w:numId="8">
    <w:abstractNumId w:val="7"/>
  </w:num>
  <w:num w:numId="9">
    <w:abstractNumId w:val="14"/>
  </w:num>
  <w:num w:numId="10">
    <w:abstractNumId w:val="9"/>
  </w:num>
  <w:num w:numId="11">
    <w:abstractNumId w:val="11"/>
  </w:num>
  <w:num w:numId="12">
    <w:abstractNumId w:val="5"/>
  </w:num>
  <w:num w:numId="13">
    <w:abstractNumId w:val="13"/>
  </w:num>
  <w:num w:numId="14">
    <w:abstractNumId w:val="0"/>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6CF"/>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063B"/>
    <w:rsid w:val="000C17CF"/>
    <w:rsid w:val="000C3787"/>
    <w:rsid w:val="000C41E3"/>
    <w:rsid w:val="000C4F67"/>
    <w:rsid w:val="000C56C1"/>
    <w:rsid w:val="000C6045"/>
    <w:rsid w:val="000C63BE"/>
    <w:rsid w:val="000C66F6"/>
    <w:rsid w:val="000D2A6C"/>
    <w:rsid w:val="000D4657"/>
    <w:rsid w:val="000D609B"/>
    <w:rsid w:val="000D6FDD"/>
    <w:rsid w:val="000D70E4"/>
    <w:rsid w:val="000E624D"/>
    <w:rsid w:val="000E6DB8"/>
    <w:rsid w:val="000E6E90"/>
    <w:rsid w:val="000F2049"/>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0719"/>
    <w:rsid w:val="001C1A5C"/>
    <w:rsid w:val="001C5D4A"/>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E6B0B"/>
    <w:rsid w:val="001F2AE4"/>
    <w:rsid w:val="001F2F0F"/>
    <w:rsid w:val="001F7E7F"/>
    <w:rsid w:val="002013E3"/>
    <w:rsid w:val="00202B4B"/>
    <w:rsid w:val="00203BC1"/>
    <w:rsid w:val="002044F4"/>
    <w:rsid w:val="0020588E"/>
    <w:rsid w:val="0020628F"/>
    <w:rsid w:val="00210697"/>
    <w:rsid w:val="00211BB0"/>
    <w:rsid w:val="002143E8"/>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5ABC"/>
    <w:rsid w:val="002570EA"/>
    <w:rsid w:val="00263EF0"/>
    <w:rsid w:val="00264DBA"/>
    <w:rsid w:val="00265E60"/>
    <w:rsid w:val="00267653"/>
    <w:rsid w:val="0026766E"/>
    <w:rsid w:val="00270B10"/>
    <w:rsid w:val="00271160"/>
    <w:rsid w:val="0027425E"/>
    <w:rsid w:val="00276A3B"/>
    <w:rsid w:val="002816E1"/>
    <w:rsid w:val="0028637D"/>
    <w:rsid w:val="0028765B"/>
    <w:rsid w:val="002903AF"/>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0C45"/>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138B"/>
    <w:rsid w:val="003B37B8"/>
    <w:rsid w:val="003B3CBF"/>
    <w:rsid w:val="003B451D"/>
    <w:rsid w:val="003B5749"/>
    <w:rsid w:val="003B60C5"/>
    <w:rsid w:val="003C1B35"/>
    <w:rsid w:val="003C22B8"/>
    <w:rsid w:val="003C33CE"/>
    <w:rsid w:val="003C3A8D"/>
    <w:rsid w:val="003C55BF"/>
    <w:rsid w:val="003C6CCB"/>
    <w:rsid w:val="003D0723"/>
    <w:rsid w:val="003D0834"/>
    <w:rsid w:val="003D5606"/>
    <w:rsid w:val="003D60D4"/>
    <w:rsid w:val="003D6B57"/>
    <w:rsid w:val="003D78D2"/>
    <w:rsid w:val="003E3276"/>
    <w:rsid w:val="003E4E71"/>
    <w:rsid w:val="003E6635"/>
    <w:rsid w:val="003F4B90"/>
    <w:rsid w:val="00401E10"/>
    <w:rsid w:val="00404772"/>
    <w:rsid w:val="00404E49"/>
    <w:rsid w:val="00410543"/>
    <w:rsid w:val="00412AA9"/>
    <w:rsid w:val="00414B75"/>
    <w:rsid w:val="00423B74"/>
    <w:rsid w:val="004269A3"/>
    <w:rsid w:val="004269D8"/>
    <w:rsid w:val="00427341"/>
    <w:rsid w:val="004275C7"/>
    <w:rsid w:val="00432042"/>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0A78"/>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2A23"/>
    <w:rsid w:val="0056349A"/>
    <w:rsid w:val="0056546F"/>
    <w:rsid w:val="00573E62"/>
    <w:rsid w:val="005811E5"/>
    <w:rsid w:val="005952DF"/>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570D"/>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15EF"/>
    <w:rsid w:val="007D2069"/>
    <w:rsid w:val="007D30C5"/>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7F1"/>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674D2"/>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2B37"/>
    <w:rsid w:val="009E37A5"/>
    <w:rsid w:val="009E46E4"/>
    <w:rsid w:val="009F4248"/>
    <w:rsid w:val="009F4AA0"/>
    <w:rsid w:val="009F7FBA"/>
    <w:rsid w:val="00A012D1"/>
    <w:rsid w:val="00A027C9"/>
    <w:rsid w:val="00A0282B"/>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07EC"/>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0D5E"/>
    <w:rsid w:val="00AE2C5A"/>
    <w:rsid w:val="00AE38FE"/>
    <w:rsid w:val="00AE6186"/>
    <w:rsid w:val="00AE6F5E"/>
    <w:rsid w:val="00AE7314"/>
    <w:rsid w:val="00AE7C3F"/>
    <w:rsid w:val="00AF04C5"/>
    <w:rsid w:val="00AF0549"/>
    <w:rsid w:val="00AF340D"/>
    <w:rsid w:val="00AF6BFA"/>
    <w:rsid w:val="00B032CF"/>
    <w:rsid w:val="00B06CB6"/>
    <w:rsid w:val="00B136B8"/>
    <w:rsid w:val="00B14864"/>
    <w:rsid w:val="00B1616D"/>
    <w:rsid w:val="00B1635A"/>
    <w:rsid w:val="00B17C83"/>
    <w:rsid w:val="00B20AFC"/>
    <w:rsid w:val="00B21081"/>
    <w:rsid w:val="00B22CBB"/>
    <w:rsid w:val="00B23125"/>
    <w:rsid w:val="00B23F49"/>
    <w:rsid w:val="00B250CB"/>
    <w:rsid w:val="00B3232C"/>
    <w:rsid w:val="00B32F37"/>
    <w:rsid w:val="00B33D39"/>
    <w:rsid w:val="00B3521E"/>
    <w:rsid w:val="00B355E1"/>
    <w:rsid w:val="00B408EF"/>
    <w:rsid w:val="00B428E5"/>
    <w:rsid w:val="00B44997"/>
    <w:rsid w:val="00B5107C"/>
    <w:rsid w:val="00B526E3"/>
    <w:rsid w:val="00B5475C"/>
    <w:rsid w:val="00B56207"/>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1AC6"/>
    <w:rsid w:val="00C5343F"/>
    <w:rsid w:val="00C54A64"/>
    <w:rsid w:val="00C55B82"/>
    <w:rsid w:val="00C570FF"/>
    <w:rsid w:val="00C57E90"/>
    <w:rsid w:val="00C60703"/>
    <w:rsid w:val="00C624AD"/>
    <w:rsid w:val="00C63EA8"/>
    <w:rsid w:val="00C66445"/>
    <w:rsid w:val="00C67DDD"/>
    <w:rsid w:val="00C70A11"/>
    <w:rsid w:val="00C719E2"/>
    <w:rsid w:val="00C727DC"/>
    <w:rsid w:val="00C768FF"/>
    <w:rsid w:val="00C77276"/>
    <w:rsid w:val="00C77722"/>
    <w:rsid w:val="00C80060"/>
    <w:rsid w:val="00C811F9"/>
    <w:rsid w:val="00C823BC"/>
    <w:rsid w:val="00C87AEF"/>
    <w:rsid w:val="00C87DE3"/>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402"/>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67EA"/>
    <w:rsid w:val="00CE7602"/>
    <w:rsid w:val="00CE7CA6"/>
    <w:rsid w:val="00CF32ED"/>
    <w:rsid w:val="00D00286"/>
    <w:rsid w:val="00D018E7"/>
    <w:rsid w:val="00D01B4F"/>
    <w:rsid w:val="00D0223C"/>
    <w:rsid w:val="00D05EBA"/>
    <w:rsid w:val="00D074A4"/>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1ABE"/>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3D28"/>
    <w:rsid w:val="00D946B4"/>
    <w:rsid w:val="00D966E8"/>
    <w:rsid w:val="00D97FE7"/>
    <w:rsid w:val="00DA10D7"/>
    <w:rsid w:val="00DA140F"/>
    <w:rsid w:val="00DA148A"/>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1C75"/>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0619"/>
    <w:rsid w:val="00EE2426"/>
    <w:rsid w:val="00EE27E0"/>
    <w:rsid w:val="00EE30D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0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link w:val="BodyTextChar"/>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rsid w:val="00E95C73"/>
    <w:rPr>
      <w:rFonts w:cs="Times New Roman"/>
      <w:sz w:val="16"/>
      <w:szCs w:val="16"/>
    </w:rPr>
  </w:style>
  <w:style w:type="paragraph" w:styleId="CommentText">
    <w:name w:val="annotation text"/>
    <w:basedOn w:val="Normal"/>
    <w:link w:val="CommentTextChar"/>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 w:type="character" w:customStyle="1" w:styleId="CommentTextChar">
    <w:name w:val="Comment Text Char"/>
    <w:basedOn w:val="DefaultParagraphFont"/>
    <w:link w:val="CommentText"/>
    <w:rsid w:val="000D70E4"/>
  </w:style>
  <w:style w:type="character" w:customStyle="1" w:styleId="BodyTextChar">
    <w:name w:val="Body Text Char"/>
    <w:basedOn w:val="DefaultParagraphFont"/>
    <w:link w:val="BodyText"/>
    <w:locked/>
    <w:rsid w:val="000D70E4"/>
    <w:rPr>
      <w:rFonts w:ascii="Arial" w:hAnsi="Arial"/>
      <w:b/>
      <w:bCs/>
      <w:sz w:val="22"/>
      <w:lang w:val="es-PR"/>
    </w:rPr>
  </w:style>
  <w:style w:type="paragraph" w:styleId="Revision">
    <w:name w:val="Revision"/>
    <w:hidden/>
    <w:uiPriority w:val="99"/>
    <w:semiHidden/>
    <w:rsid w:val="001C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XIII.3/CIDI/COMCYT/RPA.doc%20&amp;classNum=4&amp;lan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XVIII.5%20CIDI/REMCYT-V/dec%20&amp;classNum=1&amp;lang=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2.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4.xml><?xml version="1.0" encoding="utf-8"?>
<ds:datastoreItem xmlns:ds="http://schemas.openxmlformats.org/officeDocument/2006/customXml" ds:itemID="{A3D43868-A8B8-4D5E-8547-69D5D78F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10</Pages>
  <Words>3639</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2021-08-16T22:45:00Z</cp:lastPrinted>
  <dcterms:created xsi:type="dcterms:W3CDTF">2021-12-03T23:33:00Z</dcterms:created>
  <dcterms:modified xsi:type="dcterms:W3CDTF">2021-12-03T23:33:00Z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