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8640B" w14:textId="77777777" w:rsidR="00E105B6" w:rsidRPr="00377015" w:rsidRDefault="00E105B6" w:rsidP="00E105B6">
      <w:pPr>
        <w:tabs>
          <w:tab w:val="left" w:pos="6840"/>
        </w:tabs>
        <w:suppressAutoHyphens/>
        <w:ind w:right="-209"/>
        <w:jc w:val="both"/>
        <w:rPr>
          <w:sz w:val="22"/>
          <w:szCs w:val="22"/>
        </w:rPr>
      </w:pPr>
      <w:r w:rsidRPr="00377015">
        <w:rPr>
          <w:caps/>
          <w:sz w:val="22"/>
          <w:szCs w:val="22"/>
        </w:rPr>
        <w:t>CONVENTION INTERAMÉRICAINE CONTRE</w:t>
      </w:r>
      <w:r w:rsidRPr="00377015">
        <w:rPr>
          <w:sz w:val="22"/>
          <w:szCs w:val="22"/>
        </w:rPr>
        <w:tab/>
        <w:t>OEA/</w:t>
      </w:r>
      <w:proofErr w:type="spellStart"/>
      <w:r w:rsidRPr="00377015">
        <w:rPr>
          <w:sz w:val="22"/>
          <w:szCs w:val="22"/>
        </w:rPr>
        <w:t>Ser.L</w:t>
      </w:r>
      <w:proofErr w:type="spellEnd"/>
      <w:r w:rsidRPr="00377015">
        <w:rPr>
          <w:sz w:val="22"/>
          <w:szCs w:val="22"/>
        </w:rPr>
        <w:t>/</w:t>
      </w:r>
      <w:proofErr w:type="spellStart"/>
      <w:r w:rsidRPr="00377015">
        <w:rPr>
          <w:sz w:val="22"/>
          <w:szCs w:val="22"/>
        </w:rPr>
        <w:t>XXII.2.20</w:t>
      </w:r>
      <w:proofErr w:type="spellEnd"/>
    </w:p>
    <w:p w14:paraId="0742BAF6" w14:textId="7C24F073" w:rsidR="00E105B6" w:rsidRPr="00377015" w:rsidRDefault="00E105B6" w:rsidP="00E105B6">
      <w:pPr>
        <w:tabs>
          <w:tab w:val="left" w:pos="6840"/>
        </w:tabs>
        <w:suppressAutoHyphens/>
        <w:ind w:right="-389"/>
        <w:jc w:val="both"/>
        <w:rPr>
          <w:sz w:val="22"/>
          <w:szCs w:val="22"/>
        </w:rPr>
      </w:pPr>
      <w:r w:rsidRPr="00377015">
        <w:rPr>
          <w:caps/>
          <w:sz w:val="22"/>
          <w:szCs w:val="22"/>
        </w:rPr>
        <w:t xml:space="preserve">la fabrication et le trafic illicites </w:t>
      </w:r>
      <w:r w:rsidRPr="00377015">
        <w:rPr>
          <w:caps/>
          <w:sz w:val="22"/>
          <w:szCs w:val="22"/>
        </w:rPr>
        <w:tab/>
      </w:r>
      <w:proofErr w:type="spellStart"/>
      <w:r w:rsidRPr="00377015">
        <w:rPr>
          <w:sz w:val="22"/>
          <w:szCs w:val="22"/>
        </w:rPr>
        <w:t>CIFTA</w:t>
      </w:r>
      <w:proofErr w:type="spellEnd"/>
      <w:r w:rsidRPr="00377015">
        <w:rPr>
          <w:sz w:val="22"/>
          <w:szCs w:val="22"/>
        </w:rPr>
        <w:t xml:space="preserve">/CC-XX/ </w:t>
      </w:r>
      <w:proofErr w:type="spellStart"/>
      <w:r w:rsidRPr="00377015">
        <w:rPr>
          <w:sz w:val="22"/>
          <w:szCs w:val="22"/>
        </w:rPr>
        <w:t>doc.6</w:t>
      </w:r>
      <w:proofErr w:type="spellEnd"/>
      <w:r w:rsidRPr="00377015">
        <w:rPr>
          <w:sz w:val="22"/>
          <w:szCs w:val="22"/>
        </w:rPr>
        <w:t>/20</w:t>
      </w:r>
    </w:p>
    <w:p w14:paraId="260B355A" w14:textId="302968FC" w:rsidR="00E105B6" w:rsidRPr="00377015" w:rsidRDefault="00E105B6" w:rsidP="00E105B6">
      <w:pPr>
        <w:tabs>
          <w:tab w:val="left" w:pos="6840"/>
        </w:tabs>
        <w:suppressAutoHyphens/>
        <w:ind w:right="-705"/>
        <w:jc w:val="both"/>
        <w:rPr>
          <w:sz w:val="22"/>
          <w:szCs w:val="22"/>
        </w:rPr>
      </w:pPr>
      <w:r w:rsidRPr="00377015">
        <w:rPr>
          <w:sz w:val="22"/>
          <w:szCs w:val="22"/>
        </w:rPr>
        <w:t>D’ARMES À FEU, DE MUNITIONS, D’EXPLOSIFS</w:t>
      </w:r>
      <w:r w:rsidRPr="00377015">
        <w:rPr>
          <w:sz w:val="22"/>
          <w:szCs w:val="22"/>
        </w:rPr>
        <w:tab/>
        <w:t>8 décembre 2020</w:t>
      </w:r>
    </w:p>
    <w:p w14:paraId="170A8A33" w14:textId="77777777" w:rsidR="00E105B6" w:rsidRPr="00377015" w:rsidRDefault="00E105B6" w:rsidP="00E105B6">
      <w:pPr>
        <w:tabs>
          <w:tab w:val="left" w:pos="6840"/>
        </w:tabs>
        <w:ind w:right="-389"/>
        <w:jc w:val="both"/>
        <w:rPr>
          <w:sz w:val="22"/>
          <w:szCs w:val="22"/>
        </w:rPr>
      </w:pPr>
      <w:r w:rsidRPr="00377015">
        <w:rPr>
          <w:sz w:val="22"/>
          <w:szCs w:val="22"/>
        </w:rPr>
        <w:t>ET D’AUTRES MATÉRIELS CONNEXES (</w:t>
      </w:r>
      <w:proofErr w:type="spellStart"/>
      <w:r w:rsidRPr="00377015">
        <w:rPr>
          <w:sz w:val="22"/>
          <w:szCs w:val="22"/>
        </w:rPr>
        <w:t>CIFTA</w:t>
      </w:r>
      <w:proofErr w:type="spellEnd"/>
      <w:r w:rsidRPr="00377015">
        <w:rPr>
          <w:sz w:val="22"/>
          <w:szCs w:val="22"/>
        </w:rPr>
        <w:t>)</w:t>
      </w:r>
      <w:r w:rsidRPr="00377015">
        <w:rPr>
          <w:sz w:val="22"/>
          <w:szCs w:val="22"/>
        </w:rPr>
        <w:tab/>
        <w:t>Original: espagnol</w:t>
      </w:r>
    </w:p>
    <w:p w14:paraId="0A648B77" w14:textId="77777777" w:rsidR="00E105B6" w:rsidRPr="00377015" w:rsidRDefault="00E105B6" w:rsidP="00A53D34">
      <w:pPr>
        <w:pStyle w:val="Heading3"/>
        <w:tabs>
          <w:tab w:val="left" w:pos="6840"/>
        </w:tabs>
        <w:spacing w:before="0" w:after="0"/>
        <w:rPr>
          <w:rFonts w:ascii="Times New Roman" w:hAnsi="Times New Roman" w:cs="Times New Roman"/>
          <w:b w:val="0"/>
          <w:sz w:val="22"/>
          <w:szCs w:val="22"/>
          <w:u w:val="single"/>
        </w:rPr>
      </w:pPr>
      <w:r w:rsidRPr="00377015">
        <w:rPr>
          <w:rFonts w:ascii="Times New Roman" w:hAnsi="Times New Roman"/>
          <w:b w:val="0"/>
          <w:sz w:val="22"/>
          <w:szCs w:val="22"/>
          <w:u w:val="single"/>
        </w:rPr>
        <w:t>Comité consultatif</w:t>
      </w:r>
    </w:p>
    <w:p w14:paraId="4E470BE7" w14:textId="77777777" w:rsidR="00E105B6" w:rsidRPr="00377015" w:rsidRDefault="0099241F" w:rsidP="00A53D34">
      <w:pPr>
        <w:tabs>
          <w:tab w:val="left" w:pos="6840"/>
        </w:tabs>
        <w:suppressAutoHyphens/>
        <w:jc w:val="both"/>
        <w:rPr>
          <w:sz w:val="22"/>
          <w:szCs w:val="22"/>
        </w:rPr>
      </w:pPr>
      <w:r w:rsidRPr="00377015">
        <w:rPr>
          <w:sz w:val="22"/>
          <w:szCs w:val="22"/>
          <w:u w:val="single"/>
        </w:rPr>
        <w:t>Vingtième réunion ordinaire</w:t>
      </w:r>
    </w:p>
    <w:p w14:paraId="16A07530" w14:textId="77777777" w:rsidR="001A7C14" w:rsidRPr="00377015" w:rsidRDefault="0099241F" w:rsidP="001A7C14">
      <w:pPr>
        <w:tabs>
          <w:tab w:val="left" w:pos="6300"/>
        </w:tabs>
        <w:suppressAutoHyphens/>
        <w:jc w:val="both"/>
        <w:rPr>
          <w:sz w:val="22"/>
          <w:szCs w:val="22"/>
        </w:rPr>
      </w:pPr>
      <w:r w:rsidRPr="00377015">
        <w:rPr>
          <w:sz w:val="22"/>
          <w:szCs w:val="22"/>
        </w:rPr>
        <w:t>17 décembre 2020</w:t>
      </w:r>
    </w:p>
    <w:p w14:paraId="24BC64DE" w14:textId="77777777" w:rsidR="001A7C14" w:rsidRPr="00377015" w:rsidRDefault="001A7C14" w:rsidP="001A7C14">
      <w:pPr>
        <w:tabs>
          <w:tab w:val="left" w:pos="6300"/>
        </w:tabs>
        <w:suppressAutoHyphens/>
        <w:jc w:val="both"/>
        <w:rPr>
          <w:sz w:val="22"/>
          <w:szCs w:val="22"/>
        </w:rPr>
      </w:pPr>
      <w:r w:rsidRPr="00377015">
        <w:rPr>
          <w:sz w:val="22"/>
          <w:szCs w:val="22"/>
        </w:rPr>
        <w:t>Washington, D.C.</w:t>
      </w:r>
    </w:p>
    <w:p w14:paraId="6A76557D" w14:textId="77777777" w:rsidR="00E105B6" w:rsidRPr="00E9227B" w:rsidRDefault="00E105B6" w:rsidP="00A53D34">
      <w:pPr>
        <w:pStyle w:val="BodyText"/>
        <w:jc w:val="left"/>
        <w:rPr>
          <w:b w:val="0"/>
          <w:sz w:val="22"/>
          <w:szCs w:val="22"/>
          <w:lang w:val="fr-FR"/>
        </w:rPr>
      </w:pPr>
    </w:p>
    <w:p w14:paraId="58BA8921" w14:textId="77777777" w:rsidR="00E105B6" w:rsidRPr="00E9227B" w:rsidRDefault="00E105B6" w:rsidP="00E9227B">
      <w:pPr>
        <w:pStyle w:val="BodyText"/>
        <w:spacing w:line="480" w:lineRule="auto"/>
        <w:jc w:val="left"/>
        <w:rPr>
          <w:b w:val="0"/>
          <w:sz w:val="22"/>
          <w:szCs w:val="22"/>
          <w:lang w:val="fr-FR"/>
        </w:rPr>
      </w:pPr>
    </w:p>
    <w:p w14:paraId="072BA656" w14:textId="77777777" w:rsidR="004718BA" w:rsidRPr="00377015" w:rsidRDefault="004718BA" w:rsidP="00E105B6">
      <w:pPr>
        <w:pStyle w:val="BodyText"/>
        <w:spacing w:line="480" w:lineRule="auto"/>
        <w:rPr>
          <w:b w:val="0"/>
          <w:sz w:val="22"/>
          <w:szCs w:val="22"/>
        </w:rPr>
      </w:pPr>
      <w:r w:rsidRPr="00377015">
        <w:rPr>
          <w:b w:val="0"/>
          <w:sz w:val="22"/>
          <w:szCs w:val="22"/>
        </w:rPr>
        <w:t>AVIS</w:t>
      </w:r>
    </w:p>
    <w:p w14:paraId="3098E192" w14:textId="77777777" w:rsidR="004718BA" w:rsidRPr="00E9227B" w:rsidRDefault="004718BA" w:rsidP="00E9227B">
      <w:pPr>
        <w:jc w:val="both"/>
        <w:rPr>
          <w:sz w:val="22"/>
          <w:szCs w:val="22"/>
          <w:lang w:val="fr-FR"/>
        </w:rPr>
      </w:pPr>
    </w:p>
    <w:p w14:paraId="74127DF2" w14:textId="77777777" w:rsidR="004718BA" w:rsidRPr="00377015" w:rsidRDefault="004718BA" w:rsidP="004718BA">
      <w:pPr>
        <w:spacing w:line="360" w:lineRule="auto"/>
        <w:ind w:firstLine="720"/>
        <w:jc w:val="both"/>
        <w:rPr>
          <w:sz w:val="22"/>
          <w:szCs w:val="22"/>
        </w:rPr>
      </w:pPr>
      <w:r w:rsidRPr="00377015">
        <w:rPr>
          <w:sz w:val="22"/>
          <w:szCs w:val="22"/>
        </w:rPr>
        <w:t xml:space="preserve">Le Secrétariat général présente ses compliments aux missions permanentes et, à la demande du secrétariat </w:t>
      </w:r>
      <w:r w:rsidRPr="00377015">
        <w:rPr>
          <w:i/>
          <w:iCs/>
          <w:sz w:val="22"/>
          <w:szCs w:val="22"/>
        </w:rPr>
        <w:t xml:space="preserve">pro </w:t>
      </w:r>
      <w:proofErr w:type="spellStart"/>
      <w:r w:rsidRPr="00377015">
        <w:rPr>
          <w:i/>
          <w:iCs/>
          <w:sz w:val="22"/>
          <w:szCs w:val="22"/>
        </w:rPr>
        <w:t>tempore</w:t>
      </w:r>
      <w:proofErr w:type="spellEnd"/>
      <w:r w:rsidRPr="00377015">
        <w:rPr>
          <w:sz w:val="22"/>
          <w:szCs w:val="22"/>
        </w:rPr>
        <w:t xml:space="preserve"> du Comité consultatif de la Convention interaméricaine contre la fabrication et le trafic illicites d’armes à feu, de munitions, d’explosifs et d’autres matériels connexes (</w:t>
      </w:r>
      <w:proofErr w:type="spellStart"/>
      <w:r w:rsidRPr="00377015">
        <w:rPr>
          <w:sz w:val="22"/>
          <w:szCs w:val="22"/>
        </w:rPr>
        <w:t>CIFTA</w:t>
      </w:r>
      <w:proofErr w:type="spellEnd"/>
      <w:r w:rsidRPr="00377015">
        <w:rPr>
          <w:sz w:val="22"/>
          <w:szCs w:val="22"/>
        </w:rPr>
        <w:t xml:space="preserve">), a l’honneur de se référer aux efforts déployés par le Comité consultatif en vue de promouvoir le dialogue continu entre les points de contact nationaux dans le but de combattre et d’éliminer le trafic et la fabrication illicites d’armes à feu dans le continent américain. </w:t>
      </w:r>
    </w:p>
    <w:p w14:paraId="047699F0" w14:textId="77777777" w:rsidR="004718BA" w:rsidRPr="00E9227B" w:rsidRDefault="004718BA" w:rsidP="00E9227B">
      <w:pPr>
        <w:spacing w:line="360" w:lineRule="auto"/>
        <w:jc w:val="both"/>
        <w:rPr>
          <w:sz w:val="22"/>
          <w:szCs w:val="22"/>
          <w:lang w:val="fr-FR"/>
        </w:rPr>
      </w:pPr>
    </w:p>
    <w:p w14:paraId="54FC4AC0" w14:textId="268C311F" w:rsidR="004718BA" w:rsidRPr="00377015" w:rsidRDefault="004718BA" w:rsidP="004718BA">
      <w:pPr>
        <w:spacing w:line="360" w:lineRule="auto"/>
        <w:ind w:firstLine="720"/>
        <w:jc w:val="both"/>
        <w:rPr>
          <w:sz w:val="22"/>
          <w:szCs w:val="22"/>
        </w:rPr>
      </w:pPr>
      <w:r w:rsidRPr="00377015">
        <w:rPr>
          <w:sz w:val="22"/>
          <w:szCs w:val="22"/>
        </w:rPr>
        <w:t xml:space="preserve">À cet égard, et dans la perspective des décisions prises aux termes de la résolution AG/RES. 2460 (XXXIX-O/09), « Convention interaméricaine contre la fabrication et le trafic illicites d’armes à feu, de munitions, d’explosifs et d’autres matériels connexes », le Secrétariat technique demande aux missions permanentes de bien vouloir collaborer en fournissant les renseignements suivants : </w:t>
      </w:r>
    </w:p>
    <w:p w14:paraId="6DCC9B49" w14:textId="77777777" w:rsidR="004718BA" w:rsidRPr="00E9227B" w:rsidRDefault="004718BA" w:rsidP="00E9227B">
      <w:pPr>
        <w:spacing w:line="360" w:lineRule="auto"/>
        <w:jc w:val="both"/>
        <w:rPr>
          <w:sz w:val="22"/>
          <w:szCs w:val="22"/>
        </w:rPr>
      </w:pPr>
    </w:p>
    <w:p w14:paraId="5D6E432B" w14:textId="3FAD531B" w:rsidR="004718BA" w:rsidRPr="00377015" w:rsidRDefault="004718BA" w:rsidP="00E9227B">
      <w:pPr>
        <w:numPr>
          <w:ilvl w:val="0"/>
          <w:numId w:val="6"/>
        </w:numPr>
        <w:tabs>
          <w:tab w:val="clear" w:pos="1080"/>
          <w:tab w:val="num" w:pos="1440"/>
        </w:tabs>
        <w:spacing w:line="360" w:lineRule="auto"/>
        <w:ind w:left="1440" w:hanging="720"/>
        <w:jc w:val="both"/>
        <w:rPr>
          <w:sz w:val="22"/>
          <w:szCs w:val="22"/>
        </w:rPr>
      </w:pPr>
      <w:r w:rsidRPr="00377015">
        <w:rPr>
          <w:sz w:val="22"/>
          <w:szCs w:val="22"/>
        </w:rPr>
        <w:t>L’entité nationale ou le point de contact central aux fins d’entraide et d’échange d’information, comme l’établit l’article XIV de la Convention.</w:t>
      </w:r>
    </w:p>
    <w:p w14:paraId="6A13A801" w14:textId="77777777" w:rsidR="004718BA" w:rsidRPr="00E9227B" w:rsidRDefault="004718BA" w:rsidP="00E9227B">
      <w:pPr>
        <w:tabs>
          <w:tab w:val="num" w:pos="1440"/>
        </w:tabs>
        <w:spacing w:line="360" w:lineRule="auto"/>
        <w:ind w:left="1440" w:hanging="720"/>
        <w:jc w:val="both"/>
        <w:rPr>
          <w:sz w:val="22"/>
          <w:szCs w:val="22"/>
        </w:rPr>
      </w:pPr>
    </w:p>
    <w:p w14:paraId="0F2110F9" w14:textId="77777777" w:rsidR="004718BA" w:rsidRPr="00377015" w:rsidRDefault="004718BA" w:rsidP="00E9227B">
      <w:pPr>
        <w:numPr>
          <w:ilvl w:val="0"/>
          <w:numId w:val="6"/>
        </w:numPr>
        <w:tabs>
          <w:tab w:val="clear" w:pos="1080"/>
          <w:tab w:val="num" w:pos="1440"/>
        </w:tabs>
        <w:spacing w:line="360" w:lineRule="auto"/>
        <w:ind w:left="1440" w:hanging="720"/>
        <w:jc w:val="both"/>
        <w:rPr>
          <w:sz w:val="22"/>
          <w:szCs w:val="22"/>
        </w:rPr>
      </w:pPr>
      <w:r w:rsidRPr="00377015">
        <w:rPr>
          <w:sz w:val="22"/>
          <w:szCs w:val="22"/>
        </w:rPr>
        <w:t>L’autorité nationale centrale aux fins d’entraide juridique, comme l’établit l’article XVII de la Convention.</w:t>
      </w:r>
    </w:p>
    <w:p w14:paraId="0294D56F" w14:textId="77777777" w:rsidR="004718BA" w:rsidRPr="00E9227B" w:rsidRDefault="004718BA" w:rsidP="00E9227B">
      <w:pPr>
        <w:tabs>
          <w:tab w:val="num" w:pos="1440"/>
        </w:tabs>
        <w:spacing w:line="360" w:lineRule="auto"/>
        <w:ind w:left="1440" w:hanging="720"/>
        <w:jc w:val="both"/>
        <w:rPr>
          <w:sz w:val="22"/>
          <w:szCs w:val="22"/>
          <w:lang w:val="fr-FR"/>
        </w:rPr>
      </w:pPr>
    </w:p>
    <w:p w14:paraId="22CCC6E9" w14:textId="77777777" w:rsidR="004718BA" w:rsidRPr="00377015" w:rsidRDefault="004718BA" w:rsidP="00E9227B">
      <w:pPr>
        <w:numPr>
          <w:ilvl w:val="0"/>
          <w:numId w:val="6"/>
        </w:numPr>
        <w:tabs>
          <w:tab w:val="clear" w:pos="1080"/>
          <w:tab w:val="num" w:pos="1440"/>
        </w:tabs>
        <w:spacing w:line="360" w:lineRule="auto"/>
        <w:ind w:left="1440" w:hanging="720"/>
        <w:jc w:val="both"/>
        <w:rPr>
          <w:sz w:val="22"/>
          <w:szCs w:val="22"/>
        </w:rPr>
      </w:pPr>
      <w:r w:rsidRPr="00377015">
        <w:rPr>
          <w:sz w:val="22"/>
          <w:szCs w:val="22"/>
        </w:rPr>
        <w:t xml:space="preserve">Le point opérationnel de contact pour les questions de dépistage d’armes à feu, de munitions et d’explosifs, afin d’établir un réseau sûr et confidentiel pour l’échange d’information entre les États membres, comme l’établit l’Engagement de Tlatelolco approuvé lors de la Deuxième Conférence des États parties à la </w:t>
      </w:r>
      <w:proofErr w:type="spellStart"/>
      <w:r w:rsidRPr="00377015">
        <w:rPr>
          <w:sz w:val="22"/>
          <w:szCs w:val="22"/>
        </w:rPr>
        <w:t>CIFTA</w:t>
      </w:r>
      <w:proofErr w:type="spellEnd"/>
      <w:r w:rsidRPr="00377015">
        <w:rPr>
          <w:sz w:val="22"/>
          <w:szCs w:val="22"/>
        </w:rPr>
        <w:t xml:space="preserve"> (Mexico </w:t>
      </w:r>
      <w:proofErr w:type="spellStart"/>
      <w:r w:rsidRPr="00377015">
        <w:rPr>
          <w:sz w:val="22"/>
          <w:szCs w:val="22"/>
        </w:rPr>
        <w:t>D.F</w:t>
      </w:r>
      <w:proofErr w:type="spellEnd"/>
      <w:r w:rsidRPr="00377015">
        <w:rPr>
          <w:sz w:val="22"/>
          <w:szCs w:val="22"/>
        </w:rPr>
        <w:t>., 20-21 février 2008).</w:t>
      </w:r>
    </w:p>
    <w:p w14:paraId="24F7AC58" w14:textId="695DC940" w:rsidR="004718BA" w:rsidRPr="00377015" w:rsidRDefault="004718BA" w:rsidP="004718BA">
      <w:pPr>
        <w:spacing w:line="360" w:lineRule="auto"/>
        <w:jc w:val="both"/>
        <w:rPr>
          <w:sz w:val="22"/>
          <w:szCs w:val="22"/>
        </w:rPr>
      </w:pPr>
    </w:p>
    <w:p w14:paraId="4C9B7253" w14:textId="77777777" w:rsidR="004718BA" w:rsidRPr="00377015" w:rsidRDefault="0044784F" w:rsidP="004718BA">
      <w:pPr>
        <w:spacing w:line="360" w:lineRule="auto"/>
        <w:ind w:firstLine="720"/>
        <w:jc w:val="both"/>
        <w:rPr>
          <w:sz w:val="22"/>
          <w:szCs w:val="22"/>
          <w:u w:val="single"/>
        </w:rPr>
      </w:pPr>
      <w:r w:rsidRPr="00377015">
        <w:rPr>
          <w:sz w:val="22"/>
          <w:szCs w:val="22"/>
        </w:rPr>
        <w:lastRenderedPageBreak/>
        <w:t>Les missions per</w:t>
      </w:r>
      <w:bookmarkStart w:id="0" w:name="_GoBack"/>
      <w:bookmarkEnd w:id="0"/>
      <w:r w:rsidRPr="00377015">
        <w:rPr>
          <w:sz w:val="22"/>
          <w:szCs w:val="22"/>
        </w:rPr>
        <w:t>manentes sont priées de bien vouloir communiquer au Secrétariat technique (</w:t>
      </w:r>
      <w:proofErr w:type="spellStart"/>
      <w:r w:rsidR="00E9227B">
        <w:fldChar w:fldCharType="begin"/>
      </w:r>
      <w:r w:rsidR="00E9227B">
        <w:instrText xml:space="preserve"> HYPERLINK "mailto:mbejos@oas.org" </w:instrText>
      </w:r>
      <w:r w:rsidR="00E9227B">
        <w:fldChar w:fldCharType="separate"/>
      </w:r>
      <w:r w:rsidRPr="00377015">
        <w:rPr>
          <w:rStyle w:val="Hyperlink"/>
          <w:sz w:val="22"/>
          <w:szCs w:val="22"/>
        </w:rPr>
        <w:t>mbejos@oas.org</w:t>
      </w:r>
      <w:proofErr w:type="spellEnd"/>
      <w:r w:rsidR="00E9227B">
        <w:rPr>
          <w:rStyle w:val="Hyperlink"/>
          <w:sz w:val="22"/>
          <w:szCs w:val="22"/>
        </w:rPr>
        <w:fldChar w:fldCharType="end"/>
      </w:r>
      <w:r w:rsidRPr="00377015">
        <w:rPr>
          <w:sz w:val="22"/>
          <w:szCs w:val="22"/>
        </w:rPr>
        <w:t xml:space="preserve">) les noms des contacts désignés ainsi que leurs coordonnées, par l’intermédiaire du Département contre la criminalité transnationale organisée de l’OEA, </w:t>
      </w:r>
      <w:r w:rsidRPr="00377015">
        <w:rPr>
          <w:sz w:val="22"/>
          <w:szCs w:val="22"/>
          <w:u w:val="single"/>
        </w:rPr>
        <w:t>avant le 12 décembre 2020.</w:t>
      </w:r>
    </w:p>
    <w:p w14:paraId="027DC980" w14:textId="3AFE88BD" w:rsidR="001318FC" w:rsidRPr="00377015" w:rsidRDefault="00D76A40" w:rsidP="00893777">
      <w:pPr>
        <w:tabs>
          <w:tab w:val="right" w:leader="dot" w:pos="7200"/>
          <w:tab w:val="right" w:leader="dot" w:pos="9360"/>
        </w:tabs>
        <w:spacing w:line="360" w:lineRule="auto"/>
        <w:jc w:val="both"/>
        <w:rPr>
          <w:sz w:val="22"/>
          <w:szCs w:val="22"/>
        </w:rPr>
      </w:pPr>
      <w:r w:rsidRPr="00377015">
        <w:rPr>
          <w:noProof/>
          <w:sz w:val="22"/>
          <w:szCs w:val="22"/>
          <w:lang w:val="en-US"/>
        </w:rPr>
        <mc:AlternateContent>
          <mc:Choice Requires="wps">
            <w:drawing>
              <wp:anchor distT="0" distB="0" distL="114300" distR="114300" simplePos="0" relativeHeight="251657216" behindDoc="0" locked="1" layoutInCell="1" allowOverlap="1" wp14:anchorId="79DC1BEC" wp14:editId="05BEBE92">
                <wp:simplePos x="0" y="0"/>
                <wp:positionH relativeFrom="column">
                  <wp:posOffset>-91440</wp:posOffset>
                </wp:positionH>
                <wp:positionV relativeFrom="page">
                  <wp:posOffset>9144000</wp:posOffset>
                </wp:positionV>
                <wp:extent cx="338328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492D4" w14:textId="77777777" w:rsidR="00FD2733" w:rsidRPr="00FD2733" w:rsidRDefault="00FD273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YOuA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" filled="f" stroked="f">
                <v:textbox>
                  <w:txbxContent>
                    <w:p w14:paraId="17F492D4" w14:textId="77777777" w:rsidR="00FD2733" w:rsidRPr="00FD2733" w:rsidRDefault="00FD2733">
                      <w:pPr>
                        <w:rPr>
                          <w:sz w:val="18"/>
                        </w:rPr>
                      </w:pPr>
                    </w:p>
                  </w:txbxContent>
                </v:textbox>
                <w10:wrap anchory="page"/>
                <w10:anchorlock/>
              </v:shape>
            </w:pict>
          </mc:Fallback>
        </mc:AlternateContent>
      </w:r>
      <w:r w:rsidR="00E9227B">
        <w:rPr>
          <w:noProof/>
          <w:sz w:val="22"/>
          <w:szCs w:val="22"/>
          <w:lang w:val="en-US"/>
        </w:rPr>
        <mc:AlternateContent>
          <mc:Choice Requires="wps">
            <w:drawing>
              <wp:anchor distT="0" distB="0" distL="114300" distR="114300" simplePos="0" relativeHeight="251659264" behindDoc="0" locked="1" layoutInCell="1" allowOverlap="1" wp14:anchorId="51D07D7F" wp14:editId="29976ED9">
                <wp:simplePos x="0" y="0"/>
                <wp:positionH relativeFrom="column">
                  <wp:posOffset>-91440</wp:posOffset>
                </wp:positionH>
                <wp:positionV relativeFrom="page">
                  <wp:posOffset>9144000</wp:posOffset>
                </wp:positionV>
                <wp:extent cx="338455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1D4AA8F1" w14:textId="489C94FE" w:rsidR="00E9227B" w:rsidRPr="00E9227B" w:rsidRDefault="00E9227B">
                            <w:pPr>
                              <w:rPr>
                                <w:sz w:val="18"/>
                              </w:rPr>
                            </w:pPr>
                            <w:r>
                              <w:rPr>
                                <w:sz w:val="18"/>
                              </w:rPr>
                              <w:fldChar w:fldCharType="begin"/>
                            </w:r>
                            <w:r>
                              <w:rPr>
                                <w:sz w:val="18"/>
                              </w:rPr>
                              <w:instrText xml:space="preserve"> FILENAME  \* MERGEFORMAT </w:instrText>
                            </w:r>
                            <w:r>
                              <w:rPr>
                                <w:sz w:val="18"/>
                              </w:rPr>
                              <w:fldChar w:fldCharType="separate"/>
                            </w:r>
                            <w:r>
                              <w:rPr>
                                <w:noProof/>
                                <w:sz w:val="18"/>
                              </w:rPr>
                              <w:t>CIFTA00865F04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7.2pt;margin-top:10in;width:266.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" filled="f" stroked="f">
                <v:stroke joinstyle="round"/>
                <v:path arrowok="t"/>
                <v:textbox>
                  <w:txbxContent>
                    <w:p w14:paraId="1D4AA8F1" w14:textId="489C94FE" w:rsidR="00E9227B" w:rsidRPr="00E9227B" w:rsidRDefault="00E9227B">
                      <w:pPr>
                        <w:rPr>
                          <w:sz w:val="18"/>
                        </w:rPr>
                      </w:pPr>
                      <w:r>
                        <w:rPr>
                          <w:sz w:val="18"/>
                        </w:rPr>
                        <w:fldChar w:fldCharType="begin"/>
                      </w:r>
                      <w:r>
                        <w:rPr>
                          <w:sz w:val="18"/>
                        </w:rPr>
                        <w:instrText xml:space="preserve"> FILENAME  \* MERGEFORMAT </w:instrText>
                      </w:r>
                      <w:r>
                        <w:rPr>
                          <w:sz w:val="18"/>
                        </w:rPr>
                        <w:fldChar w:fldCharType="separate"/>
                      </w:r>
                      <w:r>
                        <w:rPr>
                          <w:noProof/>
                          <w:sz w:val="18"/>
                        </w:rPr>
                        <w:t>CIFTA00865F04</w:t>
                      </w:r>
                      <w:r>
                        <w:rPr>
                          <w:sz w:val="18"/>
                        </w:rPr>
                        <w:fldChar w:fldCharType="end"/>
                      </w:r>
                    </w:p>
                  </w:txbxContent>
                </v:textbox>
                <w10:wrap anchory="page"/>
                <w10:anchorlock/>
              </v:shape>
            </w:pict>
          </mc:Fallback>
        </mc:AlternateContent>
      </w:r>
    </w:p>
    <w:sectPr w:rsidR="001318FC" w:rsidRPr="00377015" w:rsidSect="00E9227B">
      <w:headerReference w:type="default" r:id="rId8"/>
      <w:pgSz w:w="12240" w:h="15840" w:code="1"/>
      <w:pgMar w:top="1440" w:right="1440" w:bottom="1296" w:left="1440" w:header="720" w:footer="72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D0F92" w14:textId="77777777" w:rsidR="00D00808" w:rsidRDefault="00D00808">
      <w:r>
        <w:separator/>
      </w:r>
    </w:p>
  </w:endnote>
  <w:endnote w:type="continuationSeparator" w:id="0">
    <w:p w14:paraId="59BDD3ED" w14:textId="77777777" w:rsidR="00D00808" w:rsidRDefault="00D0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6E648" w14:textId="77777777" w:rsidR="00D00808" w:rsidRDefault="00D00808">
      <w:r>
        <w:separator/>
      </w:r>
    </w:p>
  </w:footnote>
  <w:footnote w:type="continuationSeparator" w:id="0">
    <w:p w14:paraId="3FDA6873" w14:textId="77777777" w:rsidR="00D00808" w:rsidRDefault="00D00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019701"/>
      <w:docPartObj>
        <w:docPartGallery w:val="Page Numbers (Top of Page)"/>
        <w:docPartUnique/>
      </w:docPartObj>
    </w:sdtPr>
    <w:sdtEndPr>
      <w:rPr>
        <w:noProof/>
      </w:rPr>
    </w:sdtEndPr>
    <w:sdtContent>
      <w:p w14:paraId="68C2F098" w14:textId="7E1F12DE" w:rsidR="00E9227B" w:rsidRDefault="00E9227B">
        <w:pPr>
          <w:pStyle w:val="Header"/>
          <w:jc w:val="center"/>
        </w:pPr>
        <w:r>
          <w:fldChar w:fldCharType="begin"/>
        </w:r>
        <w:r>
          <w:instrText xml:space="preserve"> PAGE   \* MERGEFORMAT </w:instrText>
        </w:r>
        <w:r>
          <w:fldChar w:fldCharType="separate"/>
        </w:r>
        <w:r>
          <w:rPr>
            <w:noProof/>
          </w:rPr>
          <w:t>- 2 -</w:t>
        </w:r>
        <w:r>
          <w:rPr>
            <w:noProof/>
          </w:rPr>
          <w:fldChar w:fldCharType="end"/>
        </w:r>
      </w:p>
    </w:sdtContent>
  </w:sdt>
  <w:p w14:paraId="243AFD3F" w14:textId="77777777" w:rsidR="00E9227B" w:rsidRDefault="00E92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F2B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43240351"/>
    <w:multiLevelType w:val="hybridMultilevel"/>
    <w:tmpl w:val="45CE86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757F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6CEE32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7C3E3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7D075105"/>
    <w:multiLevelType w:val="hybridMultilevel"/>
    <w:tmpl w:val="D13C84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DB"/>
    <w:rsid w:val="00027D36"/>
    <w:rsid w:val="0004115B"/>
    <w:rsid w:val="00085D57"/>
    <w:rsid w:val="000916C5"/>
    <w:rsid w:val="000A10AB"/>
    <w:rsid w:val="000A2204"/>
    <w:rsid w:val="000D65C3"/>
    <w:rsid w:val="000E52BC"/>
    <w:rsid w:val="00114C16"/>
    <w:rsid w:val="00120B6C"/>
    <w:rsid w:val="00130531"/>
    <w:rsid w:val="001318FC"/>
    <w:rsid w:val="00134858"/>
    <w:rsid w:val="001833BE"/>
    <w:rsid w:val="00193E67"/>
    <w:rsid w:val="001A7C14"/>
    <w:rsid w:val="001C2076"/>
    <w:rsid w:val="001D1389"/>
    <w:rsid w:val="001E4F7C"/>
    <w:rsid w:val="00206E64"/>
    <w:rsid w:val="0022494E"/>
    <w:rsid w:val="00227899"/>
    <w:rsid w:val="00230FA2"/>
    <w:rsid w:val="00251ABC"/>
    <w:rsid w:val="00272FEA"/>
    <w:rsid w:val="0027690C"/>
    <w:rsid w:val="00291ED7"/>
    <w:rsid w:val="002936D4"/>
    <w:rsid w:val="002C7226"/>
    <w:rsid w:val="002E0462"/>
    <w:rsid w:val="002E3C95"/>
    <w:rsid w:val="002E7685"/>
    <w:rsid w:val="003011A2"/>
    <w:rsid w:val="00332300"/>
    <w:rsid w:val="00375F37"/>
    <w:rsid w:val="00377015"/>
    <w:rsid w:val="003A15AB"/>
    <w:rsid w:val="003B356F"/>
    <w:rsid w:val="003C1345"/>
    <w:rsid w:val="003D5A8F"/>
    <w:rsid w:val="004350FC"/>
    <w:rsid w:val="004352D7"/>
    <w:rsid w:val="00436D2F"/>
    <w:rsid w:val="004462D6"/>
    <w:rsid w:val="0044784F"/>
    <w:rsid w:val="00470795"/>
    <w:rsid w:val="004718BA"/>
    <w:rsid w:val="00495E7F"/>
    <w:rsid w:val="004B5003"/>
    <w:rsid w:val="004C774B"/>
    <w:rsid w:val="004D266E"/>
    <w:rsid w:val="004E52DB"/>
    <w:rsid w:val="00521998"/>
    <w:rsid w:val="00526D8B"/>
    <w:rsid w:val="00551377"/>
    <w:rsid w:val="00554980"/>
    <w:rsid w:val="00561F84"/>
    <w:rsid w:val="00590DFF"/>
    <w:rsid w:val="005C116B"/>
    <w:rsid w:val="005C4CEF"/>
    <w:rsid w:val="005C6FE8"/>
    <w:rsid w:val="0061313B"/>
    <w:rsid w:val="0062567C"/>
    <w:rsid w:val="00645240"/>
    <w:rsid w:val="00651C42"/>
    <w:rsid w:val="006528A2"/>
    <w:rsid w:val="006C7600"/>
    <w:rsid w:val="00704353"/>
    <w:rsid w:val="007227E0"/>
    <w:rsid w:val="00737E62"/>
    <w:rsid w:val="00782606"/>
    <w:rsid w:val="007B27F6"/>
    <w:rsid w:val="007C47F0"/>
    <w:rsid w:val="00804997"/>
    <w:rsid w:val="008111FE"/>
    <w:rsid w:val="00826994"/>
    <w:rsid w:val="008424C5"/>
    <w:rsid w:val="0086491A"/>
    <w:rsid w:val="00873524"/>
    <w:rsid w:val="00881374"/>
    <w:rsid w:val="00893777"/>
    <w:rsid w:val="008C228B"/>
    <w:rsid w:val="008C4934"/>
    <w:rsid w:val="008F2CF8"/>
    <w:rsid w:val="00917E03"/>
    <w:rsid w:val="00927E51"/>
    <w:rsid w:val="009329A2"/>
    <w:rsid w:val="0099241F"/>
    <w:rsid w:val="009B35B2"/>
    <w:rsid w:val="009C4ED2"/>
    <w:rsid w:val="009C6D7A"/>
    <w:rsid w:val="009E0D70"/>
    <w:rsid w:val="009E214F"/>
    <w:rsid w:val="00A25021"/>
    <w:rsid w:val="00A53D34"/>
    <w:rsid w:val="00A759D0"/>
    <w:rsid w:val="00AC24F3"/>
    <w:rsid w:val="00AC2BCD"/>
    <w:rsid w:val="00AD4614"/>
    <w:rsid w:val="00B64097"/>
    <w:rsid w:val="00B67E36"/>
    <w:rsid w:val="00B70BF8"/>
    <w:rsid w:val="00B747E4"/>
    <w:rsid w:val="00B920AE"/>
    <w:rsid w:val="00BA0089"/>
    <w:rsid w:val="00BA57AE"/>
    <w:rsid w:val="00C1361B"/>
    <w:rsid w:val="00C47B78"/>
    <w:rsid w:val="00C50CD3"/>
    <w:rsid w:val="00C5460C"/>
    <w:rsid w:val="00CA2B5D"/>
    <w:rsid w:val="00CA7119"/>
    <w:rsid w:val="00CB67DA"/>
    <w:rsid w:val="00CD46FA"/>
    <w:rsid w:val="00CF2975"/>
    <w:rsid w:val="00CF5759"/>
    <w:rsid w:val="00D00808"/>
    <w:rsid w:val="00D015EA"/>
    <w:rsid w:val="00D63797"/>
    <w:rsid w:val="00D66BA2"/>
    <w:rsid w:val="00D76A40"/>
    <w:rsid w:val="00D83630"/>
    <w:rsid w:val="00D93B29"/>
    <w:rsid w:val="00DD6EF5"/>
    <w:rsid w:val="00E04AEE"/>
    <w:rsid w:val="00E105B6"/>
    <w:rsid w:val="00E1622C"/>
    <w:rsid w:val="00E30B1D"/>
    <w:rsid w:val="00E44612"/>
    <w:rsid w:val="00E51B6A"/>
    <w:rsid w:val="00E6088E"/>
    <w:rsid w:val="00E8060A"/>
    <w:rsid w:val="00E840C3"/>
    <w:rsid w:val="00E90600"/>
    <w:rsid w:val="00E9227B"/>
    <w:rsid w:val="00F1207C"/>
    <w:rsid w:val="00F16AB0"/>
    <w:rsid w:val="00F23A58"/>
    <w:rsid w:val="00F2586F"/>
    <w:rsid w:val="00F331E0"/>
    <w:rsid w:val="00F63832"/>
    <w:rsid w:val="00F65C47"/>
    <w:rsid w:val="00F670DE"/>
    <w:rsid w:val="00F738B0"/>
    <w:rsid w:val="00FC394A"/>
    <w:rsid w:val="00FC7AAB"/>
    <w:rsid w:val="00FD2733"/>
    <w:rsid w:val="00FF03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F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E105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jc w:val="center"/>
    </w:pPr>
    <w:rPr>
      <w:b/>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CB67DA"/>
    <w:rPr>
      <w:rFonts w:ascii="Tahoma" w:hAnsi="Tahoma" w:cs="Tahoma"/>
      <w:sz w:val="16"/>
      <w:szCs w:val="16"/>
    </w:rPr>
  </w:style>
  <w:style w:type="paragraph" w:styleId="BodyTextIndent">
    <w:name w:val="Body Text Indent"/>
    <w:basedOn w:val="Normal"/>
    <w:rsid w:val="00E105B6"/>
    <w:pPr>
      <w:spacing w:after="120"/>
      <w:ind w:left="360"/>
    </w:pPr>
  </w:style>
  <w:style w:type="character" w:customStyle="1" w:styleId="HeaderChar">
    <w:name w:val="Header Char"/>
    <w:basedOn w:val="DefaultParagraphFont"/>
    <w:link w:val="Header"/>
    <w:uiPriority w:val="99"/>
    <w:rsid w:val="00E92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E105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jc w:val="center"/>
    </w:pPr>
    <w:rPr>
      <w:b/>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CB67DA"/>
    <w:rPr>
      <w:rFonts w:ascii="Tahoma" w:hAnsi="Tahoma" w:cs="Tahoma"/>
      <w:sz w:val="16"/>
      <w:szCs w:val="16"/>
    </w:rPr>
  </w:style>
  <w:style w:type="paragraph" w:styleId="BodyTextIndent">
    <w:name w:val="Body Text Indent"/>
    <w:basedOn w:val="Normal"/>
    <w:rsid w:val="00E105B6"/>
    <w:pPr>
      <w:spacing w:after="120"/>
      <w:ind w:left="360"/>
    </w:pPr>
  </w:style>
  <w:style w:type="character" w:customStyle="1" w:styleId="HeaderChar">
    <w:name w:val="Header Char"/>
    <w:basedOn w:val="DefaultParagraphFont"/>
    <w:link w:val="Header"/>
    <w:uiPriority w:val="99"/>
    <w:rsid w:val="00E9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CONVENCION INTERAMERICANA CONTRA LA FABRICACION Y EL TRAFICO ILICITO DE ARMAS DE FUEGO, MUNICIONES, EXPLOSIVOS, Y OTROS MATERIALES RELACIONADOS</vt:lpstr>
    </vt:vector>
  </TitlesOfParts>
  <Company>OAS</Company>
  <LinksUpToDate>false</LinksUpToDate>
  <CharactersWithSpaces>2221</CharactersWithSpaces>
  <SharedDoc>false</SharedDoc>
  <HLinks>
    <vt:vector size="6" baseType="variant">
      <vt:variant>
        <vt:i4>7864386</vt:i4>
      </vt:variant>
      <vt:variant>
        <vt:i4>0</vt:i4>
      </vt:variant>
      <vt:variant>
        <vt:i4>0</vt:i4>
      </vt:variant>
      <vt:variant>
        <vt:i4>5</vt:i4>
      </vt:variant>
      <vt:variant>
        <vt:lpwstr>mailto:mbejos@oas.org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CONVENCION INTERAMERICANA CONTRA LA FABRICACION Y EL TRAFICO ILICITO DE ARMAS DE FUEGO, MUNICIONES, EXPLOSIVOS, Y OTROS MATERIALES RELACIONADOS</dc:title>
  <dc:subject/>
  <dc:creator>llangberg</dc:creator>
  <cp:keywords/>
  <dc:description/>
  <cp:lastModifiedBy>Santos, Ada</cp:lastModifiedBy>
  <cp:revision>3</cp:revision>
  <cp:lastPrinted>2003-03-27T17:30:00Z</cp:lastPrinted>
  <dcterms:created xsi:type="dcterms:W3CDTF">2020-12-08T20:58:00Z</dcterms:created>
  <dcterms:modified xsi:type="dcterms:W3CDTF">2020-12-08T22:35:00Z</dcterms:modified>
</cp:coreProperties>
</file>