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31B0" w14:textId="77777777" w:rsidR="00B95BD9" w:rsidRPr="00577ED6" w:rsidRDefault="00B95BD9" w:rsidP="00B95BD9">
      <w:pPr>
        <w:pStyle w:val="Header"/>
        <w:widowControl/>
        <w:tabs>
          <w:tab w:val="center" w:pos="2880"/>
          <w:tab w:val="left" w:pos="7020"/>
        </w:tabs>
        <w:rPr>
          <w:rFonts w:ascii="Times New Roman" w:hAnsi="Times New Roman"/>
          <w:lang w:val="pt-BR"/>
        </w:rPr>
      </w:pPr>
      <w:r w:rsidRPr="00577ED6">
        <w:rPr>
          <w:rFonts w:ascii="Times New Roman" w:hAnsi="Times New Roman"/>
          <w:lang w:val="pt-BR"/>
        </w:rPr>
        <w:tab/>
        <w:t>CONSELHO PERMANENTE DA</w:t>
      </w:r>
      <w:r w:rsidRPr="00577ED6">
        <w:rPr>
          <w:rFonts w:ascii="Times New Roman" w:hAnsi="Times New Roman"/>
          <w:lang w:val="pt-BR"/>
        </w:rPr>
        <w:tab/>
      </w:r>
      <w:bookmarkStart w:id="0" w:name="_Hlk75260056"/>
      <w:r w:rsidRPr="00577ED6">
        <w:rPr>
          <w:rFonts w:ascii="Times New Roman" w:hAnsi="Times New Roman"/>
          <w:szCs w:val="22"/>
          <w:lang w:val="pt-BR"/>
        </w:rPr>
        <w:t>OEA/Ser.K/XXXIV</w:t>
      </w:r>
      <w:bookmarkEnd w:id="0"/>
    </w:p>
    <w:p w14:paraId="78D5F17E" w14:textId="6ED8C510" w:rsidR="00B95BD9" w:rsidRPr="00577ED6" w:rsidRDefault="00B95BD9" w:rsidP="00B95BD9">
      <w:pPr>
        <w:pStyle w:val="Header"/>
        <w:widowControl/>
        <w:tabs>
          <w:tab w:val="center" w:pos="2880"/>
          <w:tab w:val="left" w:pos="7020"/>
        </w:tabs>
        <w:ind w:right="-1109"/>
        <w:rPr>
          <w:rFonts w:ascii="Times New Roman" w:hAnsi="Times New Roman"/>
          <w:sz w:val="24"/>
          <w:szCs w:val="24"/>
          <w:lang w:val="pt-BR" w:eastAsia="es-ES_tradnl"/>
        </w:rPr>
      </w:pPr>
      <w:r w:rsidRPr="00577ED6">
        <w:rPr>
          <w:rFonts w:ascii="Times New Roman" w:hAnsi="Times New Roman"/>
          <w:lang w:val="pt-BR"/>
        </w:rPr>
        <w:tab/>
        <w:t>ORGANIZAÇÃO DOS ESTADOS AMERICANOS</w:t>
      </w:r>
      <w:r w:rsidRPr="00577ED6">
        <w:rPr>
          <w:rFonts w:ascii="Times New Roman" w:hAnsi="Times New Roman"/>
          <w:lang w:val="pt-BR"/>
        </w:rPr>
        <w:tab/>
      </w:r>
      <w:bookmarkStart w:id="1" w:name="_Hlk75260071"/>
      <w:r w:rsidRPr="00577ED6">
        <w:rPr>
          <w:rFonts w:ascii="Times New Roman" w:hAnsi="Times New Roman"/>
          <w:szCs w:val="22"/>
          <w:lang w:val="pt-BR"/>
        </w:rPr>
        <w:t>RANDOT-III/doc.4/21</w:t>
      </w:r>
      <w:bookmarkEnd w:id="1"/>
      <w:r w:rsidR="00B95154" w:rsidRPr="00577ED6">
        <w:rPr>
          <w:rFonts w:ascii="Times New Roman" w:hAnsi="Times New Roman"/>
          <w:szCs w:val="22"/>
          <w:lang w:val="pt-BR"/>
        </w:rPr>
        <w:t xml:space="preserve"> rev. 1</w:t>
      </w:r>
    </w:p>
    <w:p w14:paraId="429E76B2" w14:textId="43FD36C1" w:rsidR="00B95BD9" w:rsidRPr="00577ED6" w:rsidRDefault="00B95BD9" w:rsidP="00B95BD9">
      <w:pPr>
        <w:pStyle w:val="Header"/>
        <w:widowControl/>
        <w:tabs>
          <w:tab w:val="center" w:pos="2880"/>
          <w:tab w:val="left" w:pos="7020"/>
        </w:tabs>
        <w:rPr>
          <w:rFonts w:ascii="Times New Roman" w:hAnsi="Times New Roman"/>
          <w:lang w:val="pt-BR"/>
        </w:rPr>
      </w:pPr>
      <w:r w:rsidRPr="00577ED6">
        <w:rPr>
          <w:rFonts w:ascii="Times New Roman" w:hAnsi="Times New Roman"/>
          <w:lang w:val="pt-BR"/>
        </w:rPr>
        <w:tab/>
      </w:r>
      <w:r w:rsidRPr="00577ED6">
        <w:rPr>
          <w:rFonts w:ascii="Times New Roman" w:hAnsi="Times New Roman"/>
          <w:lang w:val="pt-BR"/>
        </w:rPr>
        <w:tab/>
      </w:r>
      <w:r w:rsidRPr="00577ED6">
        <w:rPr>
          <w:rFonts w:ascii="Times New Roman" w:hAnsi="Times New Roman"/>
          <w:lang w:val="pt-BR"/>
        </w:rPr>
        <w:tab/>
        <w:t>2</w:t>
      </w:r>
      <w:r w:rsidR="00B95154" w:rsidRPr="00577ED6">
        <w:rPr>
          <w:rFonts w:ascii="Times New Roman" w:hAnsi="Times New Roman"/>
          <w:lang w:val="pt-BR"/>
        </w:rPr>
        <w:t>4</w:t>
      </w:r>
      <w:r w:rsidRPr="00577ED6">
        <w:rPr>
          <w:rFonts w:ascii="Times New Roman" w:hAnsi="Times New Roman"/>
          <w:lang w:val="pt-BR"/>
        </w:rPr>
        <w:t xml:space="preserve"> junho 2021</w:t>
      </w:r>
    </w:p>
    <w:p w14:paraId="543C5152" w14:textId="77777777" w:rsidR="00B95BD9" w:rsidRPr="00577ED6" w:rsidRDefault="00B95BD9" w:rsidP="00B95BD9">
      <w:pPr>
        <w:pStyle w:val="Header"/>
        <w:widowControl/>
        <w:tabs>
          <w:tab w:val="center" w:pos="2880"/>
          <w:tab w:val="left" w:pos="7020"/>
        </w:tabs>
        <w:rPr>
          <w:rFonts w:ascii="Times New Roman" w:hAnsi="Times New Roman"/>
          <w:lang w:val="pt-BR"/>
        </w:rPr>
      </w:pPr>
      <w:r w:rsidRPr="00577ED6">
        <w:rPr>
          <w:rFonts w:ascii="Times New Roman" w:hAnsi="Times New Roman"/>
          <w:lang w:val="pt-BR"/>
        </w:rPr>
        <w:tab/>
        <w:t>COMISSÃO DE SEGURANÇA HEMISFÉRICA</w:t>
      </w:r>
      <w:r w:rsidRPr="00577ED6">
        <w:rPr>
          <w:rFonts w:ascii="Times New Roman" w:hAnsi="Times New Roman"/>
          <w:lang w:val="pt-BR"/>
        </w:rPr>
        <w:tab/>
        <w:t>Original: inglês</w:t>
      </w:r>
    </w:p>
    <w:p w14:paraId="29089BA5" w14:textId="77777777" w:rsidR="00B95BD9" w:rsidRPr="00577ED6" w:rsidRDefault="00B95BD9" w:rsidP="00B95BD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  <w:r w:rsidRPr="00577ED6">
        <w:rPr>
          <w:lang w:val="pt-BR"/>
        </w:rPr>
        <w:tab/>
      </w:r>
    </w:p>
    <w:p w14:paraId="4A47CF26" w14:textId="77777777" w:rsidR="00B95BD9" w:rsidRPr="00577ED6" w:rsidRDefault="00B95BD9" w:rsidP="00B95BD9">
      <w:pPr>
        <w:pStyle w:val="EndnoteText"/>
        <w:widowControl/>
        <w:ind w:right="-749"/>
        <w:jc w:val="left"/>
        <w:rPr>
          <w:rFonts w:ascii="Times New Roman" w:hAnsi="Times New Roman"/>
          <w:szCs w:val="22"/>
          <w:lang w:val="pt-BR"/>
        </w:rPr>
      </w:pPr>
    </w:p>
    <w:p w14:paraId="3FE2C636" w14:textId="77777777" w:rsidR="00B95BD9" w:rsidRPr="00577ED6" w:rsidRDefault="00B95BD9" w:rsidP="00B95BD9">
      <w:pPr>
        <w:tabs>
          <w:tab w:val="left" w:pos="7088"/>
        </w:tabs>
        <w:outlineLvl w:val="0"/>
        <w:rPr>
          <w:rFonts w:ascii="Times New Roman" w:hAnsi="Times New Roman"/>
          <w:szCs w:val="22"/>
          <w:u w:val="single"/>
          <w:lang w:val="pt-BR"/>
        </w:rPr>
      </w:pPr>
      <w:r w:rsidRPr="00577ED6">
        <w:rPr>
          <w:rFonts w:ascii="Times New Roman" w:hAnsi="Times New Roman"/>
          <w:szCs w:val="22"/>
          <w:u w:val="single"/>
          <w:lang w:val="pt-BR"/>
        </w:rPr>
        <w:t>Terceira Reunião de Autoridades Nacionais em Matéria</w:t>
      </w:r>
    </w:p>
    <w:p w14:paraId="79DAE48C" w14:textId="77777777" w:rsidR="00B95BD9" w:rsidRPr="00577ED6" w:rsidRDefault="00B95BD9" w:rsidP="00B95BD9">
      <w:pPr>
        <w:tabs>
          <w:tab w:val="left" w:pos="7088"/>
        </w:tabs>
        <w:outlineLvl w:val="0"/>
        <w:rPr>
          <w:rFonts w:ascii="Times New Roman" w:hAnsi="Times New Roman"/>
          <w:szCs w:val="22"/>
          <w:u w:val="single"/>
          <w:lang w:val="pt-BR"/>
        </w:rPr>
      </w:pPr>
      <w:r w:rsidRPr="00577ED6">
        <w:rPr>
          <w:rFonts w:ascii="Times New Roman" w:hAnsi="Times New Roman"/>
          <w:szCs w:val="22"/>
          <w:u w:val="single"/>
          <w:lang w:val="pt-BR"/>
        </w:rPr>
        <w:t>de Criminalidade Organizada Transnacional (RANDOT-III)</w:t>
      </w:r>
    </w:p>
    <w:p w14:paraId="5D7ED461" w14:textId="77777777" w:rsidR="00B95BD9" w:rsidRPr="00577ED6" w:rsidRDefault="00B95BD9" w:rsidP="00B95BD9">
      <w:pPr>
        <w:tabs>
          <w:tab w:val="left" w:pos="7088"/>
        </w:tabs>
        <w:outlineLvl w:val="0"/>
        <w:rPr>
          <w:rFonts w:ascii="Times New Roman" w:hAnsi="Times New Roman"/>
          <w:szCs w:val="22"/>
          <w:lang w:val="pt-BR"/>
        </w:rPr>
      </w:pPr>
      <w:r w:rsidRPr="00577ED6">
        <w:rPr>
          <w:rFonts w:ascii="Times New Roman" w:hAnsi="Times New Roman"/>
          <w:szCs w:val="22"/>
          <w:lang w:val="pt-BR"/>
        </w:rPr>
        <w:t>23-24 de junho de 2021</w:t>
      </w:r>
    </w:p>
    <w:p w14:paraId="65A68173" w14:textId="77777777" w:rsidR="00B95BD9" w:rsidRPr="00577ED6" w:rsidRDefault="00B95BD9" w:rsidP="00B95BD9">
      <w:pPr>
        <w:pStyle w:val="EndnoteText"/>
        <w:widowControl/>
        <w:ind w:right="-749"/>
        <w:jc w:val="left"/>
        <w:rPr>
          <w:rFonts w:ascii="Times New Roman" w:hAnsi="Times New Roman"/>
          <w:szCs w:val="22"/>
          <w:lang w:val="pt-BR"/>
        </w:rPr>
      </w:pPr>
      <w:r w:rsidRPr="00577ED6">
        <w:rPr>
          <w:rFonts w:ascii="Times New Roman" w:hAnsi="Times New Roman"/>
          <w:szCs w:val="22"/>
          <w:lang w:val="pt-BR"/>
        </w:rPr>
        <w:t>Virtual</w:t>
      </w:r>
    </w:p>
    <w:p w14:paraId="3FC10E6A" w14:textId="77777777" w:rsidR="00B95BD9" w:rsidRPr="00577ED6" w:rsidRDefault="00B95BD9" w:rsidP="00B95BD9">
      <w:pPr>
        <w:pStyle w:val="EndnoteText"/>
        <w:widowControl/>
        <w:ind w:right="-749"/>
        <w:jc w:val="left"/>
        <w:rPr>
          <w:rFonts w:ascii="Times New Roman" w:hAnsi="Times New Roman"/>
          <w:szCs w:val="22"/>
          <w:lang w:val="pt-BR"/>
        </w:rPr>
      </w:pPr>
    </w:p>
    <w:p w14:paraId="6C52D917" w14:textId="642A60E1" w:rsidR="00B95BD9" w:rsidRPr="00577ED6" w:rsidRDefault="00B95BD9" w:rsidP="00B95BD9">
      <w:pPr>
        <w:widowControl/>
        <w:jc w:val="center"/>
        <w:outlineLvl w:val="0"/>
        <w:rPr>
          <w:rFonts w:ascii="Times New Roman" w:hAnsi="Times New Roman"/>
          <w:szCs w:val="22"/>
          <w:lang w:val="pt-BR"/>
        </w:rPr>
      </w:pPr>
      <w:r w:rsidRPr="00577ED6">
        <w:rPr>
          <w:rFonts w:ascii="Times New Roman" w:hAnsi="Times New Roman"/>
          <w:szCs w:val="22"/>
          <w:lang w:val="pt-BR"/>
        </w:rPr>
        <w:t>DIRETRIZES DA OEA PARA A DESIGNAÇÃO DE AUTORIDADES NACIONAIS E PONTOS DE CONTATO NACIONAIS EM MATÉRIA DE CRIMINALIDADE ORGANIZADA TRANSNACIONAL</w:t>
      </w:r>
    </w:p>
    <w:p w14:paraId="415F265D" w14:textId="77777777" w:rsidR="00B95BD9" w:rsidRPr="00577ED6" w:rsidRDefault="00B95BD9" w:rsidP="00B95BD9">
      <w:pPr>
        <w:widowControl/>
        <w:rPr>
          <w:rFonts w:ascii="Times New Roman" w:hAnsi="Times New Roman"/>
          <w:szCs w:val="22"/>
          <w:lang w:val="pt-BR"/>
        </w:rPr>
      </w:pPr>
    </w:p>
    <w:p w14:paraId="7A4FA3E9" w14:textId="67C7BDC2" w:rsidR="00B95BD9" w:rsidRPr="00577ED6" w:rsidRDefault="00B95BD9" w:rsidP="00B95BD9">
      <w:pPr>
        <w:widowControl/>
        <w:jc w:val="center"/>
        <w:rPr>
          <w:rFonts w:ascii="Times New Roman" w:hAnsi="Times New Roman"/>
          <w:szCs w:val="22"/>
          <w:lang w:val="pt-BR"/>
        </w:rPr>
      </w:pPr>
      <w:r w:rsidRPr="00577ED6">
        <w:rPr>
          <w:rFonts w:ascii="Times New Roman" w:hAnsi="Times New Roman"/>
          <w:szCs w:val="22"/>
          <w:lang w:val="pt-BR"/>
        </w:rPr>
        <w:t>(</w:t>
      </w:r>
      <w:r w:rsidR="00B95154" w:rsidRPr="00577ED6">
        <w:rPr>
          <w:rFonts w:ascii="Times New Roman" w:hAnsi="Times New Roman"/>
          <w:szCs w:val="22"/>
          <w:lang w:val="pt-BR"/>
        </w:rPr>
        <w:t>Adotadas pela</w:t>
      </w:r>
      <w:r w:rsidRPr="00577ED6">
        <w:rPr>
          <w:rFonts w:ascii="Times New Roman" w:hAnsi="Times New Roman"/>
          <w:szCs w:val="22"/>
          <w:lang w:val="pt-BR"/>
        </w:rPr>
        <w:t xml:space="preserve"> RANDOT-III</w:t>
      </w:r>
      <w:r w:rsidR="00B95154" w:rsidRPr="00577ED6">
        <w:rPr>
          <w:rFonts w:ascii="Times New Roman" w:hAnsi="Times New Roman"/>
          <w:szCs w:val="22"/>
          <w:lang w:val="pt-BR"/>
        </w:rPr>
        <w:t xml:space="preserve"> em 24 de junho de 2021</w:t>
      </w:r>
      <w:r w:rsidRPr="00577ED6">
        <w:rPr>
          <w:rFonts w:ascii="Times New Roman" w:hAnsi="Times New Roman"/>
          <w:szCs w:val="22"/>
          <w:lang w:val="pt-BR"/>
        </w:rPr>
        <w:t>)</w:t>
      </w:r>
    </w:p>
    <w:p w14:paraId="5C501196" w14:textId="77777777" w:rsidR="00B95BD9" w:rsidRPr="00577ED6" w:rsidRDefault="00B95BD9" w:rsidP="00B95BD9">
      <w:pPr>
        <w:widowControl/>
        <w:rPr>
          <w:rFonts w:ascii="Times New Roman" w:hAnsi="Times New Roman"/>
          <w:szCs w:val="22"/>
          <w:lang w:val="pt-BR"/>
        </w:rPr>
      </w:pPr>
    </w:p>
    <w:p w14:paraId="06BF8FB9" w14:textId="77777777" w:rsidR="00B95BD9" w:rsidRPr="00577ED6" w:rsidRDefault="00B95BD9" w:rsidP="00B95BD9">
      <w:pPr>
        <w:widowControl/>
        <w:rPr>
          <w:rFonts w:ascii="Times New Roman" w:hAnsi="Times New Roman"/>
          <w:szCs w:val="22"/>
          <w:lang w:val="pt-BR"/>
        </w:rPr>
      </w:pPr>
    </w:p>
    <w:p w14:paraId="7DF952B7" w14:textId="77777777" w:rsidR="00B95BD9" w:rsidRPr="00577ED6" w:rsidRDefault="00B95BD9" w:rsidP="00B95BD9">
      <w:pPr>
        <w:widowControl/>
        <w:ind w:firstLine="720"/>
        <w:outlineLvl w:val="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Em 2013, mediante a resolução AG/RES. 2809 (XLIII-O/13), “</w:t>
      </w:r>
      <w:r w:rsidRPr="00577ED6">
        <w:rPr>
          <w:rFonts w:ascii="Times New Roman" w:hAnsi="Times New Roman"/>
          <w:bCs/>
          <w:szCs w:val="28"/>
          <w:lang w:val="pt-BR"/>
        </w:rPr>
        <w:t>Promoção da segurança hemisférica: um enfoque multidimensional”</w:t>
      </w:r>
      <w:r w:rsidRPr="00577ED6">
        <w:rPr>
          <w:rFonts w:ascii="Times New Roman" w:hAnsi="Times New Roman"/>
          <w:szCs w:val="22"/>
          <w:lang w:val="pt-BR" w:eastAsia="en-US"/>
        </w:rPr>
        <w:t xml:space="preserve">, a Assembleia Geral convocou a primeira reunião de autoridades nacionais em matéria de criminalidade organizada transnacional, a fim de considerar a execução do Plano de Ação Hemisférico contra a Criminalidade Organizada Transnacional e a efetiva cooperação entre os Estados membros. </w:t>
      </w:r>
    </w:p>
    <w:p w14:paraId="60E7449E" w14:textId="77777777" w:rsidR="00B95BD9" w:rsidRPr="00577ED6" w:rsidRDefault="00B95BD9" w:rsidP="00B95BD9">
      <w:pPr>
        <w:widowControl/>
        <w:outlineLvl w:val="0"/>
        <w:rPr>
          <w:rFonts w:ascii="Times New Roman" w:hAnsi="Times New Roman"/>
          <w:szCs w:val="22"/>
          <w:lang w:val="pt-BR" w:eastAsia="en-US"/>
        </w:rPr>
      </w:pPr>
    </w:p>
    <w:p w14:paraId="23405145" w14:textId="77777777" w:rsidR="00B95BD9" w:rsidRPr="00577ED6" w:rsidRDefault="00B95BD9" w:rsidP="00B95BD9">
      <w:pPr>
        <w:widowControl/>
        <w:tabs>
          <w:tab w:val="left" w:pos="4962"/>
        </w:tabs>
        <w:ind w:firstLine="720"/>
        <w:outlineLvl w:val="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Desde então, a Assembleia Geral convocou a Segunda Reunião de Autoridades Nacionais, em 2019, e a Terceira Reunião, a ser realizada em 2021. </w:t>
      </w:r>
    </w:p>
    <w:p w14:paraId="757A7ECF" w14:textId="77777777" w:rsidR="00B95BD9" w:rsidRPr="00577ED6" w:rsidRDefault="00B95BD9" w:rsidP="00B95BD9">
      <w:pPr>
        <w:widowControl/>
        <w:outlineLvl w:val="0"/>
        <w:rPr>
          <w:rFonts w:ascii="Times New Roman" w:hAnsi="Times New Roman"/>
          <w:szCs w:val="22"/>
          <w:lang w:val="pt-BR" w:eastAsia="en-US"/>
        </w:rPr>
      </w:pPr>
    </w:p>
    <w:p w14:paraId="775FB49F" w14:textId="77777777" w:rsidR="00B95BD9" w:rsidRPr="00577ED6" w:rsidRDefault="00B95BD9" w:rsidP="00B95BD9">
      <w:pPr>
        <w:widowControl/>
        <w:ind w:firstLine="720"/>
        <w:outlineLvl w:val="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Além disso, a Assembleia Geral, na resolução AG/RES. 2189 (XXXVI-O/06), autorizou o Conselho Permanente a adotar o Plano de Ação Hemisférico contra a Criminalidade Autorizada Transnacional, que solicita a cada Estado membro que designe um ponto de contato para coordenar e promover o acompanhamento em âmbito nacional do referido Plano de Ação Hemisférico.</w:t>
      </w:r>
    </w:p>
    <w:p w14:paraId="2DA1277B" w14:textId="77777777" w:rsidR="00B95BD9" w:rsidRPr="00577ED6" w:rsidRDefault="00B95BD9" w:rsidP="00B95BD9">
      <w:pPr>
        <w:widowControl/>
        <w:outlineLvl w:val="0"/>
        <w:rPr>
          <w:rFonts w:ascii="Times New Roman" w:hAnsi="Times New Roman"/>
          <w:szCs w:val="22"/>
          <w:lang w:val="pt-BR" w:eastAsia="en-US"/>
        </w:rPr>
      </w:pPr>
    </w:p>
    <w:p w14:paraId="1A746CEE" w14:textId="77777777" w:rsidR="00B95BD9" w:rsidRPr="00577ED6" w:rsidRDefault="00B95BD9" w:rsidP="00B95BD9">
      <w:pPr>
        <w:widowControl/>
        <w:ind w:firstLine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Em resposta, oferecem-se as seguintes diretrizes para a indicação de Autoridades Nacionais e Pontos de Contato Nacionais em Matéria de Criminalidade Organizada Transnacional, bem como para a manutenção das respectivas listas pela Secretaria-Geral da OEA.</w:t>
      </w:r>
    </w:p>
    <w:p w14:paraId="7F83B8BB" w14:textId="77777777" w:rsidR="00B95BD9" w:rsidRPr="00577ED6" w:rsidRDefault="00B95BD9" w:rsidP="00B95BD9">
      <w:pPr>
        <w:widowControl/>
        <w:rPr>
          <w:rFonts w:ascii="Times New Roman" w:hAnsi="Times New Roman"/>
          <w:b/>
          <w:szCs w:val="22"/>
          <w:lang w:val="pt-BR" w:eastAsia="en-US"/>
        </w:rPr>
      </w:pPr>
    </w:p>
    <w:p w14:paraId="7B52C8B4" w14:textId="77777777" w:rsidR="00B95BD9" w:rsidRPr="00577ED6" w:rsidRDefault="00B95BD9" w:rsidP="00B95BD9">
      <w:pPr>
        <w:widowControl/>
        <w:numPr>
          <w:ilvl w:val="0"/>
          <w:numId w:val="18"/>
        </w:numPr>
        <w:tabs>
          <w:tab w:val="clear" w:pos="1440"/>
        </w:tabs>
        <w:ind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Autoridades Nacionais em Matéria de Criminalidade Organizada Transnacional </w:t>
      </w:r>
    </w:p>
    <w:p w14:paraId="31EA9B73" w14:textId="77777777" w:rsidR="00B95BD9" w:rsidRPr="00577ED6" w:rsidRDefault="00B95BD9" w:rsidP="00B95BD9">
      <w:pPr>
        <w:widowControl/>
        <w:rPr>
          <w:rFonts w:ascii="Times New Roman" w:hAnsi="Times New Roman"/>
          <w:szCs w:val="22"/>
          <w:lang w:val="pt-BR" w:eastAsia="en-US"/>
        </w:rPr>
      </w:pPr>
    </w:p>
    <w:p w14:paraId="105A6093" w14:textId="77777777" w:rsidR="00B95BD9" w:rsidRPr="00577ED6" w:rsidRDefault="00B95BD9" w:rsidP="00B95BD9">
      <w:pPr>
        <w:widowControl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As Autoridades Nacionais designadas serão os principais representantes dos Estados membros autorizados a formular recomendações à Assembleia Geral da OEA quanto a políticas e cargos no combate à criminalidade organizada transnacional (COT). As Autoridades Nacionais designadas devem:</w:t>
      </w:r>
    </w:p>
    <w:p w14:paraId="76379A0D" w14:textId="77777777" w:rsidR="00B95BD9" w:rsidRPr="00577ED6" w:rsidRDefault="00B95BD9" w:rsidP="00B95BD9">
      <w:pPr>
        <w:widowControl/>
        <w:ind w:hanging="360"/>
        <w:rPr>
          <w:rFonts w:ascii="Times New Roman" w:hAnsi="Times New Roman"/>
          <w:szCs w:val="22"/>
          <w:lang w:val="pt-BR" w:eastAsia="en-US"/>
        </w:rPr>
      </w:pPr>
    </w:p>
    <w:p w14:paraId="4E1DDCD5" w14:textId="77777777" w:rsidR="00B95BD9" w:rsidRPr="00577ED6" w:rsidRDefault="00B95BD9" w:rsidP="00B95BD9">
      <w:pPr>
        <w:widowControl/>
        <w:numPr>
          <w:ilvl w:val="0"/>
          <w:numId w:val="12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ocupar cargo de responsabilidade para o desenvolvimento de políticas nacionais de combate à COT;</w:t>
      </w:r>
    </w:p>
    <w:p w14:paraId="6AADB7CF" w14:textId="77777777" w:rsidR="00B95BD9" w:rsidRPr="00577ED6" w:rsidRDefault="00B95BD9" w:rsidP="00B95BD9">
      <w:pPr>
        <w:widowControl/>
        <w:tabs>
          <w:tab w:val="clear" w:pos="2160"/>
        </w:tabs>
        <w:ind w:left="1440"/>
        <w:rPr>
          <w:rFonts w:ascii="Times New Roman" w:hAnsi="Times New Roman"/>
          <w:szCs w:val="22"/>
          <w:lang w:val="pt-BR" w:eastAsia="en-US"/>
        </w:rPr>
      </w:pPr>
    </w:p>
    <w:p w14:paraId="257177A3" w14:textId="77777777" w:rsidR="00B95BD9" w:rsidRPr="00577ED6" w:rsidRDefault="00B95BD9" w:rsidP="00B95BD9">
      <w:pPr>
        <w:widowControl/>
        <w:numPr>
          <w:ilvl w:val="0"/>
          <w:numId w:val="12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participar de reuniões das Autoridades Nacionais em Matéria de Criminalidade Organizada Transnacional da OEA e contribuir para a formulação conjunta de políticas </w:t>
      </w:r>
      <w:r w:rsidRPr="00577ED6">
        <w:rPr>
          <w:rFonts w:ascii="Times New Roman" w:hAnsi="Times New Roman"/>
          <w:szCs w:val="22"/>
          <w:lang w:val="pt-BR" w:eastAsia="en-US"/>
        </w:rPr>
        <w:lastRenderedPageBreak/>
        <w:t xml:space="preserve">e recomendações hemisféricas à Assembleia Geral em assuntos relacionados ao combate à criminalidade organizada transnacional. </w:t>
      </w:r>
    </w:p>
    <w:p w14:paraId="0D077039" w14:textId="77777777" w:rsidR="00B95BD9" w:rsidRPr="00577ED6" w:rsidRDefault="00B95BD9" w:rsidP="00B95BD9">
      <w:pPr>
        <w:widowControl/>
        <w:rPr>
          <w:rFonts w:ascii="Times New Roman" w:hAnsi="Times New Roman"/>
          <w:szCs w:val="22"/>
          <w:lang w:val="pt-BR" w:eastAsia="en-US"/>
        </w:rPr>
      </w:pPr>
    </w:p>
    <w:p w14:paraId="71690389" w14:textId="77777777" w:rsidR="00B95BD9" w:rsidRPr="00577ED6" w:rsidRDefault="00B95BD9" w:rsidP="00B95BD9">
      <w:pPr>
        <w:widowControl/>
        <w:numPr>
          <w:ilvl w:val="0"/>
          <w:numId w:val="18"/>
        </w:numPr>
        <w:tabs>
          <w:tab w:val="clear" w:pos="1440"/>
        </w:tabs>
        <w:ind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Pontos de Contato Nacionais em Matéria de Criminalidade Organizada Transnacional </w:t>
      </w:r>
    </w:p>
    <w:p w14:paraId="64B98DE3" w14:textId="77777777" w:rsidR="00B95BD9" w:rsidRPr="00577ED6" w:rsidRDefault="00B95BD9" w:rsidP="00B95BD9">
      <w:pPr>
        <w:widowControl/>
        <w:ind w:left="720"/>
        <w:rPr>
          <w:rFonts w:ascii="Times New Roman" w:hAnsi="Times New Roman"/>
          <w:szCs w:val="22"/>
          <w:lang w:val="pt-BR" w:eastAsia="en-US"/>
        </w:rPr>
      </w:pPr>
    </w:p>
    <w:p w14:paraId="3D8525B1" w14:textId="77777777" w:rsidR="00B95BD9" w:rsidRPr="00577ED6" w:rsidRDefault="00B95BD9" w:rsidP="00B95BD9">
      <w:pPr>
        <w:widowControl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Os Pontos de Contato Nacionais designados serão os representantes do Estado membro responsáveis por acompanhar a implementação das recomendações apresentadas pelas Autoridades Nacionais em Matéria de Criminalidade Organizada Transnacional e aprovadas pela Assembleia Geral da OEA sobre políticas hemisféricas e cargos no combate à criminalidade organizada transnacional (COT). Os Pontos de Contato Nacionais designados devem:</w:t>
      </w:r>
    </w:p>
    <w:p w14:paraId="3803C42E" w14:textId="77777777" w:rsidR="00B95BD9" w:rsidRPr="00577ED6" w:rsidRDefault="00B95BD9" w:rsidP="00B95BD9">
      <w:pPr>
        <w:widowControl/>
        <w:ind w:left="720"/>
        <w:rPr>
          <w:rFonts w:ascii="Times New Roman" w:hAnsi="Times New Roman"/>
          <w:szCs w:val="22"/>
          <w:lang w:val="pt-BR" w:eastAsia="en-US"/>
        </w:rPr>
      </w:pPr>
    </w:p>
    <w:p w14:paraId="0389DA21" w14:textId="77777777" w:rsidR="00B95BD9" w:rsidRPr="00577ED6" w:rsidRDefault="00B95BD9" w:rsidP="00B95BD9">
      <w:pPr>
        <w:widowControl/>
        <w:numPr>
          <w:ilvl w:val="0"/>
          <w:numId w:val="14"/>
        </w:numPr>
        <w:tabs>
          <w:tab w:val="clear" w:pos="720"/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ocupar cargo de responsabilidade pela implementação de políticas nacionais de combate à COT e/ou pela coordenação internacional em assuntos relacionados ao combate à COT;</w:t>
      </w:r>
    </w:p>
    <w:p w14:paraId="5A81C70E" w14:textId="77777777" w:rsidR="00B95BD9" w:rsidRPr="00577ED6" w:rsidRDefault="00B95BD9" w:rsidP="00B95BD9">
      <w:pPr>
        <w:widowControl/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 </w:t>
      </w:r>
    </w:p>
    <w:p w14:paraId="3FBE3E3A" w14:textId="77777777" w:rsidR="00B95BD9" w:rsidRPr="00577ED6" w:rsidRDefault="00B95BD9" w:rsidP="00B95BD9">
      <w:pPr>
        <w:widowControl/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comparecer às reuniões bienais dos Pontos de Contato Nacionais em Matéria de Criminalidade Organizada Transnacional, a fim de acompanhar as recomendações das Autoridades Nacionais em Matéria de Criminalidade Organizada Transnacional; </w:t>
      </w:r>
    </w:p>
    <w:p w14:paraId="0065FE42" w14:textId="77777777" w:rsidR="00B95BD9" w:rsidRPr="00577ED6" w:rsidRDefault="00B95BD9" w:rsidP="00B95BD9">
      <w:pPr>
        <w:pStyle w:val="ListParagraph"/>
        <w:widowControl/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</w:p>
    <w:p w14:paraId="63D7CC84" w14:textId="77777777" w:rsidR="00B95BD9" w:rsidRPr="00577ED6" w:rsidRDefault="00B95BD9" w:rsidP="00B95BD9">
      <w:pPr>
        <w:widowControl/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ser o elo principal entre o Departamento contra a Criminalidade Organizada Transnacional da OEA (DCOT) e o governo do Estado membro; </w:t>
      </w:r>
    </w:p>
    <w:p w14:paraId="68CDDA0A" w14:textId="77777777" w:rsidR="00B95BD9" w:rsidRPr="00577ED6" w:rsidRDefault="00B95BD9" w:rsidP="00B95BD9">
      <w:pPr>
        <w:widowControl/>
        <w:tabs>
          <w:tab w:val="clear" w:pos="2160"/>
        </w:tabs>
        <w:rPr>
          <w:rFonts w:ascii="Times New Roman" w:hAnsi="Times New Roman"/>
          <w:szCs w:val="22"/>
          <w:lang w:val="pt-BR" w:eastAsia="en-US"/>
        </w:rPr>
      </w:pPr>
    </w:p>
    <w:p w14:paraId="3C32A40D" w14:textId="77777777" w:rsidR="00B95BD9" w:rsidRPr="00577ED6" w:rsidRDefault="00B95BD9" w:rsidP="00B95BD9">
      <w:pPr>
        <w:widowControl/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colaborar para que as comunicações do DCOT cheguem às autoridades governamentais apropriadas; </w:t>
      </w:r>
    </w:p>
    <w:p w14:paraId="7DCC4835" w14:textId="77777777" w:rsidR="00B95BD9" w:rsidRPr="00577ED6" w:rsidRDefault="00B95BD9" w:rsidP="00B95BD9">
      <w:pPr>
        <w:widowControl/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</w:p>
    <w:p w14:paraId="20FB1004" w14:textId="77777777" w:rsidR="00B95BD9" w:rsidRPr="00577ED6" w:rsidRDefault="00B95BD9" w:rsidP="00B95BD9">
      <w:pPr>
        <w:widowControl/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oferecer uma resposta aos pedidos de informação de outros Pontos de Contato Nacionais e da Secretaria-Geral da OEA com relação à implementação do Plano de Ação Hemisférico e da Estratégia Hemisférica contra a Criminalidade Organizada Transnacional;</w:t>
      </w:r>
    </w:p>
    <w:p w14:paraId="5AA23F8B" w14:textId="77777777" w:rsidR="00B95BD9" w:rsidRPr="00577ED6" w:rsidRDefault="00B95BD9" w:rsidP="00B95BD9">
      <w:pPr>
        <w:pStyle w:val="ListParagraph"/>
        <w:widowControl/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</w:p>
    <w:p w14:paraId="1D6CAC63" w14:textId="6DD35468" w:rsidR="00B95BD9" w:rsidRPr="00577ED6" w:rsidRDefault="00B95BD9" w:rsidP="00B95BD9">
      <w:pPr>
        <w:widowControl/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ajudar a coordenar/promover os seminários, workshops, </w:t>
      </w:r>
      <w:r w:rsidR="00577ED6" w:rsidRPr="00577ED6">
        <w:rPr>
          <w:rFonts w:ascii="Times New Roman" w:hAnsi="Times New Roman"/>
          <w:szCs w:val="22"/>
          <w:lang w:val="pt-BR" w:eastAsia="en-US"/>
        </w:rPr>
        <w:t>conferências etc.</w:t>
      </w:r>
      <w:r w:rsidRPr="00577ED6">
        <w:rPr>
          <w:rFonts w:ascii="Times New Roman" w:hAnsi="Times New Roman"/>
          <w:szCs w:val="22"/>
          <w:lang w:val="pt-BR" w:eastAsia="en-US"/>
        </w:rPr>
        <w:t xml:space="preserve"> que os governos dos Estados membros acordem sediar em nome do DCOT, ou proporcionar à Secretaria informação de contato do órgão governamental escolhido para fazê-lo;</w:t>
      </w:r>
    </w:p>
    <w:p w14:paraId="6D1E133A" w14:textId="77777777" w:rsidR="00B95BD9" w:rsidRPr="00577ED6" w:rsidRDefault="00B95BD9" w:rsidP="00B95BD9">
      <w:pPr>
        <w:pStyle w:val="ListParagraph"/>
        <w:widowControl/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</w:p>
    <w:p w14:paraId="35D479ED" w14:textId="77777777" w:rsidR="00B95BD9" w:rsidRPr="00577ED6" w:rsidRDefault="00B95BD9" w:rsidP="00B95BD9">
      <w:pPr>
        <w:widowControl/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 xml:space="preserve">coordenar/promover as recomendações de candidatos para inclusão no treinamento ou nos programas de assistência técnica patrocinados pelo DCOT; </w:t>
      </w:r>
    </w:p>
    <w:p w14:paraId="33565BA1" w14:textId="77777777" w:rsidR="00B95BD9" w:rsidRPr="00577ED6" w:rsidRDefault="00B95BD9" w:rsidP="00B95BD9">
      <w:pPr>
        <w:pStyle w:val="ListParagraph"/>
        <w:widowControl/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</w:p>
    <w:p w14:paraId="130603DC" w14:textId="77777777" w:rsidR="00B95BD9" w:rsidRPr="00577ED6" w:rsidRDefault="00B95BD9" w:rsidP="00B95BD9">
      <w:pPr>
        <w:widowControl/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informar de maneira proativa o DCOT sobre desdobramentos significativos nos respectivos países em relação ao combate à COT, o que pode incluir, mas sem se restringir a isso, nova legislação, ratificação de tratados pertinentes, anúncios de oportunidades de treinamento oferecidas pelo governo anfitrião e desenvolvimento de “Melhores Práticas” para inclusão no banco de dados da OEA.</w:t>
      </w:r>
    </w:p>
    <w:p w14:paraId="68CED6A0" w14:textId="77777777" w:rsidR="00B95BD9" w:rsidRPr="00577ED6" w:rsidRDefault="00B95BD9" w:rsidP="00B95BD9">
      <w:pPr>
        <w:widowControl/>
        <w:ind w:left="1440"/>
        <w:rPr>
          <w:rFonts w:ascii="Times New Roman" w:hAnsi="Times New Roman"/>
          <w:szCs w:val="22"/>
          <w:lang w:val="pt-BR" w:eastAsia="en-US"/>
        </w:rPr>
      </w:pPr>
    </w:p>
    <w:p w14:paraId="620CB1CF" w14:textId="77777777" w:rsidR="00B95BD9" w:rsidRPr="00577ED6" w:rsidRDefault="00B95BD9" w:rsidP="00B95BD9">
      <w:pPr>
        <w:widowControl/>
        <w:numPr>
          <w:ilvl w:val="0"/>
          <w:numId w:val="18"/>
        </w:numPr>
        <w:tabs>
          <w:tab w:val="clear" w:pos="1440"/>
        </w:tabs>
        <w:ind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t>Os Estados membros designarão suas Autoridades Nacionais e seus Pontos de Contato Nacionais mediante notificação por escrito ao DCOT. Com vistas a manter uma lista acurada de Pontos de Contato Nacionais e Autoridades Nacionais, os Estados membros comunicarão ao DTOC quaisquer mudanças na sua relação de designados.</w:t>
      </w:r>
    </w:p>
    <w:p w14:paraId="1C0E2B71" w14:textId="77777777" w:rsidR="00B95BD9" w:rsidRPr="00577ED6" w:rsidRDefault="00B95BD9" w:rsidP="00B95BD9">
      <w:pPr>
        <w:widowControl/>
        <w:ind w:left="720" w:hanging="720"/>
        <w:rPr>
          <w:rFonts w:ascii="Times New Roman" w:hAnsi="Times New Roman"/>
          <w:szCs w:val="22"/>
          <w:lang w:val="pt-BR" w:eastAsia="en-US"/>
        </w:rPr>
      </w:pPr>
    </w:p>
    <w:p w14:paraId="66A54E56" w14:textId="77777777" w:rsidR="00B95BD9" w:rsidRPr="00577ED6" w:rsidRDefault="00B95BD9" w:rsidP="00B95BD9">
      <w:pPr>
        <w:widowControl/>
        <w:numPr>
          <w:ilvl w:val="0"/>
          <w:numId w:val="18"/>
        </w:numPr>
        <w:tabs>
          <w:tab w:val="clear" w:pos="1440"/>
        </w:tabs>
        <w:ind w:hanging="720"/>
        <w:rPr>
          <w:rFonts w:ascii="Times New Roman" w:hAnsi="Times New Roman"/>
          <w:szCs w:val="22"/>
          <w:lang w:val="pt-BR" w:eastAsia="en-US"/>
        </w:rPr>
      </w:pPr>
      <w:r w:rsidRPr="00577ED6">
        <w:rPr>
          <w:rFonts w:ascii="Times New Roman" w:hAnsi="Times New Roman"/>
          <w:szCs w:val="22"/>
          <w:lang w:val="pt-BR" w:eastAsia="en-US"/>
        </w:rPr>
        <w:lastRenderedPageBreak/>
        <w:t>A fim de implementar de maneira efetiva o Plano de Ação Hemisférico contra a Criminalidade Organizada Transnacional, o DCOT manterá as listas de Autoridades Nacionais e Pontos de Contato Nacionais, baseadas em informação prestada pelos Estados membros, e as tornará acessíveis por intermédio desses Estados.</w:t>
      </w:r>
      <w:r w:rsidRPr="00577ED6">
        <w:rPr>
          <w:rFonts w:ascii="Times New Roman" w:hAnsi="Times New Roman"/>
          <w:lang w:val="pt-BR"/>
        </w:rPr>
        <w:t xml:space="preserve"> </w:t>
      </w:r>
    </w:p>
    <w:p w14:paraId="6EBB3399" w14:textId="77777777" w:rsidR="00B95BD9" w:rsidRPr="00577ED6" w:rsidRDefault="00B95BD9" w:rsidP="00B95BD9">
      <w:pPr>
        <w:widowControl/>
        <w:tabs>
          <w:tab w:val="left" w:pos="3345"/>
        </w:tabs>
        <w:rPr>
          <w:rFonts w:ascii="Times New Roman" w:hAnsi="Times New Roman"/>
          <w:szCs w:val="22"/>
          <w:lang w:val="pt-BR"/>
        </w:rPr>
      </w:pPr>
    </w:p>
    <w:p w14:paraId="1EB7662D" w14:textId="77777777" w:rsidR="00B95BD9" w:rsidRPr="00577ED6" w:rsidRDefault="00B95BD9" w:rsidP="00B95BD9">
      <w:pPr>
        <w:pStyle w:val="EndnoteText"/>
        <w:widowControl/>
        <w:ind w:right="-749"/>
        <w:jc w:val="left"/>
        <w:rPr>
          <w:rFonts w:ascii="Times New Roman" w:hAnsi="Times New Roman"/>
          <w:sz w:val="10"/>
          <w:szCs w:val="22"/>
          <w:lang w:val="pt-BR"/>
        </w:rPr>
      </w:pPr>
    </w:p>
    <w:p w14:paraId="7CD78DE8" w14:textId="77777777" w:rsidR="00B95BD9" w:rsidRPr="00577ED6" w:rsidRDefault="00B95BD9" w:rsidP="00B95BD9">
      <w:pPr>
        <w:rPr>
          <w:lang w:val="pt-BR"/>
        </w:rPr>
      </w:pPr>
    </w:p>
    <w:p w14:paraId="746BFB02" w14:textId="77777777" w:rsidR="00B95BD9" w:rsidRPr="00577ED6" w:rsidRDefault="00B95BD9" w:rsidP="00B95BD9">
      <w:pPr>
        <w:rPr>
          <w:lang w:val="pt-BR"/>
        </w:rPr>
      </w:pPr>
    </w:p>
    <w:p w14:paraId="6D897422" w14:textId="77777777" w:rsidR="00B95BD9" w:rsidRPr="00577ED6" w:rsidRDefault="00B95BD9" w:rsidP="00B95BD9">
      <w:pPr>
        <w:rPr>
          <w:sz w:val="8"/>
          <w:lang w:val="pt-BR"/>
        </w:rPr>
      </w:pPr>
    </w:p>
    <w:p w14:paraId="4D3938A8" w14:textId="77777777" w:rsidR="00B95BD9" w:rsidRPr="00577ED6" w:rsidRDefault="00B95BD9" w:rsidP="00B95BD9">
      <w:pPr>
        <w:rPr>
          <w:lang w:val="pt-BR"/>
        </w:rPr>
      </w:pPr>
      <w:r w:rsidRPr="00577ED6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3F6C0F" wp14:editId="47214B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E5B450" w14:textId="6480D21B" w:rsidR="00B95BD9" w:rsidRPr="00E066A7" w:rsidRDefault="00B95BD9" w:rsidP="00B95BD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9515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RA00355P0</w:t>
                            </w:r>
                            <w:r w:rsidR="00E938D1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F6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9E5B450" w14:textId="6480D21B" w:rsidR="00B95BD9" w:rsidRPr="00E066A7" w:rsidRDefault="00B95BD9" w:rsidP="00B95BD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95154">
                        <w:rPr>
                          <w:rFonts w:ascii="Times New Roman" w:hAnsi="Times New Roman"/>
                          <w:noProof/>
                          <w:sz w:val="18"/>
                        </w:rPr>
                        <w:t>RA00355P0</w:t>
                      </w:r>
                      <w:r w:rsidR="00E938D1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E914408" w14:textId="0D315DBC" w:rsidR="00F8561F" w:rsidRPr="00577ED6" w:rsidRDefault="00F8561F" w:rsidP="00B95BD9">
      <w:pPr>
        <w:rPr>
          <w:lang w:val="pt-BR"/>
        </w:rPr>
      </w:pPr>
    </w:p>
    <w:sectPr w:rsidR="00F8561F" w:rsidRPr="00577ED6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6900" w14:textId="77777777" w:rsidR="002A4DFA" w:rsidRDefault="002A4DFA">
      <w:r>
        <w:separator/>
      </w:r>
    </w:p>
  </w:endnote>
  <w:endnote w:type="continuationSeparator" w:id="0">
    <w:p w14:paraId="4CDA582B" w14:textId="77777777" w:rsidR="002A4DFA" w:rsidRDefault="002A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E1C3" w14:textId="77777777" w:rsidR="002A4DFA" w:rsidRDefault="002A4DFA">
      <w:r>
        <w:separator/>
      </w:r>
    </w:p>
  </w:footnote>
  <w:footnote w:type="continuationSeparator" w:id="0">
    <w:p w14:paraId="57B7CE50" w14:textId="77777777" w:rsidR="002A4DFA" w:rsidRDefault="002A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B0B1" w14:textId="77777777" w:rsidR="00B014D8" w:rsidRPr="000D3BB7" w:rsidRDefault="00FF073F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CD68C3">
      <w:rPr>
        <w:rStyle w:val="PageNumber"/>
        <w:rFonts w:ascii="Times New Roman" w:hAnsi="Times New Roman"/>
        <w:noProof/>
      </w:rPr>
      <w:t>2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B488" w14:textId="77777777" w:rsidR="00B014D8" w:rsidRPr="000D3BB7" w:rsidRDefault="00FF073F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CD68C3">
      <w:rPr>
        <w:rStyle w:val="PageNumber"/>
        <w:rFonts w:ascii="Times New Roman" w:hAnsi="Times New Roman"/>
        <w:noProof/>
      </w:rPr>
      <w:t>3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25779FD9" w14:textId="77777777" w:rsidR="00B014D8" w:rsidRPr="000D3BB7" w:rsidRDefault="00B014D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B1A"/>
    <w:multiLevelType w:val="hybridMultilevel"/>
    <w:tmpl w:val="474A6970"/>
    <w:lvl w:ilvl="0" w:tplc="4DB81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7C26522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968"/>
    <w:multiLevelType w:val="hybridMultilevel"/>
    <w:tmpl w:val="E55A3E0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7C26522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638"/>
    <w:multiLevelType w:val="hybridMultilevel"/>
    <w:tmpl w:val="3A86AFBA"/>
    <w:lvl w:ilvl="0" w:tplc="E496E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028"/>
    <w:multiLevelType w:val="hybridMultilevel"/>
    <w:tmpl w:val="BAAE4988"/>
    <w:lvl w:ilvl="0" w:tplc="6CE612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984"/>
    <w:multiLevelType w:val="hybridMultilevel"/>
    <w:tmpl w:val="89E478EE"/>
    <w:lvl w:ilvl="0" w:tplc="7CB0D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757"/>
    <w:multiLevelType w:val="hybridMultilevel"/>
    <w:tmpl w:val="DE32E208"/>
    <w:lvl w:ilvl="0" w:tplc="2B9A1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6A07"/>
    <w:multiLevelType w:val="hybridMultilevel"/>
    <w:tmpl w:val="A4A61322"/>
    <w:lvl w:ilvl="0" w:tplc="C5E446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60B6"/>
    <w:multiLevelType w:val="hybridMultilevel"/>
    <w:tmpl w:val="E55A3E0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7C26522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6687"/>
    <w:multiLevelType w:val="hybridMultilevel"/>
    <w:tmpl w:val="4E1E2BC6"/>
    <w:lvl w:ilvl="0" w:tplc="F52C4B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4337B"/>
    <w:multiLevelType w:val="hybridMultilevel"/>
    <w:tmpl w:val="5C92D4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00581"/>
    <w:multiLevelType w:val="hybridMultilevel"/>
    <w:tmpl w:val="8A429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A502FC"/>
    <w:multiLevelType w:val="hybridMultilevel"/>
    <w:tmpl w:val="22CC74D8"/>
    <w:lvl w:ilvl="0" w:tplc="F7B0E7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4222"/>
    <w:multiLevelType w:val="hybridMultilevel"/>
    <w:tmpl w:val="0D50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96625"/>
    <w:multiLevelType w:val="hybridMultilevel"/>
    <w:tmpl w:val="8416E9D0"/>
    <w:lvl w:ilvl="0" w:tplc="C27CC47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  <w:num w:numId="15">
    <w:abstractNumId w:val="2"/>
  </w:num>
  <w:num w:numId="16">
    <w:abstractNumId w:val="9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07E1F"/>
    <w:rsid w:val="000153C6"/>
    <w:rsid w:val="00025985"/>
    <w:rsid w:val="00027960"/>
    <w:rsid w:val="00041719"/>
    <w:rsid w:val="00041C21"/>
    <w:rsid w:val="0004509E"/>
    <w:rsid w:val="00057F23"/>
    <w:rsid w:val="00075070"/>
    <w:rsid w:val="000806C7"/>
    <w:rsid w:val="0008147D"/>
    <w:rsid w:val="0008522A"/>
    <w:rsid w:val="00094BA6"/>
    <w:rsid w:val="00095C66"/>
    <w:rsid w:val="000966BF"/>
    <w:rsid w:val="000B19D4"/>
    <w:rsid w:val="000B1FB8"/>
    <w:rsid w:val="000D2D46"/>
    <w:rsid w:val="000D3BB7"/>
    <w:rsid w:val="000E1A08"/>
    <w:rsid w:val="000F34BE"/>
    <w:rsid w:val="001071A0"/>
    <w:rsid w:val="00124E60"/>
    <w:rsid w:val="0013072C"/>
    <w:rsid w:val="001309D9"/>
    <w:rsid w:val="00137F1F"/>
    <w:rsid w:val="001411CD"/>
    <w:rsid w:val="001423E9"/>
    <w:rsid w:val="00142905"/>
    <w:rsid w:val="0014692F"/>
    <w:rsid w:val="00161FB5"/>
    <w:rsid w:val="00166B8E"/>
    <w:rsid w:val="00166E74"/>
    <w:rsid w:val="0016723D"/>
    <w:rsid w:val="001712E0"/>
    <w:rsid w:val="00175D9F"/>
    <w:rsid w:val="00175E53"/>
    <w:rsid w:val="00183E83"/>
    <w:rsid w:val="001934AD"/>
    <w:rsid w:val="001A32A5"/>
    <w:rsid w:val="001D0D2B"/>
    <w:rsid w:val="001E2265"/>
    <w:rsid w:val="001F6261"/>
    <w:rsid w:val="001F7349"/>
    <w:rsid w:val="00235F9C"/>
    <w:rsid w:val="002530DC"/>
    <w:rsid w:val="00273AFB"/>
    <w:rsid w:val="00273CF7"/>
    <w:rsid w:val="002A4998"/>
    <w:rsid w:val="002A4DFA"/>
    <w:rsid w:val="002A6D50"/>
    <w:rsid w:val="002D0958"/>
    <w:rsid w:val="002D1F04"/>
    <w:rsid w:val="002E6A9C"/>
    <w:rsid w:val="0030781A"/>
    <w:rsid w:val="00321D94"/>
    <w:rsid w:val="00330A5C"/>
    <w:rsid w:val="00342914"/>
    <w:rsid w:val="00346490"/>
    <w:rsid w:val="00355100"/>
    <w:rsid w:val="003559D4"/>
    <w:rsid w:val="00356AB4"/>
    <w:rsid w:val="0035733D"/>
    <w:rsid w:val="003626DD"/>
    <w:rsid w:val="00370212"/>
    <w:rsid w:val="00371911"/>
    <w:rsid w:val="00380134"/>
    <w:rsid w:val="0038218C"/>
    <w:rsid w:val="00390AE5"/>
    <w:rsid w:val="003A0033"/>
    <w:rsid w:val="003B4CDD"/>
    <w:rsid w:val="003B6F67"/>
    <w:rsid w:val="003B7D38"/>
    <w:rsid w:val="003E21BA"/>
    <w:rsid w:val="00415D59"/>
    <w:rsid w:val="00420184"/>
    <w:rsid w:val="0042101B"/>
    <w:rsid w:val="004258A5"/>
    <w:rsid w:val="004300C6"/>
    <w:rsid w:val="004348FC"/>
    <w:rsid w:val="00445A2C"/>
    <w:rsid w:val="00450BA2"/>
    <w:rsid w:val="0046148E"/>
    <w:rsid w:val="00462767"/>
    <w:rsid w:val="00466E20"/>
    <w:rsid w:val="00471FF2"/>
    <w:rsid w:val="00475977"/>
    <w:rsid w:val="00497512"/>
    <w:rsid w:val="004A025F"/>
    <w:rsid w:val="004A1C10"/>
    <w:rsid w:val="004B4B55"/>
    <w:rsid w:val="004B790E"/>
    <w:rsid w:val="004C2C60"/>
    <w:rsid w:val="004D7E6D"/>
    <w:rsid w:val="004E42D8"/>
    <w:rsid w:val="004F357B"/>
    <w:rsid w:val="0050702C"/>
    <w:rsid w:val="00510A75"/>
    <w:rsid w:val="00515A00"/>
    <w:rsid w:val="00525227"/>
    <w:rsid w:val="00525A21"/>
    <w:rsid w:val="00551B81"/>
    <w:rsid w:val="00555400"/>
    <w:rsid w:val="0055695F"/>
    <w:rsid w:val="00573C3A"/>
    <w:rsid w:val="00577ED6"/>
    <w:rsid w:val="005843FD"/>
    <w:rsid w:val="0058505B"/>
    <w:rsid w:val="00595FB7"/>
    <w:rsid w:val="005A1159"/>
    <w:rsid w:val="005A6A18"/>
    <w:rsid w:val="005B6B63"/>
    <w:rsid w:val="005B6C5A"/>
    <w:rsid w:val="005E234B"/>
    <w:rsid w:val="005E4B6A"/>
    <w:rsid w:val="005E691F"/>
    <w:rsid w:val="005E6FB8"/>
    <w:rsid w:val="0060300F"/>
    <w:rsid w:val="00632011"/>
    <w:rsid w:val="00634630"/>
    <w:rsid w:val="00642250"/>
    <w:rsid w:val="00646E1C"/>
    <w:rsid w:val="00656470"/>
    <w:rsid w:val="00664349"/>
    <w:rsid w:val="00672F2F"/>
    <w:rsid w:val="006757DD"/>
    <w:rsid w:val="0068759E"/>
    <w:rsid w:val="006B1ED4"/>
    <w:rsid w:val="006B52AB"/>
    <w:rsid w:val="006C58B4"/>
    <w:rsid w:val="006C6604"/>
    <w:rsid w:val="006D04EB"/>
    <w:rsid w:val="006D3C1F"/>
    <w:rsid w:val="006D5877"/>
    <w:rsid w:val="006E307E"/>
    <w:rsid w:val="006E5B0C"/>
    <w:rsid w:val="00713366"/>
    <w:rsid w:val="007316B5"/>
    <w:rsid w:val="007333E9"/>
    <w:rsid w:val="007336C7"/>
    <w:rsid w:val="007349C1"/>
    <w:rsid w:val="00742687"/>
    <w:rsid w:val="007546F5"/>
    <w:rsid w:val="00765A60"/>
    <w:rsid w:val="00766B6F"/>
    <w:rsid w:val="00772898"/>
    <w:rsid w:val="00775F2D"/>
    <w:rsid w:val="00786E5A"/>
    <w:rsid w:val="007E2DE9"/>
    <w:rsid w:val="007E797E"/>
    <w:rsid w:val="007F7DE7"/>
    <w:rsid w:val="00805688"/>
    <w:rsid w:val="008123F3"/>
    <w:rsid w:val="00817BEA"/>
    <w:rsid w:val="00820C21"/>
    <w:rsid w:val="008403CA"/>
    <w:rsid w:val="00841037"/>
    <w:rsid w:val="00842C27"/>
    <w:rsid w:val="0084549D"/>
    <w:rsid w:val="00847D8A"/>
    <w:rsid w:val="008537AD"/>
    <w:rsid w:val="00866F02"/>
    <w:rsid w:val="00867402"/>
    <w:rsid w:val="00875512"/>
    <w:rsid w:val="00890C1C"/>
    <w:rsid w:val="00891F4B"/>
    <w:rsid w:val="00897450"/>
    <w:rsid w:val="008B7A6E"/>
    <w:rsid w:val="008C01B9"/>
    <w:rsid w:val="008C7CA4"/>
    <w:rsid w:val="00906704"/>
    <w:rsid w:val="00912A16"/>
    <w:rsid w:val="00924EB9"/>
    <w:rsid w:val="0094335F"/>
    <w:rsid w:val="00946D4D"/>
    <w:rsid w:val="00951D1F"/>
    <w:rsid w:val="00953C0E"/>
    <w:rsid w:val="009624EC"/>
    <w:rsid w:val="00967613"/>
    <w:rsid w:val="0098126B"/>
    <w:rsid w:val="009866F9"/>
    <w:rsid w:val="009A2C7D"/>
    <w:rsid w:val="009D32F4"/>
    <w:rsid w:val="009D4CA6"/>
    <w:rsid w:val="009D737E"/>
    <w:rsid w:val="009E2AE9"/>
    <w:rsid w:val="009F36EE"/>
    <w:rsid w:val="00A0446D"/>
    <w:rsid w:val="00A20FA9"/>
    <w:rsid w:val="00A24283"/>
    <w:rsid w:val="00A3409C"/>
    <w:rsid w:val="00A603E1"/>
    <w:rsid w:val="00A654B2"/>
    <w:rsid w:val="00A7347A"/>
    <w:rsid w:val="00A810C0"/>
    <w:rsid w:val="00A962EF"/>
    <w:rsid w:val="00A9795E"/>
    <w:rsid w:val="00AA460E"/>
    <w:rsid w:val="00AA6FC6"/>
    <w:rsid w:val="00AB39ED"/>
    <w:rsid w:val="00AB43AD"/>
    <w:rsid w:val="00AB5931"/>
    <w:rsid w:val="00AC0A76"/>
    <w:rsid w:val="00AC1271"/>
    <w:rsid w:val="00AE24CC"/>
    <w:rsid w:val="00AF4C42"/>
    <w:rsid w:val="00B014D8"/>
    <w:rsid w:val="00B037A1"/>
    <w:rsid w:val="00B043D6"/>
    <w:rsid w:val="00B33A47"/>
    <w:rsid w:val="00B41161"/>
    <w:rsid w:val="00B5066D"/>
    <w:rsid w:val="00B50C25"/>
    <w:rsid w:val="00B53998"/>
    <w:rsid w:val="00B54174"/>
    <w:rsid w:val="00B67BA2"/>
    <w:rsid w:val="00B917B9"/>
    <w:rsid w:val="00B95154"/>
    <w:rsid w:val="00B95BD9"/>
    <w:rsid w:val="00BA4058"/>
    <w:rsid w:val="00BA6021"/>
    <w:rsid w:val="00BB7004"/>
    <w:rsid w:val="00BD10A1"/>
    <w:rsid w:val="00BD79D5"/>
    <w:rsid w:val="00BE342C"/>
    <w:rsid w:val="00BF521C"/>
    <w:rsid w:val="00BF5664"/>
    <w:rsid w:val="00C118A7"/>
    <w:rsid w:val="00C2351D"/>
    <w:rsid w:val="00C3370A"/>
    <w:rsid w:val="00C51016"/>
    <w:rsid w:val="00C72DB2"/>
    <w:rsid w:val="00C77F18"/>
    <w:rsid w:val="00C855DD"/>
    <w:rsid w:val="00C90E5B"/>
    <w:rsid w:val="00C94019"/>
    <w:rsid w:val="00CA6728"/>
    <w:rsid w:val="00CB1295"/>
    <w:rsid w:val="00CC1AB1"/>
    <w:rsid w:val="00CD1C65"/>
    <w:rsid w:val="00CD68C3"/>
    <w:rsid w:val="00D00ABB"/>
    <w:rsid w:val="00D0512C"/>
    <w:rsid w:val="00D0583E"/>
    <w:rsid w:val="00D05E19"/>
    <w:rsid w:val="00D068E1"/>
    <w:rsid w:val="00D1226B"/>
    <w:rsid w:val="00D348DC"/>
    <w:rsid w:val="00D62728"/>
    <w:rsid w:val="00D726C1"/>
    <w:rsid w:val="00D73430"/>
    <w:rsid w:val="00D74D18"/>
    <w:rsid w:val="00D77501"/>
    <w:rsid w:val="00D86696"/>
    <w:rsid w:val="00D959D4"/>
    <w:rsid w:val="00D96202"/>
    <w:rsid w:val="00DA4B27"/>
    <w:rsid w:val="00DC1CE6"/>
    <w:rsid w:val="00DD1EBF"/>
    <w:rsid w:val="00DF15D2"/>
    <w:rsid w:val="00DF5A30"/>
    <w:rsid w:val="00E17F47"/>
    <w:rsid w:val="00E225CA"/>
    <w:rsid w:val="00E22D55"/>
    <w:rsid w:val="00E25B59"/>
    <w:rsid w:val="00E44D1F"/>
    <w:rsid w:val="00E553E6"/>
    <w:rsid w:val="00E628A0"/>
    <w:rsid w:val="00E6309B"/>
    <w:rsid w:val="00E676DD"/>
    <w:rsid w:val="00E77DD5"/>
    <w:rsid w:val="00E86655"/>
    <w:rsid w:val="00E87D4F"/>
    <w:rsid w:val="00E90724"/>
    <w:rsid w:val="00E938D1"/>
    <w:rsid w:val="00EA1B2C"/>
    <w:rsid w:val="00EC09E9"/>
    <w:rsid w:val="00EC2CCB"/>
    <w:rsid w:val="00ED5D9C"/>
    <w:rsid w:val="00ED614D"/>
    <w:rsid w:val="00EE2358"/>
    <w:rsid w:val="00EF38B8"/>
    <w:rsid w:val="00EF3C13"/>
    <w:rsid w:val="00EF4A59"/>
    <w:rsid w:val="00F12015"/>
    <w:rsid w:val="00F15A71"/>
    <w:rsid w:val="00F20E1F"/>
    <w:rsid w:val="00F24192"/>
    <w:rsid w:val="00F27EDC"/>
    <w:rsid w:val="00F46B56"/>
    <w:rsid w:val="00F62CDC"/>
    <w:rsid w:val="00F631C4"/>
    <w:rsid w:val="00F632B2"/>
    <w:rsid w:val="00F63E04"/>
    <w:rsid w:val="00F643FF"/>
    <w:rsid w:val="00F65059"/>
    <w:rsid w:val="00F748EE"/>
    <w:rsid w:val="00F822EE"/>
    <w:rsid w:val="00F8561F"/>
    <w:rsid w:val="00F872D4"/>
    <w:rsid w:val="00FA20C3"/>
    <w:rsid w:val="00FB218C"/>
    <w:rsid w:val="00FC75F6"/>
    <w:rsid w:val="00FD0ABF"/>
    <w:rsid w:val="00FD32ED"/>
    <w:rsid w:val="00FD52D5"/>
    <w:rsid w:val="00FF073F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5CD32"/>
  <w15:docId w15:val="{08885443-9056-4950-8C20-4FBDA16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qFormat/>
    <w:rsid w:val="004348FC"/>
    <w:pPr>
      <w:ind w:left="720"/>
    </w:pPr>
  </w:style>
  <w:style w:type="character" w:customStyle="1" w:styleId="EndnoteTextChar">
    <w:name w:val="Endnote Text Char"/>
    <w:link w:val="EndnoteText"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9CB1-0DE6-4A14-BD7E-2FAEC31D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OAS-2014</dc:creator>
  <cp:keywords/>
  <cp:lastModifiedBy>Santos, Ada</cp:lastModifiedBy>
  <cp:revision>5</cp:revision>
  <cp:lastPrinted>2019-02-13T15:41:00Z</cp:lastPrinted>
  <dcterms:created xsi:type="dcterms:W3CDTF">2021-06-25T14:20:00Z</dcterms:created>
  <dcterms:modified xsi:type="dcterms:W3CDTF">2021-06-25T15:50:00Z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</Properties>
</file>