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1A65" w14:textId="77777777" w:rsidR="00A50D31" w:rsidRPr="00003CCE" w:rsidRDefault="00A50D31" w:rsidP="00A50D31">
      <w:pPr>
        <w:pStyle w:val="Header"/>
        <w:widowControl/>
        <w:tabs>
          <w:tab w:val="center" w:pos="2880"/>
          <w:tab w:val="left" w:pos="6946"/>
        </w:tabs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CONSELHO PERMANENTE DA</w:t>
      </w:r>
      <w:r w:rsidRPr="00003CCE">
        <w:rPr>
          <w:rFonts w:ascii="Times New Roman" w:hAnsi="Times New Roman"/>
          <w:szCs w:val="22"/>
          <w:lang w:val="pt-BR"/>
        </w:rPr>
        <w:tab/>
      </w:r>
      <w:bookmarkStart w:id="0" w:name="_Hlk75260056"/>
      <w:r w:rsidRPr="00003CCE">
        <w:rPr>
          <w:rFonts w:ascii="Times New Roman" w:hAnsi="Times New Roman"/>
          <w:szCs w:val="22"/>
          <w:lang w:val="pt-BR"/>
        </w:rPr>
        <w:t>OEA/Ser.K/XXXIV</w:t>
      </w:r>
      <w:bookmarkEnd w:id="0"/>
    </w:p>
    <w:p w14:paraId="3329719B" w14:textId="1FB86C4A" w:rsidR="00A50D31" w:rsidRPr="00003CCE" w:rsidRDefault="00A50D31" w:rsidP="00A50D31">
      <w:pPr>
        <w:pStyle w:val="Header"/>
        <w:widowControl/>
        <w:tabs>
          <w:tab w:val="center" w:pos="2880"/>
          <w:tab w:val="left" w:pos="6946"/>
        </w:tabs>
        <w:ind w:right="-1469"/>
        <w:rPr>
          <w:rFonts w:ascii="Times New Roman" w:hAnsi="Times New Roman"/>
          <w:szCs w:val="22"/>
          <w:lang w:val="pt-BR" w:eastAsia="es-ES_tradnl"/>
        </w:rPr>
      </w:pPr>
      <w:r w:rsidRPr="00003CCE">
        <w:rPr>
          <w:rFonts w:ascii="Times New Roman" w:hAnsi="Times New Roman"/>
          <w:szCs w:val="22"/>
          <w:lang w:val="pt-BR"/>
        </w:rPr>
        <w:tab/>
        <w:t>ORGANIZAÇÃO DOS ESTADOS AMERICANOS</w:t>
      </w:r>
      <w:r w:rsidRPr="00003CCE">
        <w:rPr>
          <w:rFonts w:ascii="Times New Roman" w:hAnsi="Times New Roman"/>
          <w:szCs w:val="22"/>
          <w:lang w:val="pt-BR"/>
        </w:rPr>
        <w:tab/>
      </w:r>
      <w:bookmarkStart w:id="1" w:name="_Hlk75260071"/>
      <w:r w:rsidRPr="00003CCE">
        <w:rPr>
          <w:rFonts w:ascii="Times New Roman" w:hAnsi="Times New Roman"/>
          <w:szCs w:val="22"/>
          <w:lang w:val="pt-BR"/>
        </w:rPr>
        <w:t>RANDOT-III/doc.5/21</w:t>
      </w:r>
      <w:bookmarkEnd w:id="1"/>
      <w:r w:rsidR="00003CCE" w:rsidRPr="00003CCE">
        <w:rPr>
          <w:rFonts w:ascii="Times New Roman" w:hAnsi="Times New Roman"/>
          <w:szCs w:val="22"/>
          <w:lang w:val="pt-BR"/>
        </w:rPr>
        <w:t xml:space="preserve"> rev. 1</w:t>
      </w:r>
    </w:p>
    <w:p w14:paraId="57F803C6" w14:textId="1FA8390F" w:rsidR="00A50D31" w:rsidRPr="00003CCE" w:rsidRDefault="00A50D31" w:rsidP="00A50D31">
      <w:pPr>
        <w:pStyle w:val="Header"/>
        <w:widowControl/>
        <w:tabs>
          <w:tab w:val="center" w:pos="2880"/>
          <w:tab w:val="left" w:pos="6946"/>
        </w:tabs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</w:r>
      <w:r w:rsidRPr="00003CCE">
        <w:rPr>
          <w:rFonts w:ascii="Times New Roman" w:hAnsi="Times New Roman"/>
          <w:szCs w:val="22"/>
          <w:lang w:val="pt-BR"/>
        </w:rPr>
        <w:tab/>
      </w:r>
      <w:r w:rsidRPr="00003CCE">
        <w:rPr>
          <w:rFonts w:ascii="Times New Roman" w:hAnsi="Times New Roman"/>
          <w:szCs w:val="22"/>
          <w:lang w:val="pt-BR"/>
        </w:rPr>
        <w:tab/>
        <w:t>2</w:t>
      </w:r>
      <w:r w:rsidR="00003CCE" w:rsidRPr="00003CCE">
        <w:rPr>
          <w:rFonts w:ascii="Times New Roman" w:hAnsi="Times New Roman"/>
          <w:szCs w:val="22"/>
          <w:lang w:val="pt-BR"/>
        </w:rPr>
        <w:t>4</w:t>
      </w:r>
      <w:r w:rsidRPr="00003CCE">
        <w:rPr>
          <w:rFonts w:ascii="Times New Roman" w:hAnsi="Times New Roman"/>
          <w:szCs w:val="22"/>
          <w:lang w:val="pt-BR"/>
        </w:rPr>
        <w:t xml:space="preserve"> junho 2021</w:t>
      </w:r>
    </w:p>
    <w:p w14:paraId="60B5B32C" w14:textId="77777777" w:rsidR="00A50D31" w:rsidRPr="00003CCE" w:rsidRDefault="00A50D31" w:rsidP="00A50D31">
      <w:pPr>
        <w:pStyle w:val="Header"/>
        <w:widowControl/>
        <w:tabs>
          <w:tab w:val="center" w:pos="2880"/>
          <w:tab w:val="left" w:pos="6946"/>
        </w:tabs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COMISSÃO DE SEGURANÇA HEMISFÉRICA </w:t>
      </w:r>
      <w:r w:rsidRPr="00003CCE">
        <w:rPr>
          <w:rFonts w:ascii="Times New Roman" w:hAnsi="Times New Roman"/>
          <w:szCs w:val="22"/>
          <w:lang w:val="pt-BR"/>
        </w:rPr>
        <w:tab/>
        <w:t>Original: inglês</w:t>
      </w:r>
    </w:p>
    <w:p w14:paraId="35A77C92" w14:textId="77777777" w:rsidR="00A50D31" w:rsidRPr="00003CCE" w:rsidRDefault="00A50D31" w:rsidP="00A50D31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7562C1DB" w14:textId="77777777" w:rsidR="00A50D31" w:rsidRPr="00003CCE" w:rsidRDefault="00A50D31" w:rsidP="00A50D31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Terceira Reunião de Autoridades Nacionais em Matéria</w:t>
      </w:r>
    </w:p>
    <w:p w14:paraId="68B3E013" w14:textId="77777777" w:rsidR="00A50D31" w:rsidRPr="00003CCE" w:rsidRDefault="00A50D31" w:rsidP="00A50D31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de Criminalidade Organizada Transnacional (RANDOT-III)</w:t>
      </w:r>
    </w:p>
    <w:p w14:paraId="57A819EF" w14:textId="77777777" w:rsidR="00A50D31" w:rsidRPr="00003CCE" w:rsidRDefault="00A50D31" w:rsidP="00A50D31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23-24 de junho de 2021</w:t>
      </w:r>
    </w:p>
    <w:p w14:paraId="66F7C847" w14:textId="77777777" w:rsidR="00A50D31" w:rsidRPr="00003CCE" w:rsidRDefault="00A50D31" w:rsidP="00A50D31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Virtual</w:t>
      </w:r>
    </w:p>
    <w:p w14:paraId="4ACB3F8F" w14:textId="77777777" w:rsidR="00A50D31" w:rsidRPr="00003CCE" w:rsidRDefault="00A50D31" w:rsidP="00A50D31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pt-BR"/>
        </w:rPr>
      </w:pPr>
    </w:p>
    <w:p w14:paraId="72521CC6" w14:textId="77777777" w:rsidR="00A50D31" w:rsidRPr="00003CCE" w:rsidRDefault="00A50D31" w:rsidP="00A50D31">
      <w:pPr>
        <w:widowControl/>
        <w:jc w:val="center"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PROJETO DE ESTRATÉGIA HEMISFÉRICA CONTRA A</w:t>
      </w:r>
    </w:p>
    <w:p w14:paraId="5326D13D" w14:textId="77777777" w:rsidR="00A50D31" w:rsidRPr="00003CCE" w:rsidRDefault="00A50D31" w:rsidP="00A50D31">
      <w:pPr>
        <w:widowControl/>
        <w:jc w:val="center"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CRIMINALIDADE ORGANIZADA TRANSNACIONAL</w:t>
      </w:r>
    </w:p>
    <w:p w14:paraId="1335EE00" w14:textId="77777777" w:rsidR="00A50D31" w:rsidRPr="00003CCE" w:rsidRDefault="00A50D31" w:rsidP="00A50D31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16F82B80" w14:textId="5E345D22" w:rsidR="00A50D31" w:rsidRPr="00003CCE" w:rsidRDefault="00A50D31" w:rsidP="00A50D31">
      <w:pPr>
        <w:widowControl/>
        <w:jc w:val="center"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(</w:t>
      </w:r>
      <w:r w:rsidR="00003CCE" w:rsidRPr="00003CCE">
        <w:rPr>
          <w:rFonts w:ascii="Times New Roman" w:hAnsi="Times New Roman"/>
          <w:szCs w:val="22"/>
          <w:lang w:val="pt-BR"/>
        </w:rPr>
        <w:t>Considerado</w:t>
      </w:r>
      <w:r w:rsidRPr="00003CCE">
        <w:rPr>
          <w:rFonts w:ascii="Times New Roman" w:hAnsi="Times New Roman"/>
          <w:szCs w:val="22"/>
          <w:lang w:val="pt-BR"/>
        </w:rPr>
        <w:t xml:space="preserve"> pela RANDOT-III</w:t>
      </w:r>
      <w:r w:rsidR="00003CCE" w:rsidRPr="00003CCE">
        <w:rPr>
          <w:rFonts w:ascii="Times New Roman" w:hAnsi="Times New Roman"/>
          <w:szCs w:val="22"/>
          <w:lang w:val="pt-BR"/>
        </w:rPr>
        <w:t xml:space="preserve"> e encaminhado à Comissão de Segurança Hemisférica para sua consideração</w:t>
      </w:r>
      <w:r w:rsidRPr="00003CCE">
        <w:rPr>
          <w:rFonts w:ascii="Times New Roman" w:hAnsi="Times New Roman"/>
          <w:szCs w:val="22"/>
          <w:lang w:val="pt-BR"/>
        </w:rPr>
        <w:t>)</w:t>
      </w:r>
    </w:p>
    <w:p w14:paraId="49A99B80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0ABF5AB7" w14:textId="77777777" w:rsidR="00A50D31" w:rsidRPr="00003CCE" w:rsidRDefault="00A50D31" w:rsidP="00A50D31">
      <w:pPr>
        <w:widowControl/>
        <w:rPr>
          <w:rFonts w:ascii="Times New Roman" w:hAnsi="Times New Roman"/>
          <w:bCs/>
          <w:szCs w:val="22"/>
          <w:lang w:val="pt-BR"/>
        </w:rPr>
      </w:pPr>
      <w:r w:rsidRPr="00003CCE">
        <w:rPr>
          <w:rFonts w:ascii="Times New Roman" w:hAnsi="Times New Roman"/>
          <w:bCs/>
          <w:szCs w:val="22"/>
          <w:lang w:val="pt-BR"/>
        </w:rPr>
        <w:t>Introdução</w:t>
      </w:r>
    </w:p>
    <w:p w14:paraId="6A07D075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48D4F843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A criminalidade organizada transnacional (COT) constitui um desafio global. O seu impacto negativo é sentido em todo o Hemisfério.</w:t>
      </w:r>
    </w:p>
    <w:p w14:paraId="2D45016D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4B54795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A COT é um fenômeno complexo e dinâmico. Tem causas, consequências e impactos multidimensionais na segurança mundial e em outras áreas, como as instituições democráticas, as economias, os setores financeiros, o Estado de Direito e o desenvolvimento sustentável.</w:t>
      </w:r>
    </w:p>
    <w:p w14:paraId="02BF775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065206B2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Os Estados membros da OEA entendem que, para prevenir, reduzir e abordar efetivamente a COT, devem trabalhar juntos no espírito de responsabilidade comum e compartilhada, com pleno respeito aos direitos humanos e às liberdades fundamentais, observando os princípios da soberania nacional e do respeito mútuo entre os Estados. </w:t>
      </w:r>
    </w:p>
    <w:p w14:paraId="13D79616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50A59609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Esta Estratégia Hemisférica foi desenvolvida pela Comissão de Segurança Hemisférica com o apoio técnico da Secretaria de Segurança Multidimensional da OEA, em resposta às Recomendações de Quito para o Fortalecimento da Cooperação Internacional em Matéria de Segurança Pública na Prevenção e na Luta contra a Criminalidade, adotada pelos Ministros da Segurança Pública em outubro de 2019 e reafirmada pela Assembleia Geral da OEA na AG/RES. 2950 (L-O/20).</w:t>
      </w:r>
    </w:p>
    <w:p w14:paraId="7B79AFDE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065CE305" w14:textId="77777777" w:rsidR="00A50D31" w:rsidRPr="00003CCE" w:rsidRDefault="00A50D31" w:rsidP="00A50D31">
      <w:pPr>
        <w:widowControl/>
        <w:rPr>
          <w:rFonts w:ascii="Times New Roman" w:hAnsi="Times New Roman"/>
          <w:bCs/>
          <w:szCs w:val="22"/>
          <w:lang w:val="pt-BR"/>
        </w:rPr>
      </w:pPr>
      <w:r w:rsidRPr="00003CCE">
        <w:rPr>
          <w:rFonts w:ascii="Times New Roman" w:hAnsi="Times New Roman"/>
          <w:bCs/>
          <w:szCs w:val="22"/>
          <w:lang w:val="pt-BR"/>
        </w:rPr>
        <w:t>Objetivos gerais</w:t>
      </w:r>
    </w:p>
    <w:p w14:paraId="347DE499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5CB79ABF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Os países do Hemisfério adotaram universalmente a Convenção das Nações Unidas contra a criminalidade organizada transnacional (UNTOC) como o seu marco e instrumento internacional para combater a COT, e também adotaram o Plano de Ação Hemisférico contra a Criminalidade Organizada Transnacional, que se foca na implementação da UNTOC em nível regional. </w:t>
      </w:r>
    </w:p>
    <w:p w14:paraId="0AB87113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60D697A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Esta Estratégia Hemisférica destina-se a orientar os Estados membros da OEA e a sua Secretaria-Geral na implementação da UNTOC e do Plano de Ação Hemisférico contra a Criminalidade Organizada Transnacional na região.</w:t>
      </w:r>
    </w:p>
    <w:p w14:paraId="2384D2E3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399B138D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0D49CDD6" w14:textId="77777777" w:rsidR="00A50D31" w:rsidRPr="00003CCE" w:rsidRDefault="00A50D31" w:rsidP="00A50D3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  <w:lang w:val="pt-BR"/>
        </w:rPr>
      </w:pPr>
      <w:r w:rsidRPr="00003CCE">
        <w:rPr>
          <w:rFonts w:ascii="Times New Roman" w:hAnsi="Times New Roman"/>
          <w:bCs/>
          <w:szCs w:val="22"/>
          <w:lang w:val="pt-BR"/>
        </w:rPr>
        <w:lastRenderedPageBreak/>
        <w:t>Ações</w:t>
      </w:r>
    </w:p>
    <w:p w14:paraId="636A3467" w14:textId="77777777" w:rsidR="00A50D31" w:rsidRPr="00003CCE" w:rsidRDefault="00A50D31" w:rsidP="00A50D3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pt-BR"/>
        </w:rPr>
      </w:pPr>
    </w:p>
    <w:p w14:paraId="7C692CF4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Estratégias nacionais contra a criminalidade organizada transnacional</w:t>
      </w:r>
    </w:p>
    <w:p w14:paraId="69EE8F2A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Por meio da adoção desta Estratégia Hemisférica, os Estados membros da OEA reconhecem a importância de se fortalecer a capacidade nacional de resposta às ameaças e aos desafios que a COT representa para sua segurança, prosperidade e instituições democráticas. </w:t>
      </w:r>
    </w:p>
    <w:p w14:paraId="7FF7284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47D12CD2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Devido à sua natureza complexa e a causas e consequências multidimensionais, o enfrentamento efetivo da COT requer ações coordenadas dos atores internacionais, regionais, governamentais e não governamentais. A coordenação deve ser institucionalizada mediante a elaboração, atualização, implementação e aplicação de estratégias nacionais que levem em conta as preocupações, capacidades e vulnerabilidades das partes interessadas, ao mesmo tempo em que  promova estratégias para garantir a segurança e a recuperação da paz, busca e administração de justiça, restabelecimento do Estado de Direito e reinserção dos infratores, tudo sob a perspectiva de respeito às liberdades e aos direitos humanos. Portanto, na elaboração, atualização ou implementação das suas Estratégias Nacionais, conforme o caso, os Estados membros considerarão as seguintes ações:</w:t>
      </w:r>
    </w:p>
    <w:p w14:paraId="3EB14609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31D8A7A1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Empregar uma abordagem abrangente que compreenda todo o governo para tratar dos efeitos multidimensionais da criminalidade organizada nas sociedades, fortalecendo a capacidade das instituições públicas e das legislações nacionais de prevenir, abordar, combater, desorganizar e reduzir a criminalidade organizada de maneira efetiva.</w:t>
      </w:r>
    </w:p>
    <w:p w14:paraId="5FA39597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Desenvolver e fortalecer as capacidades dos Estados membros para diagnosticar e avaliar a ameaça, coletando e analisando dados com vistas a fornecer informações para o desenvolvimento e a implementação de políticas com base empírica, a fim de abordar a COT de maneira efetiva, permitindo resultados e impactos mensuráveis.</w:t>
      </w:r>
    </w:p>
    <w:p w14:paraId="21AEB459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Promover a cooperação intersetorial, </w:t>
      </w:r>
      <w:r w:rsidRPr="00003CCE">
        <w:rPr>
          <w:rFonts w:ascii="Times New Roman" w:hAnsi="Times New Roman"/>
          <w:bCs/>
          <w:szCs w:val="22"/>
          <w:lang w:val="pt-BR"/>
        </w:rPr>
        <w:t>para promover a segurança dos cidadãos</w:t>
      </w:r>
      <w:r w:rsidRPr="00003CCE">
        <w:rPr>
          <w:rFonts w:ascii="Times New Roman" w:hAnsi="Times New Roman"/>
          <w:szCs w:val="22"/>
          <w:lang w:val="pt-BR"/>
        </w:rPr>
        <w:t>, com o setor privado, o setor acadêmico, as organizações não governamentais, os sobreviventes e a sociedade civil, a fim de contribuir para a melhoria das intervenções governamentais e fortalecer a coesão e a resiliência sociais.</w:t>
      </w:r>
    </w:p>
    <w:p w14:paraId="464982CA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Construir parcerias, a partir dos diferentes órgãos do Estado, com todos os setores da sociedade para promover uma resposta nacional unificada aos atores criminosos organizados, às atividades ilegais e às economias ilícitas que eles criam.</w:t>
      </w:r>
    </w:p>
    <w:p w14:paraId="0D2B4BAA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Promover e fortalecer a cooperação nacional, sub-regional, regional e internacional e a troca de informações para combater efetivamente os grupos criminosos organizados que atuam em múltiplas jurisdições. </w:t>
      </w:r>
    </w:p>
    <w:p w14:paraId="510268C9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Desenvolver e fortalecer a capacidade dos Estados beneficiários para prevenir e responder às ameaças impostas pela COT.</w:t>
      </w:r>
    </w:p>
    <w:p w14:paraId="647AD16A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Desenvolver e otimizar mecanismos para prevenir, identificar, deter e interromper a criminalidade organizada.</w:t>
      </w:r>
    </w:p>
    <w:p w14:paraId="56C0CD03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Fortalecer as capacidades nacionais para visar e investigar o financiamento criminoso, com o objetivo de interromper as operações criminosas e negar aos criminosos o uso do produto do crime.</w:t>
      </w:r>
    </w:p>
    <w:p w14:paraId="3D85CF72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Fortalecer as capacidades do judiciário e dos órgãos de aplicação da lei para investigar e processar efetivamente a COT.</w:t>
      </w:r>
    </w:p>
    <w:p w14:paraId="51741CB5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Aplicar medidas para prevenir a corrupção, a infiltração, a cooptação e o conluio com instituições públicas por parte da criminalidade organizada. </w:t>
      </w:r>
    </w:p>
    <w:p w14:paraId="6E7E32DA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lastRenderedPageBreak/>
        <w:t>Incorporar uma perspectiva de direitos humanos e de gênero nos programas, nos projetos e nas atividades, bem como nos órgãos e nas organizações que abordam a criminalidade organizada transnacional.</w:t>
      </w:r>
    </w:p>
    <w:p w14:paraId="7A71D2FF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Adotar políticas e implementar medidas que priorizem a conjunção dos esforços de segurança pública e a geração de oportunidades para o fomento do bem-estar para proteger indivíduos e comunidades marginalizadas e vulneráveis da violência, da vitimização e do recrutamento por grupos criminosos organizados.</w:t>
      </w:r>
    </w:p>
    <w:p w14:paraId="7BB87FF0" w14:textId="77777777" w:rsidR="00A50D31" w:rsidRPr="00003CCE" w:rsidRDefault="00A50D31" w:rsidP="00A50D31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Implementar programas para reintegrar efetivamente os infratores, sob a perspectiva de respeito às liberdades e aos direitos humanos, prevenir a reincidência, interromper os laços criminosos e reduzir os fatores de risco. </w:t>
      </w:r>
    </w:p>
    <w:p w14:paraId="70110B6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58EF59F0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Instrumentos jurídicos</w:t>
      </w:r>
    </w:p>
    <w:p w14:paraId="715A3F33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No enfrentamento da COT, é essencial que </w:t>
      </w:r>
      <w:r w:rsidRPr="00003CCE">
        <w:rPr>
          <w:rFonts w:ascii="Times New Roman" w:hAnsi="Times New Roman"/>
          <w:bCs/>
          <w:szCs w:val="22"/>
          <w:lang w:val="pt-BR"/>
        </w:rPr>
        <w:t>os Estados considerem a possibilidade de realizar os processos de análise e as reformas necessárias nas normas penais, com o propósito de que</w:t>
      </w:r>
      <w:r w:rsidRPr="00003CCE">
        <w:rPr>
          <w:rFonts w:ascii="Times New Roman" w:hAnsi="Times New Roman"/>
          <w:szCs w:val="22"/>
          <w:lang w:val="pt-BR"/>
        </w:rPr>
        <w:t xml:space="preserve"> </w:t>
      </w:r>
      <w:r w:rsidRPr="00003CCE">
        <w:rPr>
          <w:rFonts w:ascii="Times New Roman" w:hAnsi="Times New Roman"/>
          <w:bCs/>
          <w:szCs w:val="22"/>
          <w:lang w:val="pt-BR"/>
        </w:rPr>
        <w:t>tanto</w:t>
      </w:r>
      <w:r w:rsidRPr="00003CCE">
        <w:rPr>
          <w:rFonts w:ascii="Times New Roman" w:hAnsi="Times New Roman"/>
          <w:szCs w:val="22"/>
          <w:lang w:val="pt-BR"/>
        </w:rPr>
        <w:t xml:space="preserve"> os sistemas jurídicos nacionais </w:t>
      </w:r>
      <w:r w:rsidRPr="00003CCE">
        <w:rPr>
          <w:rFonts w:ascii="Times New Roman" w:hAnsi="Times New Roman"/>
          <w:bCs/>
          <w:szCs w:val="22"/>
          <w:lang w:val="pt-BR"/>
        </w:rPr>
        <w:t>quanto os</w:t>
      </w:r>
      <w:r w:rsidRPr="00003CCE">
        <w:rPr>
          <w:rFonts w:ascii="Times New Roman" w:hAnsi="Times New Roman"/>
          <w:szCs w:val="22"/>
          <w:lang w:val="pt-BR"/>
        </w:rPr>
        <w:t xml:space="preserve"> internacionais estejam atualizados e trabalhem em harmonia para fornecer as ferramentas jurídicas mais eficazes necessárias para o enfrentamento das diversas manifestações, modalidades e adaptações da COT, que ocorrem frequentemente em várias jurisdições. </w:t>
      </w:r>
    </w:p>
    <w:p w14:paraId="2E3780C3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22538EC9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 xml:space="preserve">O Plano de Ação Hemisférico contra a Criminalidade Organizada Transnacional insta os Estados membros a ratificar os seguintes instrumentos internacionais e regionais, e/ou a eles aderir, conforme o caso: </w:t>
      </w:r>
    </w:p>
    <w:p w14:paraId="7A99759B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6C41AB2D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das Nações Unidas contra o Crime Organizado Transnacional (UNTOC)</w:t>
      </w:r>
      <w:r w:rsidRPr="00003CCE">
        <w:rPr>
          <w:rFonts w:ascii="Times New Roman" w:hAnsi="Times New Roman"/>
          <w:color w:val="000000"/>
          <w:szCs w:val="22"/>
          <w:lang w:val="pt-BR"/>
        </w:rPr>
        <w:t>;</w:t>
      </w:r>
    </w:p>
    <w:p w14:paraId="2E50BE88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Protocolo para Prevenir, Reprimir e Punir o Tráfico de Pessoas, em Especial Mulheres e Crianças, que complementa a Convenção das Nações Unidas contra o Crime Organizado Transnacional;</w:t>
      </w:r>
    </w:p>
    <w:p w14:paraId="6AAA3182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Protocolo contra o Contrabando de Migrantes por Terra, Mar e Ar, que complementa a Convenção das Nações Unidas contra o Crime Organizado Transnacional;</w:t>
      </w:r>
    </w:p>
    <w:p w14:paraId="1E3A3AB8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Protocolo contra a Fabricação e o Tráfico Ilícitos de Armas de Fogo, Suas Peças e Componentes e Munições, que complementa a Convenção das Nações Unidas contra o Crime Organizado Transnacional;</w:t>
      </w:r>
    </w:p>
    <w:p w14:paraId="3AEB6D4D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color w:val="000000"/>
          <w:szCs w:val="22"/>
          <w:lang w:val="pt-BR"/>
        </w:rPr>
        <w:t xml:space="preserve">Convenção Única das Nações Unidas sobre </w:t>
      </w:r>
      <w:r w:rsidRPr="00003CCE">
        <w:rPr>
          <w:rFonts w:ascii="Times New Roman" w:hAnsi="Times New Roman"/>
          <w:szCs w:val="22"/>
          <w:lang w:val="pt-BR"/>
        </w:rPr>
        <w:t>Entorpecentes</w:t>
      </w:r>
      <w:r w:rsidRPr="00003CCE">
        <w:rPr>
          <w:rFonts w:ascii="Times New Roman" w:hAnsi="Times New Roman"/>
          <w:color w:val="000000"/>
          <w:szCs w:val="22"/>
          <w:lang w:val="pt-BR"/>
        </w:rPr>
        <w:t xml:space="preserve"> (1961), modificada pelo Protocolo de 1972</w:t>
      </w:r>
      <w:r w:rsidRPr="00003CCE">
        <w:rPr>
          <w:rFonts w:ascii="Times New Roman" w:hAnsi="Times New Roman"/>
          <w:szCs w:val="22"/>
          <w:lang w:val="pt-BR"/>
        </w:rPr>
        <w:t>;</w:t>
      </w:r>
    </w:p>
    <w:p w14:paraId="74CCEF3F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color w:val="000000"/>
          <w:szCs w:val="22"/>
          <w:lang w:val="pt-BR"/>
        </w:rPr>
        <w:t xml:space="preserve">Convenção das Nações Unidas sobre </w:t>
      </w:r>
      <w:r w:rsidRPr="00003CCE">
        <w:rPr>
          <w:rFonts w:ascii="Times New Roman" w:hAnsi="Times New Roman"/>
          <w:szCs w:val="22"/>
          <w:lang w:val="pt-BR"/>
        </w:rPr>
        <w:t>Substâncias</w:t>
      </w:r>
      <w:r w:rsidRPr="00003CCE">
        <w:rPr>
          <w:rFonts w:ascii="Times New Roman" w:hAnsi="Times New Roman"/>
          <w:color w:val="000000"/>
          <w:szCs w:val="22"/>
          <w:lang w:val="pt-BR"/>
        </w:rPr>
        <w:t xml:space="preserve"> Psicotrópicas (1971);</w:t>
      </w:r>
    </w:p>
    <w:p w14:paraId="750340A4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color w:val="000000"/>
          <w:szCs w:val="22"/>
          <w:lang w:val="pt-BR"/>
        </w:rPr>
        <w:t xml:space="preserve">Convenção das Nações </w:t>
      </w:r>
      <w:r w:rsidRPr="00003CCE">
        <w:rPr>
          <w:rFonts w:ascii="Times New Roman" w:hAnsi="Times New Roman"/>
          <w:szCs w:val="22"/>
          <w:lang w:val="pt-BR"/>
        </w:rPr>
        <w:t>Unidas</w:t>
      </w:r>
      <w:r w:rsidRPr="00003CCE">
        <w:rPr>
          <w:rFonts w:ascii="Times New Roman" w:hAnsi="Times New Roman"/>
          <w:color w:val="000000"/>
          <w:szCs w:val="22"/>
          <w:lang w:val="pt-BR"/>
        </w:rPr>
        <w:t xml:space="preserve"> contra o Tráfico Ilícito de Entorpecentes e Substâncias Psicotrópicas (1988)</w:t>
      </w:r>
      <w:r w:rsidRPr="00003CCE">
        <w:rPr>
          <w:rFonts w:ascii="Times New Roman" w:hAnsi="Times New Roman"/>
          <w:szCs w:val="22"/>
          <w:lang w:val="pt-BR"/>
        </w:rPr>
        <w:t>;</w:t>
      </w:r>
    </w:p>
    <w:p w14:paraId="18D3BE0E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color w:val="000000"/>
          <w:szCs w:val="22"/>
          <w:lang w:val="pt-BR"/>
        </w:rPr>
        <w:t xml:space="preserve">Convenção </w:t>
      </w:r>
      <w:r w:rsidRPr="00003CCE">
        <w:rPr>
          <w:rFonts w:ascii="Times New Roman" w:hAnsi="Times New Roman"/>
          <w:szCs w:val="22"/>
          <w:lang w:val="pt-BR"/>
        </w:rPr>
        <w:t>Interamericana</w:t>
      </w:r>
      <w:r w:rsidRPr="00003CCE">
        <w:rPr>
          <w:rFonts w:ascii="Times New Roman" w:hAnsi="Times New Roman"/>
          <w:color w:val="000000"/>
          <w:szCs w:val="22"/>
          <w:lang w:val="pt-BR"/>
        </w:rPr>
        <w:t xml:space="preserve"> contra a Fabricação e o Tráfico Ilícitos de Armas de Fogo, Munições, Explosivos e Outros Materiais Correlatos (CIFTA)</w:t>
      </w:r>
      <w:r w:rsidRPr="00003CCE">
        <w:rPr>
          <w:rFonts w:ascii="Times New Roman" w:hAnsi="Times New Roman"/>
          <w:szCs w:val="22"/>
          <w:lang w:val="pt-BR"/>
        </w:rPr>
        <w:t>;</w:t>
      </w:r>
    </w:p>
    <w:p w14:paraId="0E2ED6E9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das Nações Unidas contra a Corrupção;</w:t>
      </w:r>
    </w:p>
    <w:p w14:paraId="35F7687C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Interamericana contra a Corrupção (1996); e</w:t>
      </w:r>
    </w:p>
    <w:p w14:paraId="6F702D98" w14:textId="77777777" w:rsidR="00A50D31" w:rsidRPr="00003CCE" w:rsidRDefault="00A50D31" w:rsidP="00A50D31">
      <w:pPr>
        <w:widowControl/>
        <w:numPr>
          <w:ilvl w:val="1"/>
          <w:numId w:val="16"/>
        </w:numPr>
        <w:shd w:val="clear" w:color="auto" w:fill="FFFFFF"/>
        <w:tabs>
          <w:tab w:val="clear" w:pos="360"/>
          <w:tab w:val="clear" w:pos="72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color w:val="000000"/>
          <w:szCs w:val="22"/>
          <w:lang w:val="pt-BR"/>
        </w:rPr>
      </w:pPr>
      <w:r w:rsidRPr="00003CCE">
        <w:rPr>
          <w:rFonts w:ascii="Times New Roman" w:hAnsi="Times New Roman"/>
          <w:color w:val="000000"/>
          <w:szCs w:val="22"/>
          <w:lang w:val="pt-BR"/>
        </w:rPr>
        <w:t>Convenção</w:t>
      </w:r>
      <w:r w:rsidRPr="00003CCE">
        <w:rPr>
          <w:rFonts w:ascii="Times New Roman" w:hAnsi="Times New Roman"/>
          <w:szCs w:val="22"/>
          <w:lang w:val="pt-BR"/>
        </w:rPr>
        <w:t xml:space="preserve"> Interamericana sobre Assistência Mútua em Matéria Penal (1996).</w:t>
      </w:r>
    </w:p>
    <w:p w14:paraId="3D92042C" w14:textId="77777777" w:rsidR="00A50D31" w:rsidRPr="00003CCE" w:rsidRDefault="00A50D31" w:rsidP="00A50D31">
      <w:pPr>
        <w:widowControl/>
        <w:tabs>
          <w:tab w:val="left" w:pos="1080"/>
        </w:tabs>
        <w:rPr>
          <w:rFonts w:ascii="Times New Roman" w:hAnsi="Times New Roman"/>
          <w:szCs w:val="22"/>
          <w:lang w:val="pt-BR"/>
        </w:rPr>
      </w:pPr>
    </w:p>
    <w:p w14:paraId="25B6F1D0" w14:textId="77777777" w:rsidR="00A50D31" w:rsidRPr="00003CCE" w:rsidRDefault="00A50D31" w:rsidP="00A50D31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Adicionalmente, para complementar os instrumentos listados acima, os Estados membros que ainda não o fizeram deveriam considerar a possibilidade de assinar e/ou ratificar os seguintes  instrumentos regionais e internacionais ou, conforme o caso, a eles aderir: </w:t>
      </w:r>
    </w:p>
    <w:p w14:paraId="76678CA1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lastRenderedPageBreak/>
        <w:t>Convenção Interamericana sobre Execução de Medidas Preventivas ou Cautelares (1979);</w:t>
      </w:r>
    </w:p>
    <w:p w14:paraId="7D8AF50B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Interamericana sobre Extradição (1981);</w:t>
      </w:r>
    </w:p>
    <w:p w14:paraId="56E7B13D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Protocolo Opcional da Convenção Interamericana sobre Assistência Mútua em Matéria Criminal (1993);</w:t>
      </w:r>
    </w:p>
    <w:p w14:paraId="11874FF3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Interamericana sobre Tráfico Internacional de Menores (1994);</w:t>
      </w:r>
    </w:p>
    <w:p w14:paraId="0F12C824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do Conselho da Europa sobre Crime Cibernético (Convenção de Budapeste) (2001);</w:t>
      </w:r>
    </w:p>
    <w:p w14:paraId="5E94BCA8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para a Supressão do Tráfico Ilícito Marítimo e Aéreo de Entorpecentes e Substâncias Psicotrópicas na Região do Caribe (2003); e</w:t>
      </w:r>
    </w:p>
    <w:p w14:paraId="0B165FFC" w14:textId="77777777" w:rsidR="00A50D31" w:rsidRPr="00003CCE" w:rsidRDefault="00A50D31" w:rsidP="00A50D31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Convenção de Minamata sobre Mercúrio (2013).</w:t>
      </w:r>
    </w:p>
    <w:p w14:paraId="746D100C" w14:textId="77777777" w:rsidR="00A50D31" w:rsidRPr="00003CCE" w:rsidRDefault="00A50D31" w:rsidP="00A50D31">
      <w:pPr>
        <w:widowControl/>
        <w:tabs>
          <w:tab w:val="left" w:pos="1080"/>
        </w:tabs>
        <w:rPr>
          <w:rFonts w:ascii="Times New Roman" w:hAnsi="Times New Roman"/>
          <w:szCs w:val="22"/>
          <w:lang w:val="pt-BR"/>
        </w:rPr>
      </w:pPr>
    </w:p>
    <w:p w14:paraId="170DA3D5" w14:textId="77777777" w:rsidR="00A50D31" w:rsidRPr="00003CCE" w:rsidRDefault="00A50D31" w:rsidP="00A50D31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Finalmente, os Estados membros poderiam considerar a celebração de tratados e/ou acordos bilaterais, regionais e/ou multilaterais para se avançar nos propósitos desta Estratégia Hemisférica. </w:t>
      </w:r>
    </w:p>
    <w:p w14:paraId="0152E572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6438E954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Assuntos judiciários e relacionados com a aplicação da lei</w:t>
      </w:r>
    </w:p>
    <w:p w14:paraId="765C2E1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No combate à criminalidade organizada transnacional, o poder judiciário, os organismos encarregados da aplicação da lei e as unidades de inteligência financeira são responsáveis pela identificação, análise e investigação de redes criminosas, pelo combate ao tráfico ilegal e aos mercados ilícitos, pela prevenção da convergência e o conluio criminosos, pela interrupção da transferência da receita do crime, bem como pela acusação, pelo julgamento e pela punição dos atores da COT. Em apoio ao desempenho efetivo dessas funções, recomendam-se as seguintes medidas, entre outras:</w:t>
      </w:r>
    </w:p>
    <w:p w14:paraId="4960B68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1E46CC88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Melhorar ou expandir, conforme o caso, a capacidade nacional das autoridades de aplicação da lei para coletar, intercambiar e analisar dados e informações sobre criminalidade organizada transnacional, bem como estabelecer as ferramentas necessárias para o intercâmbio dessas informações (Art. 28 da UNTOC). </w:t>
      </w:r>
    </w:p>
    <w:p w14:paraId="1D214A6F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Construir e fortalecer capacidades em criminologia e ciências forenses, bem como  promulgar o marco jurídico necessário para permitir a sua efetiva aplicação a casos criminais.</w:t>
      </w:r>
    </w:p>
    <w:p w14:paraId="213153AD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Fortalecer o regime regulatório e de supervisão interno para combater a lavagem de dinheiro, em conformidade com as diretrizes pertinentes recomendadas pelas organizações regionais e multilaterais especializadas contra a lavagem de dinheiro. (Art. 7 da UNTOC) </w:t>
      </w:r>
    </w:p>
    <w:p w14:paraId="7C63D508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Estabelecer os processos necessários e a capacidade de construção para a condução efetiva de investigações financeiras paralelas. </w:t>
      </w:r>
    </w:p>
    <w:p w14:paraId="1CF09529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Estabelecer os processos necessários e desenvolver a capacidade de realizar investigações baseadas nas Tecnologias da Informação e da Comunicação sobre as atividades da criminalidade organizada transnacional. </w:t>
      </w:r>
    </w:p>
    <w:p w14:paraId="5497061B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Adotar ou fortalecer medidas ou capacidades, conforme necessário, para viabilizar a identificação, o rastreamento, o congelamento, o confisco, a apreensão e a alienação de produtos, ativos e bens derivados, utilizados ou destinados ao uso na criminalidade </w:t>
      </w:r>
      <w:r w:rsidRPr="00003CCE">
        <w:rPr>
          <w:rFonts w:ascii="Times New Roman" w:hAnsi="Times New Roman"/>
          <w:szCs w:val="22"/>
          <w:lang w:val="pt-BR"/>
        </w:rPr>
        <w:lastRenderedPageBreak/>
        <w:t xml:space="preserve">organizada, bem como utilizar cooperação internacional neste sentido. (Art. 12 da UNTOC) </w:t>
      </w:r>
    </w:p>
    <w:p w14:paraId="40D22D33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Fortalecer as capacidades, destrezas e habilidades dos agentes da lei na análise criminal, inteligência policial e prisional, e no uso de técnicas especiais de pesquisa e investigação. </w:t>
      </w:r>
    </w:p>
    <w:p w14:paraId="5A1CCCE0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Considerar a adoção ou o fortalecimento de políticas internas sobre compartilhamento de informações no que diz respeito a antecedentes criminais, análise criminal, investigações criminais e processos criminais.</w:t>
      </w:r>
    </w:p>
    <w:p w14:paraId="1DEC94EE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Considerar a adoção ou o fortalecimento do marco jurídico nacional para permitir o uso adequado das técnicas especiais de investigação descritas na UNTOC. (Art. 20 da UNTOC) </w:t>
      </w:r>
    </w:p>
    <w:p w14:paraId="181A22FD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Considerar o estabelecimento ou o fortalecimento de sistemas jurídicos e administrativos para aprimorar a cooperação policial efetiva; estabelecer, quando necessário, os canais apropriados de comunicação e acordos. (Art. 27 da UNTOC) </w:t>
      </w:r>
    </w:p>
    <w:p w14:paraId="3DBD040D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Considerar a adoção e a implementação de mecanismos processuais, jurídicos e operacionais para a proteção efetiva de testemunhas, vítimas e agentes da lei. (Art. 24 da UNTOC) </w:t>
      </w:r>
    </w:p>
    <w:p w14:paraId="17512CC9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Considerar o fortalecimento da capacidade técnica, do marco jurídico e das políticas dos controles de fronteiras para melhorar a prevenção e a detecção do tráfico de pessoas. (Protocolo TiP, Art. 11) </w:t>
      </w:r>
    </w:p>
    <w:p w14:paraId="202FC821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Considerar a adoção ou o fortalecimento de sistemas de emissão e controle de documentos de viagem e identidade para melhorar sua integridade e segurança, e para evitar sua criação e uso indevidos e ilegais. (Protocolo TiP, Art. 12)</w:t>
      </w:r>
    </w:p>
    <w:p w14:paraId="641D5ACD" w14:textId="77777777" w:rsidR="00A50D31" w:rsidRPr="00003CCE" w:rsidRDefault="00A50D31" w:rsidP="00A50D3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Apoiar os Estados membros na atualização e implementação de novos marcos legislativos para, de forma mais eficaz, responder ao cibercrime e processá-lo judicialmente.</w:t>
      </w:r>
    </w:p>
    <w:p w14:paraId="553148E2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5EC5DAD8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Capacitação</w:t>
      </w:r>
    </w:p>
    <w:p w14:paraId="67697B0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O Hemisfério é integrado por Estados membros com capacidades e experiências variadas no combate à COT. Para interromper efetivamente as atividades transnacionais de grupos criminosos organizados, os Estados membros precisam cooperar para fortalecer as capacidades e habilidades do pessoal especializado. Para isso, recomendam-se as seguintes ações:</w:t>
      </w:r>
    </w:p>
    <w:p w14:paraId="54A12D88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465C9585" w14:textId="77777777" w:rsidR="00A50D31" w:rsidRPr="00003CCE" w:rsidRDefault="00A50D31" w:rsidP="00A50D31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Promover capacitação e assistência técnica centradas nas vítimas e que levem em conta as necessidades específicas dessas pessoas, com vistas a fortalecer a capacidade do pessoal encarregado de fazer cumprir a lei para analisar e investigar, julgar e punir a criminalidade organizada transnacional. (Art. 29 da UNTOC)</w:t>
      </w:r>
    </w:p>
    <w:p w14:paraId="68E0E45C" w14:textId="77777777" w:rsidR="00A50D31" w:rsidRPr="00003CCE" w:rsidRDefault="00A50D31" w:rsidP="00A50D31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Promover o uso de material de capacitação que incorpore lições aprendidas e experiências de estudos de caso nacionais e regionais reais.</w:t>
      </w:r>
    </w:p>
    <w:p w14:paraId="16A57D7C" w14:textId="77777777" w:rsidR="00A50D31" w:rsidRPr="00003CCE" w:rsidRDefault="00A50D31" w:rsidP="00A50D31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Compartilhar experiências e boas práticas com vistas a melhorar as capacidades existentes para prevenir, investigar e processar judicialmente a COT. </w:t>
      </w:r>
    </w:p>
    <w:p w14:paraId="65CBAC47" w14:textId="77777777" w:rsidR="00A50D31" w:rsidRPr="00003CCE" w:rsidRDefault="00A50D31" w:rsidP="00A50D31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Desenvolver e/ou apoiar programas específicos de capacitação – bilaterais, multilaterais, sub-regionais e regionais – que aprofundem os objetivos da Estratégia Hemisférica.</w:t>
      </w:r>
    </w:p>
    <w:p w14:paraId="519CFC6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0E8BE8BE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Gestão de dados, informações e conhecimentos</w:t>
      </w:r>
    </w:p>
    <w:p w14:paraId="286C7507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O compartilhamento oportuno, regular e seguro de dados, informações e conhecimentos precisos entre os Estados é um componente vital do esforço de cada país para interromper, investigar, processar e punir a COT. Neste sentido, recomendam-se as seguintes ações:</w:t>
      </w:r>
    </w:p>
    <w:p w14:paraId="63D2434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146B6A9D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designam uma Autoridade Nacional em COT e notificam a Secretaria-Geral por escrito.</w:t>
      </w:r>
    </w:p>
    <w:p w14:paraId="77E5B384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designam um Ponto de Contato Nacional em COT e notificam a Secretaria-Geral por escrito.</w:t>
      </w:r>
    </w:p>
    <w:p w14:paraId="4224CEC8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mantêm a Secretaria-Geral informada sobre quaisquer atualizações em relação às autoridades nacionais e aos pontos de contato designados.</w:t>
      </w:r>
    </w:p>
    <w:p w14:paraId="191DA401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 Secretaria-Geral mantém, atualiza e publica uma lista de Autoridades Nacionais e Pontos de Contato Nacionais com base nas informações fornecidas pelos Estados membros. </w:t>
      </w:r>
    </w:p>
    <w:p w14:paraId="21296992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apresentam à Secretaria-Geral questionários do UNODC e da OEA relacionados à COT em tempo hábil para que possam ser carregados e compartilhados nas plataformas e nos bancos de dados da OEA.</w:t>
      </w:r>
    </w:p>
    <w:p w14:paraId="4CC3CA26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Os Estados membros garantem que as leis e os planos (políticas, estratégias ou programas) em matéria de COT sejam compartilhados com os Estados membros da OEA; e a Secretaria-Geral garantirá que essas bases de dados sejam facilmente acessíveis, simplificadas e consolidadas. </w:t>
      </w:r>
    </w:p>
    <w:p w14:paraId="0E2EF1EB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Os Estados membros trocam informações entre instituições nacionais de competência semelhante sobre grupos criminosos organizados transnacionais, suas atividades ilegais e legais, suas redes sociais, suas estruturas empresariais e logísticas e o seu </w:t>
      </w:r>
      <w:r w:rsidRPr="00003CCE">
        <w:rPr>
          <w:rFonts w:ascii="Times New Roman" w:hAnsi="Times New Roman"/>
          <w:i/>
          <w:iCs/>
          <w:szCs w:val="22"/>
          <w:lang w:val="pt-BR"/>
        </w:rPr>
        <w:t>modus operandi</w:t>
      </w:r>
      <w:r w:rsidRPr="00003CCE">
        <w:rPr>
          <w:rFonts w:ascii="Times New Roman" w:hAnsi="Times New Roman"/>
          <w:szCs w:val="22"/>
          <w:lang w:val="pt-BR"/>
        </w:rPr>
        <w:t>, além de informações operacionais em tempo real.</w:t>
      </w:r>
    </w:p>
    <w:p w14:paraId="3A037D3E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promovem o uso de novas tecnologias de comunicação e de sistemas de informação seguros, entre os quais aqueles fornecidos por INTERPOL, UNDOC e OEA;</w:t>
      </w:r>
    </w:p>
    <w:p w14:paraId="32E88832" w14:textId="77777777" w:rsidR="00A50D31" w:rsidRPr="00003CCE" w:rsidRDefault="00A50D31" w:rsidP="00A50D31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documentam, sistematizam e compartilham estudos de caso analisando, investigando, processando, punindo e interrompendo a criminalidade organizada transnacional.</w:t>
      </w:r>
    </w:p>
    <w:p w14:paraId="1DBDA362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0F31A971" w14:textId="77777777" w:rsidR="00A50D31" w:rsidRPr="00003CCE" w:rsidRDefault="00A50D31" w:rsidP="00A50D31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hanging="720"/>
        <w:contextualSpacing/>
        <w:rPr>
          <w:rFonts w:ascii="Times New Roman" w:hAnsi="Times New Roman"/>
          <w:szCs w:val="22"/>
          <w:u w:val="single"/>
          <w:lang w:val="pt-BR"/>
        </w:rPr>
      </w:pPr>
      <w:r w:rsidRPr="00003CCE">
        <w:rPr>
          <w:rFonts w:ascii="Times New Roman" w:hAnsi="Times New Roman"/>
          <w:szCs w:val="22"/>
          <w:u w:val="single"/>
          <w:lang w:val="pt-BR"/>
        </w:rPr>
        <w:t>Cooperação e assistência internacional</w:t>
      </w:r>
    </w:p>
    <w:p w14:paraId="7F3E086C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A globalização e expansão das atividades criminosas e das economias ilícitas criou a necessidade de se desenvolver e fortalecer as formas de cooperação e assistência internacional utilizadas pelos Estados membros. Na medida em que os governos buscam investigar, processar e punir efetivamente os crimes organizados transnacionais, é importante que tomem medidas para aprimorar os mecanismos de coordenação e as parcerias. Para isso, recomenda-se que:</w:t>
      </w:r>
    </w:p>
    <w:p w14:paraId="09D6162B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751D17B4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A Secretaria-Geral, quando for o caso, busque a cooperação e a assistência de outros Estados e organizações internacionais, inclusive de bancos multilaterais de desenvolvimento, instituições financeiras internacionais e outras partes relevantes, bem como do UNODC, para a implementação efetiva desta Estratégia Hemisférica.</w:t>
      </w:r>
    </w:p>
    <w:p w14:paraId="78235B69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lastRenderedPageBreak/>
        <w:t>Os Estados membros desenvolvam mecanismos de cooperação entre si em matéria de assistência integral às vítimas da COT.</w:t>
      </w:r>
    </w:p>
    <w:p w14:paraId="7F76B145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adotem, quando apropriado e viável, acordos multilaterais e/ou bilaterais para promover a assistência jurídica mútua entre os Estados membros.</w:t>
      </w:r>
    </w:p>
    <w:p w14:paraId="077B9417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60"/>
          <w:tab w:val="left" w:pos="45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Os Estados membros considerem, quando for apropriado, a conclusão de acordos bilaterais ou multilaterais e o estabelecimento ou o fortalecimento do marco jurídico e de políticas internas para permitir investigações conjuntas. (Art. 19 da UNTOC) </w:t>
      </w:r>
    </w:p>
    <w:p w14:paraId="2AECD8C0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60"/>
          <w:tab w:val="left" w:pos="45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Nos casos em que não existem tratados bilaterais, os Estados membros considerem, quando a legislação nacional permitir, a utilização da UNTOC como base legal para a extradição de pessoas acusadas de terem cometido crimes abrangidos por ela e por seus Protocolos. (Art. 16 da UNTOC)</w:t>
      </w:r>
    </w:p>
    <w:p w14:paraId="5B43FF89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60"/>
          <w:tab w:val="left" w:pos="45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Nos casos em que não existem acordos bilaterais, os Estados membros considerem a utilização da UNTOC como base jurídica para a assistência jurídica mútua em investigações, processos e procedimentos judiciais em relação aos delitos abrangidos por ela e por seus Protocolos. (Art. 18 da UNTOC) </w:t>
      </w:r>
    </w:p>
    <w:p w14:paraId="5AAF170A" w14:textId="77777777" w:rsidR="00A50D31" w:rsidRPr="00003CCE" w:rsidRDefault="00A50D31" w:rsidP="00A50D3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promovam acordos específicos relativos à apreensão e ao confisco dos instrumentos e do produto do crime e consideram, quando a legislação interna permitir, a possibilidade de assinatura de acordos relativos à distribuição de dinheiro ou bens apreendidos ou confiscados, de acordo com os termos e os critérios do Art. 14 da UNTOC.</w:t>
      </w:r>
    </w:p>
    <w:p w14:paraId="0A13C688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33B41876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Acompanhamento </w:t>
      </w:r>
    </w:p>
    <w:p w14:paraId="1F1B4488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7420CAD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Para fortalecer e coordenar os esforços hemisféricos no combate à criminalidade organizada transnacional e implementar esta Estratégia Hemisférica, recomenda-se que:</w:t>
      </w:r>
    </w:p>
    <w:p w14:paraId="2912146A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35A5E17A" w14:textId="77777777" w:rsidR="00A50D31" w:rsidRPr="00003CCE" w:rsidRDefault="00A50D31" w:rsidP="00A50D3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A Secretaria-Geral fortaleça a coordenação entre os órgãos da OEA responsáveis por questões relacionadas ao combate à COT e à cooperação entre esses órgãos e o Escritório das Nações Unidas sobre Drogas e Crime (UNODC).</w:t>
      </w:r>
    </w:p>
    <w:p w14:paraId="37C7DD49" w14:textId="77777777" w:rsidR="00A50D31" w:rsidRPr="00003CCE" w:rsidRDefault="00A50D31" w:rsidP="00A50D3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e a Secretaria-Geral continuem a implementar o Plano de Ação Hemisférico contra a Criminalidade Organizada Transnacional e a revisá-lo periodicamente, conforme necessário, para garantir a sua resposta contínua às mudanças dinâmicas da COT no Hemisfério.</w:t>
      </w:r>
    </w:p>
    <w:p w14:paraId="09811CCE" w14:textId="77777777" w:rsidR="00A50D31" w:rsidRPr="00003CCE" w:rsidRDefault="00A50D31" w:rsidP="00A50D3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A Comissão de Segurança Hemisférica, por meio das Reuniões das Autoridades Nacionais em Matéria de Criminalidade Organizada Transnacional (RANDOT) e dos Pontos Nacionais de Contato (PNC-DOT), acompanhe e monitore a implementação desta Estratégia Hemisférica. </w:t>
      </w:r>
    </w:p>
    <w:p w14:paraId="393AB1CD" w14:textId="77777777" w:rsidR="00A50D31" w:rsidRPr="00003CCE" w:rsidRDefault="00A50D31" w:rsidP="00A50D31">
      <w:pPr>
        <w:widowControl/>
        <w:rPr>
          <w:rFonts w:ascii="Times New Roman" w:hAnsi="Times New Roman"/>
          <w:bCs/>
          <w:szCs w:val="22"/>
          <w:lang w:val="pt-BR"/>
        </w:rPr>
      </w:pPr>
      <w:r w:rsidRPr="00003CCE">
        <w:rPr>
          <w:rFonts w:ascii="Times New Roman" w:hAnsi="Times New Roman"/>
          <w:bCs/>
          <w:szCs w:val="22"/>
          <w:lang w:val="pt-BR"/>
        </w:rPr>
        <w:br w:type="page"/>
      </w:r>
    </w:p>
    <w:p w14:paraId="1BC3CA56" w14:textId="77777777" w:rsidR="00A50D31" w:rsidRPr="00003CCE" w:rsidRDefault="00A50D31" w:rsidP="00A50D31">
      <w:pPr>
        <w:widowControl/>
        <w:rPr>
          <w:rFonts w:ascii="Times New Roman" w:hAnsi="Times New Roman"/>
          <w:bCs/>
          <w:szCs w:val="22"/>
          <w:lang w:val="pt-BR"/>
        </w:rPr>
      </w:pPr>
      <w:r w:rsidRPr="00003CCE">
        <w:rPr>
          <w:rFonts w:ascii="Times New Roman" w:hAnsi="Times New Roman"/>
          <w:bCs/>
          <w:szCs w:val="22"/>
          <w:lang w:val="pt-BR"/>
        </w:rPr>
        <w:lastRenderedPageBreak/>
        <w:t>Financiamento</w:t>
      </w:r>
    </w:p>
    <w:p w14:paraId="4135F5F2" w14:textId="77777777" w:rsidR="00A50D31" w:rsidRPr="00003CCE" w:rsidRDefault="00A50D31" w:rsidP="00A50D31">
      <w:pPr>
        <w:widowControl/>
        <w:rPr>
          <w:rFonts w:ascii="Times New Roman" w:hAnsi="Times New Roman"/>
          <w:b/>
          <w:szCs w:val="22"/>
          <w:lang w:val="pt-BR"/>
        </w:rPr>
      </w:pPr>
    </w:p>
    <w:p w14:paraId="4E29214D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ab/>
        <w:t>Para se garantir que a Secretaria-Geral disponha dos recursos necessários para a implementação desta Estratégia Hemisférica:</w:t>
      </w:r>
    </w:p>
    <w:p w14:paraId="1AEF5F64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6C2B3FB0" w14:textId="77777777" w:rsidR="00A50D31" w:rsidRPr="00003CCE" w:rsidRDefault="00A50D31" w:rsidP="00A50D31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 xml:space="preserve">Os Estados membros considerarão o oferecimento de contribuições voluntárias adequadas e regulares ao Fundo Específico estabelecido na OEA para combater a COT. </w:t>
      </w:r>
    </w:p>
    <w:p w14:paraId="52374443" w14:textId="77777777" w:rsidR="00A50D31" w:rsidRPr="00003CCE" w:rsidRDefault="00A50D31" w:rsidP="00A50D31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ind w:left="1440" w:hanging="720"/>
        <w:contextualSpacing/>
        <w:rPr>
          <w:rFonts w:ascii="Times New Roman" w:hAnsi="Times New Roman"/>
          <w:szCs w:val="22"/>
          <w:lang w:val="pt-BR"/>
        </w:rPr>
      </w:pPr>
      <w:r w:rsidRPr="00003CCE">
        <w:rPr>
          <w:rFonts w:ascii="Times New Roman" w:hAnsi="Times New Roman"/>
          <w:szCs w:val="22"/>
          <w:lang w:val="pt-BR"/>
        </w:rPr>
        <w:t>Os Estados membros são incentivados a encorajar e a persuadir outros Estados e instituições financeiras, conforme apropriado, a se unirem a eles no esforço de promover os objetivos desta Estratégia Hemisférica e do Plano Hemisférico de Ação contra a Criminalidade Organizada Transnacional.</w:t>
      </w:r>
    </w:p>
    <w:p w14:paraId="2D42ABF6" w14:textId="77777777" w:rsidR="00A50D31" w:rsidRPr="00003CCE" w:rsidRDefault="00A50D31" w:rsidP="00A50D3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contextualSpacing/>
        <w:rPr>
          <w:rFonts w:ascii="Times New Roman" w:hAnsi="Times New Roman"/>
          <w:szCs w:val="22"/>
          <w:lang w:val="pt-BR"/>
        </w:rPr>
      </w:pPr>
    </w:p>
    <w:p w14:paraId="71CBCC3D" w14:textId="77777777" w:rsidR="00A50D31" w:rsidRPr="00003CCE" w:rsidRDefault="00A50D31" w:rsidP="00A50D31">
      <w:pPr>
        <w:widowControl/>
        <w:rPr>
          <w:rFonts w:ascii="Times New Roman" w:hAnsi="Times New Roman"/>
          <w:szCs w:val="22"/>
          <w:lang w:val="pt-BR"/>
        </w:rPr>
      </w:pPr>
    </w:p>
    <w:p w14:paraId="32673221" w14:textId="77777777" w:rsidR="00A50D31" w:rsidRPr="00003CCE" w:rsidRDefault="00A50D31" w:rsidP="00A50D31">
      <w:pPr>
        <w:rPr>
          <w:lang w:val="pt-BR"/>
        </w:rPr>
      </w:pPr>
    </w:p>
    <w:p w14:paraId="3BFADA1B" w14:textId="77777777" w:rsidR="00A50D31" w:rsidRPr="00003CCE" w:rsidRDefault="00A50D31" w:rsidP="00A50D31">
      <w:pPr>
        <w:rPr>
          <w:sz w:val="8"/>
          <w:lang w:val="pt-BR"/>
        </w:rPr>
      </w:pPr>
    </w:p>
    <w:p w14:paraId="218E078A" w14:textId="77777777" w:rsidR="00A50D31" w:rsidRPr="00003CCE" w:rsidRDefault="00A50D31" w:rsidP="00A50D31">
      <w:pPr>
        <w:rPr>
          <w:lang w:val="pt-BR"/>
        </w:rPr>
      </w:pPr>
      <w:r w:rsidRPr="00003CCE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C408C8" wp14:editId="5B91BDB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D089EC" w14:textId="35285F52" w:rsidR="00A50D31" w:rsidRPr="001052B2" w:rsidRDefault="00A50D31" w:rsidP="00A50D3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03CC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RA00356P0</w:t>
                            </w:r>
                            <w:r w:rsidR="00D13BF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0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3D089EC" w14:textId="35285F52" w:rsidR="00A50D31" w:rsidRPr="001052B2" w:rsidRDefault="00A50D31" w:rsidP="00A50D3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03CCE">
                        <w:rPr>
                          <w:rFonts w:ascii="Times New Roman" w:hAnsi="Times New Roman"/>
                          <w:noProof/>
                          <w:sz w:val="18"/>
                        </w:rPr>
                        <w:t>RA00356P0</w:t>
                      </w:r>
                      <w:r w:rsidR="00D13BF5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8DCA5D9" w14:textId="47CECE63" w:rsidR="000D3BB7" w:rsidRPr="00003CCE" w:rsidRDefault="000D3BB7" w:rsidP="00A50D31">
      <w:pPr>
        <w:rPr>
          <w:lang w:val="pt-BR"/>
        </w:rPr>
      </w:pPr>
    </w:p>
    <w:sectPr w:rsidR="000D3BB7" w:rsidRPr="00003CCE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B456" w14:textId="77777777" w:rsidR="006D469E" w:rsidRDefault="006D469E">
      <w:r>
        <w:separator/>
      </w:r>
    </w:p>
  </w:endnote>
  <w:endnote w:type="continuationSeparator" w:id="0">
    <w:p w14:paraId="6F5E1DBF" w14:textId="77777777" w:rsidR="006D469E" w:rsidRDefault="006D469E">
      <w:r>
        <w:continuationSeparator/>
      </w:r>
    </w:p>
  </w:endnote>
  <w:endnote w:type="continuationNotice" w:id="1">
    <w:p w14:paraId="352A2630" w14:textId="77777777" w:rsidR="006D469E" w:rsidRDefault="006D4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03FE" w14:textId="77777777" w:rsidR="006D469E" w:rsidRDefault="006D469E">
      <w:r>
        <w:separator/>
      </w:r>
    </w:p>
  </w:footnote>
  <w:footnote w:type="continuationSeparator" w:id="0">
    <w:p w14:paraId="23C21F94" w14:textId="77777777" w:rsidR="006D469E" w:rsidRDefault="006D469E">
      <w:r>
        <w:continuationSeparator/>
      </w:r>
    </w:p>
  </w:footnote>
  <w:footnote w:type="continuationNotice" w:id="1">
    <w:p w14:paraId="2D326522" w14:textId="77777777" w:rsidR="006D469E" w:rsidRDefault="006D4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368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15137A">
      <w:rPr>
        <w:rStyle w:val="PageNumber"/>
        <w:rFonts w:ascii="Times New Roman" w:hAnsi="Times New Roman"/>
        <w:noProof/>
      </w:rPr>
      <w:t>6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F1D3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15137A">
      <w:rPr>
        <w:rStyle w:val="PageNumber"/>
        <w:rFonts w:ascii="Times New Roman" w:hAnsi="Times New Roman"/>
        <w:noProof/>
      </w:rPr>
      <w:t>7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0B150E69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1A"/>
    <w:multiLevelType w:val="hybridMultilevel"/>
    <w:tmpl w:val="A18CF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68"/>
    <w:multiLevelType w:val="hybridMultilevel"/>
    <w:tmpl w:val="936AEB64"/>
    <w:lvl w:ilvl="0" w:tplc="B92EB8F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A7A"/>
    <w:multiLevelType w:val="hybridMultilevel"/>
    <w:tmpl w:val="84E4C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028"/>
    <w:multiLevelType w:val="hybridMultilevel"/>
    <w:tmpl w:val="BAAE4988"/>
    <w:lvl w:ilvl="0" w:tplc="6CE612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984"/>
    <w:multiLevelType w:val="hybridMultilevel"/>
    <w:tmpl w:val="89E478EE"/>
    <w:lvl w:ilvl="0" w:tplc="7CB0D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757"/>
    <w:multiLevelType w:val="hybridMultilevel"/>
    <w:tmpl w:val="DF30C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A07"/>
    <w:multiLevelType w:val="hybridMultilevel"/>
    <w:tmpl w:val="A676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60B6"/>
    <w:multiLevelType w:val="hybridMultilevel"/>
    <w:tmpl w:val="EA32FE62"/>
    <w:lvl w:ilvl="0" w:tplc="6CCC39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687"/>
    <w:multiLevelType w:val="hybridMultilevel"/>
    <w:tmpl w:val="0BD06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5605"/>
    <w:multiLevelType w:val="hybridMultilevel"/>
    <w:tmpl w:val="401CD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5EEE10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902CD2"/>
    <w:multiLevelType w:val="hybridMultilevel"/>
    <w:tmpl w:val="42786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502FC"/>
    <w:multiLevelType w:val="hybridMultilevel"/>
    <w:tmpl w:val="8C0E7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4222"/>
    <w:multiLevelType w:val="hybridMultilevel"/>
    <w:tmpl w:val="0D50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96625"/>
    <w:multiLevelType w:val="hybridMultilevel"/>
    <w:tmpl w:val="9008ED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03CCE"/>
    <w:rsid w:val="000153C6"/>
    <w:rsid w:val="00027960"/>
    <w:rsid w:val="00033E3C"/>
    <w:rsid w:val="00041719"/>
    <w:rsid w:val="00041C21"/>
    <w:rsid w:val="000423A8"/>
    <w:rsid w:val="0004509E"/>
    <w:rsid w:val="00057F23"/>
    <w:rsid w:val="00075070"/>
    <w:rsid w:val="000806C7"/>
    <w:rsid w:val="0008522A"/>
    <w:rsid w:val="00094BA6"/>
    <w:rsid w:val="00095C66"/>
    <w:rsid w:val="000966BF"/>
    <w:rsid w:val="000B19D4"/>
    <w:rsid w:val="000B1FB8"/>
    <w:rsid w:val="000D3BB7"/>
    <w:rsid w:val="000E1A08"/>
    <w:rsid w:val="000F34BE"/>
    <w:rsid w:val="000F56FA"/>
    <w:rsid w:val="001003C8"/>
    <w:rsid w:val="0010402D"/>
    <w:rsid w:val="001124D6"/>
    <w:rsid w:val="001139F3"/>
    <w:rsid w:val="00126B1B"/>
    <w:rsid w:val="0013072C"/>
    <w:rsid w:val="001309D9"/>
    <w:rsid w:val="0013154F"/>
    <w:rsid w:val="00137F1F"/>
    <w:rsid w:val="001423E9"/>
    <w:rsid w:val="0014692F"/>
    <w:rsid w:val="001507A5"/>
    <w:rsid w:val="0015137A"/>
    <w:rsid w:val="00161FB5"/>
    <w:rsid w:val="00166B8E"/>
    <w:rsid w:val="0016723D"/>
    <w:rsid w:val="001712E0"/>
    <w:rsid w:val="00174794"/>
    <w:rsid w:val="001826CA"/>
    <w:rsid w:val="001934AD"/>
    <w:rsid w:val="001D0D2B"/>
    <w:rsid w:val="001D303F"/>
    <w:rsid w:val="001E2265"/>
    <w:rsid w:val="001F7349"/>
    <w:rsid w:val="001F7D11"/>
    <w:rsid w:val="00235F9C"/>
    <w:rsid w:val="002530DC"/>
    <w:rsid w:val="00273AFB"/>
    <w:rsid w:val="00273CF7"/>
    <w:rsid w:val="00292C9D"/>
    <w:rsid w:val="00295282"/>
    <w:rsid w:val="002971B7"/>
    <w:rsid w:val="002A6D50"/>
    <w:rsid w:val="002D0958"/>
    <w:rsid w:val="002E6A9C"/>
    <w:rsid w:val="002F56BB"/>
    <w:rsid w:val="00321D94"/>
    <w:rsid w:val="0032414D"/>
    <w:rsid w:val="00330A5C"/>
    <w:rsid w:val="00342914"/>
    <w:rsid w:val="00344987"/>
    <w:rsid w:val="00346490"/>
    <w:rsid w:val="00355100"/>
    <w:rsid w:val="003559D4"/>
    <w:rsid w:val="00356AB4"/>
    <w:rsid w:val="00370212"/>
    <w:rsid w:val="00371911"/>
    <w:rsid w:val="0037450C"/>
    <w:rsid w:val="00380134"/>
    <w:rsid w:val="00381CB3"/>
    <w:rsid w:val="0038218C"/>
    <w:rsid w:val="003825FF"/>
    <w:rsid w:val="00390AE5"/>
    <w:rsid w:val="003A0033"/>
    <w:rsid w:val="003A332C"/>
    <w:rsid w:val="003B302D"/>
    <w:rsid w:val="003B4CDD"/>
    <w:rsid w:val="003B6F67"/>
    <w:rsid w:val="003B7D38"/>
    <w:rsid w:val="003C476E"/>
    <w:rsid w:val="003D1CD6"/>
    <w:rsid w:val="004011CA"/>
    <w:rsid w:val="00402BF1"/>
    <w:rsid w:val="00405E9C"/>
    <w:rsid w:val="004149EB"/>
    <w:rsid w:val="00415D59"/>
    <w:rsid w:val="00420184"/>
    <w:rsid w:val="0042101B"/>
    <w:rsid w:val="004258A5"/>
    <w:rsid w:val="004300C6"/>
    <w:rsid w:val="004348FC"/>
    <w:rsid w:val="0046148E"/>
    <w:rsid w:val="00466E20"/>
    <w:rsid w:val="00471FF2"/>
    <w:rsid w:val="00475977"/>
    <w:rsid w:val="00487DEF"/>
    <w:rsid w:val="0049076C"/>
    <w:rsid w:val="004919A8"/>
    <w:rsid w:val="00497512"/>
    <w:rsid w:val="00497F22"/>
    <w:rsid w:val="004A1C10"/>
    <w:rsid w:val="004B4B55"/>
    <w:rsid w:val="004B790E"/>
    <w:rsid w:val="004C2C60"/>
    <w:rsid w:val="004D7E6D"/>
    <w:rsid w:val="004E6A00"/>
    <w:rsid w:val="004F2080"/>
    <w:rsid w:val="004F357B"/>
    <w:rsid w:val="004F495E"/>
    <w:rsid w:val="005064C2"/>
    <w:rsid w:val="0050702C"/>
    <w:rsid w:val="00510A75"/>
    <w:rsid w:val="00514D94"/>
    <w:rsid w:val="00515A00"/>
    <w:rsid w:val="00525227"/>
    <w:rsid w:val="00525A21"/>
    <w:rsid w:val="00551B81"/>
    <w:rsid w:val="0055695F"/>
    <w:rsid w:val="005617CE"/>
    <w:rsid w:val="00576CCF"/>
    <w:rsid w:val="0058505B"/>
    <w:rsid w:val="00595FB7"/>
    <w:rsid w:val="005A6A18"/>
    <w:rsid w:val="005B2BEC"/>
    <w:rsid w:val="005B6C5A"/>
    <w:rsid w:val="005C4281"/>
    <w:rsid w:val="005E234B"/>
    <w:rsid w:val="005E4B6A"/>
    <w:rsid w:val="005E691F"/>
    <w:rsid w:val="005E6FB8"/>
    <w:rsid w:val="0060300F"/>
    <w:rsid w:val="006455CA"/>
    <w:rsid w:val="00646E1C"/>
    <w:rsid w:val="00651C48"/>
    <w:rsid w:val="00656470"/>
    <w:rsid w:val="00660B7F"/>
    <w:rsid w:val="00664349"/>
    <w:rsid w:val="00672F2F"/>
    <w:rsid w:val="006757DD"/>
    <w:rsid w:val="0068759E"/>
    <w:rsid w:val="0069156D"/>
    <w:rsid w:val="006977DA"/>
    <w:rsid w:val="006B1ED4"/>
    <w:rsid w:val="006B4F20"/>
    <w:rsid w:val="006B52AB"/>
    <w:rsid w:val="006C58B4"/>
    <w:rsid w:val="006D04EB"/>
    <w:rsid w:val="006D3C1F"/>
    <w:rsid w:val="006D469E"/>
    <w:rsid w:val="006D5877"/>
    <w:rsid w:val="006E307E"/>
    <w:rsid w:val="006F15C4"/>
    <w:rsid w:val="007316B5"/>
    <w:rsid w:val="007333E9"/>
    <w:rsid w:val="007336C7"/>
    <w:rsid w:val="00741B3C"/>
    <w:rsid w:val="00742687"/>
    <w:rsid w:val="007533FB"/>
    <w:rsid w:val="007546F5"/>
    <w:rsid w:val="00765A60"/>
    <w:rsid w:val="00766B6F"/>
    <w:rsid w:val="007A3656"/>
    <w:rsid w:val="007B206D"/>
    <w:rsid w:val="007D2F32"/>
    <w:rsid w:val="007E797E"/>
    <w:rsid w:val="007F78AE"/>
    <w:rsid w:val="007F7DE7"/>
    <w:rsid w:val="00805688"/>
    <w:rsid w:val="00817BEA"/>
    <w:rsid w:val="00820C21"/>
    <w:rsid w:val="00841037"/>
    <w:rsid w:val="008426FA"/>
    <w:rsid w:val="00842C27"/>
    <w:rsid w:val="0084549D"/>
    <w:rsid w:val="00847D8A"/>
    <w:rsid w:val="008537AD"/>
    <w:rsid w:val="00862809"/>
    <w:rsid w:val="00865576"/>
    <w:rsid w:val="00866F02"/>
    <w:rsid w:val="00867402"/>
    <w:rsid w:val="00867BFF"/>
    <w:rsid w:val="00884ADE"/>
    <w:rsid w:val="00890C1C"/>
    <w:rsid w:val="00891F4B"/>
    <w:rsid w:val="00897450"/>
    <w:rsid w:val="008B7A6E"/>
    <w:rsid w:val="008C01B9"/>
    <w:rsid w:val="008C5ED9"/>
    <w:rsid w:val="008C7CA4"/>
    <w:rsid w:val="008F33C3"/>
    <w:rsid w:val="008F4E90"/>
    <w:rsid w:val="00902B34"/>
    <w:rsid w:val="00906704"/>
    <w:rsid w:val="00907FF4"/>
    <w:rsid w:val="00912A16"/>
    <w:rsid w:val="00923077"/>
    <w:rsid w:val="00932C2A"/>
    <w:rsid w:val="00941EF1"/>
    <w:rsid w:val="0094335F"/>
    <w:rsid w:val="009463D9"/>
    <w:rsid w:val="00951D1F"/>
    <w:rsid w:val="00953C0E"/>
    <w:rsid w:val="009624EC"/>
    <w:rsid w:val="00966BFB"/>
    <w:rsid w:val="0098126B"/>
    <w:rsid w:val="009866F9"/>
    <w:rsid w:val="009A12D3"/>
    <w:rsid w:val="009A2C7D"/>
    <w:rsid w:val="009D196C"/>
    <w:rsid w:val="009D63C0"/>
    <w:rsid w:val="009E2AE9"/>
    <w:rsid w:val="009F36EE"/>
    <w:rsid w:val="00A20FA9"/>
    <w:rsid w:val="00A50D31"/>
    <w:rsid w:val="00A51680"/>
    <w:rsid w:val="00A603E1"/>
    <w:rsid w:val="00A654B2"/>
    <w:rsid w:val="00A66C55"/>
    <w:rsid w:val="00A75A2F"/>
    <w:rsid w:val="00A8201C"/>
    <w:rsid w:val="00A962EF"/>
    <w:rsid w:val="00A9795E"/>
    <w:rsid w:val="00A97ECA"/>
    <w:rsid w:val="00AA460E"/>
    <w:rsid w:val="00AA6FC6"/>
    <w:rsid w:val="00AB39ED"/>
    <w:rsid w:val="00AB43AD"/>
    <w:rsid w:val="00AB5931"/>
    <w:rsid w:val="00AC1271"/>
    <w:rsid w:val="00AE24CC"/>
    <w:rsid w:val="00AE3084"/>
    <w:rsid w:val="00AF4C42"/>
    <w:rsid w:val="00B014D8"/>
    <w:rsid w:val="00B043D6"/>
    <w:rsid w:val="00B05916"/>
    <w:rsid w:val="00B33A47"/>
    <w:rsid w:val="00B509C2"/>
    <w:rsid w:val="00B50C25"/>
    <w:rsid w:val="00B53998"/>
    <w:rsid w:val="00B917B9"/>
    <w:rsid w:val="00BA4058"/>
    <w:rsid w:val="00BB3D78"/>
    <w:rsid w:val="00BC11F0"/>
    <w:rsid w:val="00BC2C3B"/>
    <w:rsid w:val="00BC483F"/>
    <w:rsid w:val="00BD10A1"/>
    <w:rsid w:val="00BD196E"/>
    <w:rsid w:val="00BD2F82"/>
    <w:rsid w:val="00BD6F3E"/>
    <w:rsid w:val="00BD7812"/>
    <w:rsid w:val="00BD79D5"/>
    <w:rsid w:val="00BE342C"/>
    <w:rsid w:val="00BF521C"/>
    <w:rsid w:val="00BF5664"/>
    <w:rsid w:val="00C00B39"/>
    <w:rsid w:val="00C12CE8"/>
    <w:rsid w:val="00C2351D"/>
    <w:rsid w:val="00C3370A"/>
    <w:rsid w:val="00C433EE"/>
    <w:rsid w:val="00C51016"/>
    <w:rsid w:val="00C72DB2"/>
    <w:rsid w:val="00C77F18"/>
    <w:rsid w:val="00C855DD"/>
    <w:rsid w:val="00C94019"/>
    <w:rsid w:val="00C95821"/>
    <w:rsid w:val="00CA53CA"/>
    <w:rsid w:val="00CB1295"/>
    <w:rsid w:val="00CB590D"/>
    <w:rsid w:val="00CB7BD6"/>
    <w:rsid w:val="00CC1AB1"/>
    <w:rsid w:val="00CD1C65"/>
    <w:rsid w:val="00CD5DE9"/>
    <w:rsid w:val="00D0512C"/>
    <w:rsid w:val="00D0583E"/>
    <w:rsid w:val="00D05E19"/>
    <w:rsid w:val="00D068E1"/>
    <w:rsid w:val="00D1226B"/>
    <w:rsid w:val="00D13BF5"/>
    <w:rsid w:val="00D36598"/>
    <w:rsid w:val="00D462F9"/>
    <w:rsid w:val="00D726C1"/>
    <w:rsid w:val="00D73430"/>
    <w:rsid w:val="00D74106"/>
    <w:rsid w:val="00D74BC5"/>
    <w:rsid w:val="00D74D18"/>
    <w:rsid w:val="00D86696"/>
    <w:rsid w:val="00D86814"/>
    <w:rsid w:val="00D959D4"/>
    <w:rsid w:val="00D96202"/>
    <w:rsid w:val="00DA4B27"/>
    <w:rsid w:val="00DC1CE6"/>
    <w:rsid w:val="00DD1EBF"/>
    <w:rsid w:val="00DF5A30"/>
    <w:rsid w:val="00E12130"/>
    <w:rsid w:val="00E13574"/>
    <w:rsid w:val="00E17F47"/>
    <w:rsid w:val="00E225CA"/>
    <w:rsid w:val="00E25B59"/>
    <w:rsid w:val="00E36EC1"/>
    <w:rsid w:val="00E439A7"/>
    <w:rsid w:val="00E628A0"/>
    <w:rsid w:val="00E6309B"/>
    <w:rsid w:val="00E676DD"/>
    <w:rsid w:val="00E772DE"/>
    <w:rsid w:val="00E77DD5"/>
    <w:rsid w:val="00E86655"/>
    <w:rsid w:val="00E906DE"/>
    <w:rsid w:val="00EA1B2C"/>
    <w:rsid w:val="00EA28A8"/>
    <w:rsid w:val="00EC09E9"/>
    <w:rsid w:val="00EC0ED5"/>
    <w:rsid w:val="00ED5D9C"/>
    <w:rsid w:val="00EF3C13"/>
    <w:rsid w:val="00EF4A59"/>
    <w:rsid w:val="00F12015"/>
    <w:rsid w:val="00F15A71"/>
    <w:rsid w:val="00F24192"/>
    <w:rsid w:val="00F27EDC"/>
    <w:rsid w:val="00F3270F"/>
    <w:rsid w:val="00F46B56"/>
    <w:rsid w:val="00F51EE9"/>
    <w:rsid w:val="00F632B2"/>
    <w:rsid w:val="00F63E04"/>
    <w:rsid w:val="00F643FF"/>
    <w:rsid w:val="00F65059"/>
    <w:rsid w:val="00F82167"/>
    <w:rsid w:val="00F872D4"/>
    <w:rsid w:val="00FA20C3"/>
    <w:rsid w:val="00FC75F6"/>
    <w:rsid w:val="00FD32ED"/>
    <w:rsid w:val="00FF073F"/>
    <w:rsid w:val="00FF4B03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48C2"/>
  <w15:docId w15:val="{FDF43003-CF8F-4CCA-AC79-1D05909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styleId="CommentReference">
    <w:name w:val="annotation reference"/>
    <w:basedOn w:val="DefaultParagraphFont"/>
    <w:rsid w:val="0004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3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23A8"/>
    <w:rPr>
      <w:rFonts w:ascii="CG Times" w:hAnsi="CG Times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3A8"/>
    <w:rPr>
      <w:rFonts w:ascii="CG Times" w:hAnsi="CG Times"/>
      <w:b/>
      <w:bCs/>
      <w:lang w:val="es-ES" w:eastAsia="es-ES"/>
    </w:rPr>
  </w:style>
  <w:style w:type="character" w:customStyle="1" w:styleId="bumpedfont15">
    <w:name w:val="bumpedfont15"/>
    <w:basedOn w:val="DefaultParagraphFont"/>
    <w:rsid w:val="0093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6322-F060-4E92-97A4-39839E8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3102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OAS-2014</dc:creator>
  <cp:lastModifiedBy>Santos, Ada</cp:lastModifiedBy>
  <cp:revision>4</cp:revision>
  <cp:lastPrinted>2021-05-21T12:47:00Z</cp:lastPrinted>
  <dcterms:created xsi:type="dcterms:W3CDTF">2021-06-25T14:24:00Z</dcterms:created>
  <dcterms:modified xsi:type="dcterms:W3CDTF">2021-06-25T15:52:00Z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Owner">
    <vt:lpwstr>BarchamAY@state.gov</vt:lpwstr>
  </property>
  <property fmtid="{D5CDD505-2E9C-101B-9397-08002B2CF9AE}" pid="9" name="MSIP_Label_1665d9ee-429a-4d5f-97cc-cfb56e044a6e_SetDate">
    <vt:lpwstr>2021-05-10T12:48:34.6890379Z</vt:lpwstr>
  </property>
  <property fmtid="{D5CDD505-2E9C-101B-9397-08002B2CF9AE}" pid="10" name="MSIP_Label_1665d9ee-429a-4d5f-97cc-cfb56e044a6e_Name">
    <vt:lpwstr>Unclassified</vt:lpwstr>
  </property>
  <property fmtid="{D5CDD505-2E9C-101B-9397-08002B2CF9AE}" pid="11" name="MSIP_Label_1665d9ee-429a-4d5f-97cc-cfb56e044a6e_Application">
    <vt:lpwstr>Microsoft Azure Information Protection</vt:lpwstr>
  </property>
  <property fmtid="{D5CDD505-2E9C-101B-9397-08002B2CF9AE}" pid="12" name="MSIP_Label_1665d9ee-429a-4d5f-97cc-cfb56e044a6e_ActionId">
    <vt:lpwstr>533eea2f-f475-409d-8c8f-2dac1efa00b9</vt:lpwstr>
  </property>
  <property fmtid="{D5CDD505-2E9C-101B-9397-08002B2CF9AE}" pid="13" name="MSIP_Label_1665d9ee-429a-4d5f-97cc-cfb56e044a6e_Extended_MSFT_Method">
    <vt:lpwstr>Manual</vt:lpwstr>
  </property>
  <property fmtid="{D5CDD505-2E9C-101B-9397-08002B2CF9AE}" pid="14" name="Sensitivity">
    <vt:lpwstr>Unclassified</vt:lpwstr>
  </property>
</Properties>
</file>