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085F" w14:textId="127BC75F" w:rsidR="00C855DD" w:rsidRPr="00C03FF3" w:rsidRDefault="00C855DD" w:rsidP="00D63729">
      <w:pPr>
        <w:pStyle w:val="Header"/>
        <w:tabs>
          <w:tab w:val="center" w:pos="2880"/>
          <w:tab w:val="left" w:pos="6840"/>
        </w:tabs>
        <w:rPr>
          <w:rFonts w:ascii="Times New Roman" w:hAnsi="Times New Roman"/>
          <w:lang w:val="es-PA"/>
        </w:rPr>
      </w:pPr>
      <w:r w:rsidRPr="00C03FF3">
        <w:rPr>
          <w:rFonts w:ascii="Times New Roman" w:hAnsi="Times New Roman"/>
          <w:lang w:val="es-PA"/>
        </w:rPr>
        <w:tab/>
      </w:r>
      <w:r w:rsidR="00F31736" w:rsidRPr="00C03FF3">
        <w:rPr>
          <w:rFonts w:ascii="Times New Roman" w:hAnsi="Times New Roman"/>
          <w:lang w:val="es-PA"/>
        </w:rPr>
        <w:t xml:space="preserve">CONSEJO </w:t>
      </w:r>
      <w:r w:rsidRPr="00C03FF3">
        <w:rPr>
          <w:rFonts w:ascii="Times New Roman" w:hAnsi="Times New Roman"/>
          <w:lang w:val="es-PA"/>
        </w:rPr>
        <w:t>PERMANENT</w:t>
      </w:r>
      <w:r w:rsidR="00F31736" w:rsidRPr="00C03FF3">
        <w:rPr>
          <w:rFonts w:ascii="Times New Roman" w:hAnsi="Times New Roman"/>
          <w:lang w:val="es-PA"/>
        </w:rPr>
        <w:t>E DE LA</w:t>
      </w:r>
      <w:r w:rsidRPr="00C03FF3">
        <w:rPr>
          <w:rFonts w:ascii="Times New Roman" w:hAnsi="Times New Roman"/>
          <w:lang w:val="es-PA"/>
        </w:rPr>
        <w:tab/>
      </w:r>
      <w:r w:rsidR="004200AD" w:rsidRPr="008C51CF">
        <w:rPr>
          <w:rFonts w:ascii="Times New Roman" w:hAnsi="Times New Roman"/>
          <w:lang w:val="pt-BR"/>
        </w:rPr>
        <w:t>OEA/Ser.K/XXXIV</w:t>
      </w:r>
    </w:p>
    <w:p w14:paraId="293B264A" w14:textId="1490D82E" w:rsidR="00C855DD" w:rsidRPr="00C03FF3" w:rsidRDefault="00C855DD" w:rsidP="00D63729">
      <w:pPr>
        <w:pStyle w:val="Header"/>
        <w:tabs>
          <w:tab w:val="center" w:pos="2880"/>
          <w:tab w:val="left" w:pos="6840"/>
        </w:tabs>
        <w:ind w:right="-1109"/>
        <w:rPr>
          <w:rFonts w:ascii="Times New Roman" w:hAnsi="Times New Roman"/>
          <w:sz w:val="24"/>
          <w:szCs w:val="24"/>
          <w:lang w:val="es-PA" w:eastAsia="es-ES_tradnl"/>
        </w:rPr>
      </w:pPr>
      <w:r w:rsidRPr="00C03FF3">
        <w:rPr>
          <w:rFonts w:ascii="Times New Roman" w:hAnsi="Times New Roman"/>
          <w:lang w:val="es-PA"/>
        </w:rPr>
        <w:tab/>
        <w:t>ORGANIZA</w:t>
      </w:r>
      <w:r w:rsidR="00F31736" w:rsidRPr="00C03FF3">
        <w:rPr>
          <w:rFonts w:ascii="Times New Roman" w:hAnsi="Times New Roman"/>
          <w:lang w:val="es-PA"/>
        </w:rPr>
        <w:t>CIÓN DE LOS ESTADOS</w:t>
      </w:r>
      <w:r w:rsidRPr="00C03FF3">
        <w:rPr>
          <w:rFonts w:ascii="Times New Roman" w:hAnsi="Times New Roman"/>
          <w:lang w:val="es-PA"/>
        </w:rPr>
        <w:t xml:space="preserve"> AMERICAN</w:t>
      </w:r>
      <w:r w:rsidR="00F31736" w:rsidRPr="00C03FF3">
        <w:rPr>
          <w:rFonts w:ascii="Times New Roman" w:hAnsi="Times New Roman"/>
          <w:lang w:val="es-PA"/>
        </w:rPr>
        <w:t>OS</w:t>
      </w:r>
      <w:r w:rsidRPr="00C03FF3">
        <w:rPr>
          <w:rFonts w:ascii="Times New Roman" w:hAnsi="Times New Roman"/>
          <w:lang w:val="es-PA"/>
        </w:rPr>
        <w:tab/>
      </w:r>
      <w:r w:rsidR="004200AD" w:rsidRPr="008C51CF">
        <w:rPr>
          <w:rFonts w:ascii="Times New Roman" w:hAnsi="Times New Roman"/>
          <w:lang w:val="pt-BR"/>
        </w:rPr>
        <w:t>RANDOT-III/doc.5/21</w:t>
      </w:r>
      <w:r w:rsidR="00581CA5">
        <w:rPr>
          <w:rFonts w:ascii="Times New Roman" w:hAnsi="Times New Roman"/>
          <w:lang w:val="pt-BR"/>
        </w:rPr>
        <w:t xml:space="preserve"> rev. 1</w:t>
      </w:r>
    </w:p>
    <w:p w14:paraId="5D38AF6F" w14:textId="1B0D03E8" w:rsidR="00C855DD" w:rsidRPr="00C03FF3" w:rsidRDefault="00C855DD" w:rsidP="00066EB3">
      <w:pPr>
        <w:pStyle w:val="Header"/>
        <w:tabs>
          <w:tab w:val="center" w:pos="2880"/>
          <w:tab w:val="left" w:pos="6812"/>
          <w:tab w:val="left" w:pos="6840"/>
        </w:tabs>
        <w:rPr>
          <w:rFonts w:ascii="Times New Roman" w:hAnsi="Times New Roman"/>
          <w:lang w:val="es-PA"/>
        </w:rPr>
      </w:pPr>
      <w:r w:rsidRPr="00C03FF3">
        <w:rPr>
          <w:rFonts w:ascii="Times New Roman" w:hAnsi="Times New Roman"/>
          <w:lang w:val="es-PA"/>
        </w:rPr>
        <w:tab/>
      </w:r>
      <w:r w:rsidRPr="00C03FF3">
        <w:rPr>
          <w:rFonts w:ascii="Times New Roman" w:hAnsi="Times New Roman"/>
          <w:lang w:val="es-PA"/>
        </w:rPr>
        <w:tab/>
      </w:r>
      <w:r w:rsidRPr="00C03FF3">
        <w:rPr>
          <w:rFonts w:ascii="Times New Roman" w:hAnsi="Times New Roman"/>
          <w:lang w:val="es-PA"/>
        </w:rPr>
        <w:tab/>
      </w:r>
      <w:r w:rsidR="00066EB3">
        <w:rPr>
          <w:rFonts w:ascii="Times New Roman" w:hAnsi="Times New Roman"/>
          <w:lang w:val="es-PA"/>
        </w:rPr>
        <w:tab/>
      </w:r>
      <w:r w:rsidR="007446AB">
        <w:rPr>
          <w:rFonts w:ascii="Times New Roman" w:hAnsi="Times New Roman"/>
          <w:lang w:val="es-PA"/>
        </w:rPr>
        <w:t>2</w:t>
      </w:r>
      <w:r w:rsidR="00581CA5">
        <w:rPr>
          <w:rFonts w:ascii="Times New Roman" w:hAnsi="Times New Roman"/>
          <w:lang w:val="es-PA"/>
        </w:rPr>
        <w:t>4</w:t>
      </w:r>
      <w:r w:rsidR="00D63729" w:rsidRPr="00C03FF3">
        <w:rPr>
          <w:rFonts w:ascii="Times New Roman" w:hAnsi="Times New Roman"/>
          <w:lang w:val="es-PA"/>
        </w:rPr>
        <w:t xml:space="preserve"> </w:t>
      </w:r>
      <w:r w:rsidR="00066EB3">
        <w:rPr>
          <w:rFonts w:ascii="Times New Roman" w:hAnsi="Times New Roman"/>
          <w:lang w:val="es-PA"/>
        </w:rPr>
        <w:t>junio</w:t>
      </w:r>
      <w:r w:rsidRPr="00C03FF3">
        <w:rPr>
          <w:rFonts w:ascii="Times New Roman" w:hAnsi="Times New Roman"/>
          <w:lang w:val="es-PA"/>
        </w:rPr>
        <w:t xml:space="preserve"> 2021</w:t>
      </w:r>
    </w:p>
    <w:p w14:paraId="62AF2B42" w14:textId="0E32557C" w:rsidR="00C855DD" w:rsidRPr="00C03FF3" w:rsidRDefault="00C855DD" w:rsidP="00D63729">
      <w:pPr>
        <w:pStyle w:val="Header"/>
        <w:tabs>
          <w:tab w:val="center" w:pos="2880"/>
          <w:tab w:val="left" w:pos="6840"/>
        </w:tabs>
        <w:rPr>
          <w:rFonts w:ascii="Times New Roman" w:hAnsi="Times New Roman"/>
          <w:lang w:val="es-PA"/>
        </w:rPr>
      </w:pPr>
      <w:r w:rsidRPr="00C03FF3">
        <w:rPr>
          <w:rFonts w:ascii="Times New Roman" w:hAnsi="Times New Roman"/>
          <w:lang w:val="es-PA"/>
        </w:rPr>
        <w:tab/>
      </w:r>
      <w:r w:rsidR="00F31736" w:rsidRPr="00C03FF3">
        <w:rPr>
          <w:rFonts w:ascii="Times New Roman" w:hAnsi="Times New Roman"/>
          <w:lang w:val="es-PA"/>
        </w:rPr>
        <w:t xml:space="preserve">COMISIÓN DE SEGURIDAD </w:t>
      </w:r>
      <w:r w:rsidRPr="00C03FF3">
        <w:rPr>
          <w:rFonts w:ascii="Times New Roman" w:hAnsi="Times New Roman"/>
          <w:lang w:val="es-PA"/>
        </w:rPr>
        <w:t>HEMIS</w:t>
      </w:r>
      <w:r w:rsidR="00F31736" w:rsidRPr="00C03FF3">
        <w:rPr>
          <w:rFonts w:ascii="Times New Roman" w:hAnsi="Times New Roman"/>
          <w:lang w:val="es-PA"/>
        </w:rPr>
        <w:t>FÉRICA</w:t>
      </w:r>
      <w:r w:rsidRPr="00C03FF3">
        <w:rPr>
          <w:rFonts w:ascii="Times New Roman" w:hAnsi="Times New Roman"/>
          <w:lang w:val="es-PA"/>
        </w:rPr>
        <w:tab/>
        <w:t xml:space="preserve">Original: </w:t>
      </w:r>
      <w:r w:rsidR="00F31736" w:rsidRPr="00C03FF3">
        <w:rPr>
          <w:rFonts w:ascii="Times New Roman" w:hAnsi="Times New Roman"/>
          <w:lang w:val="es-PA"/>
        </w:rPr>
        <w:t>inglés</w:t>
      </w:r>
    </w:p>
    <w:p w14:paraId="2F751D45" w14:textId="32656C64" w:rsidR="00FD32ED" w:rsidRDefault="00FD32ED" w:rsidP="001E2265">
      <w:pPr>
        <w:pStyle w:val="EndnoteText"/>
        <w:tabs>
          <w:tab w:val="clear" w:pos="720"/>
          <w:tab w:val="clear" w:pos="1440"/>
          <w:tab w:val="clear" w:pos="2160"/>
          <w:tab w:val="clear" w:pos="2880"/>
          <w:tab w:val="clear" w:pos="3600"/>
          <w:tab w:val="clear" w:pos="4320"/>
          <w:tab w:val="clear" w:pos="5760"/>
          <w:tab w:val="clear" w:pos="6480"/>
          <w:tab w:val="clear" w:pos="7200"/>
          <w:tab w:val="clear" w:pos="7920"/>
        </w:tabs>
        <w:ind w:right="-749"/>
        <w:jc w:val="left"/>
        <w:rPr>
          <w:rFonts w:ascii="Times New Roman" w:hAnsi="Times New Roman"/>
          <w:szCs w:val="22"/>
          <w:lang w:val="es-PA"/>
        </w:rPr>
      </w:pPr>
    </w:p>
    <w:p w14:paraId="77FC0E1E" w14:textId="1BB69447" w:rsidR="004200AD" w:rsidRDefault="004200AD" w:rsidP="001E2265">
      <w:pPr>
        <w:pStyle w:val="EndnoteText"/>
        <w:tabs>
          <w:tab w:val="clear" w:pos="720"/>
          <w:tab w:val="clear" w:pos="1440"/>
          <w:tab w:val="clear" w:pos="2160"/>
          <w:tab w:val="clear" w:pos="2880"/>
          <w:tab w:val="clear" w:pos="3600"/>
          <w:tab w:val="clear" w:pos="4320"/>
          <w:tab w:val="clear" w:pos="5760"/>
          <w:tab w:val="clear" w:pos="6480"/>
          <w:tab w:val="clear" w:pos="7200"/>
          <w:tab w:val="clear" w:pos="7920"/>
        </w:tabs>
        <w:ind w:right="-749"/>
        <w:jc w:val="left"/>
        <w:rPr>
          <w:rFonts w:ascii="Times New Roman" w:hAnsi="Times New Roman"/>
          <w:szCs w:val="22"/>
          <w:lang w:val="es-PA"/>
        </w:rPr>
      </w:pPr>
    </w:p>
    <w:p w14:paraId="3F55497D" w14:textId="77777777" w:rsidR="004200AD" w:rsidRPr="00C779E7" w:rsidRDefault="004200AD" w:rsidP="004200AD">
      <w:pPr>
        <w:outlineLvl w:val="0"/>
        <w:rPr>
          <w:rFonts w:ascii="Times New Roman" w:hAnsi="Times New Roman"/>
          <w:szCs w:val="22"/>
          <w:u w:val="single"/>
          <w:lang w:val="es-MX"/>
        </w:rPr>
      </w:pPr>
      <w:r w:rsidRPr="00C779E7">
        <w:rPr>
          <w:rFonts w:ascii="Times New Roman" w:hAnsi="Times New Roman"/>
          <w:szCs w:val="22"/>
          <w:u w:val="single"/>
          <w:lang w:val="es-MX"/>
        </w:rPr>
        <w:t>Tercera Reunión de Autoridades Nacionales</w:t>
      </w:r>
    </w:p>
    <w:p w14:paraId="45F11C7F" w14:textId="77777777" w:rsidR="004200AD" w:rsidRDefault="004200AD" w:rsidP="004200AD">
      <w:pPr>
        <w:outlineLvl w:val="0"/>
        <w:rPr>
          <w:rFonts w:ascii="Times New Roman" w:hAnsi="Times New Roman"/>
          <w:szCs w:val="22"/>
          <w:lang w:val="es-MX"/>
        </w:rPr>
      </w:pPr>
      <w:r w:rsidRPr="00C779E7">
        <w:rPr>
          <w:rFonts w:ascii="Times New Roman" w:hAnsi="Times New Roman"/>
          <w:szCs w:val="22"/>
          <w:u w:val="single"/>
          <w:lang w:val="es-MX"/>
        </w:rPr>
        <w:t xml:space="preserve">en Materia de Delincuencia Organizada </w:t>
      </w:r>
      <w:proofErr w:type="spellStart"/>
      <w:r w:rsidRPr="00C779E7">
        <w:rPr>
          <w:rFonts w:ascii="Times New Roman" w:hAnsi="Times New Roman"/>
          <w:szCs w:val="22"/>
          <w:u w:val="single"/>
          <w:lang w:val="es-MX"/>
        </w:rPr>
        <w:t>Translacional</w:t>
      </w:r>
      <w:proofErr w:type="spellEnd"/>
      <w:r w:rsidRPr="00C779E7">
        <w:rPr>
          <w:rFonts w:ascii="Times New Roman" w:hAnsi="Times New Roman"/>
          <w:szCs w:val="22"/>
          <w:u w:val="single"/>
          <w:lang w:val="es-MX"/>
        </w:rPr>
        <w:t xml:space="preserve"> (</w:t>
      </w:r>
      <w:proofErr w:type="spellStart"/>
      <w:r w:rsidRPr="00C779E7">
        <w:rPr>
          <w:rFonts w:ascii="Times New Roman" w:hAnsi="Times New Roman"/>
          <w:szCs w:val="22"/>
          <w:u w:val="single"/>
          <w:lang w:val="es-MX"/>
        </w:rPr>
        <w:t>RANDOT</w:t>
      </w:r>
      <w:proofErr w:type="spellEnd"/>
      <w:r w:rsidRPr="00C779E7">
        <w:rPr>
          <w:rFonts w:ascii="Times New Roman" w:hAnsi="Times New Roman"/>
          <w:szCs w:val="22"/>
          <w:u w:val="single"/>
          <w:lang w:val="es-MX"/>
        </w:rPr>
        <w:t xml:space="preserve"> III)</w:t>
      </w:r>
    </w:p>
    <w:p w14:paraId="4DDF170B" w14:textId="77777777" w:rsidR="004200AD" w:rsidRDefault="004200AD" w:rsidP="004200AD">
      <w:pPr>
        <w:outlineLvl w:val="0"/>
        <w:rPr>
          <w:rFonts w:ascii="Times New Roman" w:hAnsi="Times New Roman"/>
          <w:szCs w:val="22"/>
          <w:lang w:val="es-MX"/>
        </w:rPr>
      </w:pPr>
      <w:r>
        <w:rPr>
          <w:rFonts w:ascii="Times New Roman" w:hAnsi="Times New Roman"/>
          <w:szCs w:val="22"/>
          <w:lang w:val="es-MX"/>
        </w:rPr>
        <w:t>23-24 de junio de 2021</w:t>
      </w:r>
    </w:p>
    <w:p w14:paraId="4663398A" w14:textId="0283D1D9" w:rsidR="004200AD" w:rsidRDefault="004200AD" w:rsidP="004200AD">
      <w:pPr>
        <w:pStyle w:val="EndnoteText"/>
        <w:tabs>
          <w:tab w:val="clear" w:pos="720"/>
          <w:tab w:val="clear" w:pos="1440"/>
          <w:tab w:val="clear" w:pos="2160"/>
          <w:tab w:val="clear" w:pos="2880"/>
          <w:tab w:val="clear" w:pos="3600"/>
          <w:tab w:val="clear" w:pos="4320"/>
          <w:tab w:val="clear" w:pos="5760"/>
          <w:tab w:val="clear" w:pos="6480"/>
          <w:tab w:val="clear" w:pos="7200"/>
          <w:tab w:val="clear" w:pos="7920"/>
        </w:tabs>
        <w:ind w:right="-749"/>
        <w:jc w:val="left"/>
        <w:rPr>
          <w:rFonts w:ascii="Times New Roman" w:hAnsi="Times New Roman"/>
          <w:szCs w:val="22"/>
          <w:lang w:val="es-PA"/>
        </w:rPr>
      </w:pPr>
      <w:r>
        <w:rPr>
          <w:rFonts w:ascii="Times New Roman" w:hAnsi="Times New Roman"/>
          <w:szCs w:val="22"/>
          <w:lang w:val="es-MX"/>
        </w:rPr>
        <w:t>Virtual</w:t>
      </w:r>
    </w:p>
    <w:p w14:paraId="597F65B7" w14:textId="77777777" w:rsidR="0036576B" w:rsidRDefault="0036576B" w:rsidP="00FA20C3">
      <w:pPr>
        <w:jc w:val="center"/>
        <w:rPr>
          <w:rFonts w:ascii="Times New Roman" w:hAnsi="Times New Roman"/>
          <w:szCs w:val="22"/>
          <w:lang w:val="es-PA"/>
        </w:rPr>
      </w:pPr>
    </w:p>
    <w:p w14:paraId="2547C1D4" w14:textId="77777777" w:rsidR="0036576B" w:rsidRDefault="0036576B" w:rsidP="00FA20C3">
      <w:pPr>
        <w:jc w:val="center"/>
        <w:rPr>
          <w:rFonts w:ascii="Times New Roman" w:hAnsi="Times New Roman"/>
          <w:szCs w:val="22"/>
          <w:lang w:val="es-PA"/>
        </w:rPr>
      </w:pPr>
    </w:p>
    <w:p w14:paraId="1FEB7DF6" w14:textId="076E15D2" w:rsidR="00FA5F21" w:rsidRPr="00C03FF3" w:rsidRDefault="00FA5F21" w:rsidP="00FA20C3">
      <w:pPr>
        <w:jc w:val="center"/>
        <w:rPr>
          <w:rFonts w:ascii="Times New Roman" w:hAnsi="Times New Roman"/>
          <w:szCs w:val="22"/>
          <w:lang w:val="es-PA"/>
        </w:rPr>
      </w:pPr>
      <w:r w:rsidRPr="00C03FF3">
        <w:rPr>
          <w:rFonts w:ascii="Times New Roman" w:hAnsi="Times New Roman"/>
          <w:szCs w:val="22"/>
          <w:lang w:val="es-PA"/>
        </w:rPr>
        <w:t>PROYECTO DE ESTRATEGIA HEMISFÉRICA</w:t>
      </w:r>
    </w:p>
    <w:p w14:paraId="3E9D5C06" w14:textId="08A43E02" w:rsidR="00FA20C3" w:rsidRPr="00C03FF3" w:rsidRDefault="00FA5F21" w:rsidP="00FA20C3">
      <w:pPr>
        <w:jc w:val="center"/>
        <w:rPr>
          <w:rFonts w:ascii="Times New Roman" w:hAnsi="Times New Roman"/>
          <w:szCs w:val="22"/>
          <w:lang w:val="es-PA"/>
        </w:rPr>
      </w:pPr>
      <w:r w:rsidRPr="00C03FF3">
        <w:rPr>
          <w:rFonts w:ascii="Times New Roman" w:hAnsi="Times New Roman"/>
          <w:szCs w:val="22"/>
          <w:lang w:val="es-PA"/>
        </w:rPr>
        <w:t xml:space="preserve"> CONTRA LA DELINCUENCIA ORGANIZADA TRANSNACIONAL</w:t>
      </w:r>
    </w:p>
    <w:p w14:paraId="35E03277" w14:textId="77777777" w:rsidR="00D74106" w:rsidRPr="00C03FF3" w:rsidRDefault="00D74106" w:rsidP="00BD3169">
      <w:pPr>
        <w:rPr>
          <w:rFonts w:ascii="Times New Roman" w:hAnsi="Times New Roman"/>
          <w:szCs w:val="22"/>
          <w:lang w:val="es-PA"/>
        </w:rPr>
      </w:pPr>
    </w:p>
    <w:p w14:paraId="42DF246E" w14:textId="5550EC90" w:rsidR="007446AB" w:rsidRPr="00BC4FE6" w:rsidRDefault="007446AB" w:rsidP="007446AB">
      <w:pPr>
        <w:pStyle w:val="EndnoteText"/>
        <w:tabs>
          <w:tab w:val="clear" w:pos="720"/>
          <w:tab w:val="clear" w:pos="1440"/>
          <w:tab w:val="clear" w:pos="2160"/>
          <w:tab w:val="clear" w:pos="2880"/>
          <w:tab w:val="clear" w:pos="3600"/>
          <w:tab w:val="clear" w:pos="4320"/>
          <w:tab w:val="clear" w:pos="5760"/>
          <w:tab w:val="clear" w:pos="6480"/>
          <w:tab w:val="clear" w:pos="7200"/>
          <w:tab w:val="clear" w:pos="7920"/>
          <w:tab w:val="left" w:pos="6840"/>
        </w:tabs>
        <w:ind w:right="-29"/>
        <w:jc w:val="center"/>
        <w:rPr>
          <w:rFonts w:ascii="Times New Roman" w:hAnsi="Times New Roman"/>
          <w:szCs w:val="22"/>
        </w:rPr>
      </w:pPr>
      <w:r>
        <w:rPr>
          <w:rFonts w:ascii="Times New Roman" w:hAnsi="Times New Roman"/>
        </w:rPr>
        <w:t>(</w:t>
      </w:r>
      <w:r w:rsidR="00581CA5">
        <w:rPr>
          <w:rFonts w:ascii="Times New Roman" w:hAnsi="Times New Roman"/>
        </w:rPr>
        <w:t>C</w:t>
      </w:r>
      <w:r>
        <w:rPr>
          <w:rFonts w:ascii="Times New Roman" w:hAnsi="Times New Roman"/>
        </w:rPr>
        <w:t>onsidera</w:t>
      </w:r>
      <w:r w:rsidR="00581CA5">
        <w:rPr>
          <w:rFonts w:ascii="Times New Roman" w:hAnsi="Times New Roman"/>
        </w:rPr>
        <w:t>do por</w:t>
      </w:r>
      <w:r>
        <w:rPr>
          <w:rFonts w:ascii="Times New Roman" w:hAnsi="Times New Roman"/>
        </w:rPr>
        <w:t xml:space="preserve"> la </w:t>
      </w:r>
      <w:proofErr w:type="spellStart"/>
      <w:r>
        <w:rPr>
          <w:rFonts w:ascii="Times New Roman" w:hAnsi="Times New Roman"/>
        </w:rPr>
        <w:t>RANDOT</w:t>
      </w:r>
      <w:proofErr w:type="spellEnd"/>
      <w:r>
        <w:rPr>
          <w:rFonts w:ascii="Times New Roman" w:hAnsi="Times New Roman"/>
        </w:rPr>
        <w:t xml:space="preserve"> III</w:t>
      </w:r>
      <w:r w:rsidR="00F465C3">
        <w:rPr>
          <w:rFonts w:ascii="Times New Roman" w:hAnsi="Times New Roman"/>
        </w:rPr>
        <w:t xml:space="preserve"> y </w:t>
      </w:r>
      <w:r w:rsidR="00581CA5">
        <w:rPr>
          <w:rFonts w:ascii="Times New Roman" w:hAnsi="Times New Roman"/>
        </w:rPr>
        <w:t xml:space="preserve">remitida a la </w:t>
      </w:r>
      <w:r w:rsidR="00F465C3">
        <w:rPr>
          <w:rFonts w:ascii="Times New Roman" w:hAnsi="Times New Roman"/>
        </w:rPr>
        <w:t>Comisión</w:t>
      </w:r>
      <w:r w:rsidR="00581CA5">
        <w:rPr>
          <w:rFonts w:ascii="Times New Roman" w:hAnsi="Times New Roman"/>
        </w:rPr>
        <w:t xml:space="preserve"> de Seguridad Hemisférica para su consideración</w:t>
      </w:r>
      <w:r>
        <w:rPr>
          <w:rFonts w:ascii="Times New Roman" w:hAnsi="Times New Roman"/>
        </w:rPr>
        <w:t>)</w:t>
      </w:r>
    </w:p>
    <w:p w14:paraId="1FB96066" w14:textId="77777777" w:rsidR="00FA20C3" w:rsidRPr="007446AB" w:rsidRDefault="00FA20C3" w:rsidP="00FA20C3">
      <w:pPr>
        <w:rPr>
          <w:rFonts w:ascii="Times New Roman" w:hAnsi="Times New Roman"/>
          <w:szCs w:val="22"/>
        </w:rPr>
      </w:pPr>
    </w:p>
    <w:p w14:paraId="25B3F136" w14:textId="1C902BBA" w:rsidR="002530DC" w:rsidRPr="00C03FF3" w:rsidRDefault="00FA20C3" w:rsidP="00FA20C3">
      <w:pPr>
        <w:rPr>
          <w:rFonts w:ascii="Times New Roman" w:hAnsi="Times New Roman"/>
          <w:lang w:val="es-PA"/>
        </w:rPr>
      </w:pPr>
      <w:r w:rsidRPr="00C03FF3">
        <w:rPr>
          <w:rFonts w:ascii="Times New Roman" w:hAnsi="Times New Roman"/>
          <w:lang w:val="es-PA"/>
        </w:rPr>
        <w:t>Introduc</w:t>
      </w:r>
      <w:r w:rsidR="00FA5F21" w:rsidRPr="00C03FF3">
        <w:rPr>
          <w:rFonts w:ascii="Times New Roman" w:hAnsi="Times New Roman"/>
          <w:lang w:val="es-PA"/>
        </w:rPr>
        <w:t>ción</w:t>
      </w:r>
    </w:p>
    <w:p w14:paraId="03397B63" w14:textId="77777777" w:rsidR="002530DC" w:rsidRPr="00C03FF3" w:rsidRDefault="002530DC" w:rsidP="00FA20C3">
      <w:pPr>
        <w:rPr>
          <w:rFonts w:ascii="Times New Roman" w:hAnsi="Times New Roman"/>
          <w:lang w:val="es-PA"/>
        </w:rPr>
      </w:pPr>
    </w:p>
    <w:p w14:paraId="6029E7F9" w14:textId="6DFB8B14" w:rsidR="00FA20C3" w:rsidRPr="00C03FF3" w:rsidRDefault="00B25611" w:rsidP="00227CC4">
      <w:pPr>
        <w:rPr>
          <w:rFonts w:ascii="Times New Roman" w:hAnsi="Times New Roman"/>
          <w:szCs w:val="22"/>
          <w:lang w:val="es-PA"/>
        </w:rPr>
      </w:pPr>
      <w:r>
        <w:rPr>
          <w:rFonts w:ascii="Times New Roman" w:hAnsi="Times New Roman"/>
          <w:szCs w:val="22"/>
          <w:lang w:val="es-PA"/>
        </w:rPr>
        <w:tab/>
      </w:r>
      <w:r w:rsidR="00C65454" w:rsidRPr="00C03FF3">
        <w:rPr>
          <w:rFonts w:ascii="Times New Roman" w:hAnsi="Times New Roman"/>
          <w:szCs w:val="22"/>
          <w:lang w:val="es-PA"/>
        </w:rPr>
        <w:t xml:space="preserve">La </w:t>
      </w:r>
      <w:r w:rsidR="00227CC4" w:rsidRPr="00C03FF3">
        <w:rPr>
          <w:rFonts w:ascii="Times New Roman" w:hAnsi="Times New Roman"/>
          <w:szCs w:val="22"/>
          <w:lang w:val="es-PA"/>
        </w:rPr>
        <w:t>d</w:t>
      </w:r>
      <w:r w:rsidR="00C65454" w:rsidRPr="00C03FF3">
        <w:rPr>
          <w:rFonts w:ascii="Times New Roman" w:hAnsi="Times New Roman"/>
          <w:szCs w:val="22"/>
          <w:lang w:val="es-PA"/>
        </w:rPr>
        <w:t>elincuencia organizada transnacional constituye un desafío mundial</w:t>
      </w:r>
      <w:r w:rsidR="00DA06B1" w:rsidRPr="00C03FF3">
        <w:rPr>
          <w:rFonts w:ascii="Times New Roman" w:hAnsi="Times New Roman"/>
          <w:szCs w:val="22"/>
          <w:lang w:val="es-PA"/>
        </w:rPr>
        <w:t xml:space="preserve">. Sus efectos negativos se sienten en todo el </w:t>
      </w:r>
      <w:proofErr w:type="gramStart"/>
      <w:r w:rsidR="00DA06B1" w:rsidRPr="00C03FF3">
        <w:rPr>
          <w:rFonts w:ascii="Times New Roman" w:hAnsi="Times New Roman"/>
          <w:szCs w:val="22"/>
          <w:lang w:val="es-PA"/>
        </w:rPr>
        <w:t>Hemisferio</w:t>
      </w:r>
      <w:proofErr w:type="gramEnd"/>
      <w:r w:rsidR="00DA06B1" w:rsidRPr="00C03FF3">
        <w:rPr>
          <w:rFonts w:ascii="Times New Roman" w:hAnsi="Times New Roman"/>
          <w:szCs w:val="22"/>
          <w:lang w:val="es-PA"/>
        </w:rPr>
        <w:t>.</w:t>
      </w:r>
    </w:p>
    <w:p w14:paraId="42B5239C" w14:textId="2B291708" w:rsidR="002530DC" w:rsidRPr="00C03FF3" w:rsidRDefault="002530DC" w:rsidP="00FA20C3">
      <w:pPr>
        <w:rPr>
          <w:rFonts w:ascii="Times New Roman" w:hAnsi="Times New Roman"/>
          <w:lang w:val="es-PA"/>
        </w:rPr>
      </w:pPr>
    </w:p>
    <w:p w14:paraId="4AAA8D1D" w14:textId="66137F97" w:rsidR="009C54C8" w:rsidRPr="00C03FF3" w:rsidRDefault="00B25611" w:rsidP="009C54C8">
      <w:pPr>
        <w:rPr>
          <w:rFonts w:ascii="Times New Roman" w:hAnsi="Times New Roman"/>
          <w:szCs w:val="22"/>
          <w:lang w:val="es-PA"/>
        </w:rPr>
      </w:pPr>
      <w:r>
        <w:rPr>
          <w:rFonts w:ascii="Times New Roman" w:hAnsi="Times New Roman"/>
          <w:szCs w:val="22"/>
          <w:lang w:val="es-PA"/>
        </w:rPr>
        <w:tab/>
      </w:r>
      <w:r w:rsidR="009C54C8" w:rsidRPr="00C03FF3">
        <w:rPr>
          <w:rFonts w:ascii="Times New Roman" w:hAnsi="Times New Roman"/>
          <w:szCs w:val="22"/>
          <w:lang w:val="es-PA"/>
        </w:rPr>
        <w:t xml:space="preserve">La delincuencia organizada transnacional es un fenómeno complejo y dinámico. Tiene causas, consecuencias y efectos multidimensionales en el campo de la seguridad </w:t>
      </w:r>
      <w:r w:rsidR="009C54C8" w:rsidRPr="00C03FF3">
        <w:rPr>
          <w:rFonts w:ascii="Times New Roman" w:hAnsi="Times New Roman"/>
          <w:lang w:val="es-PA"/>
        </w:rPr>
        <w:t>mundial</w:t>
      </w:r>
      <w:r w:rsidR="009C54C8" w:rsidRPr="00C03FF3">
        <w:rPr>
          <w:rFonts w:ascii="Times New Roman" w:hAnsi="Times New Roman"/>
          <w:szCs w:val="22"/>
          <w:lang w:val="es-PA"/>
        </w:rPr>
        <w:t xml:space="preserve"> y en otras </w:t>
      </w:r>
      <w:r w:rsidR="009C54C8" w:rsidRPr="00C03FF3">
        <w:rPr>
          <w:rFonts w:ascii="Times New Roman" w:hAnsi="Times New Roman"/>
          <w:lang w:val="es-PA"/>
        </w:rPr>
        <w:t xml:space="preserve">áreas </w:t>
      </w:r>
      <w:r w:rsidR="001448A8" w:rsidRPr="00C03FF3">
        <w:rPr>
          <w:rFonts w:ascii="Times New Roman" w:hAnsi="Times New Roman"/>
          <w:lang w:val="es-PA"/>
        </w:rPr>
        <w:t xml:space="preserve">con inclusión de </w:t>
      </w:r>
      <w:r w:rsidR="009C54C8" w:rsidRPr="00C03FF3">
        <w:rPr>
          <w:rFonts w:ascii="Times New Roman" w:hAnsi="Times New Roman"/>
          <w:szCs w:val="22"/>
          <w:lang w:val="es-PA"/>
        </w:rPr>
        <w:t xml:space="preserve">las instituciones democráticas, las economías y los sectores financieros, el estado de derecho </w:t>
      </w:r>
      <w:r w:rsidR="009C54C8" w:rsidRPr="00C03FF3">
        <w:rPr>
          <w:rFonts w:ascii="Times New Roman" w:hAnsi="Times New Roman"/>
          <w:lang w:val="es-PA"/>
        </w:rPr>
        <w:t>y el desarrollo sostenible.</w:t>
      </w:r>
    </w:p>
    <w:p w14:paraId="68BE4460" w14:textId="77777777" w:rsidR="00CF69E7" w:rsidRPr="00C03FF3" w:rsidRDefault="00CF69E7" w:rsidP="00127BC6">
      <w:pPr>
        <w:rPr>
          <w:rFonts w:ascii="Times New Roman" w:hAnsi="Times New Roman"/>
          <w:szCs w:val="22"/>
          <w:lang w:val="es-PA"/>
        </w:rPr>
      </w:pPr>
    </w:p>
    <w:p w14:paraId="268C2167" w14:textId="62DAC0EB" w:rsidR="00127BC6" w:rsidRPr="00C03FF3" w:rsidRDefault="00B25611" w:rsidP="00127BC6">
      <w:pPr>
        <w:rPr>
          <w:rFonts w:ascii="Times New Roman" w:hAnsi="Times New Roman"/>
          <w:szCs w:val="22"/>
          <w:lang w:val="es-PA"/>
        </w:rPr>
      </w:pPr>
      <w:r>
        <w:rPr>
          <w:rFonts w:ascii="Times New Roman" w:hAnsi="Times New Roman"/>
          <w:szCs w:val="22"/>
          <w:lang w:val="es-PA"/>
        </w:rPr>
        <w:tab/>
      </w:r>
      <w:r w:rsidR="00127BC6" w:rsidRPr="00C03FF3">
        <w:rPr>
          <w:rFonts w:ascii="Times New Roman" w:hAnsi="Times New Roman"/>
          <w:szCs w:val="22"/>
          <w:lang w:val="es-PA"/>
        </w:rPr>
        <w:t>Los Estados Miembros de la OEA entienden que para prevenir, reducir y abordar eficazmente la delincuencia organizada transnacional deben trabajar juntos en un espíritu de responsabilidad común y compartida, con pleno respeto por los derechos humanos y las libertades fundamentales, observando los principios de soberanía nacional y respeto mutuo entre los Estados.</w:t>
      </w:r>
    </w:p>
    <w:p w14:paraId="68EA4595" w14:textId="77777777" w:rsidR="00127BC6" w:rsidRPr="00C03FF3" w:rsidRDefault="00127BC6" w:rsidP="00127BC6">
      <w:pPr>
        <w:rPr>
          <w:rFonts w:ascii="Times New Roman" w:hAnsi="Times New Roman"/>
          <w:szCs w:val="22"/>
          <w:lang w:val="es-PA"/>
        </w:rPr>
      </w:pPr>
    </w:p>
    <w:p w14:paraId="2196D2BB" w14:textId="7D27E12B" w:rsidR="00127BC6" w:rsidRPr="00C03FF3" w:rsidRDefault="00B25611" w:rsidP="00127BC6">
      <w:pPr>
        <w:rPr>
          <w:rFonts w:ascii="Times New Roman" w:hAnsi="Times New Roman"/>
          <w:szCs w:val="22"/>
          <w:lang w:val="es-PA"/>
        </w:rPr>
      </w:pPr>
      <w:r>
        <w:rPr>
          <w:rFonts w:ascii="Times New Roman" w:hAnsi="Times New Roman"/>
          <w:szCs w:val="22"/>
          <w:lang w:val="es-PA"/>
        </w:rPr>
        <w:tab/>
      </w:r>
      <w:r w:rsidR="00342CB0" w:rsidRPr="00C03FF3">
        <w:rPr>
          <w:rFonts w:ascii="Times New Roman" w:hAnsi="Times New Roman"/>
          <w:szCs w:val="22"/>
          <w:lang w:val="es-PA"/>
        </w:rPr>
        <w:t>La presente</w:t>
      </w:r>
      <w:r w:rsidR="00127BC6" w:rsidRPr="00C03FF3">
        <w:rPr>
          <w:rFonts w:ascii="Times New Roman" w:hAnsi="Times New Roman"/>
          <w:szCs w:val="22"/>
          <w:lang w:val="es-PA"/>
        </w:rPr>
        <w:t xml:space="preserve"> Estrategia Hemisférica fue elaborada por la Comisión de Seguridad Hemisférica con el apoyo técnico de la Secretaría de Seguridad Multidimensional de la OEA, en respuesta a las Recomendaciones de Quito para el Fortalecimiento de la Cooperación Internacional en Materia de Seguridad Pública en la Prevención y Lucha contra la Delincuencia, aprobadas por los </w:t>
      </w:r>
      <w:proofErr w:type="gramStart"/>
      <w:r w:rsidR="00127BC6" w:rsidRPr="00C03FF3">
        <w:rPr>
          <w:rFonts w:ascii="Times New Roman" w:hAnsi="Times New Roman"/>
          <w:szCs w:val="22"/>
          <w:lang w:val="es-PA"/>
        </w:rPr>
        <w:t>Ministros</w:t>
      </w:r>
      <w:proofErr w:type="gramEnd"/>
      <w:r w:rsidR="00127BC6" w:rsidRPr="00C03FF3">
        <w:rPr>
          <w:rFonts w:ascii="Times New Roman" w:hAnsi="Times New Roman"/>
          <w:szCs w:val="22"/>
          <w:lang w:val="es-PA"/>
        </w:rPr>
        <w:t xml:space="preserve"> de Seguridad Pública en octubre de 2019 y reafirmadas por la Asamblea General de la OEA</w:t>
      </w:r>
      <w:r w:rsidR="00342CB0" w:rsidRPr="00C03FF3">
        <w:rPr>
          <w:rFonts w:ascii="Times New Roman" w:hAnsi="Times New Roman"/>
          <w:szCs w:val="22"/>
          <w:lang w:val="es-PA"/>
        </w:rPr>
        <w:t xml:space="preserve"> en la</w:t>
      </w:r>
      <w:r w:rsidR="00127BC6" w:rsidRPr="00C03FF3">
        <w:rPr>
          <w:rFonts w:ascii="Times New Roman" w:hAnsi="Times New Roman"/>
          <w:szCs w:val="22"/>
          <w:lang w:val="es-PA"/>
        </w:rPr>
        <w:t xml:space="preserve"> resolución AG/RES. 2950 (L-O/20).</w:t>
      </w:r>
    </w:p>
    <w:p w14:paraId="6FFE5942" w14:textId="77777777" w:rsidR="00127BC6" w:rsidRPr="00C03FF3" w:rsidRDefault="00127BC6" w:rsidP="00127BC6">
      <w:pPr>
        <w:rPr>
          <w:rFonts w:ascii="Times New Roman" w:hAnsi="Times New Roman"/>
          <w:szCs w:val="22"/>
          <w:lang w:val="es-PA"/>
        </w:rPr>
      </w:pPr>
    </w:p>
    <w:p w14:paraId="3A23DD95" w14:textId="5E71C59D" w:rsidR="00FA20C3" w:rsidRPr="00C03FF3" w:rsidRDefault="00DA06B1" w:rsidP="00FA20C3">
      <w:pPr>
        <w:rPr>
          <w:rFonts w:ascii="Times New Roman" w:hAnsi="Times New Roman"/>
          <w:lang w:val="es-PA"/>
        </w:rPr>
      </w:pPr>
      <w:r w:rsidRPr="00C03FF3">
        <w:rPr>
          <w:rFonts w:ascii="Times New Roman" w:hAnsi="Times New Roman"/>
          <w:lang w:val="es-PA"/>
        </w:rPr>
        <w:t>Objetivos generales</w:t>
      </w:r>
    </w:p>
    <w:p w14:paraId="0CF862AA" w14:textId="77777777" w:rsidR="002530DC" w:rsidRPr="00C03FF3" w:rsidRDefault="002530DC" w:rsidP="00FA20C3">
      <w:pPr>
        <w:rPr>
          <w:rFonts w:ascii="Times New Roman" w:hAnsi="Times New Roman"/>
          <w:szCs w:val="22"/>
          <w:lang w:val="es-PA"/>
        </w:rPr>
      </w:pPr>
    </w:p>
    <w:p w14:paraId="32F96F0C" w14:textId="7DF61ABD" w:rsidR="003C0732" w:rsidRPr="00C03FF3" w:rsidRDefault="00B25611" w:rsidP="003C0732">
      <w:pPr>
        <w:rPr>
          <w:rFonts w:ascii="Times New Roman" w:hAnsi="Times New Roman"/>
          <w:szCs w:val="22"/>
          <w:lang w:val="es-PA"/>
        </w:rPr>
      </w:pPr>
      <w:r>
        <w:rPr>
          <w:rFonts w:ascii="Times New Roman" w:hAnsi="Times New Roman"/>
          <w:szCs w:val="22"/>
          <w:lang w:val="es-PA"/>
        </w:rPr>
        <w:tab/>
      </w:r>
      <w:r w:rsidR="003C0732" w:rsidRPr="00C03FF3">
        <w:rPr>
          <w:rFonts w:ascii="Times New Roman" w:hAnsi="Times New Roman"/>
          <w:szCs w:val="22"/>
          <w:lang w:val="es-PA"/>
        </w:rPr>
        <w:t>Los países del Hemisferio adoptaron de manera universal la Convención de las Naciones Unidas contra la Delincuencia Organizada Transnacional (</w:t>
      </w:r>
      <w:proofErr w:type="spellStart"/>
      <w:r w:rsidR="003C0732" w:rsidRPr="00C03FF3">
        <w:rPr>
          <w:rFonts w:ascii="Times New Roman" w:hAnsi="Times New Roman"/>
          <w:szCs w:val="22"/>
          <w:lang w:val="es-PA"/>
        </w:rPr>
        <w:t>UNTOC</w:t>
      </w:r>
      <w:proofErr w:type="spellEnd"/>
      <w:r w:rsidR="003C0732" w:rsidRPr="00C03FF3">
        <w:rPr>
          <w:rFonts w:ascii="Times New Roman" w:hAnsi="Times New Roman"/>
          <w:szCs w:val="22"/>
          <w:lang w:val="es-PA"/>
        </w:rPr>
        <w:t xml:space="preserve">, por sus siglas en inglés) como su marco </w:t>
      </w:r>
      <w:r w:rsidR="003C0732" w:rsidRPr="00C03FF3">
        <w:rPr>
          <w:rFonts w:ascii="Times New Roman" w:hAnsi="Times New Roman"/>
          <w:lang w:val="es-PA"/>
        </w:rPr>
        <w:t>e instrumento internacional para luchar contra la delincuencia organizada transnacional</w:t>
      </w:r>
      <w:r w:rsidR="003C0732" w:rsidRPr="00C03FF3">
        <w:rPr>
          <w:rFonts w:ascii="Times New Roman" w:hAnsi="Times New Roman"/>
          <w:szCs w:val="22"/>
          <w:lang w:val="es-PA"/>
        </w:rPr>
        <w:t xml:space="preserve"> y también adoptaron el Plan de Acción Hemisférico contra la Delincuencia Organizada Transnacional, el cual se centra en la implementación de la Convención de las Naciones Unidas contra la Delincuencia Organizada Transnacional a nivel regional.</w:t>
      </w:r>
    </w:p>
    <w:p w14:paraId="6324E06D" w14:textId="77777777" w:rsidR="00CA4949" w:rsidRPr="00C03FF3" w:rsidRDefault="00CA4949" w:rsidP="00FA20C3">
      <w:pPr>
        <w:rPr>
          <w:rFonts w:ascii="Times New Roman" w:hAnsi="Times New Roman"/>
          <w:szCs w:val="22"/>
          <w:lang w:val="es-PA"/>
        </w:rPr>
      </w:pPr>
    </w:p>
    <w:p w14:paraId="7E4F73F6" w14:textId="656CC90E" w:rsidR="00497DC4" w:rsidRPr="00C03FF3" w:rsidRDefault="00B25611" w:rsidP="00FA20C3">
      <w:pPr>
        <w:rPr>
          <w:rFonts w:ascii="Times New Roman" w:hAnsi="Times New Roman"/>
          <w:szCs w:val="22"/>
          <w:lang w:val="es-PA"/>
        </w:rPr>
      </w:pPr>
      <w:r>
        <w:rPr>
          <w:rFonts w:ascii="Times New Roman" w:hAnsi="Times New Roman"/>
          <w:szCs w:val="22"/>
          <w:lang w:val="es-PA"/>
        </w:rPr>
        <w:tab/>
      </w:r>
      <w:r w:rsidR="00497DC4" w:rsidRPr="00C03FF3">
        <w:rPr>
          <w:rFonts w:ascii="Times New Roman" w:hAnsi="Times New Roman"/>
          <w:szCs w:val="22"/>
          <w:lang w:val="es-PA"/>
        </w:rPr>
        <w:t xml:space="preserve">La presente Estrategia Hemisférica </w:t>
      </w:r>
      <w:r w:rsidR="002240BD" w:rsidRPr="00C03FF3">
        <w:rPr>
          <w:rFonts w:ascii="Times New Roman" w:hAnsi="Times New Roman"/>
          <w:szCs w:val="22"/>
          <w:lang w:val="es-PA"/>
        </w:rPr>
        <w:t>fue concebida</w:t>
      </w:r>
      <w:r w:rsidR="00497DC4" w:rsidRPr="00C03FF3">
        <w:rPr>
          <w:rFonts w:ascii="Times New Roman" w:hAnsi="Times New Roman"/>
          <w:szCs w:val="22"/>
          <w:lang w:val="es-PA"/>
        </w:rPr>
        <w:t xml:space="preserve"> para orientar a los Estados Miembros de la OEA y </w:t>
      </w:r>
      <w:r w:rsidR="00D2108A" w:rsidRPr="00C03FF3">
        <w:rPr>
          <w:rFonts w:ascii="Times New Roman" w:hAnsi="Times New Roman"/>
          <w:szCs w:val="22"/>
          <w:lang w:val="es-PA"/>
        </w:rPr>
        <w:t xml:space="preserve">a </w:t>
      </w:r>
      <w:r w:rsidR="00497DC4" w:rsidRPr="00C03FF3">
        <w:rPr>
          <w:rFonts w:ascii="Times New Roman" w:hAnsi="Times New Roman"/>
          <w:szCs w:val="22"/>
          <w:lang w:val="es-PA"/>
        </w:rPr>
        <w:t xml:space="preserve">su Secretaría General en la implementación de </w:t>
      </w:r>
      <w:r w:rsidR="00D2108A" w:rsidRPr="00C03FF3">
        <w:rPr>
          <w:rFonts w:ascii="Times New Roman" w:hAnsi="Times New Roman"/>
          <w:szCs w:val="22"/>
          <w:lang w:val="es-PA"/>
        </w:rPr>
        <w:t>la Convención de las Naciones Unidas contra la Delincuencia Organizada Transnacional</w:t>
      </w:r>
      <w:r w:rsidR="00497DC4" w:rsidRPr="00C03FF3">
        <w:rPr>
          <w:rFonts w:ascii="Times New Roman" w:hAnsi="Times New Roman"/>
          <w:szCs w:val="22"/>
          <w:lang w:val="es-PA"/>
        </w:rPr>
        <w:t xml:space="preserve"> y </w:t>
      </w:r>
      <w:r w:rsidR="00D2108A" w:rsidRPr="00C03FF3">
        <w:rPr>
          <w:rFonts w:ascii="Times New Roman" w:hAnsi="Times New Roman"/>
          <w:szCs w:val="22"/>
          <w:lang w:val="es-PA"/>
        </w:rPr>
        <w:t>d</w:t>
      </w:r>
      <w:r w:rsidR="00497DC4" w:rsidRPr="00C03FF3">
        <w:rPr>
          <w:rFonts w:ascii="Times New Roman" w:hAnsi="Times New Roman"/>
          <w:szCs w:val="22"/>
          <w:lang w:val="es-PA"/>
        </w:rPr>
        <w:t xml:space="preserve">el Plan de Acción Hemisférico contra la Delincuencia Organizada Transnacional en la región. </w:t>
      </w:r>
    </w:p>
    <w:p w14:paraId="45C73A2B" w14:textId="77777777" w:rsidR="002530DC" w:rsidRPr="00C03FF3" w:rsidRDefault="002530DC" w:rsidP="00FA20C3">
      <w:pPr>
        <w:rPr>
          <w:rFonts w:ascii="Times New Roman" w:hAnsi="Times New Roman"/>
          <w:lang w:val="es-PA"/>
        </w:rPr>
      </w:pPr>
    </w:p>
    <w:p w14:paraId="070F64F5" w14:textId="4DB703DB" w:rsidR="00FA20C3" w:rsidRPr="00C03FF3" w:rsidRDefault="00FA20C3" w:rsidP="002530DC">
      <w:pPr>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PA"/>
        </w:rPr>
      </w:pPr>
      <w:r w:rsidRPr="00C03FF3">
        <w:rPr>
          <w:rFonts w:ascii="Times New Roman" w:hAnsi="Times New Roman"/>
          <w:lang w:val="es-PA"/>
        </w:rPr>
        <w:t>Ac</w:t>
      </w:r>
      <w:r w:rsidR="00427A5B" w:rsidRPr="00C03FF3">
        <w:rPr>
          <w:rFonts w:ascii="Times New Roman" w:hAnsi="Times New Roman"/>
          <w:lang w:val="es-PA"/>
        </w:rPr>
        <w:t>ciones</w:t>
      </w:r>
    </w:p>
    <w:p w14:paraId="74A0BC9B" w14:textId="77777777" w:rsidR="002530DC" w:rsidRPr="00C03FF3" w:rsidRDefault="002530DC" w:rsidP="002530DC">
      <w:pPr>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PA"/>
        </w:rPr>
      </w:pPr>
    </w:p>
    <w:p w14:paraId="55706996" w14:textId="5D394C8F" w:rsidR="00FA20C3" w:rsidRPr="00C03FF3" w:rsidRDefault="00427A5B" w:rsidP="00863D9C">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hanging="720"/>
        <w:contextualSpacing/>
        <w:rPr>
          <w:rFonts w:ascii="Times New Roman" w:hAnsi="Times New Roman"/>
          <w:szCs w:val="22"/>
          <w:u w:val="single"/>
          <w:lang w:val="es-PA"/>
        </w:rPr>
      </w:pPr>
      <w:r w:rsidRPr="00C03FF3">
        <w:rPr>
          <w:color w:val="000000"/>
          <w:szCs w:val="22"/>
          <w:u w:val="single"/>
          <w:lang w:val="es-PA"/>
        </w:rPr>
        <w:t>Estrategias nacionales contra la delincuencia organizada transnacional</w:t>
      </w:r>
      <w:r w:rsidRPr="00C03FF3">
        <w:rPr>
          <w:rFonts w:ascii="Times New Roman" w:hAnsi="Times New Roman"/>
          <w:szCs w:val="22"/>
          <w:u w:val="single"/>
          <w:lang w:val="es-PA"/>
        </w:rPr>
        <w:t xml:space="preserve"> </w:t>
      </w:r>
    </w:p>
    <w:p w14:paraId="4D5AA4AE" w14:textId="196A1CCB" w:rsidR="00B350B7" w:rsidRPr="00C03FF3" w:rsidRDefault="00B25611" w:rsidP="00FA20C3">
      <w:pPr>
        <w:rPr>
          <w:rFonts w:ascii="Times New Roman" w:hAnsi="Times New Roman"/>
          <w:szCs w:val="22"/>
          <w:lang w:val="es-PA"/>
        </w:rPr>
      </w:pPr>
      <w:r>
        <w:rPr>
          <w:rFonts w:ascii="Times New Roman" w:hAnsi="Times New Roman"/>
          <w:szCs w:val="22"/>
          <w:lang w:val="es-PA"/>
        </w:rPr>
        <w:tab/>
      </w:r>
      <w:r w:rsidR="00B350B7" w:rsidRPr="00C03FF3">
        <w:rPr>
          <w:rFonts w:ascii="Times New Roman" w:hAnsi="Times New Roman"/>
          <w:szCs w:val="22"/>
          <w:lang w:val="es-PA"/>
        </w:rPr>
        <w:t>Mediante la adopción de esta Estrategia Hemisférica, los Estados Miembros de la OEA reconocen la importancia de fortalecer la capacidad nacional para responder a las amenazas y desafíos que la delincuencia organizada transnacional plantea para su seguridad, prosperidad y</w:t>
      </w:r>
      <w:r w:rsidR="00C26B44" w:rsidRPr="00C03FF3">
        <w:rPr>
          <w:rFonts w:ascii="Times New Roman" w:hAnsi="Times New Roman"/>
          <w:szCs w:val="22"/>
          <w:lang w:val="es-PA"/>
        </w:rPr>
        <w:t xml:space="preserve"> </w:t>
      </w:r>
      <w:r w:rsidR="00B350B7" w:rsidRPr="00C03FF3">
        <w:rPr>
          <w:rFonts w:ascii="Times New Roman" w:hAnsi="Times New Roman"/>
          <w:szCs w:val="22"/>
          <w:lang w:val="es-PA"/>
        </w:rPr>
        <w:t>sus instituciones democráticas.</w:t>
      </w:r>
    </w:p>
    <w:p w14:paraId="44770C2F" w14:textId="77777777" w:rsidR="00B350B7" w:rsidRPr="00C03FF3" w:rsidRDefault="00B350B7" w:rsidP="00FA20C3">
      <w:pPr>
        <w:rPr>
          <w:rFonts w:ascii="Times New Roman" w:hAnsi="Times New Roman"/>
          <w:szCs w:val="22"/>
          <w:lang w:val="es-PA"/>
        </w:rPr>
      </w:pPr>
    </w:p>
    <w:p w14:paraId="186B95F0" w14:textId="16DF5125" w:rsidR="00BC3FEC" w:rsidRPr="00BC3FEC" w:rsidRDefault="00B25611" w:rsidP="00BC3FEC">
      <w:pPr>
        <w:rPr>
          <w:rFonts w:ascii="Times New Roman" w:hAnsi="Times New Roman"/>
          <w:szCs w:val="22"/>
          <w:lang w:val="es-PA"/>
        </w:rPr>
      </w:pPr>
      <w:r>
        <w:rPr>
          <w:rFonts w:ascii="Times New Roman" w:hAnsi="Times New Roman"/>
          <w:szCs w:val="22"/>
          <w:lang w:val="es-PA"/>
        </w:rPr>
        <w:tab/>
      </w:r>
      <w:r w:rsidR="00B350B7" w:rsidRPr="00C03FF3">
        <w:rPr>
          <w:rFonts w:ascii="Times New Roman" w:hAnsi="Times New Roman"/>
          <w:szCs w:val="22"/>
          <w:lang w:val="es-PA"/>
        </w:rPr>
        <w:t xml:space="preserve">Debido a su naturaleza compleja y a las causas y consecuencias multidimensionales, </w:t>
      </w:r>
      <w:r w:rsidR="00D90DBD" w:rsidRPr="00C03FF3">
        <w:rPr>
          <w:rFonts w:ascii="Times New Roman" w:hAnsi="Times New Roman"/>
          <w:szCs w:val="22"/>
          <w:lang w:val="es-PA"/>
        </w:rPr>
        <w:t>para hacer frente a</w:t>
      </w:r>
      <w:r w:rsidR="00B350B7" w:rsidRPr="00C03FF3">
        <w:rPr>
          <w:rFonts w:ascii="Times New Roman" w:hAnsi="Times New Roman"/>
          <w:szCs w:val="22"/>
          <w:lang w:val="es-PA"/>
        </w:rPr>
        <w:t xml:space="preserve"> la delincuencia organizada transnacional de manera efectiva</w:t>
      </w:r>
      <w:r w:rsidR="00BD6B28" w:rsidRPr="00C03FF3">
        <w:rPr>
          <w:rFonts w:ascii="Times New Roman" w:hAnsi="Times New Roman"/>
          <w:szCs w:val="22"/>
          <w:lang w:val="es-PA"/>
        </w:rPr>
        <w:t>,</w:t>
      </w:r>
      <w:r w:rsidR="00B350B7" w:rsidRPr="00C03FF3">
        <w:rPr>
          <w:rFonts w:ascii="Times New Roman" w:hAnsi="Times New Roman"/>
          <w:szCs w:val="22"/>
          <w:lang w:val="es-PA"/>
        </w:rPr>
        <w:t xml:space="preserve"> </w:t>
      </w:r>
      <w:r w:rsidR="00D90DBD" w:rsidRPr="00C03FF3">
        <w:rPr>
          <w:rFonts w:ascii="Times New Roman" w:hAnsi="Times New Roman"/>
          <w:szCs w:val="22"/>
          <w:lang w:val="es-PA"/>
        </w:rPr>
        <w:t xml:space="preserve">se </w:t>
      </w:r>
      <w:r w:rsidR="00B350B7" w:rsidRPr="00C03FF3">
        <w:rPr>
          <w:rFonts w:ascii="Times New Roman" w:hAnsi="Times New Roman"/>
          <w:szCs w:val="22"/>
          <w:lang w:val="es-PA"/>
        </w:rPr>
        <w:t xml:space="preserve">requiere la acción coordinada de los actores internacionales, regionales, gubernamentales y no gubernamentales. La coordinación debe institucionalizarse mediante </w:t>
      </w:r>
      <w:r w:rsidR="00D90DBD" w:rsidRPr="00C03FF3">
        <w:rPr>
          <w:rFonts w:ascii="Times New Roman" w:hAnsi="Times New Roman"/>
          <w:szCs w:val="22"/>
          <w:lang w:val="es-PA"/>
        </w:rPr>
        <w:t>la elaboración</w:t>
      </w:r>
      <w:r w:rsidR="00B350B7" w:rsidRPr="00C03FF3">
        <w:rPr>
          <w:rFonts w:ascii="Times New Roman" w:hAnsi="Times New Roman"/>
          <w:szCs w:val="22"/>
          <w:lang w:val="es-PA"/>
        </w:rPr>
        <w:t>, actualización, implementación y aplicación de estrategia</w:t>
      </w:r>
      <w:r w:rsidR="00B84F29" w:rsidRPr="00C03FF3">
        <w:rPr>
          <w:rFonts w:ascii="Times New Roman" w:hAnsi="Times New Roman"/>
          <w:szCs w:val="22"/>
          <w:lang w:val="es-PA"/>
        </w:rPr>
        <w:t>s</w:t>
      </w:r>
      <w:r w:rsidR="00B350B7" w:rsidRPr="00C03FF3">
        <w:rPr>
          <w:rFonts w:ascii="Times New Roman" w:hAnsi="Times New Roman"/>
          <w:szCs w:val="22"/>
          <w:lang w:val="es-PA"/>
        </w:rPr>
        <w:t xml:space="preserve"> nacional</w:t>
      </w:r>
      <w:r w:rsidR="00B84F29" w:rsidRPr="00C03FF3">
        <w:rPr>
          <w:rFonts w:ascii="Times New Roman" w:hAnsi="Times New Roman"/>
          <w:szCs w:val="22"/>
          <w:lang w:val="es-PA"/>
        </w:rPr>
        <w:t>es</w:t>
      </w:r>
      <w:r w:rsidR="00B350B7" w:rsidRPr="00C03FF3">
        <w:rPr>
          <w:rFonts w:ascii="Times New Roman" w:hAnsi="Times New Roman"/>
          <w:szCs w:val="22"/>
          <w:lang w:val="es-PA"/>
        </w:rPr>
        <w:t xml:space="preserve"> que tenga</w:t>
      </w:r>
      <w:r w:rsidR="00066EB3">
        <w:rPr>
          <w:rFonts w:ascii="Times New Roman" w:hAnsi="Times New Roman"/>
          <w:szCs w:val="22"/>
          <w:lang w:val="es-PA"/>
        </w:rPr>
        <w:t>n</w:t>
      </w:r>
      <w:r w:rsidR="00B350B7" w:rsidRPr="00C03FF3">
        <w:rPr>
          <w:rFonts w:ascii="Times New Roman" w:hAnsi="Times New Roman"/>
          <w:szCs w:val="22"/>
          <w:lang w:val="es-PA"/>
        </w:rPr>
        <w:t xml:space="preserve"> en cuenta las preocupaciones, capacidades y vulnerabilidades de las partes interesadas, al tiempo que</w:t>
      </w:r>
      <w:r w:rsidR="00066EB3">
        <w:rPr>
          <w:rFonts w:ascii="Times New Roman" w:hAnsi="Times New Roman"/>
          <w:szCs w:val="22"/>
          <w:lang w:val="es-PA"/>
        </w:rPr>
        <w:t xml:space="preserve"> </w:t>
      </w:r>
      <w:r w:rsidR="00202504" w:rsidRPr="00C03FF3">
        <w:rPr>
          <w:rFonts w:ascii="Times New Roman" w:hAnsi="Times New Roman"/>
          <w:szCs w:val="22"/>
          <w:lang w:val="es-PA"/>
        </w:rPr>
        <w:t>promuev</w:t>
      </w:r>
      <w:r w:rsidR="004D7C33" w:rsidRPr="00C03FF3">
        <w:rPr>
          <w:rFonts w:ascii="Times New Roman" w:hAnsi="Times New Roman"/>
          <w:szCs w:val="22"/>
          <w:lang w:val="es-PA"/>
        </w:rPr>
        <w:t>a</w:t>
      </w:r>
      <w:r w:rsidR="00202504" w:rsidRPr="00C03FF3">
        <w:rPr>
          <w:rFonts w:ascii="Times New Roman" w:hAnsi="Times New Roman"/>
          <w:szCs w:val="22"/>
          <w:lang w:val="es-PA"/>
        </w:rPr>
        <w:t xml:space="preserve"> estrategias </w:t>
      </w:r>
      <w:r w:rsidR="00E7192C" w:rsidRPr="00B25611">
        <w:rPr>
          <w:rFonts w:ascii="Times New Roman" w:hAnsi="Times New Roman"/>
          <w:szCs w:val="22"/>
          <w:lang w:val="es-PA"/>
        </w:rPr>
        <w:t>para asegurar la seguridad y la</w:t>
      </w:r>
      <w:r w:rsidR="00202504" w:rsidRPr="00C03FF3">
        <w:rPr>
          <w:rFonts w:ascii="Times New Roman" w:hAnsi="Times New Roman"/>
          <w:szCs w:val="22"/>
          <w:lang w:val="es-PA"/>
        </w:rPr>
        <w:t xml:space="preserve"> recuperación de la paz, procuración e impartición de justicia, restablecimiento del Estado de derecho y reinserción de infractores, todo bajo una perspectiva de respeto a las libertades y a los derechos humanos.</w:t>
      </w:r>
      <w:r w:rsidR="00B350B7" w:rsidRPr="00C03FF3">
        <w:rPr>
          <w:rFonts w:ascii="Times New Roman" w:hAnsi="Times New Roman"/>
          <w:szCs w:val="22"/>
          <w:lang w:val="es-PA"/>
        </w:rPr>
        <w:t xml:space="preserve"> Por lo tanto, al desarrollar, actualizar o poner en marcha sus Estrategias Nacionales, según sea el caso, los Estados Miembros deben considerar las siguientes acciones:</w:t>
      </w:r>
      <w:r w:rsidR="004A2349" w:rsidRPr="00C03FF3">
        <w:rPr>
          <w:rFonts w:ascii="Times New Roman" w:hAnsi="Times New Roman"/>
          <w:szCs w:val="22"/>
          <w:lang w:val="es-PA"/>
        </w:rPr>
        <w:t xml:space="preserve"> </w:t>
      </w:r>
    </w:p>
    <w:p w14:paraId="664462DD" w14:textId="77777777" w:rsidR="00BC3FEC" w:rsidRDefault="00BC3FEC" w:rsidP="00BC3FEC">
      <w:pPr>
        <w:pStyle w:val="ListParagraph"/>
        <w:widowControl/>
        <w:spacing w:after="160" w:line="256" w:lineRule="auto"/>
        <w:ind w:left="1440"/>
        <w:contextualSpacing/>
        <w:rPr>
          <w:rFonts w:ascii="Times New Roman" w:hAnsi="Times New Roman"/>
          <w:szCs w:val="22"/>
          <w:lang w:val="es-PA"/>
        </w:rPr>
      </w:pPr>
    </w:p>
    <w:p w14:paraId="38ED5B12" w14:textId="2A464EA9" w:rsidR="00933BBD" w:rsidRPr="00C03FF3" w:rsidRDefault="00933BBD" w:rsidP="00933BBD">
      <w:pPr>
        <w:pStyle w:val="ListParagraph"/>
        <w:widowControl/>
        <w:numPr>
          <w:ilvl w:val="0"/>
          <w:numId w:val="14"/>
        </w:numPr>
        <w:spacing w:after="160"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Emplear un enfoque integral, a nivel de todo el gobierno, para abordar </w:t>
      </w:r>
      <w:r w:rsidRPr="00C03FF3">
        <w:rPr>
          <w:rFonts w:ascii="Times New Roman" w:hAnsi="Times New Roman"/>
          <w:lang w:val="es-PA"/>
        </w:rPr>
        <w:t xml:space="preserve">los efectos multidimensionales de </w:t>
      </w:r>
      <w:r w:rsidRPr="009437A4">
        <w:rPr>
          <w:rFonts w:ascii="Times New Roman" w:hAnsi="Times New Roman"/>
          <w:szCs w:val="22"/>
          <w:lang w:val="es-PA"/>
        </w:rPr>
        <w:t xml:space="preserve">la delincuencia organizada en las sociedades, </w:t>
      </w:r>
      <w:r w:rsidRPr="009437A4">
        <w:rPr>
          <w:rFonts w:ascii="Times New Roman" w:hAnsi="Times New Roman"/>
          <w:lang w:val="es-PA"/>
        </w:rPr>
        <w:t xml:space="preserve">a </w:t>
      </w:r>
      <w:proofErr w:type="spellStart"/>
      <w:r w:rsidRPr="009437A4">
        <w:rPr>
          <w:rFonts w:ascii="Times New Roman" w:hAnsi="Times New Roman"/>
          <w:lang w:val="es-PA"/>
        </w:rPr>
        <w:t>trav</w:t>
      </w:r>
      <w:r w:rsidRPr="009437A4">
        <w:rPr>
          <w:rFonts w:ascii="Times New Roman" w:hAnsi="Times New Roman"/>
        </w:rPr>
        <w:t>és</w:t>
      </w:r>
      <w:proofErr w:type="spellEnd"/>
      <w:r w:rsidRPr="009437A4">
        <w:rPr>
          <w:rFonts w:ascii="Times New Roman" w:hAnsi="Times New Roman"/>
        </w:rPr>
        <w:t xml:space="preserve"> del fortalecimiento</w:t>
      </w:r>
      <w:r w:rsidRPr="009437A4">
        <w:rPr>
          <w:rFonts w:ascii="Times New Roman" w:hAnsi="Times New Roman"/>
          <w:szCs w:val="22"/>
        </w:rPr>
        <w:t xml:space="preserve"> </w:t>
      </w:r>
      <w:r w:rsidRPr="009437A4">
        <w:rPr>
          <w:rFonts w:ascii="Times New Roman" w:hAnsi="Times New Roman"/>
          <w:lang w:val="es-PA"/>
        </w:rPr>
        <w:t>de</w:t>
      </w:r>
      <w:r w:rsidRPr="009437A4">
        <w:rPr>
          <w:rFonts w:ascii="Times New Roman" w:hAnsi="Times New Roman"/>
          <w:szCs w:val="22"/>
          <w:lang w:val="es-PA"/>
        </w:rPr>
        <w:t xml:space="preserve"> la capacidad de las instituciones públicas </w:t>
      </w:r>
      <w:r w:rsidR="00C03FF3" w:rsidRPr="009437A4">
        <w:rPr>
          <w:rFonts w:ascii="Times New Roman" w:hAnsi="Times New Roman"/>
          <w:szCs w:val="22"/>
          <w:lang w:val="es-PA"/>
        </w:rPr>
        <w:t xml:space="preserve">y las legislaciones nacionales </w:t>
      </w:r>
      <w:r w:rsidRPr="009437A4">
        <w:rPr>
          <w:rFonts w:ascii="Times New Roman" w:hAnsi="Times New Roman"/>
          <w:szCs w:val="22"/>
          <w:lang w:val="es-PA"/>
        </w:rPr>
        <w:t>para</w:t>
      </w:r>
      <w:r w:rsidRPr="00C03FF3">
        <w:rPr>
          <w:rFonts w:ascii="Times New Roman" w:hAnsi="Times New Roman"/>
          <w:szCs w:val="22"/>
          <w:lang w:val="es-PA"/>
        </w:rPr>
        <w:t xml:space="preserve"> </w:t>
      </w:r>
      <w:r w:rsidRPr="00A56055">
        <w:rPr>
          <w:rFonts w:ascii="Times New Roman" w:hAnsi="Times New Roman"/>
          <w:lang w:val="es-PA"/>
        </w:rPr>
        <w:t>prevenir</w:t>
      </w:r>
      <w:r w:rsidR="00A56055">
        <w:rPr>
          <w:rFonts w:ascii="Times New Roman" w:hAnsi="Times New Roman"/>
          <w:szCs w:val="22"/>
          <w:lang w:val="es-PA"/>
        </w:rPr>
        <w:t>,</w:t>
      </w:r>
      <w:r w:rsidRPr="00C03FF3">
        <w:rPr>
          <w:rFonts w:ascii="Times New Roman" w:hAnsi="Times New Roman"/>
          <w:szCs w:val="22"/>
          <w:lang w:val="es-PA"/>
        </w:rPr>
        <w:t xml:space="preserve"> abordar, </w:t>
      </w:r>
      <w:r w:rsidR="001322D9" w:rsidRPr="00C03FF3">
        <w:rPr>
          <w:rFonts w:ascii="Times New Roman" w:hAnsi="Times New Roman"/>
          <w:lang w:val="es-PA"/>
        </w:rPr>
        <w:t>combatir,</w:t>
      </w:r>
      <w:r w:rsidR="001322D9" w:rsidRPr="00C03FF3">
        <w:rPr>
          <w:rFonts w:ascii="Times New Roman" w:hAnsi="Times New Roman"/>
          <w:szCs w:val="22"/>
          <w:lang w:val="es-PA"/>
        </w:rPr>
        <w:t xml:space="preserve"> </w:t>
      </w:r>
      <w:r w:rsidRPr="00C03FF3">
        <w:rPr>
          <w:rFonts w:ascii="Times New Roman" w:hAnsi="Times New Roman"/>
          <w:szCs w:val="22"/>
          <w:lang w:val="es-PA"/>
        </w:rPr>
        <w:t>desorganizar y reducir la delincuencia organizada</w:t>
      </w:r>
      <w:r w:rsidR="00BC3FEC">
        <w:rPr>
          <w:rFonts w:ascii="Times New Roman" w:hAnsi="Times New Roman"/>
          <w:szCs w:val="22"/>
          <w:lang w:val="es-PA"/>
        </w:rPr>
        <w:t xml:space="preserve"> </w:t>
      </w:r>
      <w:r w:rsidRPr="00C03FF3">
        <w:rPr>
          <w:rFonts w:ascii="Times New Roman" w:hAnsi="Times New Roman"/>
          <w:szCs w:val="22"/>
          <w:lang w:val="es-PA"/>
        </w:rPr>
        <w:t xml:space="preserve">de manera efectiva. </w:t>
      </w:r>
      <w:r w:rsidR="003C1AA6" w:rsidRPr="00C03FF3">
        <w:rPr>
          <w:rFonts w:ascii="Times New Roman" w:hAnsi="Times New Roman"/>
          <w:szCs w:val="22"/>
          <w:lang w:val="es-PA"/>
        </w:rPr>
        <w:t xml:space="preserve"> </w:t>
      </w:r>
    </w:p>
    <w:p w14:paraId="04CB8BF2" w14:textId="6702326B" w:rsidR="00933BBD" w:rsidRPr="00C03FF3" w:rsidRDefault="00933BBD" w:rsidP="00933BBD">
      <w:pPr>
        <w:pStyle w:val="ListParagraph"/>
        <w:widowControl/>
        <w:numPr>
          <w:ilvl w:val="0"/>
          <w:numId w:val="14"/>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Desarrollar </w:t>
      </w:r>
      <w:r w:rsidR="00460181" w:rsidRPr="00C03FF3">
        <w:rPr>
          <w:rFonts w:ascii="Times New Roman" w:hAnsi="Times New Roman"/>
          <w:szCs w:val="22"/>
          <w:lang w:val="es-PA"/>
        </w:rPr>
        <w:t xml:space="preserve">y </w:t>
      </w:r>
      <w:r w:rsidRPr="00C03FF3">
        <w:rPr>
          <w:rFonts w:ascii="Times New Roman" w:hAnsi="Times New Roman"/>
          <w:szCs w:val="22"/>
          <w:lang w:val="es-PA"/>
        </w:rPr>
        <w:t xml:space="preserve">fortalecer la capacidad de </w:t>
      </w:r>
      <w:r w:rsidR="00460181" w:rsidRPr="00C03FF3">
        <w:rPr>
          <w:rFonts w:ascii="Times New Roman" w:hAnsi="Times New Roman"/>
          <w:szCs w:val="22"/>
          <w:lang w:val="es-PA"/>
        </w:rPr>
        <w:t>los Estados miembros para diagnosticar y evaluar la amenaza, recopilando y analizando</w:t>
      </w:r>
      <w:r w:rsidRPr="00C03FF3">
        <w:rPr>
          <w:rFonts w:ascii="Times New Roman" w:hAnsi="Times New Roman"/>
          <w:szCs w:val="22"/>
          <w:lang w:val="es-PA"/>
        </w:rPr>
        <w:t xml:space="preserve"> datos para aportar información al desarrollo y la implementación de políticas con base empírica a fin de abordar la delincuencia organizada transnacional de manera efectiva</w:t>
      </w:r>
      <w:r w:rsidRPr="00C03FF3">
        <w:rPr>
          <w:rFonts w:ascii="Times New Roman" w:hAnsi="Times New Roman"/>
          <w:lang w:val="es-PA"/>
        </w:rPr>
        <w:t xml:space="preserve">, para permitir </w:t>
      </w:r>
      <w:r w:rsidRPr="00C03FF3">
        <w:rPr>
          <w:rFonts w:ascii="Times New Roman" w:hAnsi="Times New Roman"/>
          <w:szCs w:val="22"/>
          <w:lang w:val="es-PA"/>
        </w:rPr>
        <w:t>resultados y efectos medibles.</w:t>
      </w:r>
    </w:p>
    <w:p w14:paraId="0FC4848E" w14:textId="389116DF" w:rsidR="00933BBD" w:rsidRDefault="00933BBD" w:rsidP="00D02603">
      <w:pPr>
        <w:pStyle w:val="ListParagraph"/>
        <w:widowControl/>
        <w:numPr>
          <w:ilvl w:val="0"/>
          <w:numId w:val="14"/>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Promover la </w:t>
      </w:r>
      <w:r w:rsidRPr="005923B3">
        <w:rPr>
          <w:rFonts w:ascii="Times New Roman" w:hAnsi="Times New Roman"/>
          <w:szCs w:val="22"/>
          <w:lang w:val="es-PA"/>
        </w:rPr>
        <w:t>cooperación intersect</w:t>
      </w:r>
      <w:r w:rsidRPr="007446AB">
        <w:rPr>
          <w:rFonts w:ascii="Times New Roman" w:hAnsi="Times New Roman"/>
          <w:szCs w:val="22"/>
          <w:lang w:val="es-PA"/>
        </w:rPr>
        <w:t>orial</w:t>
      </w:r>
      <w:r w:rsidR="00BC3FEC" w:rsidRPr="007446AB">
        <w:rPr>
          <w:rFonts w:ascii="Times New Roman" w:hAnsi="Times New Roman"/>
          <w:szCs w:val="22"/>
          <w:lang w:val="es-PA"/>
        </w:rPr>
        <w:t>,</w:t>
      </w:r>
      <w:r w:rsidR="00191A99" w:rsidRPr="007446AB">
        <w:rPr>
          <w:rFonts w:ascii="Times New Roman" w:hAnsi="Times New Roman"/>
          <w:szCs w:val="22"/>
          <w:lang w:val="es-PA"/>
        </w:rPr>
        <w:t xml:space="preserve"> </w:t>
      </w:r>
      <w:r w:rsidR="00CB5C50" w:rsidRPr="007446AB">
        <w:rPr>
          <w:rFonts w:ascii="Times New Roman" w:hAnsi="Times New Roman"/>
          <w:bCs/>
          <w:szCs w:val="22"/>
          <w:lang w:val="es-PA"/>
        </w:rPr>
        <w:t xml:space="preserve">para </w:t>
      </w:r>
      <w:r w:rsidR="00A56055" w:rsidRPr="007446AB">
        <w:rPr>
          <w:rFonts w:ascii="Times New Roman" w:hAnsi="Times New Roman"/>
          <w:bCs/>
          <w:szCs w:val="22"/>
          <w:lang w:val="es-PA"/>
        </w:rPr>
        <w:t>promov</w:t>
      </w:r>
      <w:r w:rsidR="00CB5C50" w:rsidRPr="007446AB">
        <w:rPr>
          <w:rFonts w:ascii="Times New Roman" w:hAnsi="Times New Roman"/>
          <w:bCs/>
          <w:szCs w:val="22"/>
          <w:lang w:val="es-PA"/>
        </w:rPr>
        <w:t>er</w:t>
      </w:r>
      <w:r w:rsidR="00A56055" w:rsidRPr="007446AB">
        <w:rPr>
          <w:rFonts w:ascii="Times New Roman" w:hAnsi="Times New Roman"/>
          <w:bCs/>
          <w:szCs w:val="22"/>
          <w:lang w:val="es-PA"/>
        </w:rPr>
        <w:t xml:space="preserve"> </w:t>
      </w:r>
      <w:r w:rsidR="00E97CBE" w:rsidRPr="007446AB">
        <w:rPr>
          <w:rFonts w:ascii="Times New Roman" w:hAnsi="Times New Roman"/>
          <w:bCs/>
          <w:szCs w:val="22"/>
          <w:lang w:val="es-PA"/>
        </w:rPr>
        <w:t>la seguridad ciudadana</w:t>
      </w:r>
      <w:r w:rsidR="00A56055" w:rsidRPr="007446AB">
        <w:rPr>
          <w:rFonts w:ascii="Times New Roman" w:hAnsi="Times New Roman"/>
          <w:bCs/>
          <w:szCs w:val="22"/>
          <w:lang w:val="es-PA"/>
        </w:rPr>
        <w:t>,</w:t>
      </w:r>
      <w:r w:rsidR="00E97CBE" w:rsidRPr="00B25611">
        <w:rPr>
          <w:rFonts w:ascii="Times New Roman" w:hAnsi="Times New Roman"/>
          <w:szCs w:val="22"/>
          <w:lang w:val="es-PA"/>
        </w:rPr>
        <w:t xml:space="preserve"> </w:t>
      </w:r>
      <w:r w:rsidRPr="00B25611">
        <w:rPr>
          <w:rFonts w:ascii="Times New Roman" w:hAnsi="Times New Roman"/>
          <w:szCs w:val="22"/>
          <w:lang w:val="es-PA"/>
        </w:rPr>
        <w:t>c</w:t>
      </w:r>
      <w:r w:rsidRPr="005923B3">
        <w:rPr>
          <w:rFonts w:ascii="Times New Roman" w:hAnsi="Times New Roman"/>
          <w:szCs w:val="22"/>
          <w:lang w:val="es-PA"/>
        </w:rPr>
        <w:t>on el sector privado,</w:t>
      </w:r>
      <w:r w:rsidR="00B928D9" w:rsidRPr="005923B3">
        <w:rPr>
          <w:rFonts w:ascii="Times New Roman" w:hAnsi="Times New Roman"/>
          <w:szCs w:val="22"/>
          <w:lang w:val="es-PA"/>
        </w:rPr>
        <w:t xml:space="preserve"> </w:t>
      </w:r>
      <w:r w:rsidR="004D7C33" w:rsidRPr="005923B3">
        <w:rPr>
          <w:rFonts w:ascii="Times New Roman" w:hAnsi="Times New Roman"/>
          <w:szCs w:val="22"/>
          <w:lang w:val="es-PA"/>
        </w:rPr>
        <w:t xml:space="preserve">la academia, </w:t>
      </w:r>
      <w:r w:rsidR="00431560" w:rsidRPr="005923B3">
        <w:rPr>
          <w:rFonts w:ascii="Times New Roman" w:hAnsi="Times New Roman"/>
          <w:lang w:val="es-PA"/>
        </w:rPr>
        <w:t xml:space="preserve">las </w:t>
      </w:r>
      <w:r w:rsidRPr="005923B3">
        <w:rPr>
          <w:rFonts w:ascii="Times New Roman" w:hAnsi="Times New Roman"/>
          <w:lang w:val="es-PA"/>
        </w:rPr>
        <w:t>organizaciones no gubernamentales</w:t>
      </w:r>
      <w:r w:rsidR="00BC3FEC" w:rsidRPr="005923B3">
        <w:rPr>
          <w:rFonts w:ascii="Times New Roman" w:hAnsi="Times New Roman"/>
          <w:lang w:val="es-PA"/>
        </w:rPr>
        <w:t>,</w:t>
      </w:r>
      <w:r w:rsidR="00B16E59" w:rsidRPr="005923B3">
        <w:rPr>
          <w:rFonts w:ascii="Times New Roman" w:hAnsi="Times New Roman"/>
          <w:szCs w:val="22"/>
          <w:lang w:val="es-PA"/>
        </w:rPr>
        <w:t xml:space="preserve"> los</w:t>
      </w:r>
      <w:r w:rsidR="00B16E59" w:rsidRPr="00BC3FEC">
        <w:rPr>
          <w:rFonts w:ascii="Times New Roman" w:hAnsi="Times New Roman"/>
          <w:szCs w:val="22"/>
          <w:lang w:val="es-PA"/>
        </w:rPr>
        <w:t xml:space="preserve"> sobrevivientes</w:t>
      </w:r>
      <w:r w:rsidR="00B16E59">
        <w:rPr>
          <w:rFonts w:ascii="Times New Roman" w:hAnsi="Times New Roman"/>
          <w:b/>
          <w:bCs/>
          <w:szCs w:val="22"/>
          <w:lang w:val="es-PA"/>
        </w:rPr>
        <w:t xml:space="preserve"> </w:t>
      </w:r>
      <w:r w:rsidRPr="00C03FF3">
        <w:rPr>
          <w:rFonts w:ascii="Times New Roman" w:hAnsi="Times New Roman"/>
          <w:szCs w:val="22"/>
          <w:lang w:val="es-PA"/>
        </w:rPr>
        <w:t xml:space="preserve">y la sociedad civil para </w:t>
      </w:r>
      <w:r w:rsidR="004F2519" w:rsidRPr="00C03FF3">
        <w:rPr>
          <w:rFonts w:ascii="Times New Roman" w:hAnsi="Times New Roman"/>
          <w:szCs w:val="22"/>
          <w:lang w:val="es-PA"/>
        </w:rPr>
        <w:t xml:space="preserve">contribuir a la mejora de las intervenciones gubernamentales </w:t>
      </w:r>
      <w:r w:rsidRPr="00C03FF3">
        <w:rPr>
          <w:rFonts w:ascii="Times New Roman" w:hAnsi="Times New Roman"/>
          <w:szCs w:val="22"/>
          <w:lang w:val="es-PA"/>
        </w:rPr>
        <w:t>y fortalecer la cohesión y resiliencia sociales.</w:t>
      </w:r>
    </w:p>
    <w:p w14:paraId="011DF390" w14:textId="5757BC8B" w:rsidR="00933BBD" w:rsidRPr="00C03FF3" w:rsidRDefault="00933BBD" w:rsidP="00933BBD">
      <w:pPr>
        <w:pStyle w:val="ListParagraph"/>
        <w:widowControl/>
        <w:numPr>
          <w:ilvl w:val="0"/>
          <w:numId w:val="14"/>
        </w:numPr>
        <w:spacing w:line="256" w:lineRule="auto"/>
        <w:ind w:left="1440" w:hanging="720"/>
        <w:contextualSpacing/>
        <w:rPr>
          <w:rFonts w:ascii="Times New Roman" w:hAnsi="Times New Roman"/>
          <w:szCs w:val="22"/>
          <w:lang w:val="es-PA"/>
        </w:rPr>
      </w:pPr>
      <w:r w:rsidRPr="005923B3">
        <w:rPr>
          <w:rFonts w:ascii="Times New Roman" w:hAnsi="Times New Roman"/>
          <w:szCs w:val="22"/>
          <w:lang w:val="es-PA"/>
        </w:rPr>
        <w:t xml:space="preserve">Construir </w:t>
      </w:r>
      <w:r w:rsidR="003A3506" w:rsidRPr="005923B3">
        <w:rPr>
          <w:rFonts w:ascii="Times New Roman" w:hAnsi="Times New Roman"/>
          <w:szCs w:val="22"/>
          <w:lang w:val="es-PA"/>
        </w:rPr>
        <w:t>alianzas</w:t>
      </w:r>
      <w:r w:rsidR="009437A4">
        <w:rPr>
          <w:rFonts w:ascii="Times New Roman" w:hAnsi="Times New Roman"/>
          <w:szCs w:val="22"/>
          <w:lang w:val="es-PA"/>
        </w:rPr>
        <w:t>,</w:t>
      </w:r>
      <w:r w:rsidR="003A3506" w:rsidRPr="005923B3">
        <w:rPr>
          <w:rFonts w:ascii="Times New Roman" w:hAnsi="Times New Roman"/>
          <w:szCs w:val="22"/>
          <w:lang w:val="es-PA"/>
        </w:rPr>
        <w:t xml:space="preserve"> </w:t>
      </w:r>
      <w:r w:rsidR="00C03FF3" w:rsidRPr="005923B3">
        <w:rPr>
          <w:rFonts w:ascii="Times New Roman" w:hAnsi="Times New Roman"/>
          <w:szCs w:val="22"/>
          <w:lang w:val="es-PA"/>
        </w:rPr>
        <w:t>desde los diferentes órganos del Estado</w:t>
      </w:r>
      <w:r w:rsidR="009437A4">
        <w:rPr>
          <w:rFonts w:ascii="Times New Roman" w:hAnsi="Times New Roman"/>
          <w:szCs w:val="22"/>
          <w:lang w:val="es-PA"/>
        </w:rPr>
        <w:t>,</w:t>
      </w:r>
      <w:r w:rsidR="00C03FF3" w:rsidRPr="005923B3">
        <w:rPr>
          <w:rFonts w:ascii="Times New Roman" w:hAnsi="Times New Roman"/>
          <w:szCs w:val="22"/>
          <w:lang w:val="es-PA"/>
        </w:rPr>
        <w:t xml:space="preserve"> </w:t>
      </w:r>
      <w:r w:rsidRPr="005923B3">
        <w:rPr>
          <w:rFonts w:ascii="Times New Roman" w:hAnsi="Times New Roman"/>
          <w:szCs w:val="22"/>
          <w:lang w:val="es-PA"/>
        </w:rPr>
        <w:t xml:space="preserve">con </w:t>
      </w:r>
      <w:r w:rsidR="00C03FF3" w:rsidRPr="005923B3">
        <w:rPr>
          <w:rFonts w:ascii="Times New Roman" w:hAnsi="Times New Roman"/>
          <w:szCs w:val="22"/>
          <w:lang w:val="es-PA"/>
        </w:rPr>
        <w:t xml:space="preserve">todos los sectores de la sociedad </w:t>
      </w:r>
      <w:r w:rsidRPr="005923B3">
        <w:rPr>
          <w:rFonts w:ascii="Times New Roman" w:hAnsi="Times New Roman"/>
          <w:szCs w:val="22"/>
          <w:lang w:val="es-PA"/>
        </w:rPr>
        <w:t>para promover una respuesta nacional unificada ante los actores de la delincuencia organiz</w:t>
      </w:r>
      <w:r w:rsidRPr="00C03FF3">
        <w:rPr>
          <w:rFonts w:ascii="Times New Roman" w:hAnsi="Times New Roman"/>
          <w:szCs w:val="22"/>
          <w:lang w:val="es-PA"/>
        </w:rPr>
        <w:t>ada transnacional, las actividades ilegales y las economías ilícitas que los mismos crean.</w:t>
      </w:r>
    </w:p>
    <w:p w14:paraId="751582B9" w14:textId="3E5759E2" w:rsidR="00933BBD" w:rsidRDefault="00933BBD" w:rsidP="00933BBD">
      <w:pPr>
        <w:pStyle w:val="ListParagraph"/>
        <w:widowControl/>
        <w:numPr>
          <w:ilvl w:val="0"/>
          <w:numId w:val="14"/>
        </w:numPr>
        <w:spacing w:line="256" w:lineRule="auto"/>
        <w:ind w:left="1440" w:hanging="720"/>
        <w:contextualSpacing/>
        <w:rPr>
          <w:rFonts w:ascii="Times New Roman" w:hAnsi="Times New Roman"/>
          <w:szCs w:val="22"/>
          <w:lang w:val="es-PA"/>
        </w:rPr>
      </w:pPr>
      <w:r w:rsidRPr="00BD3169">
        <w:rPr>
          <w:rFonts w:ascii="Times New Roman" w:hAnsi="Times New Roman"/>
          <w:szCs w:val="22"/>
          <w:lang w:val="es-PA"/>
        </w:rPr>
        <w:t xml:space="preserve">Promover y fortalecer la cooperación y el intercambio de información en los ámbitos nacional, subregional, regional e internacional para combatir eficazmente a los grupos delictivos organizados que operan en múltiples jurisdicciones. </w:t>
      </w:r>
    </w:p>
    <w:p w14:paraId="7A4EE398" w14:textId="221A78C0" w:rsidR="003D2C8F" w:rsidRPr="00BD3169" w:rsidRDefault="007E30CB" w:rsidP="00BD3169">
      <w:pPr>
        <w:pStyle w:val="ListParagraph"/>
        <w:widowControl/>
        <w:numPr>
          <w:ilvl w:val="0"/>
          <w:numId w:val="14"/>
        </w:numPr>
        <w:spacing w:line="256" w:lineRule="auto"/>
        <w:ind w:left="1440" w:hanging="720"/>
        <w:contextualSpacing/>
        <w:rPr>
          <w:rFonts w:ascii="Times New Roman" w:hAnsi="Times New Roman"/>
          <w:szCs w:val="22"/>
          <w:lang w:val="es-PA"/>
        </w:rPr>
      </w:pPr>
      <w:r w:rsidRPr="004E1DAF">
        <w:rPr>
          <w:rFonts w:ascii="Times New Roman" w:hAnsi="Times New Roman"/>
          <w:szCs w:val="22"/>
          <w:lang w:val="es-VE"/>
        </w:rPr>
        <w:lastRenderedPageBreak/>
        <w:t>Desarrollar y fortalecer las capacidades de los Estados beneficiarios a fin de prevenir y responder a las amenazas que plantea la delincuencia organizada transnacional</w:t>
      </w:r>
      <w:r w:rsidR="003D2C8F" w:rsidRPr="004E1DAF">
        <w:rPr>
          <w:rFonts w:ascii="Times New Roman" w:hAnsi="Times New Roman"/>
          <w:szCs w:val="22"/>
          <w:lang w:val="es-VE"/>
        </w:rPr>
        <w:t>.</w:t>
      </w:r>
    </w:p>
    <w:p w14:paraId="5544E1E0" w14:textId="5BBCEFF8" w:rsidR="00933BBD" w:rsidRDefault="00933BBD" w:rsidP="00933BBD">
      <w:pPr>
        <w:pStyle w:val="ListParagraph"/>
        <w:widowControl/>
        <w:numPr>
          <w:ilvl w:val="0"/>
          <w:numId w:val="14"/>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Desarrollar y optimizar mecanismos para prevenir, identificar, disuadir y desarticular a la delincuencia organizada.</w:t>
      </w:r>
    </w:p>
    <w:p w14:paraId="4E9A3EB1" w14:textId="36BD8E3E" w:rsidR="00933BBD" w:rsidRPr="00C03FF3" w:rsidRDefault="00933BBD" w:rsidP="00933BBD">
      <w:pPr>
        <w:pStyle w:val="ListParagraph"/>
        <w:widowControl/>
        <w:numPr>
          <w:ilvl w:val="0"/>
          <w:numId w:val="14"/>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Fortalecer las capacidades nacionales para la focalización y persecución </w:t>
      </w:r>
      <w:r w:rsidRPr="00C03FF3">
        <w:rPr>
          <w:rFonts w:ascii="Times New Roman" w:hAnsi="Times New Roman"/>
          <w:lang w:val="es-PA"/>
        </w:rPr>
        <w:t>del financiamiento delictiv</w:t>
      </w:r>
      <w:r w:rsidR="00A47224" w:rsidRPr="00C03FF3">
        <w:rPr>
          <w:rFonts w:ascii="Times New Roman" w:hAnsi="Times New Roman"/>
          <w:lang w:val="es-PA"/>
        </w:rPr>
        <w:t>o</w:t>
      </w:r>
      <w:r w:rsidRPr="00C03FF3">
        <w:rPr>
          <w:rFonts w:ascii="Times New Roman" w:hAnsi="Times New Roman"/>
          <w:szCs w:val="22"/>
          <w:lang w:val="es-PA"/>
        </w:rPr>
        <w:t xml:space="preserve"> con el objetivo de interrumpir las operaciones delictivas y negar a los delincuentes el uso del producto del delito.</w:t>
      </w:r>
    </w:p>
    <w:p w14:paraId="0E63F0DC" w14:textId="13506892" w:rsidR="00933BBD" w:rsidRPr="00C03FF3" w:rsidRDefault="00933BBD" w:rsidP="00933BBD">
      <w:pPr>
        <w:pStyle w:val="ListParagraph"/>
        <w:widowControl/>
        <w:numPr>
          <w:ilvl w:val="0"/>
          <w:numId w:val="14"/>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Fortalecer las capacidades del poder judicial y de los organismos encargados de la aplicación de la ley</w:t>
      </w:r>
      <w:r w:rsidR="0047156E">
        <w:rPr>
          <w:rFonts w:ascii="Times New Roman" w:hAnsi="Times New Roman"/>
          <w:b/>
          <w:bCs/>
          <w:szCs w:val="22"/>
          <w:lang w:val="es-PA"/>
        </w:rPr>
        <w:t xml:space="preserve"> </w:t>
      </w:r>
      <w:r w:rsidRPr="00C03FF3">
        <w:rPr>
          <w:rFonts w:ascii="Times New Roman" w:hAnsi="Times New Roman"/>
          <w:szCs w:val="22"/>
          <w:lang w:val="es-PA"/>
        </w:rPr>
        <w:t>para investigar y procesar judicialmente a la delincuencia organizada transnacional de manera eficaz.</w:t>
      </w:r>
    </w:p>
    <w:p w14:paraId="2B1BD242" w14:textId="77777777" w:rsidR="00933BBD" w:rsidRPr="00C03FF3" w:rsidRDefault="00933BBD" w:rsidP="00933BBD">
      <w:pPr>
        <w:pStyle w:val="ListParagraph"/>
        <w:widowControl/>
        <w:numPr>
          <w:ilvl w:val="0"/>
          <w:numId w:val="14"/>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Aplicar medidas para prevenir la corrupción, infiltración, cooptación y confabulación con instituciones públicas por parte de la delincuencia organizada.</w:t>
      </w:r>
    </w:p>
    <w:p w14:paraId="655DF981" w14:textId="381B4770" w:rsidR="00933BBD" w:rsidRPr="00C03FF3" w:rsidRDefault="00933BBD" w:rsidP="00933BBD">
      <w:pPr>
        <w:pStyle w:val="ListParagraph"/>
        <w:widowControl/>
        <w:numPr>
          <w:ilvl w:val="0"/>
          <w:numId w:val="14"/>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Incorporar </w:t>
      </w:r>
      <w:r w:rsidRPr="00C03FF3">
        <w:rPr>
          <w:rFonts w:ascii="Times New Roman" w:hAnsi="Times New Roman"/>
          <w:lang w:val="es-PA"/>
        </w:rPr>
        <w:t xml:space="preserve">una perspectiva de </w:t>
      </w:r>
      <w:r w:rsidRPr="00C03FF3">
        <w:rPr>
          <w:rFonts w:ascii="Times New Roman" w:hAnsi="Times New Roman"/>
          <w:szCs w:val="22"/>
          <w:lang w:val="es-PA"/>
        </w:rPr>
        <w:t>derechos humanos y de género en los programas, proyectos y actividades, así como en las entidades y organizaciones que abordan la delincuencia organizada transnacional.</w:t>
      </w:r>
    </w:p>
    <w:p w14:paraId="6139A74C" w14:textId="294CA1B4" w:rsidR="00933BBD" w:rsidRPr="00C03FF3" w:rsidRDefault="00933BBD" w:rsidP="00933BBD">
      <w:pPr>
        <w:pStyle w:val="ListParagraph"/>
        <w:widowControl/>
        <w:numPr>
          <w:ilvl w:val="0"/>
          <w:numId w:val="14"/>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Adoptar políticas e implementar medidas</w:t>
      </w:r>
      <w:r w:rsidR="004D7C33" w:rsidRPr="00C03FF3">
        <w:rPr>
          <w:rFonts w:ascii="Times New Roman" w:hAnsi="Times New Roman"/>
          <w:szCs w:val="22"/>
          <w:lang w:val="es-PA"/>
        </w:rPr>
        <w:t xml:space="preserve"> </w:t>
      </w:r>
      <w:r w:rsidR="00C610FC" w:rsidRPr="00C03FF3">
        <w:rPr>
          <w:rFonts w:ascii="Times New Roman" w:hAnsi="Times New Roman"/>
          <w:szCs w:val="22"/>
          <w:lang w:val="es-PA"/>
        </w:rPr>
        <w:t xml:space="preserve">que prioricen la conjunción de los esfuerzos de seguridad pública y la generación de oportunidades para el fomento del bienestar </w:t>
      </w:r>
      <w:r w:rsidRPr="00C03FF3">
        <w:rPr>
          <w:rFonts w:ascii="Times New Roman" w:hAnsi="Times New Roman"/>
          <w:szCs w:val="22"/>
          <w:lang w:val="es-PA"/>
        </w:rPr>
        <w:t>para proteger a las personas y comunidades marginadas y vulnerables de la violencia,</w:t>
      </w:r>
      <w:r w:rsidR="00B84F29" w:rsidRPr="00C03FF3">
        <w:rPr>
          <w:rFonts w:ascii="Times New Roman" w:hAnsi="Times New Roman"/>
          <w:szCs w:val="22"/>
          <w:lang w:val="es-PA"/>
        </w:rPr>
        <w:t xml:space="preserve"> </w:t>
      </w:r>
      <w:r w:rsidR="00E361DB" w:rsidRPr="00C03FF3">
        <w:rPr>
          <w:rFonts w:ascii="Times New Roman" w:hAnsi="Times New Roman"/>
          <w:szCs w:val="22"/>
          <w:lang w:val="es-PA"/>
        </w:rPr>
        <w:t xml:space="preserve">de </w:t>
      </w:r>
      <w:r w:rsidRPr="00C03FF3">
        <w:rPr>
          <w:rFonts w:ascii="Times New Roman" w:hAnsi="Times New Roman"/>
          <w:szCs w:val="22"/>
          <w:lang w:val="es-PA"/>
        </w:rPr>
        <w:t xml:space="preserve">la victimización y </w:t>
      </w:r>
      <w:r w:rsidR="00AC5841" w:rsidRPr="00C03FF3">
        <w:rPr>
          <w:rFonts w:ascii="Times New Roman" w:hAnsi="Times New Roman"/>
          <w:szCs w:val="22"/>
          <w:lang w:val="es-PA"/>
        </w:rPr>
        <w:t>del reclutamiento</w:t>
      </w:r>
      <w:r w:rsidRPr="00C03FF3">
        <w:rPr>
          <w:rFonts w:ascii="Times New Roman" w:hAnsi="Times New Roman"/>
          <w:szCs w:val="22"/>
          <w:lang w:val="es-PA"/>
        </w:rPr>
        <w:t xml:space="preserve"> por parte de grupos delictivos organizados.</w:t>
      </w:r>
    </w:p>
    <w:p w14:paraId="7BD3FBDA" w14:textId="1595D874" w:rsidR="00933BBD" w:rsidRPr="00C03FF3" w:rsidRDefault="00933BBD" w:rsidP="00933BBD">
      <w:pPr>
        <w:pStyle w:val="ListParagraph"/>
        <w:widowControl/>
        <w:numPr>
          <w:ilvl w:val="0"/>
          <w:numId w:val="14"/>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Implementar programas que reintegren eficazmente a los infractores</w:t>
      </w:r>
      <w:r w:rsidR="00B84F29" w:rsidRPr="00C03FF3">
        <w:rPr>
          <w:rFonts w:ascii="Times New Roman" w:hAnsi="Times New Roman"/>
          <w:szCs w:val="22"/>
          <w:lang w:val="es-PA"/>
        </w:rPr>
        <w:t xml:space="preserve"> </w:t>
      </w:r>
      <w:r w:rsidR="00D6356D" w:rsidRPr="00C03FF3">
        <w:rPr>
          <w:rFonts w:ascii="Times New Roman" w:hAnsi="Times New Roman"/>
          <w:szCs w:val="22"/>
          <w:lang w:val="es-PA"/>
        </w:rPr>
        <w:t>bajo una perspectiva de respeto a las libertades y a los derechos humanos</w:t>
      </w:r>
      <w:r w:rsidRPr="00C03FF3">
        <w:rPr>
          <w:rFonts w:ascii="Times New Roman" w:hAnsi="Times New Roman"/>
          <w:szCs w:val="22"/>
          <w:lang w:val="es-PA"/>
        </w:rPr>
        <w:t>, prevengan la reincidencia, quiebren los vínculos delictivos y reduzcan los factores de riesgo.</w:t>
      </w:r>
    </w:p>
    <w:p w14:paraId="4D2229B1" w14:textId="7D91FE12" w:rsidR="00A51C9E" w:rsidRPr="00C03FF3" w:rsidRDefault="00A51C9E" w:rsidP="00CA4949">
      <w:pPr>
        <w:rPr>
          <w:rFonts w:ascii="Times New Roman" w:hAnsi="Times New Roman"/>
          <w:szCs w:val="22"/>
          <w:lang w:val="es-PA"/>
        </w:rPr>
      </w:pPr>
    </w:p>
    <w:p w14:paraId="2DB435C1" w14:textId="6DECAC1A" w:rsidR="00FA20C3" w:rsidRPr="00C03FF3" w:rsidRDefault="00004B9E" w:rsidP="00863D9C">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hanging="720"/>
        <w:contextualSpacing/>
        <w:rPr>
          <w:rFonts w:ascii="Times New Roman" w:hAnsi="Times New Roman"/>
          <w:szCs w:val="22"/>
          <w:u w:val="single"/>
          <w:lang w:val="es-PA"/>
        </w:rPr>
      </w:pPr>
      <w:r w:rsidRPr="00C03FF3">
        <w:rPr>
          <w:rFonts w:ascii="Times New Roman" w:hAnsi="Times New Roman"/>
          <w:szCs w:val="22"/>
          <w:u w:val="single"/>
          <w:lang w:val="es-PA"/>
        </w:rPr>
        <w:t>Instrumentos jurídicos</w:t>
      </w:r>
    </w:p>
    <w:p w14:paraId="6930EAC9" w14:textId="7308CF03" w:rsidR="00C543BB" w:rsidRDefault="00C543BB" w:rsidP="00FA20C3">
      <w:pPr>
        <w:rPr>
          <w:rFonts w:ascii="Times New Roman" w:hAnsi="Times New Roman"/>
          <w:szCs w:val="22"/>
          <w:lang w:val="es-PA"/>
        </w:rPr>
      </w:pPr>
    </w:p>
    <w:p w14:paraId="43F4B896" w14:textId="5224E4D7" w:rsidR="00F128AB" w:rsidRPr="00C03FF3" w:rsidRDefault="00B25611" w:rsidP="00F128AB">
      <w:pPr>
        <w:rPr>
          <w:rFonts w:ascii="Times New Roman" w:hAnsi="Times New Roman"/>
          <w:szCs w:val="22"/>
          <w:lang w:val="es-PA"/>
        </w:rPr>
      </w:pPr>
      <w:r>
        <w:rPr>
          <w:rFonts w:ascii="Times New Roman" w:hAnsi="Times New Roman"/>
          <w:szCs w:val="22"/>
          <w:lang w:val="es-PA"/>
        </w:rPr>
        <w:tab/>
      </w:r>
      <w:r w:rsidR="00F128AB" w:rsidRPr="00C03FF3">
        <w:rPr>
          <w:rFonts w:ascii="Times New Roman" w:hAnsi="Times New Roman"/>
          <w:szCs w:val="22"/>
          <w:lang w:val="es-PA"/>
        </w:rPr>
        <w:t>Al enfrentar a la delincuencia</w:t>
      </w:r>
      <w:r w:rsidR="00F128AB" w:rsidRPr="007446AB">
        <w:rPr>
          <w:rFonts w:ascii="Times New Roman" w:hAnsi="Times New Roman"/>
          <w:szCs w:val="22"/>
          <w:lang w:val="es-PA"/>
        </w:rPr>
        <w:t xml:space="preserve"> organizada transnacional, es fundamental que </w:t>
      </w:r>
      <w:r w:rsidR="00F128AB" w:rsidRPr="007446AB">
        <w:rPr>
          <w:rFonts w:ascii="Times New Roman" w:hAnsi="Times New Roman"/>
          <w:bCs/>
          <w:szCs w:val="22"/>
          <w:lang w:val="es-PA"/>
        </w:rPr>
        <w:t xml:space="preserve">los estados consideren realizar </w:t>
      </w:r>
      <w:r w:rsidR="00274F49" w:rsidRPr="007446AB">
        <w:rPr>
          <w:rFonts w:ascii="Times New Roman" w:hAnsi="Times New Roman"/>
          <w:bCs/>
          <w:szCs w:val="22"/>
          <w:lang w:val="es-PA"/>
        </w:rPr>
        <w:t xml:space="preserve">los </w:t>
      </w:r>
      <w:r w:rsidR="00F128AB" w:rsidRPr="007446AB">
        <w:rPr>
          <w:rFonts w:ascii="Times New Roman" w:hAnsi="Times New Roman"/>
          <w:bCs/>
          <w:szCs w:val="22"/>
          <w:lang w:val="es-PA"/>
        </w:rPr>
        <w:t xml:space="preserve">procesos de análisis y reformas </w:t>
      </w:r>
      <w:r w:rsidR="007A58DF" w:rsidRPr="007446AB">
        <w:rPr>
          <w:rFonts w:ascii="Times New Roman" w:hAnsi="Times New Roman"/>
          <w:bCs/>
          <w:szCs w:val="22"/>
          <w:lang w:val="es-PA"/>
        </w:rPr>
        <w:t xml:space="preserve">necesarias </w:t>
      </w:r>
      <w:r w:rsidR="00F128AB" w:rsidRPr="007446AB">
        <w:rPr>
          <w:rFonts w:ascii="Times New Roman" w:hAnsi="Times New Roman"/>
          <w:bCs/>
          <w:szCs w:val="22"/>
          <w:lang w:val="es-PA"/>
        </w:rPr>
        <w:t>a las normativas pena</w:t>
      </w:r>
      <w:r w:rsidR="007446AB" w:rsidRPr="007446AB">
        <w:rPr>
          <w:rFonts w:ascii="Times New Roman" w:hAnsi="Times New Roman"/>
          <w:bCs/>
          <w:szCs w:val="22"/>
          <w:lang w:val="es-PA"/>
        </w:rPr>
        <w:t>les con el propósito que, tanto</w:t>
      </w:r>
      <w:r w:rsidR="00F128AB">
        <w:rPr>
          <w:rFonts w:ascii="Times New Roman" w:hAnsi="Times New Roman"/>
          <w:b/>
          <w:bCs/>
          <w:szCs w:val="22"/>
          <w:lang w:val="es-PA"/>
        </w:rPr>
        <w:t xml:space="preserve"> </w:t>
      </w:r>
      <w:r w:rsidR="00F128AB" w:rsidRPr="00C03FF3">
        <w:rPr>
          <w:rFonts w:ascii="Times New Roman" w:hAnsi="Times New Roman"/>
          <w:szCs w:val="22"/>
          <w:lang w:val="es-PA"/>
        </w:rPr>
        <w:t>los sistemas jurídicos nacionales e internacionales estén actualizados y funcionen en armonía para ofrecer las herramientas jurídicas más efectivas que se requieren para abordar las muchas manifestaciones, modalidades y adaptaciones de la delincuencia organizada transnacional que ocurren con frecuencia en múltiples jurisdicciones.</w:t>
      </w:r>
    </w:p>
    <w:p w14:paraId="656A97E1" w14:textId="77777777" w:rsidR="00F128AB" w:rsidRDefault="00F128AB" w:rsidP="00FA20C3">
      <w:pPr>
        <w:rPr>
          <w:rFonts w:ascii="Times New Roman" w:hAnsi="Times New Roman"/>
          <w:szCs w:val="22"/>
          <w:lang w:val="es-PA"/>
        </w:rPr>
      </w:pPr>
    </w:p>
    <w:p w14:paraId="0AD74BDF" w14:textId="665B20F0" w:rsidR="00B72C98" w:rsidRPr="00C03FF3" w:rsidRDefault="00B25611" w:rsidP="00FA20C3">
      <w:pPr>
        <w:rPr>
          <w:rFonts w:ascii="Times New Roman" w:hAnsi="Times New Roman"/>
          <w:szCs w:val="22"/>
          <w:lang w:val="es-PA"/>
        </w:rPr>
      </w:pPr>
      <w:r>
        <w:rPr>
          <w:rFonts w:ascii="Times New Roman" w:hAnsi="Times New Roman"/>
          <w:szCs w:val="22"/>
          <w:lang w:val="es-PA"/>
        </w:rPr>
        <w:tab/>
      </w:r>
      <w:r w:rsidR="00B72C98" w:rsidRPr="00C03FF3">
        <w:rPr>
          <w:rFonts w:ascii="Times New Roman" w:hAnsi="Times New Roman"/>
          <w:szCs w:val="22"/>
          <w:lang w:val="es-PA"/>
        </w:rPr>
        <w:t xml:space="preserve">El Plan de Acción Hemisférico contra la Delincuencia Organizada Transnacional insta a los Estados Miembros a ratificar y/o a </w:t>
      </w:r>
      <w:r w:rsidR="005042A6" w:rsidRPr="00C03FF3">
        <w:rPr>
          <w:rFonts w:ascii="Times New Roman" w:hAnsi="Times New Roman"/>
          <w:szCs w:val="22"/>
          <w:lang w:val="es-PA"/>
        </w:rPr>
        <w:t>adherirse</w:t>
      </w:r>
      <w:r w:rsidR="00B72C98" w:rsidRPr="00C03FF3">
        <w:rPr>
          <w:rFonts w:ascii="Times New Roman" w:hAnsi="Times New Roman"/>
          <w:szCs w:val="22"/>
          <w:lang w:val="es-PA"/>
        </w:rPr>
        <w:t xml:space="preserve">, según corresponda, a los siguientes </w:t>
      </w:r>
      <w:r w:rsidR="00E5660C" w:rsidRPr="00C03FF3">
        <w:rPr>
          <w:rFonts w:ascii="Times New Roman" w:hAnsi="Times New Roman"/>
          <w:szCs w:val="22"/>
          <w:lang w:val="es-PA"/>
        </w:rPr>
        <w:t>instrumentos internacionales y regionales:</w:t>
      </w:r>
    </w:p>
    <w:p w14:paraId="068BE581" w14:textId="77777777" w:rsidR="00655A46" w:rsidRPr="00C03FF3" w:rsidRDefault="00655A46" w:rsidP="00FA20C3">
      <w:pPr>
        <w:rPr>
          <w:rFonts w:ascii="Times New Roman" w:hAnsi="Times New Roman"/>
          <w:szCs w:val="22"/>
          <w:lang w:val="es-PA"/>
        </w:rPr>
      </w:pPr>
    </w:p>
    <w:p w14:paraId="4A77C44D" w14:textId="7C2E94AE" w:rsidR="00055A2D" w:rsidRPr="00C03FF3" w:rsidRDefault="00055A2D" w:rsidP="00055A2D">
      <w:pPr>
        <w:pStyle w:val="ListParagraph"/>
        <w:widowControl/>
        <w:numPr>
          <w:ilvl w:val="0"/>
          <w:numId w:val="15"/>
        </w:numPr>
        <w:tabs>
          <w:tab w:val="clear" w:pos="720"/>
        </w:tabs>
        <w:spacing w:after="160" w:line="256" w:lineRule="auto"/>
        <w:ind w:left="1440" w:hanging="720"/>
        <w:contextualSpacing/>
        <w:rPr>
          <w:rFonts w:ascii="Times New Roman" w:hAnsi="Times New Roman"/>
          <w:szCs w:val="22"/>
          <w:lang w:val="es-PA"/>
        </w:rPr>
      </w:pPr>
      <w:r w:rsidRPr="00C03FF3">
        <w:rPr>
          <w:szCs w:val="22"/>
          <w:lang w:val="es-PA"/>
        </w:rPr>
        <w:t xml:space="preserve">Convención de las Naciones Unidas contra la Delincuencia Organizada Transnacional </w:t>
      </w:r>
      <w:r w:rsidR="00274F49">
        <w:rPr>
          <w:rFonts w:ascii="Times New Roman" w:hAnsi="Times New Roman"/>
          <w:lang w:val="es-PA"/>
        </w:rPr>
        <w:t>(</w:t>
      </w:r>
      <w:proofErr w:type="spellStart"/>
      <w:r w:rsidRPr="00C03FF3">
        <w:rPr>
          <w:lang w:val="es-PA"/>
        </w:rPr>
        <w:t>UNTOC</w:t>
      </w:r>
      <w:proofErr w:type="spellEnd"/>
      <w:r w:rsidR="00274F49">
        <w:rPr>
          <w:lang w:val="es-PA"/>
        </w:rPr>
        <w:t>);</w:t>
      </w:r>
    </w:p>
    <w:p w14:paraId="6FB28A66" w14:textId="5E5458E4" w:rsidR="00055A2D" w:rsidRPr="00C03FF3" w:rsidRDefault="00055A2D" w:rsidP="00055A2D">
      <w:pPr>
        <w:pStyle w:val="ListParagraph"/>
        <w:widowControl/>
        <w:numPr>
          <w:ilvl w:val="0"/>
          <w:numId w:val="15"/>
        </w:numPr>
        <w:tabs>
          <w:tab w:val="clear" w:pos="720"/>
        </w:tabs>
        <w:spacing w:line="256" w:lineRule="auto"/>
        <w:ind w:left="1440" w:hanging="720"/>
        <w:contextualSpacing/>
        <w:rPr>
          <w:rFonts w:ascii="Times New Roman" w:hAnsi="Times New Roman"/>
          <w:szCs w:val="22"/>
          <w:lang w:val="es-PA"/>
        </w:rPr>
      </w:pPr>
      <w:r w:rsidRPr="00C03FF3">
        <w:rPr>
          <w:szCs w:val="22"/>
          <w:lang w:val="es-PA"/>
        </w:rPr>
        <w:t>Protocolo para Prevenir, Reprimir y Sancionar la Trata de Personas, Especialmente Mujeres y Niños</w:t>
      </w:r>
      <w:r w:rsidR="00E5660C" w:rsidRPr="00C03FF3">
        <w:rPr>
          <w:szCs w:val="22"/>
          <w:lang w:val="es-PA"/>
        </w:rPr>
        <w:t>, que complementa la Convención de las Naciones Unidas contra la Delincuencia Organizada Transnacional</w:t>
      </w:r>
      <w:r w:rsidRPr="00C03FF3">
        <w:rPr>
          <w:rFonts w:ascii="Times New Roman" w:hAnsi="Times New Roman"/>
          <w:szCs w:val="22"/>
          <w:lang w:val="es-PA"/>
        </w:rPr>
        <w:t>;</w:t>
      </w:r>
    </w:p>
    <w:p w14:paraId="2F744F63" w14:textId="2D095777" w:rsidR="00055A2D" w:rsidRPr="00C03FF3" w:rsidRDefault="00055A2D" w:rsidP="00055A2D">
      <w:pPr>
        <w:pStyle w:val="ListParagraph"/>
        <w:widowControl/>
        <w:numPr>
          <w:ilvl w:val="0"/>
          <w:numId w:val="15"/>
        </w:numPr>
        <w:tabs>
          <w:tab w:val="clear" w:pos="720"/>
        </w:tabs>
        <w:spacing w:line="256" w:lineRule="auto"/>
        <w:ind w:left="1440" w:hanging="720"/>
        <w:contextualSpacing/>
        <w:rPr>
          <w:rFonts w:ascii="Times New Roman" w:hAnsi="Times New Roman"/>
          <w:szCs w:val="22"/>
          <w:lang w:val="es-PA"/>
        </w:rPr>
      </w:pPr>
      <w:r w:rsidRPr="00C03FF3">
        <w:rPr>
          <w:szCs w:val="22"/>
          <w:lang w:val="es-PA"/>
        </w:rPr>
        <w:t>Protocolo contra el Tráfico Ilícito de Migrantes por Tierra, Mar y Aire</w:t>
      </w:r>
      <w:r w:rsidR="00E5660C" w:rsidRPr="00C03FF3">
        <w:rPr>
          <w:szCs w:val="22"/>
          <w:lang w:val="es-PA"/>
        </w:rPr>
        <w:t>, que complementa la Convención de las Naciones Unidas contra la Delincuencia Organizada Transnacional</w:t>
      </w:r>
      <w:r w:rsidRPr="00C03FF3">
        <w:rPr>
          <w:rFonts w:ascii="Times New Roman" w:hAnsi="Times New Roman"/>
          <w:szCs w:val="22"/>
          <w:lang w:val="es-PA"/>
        </w:rPr>
        <w:t>;</w:t>
      </w:r>
    </w:p>
    <w:p w14:paraId="1C1644D6" w14:textId="0D58BDE1" w:rsidR="00055A2D" w:rsidRPr="00C03FF3" w:rsidRDefault="00055A2D" w:rsidP="00055A2D">
      <w:pPr>
        <w:pStyle w:val="ListParagraph"/>
        <w:widowControl/>
        <w:numPr>
          <w:ilvl w:val="0"/>
          <w:numId w:val="15"/>
        </w:numPr>
        <w:tabs>
          <w:tab w:val="clear" w:pos="720"/>
        </w:tabs>
        <w:spacing w:line="256" w:lineRule="auto"/>
        <w:ind w:left="1440" w:hanging="720"/>
        <w:contextualSpacing/>
        <w:rPr>
          <w:rFonts w:ascii="Times New Roman" w:hAnsi="Times New Roman"/>
          <w:szCs w:val="22"/>
          <w:lang w:val="es-PA"/>
        </w:rPr>
      </w:pPr>
      <w:r w:rsidRPr="00C03FF3">
        <w:rPr>
          <w:szCs w:val="22"/>
          <w:lang w:val="es-PA"/>
        </w:rPr>
        <w:lastRenderedPageBreak/>
        <w:t>Protocolo contra la Fabricación y el Tráfico Ilícito de Armas de Fuego, sus Piezas y Componentes y Municiones</w:t>
      </w:r>
      <w:r w:rsidR="00274F49">
        <w:rPr>
          <w:szCs w:val="22"/>
          <w:lang w:val="es-PA"/>
        </w:rPr>
        <w:t>,</w:t>
      </w:r>
      <w:r w:rsidR="00243718" w:rsidRPr="00C03FF3" w:rsidDel="00243718">
        <w:rPr>
          <w:szCs w:val="22"/>
          <w:lang w:val="es-PA"/>
        </w:rPr>
        <w:t xml:space="preserve"> </w:t>
      </w:r>
      <w:r w:rsidR="00E5660C" w:rsidRPr="00C03FF3">
        <w:rPr>
          <w:szCs w:val="22"/>
          <w:lang w:val="es-PA"/>
        </w:rPr>
        <w:t>que complementa la Convención de las Naciones Unidas contra la Delincuencia Organizada Transnacional</w:t>
      </w:r>
      <w:r w:rsidRPr="00C03FF3">
        <w:rPr>
          <w:szCs w:val="22"/>
          <w:lang w:val="es-PA"/>
        </w:rPr>
        <w:t>;</w:t>
      </w:r>
    </w:p>
    <w:p w14:paraId="1D5B7E3E" w14:textId="77777777" w:rsidR="00055A2D" w:rsidRPr="00C03FF3" w:rsidRDefault="00055A2D" w:rsidP="00055A2D">
      <w:pPr>
        <w:pStyle w:val="ListParagraph"/>
        <w:widowControl/>
        <w:numPr>
          <w:ilvl w:val="0"/>
          <w:numId w:val="15"/>
        </w:numPr>
        <w:tabs>
          <w:tab w:val="clear" w:pos="720"/>
        </w:tabs>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Convención Única sobre Estupefacientes (1961), enmendada a través del protocolo de 1972;</w:t>
      </w:r>
    </w:p>
    <w:p w14:paraId="5A06C259" w14:textId="77777777" w:rsidR="00055A2D" w:rsidRPr="00C03FF3" w:rsidRDefault="00055A2D" w:rsidP="00055A2D">
      <w:pPr>
        <w:pStyle w:val="ListParagraph"/>
        <w:widowControl/>
        <w:numPr>
          <w:ilvl w:val="0"/>
          <w:numId w:val="15"/>
        </w:numPr>
        <w:tabs>
          <w:tab w:val="clear" w:pos="720"/>
        </w:tabs>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Convenio sobre Sustancias Sicotrópicas de Naciones Unidas (1971);</w:t>
      </w:r>
    </w:p>
    <w:p w14:paraId="505AC884" w14:textId="77777777" w:rsidR="00055A2D" w:rsidRPr="00C03FF3" w:rsidRDefault="00055A2D" w:rsidP="00055A2D">
      <w:pPr>
        <w:pStyle w:val="ListParagraph"/>
        <w:widowControl/>
        <w:numPr>
          <w:ilvl w:val="0"/>
          <w:numId w:val="15"/>
        </w:numPr>
        <w:tabs>
          <w:tab w:val="clear" w:pos="720"/>
        </w:tabs>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Convención de las Naciones Unidas contra el Tráfico Ilícito de Estupefacientes y Sustancias Sicotrópicas (1988);</w:t>
      </w:r>
    </w:p>
    <w:p w14:paraId="45CB5747" w14:textId="77777777" w:rsidR="00055A2D" w:rsidRPr="00C03FF3" w:rsidRDefault="00055A2D" w:rsidP="00055A2D">
      <w:pPr>
        <w:pStyle w:val="ListParagraph"/>
        <w:widowControl/>
        <w:numPr>
          <w:ilvl w:val="0"/>
          <w:numId w:val="15"/>
        </w:numPr>
        <w:tabs>
          <w:tab w:val="clear" w:pos="720"/>
        </w:tabs>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Convención Interamericana contra la Fabricación y el Tráfico Ilícitos de Armas de Fuego, Municiones, Explosivos y otros Materiales Relacionados (</w:t>
      </w:r>
      <w:proofErr w:type="spellStart"/>
      <w:r w:rsidRPr="00C03FF3">
        <w:rPr>
          <w:rFonts w:ascii="Times New Roman" w:hAnsi="Times New Roman"/>
          <w:szCs w:val="22"/>
          <w:lang w:val="es-PA"/>
        </w:rPr>
        <w:t>CIFTA</w:t>
      </w:r>
      <w:proofErr w:type="spellEnd"/>
      <w:r w:rsidRPr="00C03FF3">
        <w:rPr>
          <w:rFonts w:ascii="Times New Roman" w:hAnsi="Times New Roman"/>
          <w:szCs w:val="22"/>
          <w:lang w:val="es-PA"/>
        </w:rPr>
        <w:t>);</w:t>
      </w:r>
    </w:p>
    <w:p w14:paraId="24E02B24" w14:textId="77777777" w:rsidR="00055A2D" w:rsidRPr="00C03FF3" w:rsidRDefault="00055A2D" w:rsidP="00055A2D">
      <w:pPr>
        <w:pStyle w:val="ListParagraph"/>
        <w:widowControl/>
        <w:numPr>
          <w:ilvl w:val="0"/>
          <w:numId w:val="15"/>
        </w:numPr>
        <w:tabs>
          <w:tab w:val="clear" w:pos="720"/>
        </w:tabs>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Convención de las Naciones Unidas contra la Corrupción (</w:t>
      </w:r>
      <w:proofErr w:type="spellStart"/>
      <w:r w:rsidRPr="00C03FF3">
        <w:rPr>
          <w:rFonts w:ascii="Times New Roman" w:hAnsi="Times New Roman"/>
          <w:lang w:val="es-PA"/>
        </w:rPr>
        <w:t>UNCAC</w:t>
      </w:r>
      <w:proofErr w:type="spellEnd"/>
      <w:r w:rsidRPr="00C03FF3">
        <w:rPr>
          <w:rFonts w:ascii="Times New Roman" w:hAnsi="Times New Roman"/>
          <w:lang w:val="es-PA"/>
        </w:rPr>
        <w:t>)</w:t>
      </w:r>
      <w:r w:rsidRPr="00C03FF3">
        <w:rPr>
          <w:rFonts w:ascii="Times New Roman" w:hAnsi="Times New Roman"/>
          <w:szCs w:val="22"/>
          <w:lang w:val="es-PA"/>
        </w:rPr>
        <w:t>;</w:t>
      </w:r>
    </w:p>
    <w:p w14:paraId="46E3D094" w14:textId="7372A720" w:rsidR="00055A2D" w:rsidRPr="00C03FF3" w:rsidRDefault="00055A2D" w:rsidP="00055A2D">
      <w:pPr>
        <w:pStyle w:val="ListParagraph"/>
        <w:widowControl/>
        <w:numPr>
          <w:ilvl w:val="0"/>
          <w:numId w:val="15"/>
        </w:numPr>
        <w:tabs>
          <w:tab w:val="clear" w:pos="720"/>
        </w:tabs>
        <w:spacing w:line="256" w:lineRule="auto"/>
        <w:ind w:left="1440" w:hanging="720"/>
        <w:contextualSpacing/>
        <w:rPr>
          <w:rFonts w:ascii="Times New Roman" w:hAnsi="Times New Roman"/>
          <w:szCs w:val="22"/>
          <w:lang w:val="es-PA"/>
        </w:rPr>
      </w:pPr>
      <w:r w:rsidRPr="00C03FF3">
        <w:rPr>
          <w:szCs w:val="22"/>
          <w:lang w:val="es-PA"/>
        </w:rPr>
        <w:t>Convención Interamericana contra la Corrupción</w:t>
      </w:r>
      <w:r w:rsidRPr="00C03FF3">
        <w:rPr>
          <w:rFonts w:ascii="Times New Roman" w:hAnsi="Times New Roman"/>
          <w:szCs w:val="22"/>
          <w:lang w:val="es-PA"/>
        </w:rPr>
        <w:t xml:space="preserve"> (1996)</w:t>
      </w:r>
      <w:r w:rsidR="00274F49">
        <w:rPr>
          <w:rFonts w:ascii="Times New Roman" w:hAnsi="Times New Roman"/>
          <w:szCs w:val="22"/>
          <w:lang w:val="es-PA"/>
        </w:rPr>
        <w:t>;</w:t>
      </w:r>
      <w:r w:rsidRPr="00C03FF3">
        <w:rPr>
          <w:rFonts w:ascii="Times New Roman" w:hAnsi="Times New Roman"/>
          <w:szCs w:val="22"/>
          <w:lang w:val="es-PA"/>
        </w:rPr>
        <w:t xml:space="preserve"> y</w:t>
      </w:r>
    </w:p>
    <w:p w14:paraId="2CC5A910" w14:textId="77777777" w:rsidR="00055A2D" w:rsidRPr="00C03FF3" w:rsidRDefault="00055A2D" w:rsidP="00055A2D">
      <w:pPr>
        <w:pStyle w:val="ListParagraph"/>
        <w:widowControl/>
        <w:numPr>
          <w:ilvl w:val="0"/>
          <w:numId w:val="15"/>
        </w:numPr>
        <w:tabs>
          <w:tab w:val="clear" w:pos="720"/>
        </w:tabs>
        <w:spacing w:line="256" w:lineRule="auto"/>
        <w:ind w:left="1440" w:hanging="720"/>
        <w:contextualSpacing/>
        <w:rPr>
          <w:rFonts w:ascii="Times New Roman" w:hAnsi="Times New Roman"/>
          <w:szCs w:val="22"/>
          <w:lang w:val="es-PA"/>
        </w:rPr>
      </w:pPr>
      <w:r w:rsidRPr="00C03FF3">
        <w:rPr>
          <w:color w:val="000000"/>
          <w:szCs w:val="22"/>
          <w:lang w:val="es-PA"/>
        </w:rPr>
        <w:t>Convención</w:t>
      </w:r>
      <w:r w:rsidRPr="00C03FF3">
        <w:rPr>
          <w:szCs w:val="22"/>
          <w:lang w:val="es-PA"/>
        </w:rPr>
        <w:t xml:space="preserve"> Interamericana sobre Asistencia Mutua en Materia Penal </w:t>
      </w:r>
      <w:r w:rsidRPr="00C03FF3">
        <w:rPr>
          <w:rFonts w:ascii="Times New Roman" w:hAnsi="Times New Roman"/>
          <w:szCs w:val="22"/>
          <w:lang w:val="es-PA"/>
        </w:rPr>
        <w:t>(1996).</w:t>
      </w:r>
    </w:p>
    <w:p w14:paraId="6968D4BE" w14:textId="77777777" w:rsidR="002530DC" w:rsidRPr="00C03FF3" w:rsidRDefault="002530DC" w:rsidP="00FA20C3">
      <w:pPr>
        <w:rPr>
          <w:rFonts w:ascii="Times New Roman" w:hAnsi="Times New Roman"/>
          <w:szCs w:val="22"/>
          <w:lang w:val="es-PA"/>
        </w:rPr>
      </w:pPr>
    </w:p>
    <w:p w14:paraId="21043C5F" w14:textId="20922466" w:rsidR="007872C7" w:rsidRPr="00C03FF3" w:rsidRDefault="007872C7" w:rsidP="00CA4949">
      <w:pPr>
        <w:pStyle w:val="ListParagraph"/>
        <w:widowControl/>
        <w:numPr>
          <w:ilvl w:val="0"/>
          <w:numId w:val="8"/>
        </w:numPr>
        <w:tabs>
          <w:tab w:val="clear" w:pos="1440"/>
        </w:tabs>
        <w:spacing w:line="256" w:lineRule="auto"/>
        <w:ind w:hanging="720"/>
        <w:contextualSpacing/>
        <w:rPr>
          <w:rFonts w:ascii="Times New Roman" w:hAnsi="Times New Roman"/>
          <w:szCs w:val="22"/>
          <w:lang w:val="es-PA"/>
        </w:rPr>
      </w:pPr>
      <w:r w:rsidRPr="00C03FF3">
        <w:rPr>
          <w:rFonts w:ascii="Times New Roman" w:hAnsi="Times New Roman"/>
          <w:lang w:val="es-PA"/>
        </w:rPr>
        <w:t>Además</w:t>
      </w:r>
      <w:r w:rsidRPr="00C03FF3">
        <w:rPr>
          <w:rFonts w:ascii="Times New Roman" w:hAnsi="Times New Roman"/>
          <w:szCs w:val="22"/>
          <w:lang w:val="es-PA"/>
        </w:rPr>
        <w:t>, para complementar los</w:t>
      </w:r>
      <w:r w:rsidR="00B84F29" w:rsidRPr="00C03FF3">
        <w:rPr>
          <w:rFonts w:ascii="Times New Roman" w:hAnsi="Times New Roman"/>
          <w:szCs w:val="22"/>
          <w:lang w:val="es-PA"/>
        </w:rPr>
        <w:t xml:space="preserve"> </w:t>
      </w:r>
      <w:r w:rsidR="00E5660C" w:rsidRPr="00C03FF3">
        <w:rPr>
          <w:rFonts w:ascii="Times New Roman" w:hAnsi="Times New Roman"/>
          <w:szCs w:val="22"/>
          <w:lang w:val="es-PA"/>
        </w:rPr>
        <w:t xml:space="preserve">instrumentos </w:t>
      </w:r>
      <w:r w:rsidRPr="00C03FF3">
        <w:rPr>
          <w:rFonts w:ascii="Times New Roman" w:hAnsi="Times New Roman"/>
          <w:szCs w:val="22"/>
          <w:lang w:val="es-PA"/>
        </w:rPr>
        <w:t xml:space="preserve">señalados anteriormente, los Estados Miembros que aún no lo han hecho, </w:t>
      </w:r>
      <w:r w:rsidRPr="00C03FF3">
        <w:rPr>
          <w:rFonts w:ascii="Times New Roman" w:hAnsi="Times New Roman"/>
          <w:lang w:val="es-PA"/>
        </w:rPr>
        <w:t>deberían</w:t>
      </w:r>
      <w:r w:rsidRPr="00C03FF3">
        <w:rPr>
          <w:rFonts w:ascii="Times New Roman" w:hAnsi="Times New Roman"/>
          <w:szCs w:val="22"/>
          <w:lang w:val="es-PA"/>
        </w:rPr>
        <w:t xml:space="preserve"> considerar la posibilidad de firmar, ratificar y/o adherirse a los siguientes </w:t>
      </w:r>
      <w:r w:rsidR="00E5660C" w:rsidRPr="00C03FF3">
        <w:rPr>
          <w:rFonts w:ascii="Times New Roman" w:hAnsi="Times New Roman"/>
          <w:szCs w:val="22"/>
          <w:lang w:val="es-PA"/>
        </w:rPr>
        <w:t xml:space="preserve">instrumentos regionales e </w:t>
      </w:r>
      <w:r w:rsidRPr="00C03FF3">
        <w:rPr>
          <w:rFonts w:ascii="Times New Roman" w:hAnsi="Times New Roman"/>
          <w:szCs w:val="22"/>
          <w:lang w:val="es-PA"/>
        </w:rPr>
        <w:t>internacionales:</w:t>
      </w:r>
    </w:p>
    <w:p w14:paraId="329EF23E" w14:textId="77777777" w:rsidR="002530DC" w:rsidRPr="00C03FF3" w:rsidRDefault="002530DC" w:rsidP="00CA4949">
      <w:pPr>
        <w:widowControl/>
        <w:tabs>
          <w:tab w:val="clear" w:pos="720"/>
          <w:tab w:val="clear" w:pos="1440"/>
          <w:tab w:val="clear" w:pos="2160"/>
          <w:tab w:val="clear" w:pos="3600"/>
          <w:tab w:val="clear" w:pos="4320"/>
          <w:tab w:val="clear" w:pos="5760"/>
          <w:tab w:val="clear" w:pos="6480"/>
          <w:tab w:val="clear" w:pos="7200"/>
          <w:tab w:val="clear" w:pos="7920"/>
        </w:tabs>
        <w:spacing w:after="160" w:line="259" w:lineRule="auto"/>
        <w:contextualSpacing/>
        <w:rPr>
          <w:rFonts w:ascii="Times New Roman" w:hAnsi="Times New Roman"/>
          <w:szCs w:val="22"/>
          <w:lang w:val="es-PA"/>
        </w:rPr>
      </w:pPr>
    </w:p>
    <w:p w14:paraId="16BFFEC8" w14:textId="108260E0" w:rsidR="00FA20C3" w:rsidRPr="00C03FF3" w:rsidRDefault="0058783F" w:rsidP="00863D9C">
      <w:pPr>
        <w:pStyle w:val="ListParagraph"/>
        <w:widowControl/>
        <w:numPr>
          <w:ilvl w:val="0"/>
          <w:numId w:val="11"/>
        </w:numPr>
        <w:tabs>
          <w:tab w:val="clear" w:pos="720"/>
          <w:tab w:val="clear" w:pos="2160"/>
          <w:tab w:val="clear" w:pos="2880"/>
          <w:tab w:val="clear" w:pos="3600"/>
          <w:tab w:val="clear" w:pos="4320"/>
          <w:tab w:val="clear" w:pos="5760"/>
          <w:tab w:val="clear" w:pos="6480"/>
          <w:tab w:val="clear" w:pos="7200"/>
          <w:tab w:val="clear" w:pos="7920"/>
        </w:tabs>
        <w:spacing w:after="160" w:line="259" w:lineRule="auto"/>
        <w:ind w:left="1440" w:hanging="720"/>
        <w:contextualSpacing/>
        <w:rPr>
          <w:rFonts w:ascii="Times New Roman" w:hAnsi="Times New Roman"/>
          <w:szCs w:val="22"/>
          <w:lang w:val="es-PA"/>
        </w:rPr>
      </w:pPr>
      <w:r w:rsidRPr="00C03FF3">
        <w:rPr>
          <w:rFonts w:ascii="Times New Roman" w:hAnsi="Times New Roman"/>
          <w:szCs w:val="22"/>
          <w:lang w:val="es-PA"/>
        </w:rPr>
        <w:t>Convención Interamericana sobre Cumplimiento de Medidas Cautelares</w:t>
      </w:r>
      <w:r w:rsidR="00FA20C3" w:rsidRPr="00C03FF3">
        <w:rPr>
          <w:rFonts w:ascii="Times New Roman" w:hAnsi="Times New Roman"/>
          <w:szCs w:val="22"/>
          <w:lang w:val="es-PA"/>
        </w:rPr>
        <w:t xml:space="preserve"> (1979)</w:t>
      </w:r>
      <w:r w:rsidR="00274F49">
        <w:rPr>
          <w:rFonts w:ascii="Times New Roman" w:hAnsi="Times New Roman"/>
          <w:szCs w:val="22"/>
          <w:lang w:val="es-PA"/>
        </w:rPr>
        <w:t>;</w:t>
      </w:r>
    </w:p>
    <w:p w14:paraId="5E9DF25B" w14:textId="74CB3ABA" w:rsidR="00FA20C3" w:rsidRPr="00C03FF3" w:rsidRDefault="0058783F" w:rsidP="00863D9C">
      <w:pPr>
        <w:pStyle w:val="ListParagraph"/>
        <w:widowControl/>
        <w:numPr>
          <w:ilvl w:val="0"/>
          <w:numId w:val="11"/>
        </w:numPr>
        <w:tabs>
          <w:tab w:val="clear" w:pos="720"/>
          <w:tab w:val="clear" w:pos="2160"/>
          <w:tab w:val="clear" w:pos="2880"/>
          <w:tab w:val="clear" w:pos="3600"/>
          <w:tab w:val="clear" w:pos="4320"/>
          <w:tab w:val="clear" w:pos="5760"/>
          <w:tab w:val="clear" w:pos="6480"/>
          <w:tab w:val="clear" w:pos="7200"/>
          <w:tab w:val="clear" w:pos="7920"/>
        </w:tabs>
        <w:spacing w:after="160" w:line="259" w:lineRule="auto"/>
        <w:ind w:left="1440" w:hanging="720"/>
        <w:contextualSpacing/>
        <w:rPr>
          <w:rFonts w:ascii="Times New Roman" w:hAnsi="Times New Roman"/>
          <w:szCs w:val="22"/>
          <w:lang w:val="es-PA"/>
        </w:rPr>
      </w:pPr>
      <w:r w:rsidRPr="00C03FF3">
        <w:rPr>
          <w:rFonts w:ascii="Times New Roman" w:hAnsi="Times New Roman"/>
          <w:szCs w:val="22"/>
          <w:lang w:val="es-PA"/>
        </w:rPr>
        <w:t>Convención Interamericana sobre Extradición</w:t>
      </w:r>
      <w:r w:rsidR="00FA20C3" w:rsidRPr="00C03FF3">
        <w:rPr>
          <w:rFonts w:ascii="Times New Roman" w:hAnsi="Times New Roman"/>
          <w:szCs w:val="22"/>
          <w:lang w:val="es-PA"/>
        </w:rPr>
        <w:t xml:space="preserve"> (1981)</w:t>
      </w:r>
      <w:r w:rsidR="00274F49">
        <w:rPr>
          <w:rFonts w:ascii="Times New Roman" w:hAnsi="Times New Roman"/>
          <w:szCs w:val="22"/>
          <w:lang w:val="es-PA"/>
        </w:rPr>
        <w:t>;</w:t>
      </w:r>
    </w:p>
    <w:p w14:paraId="6C6773A2" w14:textId="3398EB1B" w:rsidR="00FA20C3" w:rsidRPr="00C03FF3" w:rsidRDefault="0058783F" w:rsidP="00863D9C">
      <w:pPr>
        <w:pStyle w:val="ListParagraph"/>
        <w:widowControl/>
        <w:numPr>
          <w:ilvl w:val="0"/>
          <w:numId w:val="11"/>
        </w:numPr>
        <w:tabs>
          <w:tab w:val="clear" w:pos="720"/>
          <w:tab w:val="clear" w:pos="2160"/>
          <w:tab w:val="clear" w:pos="2880"/>
          <w:tab w:val="clear" w:pos="3600"/>
          <w:tab w:val="clear" w:pos="4320"/>
          <w:tab w:val="clear" w:pos="5760"/>
          <w:tab w:val="clear" w:pos="6480"/>
          <w:tab w:val="clear" w:pos="7200"/>
          <w:tab w:val="clear" w:pos="7920"/>
        </w:tabs>
        <w:spacing w:after="160" w:line="259" w:lineRule="auto"/>
        <w:ind w:left="1440" w:hanging="720"/>
        <w:contextualSpacing/>
        <w:rPr>
          <w:rFonts w:ascii="Times New Roman" w:hAnsi="Times New Roman"/>
          <w:szCs w:val="22"/>
          <w:lang w:val="es-PA"/>
        </w:rPr>
      </w:pPr>
      <w:r w:rsidRPr="00C03FF3">
        <w:rPr>
          <w:rFonts w:ascii="Times New Roman" w:hAnsi="Times New Roman"/>
          <w:szCs w:val="22"/>
          <w:lang w:val="es-PA"/>
        </w:rPr>
        <w:t>Protocolo Facultativo relativ</w:t>
      </w:r>
      <w:r w:rsidR="009D2679" w:rsidRPr="00C03FF3">
        <w:rPr>
          <w:rFonts w:ascii="Times New Roman" w:hAnsi="Times New Roman"/>
          <w:szCs w:val="22"/>
          <w:lang w:val="es-PA"/>
        </w:rPr>
        <w:t>o</w:t>
      </w:r>
      <w:r w:rsidRPr="00C03FF3">
        <w:rPr>
          <w:rFonts w:ascii="Times New Roman" w:hAnsi="Times New Roman"/>
          <w:szCs w:val="22"/>
          <w:lang w:val="es-PA"/>
        </w:rPr>
        <w:t xml:space="preserve"> a la Convención Interamericana sobre Asistencia Mutua en Materia Penal</w:t>
      </w:r>
      <w:r w:rsidR="00FA20C3" w:rsidRPr="00C03FF3">
        <w:rPr>
          <w:rFonts w:ascii="Times New Roman" w:hAnsi="Times New Roman"/>
          <w:szCs w:val="22"/>
          <w:lang w:val="es-PA"/>
        </w:rPr>
        <w:t xml:space="preserve"> (1993)</w:t>
      </w:r>
      <w:r w:rsidR="00274F49">
        <w:rPr>
          <w:rFonts w:ascii="Times New Roman" w:hAnsi="Times New Roman"/>
          <w:szCs w:val="22"/>
          <w:lang w:val="es-PA"/>
        </w:rPr>
        <w:t>;</w:t>
      </w:r>
    </w:p>
    <w:p w14:paraId="57CC013D" w14:textId="0C803644" w:rsidR="00FA20C3" w:rsidRPr="00C03FF3" w:rsidRDefault="007058AA" w:rsidP="00863D9C">
      <w:pPr>
        <w:pStyle w:val="ListParagraph"/>
        <w:widowControl/>
        <w:numPr>
          <w:ilvl w:val="0"/>
          <w:numId w:val="11"/>
        </w:numPr>
        <w:tabs>
          <w:tab w:val="clear" w:pos="720"/>
          <w:tab w:val="clear" w:pos="2160"/>
          <w:tab w:val="clear" w:pos="2880"/>
          <w:tab w:val="clear" w:pos="3600"/>
          <w:tab w:val="clear" w:pos="4320"/>
          <w:tab w:val="clear" w:pos="5760"/>
          <w:tab w:val="clear" w:pos="6480"/>
          <w:tab w:val="clear" w:pos="7200"/>
          <w:tab w:val="clear" w:pos="7920"/>
        </w:tabs>
        <w:spacing w:after="160" w:line="259" w:lineRule="auto"/>
        <w:ind w:left="1440" w:hanging="720"/>
        <w:contextualSpacing/>
        <w:rPr>
          <w:rFonts w:ascii="Times New Roman" w:hAnsi="Times New Roman"/>
          <w:szCs w:val="22"/>
          <w:lang w:val="es-PA"/>
        </w:rPr>
      </w:pPr>
      <w:r w:rsidRPr="00C03FF3">
        <w:rPr>
          <w:rFonts w:ascii="Times New Roman" w:hAnsi="Times New Roman"/>
          <w:szCs w:val="22"/>
          <w:lang w:val="es-PA"/>
        </w:rPr>
        <w:t>Convención Interamericana sobre Tráfico Internacional de Menores</w:t>
      </w:r>
      <w:r w:rsidR="00FA20C3" w:rsidRPr="00C03FF3">
        <w:rPr>
          <w:rFonts w:ascii="Times New Roman" w:hAnsi="Times New Roman"/>
          <w:szCs w:val="22"/>
          <w:lang w:val="es-PA"/>
        </w:rPr>
        <w:t xml:space="preserve"> (1994)</w:t>
      </w:r>
      <w:r w:rsidR="00274F49">
        <w:rPr>
          <w:rFonts w:ascii="Times New Roman" w:hAnsi="Times New Roman"/>
          <w:szCs w:val="22"/>
          <w:lang w:val="es-PA"/>
        </w:rPr>
        <w:t>;</w:t>
      </w:r>
    </w:p>
    <w:p w14:paraId="485876DF" w14:textId="2DAE7ECF" w:rsidR="00FA20C3" w:rsidRPr="00C03FF3" w:rsidRDefault="00AC78F5" w:rsidP="00863D9C">
      <w:pPr>
        <w:pStyle w:val="ListParagraph"/>
        <w:widowControl/>
        <w:numPr>
          <w:ilvl w:val="0"/>
          <w:numId w:val="11"/>
        </w:numPr>
        <w:tabs>
          <w:tab w:val="clear" w:pos="720"/>
          <w:tab w:val="clear" w:pos="2160"/>
          <w:tab w:val="clear" w:pos="2880"/>
          <w:tab w:val="clear" w:pos="3600"/>
          <w:tab w:val="clear" w:pos="4320"/>
          <w:tab w:val="clear" w:pos="5760"/>
          <w:tab w:val="clear" w:pos="6480"/>
          <w:tab w:val="clear" w:pos="7200"/>
          <w:tab w:val="clear" w:pos="7920"/>
        </w:tabs>
        <w:spacing w:after="160" w:line="259" w:lineRule="auto"/>
        <w:ind w:left="1440" w:hanging="720"/>
        <w:contextualSpacing/>
        <w:rPr>
          <w:rFonts w:ascii="Times New Roman" w:hAnsi="Times New Roman"/>
          <w:szCs w:val="22"/>
          <w:lang w:val="es-PA"/>
        </w:rPr>
      </w:pPr>
      <w:r w:rsidRPr="00C03FF3">
        <w:rPr>
          <w:rFonts w:ascii="Times New Roman" w:hAnsi="Times New Roman"/>
          <w:szCs w:val="22"/>
          <w:lang w:val="es-PA"/>
        </w:rPr>
        <w:t>Convenio sobre la Ciberdelincuencia del Consejo de Europa (Convenio de Budapest</w:t>
      </w:r>
      <w:r w:rsidR="00FA20C3" w:rsidRPr="00C03FF3">
        <w:rPr>
          <w:rFonts w:ascii="Times New Roman" w:hAnsi="Times New Roman"/>
          <w:szCs w:val="22"/>
          <w:lang w:val="es-PA"/>
        </w:rPr>
        <w:t>) (2001)</w:t>
      </w:r>
      <w:r w:rsidR="00274F49">
        <w:rPr>
          <w:rFonts w:ascii="Times New Roman" w:hAnsi="Times New Roman"/>
          <w:szCs w:val="22"/>
          <w:lang w:val="es-PA"/>
        </w:rPr>
        <w:t>;</w:t>
      </w:r>
    </w:p>
    <w:p w14:paraId="04D53091" w14:textId="24A73CA6" w:rsidR="00FA20C3" w:rsidRPr="00C03FF3" w:rsidRDefault="00AC78F5" w:rsidP="00863D9C">
      <w:pPr>
        <w:pStyle w:val="ListParagraph"/>
        <w:widowControl/>
        <w:numPr>
          <w:ilvl w:val="0"/>
          <w:numId w:val="11"/>
        </w:numPr>
        <w:tabs>
          <w:tab w:val="clear" w:pos="720"/>
          <w:tab w:val="clear" w:pos="2160"/>
          <w:tab w:val="clear" w:pos="2880"/>
          <w:tab w:val="clear" w:pos="3600"/>
          <w:tab w:val="clear" w:pos="4320"/>
          <w:tab w:val="clear" w:pos="5760"/>
          <w:tab w:val="clear" w:pos="6480"/>
          <w:tab w:val="clear" w:pos="7200"/>
          <w:tab w:val="clear" w:pos="7920"/>
        </w:tabs>
        <w:spacing w:after="160" w:line="259" w:lineRule="auto"/>
        <w:ind w:left="1440" w:hanging="720"/>
        <w:contextualSpacing/>
        <w:rPr>
          <w:rFonts w:ascii="Times New Roman" w:hAnsi="Times New Roman"/>
          <w:szCs w:val="22"/>
          <w:lang w:val="es-PA"/>
        </w:rPr>
      </w:pPr>
      <w:r w:rsidRPr="00C03FF3">
        <w:rPr>
          <w:rFonts w:ascii="Times New Roman" w:hAnsi="Times New Roman"/>
          <w:szCs w:val="22"/>
          <w:lang w:val="es-PA"/>
        </w:rPr>
        <w:t>Convenio sobre Cooperación para la Supresión del Tráfico Marítimo y Aeronáutico Ilícito de Estupefacientes y Sustancias Psicotrópicas en la Zona del Caribe (2003)</w:t>
      </w:r>
      <w:r w:rsidR="00274F49">
        <w:rPr>
          <w:rFonts w:ascii="Times New Roman" w:hAnsi="Times New Roman"/>
          <w:szCs w:val="22"/>
          <w:lang w:val="es-PA"/>
        </w:rPr>
        <w:t>; y</w:t>
      </w:r>
    </w:p>
    <w:p w14:paraId="01B4DF34" w14:textId="2DE61BEA" w:rsidR="00FA20C3" w:rsidRPr="00C03FF3" w:rsidRDefault="00AC78F5" w:rsidP="00863D9C">
      <w:pPr>
        <w:pStyle w:val="ListParagraph"/>
        <w:widowControl/>
        <w:numPr>
          <w:ilvl w:val="0"/>
          <w:numId w:val="11"/>
        </w:numPr>
        <w:tabs>
          <w:tab w:val="clear" w:pos="720"/>
          <w:tab w:val="clear" w:pos="2160"/>
          <w:tab w:val="clear" w:pos="2880"/>
          <w:tab w:val="clear" w:pos="3600"/>
          <w:tab w:val="clear" w:pos="4320"/>
          <w:tab w:val="clear" w:pos="5760"/>
          <w:tab w:val="clear" w:pos="6480"/>
          <w:tab w:val="clear" w:pos="7200"/>
          <w:tab w:val="clear" w:pos="7920"/>
        </w:tabs>
        <w:spacing w:after="160" w:line="259"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Convenio de </w:t>
      </w:r>
      <w:r w:rsidR="00FA20C3" w:rsidRPr="00C03FF3">
        <w:rPr>
          <w:rFonts w:ascii="Times New Roman" w:hAnsi="Times New Roman"/>
          <w:szCs w:val="22"/>
          <w:lang w:val="es-PA"/>
        </w:rPr>
        <w:t xml:space="preserve">Minamata </w:t>
      </w:r>
      <w:r w:rsidRPr="00C03FF3">
        <w:rPr>
          <w:rFonts w:ascii="Times New Roman" w:hAnsi="Times New Roman"/>
          <w:szCs w:val="22"/>
          <w:lang w:val="es-PA"/>
        </w:rPr>
        <w:t>sobre el Mercurio</w:t>
      </w:r>
      <w:r w:rsidR="00FA20C3" w:rsidRPr="00C03FF3">
        <w:rPr>
          <w:rFonts w:ascii="Times New Roman" w:hAnsi="Times New Roman"/>
          <w:szCs w:val="22"/>
          <w:lang w:val="es-PA"/>
        </w:rPr>
        <w:t xml:space="preserve"> (2013)</w:t>
      </w:r>
      <w:r w:rsidR="00274F49">
        <w:rPr>
          <w:rFonts w:ascii="Times New Roman" w:hAnsi="Times New Roman"/>
          <w:szCs w:val="22"/>
          <w:lang w:val="es-PA"/>
        </w:rPr>
        <w:t>.</w:t>
      </w:r>
    </w:p>
    <w:p w14:paraId="12E38E08" w14:textId="77777777" w:rsidR="00FA20C3" w:rsidRPr="00C03FF3" w:rsidRDefault="00FA20C3" w:rsidP="00CA4949">
      <w:pPr>
        <w:tabs>
          <w:tab w:val="left" w:pos="1080"/>
        </w:tabs>
        <w:rPr>
          <w:rFonts w:ascii="Times New Roman" w:hAnsi="Times New Roman"/>
          <w:szCs w:val="22"/>
          <w:lang w:val="es-PA"/>
        </w:rPr>
      </w:pPr>
    </w:p>
    <w:p w14:paraId="1CB85F47" w14:textId="13387B6D" w:rsidR="003359F0" w:rsidRPr="00C03FF3" w:rsidRDefault="003359F0" w:rsidP="00CA4949">
      <w:pPr>
        <w:pStyle w:val="ListParagraph"/>
        <w:widowControl/>
        <w:numPr>
          <w:ilvl w:val="0"/>
          <w:numId w:val="8"/>
        </w:numPr>
        <w:spacing w:line="256" w:lineRule="auto"/>
        <w:ind w:hanging="720"/>
        <w:contextualSpacing/>
        <w:rPr>
          <w:rFonts w:ascii="Times New Roman" w:hAnsi="Times New Roman"/>
          <w:szCs w:val="22"/>
          <w:lang w:val="es-PA"/>
        </w:rPr>
      </w:pPr>
      <w:r w:rsidRPr="00C03FF3">
        <w:rPr>
          <w:rFonts w:ascii="Times New Roman" w:hAnsi="Times New Roman"/>
          <w:lang w:val="es-PA"/>
        </w:rPr>
        <w:t>Por último, los Estados Miembros podrían considerar</w:t>
      </w:r>
      <w:r w:rsidR="00274F49">
        <w:rPr>
          <w:rFonts w:ascii="Times New Roman" w:hAnsi="Times New Roman"/>
          <w:lang w:val="es-PA"/>
        </w:rPr>
        <w:t xml:space="preserve"> </w:t>
      </w:r>
      <w:r w:rsidRPr="00C03FF3">
        <w:rPr>
          <w:rFonts w:ascii="Times New Roman" w:hAnsi="Times New Roman"/>
          <w:szCs w:val="22"/>
          <w:lang w:val="es-PA"/>
        </w:rPr>
        <w:t>la celebración de tratados y acuerdos bilaterales, regionales o multilaterales para promover los objetivos de la presente Estrategia Hemisférica.</w:t>
      </w:r>
    </w:p>
    <w:p w14:paraId="48958434" w14:textId="77777777" w:rsidR="00FA20C3" w:rsidRPr="00C03FF3" w:rsidRDefault="00FA20C3" w:rsidP="00CA4949">
      <w:pPr>
        <w:rPr>
          <w:rFonts w:ascii="Times New Roman" w:hAnsi="Times New Roman"/>
          <w:szCs w:val="22"/>
          <w:lang w:val="es-PA"/>
        </w:rPr>
      </w:pPr>
    </w:p>
    <w:p w14:paraId="07C78B4B" w14:textId="60E45352" w:rsidR="00D24479" w:rsidRPr="00C03FF3" w:rsidRDefault="00D24479" w:rsidP="00CA4949">
      <w:pPr>
        <w:pStyle w:val="ListParagraph"/>
        <w:widowControl/>
        <w:numPr>
          <w:ilvl w:val="0"/>
          <w:numId w:val="1"/>
        </w:numPr>
        <w:spacing w:line="256" w:lineRule="auto"/>
        <w:ind w:hanging="720"/>
        <w:contextualSpacing/>
        <w:rPr>
          <w:rFonts w:ascii="Times New Roman" w:hAnsi="Times New Roman"/>
          <w:szCs w:val="22"/>
          <w:u w:val="single"/>
          <w:lang w:val="es-PA"/>
        </w:rPr>
      </w:pPr>
      <w:r w:rsidRPr="00C03FF3">
        <w:rPr>
          <w:rFonts w:ascii="Times New Roman" w:hAnsi="Times New Roman"/>
          <w:szCs w:val="22"/>
          <w:u w:val="single"/>
          <w:lang w:val="es-PA"/>
        </w:rPr>
        <w:t xml:space="preserve">Asuntos </w:t>
      </w:r>
      <w:r w:rsidRPr="00C03FF3">
        <w:rPr>
          <w:rFonts w:ascii="Times New Roman" w:hAnsi="Times New Roman"/>
          <w:u w:val="single"/>
          <w:lang w:val="es-PA"/>
        </w:rPr>
        <w:t>judiciales y</w:t>
      </w:r>
      <w:r w:rsidRPr="00C03FF3">
        <w:rPr>
          <w:rFonts w:ascii="Times New Roman" w:hAnsi="Times New Roman"/>
          <w:szCs w:val="22"/>
          <w:u w:val="single"/>
          <w:lang w:val="es-PA"/>
        </w:rPr>
        <w:t xml:space="preserve"> relacionados con la aplicación de la ley</w:t>
      </w:r>
    </w:p>
    <w:p w14:paraId="7A03199A" w14:textId="77777777" w:rsidR="00D24479" w:rsidRPr="00C03FF3" w:rsidRDefault="00D24479" w:rsidP="00FA20C3">
      <w:pPr>
        <w:rPr>
          <w:rFonts w:ascii="Times New Roman" w:hAnsi="Times New Roman"/>
          <w:szCs w:val="22"/>
          <w:lang w:val="es-PA"/>
        </w:rPr>
      </w:pPr>
    </w:p>
    <w:p w14:paraId="617D836B" w14:textId="510B7572" w:rsidR="0027107B" w:rsidRPr="00C03FF3" w:rsidRDefault="00B25611" w:rsidP="0027107B">
      <w:pPr>
        <w:rPr>
          <w:rFonts w:ascii="Times New Roman" w:hAnsi="Times New Roman"/>
          <w:szCs w:val="22"/>
          <w:lang w:val="es-PA"/>
        </w:rPr>
      </w:pPr>
      <w:r>
        <w:rPr>
          <w:rFonts w:ascii="Times New Roman" w:hAnsi="Times New Roman"/>
          <w:szCs w:val="22"/>
          <w:lang w:val="es-PA"/>
        </w:rPr>
        <w:tab/>
      </w:r>
      <w:r w:rsidR="0027107B" w:rsidRPr="00C03FF3">
        <w:rPr>
          <w:rFonts w:ascii="Times New Roman" w:hAnsi="Times New Roman"/>
          <w:szCs w:val="22"/>
          <w:lang w:val="es-PA"/>
        </w:rPr>
        <w:t>En la lucha contra la delincuencia organiz</w:t>
      </w:r>
      <w:r w:rsidR="0027107B" w:rsidRPr="00D35B6C">
        <w:rPr>
          <w:rFonts w:ascii="Times New Roman" w:hAnsi="Times New Roman"/>
          <w:szCs w:val="22"/>
          <w:lang w:val="es-PA"/>
        </w:rPr>
        <w:t>ada transnacional</w:t>
      </w:r>
      <w:r w:rsidR="0027107B" w:rsidRPr="00D35B6C">
        <w:rPr>
          <w:rFonts w:ascii="Times New Roman" w:hAnsi="Times New Roman"/>
          <w:lang w:val="es-PA"/>
        </w:rPr>
        <w:t>, el poder judicial</w:t>
      </w:r>
      <w:r w:rsidR="00D35B6C" w:rsidRPr="00D35B6C">
        <w:rPr>
          <w:rFonts w:ascii="Times New Roman" w:hAnsi="Times New Roman"/>
          <w:lang w:val="es-PA"/>
        </w:rPr>
        <w:t>,</w:t>
      </w:r>
      <w:r w:rsidR="0027107B" w:rsidRPr="00D35B6C">
        <w:rPr>
          <w:rFonts w:ascii="Times New Roman" w:hAnsi="Times New Roman"/>
          <w:lang w:val="es-PA"/>
        </w:rPr>
        <w:t xml:space="preserve"> </w:t>
      </w:r>
      <w:r w:rsidR="0027107B" w:rsidRPr="00D35B6C">
        <w:rPr>
          <w:rFonts w:ascii="Times New Roman" w:hAnsi="Times New Roman"/>
          <w:szCs w:val="22"/>
          <w:lang w:val="es-PA"/>
        </w:rPr>
        <w:t xml:space="preserve">los organismos encargados de la aplicación de la ley </w:t>
      </w:r>
      <w:r w:rsidR="0047156E" w:rsidRPr="00D35B6C">
        <w:rPr>
          <w:rFonts w:ascii="Times New Roman" w:hAnsi="Times New Roman"/>
          <w:szCs w:val="22"/>
          <w:lang w:val="es-PA"/>
        </w:rPr>
        <w:t xml:space="preserve">y las unidades de inteligencia financiera </w:t>
      </w:r>
      <w:r w:rsidR="0027107B" w:rsidRPr="00D35B6C">
        <w:rPr>
          <w:rFonts w:ascii="Times New Roman" w:hAnsi="Times New Roman"/>
          <w:szCs w:val="22"/>
          <w:lang w:val="es-PA"/>
        </w:rPr>
        <w:t>se encargan de la identificación</w:t>
      </w:r>
      <w:r w:rsidR="00D35B6C" w:rsidRPr="00D35B6C">
        <w:rPr>
          <w:rFonts w:ascii="Times New Roman" w:hAnsi="Times New Roman"/>
          <w:szCs w:val="22"/>
          <w:lang w:val="es-PA"/>
        </w:rPr>
        <w:t xml:space="preserve">, </w:t>
      </w:r>
      <w:r w:rsidR="0027107B" w:rsidRPr="00D35B6C">
        <w:rPr>
          <w:rFonts w:ascii="Times New Roman" w:hAnsi="Times New Roman"/>
          <w:szCs w:val="22"/>
          <w:lang w:val="es-PA"/>
        </w:rPr>
        <w:t>el análisis</w:t>
      </w:r>
      <w:r w:rsidR="00D35B6C" w:rsidRPr="00D35B6C">
        <w:rPr>
          <w:rFonts w:ascii="Times New Roman" w:hAnsi="Times New Roman"/>
          <w:szCs w:val="22"/>
          <w:lang w:val="es-PA"/>
        </w:rPr>
        <w:t xml:space="preserve"> </w:t>
      </w:r>
      <w:r w:rsidR="0047156E" w:rsidRPr="00D35B6C">
        <w:rPr>
          <w:rFonts w:ascii="Times New Roman" w:hAnsi="Times New Roman"/>
          <w:szCs w:val="22"/>
          <w:lang w:val="es-PA"/>
        </w:rPr>
        <w:t xml:space="preserve">y la investigación </w:t>
      </w:r>
      <w:r w:rsidR="0027107B" w:rsidRPr="00D35B6C">
        <w:rPr>
          <w:rFonts w:ascii="Times New Roman" w:hAnsi="Times New Roman"/>
          <w:szCs w:val="22"/>
          <w:lang w:val="es-PA"/>
        </w:rPr>
        <w:t xml:space="preserve">de las redes delictivas, la lucha contra el tráfico ilícito y los mercados ilícitos, la prevención de la convergencia y la confabulación delictivas, la interrupción de </w:t>
      </w:r>
      <w:r w:rsidR="0027107B" w:rsidRPr="00D35B6C">
        <w:rPr>
          <w:rFonts w:ascii="Times New Roman" w:hAnsi="Times New Roman"/>
          <w:lang w:val="es-PA"/>
        </w:rPr>
        <w:t>la transferencia de ganancias ilícitas,</w:t>
      </w:r>
      <w:r w:rsidR="0027107B" w:rsidRPr="00D35B6C">
        <w:rPr>
          <w:rFonts w:ascii="Times New Roman" w:hAnsi="Times New Roman"/>
          <w:szCs w:val="22"/>
          <w:lang w:val="es-PA"/>
        </w:rPr>
        <w:t xml:space="preserve"> así como del enjuiciamiento, el fallo y la sanción de</w:t>
      </w:r>
      <w:r w:rsidR="00D10451" w:rsidRPr="00D35B6C">
        <w:rPr>
          <w:rFonts w:ascii="Times New Roman" w:hAnsi="Times New Roman"/>
          <w:szCs w:val="22"/>
          <w:lang w:val="es-PA"/>
        </w:rPr>
        <w:t xml:space="preserve"> los actores de</w:t>
      </w:r>
      <w:r w:rsidR="0027107B" w:rsidRPr="00D35B6C">
        <w:rPr>
          <w:rFonts w:ascii="Times New Roman" w:hAnsi="Times New Roman"/>
          <w:szCs w:val="22"/>
          <w:lang w:val="es-PA"/>
        </w:rPr>
        <w:t xml:space="preserve"> la delincuencia organizada transnacional. Para apoyar el desempeño efectivo de estas funciones, se recomiendan las siguientes medidas</w:t>
      </w:r>
      <w:r w:rsidR="00DC13D9" w:rsidRPr="00D35B6C">
        <w:rPr>
          <w:rFonts w:ascii="Times New Roman" w:hAnsi="Times New Roman"/>
          <w:szCs w:val="22"/>
          <w:lang w:val="es-PA"/>
        </w:rPr>
        <w:t>, entre otras</w:t>
      </w:r>
      <w:r w:rsidR="0027107B" w:rsidRPr="00D35B6C">
        <w:rPr>
          <w:rFonts w:ascii="Times New Roman" w:hAnsi="Times New Roman"/>
          <w:szCs w:val="22"/>
          <w:lang w:val="es-PA"/>
        </w:rPr>
        <w:t>:</w:t>
      </w:r>
    </w:p>
    <w:p w14:paraId="64BF3E7E" w14:textId="77777777" w:rsidR="00D420BC" w:rsidRPr="00C03FF3" w:rsidRDefault="00D420BC" w:rsidP="00D420BC">
      <w:pPr>
        <w:rPr>
          <w:rFonts w:ascii="Times New Roman" w:hAnsi="Times New Roman"/>
          <w:szCs w:val="22"/>
          <w:lang w:val="es-PA"/>
        </w:rPr>
      </w:pPr>
    </w:p>
    <w:p w14:paraId="17CD4AAE" w14:textId="36732406" w:rsidR="00D420BC" w:rsidRPr="00C03FF3" w:rsidRDefault="00D420BC" w:rsidP="00D420BC">
      <w:pPr>
        <w:pStyle w:val="ListParagraph"/>
        <w:widowControl/>
        <w:numPr>
          <w:ilvl w:val="0"/>
          <w:numId w:val="18"/>
        </w:numPr>
        <w:spacing w:after="160"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Mejorar o ampliar, según sea el caso, la capacidad nacional de las autoridades encargadas de la aplicación de la ley para </w:t>
      </w:r>
      <w:r w:rsidRPr="00C03FF3">
        <w:rPr>
          <w:rFonts w:ascii="Times New Roman" w:hAnsi="Times New Roman"/>
          <w:lang w:val="es-PA"/>
        </w:rPr>
        <w:t>recopilar, intercambiar y analizar datos</w:t>
      </w:r>
      <w:r w:rsidR="00625C33">
        <w:rPr>
          <w:rFonts w:ascii="Times New Roman" w:hAnsi="Times New Roman"/>
          <w:lang w:val="es-PA"/>
        </w:rPr>
        <w:t xml:space="preserve"> </w:t>
      </w:r>
      <w:r w:rsidRPr="00C03FF3">
        <w:rPr>
          <w:rFonts w:ascii="Times New Roman" w:hAnsi="Times New Roman"/>
          <w:lang w:val="es-PA"/>
        </w:rPr>
        <w:t>e</w:t>
      </w:r>
      <w:r w:rsidRPr="00C03FF3">
        <w:rPr>
          <w:rFonts w:ascii="Times New Roman" w:hAnsi="Times New Roman"/>
          <w:szCs w:val="22"/>
          <w:lang w:val="es-PA"/>
        </w:rPr>
        <w:t xml:space="preserve"> </w:t>
      </w:r>
      <w:r w:rsidRPr="00C03FF3">
        <w:rPr>
          <w:rFonts w:ascii="Times New Roman" w:hAnsi="Times New Roman"/>
          <w:szCs w:val="22"/>
          <w:lang w:val="es-PA"/>
        </w:rPr>
        <w:lastRenderedPageBreak/>
        <w:t xml:space="preserve">información sobre la delincuencia organizada transnacional, así como el establecimiento de </w:t>
      </w:r>
      <w:r w:rsidRPr="00C03FF3">
        <w:rPr>
          <w:rFonts w:ascii="Times New Roman" w:hAnsi="Times New Roman"/>
          <w:lang w:val="es-PA"/>
        </w:rPr>
        <w:t>las herramientas</w:t>
      </w:r>
      <w:r w:rsidRPr="00C03FF3">
        <w:rPr>
          <w:rFonts w:ascii="Times New Roman" w:hAnsi="Times New Roman"/>
          <w:szCs w:val="22"/>
          <w:lang w:val="es-PA"/>
        </w:rPr>
        <w:t xml:space="preserve"> necesarias para </w:t>
      </w:r>
      <w:r w:rsidR="00243718" w:rsidRPr="00C03FF3">
        <w:rPr>
          <w:rFonts w:ascii="Times New Roman" w:hAnsi="Times New Roman"/>
          <w:szCs w:val="22"/>
          <w:lang w:val="es-PA"/>
        </w:rPr>
        <w:t>el intercambio de</w:t>
      </w:r>
      <w:r w:rsidRPr="00C03FF3">
        <w:rPr>
          <w:rFonts w:ascii="Times New Roman" w:hAnsi="Times New Roman"/>
          <w:szCs w:val="22"/>
          <w:lang w:val="es-PA"/>
        </w:rPr>
        <w:t xml:space="preserve"> esta información (artículo 28 de la Convención de las Naciones Unidas contra la Delincuencia Organizada Transnacional).</w:t>
      </w:r>
    </w:p>
    <w:p w14:paraId="39B6C60F" w14:textId="1903046C" w:rsidR="00D420BC" w:rsidRPr="00C03FF3" w:rsidRDefault="00D420BC" w:rsidP="00D420BC">
      <w:pPr>
        <w:pStyle w:val="ListParagraph"/>
        <w:widowControl/>
        <w:numPr>
          <w:ilvl w:val="0"/>
          <w:numId w:val="18"/>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Construir y fortalecer las capacidades en criminología y ciencias forenses, así como </w:t>
      </w:r>
      <w:r w:rsidRPr="00C03FF3">
        <w:rPr>
          <w:rFonts w:ascii="Times New Roman" w:hAnsi="Times New Roman"/>
          <w:lang w:val="es-PA"/>
        </w:rPr>
        <w:t>promulgar</w:t>
      </w:r>
      <w:r w:rsidRPr="00C03FF3">
        <w:rPr>
          <w:rFonts w:ascii="Times New Roman" w:hAnsi="Times New Roman"/>
          <w:szCs w:val="22"/>
          <w:lang w:val="es-PA"/>
        </w:rPr>
        <w:t xml:space="preserve"> el marco jurídico necesario que permita su efectiva aplicación en casos penales.</w:t>
      </w:r>
    </w:p>
    <w:p w14:paraId="33D906EA" w14:textId="16706235" w:rsidR="00D420BC" w:rsidRPr="00C03FF3" w:rsidRDefault="00D420BC" w:rsidP="00D420BC">
      <w:pPr>
        <w:pStyle w:val="ListParagraph"/>
        <w:widowControl/>
        <w:numPr>
          <w:ilvl w:val="0"/>
          <w:numId w:val="18"/>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Fortalecer el régimen interno de reglamentación y supervisión para combatir el blanqueo de dinero, de acuerdo con los lineamientos pertinentes recomendados por los </w:t>
      </w:r>
      <w:proofErr w:type="gramStart"/>
      <w:r w:rsidRPr="00C03FF3">
        <w:rPr>
          <w:rFonts w:ascii="Times New Roman" w:hAnsi="Times New Roman"/>
          <w:szCs w:val="22"/>
          <w:lang w:val="es-PA"/>
        </w:rPr>
        <w:t>organismos</w:t>
      </w:r>
      <w:r w:rsidR="00D10451" w:rsidRPr="00C03FF3">
        <w:rPr>
          <w:rFonts w:ascii="Times New Roman" w:hAnsi="Times New Roman"/>
          <w:szCs w:val="22"/>
          <w:lang w:val="es-PA"/>
        </w:rPr>
        <w:t xml:space="preserve"> </w:t>
      </w:r>
      <w:r w:rsidRPr="00C03FF3">
        <w:rPr>
          <w:rFonts w:ascii="Times New Roman" w:hAnsi="Times New Roman"/>
          <w:szCs w:val="22"/>
          <w:lang w:val="es-PA"/>
        </w:rPr>
        <w:t xml:space="preserve"> regionales</w:t>
      </w:r>
      <w:proofErr w:type="gramEnd"/>
      <w:r w:rsidRPr="00C03FF3">
        <w:rPr>
          <w:rFonts w:ascii="Times New Roman" w:hAnsi="Times New Roman"/>
          <w:szCs w:val="22"/>
          <w:lang w:val="es-PA"/>
        </w:rPr>
        <w:t xml:space="preserve"> y multilaterales especializados contra el blanqueo de activos (artículo 7 </w:t>
      </w:r>
      <w:r w:rsidRPr="00C03FF3">
        <w:rPr>
          <w:rFonts w:ascii="Times New Roman" w:hAnsi="Times New Roman"/>
          <w:lang w:val="es-PA"/>
        </w:rPr>
        <w:t>de la Convención de las Naciones Unidas contra la Delincuencia Organizada Transnacional</w:t>
      </w:r>
      <w:r w:rsidRPr="00C03FF3">
        <w:rPr>
          <w:rFonts w:ascii="Times New Roman" w:hAnsi="Times New Roman"/>
          <w:szCs w:val="22"/>
          <w:lang w:val="es-PA"/>
        </w:rPr>
        <w:t>.</w:t>
      </w:r>
    </w:p>
    <w:p w14:paraId="27EB1434" w14:textId="3E4A8FDC" w:rsidR="00D420BC" w:rsidRPr="00C03FF3" w:rsidRDefault="00D420BC" w:rsidP="00D420BC">
      <w:pPr>
        <w:pStyle w:val="ListParagraph"/>
        <w:widowControl/>
        <w:numPr>
          <w:ilvl w:val="0"/>
          <w:numId w:val="18"/>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Establecer los </w:t>
      </w:r>
      <w:r w:rsidRPr="00C03FF3">
        <w:rPr>
          <w:rFonts w:ascii="Times New Roman" w:hAnsi="Times New Roman"/>
          <w:lang w:val="es-PA"/>
        </w:rPr>
        <w:t>procesos</w:t>
      </w:r>
      <w:r w:rsidRPr="00C03FF3">
        <w:rPr>
          <w:rFonts w:ascii="Times New Roman" w:hAnsi="Times New Roman"/>
          <w:szCs w:val="22"/>
          <w:lang w:val="es-PA"/>
        </w:rPr>
        <w:t xml:space="preserve"> necesarios</w:t>
      </w:r>
      <w:r w:rsidR="00625C33">
        <w:rPr>
          <w:rFonts w:ascii="Times New Roman" w:hAnsi="Times New Roman"/>
          <w:szCs w:val="22"/>
          <w:lang w:val="es-PA"/>
        </w:rPr>
        <w:t xml:space="preserve"> </w:t>
      </w:r>
      <w:r w:rsidRPr="00C03FF3">
        <w:rPr>
          <w:rFonts w:ascii="Times New Roman" w:hAnsi="Times New Roman"/>
          <w:szCs w:val="22"/>
          <w:lang w:val="es-PA"/>
        </w:rPr>
        <w:t>y desarrollar la capacidad para realizar investigaciones financieras paralelas de manera efectiva.</w:t>
      </w:r>
    </w:p>
    <w:p w14:paraId="0072D687" w14:textId="7B6F9367" w:rsidR="00D420BC" w:rsidRPr="00C03FF3" w:rsidRDefault="00D420BC" w:rsidP="00DB5149">
      <w:pPr>
        <w:pStyle w:val="ListParagraph"/>
        <w:widowControl/>
        <w:numPr>
          <w:ilvl w:val="0"/>
          <w:numId w:val="18"/>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Establecer los </w:t>
      </w:r>
      <w:r w:rsidR="00631125" w:rsidRPr="00C03FF3">
        <w:rPr>
          <w:rFonts w:ascii="Times New Roman" w:hAnsi="Times New Roman"/>
          <w:lang w:val="es-PA"/>
        </w:rPr>
        <w:t>procesos</w:t>
      </w:r>
      <w:r w:rsidR="00631125" w:rsidRPr="00C03FF3">
        <w:rPr>
          <w:rFonts w:ascii="Times New Roman" w:hAnsi="Times New Roman"/>
          <w:szCs w:val="22"/>
          <w:lang w:val="es-PA"/>
        </w:rPr>
        <w:t xml:space="preserve"> necesarios </w:t>
      </w:r>
      <w:r w:rsidRPr="00C03FF3">
        <w:rPr>
          <w:rFonts w:ascii="Times New Roman" w:hAnsi="Times New Roman"/>
          <w:szCs w:val="22"/>
          <w:lang w:val="es-PA"/>
        </w:rPr>
        <w:t xml:space="preserve">y desarrollar la capacidad para realizar investigaciones basadas en </w:t>
      </w:r>
      <w:r w:rsidR="00D10451" w:rsidRPr="00C03FF3">
        <w:rPr>
          <w:rFonts w:ascii="Times New Roman" w:hAnsi="Times New Roman"/>
          <w:szCs w:val="22"/>
          <w:lang w:val="es-PA"/>
        </w:rPr>
        <w:t xml:space="preserve">las Tecnologías de la Información y la Comunicación </w:t>
      </w:r>
      <w:r w:rsidRPr="00C03FF3">
        <w:rPr>
          <w:rFonts w:ascii="Times New Roman" w:hAnsi="Times New Roman"/>
          <w:szCs w:val="22"/>
          <w:lang w:val="es-PA"/>
        </w:rPr>
        <w:t xml:space="preserve">de las </w:t>
      </w:r>
      <w:r w:rsidR="00AC5841" w:rsidRPr="00C03FF3">
        <w:rPr>
          <w:rFonts w:ascii="Times New Roman" w:hAnsi="Times New Roman"/>
          <w:szCs w:val="22"/>
          <w:lang w:val="es-PA"/>
        </w:rPr>
        <w:t>actividades</w:t>
      </w:r>
      <w:r w:rsidRPr="00C03FF3">
        <w:rPr>
          <w:rFonts w:ascii="Times New Roman" w:hAnsi="Times New Roman"/>
          <w:szCs w:val="22"/>
          <w:lang w:val="es-PA"/>
        </w:rPr>
        <w:t xml:space="preserve"> de la delincuencia organizada transnacional.</w:t>
      </w:r>
    </w:p>
    <w:p w14:paraId="509C9F08" w14:textId="57D8A193" w:rsidR="00D420BC" w:rsidRPr="00C03FF3" w:rsidRDefault="00D420BC" w:rsidP="00D420BC">
      <w:pPr>
        <w:pStyle w:val="ListParagraph"/>
        <w:widowControl/>
        <w:numPr>
          <w:ilvl w:val="0"/>
          <w:numId w:val="18"/>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Adoptar o fortalecer dichas medidas o la capacidad, según sea necesario, para permitir la identificación, rastreo, congelamiento, decomiso, incautación y eliminación producto, los activos y los bienes derivados, utilizados o destinados a ser utilizados en la delincuencia organizada, así como la cooperación internacional en este sentido (artículo 12 de la Convención de las Naciones Unidas contra la Delincuencia Organizada Transnacional).</w:t>
      </w:r>
    </w:p>
    <w:p w14:paraId="238DD345" w14:textId="77777777" w:rsidR="00D420BC" w:rsidRPr="00C03FF3" w:rsidRDefault="00D420BC" w:rsidP="00D420BC">
      <w:pPr>
        <w:pStyle w:val="ListParagraph"/>
        <w:widowControl/>
        <w:numPr>
          <w:ilvl w:val="0"/>
          <w:numId w:val="18"/>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Fortalecimiento de las capacidades, aptitudes y habilidades de los funcionarios policiales en materia de análisis de delitos, inteligencia policial y penitenciaria, así como en el uso de la investigación y las técnicas especiales de investigación.</w:t>
      </w:r>
    </w:p>
    <w:p w14:paraId="12EEC973" w14:textId="77777777" w:rsidR="00D420BC" w:rsidRPr="00C03FF3" w:rsidRDefault="00D420BC" w:rsidP="00D420BC">
      <w:pPr>
        <w:pStyle w:val="ListParagraph"/>
        <w:widowControl/>
        <w:numPr>
          <w:ilvl w:val="0"/>
          <w:numId w:val="18"/>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Considerar la adopción o el fortalecimiento de políticas internas de intercambio de información en materia de antecedentes penales, análisis penales, </w:t>
      </w:r>
      <w:proofErr w:type="gramStart"/>
      <w:r w:rsidRPr="00C03FF3">
        <w:rPr>
          <w:rFonts w:ascii="Times New Roman" w:hAnsi="Times New Roman"/>
          <w:szCs w:val="22"/>
          <w:lang w:val="es-PA"/>
        </w:rPr>
        <w:t>investigaciones penales y procesos penales</w:t>
      </w:r>
      <w:proofErr w:type="gramEnd"/>
      <w:r w:rsidRPr="00C03FF3">
        <w:rPr>
          <w:rFonts w:ascii="Times New Roman" w:hAnsi="Times New Roman"/>
          <w:szCs w:val="22"/>
          <w:lang w:val="es-PA"/>
        </w:rPr>
        <w:t>.</w:t>
      </w:r>
    </w:p>
    <w:p w14:paraId="6DB2E9E9" w14:textId="77777777" w:rsidR="00D420BC" w:rsidRPr="00C03FF3" w:rsidRDefault="00D420BC" w:rsidP="00D420BC">
      <w:pPr>
        <w:pStyle w:val="ListParagraph"/>
        <w:widowControl/>
        <w:numPr>
          <w:ilvl w:val="0"/>
          <w:numId w:val="18"/>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Considerar la adopción o el fortalecimiento del ordenamiento jurídico nacional para que permita el uso apropiado de las técnicas especiales de investigación descritas en la Convención de las Naciones Unidas contra la Delincuencia Organizada Transnacional (artículo 20 de la </w:t>
      </w:r>
      <w:bookmarkStart w:id="0" w:name="_Hlk69631697"/>
      <w:r w:rsidRPr="00C03FF3">
        <w:rPr>
          <w:rFonts w:ascii="Times New Roman" w:hAnsi="Times New Roman"/>
          <w:szCs w:val="22"/>
          <w:lang w:val="es-PA"/>
        </w:rPr>
        <w:t>Convención de las Naciones Unidas contra la Delincuencia Organizada Transnacional</w:t>
      </w:r>
      <w:bookmarkEnd w:id="0"/>
      <w:r w:rsidRPr="00C03FF3">
        <w:rPr>
          <w:rFonts w:ascii="Times New Roman" w:hAnsi="Times New Roman"/>
          <w:szCs w:val="22"/>
          <w:lang w:val="es-PA"/>
        </w:rPr>
        <w:t>).</w:t>
      </w:r>
    </w:p>
    <w:p w14:paraId="03C48523" w14:textId="77777777" w:rsidR="00D420BC" w:rsidRPr="00C03FF3" w:rsidRDefault="00D420BC" w:rsidP="00D420BC">
      <w:pPr>
        <w:pStyle w:val="ListParagraph"/>
        <w:widowControl/>
        <w:numPr>
          <w:ilvl w:val="0"/>
          <w:numId w:val="18"/>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Considerar el establecimiento o fortalecimiento de los ordenamientos jurídicos y administrativos con miras a mejorar la cooperación efectiva en materia de aplicación de la ley; establecer, cuando sea necesario, los canales de comunicación y los acuerdos adecuados (artículo 27 de la </w:t>
      </w:r>
      <w:bookmarkStart w:id="1" w:name="_Hlk69635680"/>
      <w:r w:rsidRPr="00C03FF3">
        <w:rPr>
          <w:rFonts w:ascii="Times New Roman" w:hAnsi="Times New Roman"/>
          <w:szCs w:val="22"/>
          <w:lang w:val="es-PA"/>
        </w:rPr>
        <w:t>Convención de las Naciones Unidas contra la Delincuencia Organizada Transnacional</w:t>
      </w:r>
      <w:bookmarkEnd w:id="1"/>
      <w:r w:rsidRPr="00C03FF3">
        <w:rPr>
          <w:rFonts w:ascii="Times New Roman" w:hAnsi="Times New Roman"/>
          <w:szCs w:val="22"/>
          <w:lang w:val="es-PA"/>
        </w:rPr>
        <w:t>).</w:t>
      </w:r>
    </w:p>
    <w:p w14:paraId="25343C00" w14:textId="77777777" w:rsidR="00D420BC" w:rsidRPr="00C03FF3" w:rsidRDefault="00D420BC" w:rsidP="00D420BC">
      <w:pPr>
        <w:pStyle w:val="ListParagraph"/>
        <w:widowControl/>
        <w:numPr>
          <w:ilvl w:val="0"/>
          <w:numId w:val="18"/>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Considerar la adopción e implementación de mecanismos procesales, legales y operativos para la protección efectiva de testigos, víctimas y personal policial (artículo 24 de la Convención de las Naciones Unidas contra la Delincuencia Organizada Transnacional).</w:t>
      </w:r>
    </w:p>
    <w:p w14:paraId="5FEE8CE3" w14:textId="77777777" w:rsidR="00D420BC" w:rsidRPr="00C03FF3" w:rsidRDefault="00D420BC" w:rsidP="00D420BC">
      <w:pPr>
        <w:pStyle w:val="ListParagraph"/>
        <w:widowControl/>
        <w:numPr>
          <w:ilvl w:val="0"/>
          <w:numId w:val="18"/>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Considerar el fortalecimiento de la capacidad técnica y de los marcos legislativo y normativo de los controles fronterizos para mejorar la prevención y detección de la </w:t>
      </w:r>
      <w:r w:rsidRPr="00C03FF3">
        <w:rPr>
          <w:rFonts w:ascii="Times New Roman" w:hAnsi="Times New Roman"/>
          <w:szCs w:val="22"/>
          <w:lang w:val="es-PA"/>
        </w:rPr>
        <w:lastRenderedPageBreak/>
        <w:t xml:space="preserve">trata de personas (artículo 11 del Protocolo </w:t>
      </w:r>
      <w:r w:rsidRPr="00C03FF3">
        <w:rPr>
          <w:lang w:val="es-PA"/>
        </w:rPr>
        <w:t>para prevenir, reprimir y sancionar la trata de personas, especialmente mujeres y niños, que complementa la Convención de las Naciones Unidas contra la Delincuencia Organizada</w:t>
      </w:r>
      <w:r w:rsidRPr="00C03FF3">
        <w:rPr>
          <w:rFonts w:ascii="Times New Roman" w:hAnsi="Times New Roman"/>
          <w:szCs w:val="22"/>
          <w:lang w:val="es-PA"/>
        </w:rPr>
        <w:t>)</w:t>
      </w:r>
    </w:p>
    <w:p w14:paraId="5D9FC5D7" w14:textId="220AD791" w:rsidR="00D420BC" w:rsidRDefault="00D420BC" w:rsidP="00D420BC">
      <w:pPr>
        <w:pStyle w:val="ListParagraph"/>
        <w:widowControl/>
        <w:numPr>
          <w:ilvl w:val="0"/>
          <w:numId w:val="18"/>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Considerar la adopción o el fortalecimiento de sistemas de emisión y control de documentos de viaje e identidad para mejorar su integridad y seguridad, y prevenir su creación ilícita y su uso indebido (artículo 12 del Protocolo </w:t>
      </w:r>
      <w:r w:rsidRPr="00C03FF3">
        <w:rPr>
          <w:lang w:val="es-PA"/>
        </w:rPr>
        <w:t>para prevenir, reprimir y sancionar la trata de personas, especialmente mujeres y niños, que complementa la Convención de las Naciones Unidas contra la Delincuencia Organizada</w:t>
      </w:r>
      <w:r w:rsidRPr="00C03FF3">
        <w:rPr>
          <w:rFonts w:ascii="Times New Roman" w:hAnsi="Times New Roman"/>
          <w:szCs w:val="22"/>
          <w:lang w:val="es-PA"/>
        </w:rPr>
        <w:t>)</w:t>
      </w:r>
    </w:p>
    <w:p w14:paraId="30A779FA" w14:textId="4EFB16C6" w:rsidR="00CA4949" w:rsidRPr="00BD3169" w:rsidRDefault="007E30CB" w:rsidP="00BD3169">
      <w:pPr>
        <w:pStyle w:val="ListParagraph"/>
        <w:widowControl/>
        <w:numPr>
          <w:ilvl w:val="0"/>
          <w:numId w:val="18"/>
        </w:numPr>
        <w:spacing w:line="256" w:lineRule="auto"/>
        <w:ind w:left="1440" w:hanging="720"/>
        <w:contextualSpacing/>
        <w:rPr>
          <w:rFonts w:ascii="Times New Roman" w:hAnsi="Times New Roman"/>
          <w:szCs w:val="22"/>
          <w:lang w:val="es-PA"/>
        </w:rPr>
      </w:pPr>
      <w:r w:rsidRPr="004E1DAF">
        <w:rPr>
          <w:rFonts w:ascii="Times New Roman" w:hAnsi="Times New Roman"/>
          <w:szCs w:val="22"/>
          <w:lang w:val="es-VE"/>
        </w:rPr>
        <w:t>Apoyar a los Estados Miembros para que actualicen e implementen nuevos marcos jurídicos a fin de responder y perseguir con más eficacia a la delincuencia cibernética</w:t>
      </w:r>
      <w:r w:rsidR="00F564A2" w:rsidRPr="004E1DAF">
        <w:rPr>
          <w:rFonts w:ascii="Times New Roman" w:hAnsi="Times New Roman"/>
          <w:szCs w:val="22"/>
          <w:lang w:val="es-VE"/>
        </w:rPr>
        <w:t>.</w:t>
      </w:r>
    </w:p>
    <w:p w14:paraId="2E87F183" w14:textId="77777777" w:rsidR="00F564A2" w:rsidRPr="004E1DAF" w:rsidRDefault="00F564A2" w:rsidP="00CA4949">
      <w:pPr>
        <w:rPr>
          <w:rFonts w:ascii="Times New Roman" w:hAnsi="Times New Roman"/>
          <w:szCs w:val="22"/>
          <w:lang w:val="es-VE"/>
        </w:rPr>
      </w:pPr>
    </w:p>
    <w:p w14:paraId="52EC575C" w14:textId="11654FD0" w:rsidR="00FA20C3" w:rsidRPr="00C03FF3" w:rsidRDefault="00E352C8" w:rsidP="00863D9C">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hanging="720"/>
        <w:contextualSpacing/>
        <w:rPr>
          <w:rFonts w:ascii="Times New Roman" w:hAnsi="Times New Roman"/>
          <w:szCs w:val="22"/>
          <w:u w:val="single"/>
          <w:lang w:val="es-PA"/>
        </w:rPr>
      </w:pPr>
      <w:r w:rsidRPr="00C03FF3">
        <w:rPr>
          <w:rFonts w:ascii="Times New Roman" w:hAnsi="Times New Roman"/>
          <w:szCs w:val="22"/>
          <w:u w:val="single"/>
          <w:lang w:val="es-PA"/>
        </w:rPr>
        <w:t>Capacitación</w:t>
      </w:r>
    </w:p>
    <w:p w14:paraId="0C5ED974" w14:textId="3FA58396" w:rsidR="009E0B3E" w:rsidRPr="00C03FF3" w:rsidRDefault="00B25611" w:rsidP="00FA20C3">
      <w:pPr>
        <w:rPr>
          <w:rFonts w:ascii="Times New Roman" w:hAnsi="Times New Roman"/>
          <w:szCs w:val="22"/>
          <w:lang w:val="es-PA"/>
        </w:rPr>
      </w:pPr>
      <w:r>
        <w:rPr>
          <w:rFonts w:ascii="Times New Roman" w:hAnsi="Times New Roman"/>
          <w:szCs w:val="22"/>
          <w:lang w:val="es-PA"/>
        </w:rPr>
        <w:tab/>
      </w:r>
      <w:r w:rsidR="009E0B3E" w:rsidRPr="00C03FF3">
        <w:rPr>
          <w:rFonts w:ascii="Times New Roman" w:hAnsi="Times New Roman"/>
          <w:szCs w:val="22"/>
          <w:lang w:val="es-PA"/>
        </w:rPr>
        <w:t xml:space="preserve">El </w:t>
      </w:r>
      <w:proofErr w:type="gramStart"/>
      <w:r w:rsidR="009E0B3E" w:rsidRPr="00C03FF3">
        <w:rPr>
          <w:rFonts w:ascii="Times New Roman" w:hAnsi="Times New Roman"/>
          <w:szCs w:val="22"/>
          <w:lang w:val="es-PA"/>
        </w:rPr>
        <w:t>Hemisferio</w:t>
      </w:r>
      <w:proofErr w:type="gramEnd"/>
      <w:r w:rsidR="009E0B3E" w:rsidRPr="00C03FF3">
        <w:rPr>
          <w:rFonts w:ascii="Times New Roman" w:hAnsi="Times New Roman"/>
          <w:szCs w:val="22"/>
          <w:lang w:val="es-PA"/>
        </w:rPr>
        <w:t xml:space="preserve"> está integrado por Estados Miembros con diferentes capacidades y experiencias en la lucha contra </w:t>
      </w:r>
      <w:r w:rsidR="008E2D70" w:rsidRPr="00C03FF3">
        <w:rPr>
          <w:rFonts w:ascii="Times New Roman" w:hAnsi="Times New Roman"/>
          <w:szCs w:val="22"/>
          <w:lang w:val="es-PA"/>
        </w:rPr>
        <w:t>la delincuencia</w:t>
      </w:r>
      <w:r w:rsidR="009E0B3E" w:rsidRPr="00C03FF3">
        <w:rPr>
          <w:rFonts w:ascii="Times New Roman" w:hAnsi="Times New Roman"/>
          <w:szCs w:val="22"/>
          <w:lang w:val="es-PA"/>
        </w:rPr>
        <w:t xml:space="preserve"> organizad</w:t>
      </w:r>
      <w:r w:rsidR="008E2D70" w:rsidRPr="00C03FF3">
        <w:rPr>
          <w:rFonts w:ascii="Times New Roman" w:hAnsi="Times New Roman"/>
          <w:szCs w:val="22"/>
          <w:lang w:val="es-PA"/>
        </w:rPr>
        <w:t>a</w:t>
      </w:r>
      <w:r w:rsidR="009E0B3E" w:rsidRPr="00C03FF3">
        <w:rPr>
          <w:rFonts w:ascii="Times New Roman" w:hAnsi="Times New Roman"/>
          <w:szCs w:val="22"/>
          <w:lang w:val="es-PA"/>
        </w:rPr>
        <w:t xml:space="preserve"> transnacional. A fin de interrumpir eficazmente las actividades transnacionales de los grupos </w:t>
      </w:r>
      <w:r w:rsidR="008E2D70" w:rsidRPr="00C03FF3">
        <w:rPr>
          <w:rFonts w:ascii="Times New Roman" w:hAnsi="Times New Roman"/>
          <w:szCs w:val="22"/>
          <w:lang w:val="es-PA"/>
        </w:rPr>
        <w:t>de delincuencia organizada</w:t>
      </w:r>
      <w:r w:rsidR="009E0B3E" w:rsidRPr="00C03FF3">
        <w:rPr>
          <w:rFonts w:ascii="Times New Roman" w:hAnsi="Times New Roman"/>
          <w:szCs w:val="22"/>
          <w:lang w:val="es-PA"/>
        </w:rPr>
        <w:t xml:space="preserve">, los Estados </w:t>
      </w:r>
      <w:r w:rsidR="008E2D70" w:rsidRPr="00C03FF3">
        <w:rPr>
          <w:rFonts w:ascii="Times New Roman" w:hAnsi="Times New Roman"/>
          <w:szCs w:val="22"/>
          <w:lang w:val="es-PA"/>
        </w:rPr>
        <w:t>M</w:t>
      </w:r>
      <w:r w:rsidR="009E0B3E" w:rsidRPr="00C03FF3">
        <w:rPr>
          <w:rFonts w:ascii="Times New Roman" w:hAnsi="Times New Roman"/>
          <w:szCs w:val="22"/>
          <w:lang w:val="es-PA"/>
        </w:rPr>
        <w:t xml:space="preserve">iembros deben cooperar para fortalecer las aptitudes y habilidades del personal especializado. Para ello, se recomiendan las siguientes </w:t>
      </w:r>
      <w:r w:rsidR="00002003" w:rsidRPr="00C03FF3">
        <w:rPr>
          <w:rFonts w:ascii="Times New Roman" w:hAnsi="Times New Roman"/>
          <w:szCs w:val="22"/>
          <w:lang w:val="es-PA"/>
        </w:rPr>
        <w:t>medidas</w:t>
      </w:r>
      <w:r w:rsidR="009E0B3E" w:rsidRPr="00C03FF3">
        <w:rPr>
          <w:rFonts w:ascii="Times New Roman" w:hAnsi="Times New Roman"/>
          <w:szCs w:val="22"/>
          <w:lang w:val="es-PA"/>
        </w:rPr>
        <w:t>:</w:t>
      </w:r>
    </w:p>
    <w:p w14:paraId="15F8E431" w14:textId="77777777" w:rsidR="0074452F" w:rsidRPr="00C03FF3" w:rsidRDefault="0074452F" w:rsidP="00FA20C3">
      <w:pPr>
        <w:rPr>
          <w:rFonts w:ascii="Times New Roman" w:hAnsi="Times New Roman"/>
          <w:szCs w:val="22"/>
          <w:lang w:val="es-PA"/>
        </w:rPr>
      </w:pPr>
    </w:p>
    <w:p w14:paraId="22593E7F" w14:textId="0E57F7AE" w:rsidR="0074452F" w:rsidRDefault="0074452F" w:rsidP="0074452F">
      <w:pPr>
        <w:pStyle w:val="ListParagraph"/>
        <w:widowControl/>
        <w:numPr>
          <w:ilvl w:val="0"/>
          <w:numId w:val="19"/>
        </w:numPr>
        <w:spacing w:after="160"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Promover la </w:t>
      </w:r>
      <w:r w:rsidRPr="00066EB3">
        <w:rPr>
          <w:rFonts w:ascii="Times New Roman" w:hAnsi="Times New Roman"/>
          <w:szCs w:val="22"/>
          <w:lang w:val="es-PA"/>
        </w:rPr>
        <w:t xml:space="preserve">capacitación y asistencia técnica </w:t>
      </w:r>
      <w:r w:rsidR="00097EDF" w:rsidRPr="00066EB3">
        <w:rPr>
          <w:rFonts w:ascii="Times New Roman" w:hAnsi="Times New Roman"/>
          <w:szCs w:val="22"/>
          <w:lang w:val="es-PA"/>
        </w:rPr>
        <w:t xml:space="preserve">centradas en las víctimas que tenga en cuenta las necesidades </w:t>
      </w:r>
      <w:r w:rsidR="00066EB3" w:rsidRPr="00066EB3">
        <w:rPr>
          <w:rFonts w:ascii="Times New Roman" w:hAnsi="Times New Roman"/>
          <w:szCs w:val="22"/>
          <w:lang w:val="es-PA"/>
        </w:rPr>
        <w:t>específicas</w:t>
      </w:r>
      <w:r w:rsidR="00097EDF" w:rsidRPr="00066EB3">
        <w:rPr>
          <w:rFonts w:ascii="Times New Roman" w:hAnsi="Times New Roman"/>
          <w:szCs w:val="22"/>
          <w:lang w:val="es-PA"/>
        </w:rPr>
        <w:t xml:space="preserve"> de las víctimas </w:t>
      </w:r>
      <w:r w:rsidRPr="00066EB3">
        <w:rPr>
          <w:rFonts w:ascii="Times New Roman" w:hAnsi="Times New Roman"/>
          <w:szCs w:val="22"/>
          <w:lang w:val="es-PA"/>
        </w:rPr>
        <w:t>que</w:t>
      </w:r>
      <w:r w:rsidRPr="00C03FF3">
        <w:rPr>
          <w:rFonts w:ascii="Times New Roman" w:hAnsi="Times New Roman"/>
          <w:szCs w:val="22"/>
          <w:lang w:val="es-PA"/>
        </w:rPr>
        <w:t xml:space="preserve"> fortalezca la capacidad del personal encargado de hacer cumplir la ley para analizar </w:t>
      </w:r>
      <w:r w:rsidRPr="00C03FF3">
        <w:rPr>
          <w:rFonts w:ascii="Times New Roman" w:hAnsi="Times New Roman"/>
          <w:lang w:val="es-PA"/>
        </w:rPr>
        <w:t>e</w:t>
      </w:r>
      <w:r w:rsidRPr="00C03FF3">
        <w:rPr>
          <w:rFonts w:ascii="Times New Roman" w:hAnsi="Times New Roman"/>
          <w:szCs w:val="22"/>
          <w:lang w:val="es-PA"/>
        </w:rPr>
        <w:t xml:space="preserve"> investigar, juzgar y sancionar a la delincuencia organizada transnacional (artículo 29 de la </w:t>
      </w:r>
      <w:r w:rsidRPr="00C03FF3">
        <w:rPr>
          <w:lang w:val="es-PA"/>
        </w:rPr>
        <w:t>Convención de las Naciones Unidas contra la Delincuencia Organizada</w:t>
      </w:r>
      <w:r w:rsidRPr="00C03FF3">
        <w:rPr>
          <w:rFonts w:ascii="Times New Roman" w:hAnsi="Times New Roman"/>
          <w:szCs w:val="22"/>
          <w:lang w:val="es-PA"/>
        </w:rPr>
        <w:t xml:space="preserve"> Transnacional).</w:t>
      </w:r>
    </w:p>
    <w:p w14:paraId="54BF5219" w14:textId="77777777" w:rsidR="0074452F" w:rsidRPr="00C03FF3" w:rsidRDefault="0074452F" w:rsidP="0074452F">
      <w:pPr>
        <w:pStyle w:val="ListParagraph"/>
        <w:widowControl/>
        <w:numPr>
          <w:ilvl w:val="0"/>
          <w:numId w:val="19"/>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Promover el uso de materiales de capacitación que incorporen lecciones aprendidas y experiencias de estudios de casos reales nacionales y regionales.</w:t>
      </w:r>
    </w:p>
    <w:p w14:paraId="4ABD5941" w14:textId="77777777" w:rsidR="0074452F" w:rsidRPr="00C03FF3" w:rsidRDefault="0074452F" w:rsidP="0074452F">
      <w:pPr>
        <w:pStyle w:val="ListParagraph"/>
        <w:widowControl/>
        <w:numPr>
          <w:ilvl w:val="0"/>
          <w:numId w:val="19"/>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Intercambiar experiencias y mejores prácticas para mejorar las capacidades existentes a fin de prevenir, investigar y procesar judicialmente a la delincuencia organizada transnacional.</w:t>
      </w:r>
    </w:p>
    <w:p w14:paraId="5D15FA16" w14:textId="01F1EDBE" w:rsidR="0074452F" w:rsidRPr="00C03FF3" w:rsidRDefault="0074452F" w:rsidP="0074452F">
      <w:pPr>
        <w:pStyle w:val="ListParagraph"/>
        <w:widowControl/>
        <w:numPr>
          <w:ilvl w:val="0"/>
          <w:numId w:val="19"/>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Desarrollar y/o apoyar programas de capacitación específicos, en los ámbitos bilateral, multilateral, subregional y regional, que promuevan las metas de la Estrategia Hemisférica.</w:t>
      </w:r>
    </w:p>
    <w:p w14:paraId="393A3145" w14:textId="77777777" w:rsidR="00A55517" w:rsidRPr="00C03FF3" w:rsidRDefault="00A55517" w:rsidP="00CA4949">
      <w:pPr>
        <w:widowControl/>
        <w:spacing w:line="256" w:lineRule="auto"/>
        <w:contextualSpacing/>
        <w:rPr>
          <w:rFonts w:ascii="Times New Roman" w:hAnsi="Times New Roman"/>
          <w:szCs w:val="22"/>
          <w:lang w:val="es-PA"/>
        </w:rPr>
      </w:pPr>
    </w:p>
    <w:p w14:paraId="21BED13D" w14:textId="114E5C77" w:rsidR="007B19BD" w:rsidRPr="00C03FF3" w:rsidRDefault="007B19BD" w:rsidP="00CA4949">
      <w:pPr>
        <w:pStyle w:val="ListParagraph"/>
        <w:widowControl/>
        <w:numPr>
          <w:ilvl w:val="0"/>
          <w:numId w:val="1"/>
        </w:numPr>
        <w:spacing w:line="256" w:lineRule="auto"/>
        <w:ind w:hanging="720"/>
        <w:contextualSpacing/>
        <w:rPr>
          <w:rFonts w:ascii="Times New Roman" w:hAnsi="Times New Roman"/>
          <w:szCs w:val="22"/>
          <w:u w:val="single"/>
          <w:lang w:val="es-PA"/>
        </w:rPr>
      </w:pPr>
      <w:r w:rsidRPr="00C03FF3">
        <w:rPr>
          <w:rFonts w:ascii="Times New Roman" w:hAnsi="Times New Roman"/>
          <w:szCs w:val="22"/>
          <w:u w:val="single"/>
          <w:lang w:val="es-PA"/>
        </w:rPr>
        <w:t>Datos, información y gestión de la información</w:t>
      </w:r>
    </w:p>
    <w:p w14:paraId="2F281847" w14:textId="77777777" w:rsidR="0074452F" w:rsidRPr="00C03FF3" w:rsidRDefault="0074452F" w:rsidP="00CA4949">
      <w:pPr>
        <w:rPr>
          <w:rFonts w:ascii="Times New Roman" w:hAnsi="Times New Roman"/>
          <w:szCs w:val="22"/>
          <w:lang w:val="es-PA"/>
        </w:rPr>
      </w:pPr>
    </w:p>
    <w:p w14:paraId="4D69F96F" w14:textId="4BB5DDEB" w:rsidR="007B19BD" w:rsidRPr="00C03FF3" w:rsidRDefault="00B25611" w:rsidP="007B19BD">
      <w:pPr>
        <w:rPr>
          <w:rFonts w:ascii="Times New Roman" w:hAnsi="Times New Roman"/>
          <w:lang w:val="es-PA"/>
        </w:rPr>
      </w:pPr>
      <w:r>
        <w:rPr>
          <w:rFonts w:ascii="Times New Roman" w:hAnsi="Times New Roman"/>
          <w:szCs w:val="22"/>
          <w:lang w:val="es-PA"/>
        </w:rPr>
        <w:tab/>
      </w:r>
      <w:r w:rsidR="007B19BD" w:rsidRPr="00C03FF3">
        <w:rPr>
          <w:rFonts w:ascii="Times New Roman" w:hAnsi="Times New Roman"/>
          <w:szCs w:val="22"/>
          <w:lang w:val="es-PA"/>
        </w:rPr>
        <w:t>El intercambio oportuno, regular y seguro de datos, información y conocimientos precisos entre los Estados es un componente vital de la labor de cada país para interrumpir, investigar, enjuiciar y sancionar a la delincuencia organizada transnacional. En este sentido, se recomiendan las siguientes</w:t>
      </w:r>
      <w:r w:rsidR="007B19BD" w:rsidRPr="00C03FF3">
        <w:rPr>
          <w:rFonts w:ascii="Times New Roman" w:hAnsi="Times New Roman"/>
          <w:strike/>
          <w:lang w:val="es-PA"/>
        </w:rPr>
        <w:t xml:space="preserve"> </w:t>
      </w:r>
      <w:r w:rsidR="007B19BD" w:rsidRPr="00C03FF3">
        <w:rPr>
          <w:rFonts w:ascii="Times New Roman" w:hAnsi="Times New Roman"/>
          <w:lang w:val="es-PA"/>
        </w:rPr>
        <w:t>acciones:</w:t>
      </w:r>
    </w:p>
    <w:p w14:paraId="7592FC06" w14:textId="77777777" w:rsidR="007B19BD" w:rsidRPr="00C03FF3" w:rsidRDefault="007B19BD" w:rsidP="007B19BD">
      <w:pPr>
        <w:rPr>
          <w:rFonts w:ascii="Times New Roman" w:hAnsi="Times New Roman"/>
          <w:szCs w:val="22"/>
          <w:lang w:val="es-PA"/>
        </w:rPr>
      </w:pPr>
    </w:p>
    <w:p w14:paraId="22DB772E" w14:textId="77777777" w:rsidR="007B19BD" w:rsidRPr="00422A6B" w:rsidRDefault="007B19BD" w:rsidP="00422A6B">
      <w:pPr>
        <w:widowControl/>
        <w:spacing w:after="160" w:line="256" w:lineRule="auto"/>
        <w:ind w:left="720"/>
        <w:contextualSpacing/>
        <w:rPr>
          <w:rFonts w:ascii="Times New Roman" w:hAnsi="Times New Roman"/>
          <w:szCs w:val="22"/>
          <w:lang w:val="es-PA"/>
        </w:rPr>
      </w:pPr>
      <w:r w:rsidRPr="00422A6B">
        <w:rPr>
          <w:rFonts w:ascii="Times New Roman" w:hAnsi="Times New Roman"/>
          <w:szCs w:val="22"/>
          <w:lang w:val="es-PA"/>
        </w:rPr>
        <w:t xml:space="preserve">Los Estados Miembros designan una Autoridad Nacional sobre delincuencia organizada transnacional y notifican a la Secretaría General por escrito.  </w:t>
      </w:r>
    </w:p>
    <w:p w14:paraId="5877E312" w14:textId="77777777" w:rsidR="007B19BD" w:rsidRPr="00C03FF3" w:rsidRDefault="007B19BD" w:rsidP="007B19BD">
      <w:pPr>
        <w:pStyle w:val="ListParagraph"/>
        <w:widowControl/>
        <w:numPr>
          <w:ilvl w:val="0"/>
          <w:numId w:val="20"/>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Los Estados Miembros designan un Punto de Contacto Nacional sobre delincuencia organizada transnacional y notifican por escrito a la Secretaría General.</w:t>
      </w:r>
    </w:p>
    <w:p w14:paraId="0A4F0EB2" w14:textId="77777777" w:rsidR="007B19BD" w:rsidRPr="00C03FF3" w:rsidRDefault="007B19BD" w:rsidP="007B19BD">
      <w:pPr>
        <w:pStyle w:val="ListParagraph"/>
        <w:widowControl/>
        <w:numPr>
          <w:ilvl w:val="0"/>
          <w:numId w:val="20"/>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lastRenderedPageBreak/>
        <w:t>Los Estados Miembros</w:t>
      </w:r>
      <w:r w:rsidRPr="00C03FF3">
        <w:rPr>
          <w:lang w:val="es-PA"/>
        </w:rPr>
        <w:t xml:space="preserve"> </w:t>
      </w:r>
      <w:r w:rsidRPr="00C03FF3">
        <w:rPr>
          <w:rFonts w:ascii="Times New Roman" w:hAnsi="Times New Roman"/>
          <w:szCs w:val="22"/>
          <w:lang w:val="es-PA"/>
        </w:rPr>
        <w:t>mantienen informada a la Secretaría General sobre todas las actualizaciones con respecto a las autoridades nacionales y los puntos de contacto nacionales.</w:t>
      </w:r>
    </w:p>
    <w:p w14:paraId="15F37E63" w14:textId="77777777" w:rsidR="007B19BD" w:rsidRPr="00C03FF3" w:rsidRDefault="007B19BD" w:rsidP="007B19BD">
      <w:pPr>
        <w:pStyle w:val="ListParagraph"/>
        <w:widowControl/>
        <w:numPr>
          <w:ilvl w:val="0"/>
          <w:numId w:val="20"/>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La Secretaría General mantiene, actualiza y publica una lista de autoridades nacionales y puntos de contacto nacionales basándose en la información suministrada por los Estados Miembros.</w:t>
      </w:r>
    </w:p>
    <w:p w14:paraId="39444686" w14:textId="77777777" w:rsidR="007B19BD" w:rsidRPr="00C03FF3" w:rsidRDefault="007B19BD" w:rsidP="007B19BD">
      <w:pPr>
        <w:pStyle w:val="ListParagraph"/>
        <w:widowControl/>
        <w:numPr>
          <w:ilvl w:val="0"/>
          <w:numId w:val="20"/>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Los Estados Miembros envían oportunamente a la Secretaría General los cuestionarios de la </w:t>
      </w:r>
      <w:proofErr w:type="spellStart"/>
      <w:r w:rsidRPr="00C03FF3">
        <w:rPr>
          <w:rFonts w:ascii="Times New Roman" w:hAnsi="Times New Roman"/>
          <w:szCs w:val="22"/>
          <w:lang w:val="es-PA"/>
        </w:rPr>
        <w:t>UNODC</w:t>
      </w:r>
      <w:proofErr w:type="spellEnd"/>
      <w:r w:rsidRPr="00C03FF3">
        <w:rPr>
          <w:rFonts w:ascii="Times New Roman" w:hAnsi="Times New Roman"/>
          <w:szCs w:val="22"/>
          <w:lang w:val="es-PA"/>
        </w:rPr>
        <w:t xml:space="preserve"> y la OEA relacionados con la delincuencia organizada transnacional para que puedan subirse y compartirse a través de las correspondientes plataformas y bases de datos de la OEA. </w:t>
      </w:r>
    </w:p>
    <w:p w14:paraId="0B52631E" w14:textId="1EDAD41B" w:rsidR="007B19BD" w:rsidRPr="00C03FF3" w:rsidRDefault="007B19BD" w:rsidP="007B19BD">
      <w:pPr>
        <w:pStyle w:val="ListParagraph"/>
        <w:widowControl/>
        <w:numPr>
          <w:ilvl w:val="0"/>
          <w:numId w:val="20"/>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Los Estados Miembros aseguran que las leyes y planes (políticas, estrategias o programas) sobre la delincuencia organizada transnacional sean compartidos </w:t>
      </w:r>
      <w:r w:rsidRPr="00C03FF3">
        <w:rPr>
          <w:rFonts w:ascii="Times New Roman" w:hAnsi="Times New Roman"/>
          <w:lang w:val="es-PA"/>
        </w:rPr>
        <w:t>con los Estados Miembros de la</w:t>
      </w:r>
      <w:r w:rsidRPr="00C03FF3">
        <w:rPr>
          <w:rFonts w:ascii="Times New Roman" w:hAnsi="Times New Roman"/>
          <w:szCs w:val="22"/>
          <w:lang w:val="es-PA"/>
        </w:rPr>
        <w:t xml:space="preserve"> </w:t>
      </w:r>
      <w:r w:rsidRPr="00C03FF3">
        <w:rPr>
          <w:rFonts w:ascii="Times New Roman" w:hAnsi="Times New Roman"/>
          <w:lang w:val="es-PA"/>
        </w:rPr>
        <w:t>OEA</w:t>
      </w:r>
      <w:r w:rsidRPr="00C03FF3">
        <w:rPr>
          <w:rFonts w:ascii="Times New Roman" w:hAnsi="Times New Roman"/>
          <w:szCs w:val="22"/>
          <w:lang w:val="es-PA"/>
        </w:rPr>
        <w:t xml:space="preserve"> y la Secretaría General se asegurará de que dichas bases de datos sean de fácil acceso, simplificadas y consolidadas.</w:t>
      </w:r>
    </w:p>
    <w:p w14:paraId="72B1209B" w14:textId="77777777" w:rsidR="007B19BD" w:rsidRPr="00C03FF3" w:rsidRDefault="007B19BD" w:rsidP="007B19BD">
      <w:pPr>
        <w:pStyle w:val="ListParagraph"/>
        <w:widowControl/>
        <w:numPr>
          <w:ilvl w:val="0"/>
          <w:numId w:val="20"/>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Los Estados Miembros intercambian información sobre los grupos de delincuencia organizada transnacional, sus actividades ilegales y legales, sus redes sociales, sus estructuras comerciales y logísticas, el modus operandi y la información operativa en tiempo real, entre instituciones nacionales con competencia similar.</w:t>
      </w:r>
    </w:p>
    <w:p w14:paraId="103CC8AE" w14:textId="29817FC5" w:rsidR="007B19BD" w:rsidRPr="00C03FF3" w:rsidRDefault="007B19BD" w:rsidP="007B19BD">
      <w:pPr>
        <w:pStyle w:val="ListParagraph"/>
        <w:widowControl/>
        <w:numPr>
          <w:ilvl w:val="0"/>
          <w:numId w:val="20"/>
        </w:numPr>
        <w:shd w:val="clear" w:color="auto" w:fill="FFFFFF"/>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Los Estados Miembros promueven el uso de nuevas tecnologías de comunicación y sistemas de información seguros; entre otros, aquellos que </w:t>
      </w:r>
      <w:r w:rsidRPr="00C03FF3">
        <w:rPr>
          <w:rFonts w:ascii="Times New Roman" w:hAnsi="Times New Roman"/>
          <w:lang w:val="es-PA"/>
        </w:rPr>
        <w:t>brindan INTERPOL, la Oficina de Naciones Unidas contra la Droga y el Delito (</w:t>
      </w:r>
      <w:proofErr w:type="spellStart"/>
      <w:r w:rsidRPr="00C03FF3">
        <w:rPr>
          <w:rFonts w:ascii="Times New Roman" w:hAnsi="Times New Roman"/>
          <w:lang w:val="es-PA"/>
        </w:rPr>
        <w:t>UNODC</w:t>
      </w:r>
      <w:proofErr w:type="spellEnd"/>
      <w:r w:rsidRPr="00C03FF3">
        <w:rPr>
          <w:rFonts w:ascii="Times New Roman" w:hAnsi="Times New Roman"/>
          <w:lang w:val="es-PA"/>
        </w:rPr>
        <w:t>) y la OEA;</w:t>
      </w:r>
      <w:r w:rsidRPr="00C03FF3">
        <w:rPr>
          <w:rFonts w:ascii="Times New Roman" w:hAnsi="Times New Roman"/>
          <w:szCs w:val="22"/>
          <w:lang w:val="es-PA"/>
        </w:rPr>
        <w:t xml:space="preserve"> </w:t>
      </w:r>
    </w:p>
    <w:p w14:paraId="143842A0" w14:textId="407D9425" w:rsidR="007B19BD" w:rsidRPr="00C03FF3" w:rsidRDefault="007B19BD" w:rsidP="00CA4949">
      <w:pPr>
        <w:pStyle w:val="ListParagraph"/>
        <w:widowControl/>
        <w:numPr>
          <w:ilvl w:val="0"/>
          <w:numId w:val="20"/>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Los Estados Miembros documentan, sistematizan e intercambian estudios de casos que analizan, investigan, enjuician, sancionan y desarticulan la delincuencia organizada transnacional.</w:t>
      </w:r>
    </w:p>
    <w:p w14:paraId="2CA92DA1" w14:textId="77777777" w:rsidR="004A67A7" w:rsidRPr="00C03FF3" w:rsidRDefault="004A67A7" w:rsidP="004A67A7">
      <w:pPr>
        <w:pStyle w:val="ListParagraph"/>
        <w:widowControl/>
        <w:spacing w:line="256" w:lineRule="auto"/>
        <w:ind w:left="1440"/>
        <w:contextualSpacing/>
        <w:rPr>
          <w:rFonts w:ascii="Times New Roman" w:hAnsi="Times New Roman"/>
          <w:szCs w:val="22"/>
          <w:lang w:val="es-PA"/>
        </w:rPr>
      </w:pPr>
    </w:p>
    <w:p w14:paraId="29BD76AE" w14:textId="77777777" w:rsidR="0036664C" w:rsidRPr="00C03FF3" w:rsidRDefault="0036664C" w:rsidP="00863D9C">
      <w:pPr>
        <w:widowControl/>
        <w:numPr>
          <w:ilvl w:val="0"/>
          <w:numId w:val="1"/>
        </w:numPr>
        <w:shd w:val="clear" w:color="auto" w:fill="FFFFFF"/>
        <w:tabs>
          <w:tab w:val="clear" w:pos="720"/>
          <w:tab w:val="clear" w:pos="2160"/>
          <w:tab w:val="clear" w:pos="2880"/>
          <w:tab w:val="clear" w:pos="3600"/>
          <w:tab w:val="clear" w:pos="4320"/>
          <w:tab w:val="clear" w:pos="5760"/>
          <w:tab w:val="clear" w:pos="6480"/>
          <w:tab w:val="clear" w:pos="7200"/>
          <w:tab w:val="clear" w:pos="7920"/>
        </w:tabs>
        <w:ind w:hanging="720"/>
        <w:rPr>
          <w:color w:val="000000"/>
          <w:szCs w:val="22"/>
          <w:u w:val="single"/>
          <w:lang w:val="es-PA"/>
        </w:rPr>
      </w:pPr>
      <w:r w:rsidRPr="00C03FF3">
        <w:rPr>
          <w:color w:val="000000"/>
          <w:szCs w:val="22"/>
          <w:u w:val="single"/>
          <w:lang w:val="es-PA"/>
        </w:rPr>
        <w:t>Cooperación y asistencia internacional</w:t>
      </w:r>
    </w:p>
    <w:p w14:paraId="28A05895" w14:textId="77777777" w:rsidR="0036664C" w:rsidRPr="00C03FF3" w:rsidRDefault="0036664C" w:rsidP="00FA20C3">
      <w:pPr>
        <w:rPr>
          <w:rFonts w:ascii="Times New Roman" w:hAnsi="Times New Roman"/>
          <w:szCs w:val="22"/>
          <w:lang w:val="es-PA"/>
        </w:rPr>
      </w:pPr>
    </w:p>
    <w:p w14:paraId="1A27D3DA" w14:textId="1B0F64B4" w:rsidR="00B6782D" w:rsidRPr="00C03FF3" w:rsidRDefault="00B25611" w:rsidP="00FA20C3">
      <w:pPr>
        <w:rPr>
          <w:rFonts w:ascii="Times New Roman" w:hAnsi="Times New Roman"/>
          <w:szCs w:val="22"/>
          <w:lang w:val="es-PA"/>
        </w:rPr>
      </w:pPr>
      <w:r>
        <w:rPr>
          <w:rFonts w:ascii="Times New Roman" w:hAnsi="Times New Roman"/>
          <w:szCs w:val="22"/>
          <w:lang w:val="es-PA"/>
        </w:rPr>
        <w:tab/>
      </w:r>
      <w:r w:rsidR="00B6782D" w:rsidRPr="00C03FF3">
        <w:rPr>
          <w:rFonts w:ascii="Times New Roman" w:hAnsi="Times New Roman"/>
          <w:szCs w:val="22"/>
          <w:lang w:val="es-PA"/>
        </w:rPr>
        <w:t xml:space="preserve">La </w:t>
      </w:r>
      <w:r w:rsidR="00E75A71" w:rsidRPr="00C03FF3">
        <w:rPr>
          <w:rFonts w:ascii="Times New Roman" w:hAnsi="Times New Roman"/>
          <w:szCs w:val="22"/>
        </w:rPr>
        <w:t>globalización y expansión</w:t>
      </w:r>
      <w:r w:rsidR="00754373" w:rsidRPr="00C03FF3">
        <w:rPr>
          <w:rFonts w:ascii="Times New Roman" w:hAnsi="Times New Roman"/>
        </w:rPr>
        <w:t xml:space="preserve"> </w:t>
      </w:r>
      <w:r w:rsidR="00B6782D" w:rsidRPr="00C03FF3">
        <w:rPr>
          <w:rFonts w:ascii="Times New Roman" w:hAnsi="Times New Roman"/>
          <w:szCs w:val="22"/>
          <w:lang w:val="es-PA"/>
        </w:rPr>
        <w:t xml:space="preserve">de las actividades delictivas y las economías ilícitas ha creado la necesidad de desarrollar y fortalecer las formas de cooperación y asistencia internacionales </w:t>
      </w:r>
      <w:r w:rsidR="00270455" w:rsidRPr="00C03FF3">
        <w:rPr>
          <w:rFonts w:ascii="Times New Roman" w:hAnsi="Times New Roman"/>
          <w:szCs w:val="22"/>
          <w:lang w:val="es-PA"/>
        </w:rPr>
        <w:t>por</w:t>
      </w:r>
      <w:r w:rsidR="00B6782D" w:rsidRPr="00C03FF3">
        <w:rPr>
          <w:rFonts w:ascii="Times New Roman" w:hAnsi="Times New Roman"/>
          <w:szCs w:val="22"/>
          <w:lang w:val="es-PA"/>
        </w:rPr>
        <w:t xml:space="preserve"> los Estados Miembros. A medida que los </w:t>
      </w:r>
      <w:r w:rsidR="00270455" w:rsidRPr="00C03FF3">
        <w:rPr>
          <w:rFonts w:ascii="Times New Roman" w:hAnsi="Times New Roman"/>
          <w:szCs w:val="22"/>
          <w:lang w:val="es-PA"/>
        </w:rPr>
        <w:t>G</w:t>
      </w:r>
      <w:r w:rsidR="00B6782D" w:rsidRPr="00C03FF3">
        <w:rPr>
          <w:rFonts w:ascii="Times New Roman" w:hAnsi="Times New Roman"/>
          <w:szCs w:val="22"/>
          <w:lang w:val="es-PA"/>
        </w:rPr>
        <w:t xml:space="preserve">obiernos </w:t>
      </w:r>
      <w:r w:rsidR="00270455" w:rsidRPr="00C03FF3">
        <w:rPr>
          <w:rFonts w:ascii="Times New Roman" w:hAnsi="Times New Roman"/>
          <w:szCs w:val="22"/>
          <w:lang w:val="es-PA"/>
        </w:rPr>
        <w:t>investigan</w:t>
      </w:r>
      <w:r w:rsidR="00B6782D" w:rsidRPr="00C03FF3">
        <w:rPr>
          <w:rFonts w:ascii="Times New Roman" w:hAnsi="Times New Roman"/>
          <w:szCs w:val="22"/>
          <w:lang w:val="es-PA"/>
        </w:rPr>
        <w:t>, pers</w:t>
      </w:r>
      <w:r w:rsidR="00270455" w:rsidRPr="00C03FF3">
        <w:rPr>
          <w:rFonts w:ascii="Times New Roman" w:hAnsi="Times New Roman"/>
          <w:szCs w:val="22"/>
          <w:lang w:val="es-PA"/>
        </w:rPr>
        <w:t xml:space="preserve">iguen y </w:t>
      </w:r>
      <w:r w:rsidR="00754373" w:rsidRPr="00C03FF3">
        <w:rPr>
          <w:rFonts w:ascii="Times New Roman" w:hAnsi="Times New Roman"/>
          <w:szCs w:val="22"/>
          <w:lang w:val="es-PA"/>
        </w:rPr>
        <w:t xml:space="preserve">sancionan </w:t>
      </w:r>
      <w:r w:rsidR="004F12E9" w:rsidRPr="00C03FF3">
        <w:rPr>
          <w:rFonts w:ascii="Times New Roman" w:hAnsi="Times New Roman"/>
          <w:szCs w:val="22"/>
          <w:lang w:val="es-PA"/>
        </w:rPr>
        <w:t xml:space="preserve">la delincuencia organizada transnacional </w:t>
      </w:r>
      <w:r w:rsidR="00B6782D" w:rsidRPr="00C03FF3">
        <w:rPr>
          <w:rFonts w:ascii="Times New Roman" w:hAnsi="Times New Roman"/>
          <w:szCs w:val="22"/>
          <w:lang w:val="es-PA"/>
        </w:rPr>
        <w:t xml:space="preserve">de manera efectiva es importante tomar medidas para mejorar </w:t>
      </w:r>
      <w:r w:rsidR="004F12E9" w:rsidRPr="00C03FF3">
        <w:rPr>
          <w:rFonts w:ascii="Times New Roman" w:hAnsi="Times New Roman"/>
          <w:szCs w:val="22"/>
          <w:lang w:val="es-PA"/>
        </w:rPr>
        <w:t xml:space="preserve">las asociaciones y </w:t>
      </w:r>
      <w:r w:rsidR="00B6782D" w:rsidRPr="00C03FF3">
        <w:rPr>
          <w:rFonts w:ascii="Times New Roman" w:hAnsi="Times New Roman"/>
          <w:szCs w:val="22"/>
          <w:lang w:val="es-PA"/>
        </w:rPr>
        <w:t>los mecanismos de coordinación. Para ello, se recomienda que:</w:t>
      </w:r>
    </w:p>
    <w:p w14:paraId="498D0611" w14:textId="77777777" w:rsidR="00253540" w:rsidRPr="00C03FF3" w:rsidRDefault="00253540" w:rsidP="00253540">
      <w:pPr>
        <w:rPr>
          <w:rFonts w:ascii="Times New Roman" w:hAnsi="Times New Roman"/>
          <w:szCs w:val="22"/>
          <w:lang w:val="es-PA"/>
        </w:rPr>
      </w:pPr>
    </w:p>
    <w:p w14:paraId="422E84CE" w14:textId="1CF87F43" w:rsidR="00253540" w:rsidRPr="00C03FF3" w:rsidRDefault="00253540" w:rsidP="00253540">
      <w:pPr>
        <w:pStyle w:val="ListParagraph"/>
        <w:widowControl/>
        <w:numPr>
          <w:ilvl w:val="0"/>
          <w:numId w:val="21"/>
        </w:numPr>
        <w:spacing w:after="160" w:line="256" w:lineRule="auto"/>
        <w:ind w:left="1440" w:hanging="720"/>
        <w:contextualSpacing/>
        <w:rPr>
          <w:rFonts w:ascii="Times New Roman" w:hAnsi="Times New Roman"/>
          <w:szCs w:val="22"/>
          <w:lang w:val="es-PA"/>
        </w:rPr>
      </w:pPr>
      <w:r w:rsidRPr="00C03FF3">
        <w:rPr>
          <w:rFonts w:ascii="Times New Roman" w:hAnsi="Times New Roman"/>
          <w:szCs w:val="22"/>
          <w:lang w:val="es-PA"/>
        </w:rPr>
        <w:t>La Secretaría General, cuando corresponda, procure la cooperación y asistencia de otros Estados y otras organizaciones internacionales, con inclusión de los bancos multilaterales de desarrollo</w:t>
      </w:r>
      <w:r w:rsidRPr="00C03FF3">
        <w:rPr>
          <w:rFonts w:ascii="Times New Roman" w:hAnsi="Times New Roman"/>
          <w:lang w:val="es-PA"/>
        </w:rPr>
        <w:t xml:space="preserve">, </w:t>
      </w:r>
      <w:r w:rsidRPr="00C03FF3">
        <w:rPr>
          <w:rFonts w:ascii="Times New Roman" w:hAnsi="Times New Roman"/>
          <w:szCs w:val="22"/>
          <w:lang w:val="es-PA"/>
        </w:rPr>
        <w:t xml:space="preserve">las instituciones financieras internacionales </w:t>
      </w:r>
      <w:r w:rsidRPr="00C03FF3">
        <w:rPr>
          <w:rFonts w:ascii="Times New Roman" w:hAnsi="Times New Roman"/>
          <w:lang w:val="es-PA"/>
        </w:rPr>
        <w:t>y otras partes interesadas</w:t>
      </w:r>
      <w:r w:rsidRPr="00C03FF3">
        <w:rPr>
          <w:rFonts w:ascii="Times New Roman" w:hAnsi="Times New Roman"/>
          <w:szCs w:val="22"/>
          <w:lang w:val="es-PA"/>
        </w:rPr>
        <w:t>, así como de la Oficina de las Naciones Unidas contra la Droga y el Delito (</w:t>
      </w:r>
      <w:proofErr w:type="spellStart"/>
      <w:r w:rsidRPr="00C03FF3">
        <w:rPr>
          <w:rFonts w:ascii="Times New Roman" w:hAnsi="Times New Roman"/>
          <w:szCs w:val="22"/>
          <w:lang w:val="es-PA"/>
        </w:rPr>
        <w:t>UNODC</w:t>
      </w:r>
      <w:proofErr w:type="spellEnd"/>
      <w:r w:rsidRPr="00C03FF3">
        <w:rPr>
          <w:rFonts w:ascii="Times New Roman" w:hAnsi="Times New Roman"/>
          <w:szCs w:val="22"/>
          <w:lang w:val="es-PA"/>
        </w:rPr>
        <w:t>), para implementar de manera efectiva la presente Estrategia Hemisférica.</w:t>
      </w:r>
    </w:p>
    <w:p w14:paraId="0DA9A962" w14:textId="77777777" w:rsidR="00253540" w:rsidRPr="00C03FF3" w:rsidRDefault="00253540" w:rsidP="00253540">
      <w:pPr>
        <w:pStyle w:val="ListParagraph"/>
        <w:widowControl/>
        <w:numPr>
          <w:ilvl w:val="0"/>
          <w:numId w:val="21"/>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Los Estados Miembros desarrollen mecanismos de cooperación entre los Estados en materia de asistencia integral a las víctimas de la delincuencia organizada transnacional.</w:t>
      </w:r>
    </w:p>
    <w:p w14:paraId="40D3C036" w14:textId="77777777" w:rsidR="00253540" w:rsidRPr="00C03FF3" w:rsidRDefault="00253540" w:rsidP="00253540">
      <w:pPr>
        <w:pStyle w:val="ListParagraph"/>
        <w:widowControl/>
        <w:numPr>
          <w:ilvl w:val="0"/>
          <w:numId w:val="21"/>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Los Estados Miembros aprueben, cuando proceda y sea factible, acuerdos multilaterales o bilaterales para fomentar la asistencia jurídica recíproca entre los Estados Miembros.</w:t>
      </w:r>
    </w:p>
    <w:p w14:paraId="1681A685" w14:textId="0949B8B3" w:rsidR="00253540" w:rsidRPr="00C03FF3" w:rsidRDefault="00253540" w:rsidP="00253540">
      <w:pPr>
        <w:pStyle w:val="ListParagraph"/>
        <w:widowControl/>
        <w:numPr>
          <w:ilvl w:val="0"/>
          <w:numId w:val="21"/>
        </w:numPr>
        <w:tabs>
          <w:tab w:val="left" w:pos="360"/>
          <w:tab w:val="left" w:pos="450"/>
        </w:tabs>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Los Estados Miembros consideren, </w:t>
      </w:r>
      <w:r w:rsidRPr="00C03FF3">
        <w:rPr>
          <w:rFonts w:ascii="Times New Roman" w:hAnsi="Times New Roman"/>
          <w:lang w:val="es-PA"/>
        </w:rPr>
        <w:t>cuando corresponda</w:t>
      </w:r>
      <w:r w:rsidRPr="00C03FF3">
        <w:rPr>
          <w:rFonts w:ascii="Times New Roman" w:hAnsi="Times New Roman"/>
          <w:szCs w:val="22"/>
          <w:lang w:val="es-PA"/>
        </w:rPr>
        <w:t xml:space="preserve">, la posibilidad de celebrar arreglos bilaterales o multilaterales y establecer o fortalecer sus marcos normativos y </w:t>
      </w:r>
      <w:r w:rsidRPr="00C03FF3">
        <w:rPr>
          <w:rFonts w:ascii="Times New Roman" w:hAnsi="Times New Roman"/>
          <w:szCs w:val="22"/>
          <w:lang w:val="es-PA"/>
        </w:rPr>
        <w:lastRenderedPageBreak/>
        <w:t>jurídicos internos para permitir la realización de investigaciones conjuntas (artículo 19 de la Convención de las Naciones Unidas contra la Delincuencia Organizada Transnacional).</w:t>
      </w:r>
    </w:p>
    <w:p w14:paraId="06DDFA10" w14:textId="1F6EDDCA" w:rsidR="00253540" w:rsidRPr="00C03FF3" w:rsidRDefault="00253540" w:rsidP="00253540">
      <w:pPr>
        <w:pStyle w:val="ListParagraph"/>
        <w:widowControl/>
        <w:numPr>
          <w:ilvl w:val="0"/>
          <w:numId w:val="21"/>
        </w:numPr>
        <w:tabs>
          <w:tab w:val="left" w:pos="360"/>
          <w:tab w:val="left" w:pos="450"/>
        </w:tabs>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En los casos en que no exista un tratado bilateral, los Estados Miembros consideren</w:t>
      </w:r>
      <w:r w:rsidRPr="00C03FF3">
        <w:rPr>
          <w:rFonts w:ascii="Times New Roman" w:hAnsi="Times New Roman"/>
          <w:lang w:val="es-PA"/>
        </w:rPr>
        <w:t>, cuando la legislación nacional lo permita</w:t>
      </w:r>
      <w:r w:rsidRPr="00C03FF3">
        <w:rPr>
          <w:rFonts w:ascii="Times New Roman" w:hAnsi="Times New Roman"/>
          <w:szCs w:val="22"/>
          <w:lang w:val="es-PA"/>
        </w:rPr>
        <w:t xml:space="preserve">, el uso de la </w:t>
      </w:r>
      <w:r w:rsidRPr="00C03FF3">
        <w:rPr>
          <w:lang w:val="es-PA"/>
        </w:rPr>
        <w:t>Convención de las Naciones Unidas contra la Delincuencia Organizada Transnacional, como base jurídica para la extradición de personas que presuntamente hayan cometido delitos contemplados en la Convención de las Naciones Unidas contra la Delincuencia Organizada Transnacional y sus Protocolos (artículo 16 de la Convención de las Naciones Unidas contra la Delincuencia Organizada Transnacional).</w:t>
      </w:r>
    </w:p>
    <w:p w14:paraId="0CCEDEB4" w14:textId="7B3F44ED" w:rsidR="00253540" w:rsidRPr="00C03FF3" w:rsidRDefault="00253540" w:rsidP="00253540">
      <w:pPr>
        <w:pStyle w:val="ListParagraph"/>
        <w:widowControl/>
        <w:numPr>
          <w:ilvl w:val="0"/>
          <w:numId w:val="21"/>
        </w:numPr>
        <w:tabs>
          <w:tab w:val="left" w:pos="360"/>
          <w:tab w:val="left" w:pos="450"/>
        </w:tabs>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En los casos en los que no existan tratados bilaterales</w:t>
      </w:r>
      <w:r w:rsidR="002E0A25" w:rsidRPr="00C03FF3">
        <w:rPr>
          <w:rFonts w:ascii="Times New Roman" w:hAnsi="Times New Roman"/>
          <w:szCs w:val="22"/>
          <w:lang w:val="es-PA"/>
        </w:rPr>
        <w:t>,</w:t>
      </w:r>
      <w:r w:rsidRPr="00C03FF3">
        <w:rPr>
          <w:rFonts w:ascii="Times New Roman" w:hAnsi="Times New Roman"/>
          <w:szCs w:val="22"/>
          <w:lang w:val="es-PA"/>
        </w:rPr>
        <w:t xml:space="preserve"> los Estados Miembros consideren el uso de la Convención de las Naciones Unidas contra la Delincuencia Organizada Transnacional (</w:t>
      </w:r>
      <w:proofErr w:type="spellStart"/>
      <w:r w:rsidRPr="00C03FF3">
        <w:rPr>
          <w:rFonts w:ascii="Times New Roman" w:hAnsi="Times New Roman"/>
          <w:szCs w:val="22"/>
          <w:lang w:val="es-PA"/>
        </w:rPr>
        <w:t>UNTOC</w:t>
      </w:r>
      <w:proofErr w:type="spellEnd"/>
      <w:r w:rsidRPr="00C03FF3">
        <w:rPr>
          <w:rFonts w:ascii="Times New Roman" w:hAnsi="Times New Roman"/>
          <w:szCs w:val="22"/>
          <w:lang w:val="es-PA"/>
        </w:rPr>
        <w:t xml:space="preserve">) como base jurídica para prestar asistencia judicial recíproca respecto de investigaciones, procesos y actuaciones judiciales relacionados con los delitos comprendidos en la </w:t>
      </w:r>
      <w:r w:rsidRPr="00C03FF3">
        <w:rPr>
          <w:lang w:val="es-PA"/>
        </w:rPr>
        <w:t>Convención de las Naciones Unidas contra la Delincuencia Organizada Transnacional y sus Protocolos</w:t>
      </w:r>
      <w:r w:rsidRPr="00C03FF3">
        <w:rPr>
          <w:rFonts w:ascii="Times New Roman" w:hAnsi="Times New Roman"/>
          <w:szCs w:val="22"/>
          <w:lang w:val="es-PA"/>
        </w:rPr>
        <w:t xml:space="preserve"> (artículo 18 de la Convención).</w:t>
      </w:r>
    </w:p>
    <w:p w14:paraId="77425D47" w14:textId="335228FE" w:rsidR="00253540" w:rsidRPr="00C03FF3" w:rsidRDefault="00253540" w:rsidP="00253540">
      <w:pPr>
        <w:pStyle w:val="ListParagraph"/>
        <w:widowControl/>
        <w:numPr>
          <w:ilvl w:val="0"/>
          <w:numId w:val="21"/>
        </w:numPr>
        <w:spacing w:line="256" w:lineRule="auto"/>
        <w:ind w:left="1440" w:hanging="720"/>
        <w:contextualSpacing/>
        <w:rPr>
          <w:rFonts w:ascii="Times New Roman" w:hAnsi="Times New Roman"/>
          <w:strike/>
          <w:lang w:val="es-PA"/>
        </w:rPr>
      </w:pPr>
      <w:r w:rsidRPr="00C03FF3">
        <w:rPr>
          <w:rFonts w:ascii="Times New Roman" w:hAnsi="Times New Roman"/>
          <w:szCs w:val="22"/>
          <w:lang w:val="es-PA"/>
        </w:rPr>
        <w:t xml:space="preserve">Los Estados Miembros promuevan acuerdos específicos sobre la incautación y el decomiso de los instrumentos y productos del delito y consideren, cuando la legislación nacional lo permita, la posibilidad de celebrar acuerdos sobre la distribución del dinero o los bienes incautados o decomisados, de acuerdo con los términos y criterios </w:t>
      </w:r>
      <w:r w:rsidR="00E75A71" w:rsidRPr="00C03FF3">
        <w:rPr>
          <w:rFonts w:ascii="Times New Roman" w:hAnsi="Times New Roman"/>
          <w:szCs w:val="22"/>
          <w:lang w:val="es-PA"/>
        </w:rPr>
        <w:t xml:space="preserve">del artículo 14 </w:t>
      </w:r>
      <w:r w:rsidRPr="00C03FF3">
        <w:rPr>
          <w:rFonts w:ascii="Times New Roman" w:hAnsi="Times New Roman"/>
          <w:szCs w:val="22"/>
          <w:lang w:val="es-PA"/>
        </w:rPr>
        <w:t>de la</w:t>
      </w:r>
      <w:r w:rsidR="00E75A71" w:rsidRPr="00C03FF3">
        <w:rPr>
          <w:rFonts w:ascii="Times New Roman" w:hAnsi="Times New Roman"/>
          <w:lang w:val="es-PA"/>
        </w:rPr>
        <w:t xml:space="preserve"> </w:t>
      </w:r>
      <w:r w:rsidRPr="00C03FF3">
        <w:rPr>
          <w:rFonts w:ascii="Times New Roman" w:hAnsi="Times New Roman"/>
          <w:lang w:val="es-PA"/>
        </w:rPr>
        <w:t>Convención de las Naciones Unidas contra la Delincuencia Organizada Transnacional</w:t>
      </w:r>
      <w:r w:rsidR="00A33B36">
        <w:rPr>
          <w:rFonts w:ascii="Times New Roman" w:hAnsi="Times New Roman"/>
          <w:lang w:val="es-PA"/>
        </w:rPr>
        <w:t>.</w:t>
      </w:r>
    </w:p>
    <w:p w14:paraId="65C9ADD0" w14:textId="77777777" w:rsidR="00863D9C" w:rsidRPr="00C03FF3" w:rsidRDefault="00863D9C" w:rsidP="00FA20C3">
      <w:pPr>
        <w:rPr>
          <w:rFonts w:ascii="Times New Roman" w:hAnsi="Times New Roman"/>
          <w:lang w:val="es-PA"/>
        </w:rPr>
      </w:pPr>
    </w:p>
    <w:p w14:paraId="7183AC17" w14:textId="735E7B5C" w:rsidR="00FA20C3" w:rsidRPr="00C03FF3" w:rsidRDefault="00BC5FD2" w:rsidP="00FA20C3">
      <w:pPr>
        <w:rPr>
          <w:rFonts w:ascii="Times New Roman" w:hAnsi="Times New Roman"/>
          <w:lang w:val="es-PA"/>
        </w:rPr>
      </w:pPr>
      <w:r w:rsidRPr="00C03FF3">
        <w:rPr>
          <w:rFonts w:ascii="Times New Roman" w:hAnsi="Times New Roman"/>
          <w:lang w:val="es-PA"/>
        </w:rPr>
        <w:t>Seguimiento</w:t>
      </w:r>
      <w:r w:rsidR="00FA20C3" w:rsidRPr="00C03FF3">
        <w:rPr>
          <w:rFonts w:ascii="Times New Roman" w:hAnsi="Times New Roman"/>
          <w:lang w:val="es-PA"/>
        </w:rPr>
        <w:t xml:space="preserve"> </w:t>
      </w:r>
    </w:p>
    <w:p w14:paraId="636DD408" w14:textId="77777777" w:rsidR="002530DC" w:rsidRPr="00C03FF3" w:rsidRDefault="002530DC" w:rsidP="00FA20C3">
      <w:pPr>
        <w:rPr>
          <w:rFonts w:ascii="Times New Roman" w:hAnsi="Times New Roman"/>
          <w:lang w:val="es-PA"/>
        </w:rPr>
      </w:pPr>
    </w:p>
    <w:p w14:paraId="74003087" w14:textId="3897092F" w:rsidR="008753D5" w:rsidRPr="00C03FF3" w:rsidRDefault="00B25611" w:rsidP="008753D5">
      <w:pPr>
        <w:shd w:val="clear" w:color="auto" w:fill="FFFFFF"/>
        <w:ind w:right="29"/>
        <w:rPr>
          <w:color w:val="000000"/>
          <w:szCs w:val="22"/>
          <w:lang w:val="es-PA"/>
        </w:rPr>
      </w:pPr>
      <w:r>
        <w:rPr>
          <w:color w:val="000000"/>
          <w:szCs w:val="22"/>
          <w:lang w:val="es-PA"/>
        </w:rPr>
        <w:tab/>
      </w:r>
      <w:r w:rsidR="008753D5" w:rsidRPr="00C03FF3">
        <w:rPr>
          <w:color w:val="000000"/>
          <w:szCs w:val="22"/>
          <w:lang w:val="es-PA"/>
        </w:rPr>
        <w:t xml:space="preserve">Para fortalecer y coordinar la labor hemisférica en la lucha contra la delincuencia organizada transnacional y poner en marcha la presente Estrategia Hemisférica, se recomienda que: </w:t>
      </w:r>
    </w:p>
    <w:p w14:paraId="5A99E0BA" w14:textId="77777777" w:rsidR="002530DC" w:rsidRPr="00C03FF3" w:rsidRDefault="002530DC" w:rsidP="00FA20C3">
      <w:pPr>
        <w:rPr>
          <w:rFonts w:ascii="Times New Roman" w:hAnsi="Times New Roman"/>
          <w:szCs w:val="22"/>
          <w:lang w:val="es-PA"/>
        </w:rPr>
      </w:pPr>
    </w:p>
    <w:p w14:paraId="6EDA5B4A" w14:textId="4E9F586F" w:rsidR="003976A3" w:rsidRPr="00C03FF3" w:rsidRDefault="003976A3" w:rsidP="00CA4949">
      <w:pPr>
        <w:pStyle w:val="ListParagraph"/>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La Secretaría General fortalezca la coordinación entre los órganos de la OEA encargados de los temas relacionados con la lucha contra la delincuencia organizada transnacional y la cooperación entre esos </w:t>
      </w:r>
      <w:r w:rsidR="00B96D9F" w:rsidRPr="00C03FF3">
        <w:rPr>
          <w:rFonts w:ascii="Times New Roman" w:hAnsi="Times New Roman"/>
          <w:szCs w:val="22"/>
          <w:lang w:val="es-PA"/>
        </w:rPr>
        <w:t>órganos</w:t>
      </w:r>
      <w:r w:rsidRPr="00C03FF3">
        <w:rPr>
          <w:rFonts w:ascii="Times New Roman" w:hAnsi="Times New Roman"/>
          <w:szCs w:val="22"/>
          <w:lang w:val="es-PA"/>
        </w:rPr>
        <w:t xml:space="preserve"> con la Oficina de las Naciones Unidas contra la Droga y el Delito (</w:t>
      </w:r>
      <w:proofErr w:type="spellStart"/>
      <w:r w:rsidRPr="00C03FF3">
        <w:rPr>
          <w:rFonts w:ascii="Times New Roman" w:hAnsi="Times New Roman"/>
          <w:szCs w:val="22"/>
          <w:lang w:val="es-PA"/>
        </w:rPr>
        <w:t>UNODC</w:t>
      </w:r>
      <w:proofErr w:type="spellEnd"/>
      <w:r w:rsidRPr="00C03FF3">
        <w:rPr>
          <w:rFonts w:ascii="Times New Roman" w:hAnsi="Times New Roman"/>
          <w:szCs w:val="22"/>
          <w:lang w:val="es-PA"/>
        </w:rPr>
        <w:t>).</w:t>
      </w:r>
    </w:p>
    <w:p w14:paraId="449FC8ED" w14:textId="1A28ADB4" w:rsidR="007E13B8" w:rsidRPr="00C03FF3" w:rsidRDefault="007E13B8" w:rsidP="00CA4949">
      <w:pPr>
        <w:pStyle w:val="ListParagraph"/>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Los Estados Miembros y la Secretaría General continúen implementando el Plan de Acción Hemisférico contra la Delincuencia Organizada Transnacional y revisen periódicamente dicho plan según sea necesario, para </w:t>
      </w:r>
      <w:r w:rsidR="00FC7278" w:rsidRPr="00C03FF3">
        <w:rPr>
          <w:rFonts w:ascii="Times New Roman" w:hAnsi="Times New Roman"/>
          <w:szCs w:val="22"/>
          <w:lang w:val="es-PA"/>
        </w:rPr>
        <w:t>garantizar</w:t>
      </w:r>
      <w:r w:rsidRPr="00C03FF3">
        <w:rPr>
          <w:rFonts w:ascii="Times New Roman" w:hAnsi="Times New Roman"/>
          <w:szCs w:val="22"/>
          <w:lang w:val="es-PA"/>
        </w:rPr>
        <w:t xml:space="preserve"> su continua capacidad de respuesta a las dinámicas cambiantes de la delincuencia organizada transnacional en el </w:t>
      </w:r>
      <w:proofErr w:type="gramStart"/>
      <w:r w:rsidRPr="00C03FF3">
        <w:rPr>
          <w:rFonts w:ascii="Times New Roman" w:hAnsi="Times New Roman"/>
          <w:szCs w:val="22"/>
          <w:lang w:val="es-PA"/>
        </w:rPr>
        <w:t>Hemisferio</w:t>
      </w:r>
      <w:proofErr w:type="gramEnd"/>
      <w:r w:rsidRPr="00C03FF3">
        <w:rPr>
          <w:rFonts w:ascii="Times New Roman" w:hAnsi="Times New Roman"/>
          <w:szCs w:val="22"/>
          <w:lang w:val="es-PA"/>
        </w:rPr>
        <w:t xml:space="preserve">. </w:t>
      </w:r>
    </w:p>
    <w:p w14:paraId="1A4A4F3E" w14:textId="279A09C2" w:rsidR="00EF0AE1" w:rsidRPr="00C03FF3" w:rsidRDefault="00EF0AE1" w:rsidP="00CA4949">
      <w:pPr>
        <w:pStyle w:val="ListParagraph"/>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1440" w:hanging="720"/>
        <w:contextualSpacing/>
        <w:rPr>
          <w:rFonts w:ascii="Times New Roman" w:hAnsi="Times New Roman"/>
          <w:szCs w:val="22"/>
          <w:lang w:val="es-PA"/>
        </w:rPr>
      </w:pPr>
      <w:r w:rsidRPr="00C03FF3">
        <w:rPr>
          <w:rFonts w:ascii="Times New Roman" w:hAnsi="Times New Roman"/>
          <w:szCs w:val="22"/>
          <w:lang w:val="es-PA"/>
        </w:rPr>
        <w:t>La Comisión de Seguridad Hemisférica, a través de la Reunión de Autoridades Nacionales en Materia de Delincuencia Organizada Transnacional (</w:t>
      </w:r>
      <w:proofErr w:type="spellStart"/>
      <w:r w:rsidRPr="00C03FF3">
        <w:rPr>
          <w:rFonts w:ascii="Times New Roman" w:hAnsi="Times New Roman"/>
          <w:szCs w:val="22"/>
          <w:lang w:val="es-PA"/>
        </w:rPr>
        <w:t>RANDOT</w:t>
      </w:r>
      <w:proofErr w:type="spellEnd"/>
      <w:r w:rsidRPr="00C03FF3">
        <w:rPr>
          <w:rFonts w:ascii="Times New Roman" w:hAnsi="Times New Roman"/>
          <w:szCs w:val="22"/>
          <w:lang w:val="es-PA"/>
        </w:rPr>
        <w:t xml:space="preserve">) y de los </w:t>
      </w:r>
      <w:r w:rsidR="00930A57" w:rsidRPr="00C03FF3">
        <w:rPr>
          <w:rFonts w:ascii="Times New Roman" w:hAnsi="Times New Roman"/>
          <w:szCs w:val="22"/>
          <w:lang w:val="es-PA"/>
        </w:rPr>
        <w:t>p</w:t>
      </w:r>
      <w:r w:rsidRPr="00C03FF3">
        <w:rPr>
          <w:rFonts w:ascii="Times New Roman" w:hAnsi="Times New Roman"/>
          <w:szCs w:val="22"/>
          <w:lang w:val="es-PA"/>
        </w:rPr>
        <w:t xml:space="preserve">untos de </w:t>
      </w:r>
      <w:r w:rsidR="00930A57" w:rsidRPr="00C03FF3">
        <w:rPr>
          <w:rFonts w:ascii="Times New Roman" w:hAnsi="Times New Roman"/>
          <w:szCs w:val="22"/>
          <w:lang w:val="es-PA"/>
        </w:rPr>
        <w:t>c</w:t>
      </w:r>
      <w:r w:rsidRPr="00C03FF3">
        <w:rPr>
          <w:rFonts w:ascii="Times New Roman" w:hAnsi="Times New Roman"/>
          <w:szCs w:val="22"/>
          <w:lang w:val="es-PA"/>
        </w:rPr>
        <w:t xml:space="preserve">ontacto </w:t>
      </w:r>
      <w:r w:rsidR="00930A57" w:rsidRPr="00C03FF3">
        <w:rPr>
          <w:rFonts w:ascii="Times New Roman" w:hAnsi="Times New Roman"/>
          <w:szCs w:val="22"/>
          <w:lang w:val="es-PA"/>
        </w:rPr>
        <w:t>n</w:t>
      </w:r>
      <w:r w:rsidRPr="00C03FF3">
        <w:rPr>
          <w:rFonts w:ascii="Times New Roman" w:hAnsi="Times New Roman"/>
          <w:szCs w:val="22"/>
          <w:lang w:val="es-PA"/>
        </w:rPr>
        <w:t>acionales, d</w:t>
      </w:r>
      <w:r w:rsidR="00FC7278" w:rsidRPr="00C03FF3">
        <w:rPr>
          <w:rFonts w:ascii="Times New Roman" w:hAnsi="Times New Roman"/>
          <w:szCs w:val="22"/>
          <w:lang w:val="es-PA"/>
        </w:rPr>
        <w:t>en</w:t>
      </w:r>
      <w:r w:rsidRPr="00C03FF3">
        <w:rPr>
          <w:rFonts w:ascii="Times New Roman" w:hAnsi="Times New Roman"/>
          <w:szCs w:val="22"/>
          <w:lang w:val="es-PA"/>
        </w:rPr>
        <w:t xml:space="preserve"> seguimiento y sig</w:t>
      </w:r>
      <w:r w:rsidR="00FC7278" w:rsidRPr="00C03FF3">
        <w:rPr>
          <w:rFonts w:ascii="Times New Roman" w:hAnsi="Times New Roman"/>
          <w:szCs w:val="22"/>
          <w:lang w:val="es-PA"/>
        </w:rPr>
        <w:t>an</w:t>
      </w:r>
      <w:r w:rsidRPr="00C03FF3">
        <w:rPr>
          <w:rFonts w:ascii="Times New Roman" w:hAnsi="Times New Roman"/>
          <w:szCs w:val="22"/>
          <w:lang w:val="es-PA"/>
        </w:rPr>
        <w:t xml:space="preserve"> la marcha de la implementación de esta Estrategia Hemisférica. </w:t>
      </w:r>
    </w:p>
    <w:p w14:paraId="3DCAA77B" w14:textId="58C01A18" w:rsidR="006F5841" w:rsidRDefault="006F5841" w:rsidP="00FA20C3">
      <w:pPr>
        <w:rPr>
          <w:rFonts w:ascii="Times New Roman" w:hAnsi="Times New Roman"/>
          <w:lang w:val="es-PA"/>
        </w:rPr>
      </w:pPr>
    </w:p>
    <w:p w14:paraId="5CB5E90D" w14:textId="49BA8BDC" w:rsidR="008C51CF" w:rsidRDefault="008C51CF" w:rsidP="00FA20C3">
      <w:pPr>
        <w:rPr>
          <w:rFonts w:ascii="Times New Roman" w:hAnsi="Times New Roman"/>
          <w:lang w:val="es-PA"/>
        </w:rPr>
      </w:pPr>
    </w:p>
    <w:p w14:paraId="14946598" w14:textId="77777777" w:rsidR="008C51CF" w:rsidRPr="00C03FF3" w:rsidRDefault="008C51CF" w:rsidP="00FA20C3">
      <w:pPr>
        <w:rPr>
          <w:rFonts w:ascii="Times New Roman" w:hAnsi="Times New Roman"/>
          <w:lang w:val="es-PA"/>
        </w:rPr>
      </w:pPr>
    </w:p>
    <w:p w14:paraId="2D631071" w14:textId="0AAF7B7A" w:rsidR="00FA20C3" w:rsidRPr="00C03FF3" w:rsidRDefault="00015B8E" w:rsidP="00FA20C3">
      <w:pPr>
        <w:rPr>
          <w:rFonts w:ascii="Times New Roman" w:hAnsi="Times New Roman"/>
          <w:lang w:val="es-PA"/>
        </w:rPr>
      </w:pPr>
      <w:r w:rsidRPr="00C03FF3">
        <w:rPr>
          <w:rFonts w:ascii="Times New Roman" w:hAnsi="Times New Roman"/>
          <w:lang w:val="es-PA"/>
        </w:rPr>
        <w:lastRenderedPageBreak/>
        <w:t>Financiamiento</w:t>
      </w:r>
    </w:p>
    <w:p w14:paraId="4C7A8184" w14:textId="77777777" w:rsidR="002530DC" w:rsidRPr="00C03FF3" w:rsidRDefault="002530DC" w:rsidP="00FA20C3">
      <w:pPr>
        <w:rPr>
          <w:rFonts w:ascii="Times New Roman" w:hAnsi="Times New Roman"/>
          <w:lang w:val="es-PA"/>
        </w:rPr>
      </w:pPr>
    </w:p>
    <w:p w14:paraId="12C773DB" w14:textId="76DE7671" w:rsidR="00FA20C3" w:rsidRPr="00C03FF3" w:rsidRDefault="00B25611" w:rsidP="00FA20C3">
      <w:pPr>
        <w:rPr>
          <w:rFonts w:ascii="Times New Roman" w:hAnsi="Times New Roman"/>
          <w:szCs w:val="22"/>
          <w:lang w:val="es-PA"/>
        </w:rPr>
      </w:pPr>
      <w:r>
        <w:rPr>
          <w:color w:val="000000"/>
          <w:szCs w:val="22"/>
          <w:lang w:val="es-PA"/>
        </w:rPr>
        <w:tab/>
      </w:r>
      <w:r w:rsidR="00015B8E" w:rsidRPr="00C03FF3">
        <w:rPr>
          <w:color w:val="000000"/>
          <w:szCs w:val="22"/>
          <w:lang w:val="es-PA"/>
        </w:rPr>
        <w:t xml:space="preserve">A efectos de asegurar que la Secretaría General cuente con los recursos necesarios para implementar </w:t>
      </w:r>
      <w:r w:rsidR="008C4E04" w:rsidRPr="00C03FF3">
        <w:rPr>
          <w:color w:val="000000"/>
          <w:szCs w:val="22"/>
          <w:lang w:val="es-PA"/>
        </w:rPr>
        <w:t>esta</w:t>
      </w:r>
      <w:r w:rsidR="006F5841" w:rsidRPr="00C03FF3">
        <w:rPr>
          <w:color w:val="000000"/>
          <w:szCs w:val="22"/>
          <w:lang w:val="es-PA"/>
        </w:rPr>
        <w:t xml:space="preserve"> Estrategia Hemisférica</w:t>
      </w:r>
      <w:r w:rsidR="00FA20C3" w:rsidRPr="00C03FF3">
        <w:rPr>
          <w:rFonts w:ascii="Times New Roman" w:hAnsi="Times New Roman"/>
          <w:szCs w:val="22"/>
          <w:lang w:val="es-PA"/>
        </w:rPr>
        <w:t>:</w:t>
      </w:r>
    </w:p>
    <w:p w14:paraId="08B4564E" w14:textId="77777777" w:rsidR="002530DC" w:rsidRPr="00C03FF3" w:rsidRDefault="002530DC" w:rsidP="00FA20C3">
      <w:pPr>
        <w:rPr>
          <w:rFonts w:ascii="Times New Roman" w:hAnsi="Times New Roman"/>
          <w:szCs w:val="22"/>
          <w:lang w:val="es-PA"/>
        </w:rPr>
      </w:pPr>
    </w:p>
    <w:p w14:paraId="3D869EF7" w14:textId="0ABC4F46" w:rsidR="001C345E" w:rsidRPr="00C03FF3" w:rsidRDefault="001C345E" w:rsidP="00CA4949">
      <w:pPr>
        <w:pStyle w:val="ListParagraph"/>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Los Estados Miembros deberán considerar el aporte adecuado </w:t>
      </w:r>
      <w:r w:rsidR="006B7AE7" w:rsidRPr="00C03FF3">
        <w:rPr>
          <w:rFonts w:ascii="Times New Roman" w:hAnsi="Times New Roman"/>
          <w:szCs w:val="22"/>
          <w:lang w:val="es-PA"/>
        </w:rPr>
        <w:t>y regular de</w:t>
      </w:r>
      <w:r w:rsidRPr="00C03FF3">
        <w:rPr>
          <w:rFonts w:ascii="Times New Roman" w:hAnsi="Times New Roman"/>
          <w:szCs w:val="22"/>
          <w:lang w:val="es-PA"/>
        </w:rPr>
        <w:t xml:space="preserve"> contribuciones voluntarias al Fondo Específico dentro de la OEA </w:t>
      </w:r>
      <w:r w:rsidR="00B815B3" w:rsidRPr="00C03FF3">
        <w:rPr>
          <w:rFonts w:ascii="Times New Roman" w:hAnsi="Times New Roman"/>
          <w:szCs w:val="22"/>
          <w:lang w:val="es-PA"/>
        </w:rPr>
        <w:t>para</w:t>
      </w:r>
      <w:r w:rsidRPr="00C03FF3">
        <w:rPr>
          <w:rFonts w:ascii="Times New Roman" w:hAnsi="Times New Roman"/>
          <w:szCs w:val="22"/>
          <w:lang w:val="es-PA"/>
        </w:rPr>
        <w:t xml:space="preserve"> combatir la delincuencia organizada transnacional.</w:t>
      </w:r>
    </w:p>
    <w:p w14:paraId="65DE0309" w14:textId="705C7C61" w:rsidR="007D5D4B" w:rsidRPr="00C03FF3" w:rsidRDefault="007D5D4B" w:rsidP="00CA4949">
      <w:pPr>
        <w:pStyle w:val="ListParagraph"/>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1440" w:hanging="720"/>
        <w:contextualSpacing/>
        <w:rPr>
          <w:rFonts w:ascii="Times New Roman" w:hAnsi="Times New Roman"/>
          <w:szCs w:val="22"/>
          <w:lang w:val="es-PA"/>
        </w:rPr>
      </w:pPr>
      <w:r w:rsidRPr="00C03FF3">
        <w:rPr>
          <w:rFonts w:ascii="Times New Roman" w:hAnsi="Times New Roman"/>
          <w:szCs w:val="22"/>
          <w:lang w:val="es-PA"/>
        </w:rPr>
        <w:t>Se invita a</w:t>
      </w:r>
      <w:r w:rsidRPr="00C03FF3">
        <w:rPr>
          <w:lang w:val="es-PA"/>
        </w:rPr>
        <w:t xml:space="preserve"> </w:t>
      </w:r>
      <w:r w:rsidRPr="00C03FF3">
        <w:rPr>
          <w:rFonts w:ascii="Times New Roman" w:hAnsi="Times New Roman"/>
          <w:szCs w:val="22"/>
          <w:lang w:val="es-PA"/>
        </w:rPr>
        <w:t>Estados Miembros a</w:t>
      </w:r>
      <w:r w:rsidR="00821749" w:rsidRPr="00C03FF3">
        <w:rPr>
          <w:rFonts w:ascii="Times New Roman" w:hAnsi="Times New Roman"/>
          <w:szCs w:val="22"/>
          <w:lang w:val="es-PA"/>
        </w:rPr>
        <w:t xml:space="preserve"> alentar</w:t>
      </w:r>
      <w:r w:rsidRPr="00C03FF3">
        <w:rPr>
          <w:rFonts w:ascii="Times New Roman" w:hAnsi="Times New Roman"/>
          <w:szCs w:val="22"/>
          <w:lang w:val="es-PA"/>
        </w:rPr>
        <w:t xml:space="preserve"> y </w:t>
      </w:r>
      <w:r w:rsidR="00C204BE" w:rsidRPr="00C03FF3">
        <w:rPr>
          <w:rFonts w:ascii="Times New Roman" w:hAnsi="Times New Roman"/>
          <w:szCs w:val="22"/>
          <w:lang w:val="es-PA"/>
        </w:rPr>
        <w:t>convencer</w:t>
      </w:r>
      <w:r w:rsidRPr="00C03FF3">
        <w:rPr>
          <w:rFonts w:ascii="Times New Roman" w:hAnsi="Times New Roman"/>
          <w:szCs w:val="22"/>
          <w:lang w:val="es-PA"/>
        </w:rPr>
        <w:t xml:space="preserve"> a otros Estados e instituciones financieras, según corresponda, a </w:t>
      </w:r>
      <w:r w:rsidR="00821749" w:rsidRPr="00C03FF3">
        <w:rPr>
          <w:rFonts w:ascii="Times New Roman" w:hAnsi="Times New Roman"/>
          <w:szCs w:val="22"/>
          <w:lang w:val="es-PA"/>
        </w:rPr>
        <w:t>que se sumen</w:t>
      </w:r>
      <w:r w:rsidRPr="00C03FF3">
        <w:rPr>
          <w:rFonts w:ascii="Times New Roman" w:hAnsi="Times New Roman"/>
          <w:szCs w:val="22"/>
          <w:lang w:val="es-PA"/>
        </w:rPr>
        <w:t xml:space="preserve"> a </w:t>
      </w:r>
      <w:r w:rsidR="00BC5FD2" w:rsidRPr="00C03FF3">
        <w:rPr>
          <w:rFonts w:ascii="Times New Roman" w:hAnsi="Times New Roman"/>
          <w:szCs w:val="22"/>
          <w:lang w:val="es-PA"/>
        </w:rPr>
        <w:t>la labor encaminada</w:t>
      </w:r>
      <w:r w:rsidRPr="00C03FF3">
        <w:rPr>
          <w:rFonts w:ascii="Times New Roman" w:hAnsi="Times New Roman"/>
          <w:szCs w:val="22"/>
          <w:lang w:val="es-PA"/>
        </w:rPr>
        <w:t xml:space="preserve"> a </w:t>
      </w:r>
      <w:r w:rsidR="00821749" w:rsidRPr="00C03FF3">
        <w:rPr>
          <w:rFonts w:ascii="Times New Roman" w:hAnsi="Times New Roman"/>
          <w:szCs w:val="22"/>
          <w:lang w:val="es-PA"/>
        </w:rPr>
        <w:t>promover</w:t>
      </w:r>
      <w:r w:rsidRPr="00C03FF3">
        <w:rPr>
          <w:rFonts w:ascii="Times New Roman" w:hAnsi="Times New Roman"/>
          <w:szCs w:val="22"/>
          <w:lang w:val="es-PA"/>
        </w:rPr>
        <w:t xml:space="preserve"> los objetivos de </w:t>
      </w:r>
      <w:r w:rsidR="00821749" w:rsidRPr="00C03FF3">
        <w:rPr>
          <w:rFonts w:ascii="Times New Roman" w:hAnsi="Times New Roman"/>
          <w:szCs w:val="22"/>
          <w:lang w:val="es-PA"/>
        </w:rPr>
        <w:t>esta</w:t>
      </w:r>
      <w:r w:rsidRPr="00C03FF3">
        <w:rPr>
          <w:rFonts w:ascii="Times New Roman" w:hAnsi="Times New Roman"/>
          <w:szCs w:val="22"/>
          <w:lang w:val="es-PA"/>
        </w:rPr>
        <w:t xml:space="preserve"> Estrategia Hemisférica y </w:t>
      </w:r>
      <w:r w:rsidR="00821749" w:rsidRPr="00C03FF3">
        <w:rPr>
          <w:rFonts w:ascii="Times New Roman" w:hAnsi="Times New Roman"/>
          <w:szCs w:val="22"/>
          <w:lang w:val="es-PA"/>
        </w:rPr>
        <w:t>d</w:t>
      </w:r>
      <w:r w:rsidRPr="00C03FF3">
        <w:rPr>
          <w:rFonts w:ascii="Times New Roman" w:hAnsi="Times New Roman"/>
          <w:szCs w:val="22"/>
          <w:lang w:val="es-PA"/>
        </w:rPr>
        <w:t>el Plan de Acción Hemisférico contra la Delincuencia Organizada Transnacional.</w:t>
      </w:r>
      <w:r w:rsidR="00D05C0D">
        <w:rPr>
          <w:rFonts w:ascii="Times New Roman" w:hAnsi="Times New Roman"/>
          <w:noProof/>
          <w:szCs w:val="22"/>
          <w:lang w:val="es-PA"/>
        </w:rPr>
        <mc:AlternateContent>
          <mc:Choice Requires="wps">
            <w:drawing>
              <wp:anchor distT="0" distB="0" distL="114300" distR="114300" simplePos="0" relativeHeight="251659264" behindDoc="0" locked="1" layoutInCell="1" allowOverlap="1" wp14:anchorId="271C87CE" wp14:editId="55F45740">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A5DFA12" w14:textId="624E954A" w:rsidR="00D05C0D" w:rsidRPr="00D05C0D" w:rsidRDefault="00D05C0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RA00356S04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1C87C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5A5DFA12" w14:textId="624E954A" w:rsidR="00D05C0D" w:rsidRPr="00D05C0D" w:rsidRDefault="00D05C0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RA00356S04</w:t>
                      </w:r>
                      <w:r>
                        <w:rPr>
                          <w:rFonts w:ascii="Times New Roman" w:hAnsi="Times New Roman"/>
                          <w:sz w:val="18"/>
                        </w:rPr>
                        <w:fldChar w:fldCharType="end"/>
                      </w:r>
                    </w:p>
                  </w:txbxContent>
                </v:textbox>
                <w10:wrap anchory="page"/>
                <w10:anchorlock/>
              </v:shape>
            </w:pict>
          </mc:Fallback>
        </mc:AlternateContent>
      </w:r>
    </w:p>
    <w:sectPr w:rsidR="007D5D4B" w:rsidRPr="00C03FF3" w:rsidSect="00B014D8">
      <w:headerReference w:type="even" r:id="rId8"/>
      <w:headerReference w:type="default" r:id="rId9"/>
      <w:endnotePr>
        <w:numFmt w:val="decimal"/>
      </w:endnotePr>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25CB" w14:textId="77777777" w:rsidR="00A80584" w:rsidRDefault="00A80584">
      <w:r>
        <w:separator/>
      </w:r>
    </w:p>
  </w:endnote>
  <w:endnote w:type="continuationSeparator" w:id="0">
    <w:p w14:paraId="5FB31D7D" w14:textId="77777777" w:rsidR="00A80584" w:rsidRDefault="00A80584">
      <w:r>
        <w:continuationSeparator/>
      </w:r>
    </w:p>
  </w:endnote>
  <w:endnote w:type="continuationNotice" w:id="1">
    <w:p w14:paraId="2B5EB067" w14:textId="77777777" w:rsidR="00A80584" w:rsidRDefault="00A80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4969" w14:textId="77777777" w:rsidR="00A80584" w:rsidRDefault="00A80584">
      <w:r>
        <w:separator/>
      </w:r>
    </w:p>
  </w:footnote>
  <w:footnote w:type="continuationSeparator" w:id="0">
    <w:p w14:paraId="3EAB9750" w14:textId="77777777" w:rsidR="00A80584" w:rsidRDefault="00A80584">
      <w:r>
        <w:continuationSeparator/>
      </w:r>
    </w:p>
  </w:footnote>
  <w:footnote w:type="continuationNotice" w:id="1">
    <w:p w14:paraId="2DE32B77" w14:textId="77777777" w:rsidR="00A80584" w:rsidRDefault="00A805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08DA" w14:textId="77777777" w:rsidR="00B014D8" w:rsidRPr="000D3BB7" w:rsidRDefault="00FF073F" w:rsidP="00B014D8">
    <w:pPr>
      <w:pStyle w:val="Header"/>
      <w:jc w:val="center"/>
      <w:rPr>
        <w:rFonts w:ascii="Times New Roman" w:hAnsi="Times New Roman"/>
        <w:noProof/>
      </w:rPr>
    </w:pPr>
    <w:r>
      <w:rPr>
        <w:rStyle w:val="PageNumber"/>
        <w:rFonts w:ascii="Times New Roman" w:hAnsi="Times New Roman"/>
      </w:rPr>
      <w:t xml:space="preserve">- </w:t>
    </w:r>
    <w:r w:rsidRPr="000D3BB7">
      <w:rPr>
        <w:rStyle w:val="PageNumber"/>
        <w:rFonts w:ascii="Times New Roman" w:hAnsi="Times New Roman"/>
      </w:rPr>
      <w:fldChar w:fldCharType="begin"/>
    </w:r>
    <w:r w:rsidRPr="000D3BB7">
      <w:rPr>
        <w:rStyle w:val="PageNumber"/>
        <w:rFonts w:ascii="Times New Roman" w:hAnsi="Times New Roman"/>
      </w:rPr>
      <w:instrText xml:space="preserve"> PAGE </w:instrText>
    </w:r>
    <w:r w:rsidRPr="000D3BB7">
      <w:rPr>
        <w:rStyle w:val="PageNumber"/>
        <w:rFonts w:ascii="Times New Roman" w:hAnsi="Times New Roman"/>
      </w:rPr>
      <w:fldChar w:fldCharType="separate"/>
    </w:r>
    <w:r w:rsidR="00F465C3">
      <w:rPr>
        <w:rStyle w:val="PageNumber"/>
        <w:rFonts w:ascii="Times New Roman" w:hAnsi="Times New Roman"/>
        <w:noProof/>
      </w:rPr>
      <w:t>8</w:t>
    </w:r>
    <w:r w:rsidRPr="000D3BB7">
      <w:rPr>
        <w:rStyle w:val="PageNumber"/>
        <w:rFonts w:ascii="Times New Roman" w:hAnsi="Times New Roman"/>
      </w:rPr>
      <w:fldChar w:fldCharType="end"/>
    </w:r>
    <w:r>
      <w:rPr>
        <w:rStyle w:val="PageNumbe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E421" w14:textId="77777777" w:rsidR="00B014D8" w:rsidRPr="000D3BB7" w:rsidRDefault="00FF073F">
    <w:pPr>
      <w:pStyle w:val="Header"/>
      <w:framePr w:w="645" w:wrap="auto" w:vAnchor="text" w:hAnchor="margin" w:xAlign="center" w:y="1"/>
      <w:rPr>
        <w:rStyle w:val="PageNumber"/>
        <w:rFonts w:ascii="Times New Roman" w:hAnsi="Times New Roman"/>
        <w:noProof/>
      </w:rPr>
    </w:pPr>
    <w:r>
      <w:rPr>
        <w:rStyle w:val="PageNumber"/>
        <w:rFonts w:ascii="Times New Roman" w:hAnsi="Times New Roman"/>
      </w:rPr>
      <w:t xml:space="preserve">- </w:t>
    </w:r>
    <w:r w:rsidRPr="000D3BB7">
      <w:rPr>
        <w:rStyle w:val="PageNumber"/>
        <w:rFonts w:ascii="Times New Roman" w:hAnsi="Times New Roman"/>
      </w:rPr>
      <w:fldChar w:fldCharType="begin"/>
    </w:r>
    <w:r w:rsidRPr="000D3BB7">
      <w:rPr>
        <w:rStyle w:val="PageNumber"/>
        <w:rFonts w:ascii="Times New Roman" w:hAnsi="Times New Roman"/>
      </w:rPr>
      <w:instrText xml:space="preserve">PAGE  </w:instrText>
    </w:r>
    <w:r w:rsidRPr="000D3BB7">
      <w:rPr>
        <w:rStyle w:val="PageNumber"/>
        <w:rFonts w:ascii="Times New Roman" w:hAnsi="Times New Roman"/>
      </w:rPr>
      <w:fldChar w:fldCharType="separate"/>
    </w:r>
    <w:r w:rsidR="00F465C3">
      <w:rPr>
        <w:rStyle w:val="PageNumber"/>
        <w:rFonts w:ascii="Times New Roman" w:hAnsi="Times New Roman"/>
        <w:noProof/>
      </w:rPr>
      <w:t>9</w:t>
    </w:r>
    <w:r w:rsidRPr="000D3BB7">
      <w:rPr>
        <w:rStyle w:val="PageNumber"/>
        <w:rFonts w:ascii="Times New Roman" w:hAnsi="Times New Roman"/>
      </w:rPr>
      <w:fldChar w:fldCharType="end"/>
    </w:r>
    <w:r>
      <w:rPr>
        <w:rStyle w:val="PageNumber"/>
        <w:rFonts w:ascii="Times New Roman" w:hAnsi="Times New Roman"/>
      </w:rPr>
      <w:t xml:space="preserve"> -</w:t>
    </w:r>
  </w:p>
  <w:p w14:paraId="289F8F0C" w14:textId="77777777" w:rsidR="00B014D8" w:rsidRPr="000D3BB7" w:rsidRDefault="00B014D8">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68F"/>
    <w:multiLevelType w:val="hybridMultilevel"/>
    <w:tmpl w:val="F12A7E70"/>
    <w:lvl w:ilvl="0" w:tplc="914A694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76B1A"/>
    <w:multiLevelType w:val="hybridMultilevel"/>
    <w:tmpl w:val="0D76DAE8"/>
    <w:lvl w:ilvl="0" w:tplc="04090017">
      <w:start w:val="1"/>
      <w:numFmt w:val="lowerLetter"/>
      <w:lvlText w:val="%1)"/>
      <w:lvlJc w:val="left"/>
      <w:pPr>
        <w:ind w:left="720" w:hanging="360"/>
      </w:pPr>
      <w:rPr>
        <w:rFonts w:hint="default"/>
      </w:rPr>
    </w:lvl>
    <w:lvl w:ilvl="1" w:tplc="37C2652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E6968"/>
    <w:multiLevelType w:val="hybridMultilevel"/>
    <w:tmpl w:val="E55A3E06"/>
    <w:lvl w:ilvl="0" w:tplc="0409001B">
      <w:start w:val="1"/>
      <w:numFmt w:val="lowerRoman"/>
      <w:lvlText w:val="%1."/>
      <w:lvlJc w:val="right"/>
      <w:pPr>
        <w:ind w:left="720" w:hanging="360"/>
      </w:pPr>
      <w:rPr>
        <w:rFonts w:hint="default"/>
      </w:rPr>
    </w:lvl>
    <w:lvl w:ilvl="1" w:tplc="37C2652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54DF0"/>
    <w:multiLevelType w:val="hybridMultilevel"/>
    <w:tmpl w:val="22CC74D8"/>
    <w:lvl w:ilvl="0" w:tplc="F7B0E7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91028"/>
    <w:multiLevelType w:val="hybridMultilevel"/>
    <w:tmpl w:val="DFF8B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05984"/>
    <w:multiLevelType w:val="hybridMultilevel"/>
    <w:tmpl w:val="2F483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35757"/>
    <w:multiLevelType w:val="hybridMultilevel"/>
    <w:tmpl w:val="CA3036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76A07"/>
    <w:multiLevelType w:val="hybridMultilevel"/>
    <w:tmpl w:val="CB5ADE80"/>
    <w:lvl w:ilvl="0" w:tplc="04090017">
      <w:start w:val="1"/>
      <w:numFmt w:val="lowerLetter"/>
      <w:lvlText w:val="%1)"/>
      <w:lvlJc w:val="left"/>
      <w:pPr>
        <w:ind w:left="1170" w:hanging="360"/>
      </w:pPr>
      <w:rPr>
        <w:rFonts w:hint="default"/>
        <w:b w:val="0"/>
        <w:bCs w:val="0"/>
        <w:strike w:val="0"/>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360B6"/>
    <w:multiLevelType w:val="hybridMultilevel"/>
    <w:tmpl w:val="E55A3E06"/>
    <w:lvl w:ilvl="0" w:tplc="0409001B">
      <w:start w:val="1"/>
      <w:numFmt w:val="lowerRoman"/>
      <w:lvlText w:val="%1."/>
      <w:lvlJc w:val="right"/>
      <w:pPr>
        <w:ind w:left="720" w:hanging="360"/>
      </w:pPr>
      <w:rPr>
        <w:rFonts w:hint="default"/>
      </w:rPr>
    </w:lvl>
    <w:lvl w:ilvl="1" w:tplc="37C2652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C6687"/>
    <w:multiLevelType w:val="hybridMultilevel"/>
    <w:tmpl w:val="0308B7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6431F"/>
    <w:multiLevelType w:val="hybridMultilevel"/>
    <w:tmpl w:val="8332767E"/>
    <w:lvl w:ilvl="0" w:tplc="0409000F">
      <w:start w:val="1"/>
      <w:numFmt w:val="decimal"/>
      <w:lvlText w:val="%1."/>
      <w:lvlJc w:val="left"/>
      <w:pPr>
        <w:tabs>
          <w:tab w:val="num" w:pos="1440"/>
        </w:tabs>
        <w:ind w:left="1440" w:hanging="360"/>
      </w:pPr>
    </w:lvl>
    <w:lvl w:ilvl="1" w:tplc="34921978">
      <w:start w:val="1"/>
      <w:numFmt w:val="lowerLetter"/>
      <w:lvlText w:val="%2."/>
      <w:lvlJc w:val="left"/>
      <w:pPr>
        <w:tabs>
          <w:tab w:val="num" w:pos="2520"/>
        </w:tabs>
        <w:ind w:left="2520" w:hanging="720"/>
      </w:pPr>
      <w:rPr>
        <w:rFonts w:hint="default"/>
        <w:color w:val="auto"/>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79A502FC"/>
    <w:multiLevelType w:val="hybridMultilevel"/>
    <w:tmpl w:val="84645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A54222"/>
    <w:multiLevelType w:val="hybridMultilevel"/>
    <w:tmpl w:val="0D502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B96625"/>
    <w:multiLevelType w:val="hybridMultilevel"/>
    <w:tmpl w:val="027A425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9"/>
  </w:num>
  <w:num w:numId="3">
    <w:abstractNumId w:val="6"/>
  </w:num>
  <w:num w:numId="4">
    <w:abstractNumId w:val="7"/>
  </w:num>
  <w:num w:numId="5">
    <w:abstractNumId w:val="5"/>
  </w:num>
  <w:num w:numId="6">
    <w:abstractNumId w:val="4"/>
  </w:num>
  <w:num w:numId="7">
    <w:abstractNumId w:val="11"/>
  </w:num>
  <w:num w:numId="8">
    <w:abstractNumId w:val="1"/>
  </w:num>
  <w:num w:numId="9">
    <w:abstractNumId w:val="13"/>
  </w:num>
  <w:num w:numId="10">
    <w:abstractNumId w:val="8"/>
  </w:num>
  <w:num w:numId="11">
    <w:abstractNumId w:val="2"/>
  </w:num>
  <w:num w:numId="12">
    <w:abstractNumId w:val="10"/>
  </w:num>
  <w:num w:numId="13">
    <w:abstractNumId w:val="0"/>
  </w:num>
  <w:num w:numId="14">
    <w:abstractNumId w:val="11"/>
  </w:num>
  <w:num w:numId="15">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num>
  <w:num w:numId="20">
    <w:abstractNumId w:val="6"/>
  </w:num>
  <w:num w:numId="21">
    <w:abstractNumId w:val="7"/>
  </w:num>
  <w:num w:numId="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8D4FA92-D303-4A06-9455-2A7450AA9506}"/>
    <w:docVar w:name="dgnword-eventsink" w:val="1278050639056"/>
  </w:docVars>
  <w:rsids>
    <w:rsidRoot w:val="00E77DD5"/>
    <w:rsid w:val="00002003"/>
    <w:rsid w:val="00002B66"/>
    <w:rsid w:val="00004B9E"/>
    <w:rsid w:val="000153C6"/>
    <w:rsid w:val="00015B8E"/>
    <w:rsid w:val="00017A2B"/>
    <w:rsid w:val="00020912"/>
    <w:rsid w:val="00025339"/>
    <w:rsid w:val="00027960"/>
    <w:rsid w:val="00041719"/>
    <w:rsid w:val="00041C21"/>
    <w:rsid w:val="00042BE7"/>
    <w:rsid w:val="0004509E"/>
    <w:rsid w:val="00055A2D"/>
    <w:rsid w:val="00056B39"/>
    <w:rsid w:val="0005785A"/>
    <w:rsid w:val="00057F23"/>
    <w:rsid w:val="00066EB3"/>
    <w:rsid w:val="00075070"/>
    <w:rsid w:val="000806C7"/>
    <w:rsid w:val="0008522A"/>
    <w:rsid w:val="00094BA6"/>
    <w:rsid w:val="00095C66"/>
    <w:rsid w:val="000966BF"/>
    <w:rsid w:val="00097EDF"/>
    <w:rsid w:val="000A3B48"/>
    <w:rsid w:val="000B19D4"/>
    <w:rsid w:val="000B1BF2"/>
    <w:rsid w:val="000B1FB8"/>
    <w:rsid w:val="000B7504"/>
    <w:rsid w:val="000C2A9D"/>
    <w:rsid w:val="000D3BB7"/>
    <w:rsid w:val="000D3F96"/>
    <w:rsid w:val="000E1A08"/>
    <w:rsid w:val="000E2DC5"/>
    <w:rsid w:val="000F1CFF"/>
    <w:rsid w:val="000F1E46"/>
    <w:rsid w:val="000F34BE"/>
    <w:rsid w:val="00111833"/>
    <w:rsid w:val="00113CE7"/>
    <w:rsid w:val="00124559"/>
    <w:rsid w:val="001247FD"/>
    <w:rsid w:val="00127BC6"/>
    <w:rsid w:val="0013072C"/>
    <w:rsid w:val="001309D9"/>
    <w:rsid w:val="00130BFF"/>
    <w:rsid w:val="001322D9"/>
    <w:rsid w:val="00137F1F"/>
    <w:rsid w:val="001423E9"/>
    <w:rsid w:val="001448A8"/>
    <w:rsid w:val="0014692F"/>
    <w:rsid w:val="00161FB5"/>
    <w:rsid w:val="0016358C"/>
    <w:rsid w:val="00166B8E"/>
    <w:rsid w:val="0016723D"/>
    <w:rsid w:val="001712E0"/>
    <w:rsid w:val="001724CC"/>
    <w:rsid w:val="00191A99"/>
    <w:rsid w:val="00191C01"/>
    <w:rsid w:val="001934AD"/>
    <w:rsid w:val="001A1606"/>
    <w:rsid w:val="001A2D8A"/>
    <w:rsid w:val="001B12CA"/>
    <w:rsid w:val="001B4917"/>
    <w:rsid w:val="001B7EA9"/>
    <w:rsid w:val="001C0F04"/>
    <w:rsid w:val="001C345E"/>
    <w:rsid w:val="001D0D2B"/>
    <w:rsid w:val="001E0795"/>
    <w:rsid w:val="001E0D43"/>
    <w:rsid w:val="001E2265"/>
    <w:rsid w:val="001E52E9"/>
    <w:rsid w:val="001F229C"/>
    <w:rsid w:val="001F29F5"/>
    <w:rsid w:val="001F7349"/>
    <w:rsid w:val="001F7A52"/>
    <w:rsid w:val="00202504"/>
    <w:rsid w:val="00204002"/>
    <w:rsid w:val="002240BD"/>
    <w:rsid w:val="00227CC4"/>
    <w:rsid w:val="0023437D"/>
    <w:rsid w:val="00235F9C"/>
    <w:rsid w:val="00243718"/>
    <w:rsid w:val="002530DC"/>
    <w:rsid w:val="00253540"/>
    <w:rsid w:val="00256CF6"/>
    <w:rsid w:val="00270448"/>
    <w:rsid w:val="00270455"/>
    <w:rsid w:val="0027107B"/>
    <w:rsid w:val="00273AFB"/>
    <w:rsid w:val="00273CF7"/>
    <w:rsid w:val="00274F49"/>
    <w:rsid w:val="00295282"/>
    <w:rsid w:val="002A6D50"/>
    <w:rsid w:val="002B25AC"/>
    <w:rsid w:val="002C1A0F"/>
    <w:rsid w:val="002C2AB5"/>
    <w:rsid w:val="002C55B8"/>
    <w:rsid w:val="002C5D5F"/>
    <w:rsid w:val="002D0958"/>
    <w:rsid w:val="002D1527"/>
    <w:rsid w:val="002D437D"/>
    <w:rsid w:val="002D4AC9"/>
    <w:rsid w:val="002E0A25"/>
    <w:rsid w:val="002E6A9C"/>
    <w:rsid w:val="002E6C44"/>
    <w:rsid w:val="002F03CE"/>
    <w:rsid w:val="002F7019"/>
    <w:rsid w:val="00306300"/>
    <w:rsid w:val="00306F67"/>
    <w:rsid w:val="003103A2"/>
    <w:rsid w:val="00321D94"/>
    <w:rsid w:val="003237A2"/>
    <w:rsid w:val="00330A5C"/>
    <w:rsid w:val="003359F0"/>
    <w:rsid w:val="00342914"/>
    <w:rsid w:val="00342CB0"/>
    <w:rsid w:val="00346490"/>
    <w:rsid w:val="00350D41"/>
    <w:rsid w:val="00351D43"/>
    <w:rsid w:val="00355100"/>
    <w:rsid w:val="003559D4"/>
    <w:rsid w:val="00356AB4"/>
    <w:rsid w:val="0036576B"/>
    <w:rsid w:val="0036664C"/>
    <w:rsid w:val="00370212"/>
    <w:rsid w:val="00371911"/>
    <w:rsid w:val="00380134"/>
    <w:rsid w:val="0038218C"/>
    <w:rsid w:val="003825FF"/>
    <w:rsid w:val="00390AE5"/>
    <w:rsid w:val="0039442D"/>
    <w:rsid w:val="003976A3"/>
    <w:rsid w:val="003A0033"/>
    <w:rsid w:val="003A3506"/>
    <w:rsid w:val="003B4CDD"/>
    <w:rsid w:val="003B5077"/>
    <w:rsid w:val="003B6F67"/>
    <w:rsid w:val="003B7D38"/>
    <w:rsid w:val="003C0732"/>
    <w:rsid w:val="003C1AA6"/>
    <w:rsid w:val="003C6F1A"/>
    <w:rsid w:val="003D2C8F"/>
    <w:rsid w:val="003D6454"/>
    <w:rsid w:val="003E10F0"/>
    <w:rsid w:val="003E348C"/>
    <w:rsid w:val="003E3FCD"/>
    <w:rsid w:val="00412C43"/>
    <w:rsid w:val="00415D59"/>
    <w:rsid w:val="004200AD"/>
    <w:rsid w:val="00420184"/>
    <w:rsid w:val="0042101B"/>
    <w:rsid w:val="00421A93"/>
    <w:rsid w:val="00422A6B"/>
    <w:rsid w:val="00424A05"/>
    <w:rsid w:val="004258A5"/>
    <w:rsid w:val="00427A5B"/>
    <w:rsid w:val="004300C6"/>
    <w:rsid w:val="0043104A"/>
    <w:rsid w:val="00431560"/>
    <w:rsid w:val="004348FC"/>
    <w:rsid w:val="004573BD"/>
    <w:rsid w:val="00460181"/>
    <w:rsid w:val="0046148E"/>
    <w:rsid w:val="00462548"/>
    <w:rsid w:val="00463394"/>
    <w:rsid w:val="00466E20"/>
    <w:rsid w:val="00470316"/>
    <w:rsid w:val="0047156E"/>
    <w:rsid w:val="00471FF2"/>
    <w:rsid w:val="00475977"/>
    <w:rsid w:val="00477F25"/>
    <w:rsid w:val="00480FD8"/>
    <w:rsid w:val="00481B6D"/>
    <w:rsid w:val="0048208F"/>
    <w:rsid w:val="00497512"/>
    <w:rsid w:val="00497DC4"/>
    <w:rsid w:val="004A1C10"/>
    <w:rsid w:val="004A2349"/>
    <w:rsid w:val="004A2F29"/>
    <w:rsid w:val="004A67A7"/>
    <w:rsid w:val="004B4B55"/>
    <w:rsid w:val="004B790E"/>
    <w:rsid w:val="004C2C60"/>
    <w:rsid w:val="004C5474"/>
    <w:rsid w:val="004D7C33"/>
    <w:rsid w:val="004D7E6D"/>
    <w:rsid w:val="004E1DAF"/>
    <w:rsid w:val="004E317F"/>
    <w:rsid w:val="004F12E9"/>
    <w:rsid w:val="004F2519"/>
    <w:rsid w:val="004F357B"/>
    <w:rsid w:val="004F564F"/>
    <w:rsid w:val="005042A6"/>
    <w:rsid w:val="00504566"/>
    <w:rsid w:val="0050702C"/>
    <w:rsid w:val="00510A75"/>
    <w:rsid w:val="00515A00"/>
    <w:rsid w:val="00525227"/>
    <w:rsid w:val="00525A21"/>
    <w:rsid w:val="00541EFE"/>
    <w:rsid w:val="00551B81"/>
    <w:rsid w:val="0055695F"/>
    <w:rsid w:val="00575677"/>
    <w:rsid w:val="00577987"/>
    <w:rsid w:val="00581CA5"/>
    <w:rsid w:val="00581CD4"/>
    <w:rsid w:val="0058505B"/>
    <w:rsid w:val="0058783F"/>
    <w:rsid w:val="005923B3"/>
    <w:rsid w:val="00595FB7"/>
    <w:rsid w:val="005A6A18"/>
    <w:rsid w:val="005B3EB0"/>
    <w:rsid w:val="005B6C5A"/>
    <w:rsid w:val="005C7DCC"/>
    <w:rsid w:val="005D023A"/>
    <w:rsid w:val="005D33BB"/>
    <w:rsid w:val="005E234B"/>
    <w:rsid w:val="005E4B6A"/>
    <w:rsid w:val="005E691F"/>
    <w:rsid w:val="005E6FB8"/>
    <w:rsid w:val="005F3F71"/>
    <w:rsid w:val="005F4882"/>
    <w:rsid w:val="0060035B"/>
    <w:rsid w:val="0060300F"/>
    <w:rsid w:val="00621634"/>
    <w:rsid w:val="00625C33"/>
    <w:rsid w:val="00631125"/>
    <w:rsid w:val="00633404"/>
    <w:rsid w:val="006350F3"/>
    <w:rsid w:val="00646E1C"/>
    <w:rsid w:val="006517C7"/>
    <w:rsid w:val="00655A46"/>
    <w:rsid w:val="00656470"/>
    <w:rsid w:val="0065666D"/>
    <w:rsid w:val="0066154F"/>
    <w:rsid w:val="00663C23"/>
    <w:rsid w:val="00664349"/>
    <w:rsid w:val="00666964"/>
    <w:rsid w:val="006707D0"/>
    <w:rsid w:val="006729DE"/>
    <w:rsid w:val="00672F2F"/>
    <w:rsid w:val="006757DD"/>
    <w:rsid w:val="006768FC"/>
    <w:rsid w:val="0068759E"/>
    <w:rsid w:val="006907F2"/>
    <w:rsid w:val="006B1ED4"/>
    <w:rsid w:val="006B52AB"/>
    <w:rsid w:val="006B7AE7"/>
    <w:rsid w:val="006C58B4"/>
    <w:rsid w:val="006D04EB"/>
    <w:rsid w:val="006D2CAC"/>
    <w:rsid w:val="006D3C1F"/>
    <w:rsid w:val="006D5877"/>
    <w:rsid w:val="006E307E"/>
    <w:rsid w:val="006E64E7"/>
    <w:rsid w:val="006E73CB"/>
    <w:rsid w:val="006F5841"/>
    <w:rsid w:val="0070389F"/>
    <w:rsid w:val="0070493F"/>
    <w:rsid w:val="007058AA"/>
    <w:rsid w:val="00707429"/>
    <w:rsid w:val="007152E8"/>
    <w:rsid w:val="00722A21"/>
    <w:rsid w:val="007232FF"/>
    <w:rsid w:val="00725F42"/>
    <w:rsid w:val="00726AE9"/>
    <w:rsid w:val="007316B5"/>
    <w:rsid w:val="007330CD"/>
    <w:rsid w:val="007333E9"/>
    <w:rsid w:val="007336C7"/>
    <w:rsid w:val="00742687"/>
    <w:rsid w:val="0074377B"/>
    <w:rsid w:val="0074452F"/>
    <w:rsid w:val="007446AB"/>
    <w:rsid w:val="007506B7"/>
    <w:rsid w:val="00754373"/>
    <w:rsid w:val="007546F5"/>
    <w:rsid w:val="007567A9"/>
    <w:rsid w:val="007603D6"/>
    <w:rsid w:val="0076144D"/>
    <w:rsid w:val="00765A60"/>
    <w:rsid w:val="00766B6F"/>
    <w:rsid w:val="00770D67"/>
    <w:rsid w:val="007716D0"/>
    <w:rsid w:val="007869DB"/>
    <w:rsid w:val="007872C7"/>
    <w:rsid w:val="007A58DF"/>
    <w:rsid w:val="007B19BD"/>
    <w:rsid w:val="007B2672"/>
    <w:rsid w:val="007C4564"/>
    <w:rsid w:val="007D2259"/>
    <w:rsid w:val="007D5C90"/>
    <w:rsid w:val="007D5D4B"/>
    <w:rsid w:val="007E13B8"/>
    <w:rsid w:val="007E30CB"/>
    <w:rsid w:val="007E797E"/>
    <w:rsid w:val="007F3396"/>
    <w:rsid w:val="007F4334"/>
    <w:rsid w:val="007F73FD"/>
    <w:rsid w:val="007F7DE7"/>
    <w:rsid w:val="00805688"/>
    <w:rsid w:val="008060A9"/>
    <w:rsid w:val="00817BEA"/>
    <w:rsid w:val="00820C21"/>
    <w:rsid w:val="00821749"/>
    <w:rsid w:val="00826862"/>
    <w:rsid w:val="008341BD"/>
    <w:rsid w:val="00835B1D"/>
    <w:rsid w:val="00841037"/>
    <w:rsid w:val="0084296F"/>
    <w:rsid w:val="00842C27"/>
    <w:rsid w:val="00844FA5"/>
    <w:rsid w:val="0084549D"/>
    <w:rsid w:val="00847D8A"/>
    <w:rsid w:val="00851A03"/>
    <w:rsid w:val="008537AD"/>
    <w:rsid w:val="00860AE0"/>
    <w:rsid w:val="00863D9C"/>
    <w:rsid w:val="00864D91"/>
    <w:rsid w:val="0086654D"/>
    <w:rsid w:val="00866F02"/>
    <w:rsid w:val="00867402"/>
    <w:rsid w:val="008753D5"/>
    <w:rsid w:val="00880215"/>
    <w:rsid w:val="0088293A"/>
    <w:rsid w:val="00890C1C"/>
    <w:rsid w:val="00891F4B"/>
    <w:rsid w:val="00892DF2"/>
    <w:rsid w:val="00893912"/>
    <w:rsid w:val="00897450"/>
    <w:rsid w:val="008B7A6E"/>
    <w:rsid w:val="008C01B9"/>
    <w:rsid w:val="008C356E"/>
    <w:rsid w:val="008C4E04"/>
    <w:rsid w:val="008C51CF"/>
    <w:rsid w:val="008C7CA4"/>
    <w:rsid w:val="008D5BF5"/>
    <w:rsid w:val="008E2D70"/>
    <w:rsid w:val="008E442D"/>
    <w:rsid w:val="00906704"/>
    <w:rsid w:val="0090770F"/>
    <w:rsid w:val="00912A16"/>
    <w:rsid w:val="009170CC"/>
    <w:rsid w:val="0092486E"/>
    <w:rsid w:val="00926FEA"/>
    <w:rsid w:val="00930A57"/>
    <w:rsid w:val="00932CFC"/>
    <w:rsid w:val="00933BBD"/>
    <w:rsid w:val="00937F36"/>
    <w:rsid w:val="0094335F"/>
    <w:rsid w:val="009437A4"/>
    <w:rsid w:val="009474A0"/>
    <w:rsid w:val="00951B61"/>
    <w:rsid w:val="00951D1F"/>
    <w:rsid w:val="00953C0E"/>
    <w:rsid w:val="009624EC"/>
    <w:rsid w:val="0097089C"/>
    <w:rsid w:val="0097500C"/>
    <w:rsid w:val="0098126B"/>
    <w:rsid w:val="00982495"/>
    <w:rsid w:val="00983EE1"/>
    <w:rsid w:val="009860CB"/>
    <w:rsid w:val="009866F9"/>
    <w:rsid w:val="00986C15"/>
    <w:rsid w:val="009A2C7D"/>
    <w:rsid w:val="009B25B4"/>
    <w:rsid w:val="009B3A20"/>
    <w:rsid w:val="009B788A"/>
    <w:rsid w:val="009C54C8"/>
    <w:rsid w:val="009D196C"/>
    <w:rsid w:val="009D1AF4"/>
    <w:rsid w:val="009D2679"/>
    <w:rsid w:val="009D7BEE"/>
    <w:rsid w:val="009E0B3E"/>
    <w:rsid w:val="009E2AE9"/>
    <w:rsid w:val="009F36EE"/>
    <w:rsid w:val="009F7583"/>
    <w:rsid w:val="00A16C77"/>
    <w:rsid w:val="00A20FA9"/>
    <w:rsid w:val="00A21D75"/>
    <w:rsid w:val="00A33339"/>
    <w:rsid w:val="00A33B36"/>
    <w:rsid w:val="00A47224"/>
    <w:rsid w:val="00A51642"/>
    <w:rsid w:val="00A51680"/>
    <w:rsid w:val="00A51C9E"/>
    <w:rsid w:val="00A551ED"/>
    <w:rsid w:val="00A55517"/>
    <w:rsid w:val="00A56055"/>
    <w:rsid w:val="00A603E1"/>
    <w:rsid w:val="00A654B2"/>
    <w:rsid w:val="00A7068C"/>
    <w:rsid w:val="00A80584"/>
    <w:rsid w:val="00A839D5"/>
    <w:rsid w:val="00A962EF"/>
    <w:rsid w:val="00A9795E"/>
    <w:rsid w:val="00AA460E"/>
    <w:rsid w:val="00AA6E74"/>
    <w:rsid w:val="00AA6FC6"/>
    <w:rsid w:val="00AB1C97"/>
    <w:rsid w:val="00AB39ED"/>
    <w:rsid w:val="00AB43AD"/>
    <w:rsid w:val="00AB5931"/>
    <w:rsid w:val="00AC1271"/>
    <w:rsid w:val="00AC1625"/>
    <w:rsid w:val="00AC5841"/>
    <w:rsid w:val="00AC78F5"/>
    <w:rsid w:val="00AD49BB"/>
    <w:rsid w:val="00AE001A"/>
    <w:rsid w:val="00AE0A20"/>
    <w:rsid w:val="00AE24CC"/>
    <w:rsid w:val="00AF4C42"/>
    <w:rsid w:val="00B00744"/>
    <w:rsid w:val="00B014D8"/>
    <w:rsid w:val="00B043D6"/>
    <w:rsid w:val="00B05916"/>
    <w:rsid w:val="00B13DE5"/>
    <w:rsid w:val="00B16E59"/>
    <w:rsid w:val="00B25611"/>
    <w:rsid w:val="00B31C2C"/>
    <w:rsid w:val="00B33A47"/>
    <w:rsid w:val="00B350B7"/>
    <w:rsid w:val="00B50C25"/>
    <w:rsid w:val="00B50E03"/>
    <w:rsid w:val="00B53998"/>
    <w:rsid w:val="00B64F7B"/>
    <w:rsid w:val="00B6782D"/>
    <w:rsid w:val="00B71750"/>
    <w:rsid w:val="00B72C98"/>
    <w:rsid w:val="00B76AE9"/>
    <w:rsid w:val="00B815B3"/>
    <w:rsid w:val="00B84F29"/>
    <w:rsid w:val="00B917B9"/>
    <w:rsid w:val="00B928D9"/>
    <w:rsid w:val="00B93F96"/>
    <w:rsid w:val="00B96D9F"/>
    <w:rsid w:val="00BA4058"/>
    <w:rsid w:val="00BC3FEC"/>
    <w:rsid w:val="00BC5FD2"/>
    <w:rsid w:val="00BD053B"/>
    <w:rsid w:val="00BD0783"/>
    <w:rsid w:val="00BD10A1"/>
    <w:rsid w:val="00BD3169"/>
    <w:rsid w:val="00BD6B28"/>
    <w:rsid w:val="00BD79D5"/>
    <w:rsid w:val="00BE31C7"/>
    <w:rsid w:val="00BE342C"/>
    <w:rsid w:val="00BF216E"/>
    <w:rsid w:val="00BF521C"/>
    <w:rsid w:val="00BF5664"/>
    <w:rsid w:val="00C03FF3"/>
    <w:rsid w:val="00C10E56"/>
    <w:rsid w:val="00C11929"/>
    <w:rsid w:val="00C204BE"/>
    <w:rsid w:val="00C2351D"/>
    <w:rsid w:val="00C26B44"/>
    <w:rsid w:val="00C30847"/>
    <w:rsid w:val="00C3370A"/>
    <w:rsid w:val="00C42B3A"/>
    <w:rsid w:val="00C51016"/>
    <w:rsid w:val="00C5179B"/>
    <w:rsid w:val="00C52CC6"/>
    <w:rsid w:val="00C543BB"/>
    <w:rsid w:val="00C55790"/>
    <w:rsid w:val="00C610FC"/>
    <w:rsid w:val="00C62EF2"/>
    <w:rsid w:val="00C65454"/>
    <w:rsid w:val="00C70C75"/>
    <w:rsid w:val="00C72DB2"/>
    <w:rsid w:val="00C77F18"/>
    <w:rsid w:val="00C80A70"/>
    <w:rsid w:val="00C855DD"/>
    <w:rsid w:val="00C9079F"/>
    <w:rsid w:val="00C918B5"/>
    <w:rsid w:val="00C92EBC"/>
    <w:rsid w:val="00C94019"/>
    <w:rsid w:val="00CA4949"/>
    <w:rsid w:val="00CB1295"/>
    <w:rsid w:val="00CB5C50"/>
    <w:rsid w:val="00CB6A26"/>
    <w:rsid w:val="00CC1AB1"/>
    <w:rsid w:val="00CD1C65"/>
    <w:rsid w:val="00CD5DE9"/>
    <w:rsid w:val="00CE676B"/>
    <w:rsid w:val="00CF44F6"/>
    <w:rsid w:val="00CF69E7"/>
    <w:rsid w:val="00D0512C"/>
    <w:rsid w:val="00D0583E"/>
    <w:rsid w:val="00D05C0D"/>
    <w:rsid w:val="00D05E19"/>
    <w:rsid w:val="00D062EC"/>
    <w:rsid w:val="00D068E1"/>
    <w:rsid w:val="00D07BD3"/>
    <w:rsid w:val="00D10451"/>
    <w:rsid w:val="00D104FB"/>
    <w:rsid w:val="00D1166B"/>
    <w:rsid w:val="00D1226B"/>
    <w:rsid w:val="00D168BD"/>
    <w:rsid w:val="00D2108A"/>
    <w:rsid w:val="00D23BEE"/>
    <w:rsid w:val="00D23D5B"/>
    <w:rsid w:val="00D24479"/>
    <w:rsid w:val="00D35B6C"/>
    <w:rsid w:val="00D420BC"/>
    <w:rsid w:val="00D42A4A"/>
    <w:rsid w:val="00D6356D"/>
    <w:rsid w:val="00D63729"/>
    <w:rsid w:val="00D65016"/>
    <w:rsid w:val="00D65353"/>
    <w:rsid w:val="00D70929"/>
    <w:rsid w:val="00D726C1"/>
    <w:rsid w:val="00D73430"/>
    <w:rsid w:val="00D74106"/>
    <w:rsid w:val="00D74D18"/>
    <w:rsid w:val="00D86696"/>
    <w:rsid w:val="00D90DBD"/>
    <w:rsid w:val="00D912F2"/>
    <w:rsid w:val="00D959D4"/>
    <w:rsid w:val="00D96202"/>
    <w:rsid w:val="00DA0109"/>
    <w:rsid w:val="00DA06B1"/>
    <w:rsid w:val="00DA4B27"/>
    <w:rsid w:val="00DB1C8A"/>
    <w:rsid w:val="00DC13D9"/>
    <w:rsid w:val="00DC1CE6"/>
    <w:rsid w:val="00DC4078"/>
    <w:rsid w:val="00DC74A5"/>
    <w:rsid w:val="00DD1EBF"/>
    <w:rsid w:val="00DD549B"/>
    <w:rsid w:val="00DF3367"/>
    <w:rsid w:val="00DF5A30"/>
    <w:rsid w:val="00DF5F01"/>
    <w:rsid w:val="00DF637E"/>
    <w:rsid w:val="00E013A6"/>
    <w:rsid w:val="00E0465D"/>
    <w:rsid w:val="00E13BC4"/>
    <w:rsid w:val="00E15E18"/>
    <w:rsid w:val="00E17F47"/>
    <w:rsid w:val="00E225CA"/>
    <w:rsid w:val="00E25B59"/>
    <w:rsid w:val="00E27358"/>
    <w:rsid w:val="00E352C8"/>
    <w:rsid w:val="00E361DB"/>
    <w:rsid w:val="00E43B72"/>
    <w:rsid w:val="00E5660C"/>
    <w:rsid w:val="00E628A0"/>
    <w:rsid w:val="00E6309B"/>
    <w:rsid w:val="00E676DD"/>
    <w:rsid w:val="00E7192C"/>
    <w:rsid w:val="00E75A71"/>
    <w:rsid w:val="00E77DD5"/>
    <w:rsid w:val="00E86655"/>
    <w:rsid w:val="00E97CBE"/>
    <w:rsid w:val="00EA1B2C"/>
    <w:rsid w:val="00EC09E9"/>
    <w:rsid w:val="00EC524E"/>
    <w:rsid w:val="00EC647A"/>
    <w:rsid w:val="00EC775B"/>
    <w:rsid w:val="00ED3244"/>
    <w:rsid w:val="00ED5D9C"/>
    <w:rsid w:val="00EE0F24"/>
    <w:rsid w:val="00EF0AE1"/>
    <w:rsid w:val="00EF3C13"/>
    <w:rsid w:val="00EF42C4"/>
    <w:rsid w:val="00EF4A59"/>
    <w:rsid w:val="00F01F3E"/>
    <w:rsid w:val="00F114F9"/>
    <w:rsid w:val="00F12015"/>
    <w:rsid w:val="00F128AB"/>
    <w:rsid w:val="00F15A71"/>
    <w:rsid w:val="00F24192"/>
    <w:rsid w:val="00F27EDC"/>
    <w:rsid w:val="00F31736"/>
    <w:rsid w:val="00F3484F"/>
    <w:rsid w:val="00F45A58"/>
    <w:rsid w:val="00F465C3"/>
    <w:rsid w:val="00F46B56"/>
    <w:rsid w:val="00F564A2"/>
    <w:rsid w:val="00F61788"/>
    <w:rsid w:val="00F62F99"/>
    <w:rsid w:val="00F632B2"/>
    <w:rsid w:val="00F63E04"/>
    <w:rsid w:val="00F643FF"/>
    <w:rsid w:val="00F65059"/>
    <w:rsid w:val="00F661B5"/>
    <w:rsid w:val="00F6791E"/>
    <w:rsid w:val="00F761AE"/>
    <w:rsid w:val="00F82642"/>
    <w:rsid w:val="00F853BB"/>
    <w:rsid w:val="00F872D4"/>
    <w:rsid w:val="00F94055"/>
    <w:rsid w:val="00FA20C3"/>
    <w:rsid w:val="00FA23EB"/>
    <w:rsid w:val="00FA44CC"/>
    <w:rsid w:val="00FA5F21"/>
    <w:rsid w:val="00FB0A70"/>
    <w:rsid w:val="00FC7278"/>
    <w:rsid w:val="00FC75F6"/>
    <w:rsid w:val="00FD32ED"/>
    <w:rsid w:val="00FD3422"/>
    <w:rsid w:val="00FE3DE7"/>
    <w:rsid w:val="00FF073F"/>
    <w:rsid w:val="00FF4B03"/>
    <w:rsid w:val="00FF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A926C4"/>
  <w15:docId w15:val="{93CF785F-34C8-4F5E-BC88-12D5ABAA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lang w:val="es-ES" w:eastAsia="es-ES"/>
    </w:rPr>
  </w:style>
  <w:style w:type="paragraph" w:styleId="FootnoteText">
    <w:name w:val="footnote text"/>
    <w:basedOn w:val="Normal"/>
    <w:semiHidden/>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Pr>
      <w:color w:val="000000"/>
      <w:vertAlign w:val="baseline"/>
      <w:lang w:val="es-ES" w:eastAsia="es-E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paragraph" w:customStyle="1" w:styleId="Heading">
    <w:name w:val="Heading"/>
    <w:basedOn w:val="Normal"/>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snapToGrid w:val="0"/>
      <w:szCs w:val="22"/>
    </w:rPr>
  </w:style>
  <w:style w:type="paragraph" w:styleId="BalloonText">
    <w:name w:val="Balloon Text"/>
    <w:basedOn w:val="Normal"/>
    <w:semiHidden/>
    <w:rPr>
      <w:rFonts w:ascii="Tahoma" w:hAnsi="Tahoma" w:cs="Tahoma"/>
      <w:sz w:val="16"/>
      <w:szCs w:val="16"/>
    </w:rPr>
  </w:style>
  <w:style w:type="character" w:styleId="Hyperlink">
    <w:name w:val="Hyperlink"/>
    <w:rsid w:val="0008253B"/>
    <w:rPr>
      <w:color w:val="0000FF"/>
      <w:u w:val="single"/>
      <w:lang w:val="es-ES" w:eastAsia="es-ES"/>
    </w:rPr>
  </w:style>
  <w:style w:type="paragraph" w:styleId="PlainText">
    <w:name w:val="Plain Text"/>
    <w:basedOn w:val="Normal"/>
    <w:link w:val="PlainTextChar"/>
    <w:rsid w:val="0004023E"/>
    <w:rPr>
      <w:rFonts w:ascii="Courier New" w:hAnsi="Courier New"/>
      <w:sz w:val="20"/>
    </w:rPr>
  </w:style>
  <w:style w:type="character" w:customStyle="1" w:styleId="PlainTextChar">
    <w:name w:val="Plain Text Char"/>
    <w:link w:val="PlainText"/>
    <w:rsid w:val="0004023E"/>
    <w:rPr>
      <w:rFonts w:ascii="Courier New" w:hAnsi="Courier New" w:cs="Courier New"/>
      <w:lang w:val="es-ES" w:eastAsia="es-ES"/>
    </w:rPr>
  </w:style>
  <w:style w:type="character" w:customStyle="1" w:styleId="CharChar5">
    <w:name w:val="Char Char5"/>
    <w:rsid w:val="00A61F09"/>
    <w:rPr>
      <w:rFonts w:ascii="Consolas" w:eastAsia="Calibri" w:hAnsi="Consolas"/>
      <w:sz w:val="21"/>
      <w:szCs w:val="21"/>
      <w:lang w:val="es-ES" w:eastAsia="es-ES"/>
    </w:rPr>
  </w:style>
  <w:style w:type="character" w:styleId="FollowedHyperlink">
    <w:name w:val="FollowedHyperlink"/>
    <w:rsid w:val="00A60DE5"/>
    <w:rPr>
      <w:color w:val="800080"/>
      <w:u w:val="single"/>
      <w:lang w:val="es-ES" w:eastAsia="es-ES"/>
    </w:rPr>
  </w:style>
  <w:style w:type="paragraph" w:styleId="NormalWeb">
    <w:name w:val="Normal (Web)"/>
    <w:basedOn w:val="Normal"/>
    <w:rsid w:val="00AF44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shorttext">
    <w:name w:val="short_text"/>
    <w:rsid w:val="004348FC"/>
  </w:style>
  <w:style w:type="paragraph" w:styleId="ListParagraph">
    <w:name w:val="List Paragraph"/>
    <w:basedOn w:val="Normal"/>
    <w:uiPriority w:val="34"/>
    <w:qFormat/>
    <w:rsid w:val="004348FC"/>
    <w:pPr>
      <w:ind w:left="720"/>
    </w:pPr>
  </w:style>
  <w:style w:type="character" w:customStyle="1" w:styleId="EndnoteTextChar">
    <w:name w:val="Endnote Text Char"/>
    <w:link w:val="EndnoteText"/>
    <w:semiHidden/>
    <w:rsid w:val="006B1ED4"/>
    <w:rPr>
      <w:rFonts w:ascii="CG Times" w:hAnsi="CG Times"/>
      <w:sz w:val="22"/>
      <w:lang w:val="es-ES" w:eastAsia="es-ES"/>
    </w:rPr>
  </w:style>
  <w:style w:type="character" w:customStyle="1" w:styleId="HeaderChar">
    <w:name w:val="Header Char"/>
    <w:aliases w:val="encabezado Char"/>
    <w:link w:val="Header"/>
    <w:uiPriority w:val="99"/>
    <w:rsid w:val="006B1ED4"/>
    <w:rPr>
      <w:rFonts w:ascii="CG Times" w:hAnsi="CG Times"/>
      <w:sz w:val="22"/>
      <w:lang w:val="es-ES" w:eastAsia="es-ES"/>
    </w:rPr>
  </w:style>
  <w:style w:type="character" w:customStyle="1" w:styleId="lt-line-clampline">
    <w:name w:val="lt-line-clamp__line"/>
    <w:rsid w:val="000806C7"/>
  </w:style>
  <w:style w:type="character" w:styleId="CommentReference">
    <w:name w:val="annotation reference"/>
    <w:basedOn w:val="DefaultParagraphFont"/>
    <w:semiHidden/>
    <w:unhideWhenUsed/>
    <w:rsid w:val="00421A93"/>
    <w:rPr>
      <w:sz w:val="16"/>
      <w:szCs w:val="16"/>
    </w:rPr>
  </w:style>
  <w:style w:type="paragraph" w:styleId="CommentText">
    <w:name w:val="annotation text"/>
    <w:basedOn w:val="Normal"/>
    <w:link w:val="CommentTextChar"/>
    <w:unhideWhenUsed/>
    <w:rsid w:val="00421A93"/>
    <w:rPr>
      <w:sz w:val="20"/>
    </w:rPr>
  </w:style>
  <w:style w:type="character" w:customStyle="1" w:styleId="CommentTextChar">
    <w:name w:val="Comment Text Char"/>
    <w:basedOn w:val="DefaultParagraphFont"/>
    <w:link w:val="CommentText"/>
    <w:rsid w:val="00421A93"/>
    <w:rPr>
      <w:rFonts w:ascii="CG Times" w:hAnsi="CG Times"/>
      <w:lang w:val="es-ES" w:eastAsia="es-ES"/>
    </w:rPr>
  </w:style>
  <w:style w:type="paragraph" w:styleId="CommentSubject">
    <w:name w:val="annotation subject"/>
    <w:basedOn w:val="CommentText"/>
    <w:next w:val="CommentText"/>
    <w:link w:val="CommentSubjectChar"/>
    <w:semiHidden/>
    <w:unhideWhenUsed/>
    <w:rsid w:val="00421A93"/>
    <w:rPr>
      <w:b/>
      <w:bCs/>
    </w:rPr>
  </w:style>
  <w:style w:type="character" w:customStyle="1" w:styleId="CommentSubjectChar">
    <w:name w:val="Comment Subject Char"/>
    <w:basedOn w:val="CommentTextChar"/>
    <w:link w:val="CommentSubject"/>
    <w:semiHidden/>
    <w:rsid w:val="00421A93"/>
    <w:rPr>
      <w:rFonts w:ascii="CG Times" w:hAnsi="CG Times"/>
      <w:b/>
      <w:bCs/>
      <w:lang w:val="es-ES" w:eastAsia="es-ES"/>
    </w:rPr>
  </w:style>
  <w:style w:type="character" w:customStyle="1" w:styleId="chat-content">
    <w:name w:val="chat-content"/>
    <w:basedOn w:val="DefaultParagraphFont"/>
    <w:rsid w:val="00E71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5250">
      <w:bodyDiv w:val="1"/>
      <w:marLeft w:val="0"/>
      <w:marRight w:val="0"/>
      <w:marTop w:val="0"/>
      <w:marBottom w:val="0"/>
      <w:divBdr>
        <w:top w:val="none" w:sz="0" w:space="0" w:color="auto"/>
        <w:left w:val="none" w:sz="0" w:space="0" w:color="auto"/>
        <w:bottom w:val="none" w:sz="0" w:space="0" w:color="auto"/>
        <w:right w:val="none" w:sz="0" w:space="0" w:color="auto"/>
      </w:divBdr>
    </w:div>
    <w:div w:id="218132618">
      <w:bodyDiv w:val="1"/>
      <w:marLeft w:val="0"/>
      <w:marRight w:val="0"/>
      <w:marTop w:val="0"/>
      <w:marBottom w:val="0"/>
      <w:divBdr>
        <w:top w:val="none" w:sz="0" w:space="0" w:color="auto"/>
        <w:left w:val="none" w:sz="0" w:space="0" w:color="auto"/>
        <w:bottom w:val="none" w:sz="0" w:space="0" w:color="auto"/>
        <w:right w:val="none" w:sz="0" w:space="0" w:color="auto"/>
      </w:divBdr>
    </w:div>
    <w:div w:id="399065460">
      <w:bodyDiv w:val="1"/>
      <w:marLeft w:val="0"/>
      <w:marRight w:val="0"/>
      <w:marTop w:val="0"/>
      <w:marBottom w:val="0"/>
      <w:divBdr>
        <w:top w:val="none" w:sz="0" w:space="0" w:color="auto"/>
        <w:left w:val="none" w:sz="0" w:space="0" w:color="auto"/>
        <w:bottom w:val="none" w:sz="0" w:space="0" w:color="auto"/>
        <w:right w:val="none" w:sz="0" w:space="0" w:color="auto"/>
      </w:divBdr>
    </w:div>
    <w:div w:id="399133394">
      <w:bodyDiv w:val="1"/>
      <w:marLeft w:val="0"/>
      <w:marRight w:val="0"/>
      <w:marTop w:val="0"/>
      <w:marBottom w:val="0"/>
      <w:divBdr>
        <w:top w:val="none" w:sz="0" w:space="0" w:color="auto"/>
        <w:left w:val="none" w:sz="0" w:space="0" w:color="auto"/>
        <w:bottom w:val="none" w:sz="0" w:space="0" w:color="auto"/>
        <w:right w:val="none" w:sz="0" w:space="0" w:color="auto"/>
      </w:divBdr>
    </w:div>
    <w:div w:id="612783339">
      <w:bodyDiv w:val="1"/>
      <w:marLeft w:val="0"/>
      <w:marRight w:val="0"/>
      <w:marTop w:val="0"/>
      <w:marBottom w:val="0"/>
      <w:divBdr>
        <w:top w:val="none" w:sz="0" w:space="0" w:color="auto"/>
        <w:left w:val="none" w:sz="0" w:space="0" w:color="auto"/>
        <w:bottom w:val="none" w:sz="0" w:space="0" w:color="auto"/>
        <w:right w:val="none" w:sz="0" w:space="0" w:color="auto"/>
      </w:divBdr>
    </w:div>
    <w:div w:id="791560344">
      <w:bodyDiv w:val="1"/>
      <w:marLeft w:val="0"/>
      <w:marRight w:val="0"/>
      <w:marTop w:val="0"/>
      <w:marBottom w:val="0"/>
      <w:divBdr>
        <w:top w:val="none" w:sz="0" w:space="0" w:color="auto"/>
        <w:left w:val="none" w:sz="0" w:space="0" w:color="auto"/>
        <w:bottom w:val="none" w:sz="0" w:space="0" w:color="auto"/>
        <w:right w:val="none" w:sz="0" w:space="0" w:color="auto"/>
      </w:divBdr>
    </w:div>
    <w:div w:id="983657805">
      <w:bodyDiv w:val="1"/>
      <w:marLeft w:val="0"/>
      <w:marRight w:val="0"/>
      <w:marTop w:val="0"/>
      <w:marBottom w:val="0"/>
      <w:divBdr>
        <w:top w:val="none" w:sz="0" w:space="0" w:color="auto"/>
        <w:left w:val="none" w:sz="0" w:space="0" w:color="auto"/>
        <w:bottom w:val="none" w:sz="0" w:space="0" w:color="auto"/>
        <w:right w:val="none" w:sz="0" w:space="0" w:color="auto"/>
      </w:divBdr>
    </w:div>
    <w:div w:id="1057320162">
      <w:bodyDiv w:val="1"/>
      <w:marLeft w:val="0"/>
      <w:marRight w:val="0"/>
      <w:marTop w:val="0"/>
      <w:marBottom w:val="0"/>
      <w:divBdr>
        <w:top w:val="none" w:sz="0" w:space="0" w:color="auto"/>
        <w:left w:val="none" w:sz="0" w:space="0" w:color="auto"/>
        <w:bottom w:val="none" w:sz="0" w:space="0" w:color="auto"/>
        <w:right w:val="none" w:sz="0" w:space="0" w:color="auto"/>
      </w:divBdr>
    </w:div>
    <w:div w:id="1217621927">
      <w:bodyDiv w:val="1"/>
      <w:marLeft w:val="0"/>
      <w:marRight w:val="0"/>
      <w:marTop w:val="0"/>
      <w:marBottom w:val="0"/>
      <w:divBdr>
        <w:top w:val="none" w:sz="0" w:space="0" w:color="auto"/>
        <w:left w:val="none" w:sz="0" w:space="0" w:color="auto"/>
        <w:bottom w:val="none" w:sz="0" w:space="0" w:color="auto"/>
        <w:right w:val="none" w:sz="0" w:space="0" w:color="auto"/>
      </w:divBdr>
    </w:div>
    <w:div w:id="1419593906">
      <w:bodyDiv w:val="1"/>
      <w:marLeft w:val="0"/>
      <w:marRight w:val="0"/>
      <w:marTop w:val="0"/>
      <w:marBottom w:val="0"/>
      <w:divBdr>
        <w:top w:val="none" w:sz="0" w:space="0" w:color="auto"/>
        <w:left w:val="none" w:sz="0" w:space="0" w:color="auto"/>
        <w:bottom w:val="none" w:sz="0" w:space="0" w:color="auto"/>
        <w:right w:val="none" w:sz="0" w:space="0" w:color="auto"/>
      </w:divBdr>
    </w:div>
    <w:div w:id="1425421989">
      <w:bodyDiv w:val="1"/>
      <w:marLeft w:val="0"/>
      <w:marRight w:val="0"/>
      <w:marTop w:val="0"/>
      <w:marBottom w:val="0"/>
      <w:divBdr>
        <w:top w:val="none" w:sz="0" w:space="0" w:color="auto"/>
        <w:left w:val="none" w:sz="0" w:space="0" w:color="auto"/>
        <w:bottom w:val="none" w:sz="0" w:space="0" w:color="auto"/>
        <w:right w:val="none" w:sz="0" w:space="0" w:color="auto"/>
      </w:divBdr>
    </w:div>
    <w:div w:id="1710833770">
      <w:bodyDiv w:val="1"/>
      <w:marLeft w:val="0"/>
      <w:marRight w:val="0"/>
      <w:marTop w:val="0"/>
      <w:marBottom w:val="0"/>
      <w:divBdr>
        <w:top w:val="none" w:sz="0" w:space="0" w:color="auto"/>
        <w:left w:val="none" w:sz="0" w:space="0" w:color="auto"/>
        <w:bottom w:val="none" w:sz="0" w:space="0" w:color="auto"/>
        <w:right w:val="none" w:sz="0" w:space="0" w:color="auto"/>
      </w:divBdr>
    </w:div>
    <w:div w:id="1727295412">
      <w:bodyDiv w:val="1"/>
      <w:marLeft w:val="0"/>
      <w:marRight w:val="0"/>
      <w:marTop w:val="0"/>
      <w:marBottom w:val="0"/>
      <w:divBdr>
        <w:top w:val="none" w:sz="0" w:space="0" w:color="auto"/>
        <w:left w:val="none" w:sz="0" w:space="0" w:color="auto"/>
        <w:bottom w:val="none" w:sz="0" w:space="0" w:color="auto"/>
        <w:right w:val="none" w:sz="0" w:space="0" w:color="auto"/>
      </w:divBdr>
    </w:div>
    <w:div w:id="2100329169">
      <w:bodyDiv w:val="1"/>
      <w:marLeft w:val="0"/>
      <w:marRight w:val="0"/>
      <w:marTop w:val="0"/>
      <w:marBottom w:val="0"/>
      <w:divBdr>
        <w:top w:val="none" w:sz="0" w:space="0" w:color="auto"/>
        <w:left w:val="none" w:sz="0" w:space="0" w:color="auto"/>
        <w:bottom w:val="none" w:sz="0" w:space="0" w:color="auto"/>
        <w:right w:val="none" w:sz="0" w:space="0" w:color="auto"/>
      </w:divBdr>
    </w:div>
    <w:div w:id="2108381256">
      <w:bodyDiv w:val="1"/>
      <w:marLeft w:val="0"/>
      <w:marRight w:val="0"/>
      <w:marTop w:val="0"/>
      <w:marBottom w:val="0"/>
      <w:divBdr>
        <w:top w:val="none" w:sz="0" w:space="0" w:color="auto"/>
        <w:left w:val="none" w:sz="0" w:space="0" w:color="auto"/>
        <w:bottom w:val="none" w:sz="0" w:space="0" w:color="auto"/>
        <w:right w:val="none" w:sz="0" w:space="0" w:color="auto"/>
      </w:divBdr>
    </w:div>
    <w:div w:id="2115981638">
      <w:bodyDiv w:val="1"/>
      <w:marLeft w:val="0"/>
      <w:marRight w:val="0"/>
      <w:marTop w:val="0"/>
      <w:marBottom w:val="0"/>
      <w:divBdr>
        <w:top w:val="none" w:sz="0" w:space="0" w:color="auto"/>
        <w:left w:val="none" w:sz="0" w:space="0" w:color="auto"/>
        <w:bottom w:val="none" w:sz="0" w:space="0" w:color="auto"/>
        <w:right w:val="none" w:sz="0" w:space="0" w:color="auto"/>
      </w:divBdr>
    </w:div>
    <w:div w:id="2120567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0115C-3948-44D7-86D5-E7CF2DD1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3716</Words>
  <Characters>20068</Characters>
  <Application>Microsoft Office Word</Application>
  <DocSecurity>0</DocSecurity>
  <Lines>167</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OEA/Ser</vt:lpstr>
    </vt:vector>
  </TitlesOfParts>
  <Company/>
  <LinksUpToDate>false</LinksUpToDate>
  <CharactersWithSpaces>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Santos, Ada</cp:lastModifiedBy>
  <cp:revision>2</cp:revision>
  <cp:lastPrinted>2019-02-13T15:41:00Z</cp:lastPrinted>
  <dcterms:created xsi:type="dcterms:W3CDTF">2021-06-24T20:46:00Z</dcterms:created>
  <dcterms:modified xsi:type="dcterms:W3CDTF">2021-06-24T23:07:00Z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AFAAuj4Wpee2peL9a5PDFwu/88/JnojRsSI3odWrqEjQsbEIT5u/KiT2TrmuUkD3/AjSdFtDZFyWVNHN_x000d_
g8z+cBdcAmyNelVv8XnQ/uFWyLpuHADRS99XOdn84e6ywz9an4TxDK2HHkmj6QbNg8z+cBdcAmyN_x000d_
elVv8XnQ/uFWyLpuHADRS99XOdn84e6ywz9an4Tx48BjHXtCMbMvzgXbH8R7xlGHteD4HtuRDJvA_x000d_
FFBAhTZrqgdUf5F1m</vt:lpwstr>
  </property>
  <property fmtid="{D5CDD505-2E9C-101B-9397-08002B2CF9AE}" pid="4" name="MAIL_MSG_ID2">
    <vt:lpwstr>5/EBI7VoCxp9cQMQh8A5BuIBGKfMbvhaTjc/09y8OujqvJttYGNxvfdnW2Z_x000d_
7yvLNw==</vt:lpwstr>
  </property>
  <property fmtid="{D5CDD505-2E9C-101B-9397-08002B2CF9AE}" pid="5" name="RESPONSE_SENDER_NAME">
    <vt:lpwstr>sAAAb0xRtPDW5UurKHsFekZjZSKD9+9eL4XeMPz0L95cPPs=</vt:lpwstr>
  </property>
</Properties>
</file>