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A8FF0" w14:textId="77777777" w:rsidR="0064043D" w:rsidRPr="0064043D" w:rsidRDefault="0064043D" w:rsidP="00825D4F">
      <w:pPr>
        <w:tabs>
          <w:tab w:val="left" w:pos="6210"/>
          <w:tab w:val="left" w:pos="6300"/>
          <w:tab w:val="left" w:pos="6660"/>
          <w:tab w:val="left" w:pos="7020"/>
        </w:tabs>
        <w:spacing w:after="0" w:line="240" w:lineRule="auto"/>
        <w:jc w:val="both"/>
        <w:rPr>
          <w:rFonts w:ascii="Times New Roman" w:eastAsia="Times New Roman" w:hAnsi="Times New Roman"/>
          <w:lang w:val="es-ES"/>
        </w:rPr>
      </w:pPr>
      <w:r w:rsidRPr="0064043D">
        <w:rPr>
          <w:rFonts w:ascii="Times New Roman" w:eastAsia="Times New Roman" w:hAnsi="Times New Roman"/>
          <w:smallCaps/>
          <w:lang w:val="es-ES"/>
        </w:rPr>
        <w:t>COMISIÓN DE ASUNTOS MIGRATORIOS</w:t>
      </w:r>
      <w:r w:rsidRPr="0064043D">
        <w:rPr>
          <w:rFonts w:ascii="Times New Roman" w:eastAsia="Times New Roman" w:hAnsi="Times New Roman"/>
          <w:lang w:val="es-ES"/>
        </w:rPr>
        <w:tab/>
      </w:r>
      <w:r w:rsidRPr="0064043D">
        <w:rPr>
          <w:rFonts w:ascii="Times New Roman" w:eastAsia="Times New Roman" w:hAnsi="Times New Roman"/>
          <w:lang w:val="es-ES"/>
        </w:rPr>
        <w:tab/>
        <w:t>OEA/</w:t>
      </w:r>
      <w:proofErr w:type="spellStart"/>
      <w:r w:rsidRPr="0064043D">
        <w:rPr>
          <w:rFonts w:ascii="Times New Roman" w:eastAsia="Times New Roman" w:hAnsi="Times New Roman"/>
          <w:lang w:val="es-ES"/>
        </w:rPr>
        <w:t>Ser.W</w:t>
      </w:r>
      <w:proofErr w:type="spellEnd"/>
    </w:p>
    <w:p w14:paraId="2090A6CF" w14:textId="73BD5CB4" w:rsidR="0064043D" w:rsidRPr="005F44D6" w:rsidRDefault="0064043D" w:rsidP="00825D4F">
      <w:pPr>
        <w:tabs>
          <w:tab w:val="left" w:pos="6300"/>
          <w:tab w:val="left" w:pos="6660"/>
          <w:tab w:val="left" w:pos="7020"/>
        </w:tabs>
        <w:spacing w:after="0" w:line="240" w:lineRule="auto"/>
        <w:jc w:val="both"/>
        <w:rPr>
          <w:rFonts w:ascii="Times New Roman" w:eastAsia="Times New Roman" w:hAnsi="Times New Roman"/>
          <w:lang w:val="es-US"/>
        </w:rPr>
      </w:pPr>
      <w:r w:rsidRPr="0064043D">
        <w:rPr>
          <w:rFonts w:ascii="Times New Roman" w:eastAsia="Times New Roman" w:hAnsi="Times New Roman"/>
          <w:lang w:val="es-ES"/>
        </w:rPr>
        <w:tab/>
      </w:r>
      <w:r w:rsidRPr="005F44D6">
        <w:rPr>
          <w:rFonts w:ascii="Times New Roman" w:eastAsia="Times New Roman" w:hAnsi="Times New Roman"/>
          <w:lang w:val="es-US"/>
        </w:rPr>
        <w:t>CIDI/CAM/doc.</w:t>
      </w:r>
      <w:r w:rsidR="005F44D6" w:rsidRPr="005F44D6">
        <w:rPr>
          <w:rFonts w:ascii="Times New Roman" w:eastAsia="Times New Roman" w:hAnsi="Times New Roman"/>
          <w:lang w:val="es-US"/>
        </w:rPr>
        <w:t>1</w:t>
      </w:r>
      <w:r w:rsidR="005F44D6">
        <w:rPr>
          <w:rFonts w:ascii="Times New Roman" w:eastAsia="Times New Roman" w:hAnsi="Times New Roman"/>
          <w:lang w:val="es-US"/>
        </w:rPr>
        <w:t>03/22</w:t>
      </w:r>
    </w:p>
    <w:p w14:paraId="685C04A6" w14:textId="682A8152" w:rsidR="0064043D" w:rsidRPr="0064043D" w:rsidRDefault="0064043D" w:rsidP="00825D4F">
      <w:pPr>
        <w:tabs>
          <w:tab w:val="left" w:pos="6210"/>
          <w:tab w:val="left" w:pos="6300"/>
          <w:tab w:val="left" w:pos="6390"/>
          <w:tab w:val="left" w:pos="6480"/>
          <w:tab w:val="left" w:pos="6660"/>
          <w:tab w:val="left" w:pos="7020"/>
        </w:tabs>
        <w:spacing w:after="0" w:line="240" w:lineRule="auto"/>
        <w:jc w:val="both"/>
        <w:rPr>
          <w:rFonts w:ascii="Times New Roman" w:eastAsia="Times New Roman" w:hAnsi="Times New Roman"/>
          <w:lang w:val="es-US"/>
        </w:rPr>
      </w:pPr>
      <w:r w:rsidRPr="005F44D6">
        <w:rPr>
          <w:rFonts w:ascii="Times New Roman" w:eastAsia="Times New Roman" w:hAnsi="Times New Roman"/>
          <w:smallCaps/>
          <w:lang w:val="es-US"/>
        </w:rPr>
        <w:tab/>
      </w:r>
      <w:r w:rsidRPr="005F44D6">
        <w:rPr>
          <w:rFonts w:ascii="Times New Roman" w:eastAsia="Times New Roman" w:hAnsi="Times New Roman"/>
          <w:smallCaps/>
          <w:lang w:val="es-US"/>
        </w:rPr>
        <w:tab/>
      </w:r>
      <w:r w:rsidR="00272B3F">
        <w:rPr>
          <w:rFonts w:ascii="Times New Roman" w:eastAsia="Times New Roman" w:hAnsi="Times New Roman"/>
          <w:lang w:val="es-US"/>
        </w:rPr>
        <w:t>15</w:t>
      </w:r>
      <w:r w:rsidRPr="0064043D">
        <w:rPr>
          <w:rFonts w:ascii="Times New Roman" w:eastAsia="Times New Roman" w:hAnsi="Times New Roman"/>
          <w:lang w:val="es-US"/>
        </w:rPr>
        <w:t xml:space="preserve"> </w:t>
      </w:r>
      <w:r w:rsidR="00272B3F">
        <w:rPr>
          <w:rFonts w:ascii="Times New Roman" w:eastAsia="Times New Roman" w:hAnsi="Times New Roman"/>
          <w:lang w:val="es-US"/>
        </w:rPr>
        <w:t>marzo</w:t>
      </w:r>
      <w:r w:rsidRPr="0064043D">
        <w:rPr>
          <w:rFonts w:ascii="Times New Roman" w:eastAsia="Times New Roman" w:hAnsi="Times New Roman"/>
          <w:lang w:val="es-US"/>
        </w:rPr>
        <w:t xml:space="preserve"> 202</w:t>
      </w:r>
      <w:r w:rsidR="00272B3F">
        <w:rPr>
          <w:rFonts w:ascii="Times New Roman" w:eastAsia="Times New Roman" w:hAnsi="Times New Roman"/>
          <w:lang w:val="es-US"/>
        </w:rPr>
        <w:t>2</w:t>
      </w:r>
    </w:p>
    <w:p w14:paraId="2D2B5003" w14:textId="77777777" w:rsidR="0064043D" w:rsidRPr="0064043D" w:rsidRDefault="0064043D" w:rsidP="00825D4F">
      <w:pPr>
        <w:tabs>
          <w:tab w:val="left" w:pos="6120"/>
          <w:tab w:val="left" w:pos="6300"/>
          <w:tab w:val="left" w:pos="6660"/>
          <w:tab w:val="left" w:pos="7020"/>
        </w:tabs>
        <w:spacing w:after="0" w:line="240" w:lineRule="auto"/>
        <w:jc w:val="both"/>
        <w:rPr>
          <w:rFonts w:ascii="Times New Roman" w:eastAsia="Times New Roman" w:hAnsi="Times New Roman"/>
          <w:lang w:val="es-ES"/>
        </w:rPr>
      </w:pPr>
      <w:r w:rsidRPr="0064043D">
        <w:rPr>
          <w:rFonts w:ascii="Times New Roman" w:eastAsia="Times New Roman" w:hAnsi="Times New Roman"/>
          <w:lang w:val="es-US"/>
        </w:rPr>
        <w:tab/>
      </w:r>
      <w:r w:rsidRPr="0064043D">
        <w:rPr>
          <w:rFonts w:ascii="Times New Roman" w:eastAsia="Times New Roman" w:hAnsi="Times New Roman"/>
          <w:lang w:val="es-US"/>
        </w:rPr>
        <w:tab/>
      </w:r>
      <w:r w:rsidRPr="0064043D">
        <w:rPr>
          <w:rFonts w:ascii="Times New Roman" w:eastAsia="Times New Roman" w:hAnsi="Times New Roman"/>
          <w:lang w:val="es-ES"/>
        </w:rPr>
        <w:t>Original: español</w:t>
      </w:r>
    </w:p>
    <w:p w14:paraId="1641EE65" w14:textId="77777777" w:rsidR="004E14E8" w:rsidRPr="0064043D" w:rsidRDefault="004E14E8" w:rsidP="00825D4F">
      <w:pPr>
        <w:pBdr>
          <w:bottom w:val="single" w:sz="12" w:space="1" w:color="auto"/>
        </w:pBdr>
        <w:tabs>
          <w:tab w:val="left" w:pos="6750"/>
        </w:tabs>
        <w:spacing w:after="0" w:line="240" w:lineRule="auto"/>
        <w:jc w:val="both"/>
        <w:rPr>
          <w:rFonts w:ascii="Times New Roman" w:hAnsi="Times New Roman"/>
          <w:b/>
          <w:bCs/>
          <w:lang w:val="es-ES"/>
        </w:rPr>
      </w:pPr>
    </w:p>
    <w:p w14:paraId="7A635096" w14:textId="04AEAD2D" w:rsidR="004E14E8" w:rsidRPr="0064043D" w:rsidRDefault="004E14E8" w:rsidP="00825D4F">
      <w:pPr>
        <w:pStyle w:val="MediumShading1-Accent11"/>
        <w:jc w:val="both"/>
        <w:rPr>
          <w:rFonts w:ascii="Times New Roman" w:hAnsi="Times New Roman"/>
        </w:rPr>
      </w:pPr>
    </w:p>
    <w:p w14:paraId="44E27E07" w14:textId="77777777" w:rsidR="0064043D" w:rsidRDefault="0064043D" w:rsidP="00825D4F">
      <w:pPr>
        <w:pStyle w:val="MediumShading1-Accent11"/>
        <w:jc w:val="both"/>
        <w:rPr>
          <w:rFonts w:ascii="Times New Roman" w:hAnsi="Times New Roman"/>
        </w:rPr>
      </w:pPr>
    </w:p>
    <w:p w14:paraId="4F1777AA" w14:textId="24F0CC83" w:rsidR="004E14E8" w:rsidRPr="0064043D" w:rsidRDefault="004E14E8" w:rsidP="00825D4F">
      <w:pPr>
        <w:pStyle w:val="MediumShading1-Accent11"/>
        <w:jc w:val="center"/>
        <w:rPr>
          <w:rFonts w:ascii="Times New Roman" w:hAnsi="Times New Roman"/>
          <w:noProof/>
        </w:rPr>
      </w:pPr>
      <w:r w:rsidRPr="0064043D">
        <w:rPr>
          <w:rFonts w:ascii="Times New Roman" w:hAnsi="Times New Roman"/>
        </w:rPr>
        <w:t>NOTA CONCEPTUAL</w:t>
      </w:r>
    </w:p>
    <w:p w14:paraId="52568142" w14:textId="77777777" w:rsidR="004E14E8" w:rsidRPr="0064043D" w:rsidRDefault="004E14E8" w:rsidP="00825D4F">
      <w:pPr>
        <w:pStyle w:val="MediumShading1-Accent11"/>
        <w:jc w:val="center"/>
        <w:rPr>
          <w:rFonts w:ascii="Times New Roman" w:hAnsi="Times New Roman"/>
          <w:noProof/>
        </w:rPr>
      </w:pPr>
    </w:p>
    <w:p w14:paraId="5BA9AC46" w14:textId="241AE3F6" w:rsidR="004E14E8" w:rsidRPr="0064043D" w:rsidRDefault="00624A51" w:rsidP="00825D4F">
      <w:pPr>
        <w:pStyle w:val="MediumShading1-Accent11"/>
        <w:jc w:val="center"/>
        <w:rPr>
          <w:rFonts w:ascii="Times New Roman" w:hAnsi="Times New Roman"/>
        </w:rPr>
      </w:pPr>
      <w:r w:rsidRPr="0064043D">
        <w:rPr>
          <w:rFonts w:ascii="Times New Roman" w:hAnsi="Times New Roman"/>
        </w:rPr>
        <w:t xml:space="preserve">SESION </w:t>
      </w:r>
      <w:r w:rsidR="00B74D31" w:rsidRPr="0064043D">
        <w:rPr>
          <w:rFonts w:ascii="Times New Roman" w:hAnsi="Times New Roman"/>
        </w:rPr>
        <w:t>TEM</w:t>
      </w:r>
      <w:r w:rsidR="00B74D31">
        <w:rPr>
          <w:rFonts w:ascii="Times New Roman" w:hAnsi="Times New Roman"/>
        </w:rPr>
        <w:t>Á</w:t>
      </w:r>
      <w:r w:rsidR="00B74D31" w:rsidRPr="0064043D">
        <w:rPr>
          <w:rFonts w:ascii="Times New Roman" w:hAnsi="Times New Roman"/>
        </w:rPr>
        <w:t>TICA</w:t>
      </w:r>
      <w:r w:rsidR="00DC56B8" w:rsidRPr="0064043D">
        <w:rPr>
          <w:rFonts w:ascii="Times New Roman" w:hAnsi="Times New Roman"/>
        </w:rPr>
        <w:t>:</w:t>
      </w:r>
      <w:r w:rsidR="00BD2DE7" w:rsidRPr="0064043D">
        <w:rPr>
          <w:rFonts w:ascii="Times New Roman" w:hAnsi="Times New Roman"/>
        </w:rPr>
        <w:t xml:space="preserve"> </w:t>
      </w:r>
      <w:bookmarkStart w:id="0" w:name="_Hlk97290097"/>
      <w:r w:rsidR="00BD2DE7" w:rsidRPr="0064043D">
        <w:rPr>
          <w:rFonts w:ascii="Times New Roman" w:hAnsi="Times New Roman"/>
        </w:rPr>
        <w:t>“</w:t>
      </w:r>
      <w:r w:rsidR="00272B3F" w:rsidRPr="00272B3F">
        <w:rPr>
          <w:rFonts w:ascii="Times New Roman" w:hAnsi="Times New Roman"/>
        </w:rPr>
        <w:t>M</w:t>
      </w:r>
      <w:r w:rsidR="00272B3F">
        <w:rPr>
          <w:rFonts w:ascii="Times New Roman" w:hAnsi="Times New Roman"/>
        </w:rPr>
        <w:t>IGRACIÓN EN LAS AMÉRICAS: PRINCIPALES DINÁMICAS Y CIFRAS MIGRATORIAS</w:t>
      </w:r>
      <w:r w:rsidR="00BD2DE7" w:rsidRPr="0064043D">
        <w:rPr>
          <w:rFonts w:ascii="Times New Roman" w:hAnsi="Times New Roman"/>
        </w:rPr>
        <w:t>”</w:t>
      </w:r>
      <w:bookmarkEnd w:id="0"/>
    </w:p>
    <w:p w14:paraId="61DFB127" w14:textId="77777777" w:rsidR="0011108F" w:rsidRPr="0064043D" w:rsidRDefault="0011108F" w:rsidP="00825D4F">
      <w:pPr>
        <w:pStyle w:val="MediumShading1-Accent11"/>
        <w:jc w:val="center"/>
        <w:rPr>
          <w:rFonts w:ascii="Times New Roman" w:hAnsi="Times New Roman"/>
        </w:rPr>
      </w:pPr>
    </w:p>
    <w:p w14:paraId="36104431" w14:textId="15EE9CA6" w:rsidR="0011108F" w:rsidRPr="0064043D" w:rsidRDefault="0011108F" w:rsidP="00825D4F">
      <w:pPr>
        <w:pStyle w:val="MediumShading1-Accent11"/>
        <w:jc w:val="center"/>
        <w:rPr>
          <w:rFonts w:ascii="Times New Roman" w:hAnsi="Times New Roman"/>
        </w:rPr>
      </w:pPr>
      <w:r w:rsidRPr="0064043D">
        <w:rPr>
          <w:rFonts w:ascii="Times New Roman" w:hAnsi="Times New Roman"/>
        </w:rPr>
        <w:t>(</w:t>
      </w:r>
      <w:r w:rsidR="00272B3F">
        <w:rPr>
          <w:rFonts w:ascii="Times New Roman" w:hAnsi="Times New Roman"/>
        </w:rPr>
        <w:t>15 de marzo</w:t>
      </w:r>
      <w:r w:rsidR="00A55AB8" w:rsidRPr="0064043D">
        <w:rPr>
          <w:rFonts w:ascii="Times New Roman" w:hAnsi="Times New Roman"/>
        </w:rPr>
        <w:t xml:space="preserve"> </w:t>
      </w:r>
      <w:r w:rsidRPr="0064043D">
        <w:rPr>
          <w:rFonts w:ascii="Times New Roman" w:hAnsi="Times New Roman"/>
        </w:rPr>
        <w:t>de 202</w:t>
      </w:r>
      <w:r w:rsidR="00272B3F">
        <w:rPr>
          <w:rFonts w:ascii="Times New Roman" w:hAnsi="Times New Roman"/>
        </w:rPr>
        <w:t>2</w:t>
      </w:r>
      <w:r w:rsidRPr="0064043D">
        <w:rPr>
          <w:rFonts w:ascii="Times New Roman" w:hAnsi="Times New Roman"/>
        </w:rPr>
        <w:t>)</w:t>
      </w:r>
    </w:p>
    <w:p w14:paraId="1742D778" w14:textId="77777777" w:rsidR="004E14E8" w:rsidRPr="0064043D" w:rsidRDefault="004E14E8" w:rsidP="00825D4F">
      <w:pPr>
        <w:pStyle w:val="MediumShading1-Accent11"/>
        <w:jc w:val="center"/>
        <w:rPr>
          <w:rFonts w:ascii="Times New Roman" w:hAnsi="Times New Roman"/>
        </w:rPr>
      </w:pPr>
    </w:p>
    <w:p w14:paraId="7A50C87E" w14:textId="51AD2C18" w:rsidR="004E14E8" w:rsidRPr="0064043D" w:rsidRDefault="004E14E8" w:rsidP="00825D4F">
      <w:pPr>
        <w:pStyle w:val="MediumShading1-Accent11"/>
        <w:jc w:val="center"/>
        <w:rPr>
          <w:rFonts w:ascii="Times New Roman" w:hAnsi="Times New Roman"/>
        </w:rPr>
      </w:pPr>
      <w:r w:rsidRPr="0064043D">
        <w:rPr>
          <w:rFonts w:ascii="Times New Roman" w:hAnsi="Times New Roman"/>
        </w:rPr>
        <w:t>(Preparada por la Presidencia de la CAM con el apoyo de la Secretaría Técnica)</w:t>
      </w:r>
    </w:p>
    <w:p w14:paraId="082888EE" w14:textId="77777777" w:rsidR="004E14E8" w:rsidRPr="0064043D" w:rsidRDefault="004E14E8" w:rsidP="00825D4F">
      <w:pPr>
        <w:pStyle w:val="MediumShading1-Accent11"/>
        <w:jc w:val="both"/>
        <w:rPr>
          <w:rFonts w:ascii="Times New Roman" w:hAnsi="Times New Roman"/>
        </w:rPr>
      </w:pPr>
    </w:p>
    <w:p w14:paraId="5BEB4489" w14:textId="528D95F7" w:rsidR="009C2526" w:rsidRDefault="009C2526" w:rsidP="00825D4F">
      <w:pPr>
        <w:spacing w:after="0" w:line="240" w:lineRule="auto"/>
        <w:jc w:val="both"/>
        <w:rPr>
          <w:rFonts w:ascii="Times New Roman" w:hAnsi="Times New Roman"/>
        </w:rPr>
      </w:pPr>
    </w:p>
    <w:p w14:paraId="68523035" w14:textId="341054CB" w:rsidR="00272B3F" w:rsidRDefault="00272B3F" w:rsidP="00825D4F">
      <w:pPr>
        <w:spacing w:after="0" w:line="240" w:lineRule="auto"/>
        <w:jc w:val="both"/>
        <w:rPr>
          <w:rFonts w:ascii="Times New Roman" w:hAnsi="Times New Roman"/>
        </w:rPr>
      </w:pPr>
    </w:p>
    <w:p w14:paraId="090BC6A8" w14:textId="19DC772B" w:rsidR="00BE15FE" w:rsidRDefault="00BF65CE" w:rsidP="00BA3289">
      <w:pPr>
        <w:spacing w:after="0" w:line="240" w:lineRule="auto"/>
        <w:ind w:firstLine="720"/>
        <w:jc w:val="both"/>
        <w:rPr>
          <w:rFonts w:ascii="Times New Roman" w:hAnsi="Times New Roman"/>
          <w:lang w:val="es-419"/>
        </w:rPr>
      </w:pPr>
      <w:r>
        <w:rPr>
          <w:rFonts w:ascii="Times New Roman" w:hAnsi="Times New Roman"/>
          <w:lang w:val="es-419"/>
        </w:rPr>
        <w:t>De acuerdo con las estadísticas del Departamento de Asuntos Económicos y Sociales (DAES) de las Naciones Unidas</w:t>
      </w:r>
      <w:r w:rsidR="00272B3F" w:rsidRPr="00272B3F">
        <w:rPr>
          <w:rFonts w:ascii="Times New Roman" w:hAnsi="Times New Roman"/>
          <w:lang w:val="es-419"/>
        </w:rPr>
        <w:t xml:space="preserve">, </w:t>
      </w:r>
      <w:r w:rsidR="006F6A0E">
        <w:rPr>
          <w:rFonts w:ascii="Times New Roman" w:hAnsi="Times New Roman"/>
          <w:lang w:val="es-419"/>
        </w:rPr>
        <w:t>en</w:t>
      </w:r>
      <w:r w:rsidR="00272B3F" w:rsidRPr="00272B3F">
        <w:rPr>
          <w:rFonts w:ascii="Times New Roman" w:hAnsi="Times New Roman"/>
          <w:lang w:val="es-419"/>
        </w:rPr>
        <w:t xml:space="preserve"> 2020 ha</w:t>
      </w:r>
      <w:r>
        <w:rPr>
          <w:rFonts w:ascii="Times New Roman" w:hAnsi="Times New Roman"/>
          <w:lang w:val="es-419"/>
        </w:rPr>
        <w:t>bía</w:t>
      </w:r>
      <w:r w:rsidR="00272B3F" w:rsidRPr="00272B3F">
        <w:rPr>
          <w:rFonts w:ascii="Times New Roman" w:hAnsi="Times New Roman"/>
          <w:lang w:val="es-419"/>
        </w:rPr>
        <w:t xml:space="preserve"> aproximadamente 281 millones de migrantes internacionales</w:t>
      </w:r>
      <w:r>
        <w:rPr>
          <w:rFonts w:ascii="Times New Roman" w:hAnsi="Times New Roman"/>
          <w:lang w:val="es-419"/>
        </w:rPr>
        <w:t xml:space="preserve"> a nivel mundial</w:t>
      </w:r>
      <w:r w:rsidR="00272B3F" w:rsidRPr="00272B3F">
        <w:rPr>
          <w:rFonts w:ascii="Times New Roman" w:hAnsi="Times New Roman"/>
          <w:lang w:val="es-419"/>
        </w:rPr>
        <w:t>, una cifra equivalente al 3,6% de la población mundial.</w:t>
      </w:r>
      <w:r w:rsidR="00272B3F" w:rsidRPr="00272B3F">
        <w:rPr>
          <w:rFonts w:ascii="Times New Roman" w:hAnsi="Times New Roman"/>
          <w:vertAlign w:val="superscript"/>
          <w:lang w:val="es-419"/>
        </w:rPr>
        <w:footnoteReference w:id="1"/>
      </w:r>
      <w:r w:rsidR="00272B3F" w:rsidRPr="00272B3F">
        <w:rPr>
          <w:rFonts w:ascii="Times New Roman" w:hAnsi="Times New Roman"/>
          <w:lang w:val="es-419"/>
        </w:rPr>
        <w:t xml:space="preserve"> </w:t>
      </w:r>
    </w:p>
    <w:p w14:paraId="70E715EB" w14:textId="6C40CEAE" w:rsidR="00F31D46" w:rsidRDefault="00F31D46" w:rsidP="00BA3289">
      <w:pPr>
        <w:spacing w:after="0" w:line="240" w:lineRule="auto"/>
        <w:ind w:firstLine="720"/>
        <w:jc w:val="both"/>
        <w:rPr>
          <w:rFonts w:ascii="Times New Roman" w:hAnsi="Times New Roman"/>
          <w:lang w:val="es-419"/>
        </w:rPr>
      </w:pPr>
    </w:p>
    <w:p w14:paraId="1D163CD3" w14:textId="61986ADB" w:rsidR="00BE15FE" w:rsidRPr="00F31D46" w:rsidRDefault="00F31D46" w:rsidP="00F31D46">
      <w:pPr>
        <w:pStyle w:val="ListParagraph"/>
        <w:numPr>
          <w:ilvl w:val="0"/>
          <w:numId w:val="37"/>
        </w:numPr>
        <w:spacing w:after="0" w:line="240" w:lineRule="auto"/>
        <w:jc w:val="both"/>
        <w:rPr>
          <w:rFonts w:ascii="Times New Roman" w:hAnsi="Times New Roman"/>
          <w:lang w:val="es-419"/>
        </w:rPr>
      </w:pPr>
      <w:r w:rsidRPr="00F31D46">
        <w:rPr>
          <w:rFonts w:ascii="Times New Roman" w:hAnsi="Times New Roman"/>
          <w:lang w:val="es-419"/>
        </w:rPr>
        <w:t>América del Norte</w:t>
      </w:r>
      <w:r>
        <w:rPr>
          <w:rStyle w:val="FootnoteReference"/>
          <w:rFonts w:ascii="Times New Roman" w:hAnsi="Times New Roman"/>
          <w:lang w:val="es-419"/>
        </w:rPr>
        <w:footnoteReference w:id="2"/>
      </w:r>
      <w:r w:rsidRPr="00F31D46">
        <w:rPr>
          <w:rFonts w:ascii="Times New Roman" w:hAnsi="Times New Roman"/>
          <w:lang w:val="es-419"/>
        </w:rPr>
        <w:t xml:space="preserve"> </w:t>
      </w:r>
    </w:p>
    <w:p w14:paraId="29F50E68" w14:textId="48C66675" w:rsidR="00935BB0" w:rsidRDefault="00BF65CE" w:rsidP="00935BB0">
      <w:pPr>
        <w:spacing w:after="0" w:line="240" w:lineRule="auto"/>
        <w:ind w:firstLine="720"/>
        <w:jc w:val="both"/>
        <w:rPr>
          <w:rFonts w:ascii="Times New Roman" w:hAnsi="Times New Roman"/>
          <w:lang w:val="es-ES"/>
        </w:rPr>
      </w:pPr>
      <w:r w:rsidRPr="00BA3289">
        <w:rPr>
          <w:rFonts w:ascii="Times New Roman" w:hAnsi="Times New Roman"/>
          <w:lang w:val="es-ES"/>
        </w:rPr>
        <w:t>E</w:t>
      </w:r>
      <w:r w:rsidR="006F6A0E">
        <w:rPr>
          <w:rFonts w:ascii="Times New Roman" w:hAnsi="Times New Roman"/>
          <w:lang w:val="es-ES"/>
        </w:rPr>
        <w:t xml:space="preserve">sta región se ha destacado históricamente </w:t>
      </w:r>
      <w:r w:rsidRPr="00BF65CE">
        <w:rPr>
          <w:rFonts w:ascii="Times New Roman" w:hAnsi="Times New Roman"/>
          <w:lang w:val="es-ES"/>
        </w:rPr>
        <w:t xml:space="preserve">por ser </w:t>
      </w:r>
      <w:r w:rsidR="006F6A0E">
        <w:rPr>
          <w:rFonts w:ascii="Times New Roman" w:hAnsi="Times New Roman"/>
          <w:lang w:val="es-ES"/>
        </w:rPr>
        <w:t>una de</w:t>
      </w:r>
      <w:r w:rsidRPr="00BF65CE">
        <w:rPr>
          <w:rFonts w:ascii="Times New Roman" w:hAnsi="Times New Roman"/>
          <w:lang w:val="es-ES"/>
        </w:rPr>
        <w:t xml:space="preserve"> las principales </w:t>
      </w:r>
      <w:r w:rsidR="005B2DE6">
        <w:rPr>
          <w:rFonts w:ascii="Times New Roman" w:hAnsi="Times New Roman"/>
          <w:lang w:val="es-ES"/>
        </w:rPr>
        <w:t>regiones de destino</w:t>
      </w:r>
      <w:r w:rsidR="00BE15FE">
        <w:rPr>
          <w:rFonts w:ascii="Times New Roman" w:hAnsi="Times New Roman"/>
          <w:lang w:val="es-ES"/>
        </w:rPr>
        <w:t xml:space="preserve"> </w:t>
      </w:r>
      <w:r w:rsidRPr="00BF65CE">
        <w:rPr>
          <w:rFonts w:ascii="Times New Roman" w:hAnsi="Times New Roman"/>
          <w:lang w:val="es-ES"/>
        </w:rPr>
        <w:t>de</w:t>
      </w:r>
      <w:r w:rsidR="00BE15FE">
        <w:rPr>
          <w:rFonts w:ascii="Times New Roman" w:hAnsi="Times New Roman"/>
          <w:lang w:val="es-ES"/>
        </w:rPr>
        <w:t xml:space="preserve"> movimientos</w:t>
      </w:r>
      <w:r w:rsidRPr="00BF65CE">
        <w:rPr>
          <w:rFonts w:ascii="Times New Roman" w:hAnsi="Times New Roman"/>
          <w:lang w:val="es-ES"/>
        </w:rPr>
        <w:t xml:space="preserve"> migratorios</w:t>
      </w:r>
      <w:r w:rsidR="00BE15FE">
        <w:rPr>
          <w:rFonts w:ascii="Times New Roman" w:hAnsi="Times New Roman"/>
          <w:lang w:val="es-ES"/>
        </w:rPr>
        <w:t xml:space="preserve"> a nivel mundial</w:t>
      </w:r>
      <w:r w:rsidRPr="00BF65CE">
        <w:rPr>
          <w:rFonts w:ascii="Times New Roman" w:hAnsi="Times New Roman"/>
          <w:lang w:val="es-ES"/>
        </w:rPr>
        <w:t>.</w:t>
      </w:r>
      <w:r w:rsidR="00BE15FE">
        <w:rPr>
          <w:rFonts w:ascii="Times New Roman" w:hAnsi="Times New Roman"/>
          <w:lang w:val="es-ES"/>
        </w:rPr>
        <w:t xml:space="preserve"> </w:t>
      </w:r>
      <w:bookmarkStart w:id="1" w:name="_Hlk97115520"/>
      <w:r w:rsidR="0025059C" w:rsidRPr="0025059C">
        <w:rPr>
          <w:rFonts w:ascii="Times New Roman" w:hAnsi="Times New Roman"/>
          <w:lang w:val="es-ES"/>
        </w:rPr>
        <w:t xml:space="preserve">De acuerdo con el </w:t>
      </w:r>
      <w:bookmarkStart w:id="2" w:name="_Hlk97116296"/>
      <w:r w:rsidR="0025059C" w:rsidRPr="0025059C">
        <w:rPr>
          <w:rFonts w:ascii="Times New Roman" w:hAnsi="Times New Roman"/>
          <w:lang w:val="es-ES"/>
        </w:rPr>
        <w:t>Centro de Análisis de Datos Mundiales sobre la Migración de la OIM</w:t>
      </w:r>
      <w:bookmarkEnd w:id="2"/>
      <w:r w:rsidR="0025059C" w:rsidRPr="0025059C">
        <w:rPr>
          <w:rFonts w:ascii="Times New Roman" w:hAnsi="Times New Roman"/>
          <w:lang w:val="es-ES"/>
        </w:rPr>
        <w:t xml:space="preserve">, se estima que para 2020 había </w:t>
      </w:r>
      <w:r w:rsidR="0025059C">
        <w:rPr>
          <w:rFonts w:ascii="Times New Roman" w:hAnsi="Times New Roman"/>
          <w:lang w:val="es-ES"/>
        </w:rPr>
        <w:t>58</w:t>
      </w:r>
      <w:r w:rsidR="0025059C" w:rsidRPr="0025059C">
        <w:rPr>
          <w:rFonts w:ascii="Times New Roman" w:hAnsi="Times New Roman"/>
          <w:lang w:val="es-ES"/>
        </w:rPr>
        <w:t>.</w:t>
      </w:r>
      <w:r w:rsidR="0025059C">
        <w:rPr>
          <w:rFonts w:ascii="Times New Roman" w:hAnsi="Times New Roman"/>
          <w:lang w:val="es-ES"/>
        </w:rPr>
        <w:t>682</w:t>
      </w:r>
      <w:r w:rsidR="0025059C" w:rsidRPr="0025059C">
        <w:rPr>
          <w:rFonts w:ascii="Times New Roman" w:hAnsi="Times New Roman"/>
          <w:lang w:val="es-ES"/>
        </w:rPr>
        <w:t>.</w:t>
      </w:r>
      <w:r w:rsidR="0025059C">
        <w:rPr>
          <w:rFonts w:ascii="Times New Roman" w:hAnsi="Times New Roman"/>
          <w:lang w:val="es-ES"/>
        </w:rPr>
        <w:t>179</w:t>
      </w:r>
      <w:r w:rsidR="0025059C" w:rsidRPr="0025059C">
        <w:rPr>
          <w:rFonts w:ascii="Times New Roman" w:hAnsi="Times New Roman"/>
          <w:lang w:val="es-ES"/>
        </w:rPr>
        <w:t xml:space="preserve"> de </w:t>
      </w:r>
      <w:r w:rsidR="0025059C">
        <w:rPr>
          <w:rFonts w:ascii="Times New Roman" w:hAnsi="Times New Roman"/>
          <w:lang w:val="es-ES"/>
        </w:rPr>
        <w:t>in</w:t>
      </w:r>
      <w:r w:rsidR="0025059C" w:rsidRPr="0025059C">
        <w:rPr>
          <w:rFonts w:ascii="Times New Roman" w:hAnsi="Times New Roman"/>
          <w:lang w:val="es-ES"/>
        </w:rPr>
        <w:t xml:space="preserve">migrantes viviendo en los países de América del </w:t>
      </w:r>
      <w:r w:rsidR="0025059C">
        <w:rPr>
          <w:rFonts w:ascii="Times New Roman" w:hAnsi="Times New Roman"/>
          <w:lang w:val="es-ES"/>
        </w:rPr>
        <w:t>Norte (Estados Unidos y Canadá)</w:t>
      </w:r>
      <w:r w:rsidR="0025059C" w:rsidRPr="0025059C">
        <w:rPr>
          <w:rFonts w:ascii="Times New Roman" w:hAnsi="Times New Roman"/>
          <w:lang w:val="es-ES"/>
        </w:rPr>
        <w:t xml:space="preserve"> y había </w:t>
      </w:r>
      <w:r w:rsidR="0025059C">
        <w:rPr>
          <w:rFonts w:ascii="Times New Roman" w:hAnsi="Times New Roman"/>
          <w:lang w:val="es-ES"/>
        </w:rPr>
        <w:t>4</w:t>
      </w:r>
      <w:r w:rsidR="0025059C" w:rsidRPr="0025059C">
        <w:rPr>
          <w:rFonts w:ascii="Times New Roman" w:hAnsi="Times New Roman"/>
          <w:lang w:val="es-ES"/>
        </w:rPr>
        <w:t>.</w:t>
      </w:r>
      <w:r w:rsidR="0025059C">
        <w:rPr>
          <w:rFonts w:ascii="Times New Roman" w:hAnsi="Times New Roman"/>
          <w:lang w:val="es-ES"/>
        </w:rPr>
        <w:t>288</w:t>
      </w:r>
      <w:r w:rsidR="0025059C" w:rsidRPr="0025059C">
        <w:rPr>
          <w:rFonts w:ascii="Times New Roman" w:hAnsi="Times New Roman"/>
          <w:lang w:val="es-ES"/>
        </w:rPr>
        <w:t>.</w:t>
      </w:r>
      <w:r w:rsidR="00935BB0">
        <w:rPr>
          <w:rFonts w:ascii="Times New Roman" w:hAnsi="Times New Roman"/>
          <w:lang w:val="es-ES"/>
        </w:rPr>
        <w:t>552</w:t>
      </w:r>
      <w:r w:rsidR="0025059C" w:rsidRPr="0025059C">
        <w:rPr>
          <w:rFonts w:ascii="Times New Roman" w:hAnsi="Times New Roman"/>
          <w:lang w:val="es-ES"/>
        </w:rPr>
        <w:t xml:space="preserve"> emigrantes de </w:t>
      </w:r>
      <w:r w:rsidR="006F6A0E">
        <w:rPr>
          <w:rFonts w:ascii="Times New Roman" w:hAnsi="Times New Roman"/>
          <w:lang w:val="es-ES"/>
        </w:rPr>
        <w:t>esta subregión,</w:t>
      </w:r>
      <w:r w:rsidR="0025059C" w:rsidRPr="0025059C">
        <w:rPr>
          <w:rFonts w:ascii="Times New Roman" w:hAnsi="Times New Roman"/>
          <w:lang w:val="es-ES"/>
        </w:rPr>
        <w:t xml:space="preserve"> viviendo en otros países. </w:t>
      </w:r>
    </w:p>
    <w:bookmarkEnd w:id="1"/>
    <w:p w14:paraId="78F675DB" w14:textId="77777777" w:rsidR="00935BB0" w:rsidRDefault="00935BB0" w:rsidP="00935BB0">
      <w:pPr>
        <w:spacing w:after="0" w:line="240" w:lineRule="auto"/>
        <w:ind w:firstLine="720"/>
        <w:jc w:val="both"/>
        <w:rPr>
          <w:rFonts w:ascii="Times New Roman" w:hAnsi="Times New Roman"/>
          <w:lang w:val="es-ES"/>
        </w:rPr>
      </w:pPr>
    </w:p>
    <w:p w14:paraId="66A7E688" w14:textId="0688CA52" w:rsidR="00BF65CE" w:rsidRDefault="00BF65CE" w:rsidP="00935BB0">
      <w:pPr>
        <w:spacing w:after="0" w:line="240" w:lineRule="auto"/>
        <w:ind w:firstLine="720"/>
        <w:jc w:val="both"/>
        <w:rPr>
          <w:rFonts w:ascii="Times New Roman" w:hAnsi="Times New Roman"/>
          <w:lang w:val="es-ES"/>
        </w:rPr>
      </w:pPr>
      <w:r w:rsidRPr="00BF65CE">
        <w:rPr>
          <w:rFonts w:ascii="Times New Roman" w:hAnsi="Times New Roman"/>
          <w:lang w:val="es-ES"/>
        </w:rPr>
        <w:t>Estados Unidos ha sido y se mantiene como el principal destino mundial</w:t>
      </w:r>
      <w:r w:rsidR="006F6A0E">
        <w:rPr>
          <w:rFonts w:ascii="Times New Roman" w:hAnsi="Times New Roman"/>
          <w:lang w:val="es-ES"/>
        </w:rPr>
        <w:t>:</w:t>
      </w:r>
      <w:r w:rsidRPr="00BF65CE">
        <w:rPr>
          <w:rFonts w:ascii="Times New Roman" w:hAnsi="Times New Roman"/>
          <w:lang w:val="es-ES"/>
        </w:rPr>
        <w:t> </w:t>
      </w:r>
      <w:r w:rsidR="006F6A0E">
        <w:rPr>
          <w:rFonts w:ascii="Times New Roman" w:hAnsi="Times New Roman"/>
          <w:lang w:val="es-ES"/>
        </w:rPr>
        <w:t xml:space="preserve">en 2020 albergaba </w:t>
      </w:r>
      <w:r w:rsidRPr="00BF65CE">
        <w:rPr>
          <w:rFonts w:ascii="Times New Roman" w:hAnsi="Times New Roman"/>
          <w:lang w:val="es-ES"/>
        </w:rPr>
        <w:t>más de 50</w:t>
      </w:r>
      <w:r w:rsidR="00935BB0">
        <w:rPr>
          <w:rFonts w:ascii="Times New Roman" w:hAnsi="Times New Roman"/>
          <w:lang w:val="es-ES"/>
        </w:rPr>
        <w:t>.632.836</w:t>
      </w:r>
      <w:r w:rsidRPr="00BF65CE">
        <w:rPr>
          <w:rFonts w:ascii="Times New Roman" w:hAnsi="Times New Roman"/>
          <w:lang w:val="es-ES"/>
        </w:rPr>
        <w:t xml:space="preserve"> millones de migrantes internacionales</w:t>
      </w:r>
      <w:r w:rsidR="006F6A0E">
        <w:rPr>
          <w:rFonts w:ascii="Times New Roman" w:hAnsi="Times New Roman"/>
          <w:lang w:val="es-ES"/>
        </w:rPr>
        <w:t>.</w:t>
      </w:r>
      <w:r w:rsidRPr="00BF65CE">
        <w:rPr>
          <w:rFonts w:ascii="Times New Roman" w:hAnsi="Times New Roman"/>
          <w:lang w:val="es-ES"/>
        </w:rPr>
        <w:t xml:space="preserve"> </w:t>
      </w:r>
      <w:r w:rsidR="00935BB0">
        <w:rPr>
          <w:rFonts w:ascii="Times New Roman" w:hAnsi="Times New Roman"/>
          <w:lang w:val="es-ES"/>
        </w:rPr>
        <w:t>Por su parte, en Canadá había 8.049.323 de inmigrantes.</w:t>
      </w:r>
      <w:r w:rsidR="005B2DE6">
        <w:rPr>
          <w:rStyle w:val="FootnoteReference"/>
          <w:rFonts w:ascii="Times New Roman" w:hAnsi="Times New Roman"/>
          <w:lang w:val="es-ES"/>
        </w:rPr>
        <w:footnoteReference w:id="3"/>
      </w:r>
      <w:r w:rsidR="005B2DE6">
        <w:rPr>
          <w:rFonts w:ascii="Times New Roman" w:hAnsi="Times New Roman"/>
          <w:lang w:val="es-ES"/>
        </w:rPr>
        <w:t xml:space="preserve"> </w:t>
      </w:r>
      <w:r w:rsidR="006F6A0E">
        <w:rPr>
          <w:rFonts w:ascii="Times New Roman" w:hAnsi="Times New Roman"/>
          <w:lang w:val="es-ES"/>
        </w:rPr>
        <w:t xml:space="preserve">Asimismo, </w:t>
      </w:r>
      <w:r w:rsidR="00BA3289" w:rsidRPr="00BA3289">
        <w:rPr>
          <w:rFonts w:ascii="Times New Roman" w:hAnsi="Times New Roman"/>
          <w:lang w:val="es-ES"/>
        </w:rPr>
        <w:t xml:space="preserve">América del Norte </w:t>
      </w:r>
      <w:r w:rsidRPr="00BF65CE">
        <w:rPr>
          <w:rFonts w:ascii="Times New Roman" w:hAnsi="Times New Roman"/>
          <w:lang w:val="es-ES"/>
        </w:rPr>
        <w:t xml:space="preserve">también recibe importantes </w:t>
      </w:r>
      <w:r w:rsidR="005B2DE6">
        <w:rPr>
          <w:rFonts w:ascii="Times New Roman" w:hAnsi="Times New Roman"/>
          <w:lang w:val="es-ES"/>
        </w:rPr>
        <w:t>movimientos migratorios mixtos entre los que se encuentran</w:t>
      </w:r>
      <w:r w:rsidRPr="00BF65CE">
        <w:rPr>
          <w:rFonts w:ascii="Times New Roman" w:hAnsi="Times New Roman"/>
          <w:lang w:val="es-ES"/>
        </w:rPr>
        <w:t> </w:t>
      </w:r>
      <w:r w:rsidR="006F6A0E">
        <w:rPr>
          <w:rFonts w:ascii="Times New Roman" w:hAnsi="Times New Roman"/>
          <w:lang w:val="es-ES"/>
        </w:rPr>
        <w:t>los</w:t>
      </w:r>
      <w:r w:rsidRPr="00BF65CE">
        <w:rPr>
          <w:rFonts w:ascii="Times New Roman" w:hAnsi="Times New Roman"/>
          <w:lang w:val="es-ES"/>
        </w:rPr>
        <w:t xml:space="preserve"> solicitantes de asilo y refugiados. En </w:t>
      </w:r>
      <w:r w:rsidR="005B2DE6">
        <w:rPr>
          <w:rFonts w:ascii="Times New Roman" w:hAnsi="Times New Roman"/>
          <w:lang w:val="es-ES"/>
        </w:rPr>
        <w:t>años recientes estos movimientos migratorios mixtos han estado integrados por</w:t>
      </w:r>
      <w:r w:rsidRPr="00BF65CE">
        <w:rPr>
          <w:rFonts w:ascii="Times New Roman" w:hAnsi="Times New Roman"/>
          <w:lang w:val="es-ES"/>
        </w:rPr>
        <w:t xml:space="preserve"> migrantes y refugiados </w:t>
      </w:r>
      <w:r w:rsidR="005B2DE6">
        <w:rPr>
          <w:rFonts w:ascii="Times New Roman" w:hAnsi="Times New Roman"/>
          <w:lang w:val="es-ES"/>
        </w:rPr>
        <w:t>provenientes principalmente de países del denominado Triángulo Norte de Centroamérica (El Salvador, Guatemala y Honduras), México, Nicaragua, así como de Venezuela, Haití y Cuba.</w:t>
      </w:r>
    </w:p>
    <w:p w14:paraId="03F141D4" w14:textId="77777777" w:rsidR="00F90BE2" w:rsidRDefault="00F90BE2" w:rsidP="00935BB0">
      <w:pPr>
        <w:spacing w:after="0" w:line="240" w:lineRule="auto"/>
        <w:ind w:firstLine="720"/>
        <w:jc w:val="both"/>
        <w:rPr>
          <w:rFonts w:ascii="Times New Roman" w:hAnsi="Times New Roman"/>
          <w:lang w:val="es-ES"/>
        </w:rPr>
      </w:pPr>
    </w:p>
    <w:p w14:paraId="55FEFA25" w14:textId="05586426" w:rsidR="005B2DE6" w:rsidRPr="00F31D46" w:rsidRDefault="00F31D46" w:rsidP="00F31D46">
      <w:pPr>
        <w:pStyle w:val="ListParagraph"/>
        <w:numPr>
          <w:ilvl w:val="0"/>
          <w:numId w:val="37"/>
        </w:numPr>
        <w:spacing w:after="0" w:line="240" w:lineRule="auto"/>
        <w:jc w:val="both"/>
        <w:rPr>
          <w:rFonts w:ascii="Times New Roman" w:hAnsi="Times New Roman"/>
          <w:lang w:val="es-ES"/>
        </w:rPr>
      </w:pPr>
      <w:r>
        <w:rPr>
          <w:rFonts w:ascii="Times New Roman" w:hAnsi="Times New Roman"/>
          <w:lang w:val="es-ES"/>
        </w:rPr>
        <w:t>Centroamérica y México</w:t>
      </w:r>
    </w:p>
    <w:p w14:paraId="5BEA87FE" w14:textId="3CDB035A" w:rsidR="005B2DE6" w:rsidRDefault="005B2DE6" w:rsidP="00935BB0">
      <w:pPr>
        <w:spacing w:after="0" w:line="240" w:lineRule="auto"/>
        <w:ind w:firstLine="720"/>
        <w:jc w:val="both"/>
        <w:rPr>
          <w:rFonts w:ascii="Times New Roman" w:hAnsi="Times New Roman"/>
          <w:lang w:val="es-ES"/>
        </w:rPr>
      </w:pPr>
      <w:r w:rsidRPr="005B2DE6">
        <w:rPr>
          <w:rFonts w:ascii="Times New Roman" w:hAnsi="Times New Roman"/>
          <w:lang w:val="es-ES"/>
        </w:rPr>
        <w:t>En lo que concierne a Centroamérica</w:t>
      </w:r>
      <w:r w:rsidR="00F31D46">
        <w:rPr>
          <w:rFonts w:ascii="Times New Roman" w:hAnsi="Times New Roman"/>
          <w:lang w:val="es-ES"/>
        </w:rPr>
        <w:t xml:space="preserve"> y México</w:t>
      </w:r>
      <w:r w:rsidRPr="005B2DE6">
        <w:rPr>
          <w:rFonts w:ascii="Times New Roman" w:hAnsi="Times New Roman"/>
          <w:lang w:val="es-ES"/>
        </w:rPr>
        <w:t>, sus principales patrones migratorios son</w:t>
      </w:r>
      <w:r w:rsidR="006F6A0E">
        <w:rPr>
          <w:rFonts w:ascii="Times New Roman" w:hAnsi="Times New Roman"/>
          <w:lang w:val="es-ES"/>
        </w:rPr>
        <w:t>:</w:t>
      </w:r>
      <w:r w:rsidRPr="005B2DE6">
        <w:rPr>
          <w:rFonts w:ascii="Times New Roman" w:hAnsi="Times New Roman"/>
          <w:lang w:val="es-ES"/>
        </w:rPr>
        <w:t xml:space="preserve"> (1) los movimientos de población </w:t>
      </w:r>
      <w:r w:rsidR="006F6A0E">
        <w:rPr>
          <w:rFonts w:ascii="Times New Roman" w:hAnsi="Times New Roman"/>
          <w:lang w:val="es-ES"/>
        </w:rPr>
        <w:t>h</w:t>
      </w:r>
      <w:r w:rsidRPr="005B2DE6">
        <w:rPr>
          <w:rFonts w:ascii="Times New Roman" w:hAnsi="Times New Roman"/>
          <w:lang w:val="es-ES"/>
        </w:rPr>
        <w:t xml:space="preserve">acia países de América del Norte, </w:t>
      </w:r>
      <w:r w:rsidR="006F6A0E">
        <w:rPr>
          <w:rFonts w:ascii="Times New Roman" w:hAnsi="Times New Roman"/>
          <w:lang w:val="es-ES"/>
        </w:rPr>
        <w:t>especialmente</w:t>
      </w:r>
      <w:r w:rsidRPr="005B2DE6">
        <w:rPr>
          <w:rFonts w:ascii="Times New Roman" w:hAnsi="Times New Roman"/>
          <w:lang w:val="es-ES"/>
        </w:rPr>
        <w:t xml:space="preserve"> los Estados Unidos; (2) movimientos migratorios intrarregionales</w:t>
      </w:r>
      <w:r w:rsidR="006F6A0E">
        <w:rPr>
          <w:rFonts w:ascii="Times New Roman" w:hAnsi="Times New Roman"/>
          <w:lang w:val="es-ES"/>
        </w:rPr>
        <w:t xml:space="preserve">, </w:t>
      </w:r>
      <w:r w:rsidRPr="005B2DE6">
        <w:rPr>
          <w:rFonts w:ascii="Times New Roman" w:hAnsi="Times New Roman"/>
          <w:lang w:val="es-ES"/>
        </w:rPr>
        <w:t>donde los principales destinos son México, Costa Rica y Panamá; (3) presencia de migrantes principalmente procedentes del Caribe, Suramérica, Asía y África</w:t>
      </w:r>
      <w:r w:rsidR="006F6A0E">
        <w:rPr>
          <w:rFonts w:ascii="Times New Roman" w:hAnsi="Times New Roman"/>
          <w:lang w:val="es-ES"/>
        </w:rPr>
        <w:t>,</w:t>
      </w:r>
      <w:r w:rsidRPr="005B2DE6">
        <w:rPr>
          <w:rFonts w:ascii="Times New Roman" w:hAnsi="Times New Roman"/>
          <w:lang w:val="es-ES"/>
        </w:rPr>
        <w:t xml:space="preserve"> quienes transitan por los países de la región con la intención de desplazarse hacia el </w:t>
      </w:r>
      <w:r w:rsidRPr="005B2DE6">
        <w:rPr>
          <w:rFonts w:ascii="Times New Roman" w:hAnsi="Times New Roman"/>
          <w:lang w:val="es-ES"/>
        </w:rPr>
        <w:lastRenderedPageBreak/>
        <w:t>Norte</w:t>
      </w:r>
      <w:r>
        <w:rPr>
          <w:rFonts w:ascii="Times New Roman" w:hAnsi="Times New Roman"/>
          <w:lang w:val="es-ES"/>
        </w:rPr>
        <w:t xml:space="preserve">; </w:t>
      </w:r>
      <w:r w:rsidR="006F6A0E">
        <w:rPr>
          <w:rFonts w:ascii="Times New Roman" w:hAnsi="Times New Roman"/>
          <w:lang w:val="es-ES"/>
        </w:rPr>
        <w:t>y</w:t>
      </w:r>
      <w:r w:rsidRPr="005B2DE6">
        <w:rPr>
          <w:rFonts w:ascii="Times New Roman" w:hAnsi="Times New Roman"/>
          <w:lang w:val="es-ES"/>
        </w:rPr>
        <w:t xml:space="preserve"> (4) importantes movimientos migratorios de retorno principalmente desde los Estados Unidos y México a países del norte de Centroamérica (Honduras, Guatemala y El Salvador)</w:t>
      </w:r>
      <w:r w:rsidR="008B629D">
        <w:rPr>
          <w:rFonts w:ascii="Times New Roman" w:hAnsi="Times New Roman"/>
          <w:lang w:val="es-ES"/>
        </w:rPr>
        <w:t>, así como a México y Nicaragua</w:t>
      </w:r>
      <w:r w:rsidRPr="005B2DE6">
        <w:rPr>
          <w:rFonts w:ascii="Times New Roman" w:hAnsi="Times New Roman"/>
          <w:lang w:val="es-ES"/>
        </w:rPr>
        <w:t>.</w:t>
      </w:r>
      <w:r w:rsidR="00935BB0">
        <w:rPr>
          <w:rFonts w:ascii="Times New Roman" w:hAnsi="Times New Roman"/>
          <w:lang w:val="es-ES"/>
        </w:rPr>
        <w:t xml:space="preserve"> </w:t>
      </w:r>
      <w:r w:rsidR="008B629D">
        <w:rPr>
          <w:rFonts w:ascii="Times New Roman" w:hAnsi="Times New Roman"/>
          <w:lang w:val="es-ES"/>
        </w:rPr>
        <w:t>En años recientes, países de Centroamérica también se han convertido en países de destino y tránsito de migrantes y refugiados venezolanos, destacándose los casos de México, Costa Rica y Panamá</w:t>
      </w:r>
      <w:r w:rsidRPr="005B2DE6">
        <w:rPr>
          <w:rFonts w:ascii="Times New Roman" w:hAnsi="Times New Roman"/>
          <w:lang w:val="es-ES"/>
        </w:rPr>
        <w:t>.</w:t>
      </w:r>
    </w:p>
    <w:p w14:paraId="6C73110A" w14:textId="1561A07A" w:rsidR="00935BB0" w:rsidRDefault="00935BB0" w:rsidP="00935BB0">
      <w:pPr>
        <w:spacing w:after="0" w:line="240" w:lineRule="auto"/>
        <w:ind w:firstLine="720"/>
        <w:jc w:val="both"/>
        <w:rPr>
          <w:rFonts w:ascii="Times New Roman" w:hAnsi="Times New Roman"/>
          <w:lang w:val="es-ES"/>
        </w:rPr>
      </w:pPr>
    </w:p>
    <w:p w14:paraId="7179E0BD" w14:textId="6810D495" w:rsidR="00935BB0" w:rsidRDefault="00935BB0" w:rsidP="00935BB0">
      <w:pPr>
        <w:spacing w:after="0" w:line="240" w:lineRule="auto"/>
        <w:ind w:firstLine="720"/>
        <w:jc w:val="both"/>
        <w:rPr>
          <w:rFonts w:ascii="Times New Roman" w:hAnsi="Times New Roman"/>
          <w:lang w:val="es-ES"/>
        </w:rPr>
      </w:pPr>
      <w:r w:rsidRPr="00935BB0">
        <w:rPr>
          <w:rFonts w:ascii="Times New Roman" w:hAnsi="Times New Roman"/>
          <w:lang w:val="es-ES"/>
        </w:rPr>
        <w:t xml:space="preserve">De acuerdo con el Centro de Análisis de Datos Mundiales sobre la Migración de la OIM, se estima que para 2020 había </w:t>
      </w:r>
      <w:r>
        <w:rPr>
          <w:rFonts w:ascii="Times New Roman" w:hAnsi="Times New Roman"/>
          <w:lang w:val="es-ES"/>
        </w:rPr>
        <w:t>16.198.974 emigrantes de Centroamérica y México viviendo en otros países y 2.302.001</w:t>
      </w:r>
      <w:r w:rsidR="006F6A0E">
        <w:rPr>
          <w:rFonts w:ascii="Times New Roman" w:hAnsi="Times New Roman"/>
          <w:lang w:val="es-ES"/>
        </w:rPr>
        <w:t xml:space="preserve"> de</w:t>
      </w:r>
      <w:r>
        <w:rPr>
          <w:rFonts w:ascii="Times New Roman" w:hAnsi="Times New Roman"/>
          <w:lang w:val="es-ES"/>
        </w:rPr>
        <w:t xml:space="preserve"> inmigrantes viviendo en estos países. </w:t>
      </w:r>
      <w:r w:rsidRPr="00935BB0">
        <w:rPr>
          <w:rFonts w:ascii="Times New Roman" w:hAnsi="Times New Roman"/>
          <w:lang w:val="es-ES"/>
        </w:rPr>
        <w:t>Para 2020, l</w:t>
      </w:r>
      <w:r w:rsidR="00F31D46">
        <w:rPr>
          <w:rFonts w:ascii="Times New Roman" w:hAnsi="Times New Roman"/>
          <w:lang w:val="es-ES"/>
        </w:rPr>
        <w:t xml:space="preserve">as cifras de </w:t>
      </w:r>
      <w:r w:rsidR="006F6A0E">
        <w:rPr>
          <w:rFonts w:ascii="Times New Roman" w:hAnsi="Times New Roman"/>
          <w:lang w:val="es-ES"/>
        </w:rPr>
        <w:t>los</w:t>
      </w:r>
      <w:r w:rsidR="00F31D46">
        <w:rPr>
          <w:rFonts w:ascii="Times New Roman" w:hAnsi="Times New Roman"/>
          <w:lang w:val="es-ES"/>
        </w:rPr>
        <w:t xml:space="preserve"> países de</w:t>
      </w:r>
      <w:r>
        <w:rPr>
          <w:rFonts w:ascii="Times New Roman" w:hAnsi="Times New Roman"/>
          <w:lang w:val="es-ES"/>
        </w:rPr>
        <w:t xml:space="preserve"> Centroamérica y México</w:t>
      </w:r>
      <w:r w:rsidRPr="00935BB0">
        <w:rPr>
          <w:rFonts w:ascii="Times New Roman" w:hAnsi="Times New Roman"/>
          <w:lang w:val="es-ES"/>
        </w:rPr>
        <w:t xml:space="preserve"> </w:t>
      </w:r>
      <w:r w:rsidR="00F31D46">
        <w:rPr>
          <w:rFonts w:ascii="Times New Roman" w:hAnsi="Times New Roman"/>
          <w:lang w:val="es-ES"/>
        </w:rPr>
        <w:t>eran las siguientes</w:t>
      </w:r>
      <w:r w:rsidRPr="00935BB0">
        <w:rPr>
          <w:rFonts w:ascii="Times New Roman" w:hAnsi="Times New Roman"/>
          <w:lang w:val="es-ES"/>
        </w:rPr>
        <w:t xml:space="preserve">: </w:t>
      </w:r>
    </w:p>
    <w:p w14:paraId="5A5AE83C" w14:textId="6C8C3D4E" w:rsidR="00935BB0" w:rsidRDefault="00935BB0" w:rsidP="00935BB0">
      <w:pPr>
        <w:spacing w:after="0" w:line="240" w:lineRule="auto"/>
        <w:ind w:firstLine="720"/>
        <w:jc w:val="both"/>
        <w:rPr>
          <w:rFonts w:ascii="Times New Roman" w:hAnsi="Times New Roman"/>
          <w:lang w:val="es-ES"/>
        </w:rPr>
      </w:pPr>
    </w:p>
    <w:p w14:paraId="5B18CEAC" w14:textId="3D07DA73" w:rsidR="00935BB0" w:rsidRDefault="00935BB0" w:rsidP="00935BB0">
      <w:pPr>
        <w:pStyle w:val="ListParagraph"/>
        <w:numPr>
          <w:ilvl w:val="0"/>
          <w:numId w:val="36"/>
        </w:numPr>
        <w:spacing w:after="0" w:line="240" w:lineRule="auto"/>
        <w:jc w:val="both"/>
        <w:rPr>
          <w:rFonts w:ascii="Times New Roman" w:hAnsi="Times New Roman"/>
          <w:lang w:val="es-ES"/>
        </w:rPr>
      </w:pPr>
      <w:r>
        <w:rPr>
          <w:rFonts w:ascii="Times New Roman" w:hAnsi="Times New Roman"/>
          <w:lang w:val="es-ES"/>
        </w:rPr>
        <w:t xml:space="preserve">México con 11.185.737 emigrantes y 1.197.624 inmigrantes, </w:t>
      </w:r>
    </w:p>
    <w:p w14:paraId="71544AD6" w14:textId="328D19E2" w:rsidR="00935BB0" w:rsidRDefault="00935BB0" w:rsidP="00935BB0">
      <w:pPr>
        <w:pStyle w:val="ListParagraph"/>
        <w:numPr>
          <w:ilvl w:val="0"/>
          <w:numId w:val="36"/>
        </w:numPr>
        <w:spacing w:after="0" w:line="240" w:lineRule="auto"/>
        <w:jc w:val="both"/>
        <w:rPr>
          <w:rFonts w:ascii="Times New Roman" w:hAnsi="Times New Roman"/>
          <w:lang w:val="es-ES"/>
        </w:rPr>
      </w:pPr>
      <w:r>
        <w:rPr>
          <w:rFonts w:ascii="Times New Roman" w:hAnsi="Times New Roman"/>
          <w:lang w:val="es-ES"/>
        </w:rPr>
        <w:t xml:space="preserve">El Salvador con 1.599.058 emigrantes y </w:t>
      </w:r>
      <w:r w:rsidR="00F31D46">
        <w:rPr>
          <w:rFonts w:ascii="Times New Roman" w:hAnsi="Times New Roman"/>
          <w:lang w:val="es-ES"/>
        </w:rPr>
        <w:t xml:space="preserve">42.767 inmigrantes, </w:t>
      </w:r>
    </w:p>
    <w:p w14:paraId="6A26C466" w14:textId="35376039" w:rsidR="00F31D46" w:rsidRDefault="00F31D46" w:rsidP="00935BB0">
      <w:pPr>
        <w:pStyle w:val="ListParagraph"/>
        <w:numPr>
          <w:ilvl w:val="0"/>
          <w:numId w:val="36"/>
        </w:numPr>
        <w:spacing w:after="0" w:line="240" w:lineRule="auto"/>
        <w:jc w:val="both"/>
        <w:rPr>
          <w:rFonts w:ascii="Times New Roman" w:hAnsi="Times New Roman"/>
          <w:lang w:val="es-ES"/>
        </w:rPr>
      </w:pPr>
      <w:r>
        <w:rPr>
          <w:rFonts w:ascii="Times New Roman" w:hAnsi="Times New Roman"/>
          <w:lang w:val="es-ES"/>
        </w:rPr>
        <w:t xml:space="preserve">Guatemala con 1.368.431 emigrantes y 84.311 inmigrantes, </w:t>
      </w:r>
    </w:p>
    <w:p w14:paraId="28734A8B" w14:textId="71D6959D" w:rsidR="00F31D46" w:rsidRDefault="00F31D46" w:rsidP="00935BB0">
      <w:pPr>
        <w:pStyle w:val="ListParagraph"/>
        <w:numPr>
          <w:ilvl w:val="0"/>
          <w:numId w:val="36"/>
        </w:numPr>
        <w:spacing w:after="0" w:line="240" w:lineRule="auto"/>
        <w:jc w:val="both"/>
        <w:rPr>
          <w:rFonts w:ascii="Times New Roman" w:hAnsi="Times New Roman"/>
          <w:lang w:val="es-ES"/>
        </w:rPr>
      </w:pPr>
      <w:r>
        <w:rPr>
          <w:rFonts w:ascii="Times New Roman" w:hAnsi="Times New Roman"/>
          <w:lang w:val="es-ES"/>
        </w:rPr>
        <w:t>Honduras con 985.077 emigrantes y 39.195 inmigrantes,</w:t>
      </w:r>
    </w:p>
    <w:p w14:paraId="31E2FA47" w14:textId="4FCA8F90" w:rsidR="00F31D46" w:rsidRDefault="00F31D46" w:rsidP="00F31D46">
      <w:pPr>
        <w:pStyle w:val="ListParagraph"/>
        <w:numPr>
          <w:ilvl w:val="0"/>
          <w:numId w:val="36"/>
        </w:numPr>
        <w:spacing w:after="0" w:line="240" w:lineRule="auto"/>
        <w:jc w:val="both"/>
        <w:rPr>
          <w:rFonts w:ascii="Times New Roman" w:hAnsi="Times New Roman"/>
          <w:lang w:val="es-ES"/>
        </w:rPr>
      </w:pPr>
      <w:r>
        <w:rPr>
          <w:rFonts w:ascii="Times New Roman" w:hAnsi="Times New Roman"/>
          <w:lang w:val="es-ES"/>
        </w:rPr>
        <w:t xml:space="preserve">Nicaragua con 718.154 emigrantes y 42.167 inmigrantes, </w:t>
      </w:r>
    </w:p>
    <w:p w14:paraId="28F267D2" w14:textId="74CA0401" w:rsidR="00F31D46" w:rsidRDefault="00F31D46" w:rsidP="00F31D46">
      <w:pPr>
        <w:pStyle w:val="ListParagraph"/>
        <w:numPr>
          <w:ilvl w:val="0"/>
          <w:numId w:val="36"/>
        </w:numPr>
        <w:spacing w:after="0" w:line="240" w:lineRule="auto"/>
        <w:jc w:val="both"/>
        <w:rPr>
          <w:rFonts w:ascii="Times New Roman" w:hAnsi="Times New Roman"/>
          <w:lang w:val="es-ES"/>
        </w:rPr>
      </w:pPr>
      <w:r>
        <w:rPr>
          <w:rFonts w:ascii="Times New Roman" w:hAnsi="Times New Roman"/>
          <w:lang w:val="es-ES"/>
        </w:rPr>
        <w:t>Costa Rica con 150.241 emigrantes y 520.729 inmigrantes,</w:t>
      </w:r>
    </w:p>
    <w:p w14:paraId="05089E17" w14:textId="0291F170" w:rsidR="00F31D46" w:rsidRDefault="00F31D46" w:rsidP="00F31D46">
      <w:pPr>
        <w:pStyle w:val="ListParagraph"/>
        <w:numPr>
          <w:ilvl w:val="0"/>
          <w:numId w:val="36"/>
        </w:numPr>
        <w:spacing w:after="0" w:line="240" w:lineRule="auto"/>
        <w:jc w:val="both"/>
        <w:rPr>
          <w:rFonts w:ascii="Times New Roman" w:hAnsi="Times New Roman"/>
          <w:lang w:val="es-ES"/>
        </w:rPr>
      </w:pPr>
      <w:r>
        <w:rPr>
          <w:rFonts w:ascii="Times New Roman" w:hAnsi="Times New Roman"/>
          <w:lang w:val="es-ES"/>
        </w:rPr>
        <w:t>Panamá con 139.520 emigrantes y 313.165 inmigrantes, y</w:t>
      </w:r>
    </w:p>
    <w:p w14:paraId="5D5614E7" w14:textId="203B4D0F" w:rsidR="00935BB0" w:rsidRPr="00F31D46" w:rsidRDefault="00F31D46" w:rsidP="00F31D46">
      <w:pPr>
        <w:pStyle w:val="ListParagraph"/>
        <w:numPr>
          <w:ilvl w:val="0"/>
          <w:numId w:val="36"/>
        </w:numPr>
        <w:spacing w:after="0" w:line="240" w:lineRule="auto"/>
        <w:jc w:val="both"/>
        <w:rPr>
          <w:rFonts w:ascii="Times New Roman" w:hAnsi="Times New Roman"/>
          <w:lang w:val="es-ES"/>
        </w:rPr>
      </w:pPr>
      <w:r>
        <w:rPr>
          <w:rFonts w:ascii="Times New Roman" w:hAnsi="Times New Roman"/>
          <w:lang w:val="es-ES"/>
        </w:rPr>
        <w:t>Belice con 52.756 emigrantes y 62.043 inmigrantes.</w:t>
      </w:r>
    </w:p>
    <w:p w14:paraId="10E3292B" w14:textId="2B06C831" w:rsidR="00BA3289" w:rsidRDefault="00BA3289" w:rsidP="00BF65CE">
      <w:pPr>
        <w:spacing w:after="0" w:line="240" w:lineRule="auto"/>
        <w:ind w:firstLine="720"/>
        <w:jc w:val="both"/>
        <w:rPr>
          <w:rFonts w:ascii="Times New Roman" w:hAnsi="Times New Roman"/>
          <w:lang w:val="es-ES"/>
        </w:rPr>
      </w:pPr>
    </w:p>
    <w:p w14:paraId="3E3AD718" w14:textId="7D83AF09" w:rsidR="00F31D46" w:rsidRPr="00F31D46" w:rsidRDefault="00F31D46" w:rsidP="00F31D46">
      <w:pPr>
        <w:pStyle w:val="ListParagraph"/>
        <w:numPr>
          <w:ilvl w:val="0"/>
          <w:numId w:val="37"/>
        </w:numPr>
        <w:spacing w:after="0" w:line="240" w:lineRule="auto"/>
        <w:jc w:val="both"/>
        <w:rPr>
          <w:rFonts w:ascii="Times New Roman" w:hAnsi="Times New Roman"/>
          <w:lang w:val="es-ES"/>
        </w:rPr>
      </w:pPr>
      <w:r>
        <w:rPr>
          <w:rFonts w:ascii="Times New Roman" w:hAnsi="Times New Roman"/>
          <w:lang w:val="es-ES"/>
        </w:rPr>
        <w:t>América del Sur</w:t>
      </w:r>
    </w:p>
    <w:p w14:paraId="2D03F8CC" w14:textId="2F8125F6" w:rsidR="00BA3289" w:rsidRDefault="006F6A0E" w:rsidP="00BE15FE">
      <w:pPr>
        <w:spacing w:after="0" w:line="240" w:lineRule="auto"/>
        <w:ind w:firstLine="720"/>
        <w:jc w:val="both"/>
        <w:rPr>
          <w:rFonts w:ascii="Times New Roman" w:hAnsi="Times New Roman"/>
          <w:lang w:val="es-ES"/>
        </w:rPr>
      </w:pPr>
      <w:r>
        <w:rPr>
          <w:rFonts w:ascii="Times New Roman" w:hAnsi="Times New Roman"/>
          <w:lang w:val="es-ES"/>
        </w:rPr>
        <w:t xml:space="preserve">En </w:t>
      </w:r>
      <w:r w:rsidR="00BA3289" w:rsidRPr="00BA3289">
        <w:rPr>
          <w:rFonts w:ascii="Times New Roman" w:hAnsi="Times New Roman"/>
          <w:lang w:val="es-ES"/>
        </w:rPr>
        <w:t>América del Sur se identifican tres grandes patrones migratorios:</w:t>
      </w:r>
      <w:r>
        <w:rPr>
          <w:rFonts w:ascii="Times New Roman" w:hAnsi="Times New Roman"/>
          <w:lang w:val="es-ES"/>
        </w:rPr>
        <w:t xml:space="preserve"> (1) </w:t>
      </w:r>
      <w:r w:rsidR="00BA3289" w:rsidRPr="00BA3289">
        <w:rPr>
          <w:rFonts w:ascii="Times New Roman" w:hAnsi="Times New Roman"/>
          <w:lang w:val="es-ES"/>
        </w:rPr>
        <w:t>la inmigración extranjera</w:t>
      </w:r>
      <w:r>
        <w:rPr>
          <w:rFonts w:ascii="Times New Roman" w:hAnsi="Times New Roman"/>
          <w:lang w:val="es-ES"/>
        </w:rPr>
        <w:t>; (2)</w:t>
      </w:r>
      <w:r w:rsidR="00BA3289" w:rsidRPr="00BA3289">
        <w:rPr>
          <w:rFonts w:ascii="Times New Roman" w:hAnsi="Times New Roman"/>
          <w:lang w:val="es-ES"/>
        </w:rPr>
        <w:t xml:space="preserve"> la migración intrarregional</w:t>
      </w:r>
      <w:r>
        <w:rPr>
          <w:rFonts w:ascii="Times New Roman" w:hAnsi="Times New Roman"/>
          <w:lang w:val="es-ES"/>
        </w:rPr>
        <w:t xml:space="preserve">; </w:t>
      </w:r>
      <w:r w:rsidR="00BA3289" w:rsidRPr="00BA3289">
        <w:rPr>
          <w:rFonts w:ascii="Times New Roman" w:hAnsi="Times New Roman"/>
          <w:lang w:val="es-ES"/>
        </w:rPr>
        <w:t xml:space="preserve">y </w:t>
      </w:r>
      <w:r>
        <w:rPr>
          <w:rFonts w:ascii="Times New Roman" w:hAnsi="Times New Roman"/>
          <w:lang w:val="es-ES"/>
        </w:rPr>
        <w:t>(3)</w:t>
      </w:r>
      <w:r w:rsidR="00BA3289" w:rsidRPr="00BA3289">
        <w:rPr>
          <w:rFonts w:ascii="Times New Roman" w:hAnsi="Times New Roman"/>
          <w:lang w:val="es-ES"/>
        </w:rPr>
        <w:t xml:space="preserve"> la emigración de sudamericanos hacia países desarrollados. </w:t>
      </w:r>
      <w:r w:rsidR="00BE15FE" w:rsidRPr="00BA3289">
        <w:rPr>
          <w:rFonts w:ascii="Times New Roman" w:hAnsi="Times New Roman"/>
          <w:lang w:val="es-ES"/>
        </w:rPr>
        <w:t>En los últimos años, la migración intrarregional se ha convertido en una opción para millones de sudamericanos. Varios acuerdos regionales, adoptados en el marco de los procesos de integración regional, contribuyeron a promover la migración dentro de la región y el acceso a derechos sociales a los migrantes.</w:t>
      </w:r>
      <w:r w:rsidR="00BE15FE">
        <w:rPr>
          <w:rFonts w:ascii="Times New Roman" w:hAnsi="Times New Roman"/>
          <w:lang w:val="es-ES"/>
        </w:rPr>
        <w:t xml:space="preserve"> </w:t>
      </w:r>
      <w:bookmarkStart w:id="3" w:name="_Hlk97115148"/>
      <w:r w:rsidR="00BE15FE">
        <w:rPr>
          <w:rFonts w:ascii="Times New Roman" w:hAnsi="Times New Roman"/>
          <w:lang w:val="es-ES"/>
        </w:rPr>
        <w:t>De acuerdo con el Centro de Análisis de Datos Mundiales sobre la Migración de la OIM y sobre la</w:t>
      </w:r>
      <w:r w:rsidR="00BA3289">
        <w:rPr>
          <w:rFonts w:ascii="Times New Roman" w:hAnsi="Times New Roman"/>
          <w:lang w:val="es-ES"/>
        </w:rPr>
        <w:t xml:space="preserve"> base </w:t>
      </w:r>
      <w:r w:rsidR="00BE15FE">
        <w:rPr>
          <w:rFonts w:ascii="Times New Roman" w:hAnsi="Times New Roman"/>
          <w:lang w:val="es-ES"/>
        </w:rPr>
        <w:t>de</w:t>
      </w:r>
      <w:r w:rsidR="00BA3289">
        <w:rPr>
          <w:rFonts w:ascii="Times New Roman" w:hAnsi="Times New Roman"/>
          <w:lang w:val="es-ES"/>
        </w:rPr>
        <w:t xml:space="preserve"> cifras de </w:t>
      </w:r>
      <w:proofErr w:type="gramStart"/>
      <w:r w:rsidR="00BA3289">
        <w:rPr>
          <w:rFonts w:ascii="Times New Roman" w:hAnsi="Times New Roman"/>
          <w:lang w:val="es-ES"/>
        </w:rPr>
        <w:t>ONU</w:t>
      </w:r>
      <w:proofErr w:type="gramEnd"/>
      <w:r w:rsidR="00BA3289">
        <w:rPr>
          <w:rFonts w:ascii="Times New Roman" w:hAnsi="Times New Roman"/>
          <w:lang w:val="es-ES"/>
        </w:rPr>
        <w:t xml:space="preserve"> DAES y de la Plataforma R4V, se estima que para 2020 había 10.887.474 </w:t>
      </w:r>
      <w:r w:rsidR="00BE15FE">
        <w:rPr>
          <w:rFonts w:ascii="Times New Roman" w:hAnsi="Times New Roman"/>
          <w:lang w:val="es-ES"/>
        </w:rPr>
        <w:t xml:space="preserve">de migrantes </w:t>
      </w:r>
      <w:r w:rsidR="00BA3289">
        <w:rPr>
          <w:rFonts w:ascii="Times New Roman" w:hAnsi="Times New Roman"/>
          <w:lang w:val="es-ES"/>
        </w:rPr>
        <w:t xml:space="preserve">viviendo en los países de América del Sur y </w:t>
      </w:r>
      <w:r w:rsidR="00BE15FE">
        <w:rPr>
          <w:rFonts w:ascii="Times New Roman" w:hAnsi="Times New Roman"/>
          <w:lang w:val="es-ES"/>
        </w:rPr>
        <w:t xml:space="preserve">17.612.735 </w:t>
      </w:r>
      <w:r>
        <w:rPr>
          <w:rFonts w:ascii="Times New Roman" w:hAnsi="Times New Roman"/>
          <w:lang w:val="es-ES"/>
        </w:rPr>
        <w:t xml:space="preserve">de </w:t>
      </w:r>
      <w:r w:rsidR="00BE15FE">
        <w:rPr>
          <w:rFonts w:ascii="Times New Roman" w:hAnsi="Times New Roman"/>
          <w:lang w:val="es-ES"/>
        </w:rPr>
        <w:t xml:space="preserve">emigrantes de países de América del Sur viviendo en otros países. Para 2020, los 5 países de América del Sur con mayores números de emigrantes e inmigrantes eran: </w:t>
      </w:r>
    </w:p>
    <w:bookmarkEnd w:id="3"/>
    <w:p w14:paraId="5B305DBD" w14:textId="77777777" w:rsidR="0025059C" w:rsidRDefault="0025059C" w:rsidP="00BE15FE">
      <w:pPr>
        <w:spacing w:after="0" w:line="240" w:lineRule="auto"/>
        <w:ind w:firstLine="720"/>
        <w:jc w:val="both"/>
        <w:rPr>
          <w:rFonts w:ascii="Times New Roman" w:hAnsi="Times New Roman"/>
          <w:lang w:val="es-ES"/>
        </w:rPr>
      </w:pPr>
    </w:p>
    <w:p w14:paraId="517CE6CD" w14:textId="487F025D" w:rsidR="00BE15FE" w:rsidRDefault="00BE15FE" w:rsidP="00BE15FE">
      <w:pPr>
        <w:pStyle w:val="ListParagraph"/>
        <w:numPr>
          <w:ilvl w:val="0"/>
          <w:numId w:val="34"/>
        </w:numPr>
        <w:spacing w:after="0" w:line="240" w:lineRule="auto"/>
        <w:jc w:val="both"/>
        <w:rPr>
          <w:rFonts w:ascii="Times New Roman" w:hAnsi="Times New Roman"/>
          <w:lang w:val="es-ES"/>
        </w:rPr>
      </w:pPr>
      <w:r>
        <w:rPr>
          <w:rFonts w:ascii="Times New Roman" w:hAnsi="Times New Roman"/>
          <w:lang w:val="es-ES"/>
        </w:rPr>
        <w:t xml:space="preserve">Venezuela con 5.100.000 emigrantes y 1.324.193 inmigrantes,  </w:t>
      </w:r>
    </w:p>
    <w:p w14:paraId="60F61F45" w14:textId="11C6E616" w:rsidR="00BE15FE" w:rsidRDefault="00BE15FE" w:rsidP="00BE15FE">
      <w:pPr>
        <w:pStyle w:val="ListParagraph"/>
        <w:numPr>
          <w:ilvl w:val="0"/>
          <w:numId w:val="34"/>
        </w:numPr>
        <w:spacing w:after="0" w:line="240" w:lineRule="auto"/>
        <w:jc w:val="both"/>
        <w:rPr>
          <w:rFonts w:ascii="Times New Roman" w:hAnsi="Times New Roman"/>
          <w:lang w:val="es-ES"/>
        </w:rPr>
      </w:pPr>
      <w:r>
        <w:rPr>
          <w:rFonts w:ascii="Times New Roman" w:hAnsi="Times New Roman"/>
          <w:lang w:val="es-ES"/>
        </w:rPr>
        <w:t xml:space="preserve">Colombia con 3.024.273 emigrantes y 1.905.393 inmigrantes, </w:t>
      </w:r>
    </w:p>
    <w:p w14:paraId="4ABED56A" w14:textId="28719AA8" w:rsidR="00BE15FE" w:rsidRDefault="00BE15FE" w:rsidP="00BE15FE">
      <w:pPr>
        <w:pStyle w:val="ListParagraph"/>
        <w:numPr>
          <w:ilvl w:val="0"/>
          <w:numId w:val="34"/>
        </w:numPr>
        <w:spacing w:after="0" w:line="240" w:lineRule="auto"/>
        <w:jc w:val="both"/>
        <w:rPr>
          <w:rFonts w:ascii="Times New Roman" w:hAnsi="Times New Roman"/>
          <w:lang w:val="es-ES"/>
        </w:rPr>
      </w:pPr>
      <w:r>
        <w:rPr>
          <w:rFonts w:ascii="Times New Roman" w:hAnsi="Times New Roman"/>
          <w:lang w:val="es-ES"/>
        </w:rPr>
        <w:t xml:space="preserve">Brasil con 1.897.128 emigrantes y 1.079.708 inmigrantes, </w:t>
      </w:r>
    </w:p>
    <w:p w14:paraId="08600F20" w14:textId="484AA4C1" w:rsidR="00BE15FE" w:rsidRDefault="00BE15FE" w:rsidP="00BE15FE">
      <w:pPr>
        <w:pStyle w:val="ListParagraph"/>
        <w:numPr>
          <w:ilvl w:val="0"/>
          <w:numId w:val="34"/>
        </w:numPr>
        <w:spacing w:after="0" w:line="240" w:lineRule="auto"/>
        <w:jc w:val="both"/>
        <w:rPr>
          <w:rFonts w:ascii="Times New Roman" w:hAnsi="Times New Roman"/>
          <w:lang w:val="es-ES"/>
        </w:rPr>
      </w:pPr>
      <w:r>
        <w:rPr>
          <w:rFonts w:ascii="Times New Roman" w:hAnsi="Times New Roman"/>
          <w:lang w:val="es-ES"/>
        </w:rPr>
        <w:t xml:space="preserve">Perú con 1.519.635 emigrantes y 1.224.519 inmigrantes, </w:t>
      </w:r>
    </w:p>
    <w:p w14:paraId="4968C7AF" w14:textId="13251DFD" w:rsidR="00BE15FE" w:rsidRDefault="00BE15FE" w:rsidP="00BE15FE">
      <w:pPr>
        <w:pStyle w:val="ListParagraph"/>
        <w:numPr>
          <w:ilvl w:val="0"/>
          <w:numId w:val="34"/>
        </w:numPr>
        <w:spacing w:after="0" w:line="240" w:lineRule="auto"/>
        <w:jc w:val="both"/>
        <w:rPr>
          <w:rFonts w:ascii="Times New Roman" w:hAnsi="Times New Roman"/>
          <w:lang w:val="es-ES"/>
        </w:rPr>
      </w:pPr>
      <w:r>
        <w:rPr>
          <w:rFonts w:ascii="Times New Roman" w:hAnsi="Times New Roman"/>
          <w:lang w:val="es-ES"/>
        </w:rPr>
        <w:t xml:space="preserve">Ecuador con 1.127.891 emigrantes y 784.787 inmigrantes. </w:t>
      </w:r>
    </w:p>
    <w:p w14:paraId="610A2B7C" w14:textId="3FDED7A4" w:rsidR="008B629D" w:rsidRDefault="008B629D" w:rsidP="008B629D">
      <w:pPr>
        <w:spacing w:after="0" w:line="240" w:lineRule="auto"/>
        <w:jc w:val="both"/>
        <w:rPr>
          <w:rFonts w:ascii="Times New Roman" w:hAnsi="Times New Roman"/>
          <w:lang w:val="es-ES"/>
        </w:rPr>
      </w:pPr>
    </w:p>
    <w:p w14:paraId="630393A8" w14:textId="617A0D49" w:rsidR="00F31D46" w:rsidRPr="00F31D46" w:rsidRDefault="00F31D46" w:rsidP="00F31D46">
      <w:pPr>
        <w:pStyle w:val="ListParagraph"/>
        <w:numPr>
          <w:ilvl w:val="0"/>
          <w:numId w:val="37"/>
        </w:numPr>
        <w:spacing w:after="0" w:line="240" w:lineRule="auto"/>
        <w:jc w:val="both"/>
        <w:rPr>
          <w:rFonts w:ascii="Times New Roman" w:hAnsi="Times New Roman"/>
          <w:lang w:val="es-ES"/>
        </w:rPr>
      </w:pPr>
      <w:r>
        <w:rPr>
          <w:rFonts w:ascii="Times New Roman" w:hAnsi="Times New Roman"/>
          <w:lang w:val="es-ES"/>
        </w:rPr>
        <w:t>El Caribe</w:t>
      </w:r>
    </w:p>
    <w:p w14:paraId="67295D72" w14:textId="77777777" w:rsidR="006F6A0E" w:rsidRDefault="008B629D" w:rsidP="008B629D">
      <w:pPr>
        <w:spacing w:after="0" w:line="240" w:lineRule="auto"/>
        <w:ind w:firstLine="720"/>
        <w:jc w:val="both"/>
        <w:rPr>
          <w:rFonts w:ascii="Times New Roman" w:hAnsi="Times New Roman"/>
          <w:lang w:val="es-ES"/>
        </w:rPr>
      </w:pPr>
      <w:r w:rsidRPr="008B629D">
        <w:rPr>
          <w:rFonts w:ascii="Times New Roman" w:hAnsi="Times New Roman"/>
          <w:lang w:val="es-ES"/>
        </w:rPr>
        <w:t xml:space="preserve">En lo que respecta al Caribe, sus principales patrones migratorios a lo largo de la historia son: </w:t>
      </w:r>
      <w:r w:rsidR="006F6A0E">
        <w:rPr>
          <w:rFonts w:ascii="Times New Roman" w:hAnsi="Times New Roman"/>
          <w:lang w:val="es-ES"/>
        </w:rPr>
        <w:t>(1)</w:t>
      </w:r>
      <w:r w:rsidRPr="008B629D">
        <w:rPr>
          <w:rFonts w:ascii="Times New Roman" w:hAnsi="Times New Roman"/>
          <w:lang w:val="es-ES"/>
        </w:rPr>
        <w:t xml:space="preserve"> la emigración </w:t>
      </w:r>
      <w:proofErr w:type="spellStart"/>
      <w:r w:rsidRPr="008B629D">
        <w:rPr>
          <w:rFonts w:ascii="Times New Roman" w:hAnsi="Times New Roman"/>
          <w:lang w:val="es-ES"/>
        </w:rPr>
        <w:t>extraregional</w:t>
      </w:r>
      <w:proofErr w:type="spellEnd"/>
      <w:r w:rsidRPr="008B629D">
        <w:rPr>
          <w:rFonts w:ascii="Times New Roman" w:hAnsi="Times New Roman"/>
          <w:lang w:val="es-ES"/>
        </w:rPr>
        <w:t xml:space="preserve">, principalmente hacia los Estados Unidos; y </w:t>
      </w:r>
      <w:r w:rsidR="006F6A0E">
        <w:rPr>
          <w:rFonts w:ascii="Times New Roman" w:hAnsi="Times New Roman"/>
          <w:lang w:val="es-ES"/>
        </w:rPr>
        <w:t>(</w:t>
      </w:r>
      <w:r w:rsidRPr="008B629D">
        <w:rPr>
          <w:rFonts w:ascii="Times New Roman" w:hAnsi="Times New Roman"/>
          <w:lang w:val="es-ES"/>
        </w:rPr>
        <w:t>2</w:t>
      </w:r>
      <w:r w:rsidR="006F6A0E">
        <w:rPr>
          <w:rFonts w:ascii="Times New Roman" w:hAnsi="Times New Roman"/>
          <w:lang w:val="es-ES"/>
        </w:rPr>
        <w:t>)</w:t>
      </w:r>
      <w:r w:rsidRPr="008B629D">
        <w:rPr>
          <w:rFonts w:ascii="Times New Roman" w:hAnsi="Times New Roman"/>
          <w:lang w:val="es-ES"/>
        </w:rPr>
        <w:t xml:space="preserve"> los movimientos migratorios intrarregionales, principalmente la migración de nacionales de Haití hacia República Dominicana, y desde República Dominicana y Haití hacia islas con mayores oportunidades de empleo como las Bahamas y Saint Kitts y Nevis, países de altos ingresos.</w:t>
      </w:r>
      <w:r>
        <w:rPr>
          <w:rStyle w:val="FootnoteReference"/>
          <w:rFonts w:ascii="Times New Roman" w:hAnsi="Times New Roman"/>
          <w:lang w:val="es-ES"/>
        </w:rPr>
        <w:footnoteReference w:id="4"/>
      </w:r>
      <w:r w:rsidRPr="008B629D">
        <w:rPr>
          <w:rFonts w:ascii="Times New Roman" w:hAnsi="Times New Roman"/>
          <w:lang w:val="es-ES"/>
        </w:rPr>
        <w:t> </w:t>
      </w:r>
      <w:r w:rsidR="0025059C">
        <w:rPr>
          <w:rFonts w:ascii="Times New Roman" w:hAnsi="Times New Roman"/>
          <w:lang w:val="es-ES"/>
        </w:rPr>
        <w:t xml:space="preserve">En lo que respecta a emigrantes de países del Caribe, para 2020 habían 7.122.385 emigrantes y estos países habían recibido </w:t>
      </w:r>
      <w:r w:rsidR="0025059C">
        <w:rPr>
          <w:rFonts w:ascii="Times New Roman" w:hAnsi="Times New Roman"/>
          <w:lang w:val="es-ES"/>
        </w:rPr>
        <w:lastRenderedPageBreak/>
        <w:t>892.316 inmigrantes. Para 2020, los países del Caribe con mayores números de emigrantes e inmigrantes eran:</w:t>
      </w:r>
    </w:p>
    <w:p w14:paraId="565E5334" w14:textId="38F2BC60" w:rsidR="008B629D" w:rsidRDefault="008B629D" w:rsidP="008B629D">
      <w:pPr>
        <w:spacing w:after="0" w:line="240" w:lineRule="auto"/>
        <w:ind w:firstLine="720"/>
        <w:jc w:val="both"/>
        <w:rPr>
          <w:rFonts w:ascii="Times New Roman" w:hAnsi="Times New Roman"/>
          <w:lang w:val="es-ES"/>
        </w:rPr>
      </w:pPr>
    </w:p>
    <w:p w14:paraId="7D03008C" w14:textId="6130DB16" w:rsidR="0025059C" w:rsidRDefault="0025059C" w:rsidP="0025059C">
      <w:pPr>
        <w:pStyle w:val="ListParagraph"/>
        <w:numPr>
          <w:ilvl w:val="0"/>
          <w:numId w:val="35"/>
        </w:numPr>
        <w:spacing w:after="0" w:line="240" w:lineRule="auto"/>
        <w:jc w:val="both"/>
        <w:rPr>
          <w:rFonts w:ascii="Times New Roman" w:hAnsi="Times New Roman"/>
          <w:lang w:val="es-ES"/>
        </w:rPr>
      </w:pPr>
      <w:r>
        <w:rPr>
          <w:rFonts w:ascii="Times New Roman" w:hAnsi="Times New Roman"/>
          <w:lang w:val="es-ES"/>
        </w:rPr>
        <w:t xml:space="preserve">Haití con 1.769.671 emigrantes y 18.884 inmigrantes, </w:t>
      </w:r>
    </w:p>
    <w:p w14:paraId="473C9A35" w14:textId="750BBEC1" w:rsidR="0025059C" w:rsidRDefault="0025059C" w:rsidP="0025059C">
      <w:pPr>
        <w:pStyle w:val="ListParagraph"/>
        <w:numPr>
          <w:ilvl w:val="0"/>
          <w:numId w:val="35"/>
        </w:numPr>
        <w:spacing w:after="0" w:line="240" w:lineRule="auto"/>
        <w:jc w:val="both"/>
        <w:rPr>
          <w:rFonts w:ascii="Times New Roman" w:hAnsi="Times New Roman"/>
          <w:lang w:val="es-ES"/>
        </w:rPr>
      </w:pPr>
      <w:r>
        <w:rPr>
          <w:rFonts w:ascii="Times New Roman" w:hAnsi="Times New Roman"/>
          <w:lang w:val="es-ES"/>
        </w:rPr>
        <w:t xml:space="preserve">Cuba con 1757.399 emigrantes y 3.024 inmigrantes, </w:t>
      </w:r>
    </w:p>
    <w:p w14:paraId="5EA1F3F6" w14:textId="6F672DB6" w:rsidR="0025059C" w:rsidRDefault="0025059C" w:rsidP="0025059C">
      <w:pPr>
        <w:pStyle w:val="ListParagraph"/>
        <w:numPr>
          <w:ilvl w:val="0"/>
          <w:numId w:val="35"/>
        </w:numPr>
        <w:spacing w:after="0" w:line="240" w:lineRule="auto"/>
        <w:jc w:val="both"/>
        <w:rPr>
          <w:rFonts w:ascii="Times New Roman" w:hAnsi="Times New Roman"/>
          <w:lang w:val="es-ES"/>
        </w:rPr>
      </w:pPr>
      <w:r>
        <w:rPr>
          <w:rFonts w:ascii="Times New Roman" w:hAnsi="Times New Roman"/>
          <w:lang w:val="es-ES"/>
        </w:rPr>
        <w:t xml:space="preserve">República Dominicana con 1.608.567 emigrantes y 603.794 inmigrantes, </w:t>
      </w:r>
    </w:p>
    <w:p w14:paraId="64518D09" w14:textId="2A9A8398" w:rsidR="0025059C" w:rsidRDefault="0025059C" w:rsidP="0025059C">
      <w:pPr>
        <w:pStyle w:val="ListParagraph"/>
        <w:numPr>
          <w:ilvl w:val="0"/>
          <w:numId w:val="35"/>
        </w:numPr>
        <w:spacing w:after="0" w:line="240" w:lineRule="auto"/>
        <w:jc w:val="both"/>
        <w:rPr>
          <w:rFonts w:ascii="Times New Roman" w:hAnsi="Times New Roman"/>
          <w:lang w:val="es-ES"/>
        </w:rPr>
      </w:pPr>
      <w:r>
        <w:rPr>
          <w:rFonts w:ascii="Times New Roman" w:hAnsi="Times New Roman"/>
          <w:lang w:val="es-ES"/>
        </w:rPr>
        <w:t xml:space="preserve">Jamaica con 1.118.931 emigrantes y 23.629 inmigrantes, </w:t>
      </w:r>
    </w:p>
    <w:p w14:paraId="04B7160B" w14:textId="5A1BF2E2" w:rsidR="0025059C" w:rsidRPr="0025059C" w:rsidRDefault="0025059C" w:rsidP="0025059C">
      <w:pPr>
        <w:pStyle w:val="ListParagraph"/>
        <w:numPr>
          <w:ilvl w:val="0"/>
          <w:numId w:val="35"/>
        </w:numPr>
        <w:spacing w:after="0" w:line="240" w:lineRule="auto"/>
        <w:jc w:val="both"/>
        <w:rPr>
          <w:rFonts w:ascii="Times New Roman" w:hAnsi="Times New Roman"/>
          <w:lang w:val="es-ES"/>
        </w:rPr>
      </w:pPr>
      <w:r>
        <w:rPr>
          <w:rFonts w:ascii="Times New Roman" w:hAnsi="Times New Roman"/>
          <w:lang w:val="es-ES"/>
        </w:rPr>
        <w:t>Trinidad y Tobago con 330.519 emigrantes y 78.849 inmigrantes.</w:t>
      </w:r>
    </w:p>
    <w:p w14:paraId="65D48E62" w14:textId="77777777" w:rsidR="008B629D" w:rsidRDefault="008B629D" w:rsidP="008B629D">
      <w:pPr>
        <w:spacing w:after="0" w:line="240" w:lineRule="auto"/>
        <w:ind w:firstLine="720"/>
        <w:jc w:val="both"/>
        <w:rPr>
          <w:rFonts w:ascii="Times New Roman" w:hAnsi="Times New Roman"/>
          <w:lang w:val="es-ES"/>
        </w:rPr>
      </w:pPr>
    </w:p>
    <w:p w14:paraId="4767AE6B" w14:textId="6289EDA3" w:rsidR="0056311B" w:rsidRDefault="0056311B" w:rsidP="0056311B">
      <w:pPr>
        <w:spacing w:after="0" w:line="240" w:lineRule="auto"/>
        <w:ind w:firstLine="720"/>
        <w:jc w:val="both"/>
        <w:rPr>
          <w:rFonts w:ascii="Times New Roman" w:hAnsi="Times New Roman"/>
          <w:lang w:val="es-419"/>
        </w:rPr>
      </w:pPr>
      <w:r>
        <w:rPr>
          <w:rFonts w:ascii="Times New Roman" w:hAnsi="Times New Roman"/>
          <w:lang w:val="es-419"/>
        </w:rPr>
        <w:t>L</w:t>
      </w:r>
      <w:r w:rsidRPr="0056311B">
        <w:rPr>
          <w:rFonts w:ascii="Times New Roman" w:hAnsi="Times New Roman"/>
          <w:lang w:val="es-419"/>
        </w:rPr>
        <w:t xml:space="preserve">a OIM ha dado a conocer que hace </w:t>
      </w:r>
      <w:r w:rsidR="006F6A0E">
        <w:rPr>
          <w:rFonts w:ascii="Times New Roman" w:hAnsi="Times New Roman"/>
          <w:lang w:val="es-419"/>
        </w:rPr>
        <w:t>entre los años 2010 y 2020 la emigración de países del Caribe, princi</w:t>
      </w:r>
      <w:r w:rsidRPr="0056311B">
        <w:rPr>
          <w:rFonts w:ascii="Times New Roman" w:hAnsi="Times New Roman"/>
          <w:lang w:val="es-419"/>
        </w:rPr>
        <w:t xml:space="preserve">palmente desde Haití, Cuba y República Dominicana, </w:t>
      </w:r>
      <w:r w:rsidR="006F6A0E">
        <w:rPr>
          <w:rFonts w:ascii="Times New Roman" w:hAnsi="Times New Roman"/>
          <w:lang w:val="es-419"/>
        </w:rPr>
        <w:t xml:space="preserve">se ha incrementado en </w:t>
      </w:r>
      <w:r w:rsidRPr="0056311B">
        <w:rPr>
          <w:rFonts w:ascii="Times New Roman" w:hAnsi="Times New Roman"/>
          <w:lang w:val="es-419"/>
        </w:rPr>
        <w:t>436%</w:t>
      </w:r>
      <w:r w:rsidR="006F6A0E">
        <w:rPr>
          <w:rFonts w:ascii="Times New Roman" w:hAnsi="Times New Roman"/>
          <w:lang w:val="es-419"/>
        </w:rPr>
        <w:t xml:space="preserve"> </w:t>
      </w:r>
      <w:r w:rsidRPr="0056311B">
        <w:rPr>
          <w:rFonts w:ascii="Times New Roman" w:hAnsi="Times New Roman"/>
          <w:vertAlign w:val="superscript"/>
          <w:lang w:val="es-419"/>
        </w:rPr>
        <w:footnoteReference w:id="5"/>
      </w:r>
      <w:r w:rsidR="006F6A0E">
        <w:rPr>
          <w:rFonts w:ascii="Times New Roman" w:hAnsi="Times New Roman"/>
          <w:lang w:val="es-419"/>
        </w:rPr>
        <w:t xml:space="preserve">. A la vez, existe en esta región una llegada </w:t>
      </w:r>
      <w:r w:rsidRPr="0056311B">
        <w:rPr>
          <w:rFonts w:ascii="Times New Roman" w:hAnsi="Times New Roman"/>
          <w:lang w:val="es-419"/>
        </w:rPr>
        <w:t>importante de</w:t>
      </w:r>
      <w:r w:rsidR="006F6A0E">
        <w:rPr>
          <w:rFonts w:ascii="Times New Roman" w:hAnsi="Times New Roman"/>
          <w:lang w:val="es-419"/>
        </w:rPr>
        <w:t xml:space="preserve"> migrantes </w:t>
      </w:r>
      <w:r w:rsidRPr="0056311B">
        <w:rPr>
          <w:rFonts w:ascii="Times New Roman" w:hAnsi="Times New Roman"/>
          <w:lang w:val="es-419"/>
        </w:rPr>
        <w:t>de África y Asia</w:t>
      </w:r>
      <w:r w:rsidRPr="006F6A0E">
        <w:rPr>
          <w:rFonts w:ascii="Times New Roman" w:hAnsi="Times New Roman"/>
          <w:lang w:val="es-419"/>
        </w:rPr>
        <w:t>.</w:t>
      </w:r>
    </w:p>
    <w:p w14:paraId="785D3817" w14:textId="77777777" w:rsidR="0056311B" w:rsidRPr="0056311B" w:rsidRDefault="0056311B" w:rsidP="0056311B">
      <w:pPr>
        <w:spacing w:after="0" w:line="240" w:lineRule="auto"/>
        <w:ind w:firstLine="720"/>
        <w:jc w:val="both"/>
        <w:rPr>
          <w:rFonts w:ascii="Times New Roman" w:hAnsi="Times New Roman"/>
          <w:lang w:val="es-419"/>
        </w:rPr>
      </w:pPr>
    </w:p>
    <w:p w14:paraId="2827F2AA" w14:textId="636E6657" w:rsidR="008B629D" w:rsidRDefault="008B629D" w:rsidP="008B629D">
      <w:pPr>
        <w:spacing w:after="0" w:line="240" w:lineRule="auto"/>
        <w:ind w:firstLine="720"/>
        <w:jc w:val="both"/>
        <w:rPr>
          <w:rFonts w:ascii="Times New Roman" w:hAnsi="Times New Roman"/>
          <w:lang w:val="es-ES"/>
        </w:rPr>
      </w:pPr>
      <w:r w:rsidRPr="008B629D">
        <w:rPr>
          <w:rFonts w:ascii="Times New Roman" w:hAnsi="Times New Roman"/>
          <w:lang w:val="es-ES"/>
        </w:rPr>
        <w:t>La migración y</w:t>
      </w:r>
      <w:r>
        <w:rPr>
          <w:rFonts w:ascii="Times New Roman" w:hAnsi="Times New Roman"/>
          <w:lang w:val="es-ES"/>
        </w:rPr>
        <w:t xml:space="preserve"> </w:t>
      </w:r>
      <w:r w:rsidRPr="008B629D">
        <w:rPr>
          <w:rFonts w:ascii="Times New Roman" w:hAnsi="Times New Roman"/>
          <w:lang w:val="es-ES"/>
        </w:rPr>
        <w:t>la libre movilidad intrarregional, tanto permanente como temporal, de nacionales de los países miembros de la Comunidad del Caribe (CARICOM) y de la Organización de Estados del Caribe Oriental (OECS) ha ganado una mayor importancia en años recientes. Más recientemente, la llegada de migrantes y refugiados venezolanos a la región en los últimos años se ha sumado a las dinámicas migratorias complejas, en particular</w:t>
      </w:r>
      <w:r w:rsidR="006F6A0E">
        <w:rPr>
          <w:rFonts w:ascii="Times New Roman" w:hAnsi="Times New Roman"/>
          <w:lang w:val="es-ES"/>
        </w:rPr>
        <w:t xml:space="preserve"> </w:t>
      </w:r>
      <w:r w:rsidRPr="008B629D">
        <w:rPr>
          <w:rFonts w:ascii="Times New Roman" w:hAnsi="Times New Roman"/>
          <w:lang w:val="es-ES"/>
        </w:rPr>
        <w:t>entre islas y países del sur del Caribe donde la proximidad con Venezuela facilita la movilidad, como en el caso de Trinidad y Tobago, Guyana y Curazao, pero también en República Dominicana.  </w:t>
      </w:r>
    </w:p>
    <w:p w14:paraId="7CFA0122" w14:textId="1E0A5EA1" w:rsidR="00F31D46" w:rsidRDefault="00F31D46" w:rsidP="008B629D">
      <w:pPr>
        <w:spacing w:after="0" w:line="240" w:lineRule="auto"/>
        <w:ind w:firstLine="720"/>
        <w:jc w:val="both"/>
        <w:rPr>
          <w:rFonts w:ascii="Times New Roman" w:hAnsi="Times New Roman"/>
          <w:lang w:val="es-ES"/>
        </w:rPr>
      </w:pPr>
    </w:p>
    <w:p w14:paraId="46FE4B60" w14:textId="268244BB" w:rsidR="0056311B" w:rsidRPr="0056311B" w:rsidRDefault="0056311B" w:rsidP="0056311B">
      <w:pPr>
        <w:pStyle w:val="ListParagraph"/>
        <w:numPr>
          <w:ilvl w:val="0"/>
          <w:numId w:val="37"/>
        </w:numPr>
        <w:spacing w:after="0" w:line="240" w:lineRule="auto"/>
        <w:jc w:val="both"/>
        <w:rPr>
          <w:rFonts w:ascii="Times New Roman" w:hAnsi="Times New Roman"/>
          <w:lang w:val="es-419"/>
        </w:rPr>
      </w:pPr>
      <w:r>
        <w:rPr>
          <w:rFonts w:ascii="Times New Roman" w:hAnsi="Times New Roman"/>
          <w:lang w:val="es-419"/>
        </w:rPr>
        <w:t>Desplazamiento Forzado y Movimientos Migratorios Mixtos</w:t>
      </w:r>
    </w:p>
    <w:p w14:paraId="7CC707A3" w14:textId="58120046" w:rsidR="0056311B" w:rsidRPr="0056311B" w:rsidRDefault="0056311B" w:rsidP="0056311B">
      <w:pPr>
        <w:spacing w:after="0" w:line="240" w:lineRule="auto"/>
        <w:ind w:firstLine="720"/>
        <w:jc w:val="both"/>
        <w:rPr>
          <w:rFonts w:ascii="Times New Roman" w:hAnsi="Times New Roman"/>
          <w:lang w:val="es-419"/>
        </w:rPr>
      </w:pPr>
      <w:r w:rsidRPr="0056311B">
        <w:rPr>
          <w:rFonts w:ascii="Times New Roman" w:hAnsi="Times New Roman"/>
          <w:lang w:val="es-419"/>
        </w:rPr>
        <w:t xml:space="preserve">De acuerdo con el ACNUR, existen más de 82.4 millones de personas afectadas por las guerras, la violencia, los conflictos y persecuciones, </w:t>
      </w:r>
      <w:r w:rsidR="006F6A0E">
        <w:rPr>
          <w:rFonts w:ascii="Times New Roman" w:hAnsi="Times New Roman"/>
          <w:lang w:val="es-419"/>
        </w:rPr>
        <w:t>que se han visto obligadas a salir de sus países</w:t>
      </w:r>
      <w:r w:rsidRPr="0056311B">
        <w:rPr>
          <w:rFonts w:ascii="Times New Roman" w:hAnsi="Times New Roman"/>
          <w:lang w:val="es-419"/>
        </w:rPr>
        <w:t>.</w:t>
      </w:r>
      <w:r w:rsidRPr="0056311B">
        <w:rPr>
          <w:rFonts w:ascii="Times New Roman" w:hAnsi="Times New Roman"/>
          <w:vertAlign w:val="superscript"/>
          <w:lang w:val="es-419"/>
        </w:rPr>
        <w:footnoteReference w:id="6"/>
      </w:r>
      <w:r w:rsidRPr="0056311B">
        <w:rPr>
          <w:rFonts w:ascii="Times New Roman" w:hAnsi="Times New Roman"/>
          <w:lang w:val="es-419"/>
        </w:rPr>
        <w:t xml:space="preserve"> Según el informe de Tendencias Globales del Desplazamiento Forzado, a finales de 2020, en los países de las Américas se encontraban 650,932 refugiados, 2.112,469 solicitantes de asilo y 8.571,378 </w:t>
      </w:r>
      <w:r w:rsidR="006F6A0E">
        <w:rPr>
          <w:rFonts w:ascii="Times New Roman" w:hAnsi="Times New Roman"/>
          <w:lang w:val="es-419"/>
        </w:rPr>
        <w:t xml:space="preserve">de </w:t>
      </w:r>
      <w:r w:rsidRPr="0056311B">
        <w:rPr>
          <w:rFonts w:ascii="Times New Roman" w:hAnsi="Times New Roman"/>
          <w:lang w:val="es-419"/>
        </w:rPr>
        <w:t>desplazados internos.</w:t>
      </w:r>
      <w:r w:rsidRPr="0056311B">
        <w:rPr>
          <w:rFonts w:ascii="Times New Roman" w:hAnsi="Times New Roman"/>
          <w:vertAlign w:val="superscript"/>
          <w:lang w:val="es-419"/>
        </w:rPr>
        <w:footnoteReference w:id="7"/>
      </w:r>
    </w:p>
    <w:p w14:paraId="7A7CEA67" w14:textId="77777777" w:rsidR="0056311B" w:rsidRPr="0056311B" w:rsidRDefault="0056311B" w:rsidP="0056311B">
      <w:pPr>
        <w:spacing w:after="0" w:line="240" w:lineRule="auto"/>
        <w:ind w:firstLine="720"/>
        <w:jc w:val="both"/>
        <w:rPr>
          <w:rFonts w:ascii="Times New Roman" w:hAnsi="Times New Roman"/>
          <w:lang w:val="es-419"/>
        </w:rPr>
      </w:pPr>
      <w:r w:rsidRPr="0056311B">
        <w:rPr>
          <w:rFonts w:ascii="Times New Roman" w:hAnsi="Times New Roman"/>
          <w:lang w:val="es-419"/>
        </w:rPr>
        <w:t xml:space="preserve"> </w:t>
      </w:r>
    </w:p>
    <w:p w14:paraId="4CF7272F" w14:textId="71A0F199" w:rsidR="00BF65CE" w:rsidRDefault="0056311B" w:rsidP="0056311B">
      <w:pPr>
        <w:spacing w:after="0" w:line="240" w:lineRule="auto"/>
        <w:ind w:firstLine="720"/>
        <w:jc w:val="both"/>
        <w:rPr>
          <w:rFonts w:ascii="Times New Roman" w:hAnsi="Times New Roman"/>
          <w:lang w:val="es-419"/>
        </w:rPr>
      </w:pPr>
      <w:r w:rsidRPr="0056311B">
        <w:rPr>
          <w:rFonts w:ascii="Times New Roman" w:hAnsi="Times New Roman"/>
          <w:lang w:val="es-419"/>
        </w:rPr>
        <w:t>La región enfrenta presiones derivadas de un considerable desplazamiento forzado proveniente del norte de Centroamérica; así como de países como Venezuela y Nicaragua. De acuerdo con cifras del ACNUR, hasta febrero de 2022, más de 6 millones de venezolanos han salido de su país, de los cuales, cerca de 4.9 millones se encuentran viviendo en otros países de América Latina y el Caribe.</w:t>
      </w:r>
      <w:r w:rsidRPr="0056311B">
        <w:rPr>
          <w:rFonts w:ascii="Times New Roman" w:hAnsi="Times New Roman"/>
          <w:vertAlign w:val="superscript"/>
          <w:lang w:val="es-419"/>
        </w:rPr>
        <w:footnoteReference w:id="8"/>
      </w:r>
      <w:r w:rsidRPr="0056311B">
        <w:rPr>
          <w:rFonts w:ascii="Times New Roman" w:hAnsi="Times New Roman"/>
          <w:lang w:val="es-419"/>
        </w:rPr>
        <w:t xml:space="preserve"> A esta situación se suman más de un millón de personas que se han visto obligadas a huir de sus hogares desde Centroamérica y México.</w:t>
      </w:r>
      <w:r w:rsidRPr="0056311B">
        <w:rPr>
          <w:rFonts w:ascii="Times New Roman" w:hAnsi="Times New Roman"/>
          <w:vertAlign w:val="superscript"/>
          <w:lang w:val="es-419"/>
        </w:rPr>
        <w:footnoteReference w:id="9"/>
      </w:r>
      <w:r w:rsidRPr="0056311B">
        <w:rPr>
          <w:rFonts w:ascii="Times New Roman" w:hAnsi="Times New Roman"/>
          <w:lang w:val="es-419"/>
        </w:rPr>
        <w:t xml:space="preserve"> </w:t>
      </w:r>
    </w:p>
    <w:p w14:paraId="7951E725" w14:textId="561D5F7D" w:rsidR="0056311B" w:rsidRDefault="0056311B" w:rsidP="0056311B">
      <w:pPr>
        <w:spacing w:after="0" w:line="240" w:lineRule="auto"/>
        <w:ind w:firstLine="720"/>
        <w:jc w:val="both"/>
        <w:rPr>
          <w:rFonts w:ascii="Times New Roman" w:hAnsi="Times New Roman"/>
          <w:lang w:val="es-419"/>
        </w:rPr>
      </w:pPr>
    </w:p>
    <w:p w14:paraId="3FE531BA" w14:textId="5F058C69" w:rsidR="0056311B" w:rsidRPr="0056311B" w:rsidRDefault="0056311B" w:rsidP="0056311B">
      <w:pPr>
        <w:pStyle w:val="ListParagraph"/>
        <w:numPr>
          <w:ilvl w:val="0"/>
          <w:numId w:val="37"/>
        </w:numPr>
        <w:spacing w:after="0" w:line="240" w:lineRule="auto"/>
        <w:jc w:val="both"/>
        <w:rPr>
          <w:rFonts w:ascii="Times New Roman" w:hAnsi="Times New Roman"/>
          <w:lang w:val="es-419"/>
        </w:rPr>
      </w:pPr>
      <w:r w:rsidRPr="0056311B">
        <w:rPr>
          <w:rFonts w:ascii="Times New Roman" w:hAnsi="Times New Roman"/>
          <w:lang w:val="es-419"/>
        </w:rPr>
        <w:t>La Pandemia del COVID-19</w:t>
      </w:r>
    </w:p>
    <w:p w14:paraId="63D18F72" w14:textId="0FC66B37" w:rsidR="0056311B" w:rsidRDefault="00F31D46" w:rsidP="00BA3289">
      <w:pPr>
        <w:spacing w:after="0" w:line="240" w:lineRule="auto"/>
        <w:ind w:firstLine="720"/>
        <w:jc w:val="both"/>
        <w:rPr>
          <w:rFonts w:ascii="Times New Roman" w:hAnsi="Times New Roman"/>
          <w:lang w:val="es-ES"/>
        </w:rPr>
      </w:pPr>
      <w:r w:rsidRPr="00F31D46">
        <w:rPr>
          <w:rFonts w:ascii="Times New Roman" w:hAnsi="Times New Roman"/>
          <w:lang w:val="es-ES"/>
        </w:rPr>
        <w:t>Como</w:t>
      </w:r>
      <w:r w:rsidRPr="00BF65CE">
        <w:rPr>
          <w:rFonts w:ascii="Times New Roman" w:hAnsi="Times New Roman"/>
          <w:lang w:val="es-ES"/>
        </w:rPr>
        <w:t xml:space="preserve"> consecuencia del impacto de la pandemia de la COVID-19, la región ha experimentado cambios en la</w:t>
      </w:r>
      <w:r w:rsidR="0056311B">
        <w:rPr>
          <w:rFonts w:ascii="Times New Roman" w:hAnsi="Times New Roman"/>
          <w:lang w:val="es-ES"/>
        </w:rPr>
        <w:t>s dinámicas de la</w:t>
      </w:r>
      <w:r w:rsidRPr="00BF65CE">
        <w:rPr>
          <w:rFonts w:ascii="Times New Roman" w:hAnsi="Times New Roman"/>
          <w:lang w:val="es-ES"/>
        </w:rPr>
        <w:t xml:space="preserve"> movilidad</w:t>
      </w:r>
      <w:r w:rsidR="0056311B">
        <w:rPr>
          <w:rFonts w:ascii="Times New Roman" w:hAnsi="Times New Roman"/>
          <w:lang w:val="es-ES"/>
        </w:rPr>
        <w:t xml:space="preserve"> humana</w:t>
      </w:r>
      <w:r w:rsidR="006F6A0E">
        <w:rPr>
          <w:rFonts w:ascii="Times New Roman" w:hAnsi="Times New Roman"/>
          <w:lang w:val="es-ES"/>
        </w:rPr>
        <w:t xml:space="preserve"> en general</w:t>
      </w:r>
      <w:r w:rsidR="0056311B">
        <w:rPr>
          <w:rFonts w:ascii="Times New Roman" w:hAnsi="Times New Roman"/>
          <w:lang w:val="es-ES"/>
        </w:rPr>
        <w:t xml:space="preserve">. </w:t>
      </w:r>
      <w:r w:rsidR="006F6A0E">
        <w:rPr>
          <w:rFonts w:ascii="Times New Roman" w:hAnsi="Times New Roman"/>
          <w:lang w:val="es-ES"/>
        </w:rPr>
        <w:t xml:space="preserve">El principal factor ha sido la </w:t>
      </w:r>
      <w:r w:rsidR="0056311B">
        <w:rPr>
          <w:rFonts w:ascii="Times New Roman" w:hAnsi="Times New Roman"/>
          <w:lang w:val="es-ES"/>
        </w:rPr>
        <w:t>imposición de múltiples</w:t>
      </w:r>
      <w:r w:rsidRPr="00BF65CE">
        <w:rPr>
          <w:rFonts w:ascii="Times New Roman" w:hAnsi="Times New Roman"/>
          <w:lang w:val="es-ES"/>
        </w:rPr>
        <w:t> restricciones de entrada a los </w:t>
      </w:r>
      <w:r w:rsidR="0056311B">
        <w:rPr>
          <w:rFonts w:ascii="Times New Roman" w:hAnsi="Times New Roman"/>
          <w:lang w:val="es-ES"/>
        </w:rPr>
        <w:t xml:space="preserve">movimientos </w:t>
      </w:r>
      <w:r w:rsidRPr="00BF65CE">
        <w:rPr>
          <w:rFonts w:ascii="Times New Roman" w:hAnsi="Times New Roman"/>
          <w:lang w:val="es-ES"/>
        </w:rPr>
        <w:t>migratorios. As</w:t>
      </w:r>
      <w:r w:rsidR="0056311B">
        <w:rPr>
          <w:rFonts w:ascii="Times New Roman" w:hAnsi="Times New Roman"/>
          <w:lang w:val="es-ES"/>
        </w:rPr>
        <w:t>i</w:t>
      </w:r>
      <w:r w:rsidRPr="00BF65CE">
        <w:rPr>
          <w:rFonts w:ascii="Times New Roman" w:hAnsi="Times New Roman"/>
          <w:lang w:val="es-ES"/>
        </w:rPr>
        <w:t>mismo</w:t>
      </w:r>
      <w:r w:rsidR="0056311B">
        <w:rPr>
          <w:rFonts w:ascii="Times New Roman" w:hAnsi="Times New Roman"/>
          <w:lang w:val="es-ES"/>
        </w:rPr>
        <w:t>,</w:t>
      </w:r>
      <w:r w:rsidRPr="00BF65CE">
        <w:rPr>
          <w:rFonts w:ascii="Times New Roman" w:hAnsi="Times New Roman"/>
          <w:lang w:val="es-ES"/>
        </w:rPr>
        <w:t xml:space="preserve"> la emisión de visas y </w:t>
      </w:r>
      <w:r w:rsidR="006F6A0E">
        <w:rPr>
          <w:rFonts w:ascii="Times New Roman" w:hAnsi="Times New Roman"/>
          <w:lang w:val="es-ES"/>
        </w:rPr>
        <w:t>de</w:t>
      </w:r>
      <w:r w:rsidRPr="00BF65CE">
        <w:rPr>
          <w:rFonts w:ascii="Times New Roman" w:hAnsi="Times New Roman"/>
          <w:lang w:val="es-ES"/>
        </w:rPr>
        <w:t> permisos de estancia</w:t>
      </w:r>
      <w:r w:rsidR="006F6A0E">
        <w:rPr>
          <w:rFonts w:ascii="Times New Roman" w:hAnsi="Times New Roman"/>
          <w:lang w:val="es-ES"/>
        </w:rPr>
        <w:t xml:space="preserve"> </w:t>
      </w:r>
      <w:r w:rsidRPr="00BF65CE">
        <w:rPr>
          <w:rFonts w:ascii="Times New Roman" w:hAnsi="Times New Roman"/>
          <w:lang w:val="es-ES"/>
        </w:rPr>
        <w:t xml:space="preserve">se </w:t>
      </w:r>
      <w:r w:rsidR="006F6A0E">
        <w:rPr>
          <w:rFonts w:ascii="Times New Roman" w:hAnsi="Times New Roman"/>
          <w:lang w:val="es-ES"/>
        </w:rPr>
        <w:t xml:space="preserve">vieron </w:t>
      </w:r>
      <w:r w:rsidRPr="00BF65CE">
        <w:rPr>
          <w:rFonts w:ascii="Times New Roman" w:hAnsi="Times New Roman"/>
          <w:lang w:val="es-ES"/>
        </w:rPr>
        <w:t>afectados</w:t>
      </w:r>
      <w:r w:rsidR="006F6A0E">
        <w:rPr>
          <w:rFonts w:ascii="Times New Roman" w:hAnsi="Times New Roman"/>
          <w:lang w:val="es-ES"/>
        </w:rPr>
        <w:t xml:space="preserve">. Finalmente, </w:t>
      </w:r>
      <w:r w:rsidRPr="00BF65CE">
        <w:rPr>
          <w:rFonts w:ascii="Times New Roman" w:hAnsi="Times New Roman"/>
          <w:lang w:val="es-ES"/>
        </w:rPr>
        <w:t xml:space="preserve">medidas como cierre de fronteras terrestres, </w:t>
      </w:r>
      <w:r w:rsidRPr="00BF65CE">
        <w:rPr>
          <w:rFonts w:ascii="Times New Roman" w:hAnsi="Times New Roman"/>
          <w:lang w:val="es-ES"/>
        </w:rPr>
        <w:lastRenderedPageBreak/>
        <w:t>requisitos sanitarios y restricciones temporales de entrada para algunas nacionalidades</w:t>
      </w:r>
      <w:r w:rsidR="006F6A0E">
        <w:rPr>
          <w:rFonts w:ascii="Times New Roman" w:hAnsi="Times New Roman"/>
          <w:lang w:val="es-ES"/>
        </w:rPr>
        <w:t>, fueron parte de</w:t>
      </w:r>
      <w:r w:rsidRPr="00BF65CE">
        <w:rPr>
          <w:rFonts w:ascii="Times New Roman" w:hAnsi="Times New Roman"/>
          <w:lang w:val="es-ES"/>
        </w:rPr>
        <w:t xml:space="preserve"> la estrategia de la región para la contención del virus</w:t>
      </w:r>
      <w:r w:rsidR="0056311B">
        <w:rPr>
          <w:rFonts w:ascii="Times New Roman" w:hAnsi="Times New Roman"/>
          <w:lang w:val="es-ES"/>
        </w:rPr>
        <w:t xml:space="preserve">. </w:t>
      </w:r>
    </w:p>
    <w:p w14:paraId="2D9828C5" w14:textId="77777777" w:rsidR="0056311B" w:rsidRDefault="0056311B" w:rsidP="00BA3289">
      <w:pPr>
        <w:spacing w:after="0" w:line="240" w:lineRule="auto"/>
        <w:ind w:firstLine="720"/>
        <w:jc w:val="both"/>
        <w:rPr>
          <w:rFonts w:ascii="Times New Roman" w:hAnsi="Times New Roman"/>
          <w:lang w:val="es-ES"/>
        </w:rPr>
      </w:pPr>
    </w:p>
    <w:p w14:paraId="39CCFB77" w14:textId="72D0E634" w:rsidR="00272B3F" w:rsidRPr="0056311B" w:rsidRDefault="0056311B" w:rsidP="0056311B">
      <w:pPr>
        <w:pStyle w:val="ListParagraph"/>
        <w:numPr>
          <w:ilvl w:val="0"/>
          <w:numId w:val="37"/>
        </w:numPr>
        <w:spacing w:after="0" w:line="240" w:lineRule="auto"/>
        <w:jc w:val="both"/>
        <w:rPr>
          <w:rFonts w:ascii="Times New Roman" w:hAnsi="Times New Roman"/>
          <w:lang w:val="es-ES"/>
        </w:rPr>
      </w:pPr>
      <w:r>
        <w:rPr>
          <w:rFonts w:ascii="Times New Roman" w:hAnsi="Times New Roman"/>
          <w:lang w:val="es-ES"/>
        </w:rPr>
        <w:t>Los desastres naturales y el cambio climático</w:t>
      </w:r>
    </w:p>
    <w:p w14:paraId="0A4CA250" w14:textId="332CCF8C" w:rsidR="0056311B" w:rsidRPr="00746A9E" w:rsidRDefault="00746A9E" w:rsidP="0056311B">
      <w:pPr>
        <w:spacing w:after="0" w:line="240" w:lineRule="auto"/>
        <w:jc w:val="both"/>
        <w:rPr>
          <w:rFonts w:ascii="Times New Roman" w:hAnsi="Times New Roman"/>
          <w:lang w:val="es-ES"/>
        </w:rPr>
      </w:pPr>
      <w:r>
        <w:rPr>
          <w:rFonts w:ascii="Times New Roman" w:hAnsi="Times New Roman"/>
          <w:lang w:val="es-ES"/>
        </w:rPr>
        <w:t>En años recientes, los países de la región han</w:t>
      </w:r>
      <w:r w:rsidR="006F6A0E">
        <w:rPr>
          <w:rFonts w:ascii="Times New Roman" w:hAnsi="Times New Roman"/>
          <w:lang w:val="es-ES"/>
        </w:rPr>
        <w:t xml:space="preserve"> sufrido</w:t>
      </w:r>
      <w:r>
        <w:rPr>
          <w:rFonts w:ascii="Times New Roman" w:hAnsi="Times New Roman"/>
          <w:lang w:val="es-ES"/>
        </w:rPr>
        <w:t xml:space="preserve"> cada vez más con mayor frecuencia e intensidad los impactos de desastres naturales y el cambio climático. </w:t>
      </w:r>
      <w:r w:rsidR="006F6A0E">
        <w:rPr>
          <w:rFonts w:ascii="Times New Roman" w:hAnsi="Times New Roman"/>
          <w:lang w:val="es-ES"/>
        </w:rPr>
        <w:t xml:space="preserve">Esto, se ha convertido en un factor de desplazamiento de </w:t>
      </w:r>
      <w:r>
        <w:rPr>
          <w:rFonts w:ascii="Times New Roman" w:hAnsi="Times New Roman"/>
          <w:lang w:val="es-ES"/>
        </w:rPr>
        <w:t>población a nivel interno</w:t>
      </w:r>
      <w:r w:rsidR="006F6A0E">
        <w:rPr>
          <w:rFonts w:ascii="Times New Roman" w:hAnsi="Times New Roman"/>
          <w:lang w:val="es-ES"/>
        </w:rPr>
        <w:t xml:space="preserve"> y hacia </w:t>
      </w:r>
      <w:r>
        <w:rPr>
          <w:rFonts w:ascii="Times New Roman" w:hAnsi="Times New Roman"/>
          <w:lang w:val="es-ES"/>
        </w:rPr>
        <w:t xml:space="preserve">otros países. </w:t>
      </w:r>
    </w:p>
    <w:p w14:paraId="07D7C413" w14:textId="3BC724CD" w:rsidR="00272B3F" w:rsidRPr="00F31D46" w:rsidRDefault="00272B3F" w:rsidP="00272B3F">
      <w:pPr>
        <w:spacing w:after="0" w:line="240" w:lineRule="auto"/>
        <w:jc w:val="both"/>
        <w:rPr>
          <w:rFonts w:ascii="Times New Roman" w:hAnsi="Times New Roman"/>
          <w:lang w:val="es-419"/>
        </w:rPr>
      </w:pPr>
    </w:p>
    <w:p w14:paraId="103C03FA" w14:textId="62478A20" w:rsidR="00BA3289" w:rsidRPr="00746A9E" w:rsidRDefault="00746A9E" w:rsidP="00746A9E">
      <w:pPr>
        <w:pStyle w:val="ListParagraph"/>
        <w:numPr>
          <w:ilvl w:val="0"/>
          <w:numId w:val="37"/>
        </w:numPr>
        <w:spacing w:after="0" w:line="240" w:lineRule="auto"/>
        <w:jc w:val="both"/>
        <w:rPr>
          <w:rFonts w:ascii="Times New Roman" w:hAnsi="Times New Roman"/>
          <w:lang w:val="es-ES"/>
        </w:rPr>
      </w:pPr>
      <w:r w:rsidRPr="00746A9E">
        <w:rPr>
          <w:rFonts w:ascii="Times New Roman" w:hAnsi="Times New Roman"/>
          <w:lang w:val="es-ES"/>
        </w:rPr>
        <w:t>Recolección y gestión de datos en materia migratoria</w:t>
      </w:r>
    </w:p>
    <w:p w14:paraId="697155E6" w14:textId="7FDAD351" w:rsidR="00BA3289" w:rsidRPr="00BA3289" w:rsidRDefault="00BA3289" w:rsidP="00BA3289">
      <w:pPr>
        <w:spacing w:after="0" w:line="240" w:lineRule="auto"/>
        <w:jc w:val="both"/>
        <w:rPr>
          <w:rFonts w:ascii="Times New Roman" w:hAnsi="Times New Roman"/>
          <w:lang w:val="es-ES"/>
        </w:rPr>
      </w:pPr>
      <w:r w:rsidRPr="00BA3289">
        <w:rPr>
          <w:rFonts w:ascii="Times New Roman" w:hAnsi="Times New Roman"/>
          <w:lang w:val="es-ES"/>
        </w:rPr>
        <w:t xml:space="preserve">En términos de datos migratorios, las principales fuentes nacionales y regionales, como los </w:t>
      </w:r>
      <w:r w:rsidR="0056311B">
        <w:rPr>
          <w:rFonts w:ascii="Times New Roman" w:hAnsi="Times New Roman"/>
          <w:lang w:val="es-ES"/>
        </w:rPr>
        <w:t xml:space="preserve">censos de población, los </w:t>
      </w:r>
      <w:r w:rsidRPr="00BA3289">
        <w:rPr>
          <w:rFonts w:ascii="Times New Roman" w:hAnsi="Times New Roman"/>
          <w:lang w:val="es-ES"/>
        </w:rPr>
        <w:t>Institutos Nacionales de Estadísticas (</w:t>
      </w:r>
      <w:proofErr w:type="spellStart"/>
      <w:r w:rsidRPr="00BA3289">
        <w:rPr>
          <w:rFonts w:ascii="Times New Roman" w:hAnsi="Times New Roman"/>
          <w:lang w:val="es-ES"/>
        </w:rPr>
        <w:t>INEs</w:t>
      </w:r>
      <w:proofErr w:type="spellEnd"/>
      <w:r w:rsidRPr="00BA3289">
        <w:rPr>
          <w:rFonts w:ascii="Times New Roman" w:hAnsi="Times New Roman"/>
          <w:lang w:val="es-ES"/>
        </w:rPr>
        <w:t>) de los países</w:t>
      </w:r>
      <w:r w:rsidR="0056311B">
        <w:rPr>
          <w:rFonts w:ascii="Times New Roman" w:hAnsi="Times New Roman"/>
          <w:lang w:val="es-ES"/>
        </w:rPr>
        <w:t>, las Instituciones de Migración</w:t>
      </w:r>
      <w:r w:rsidRPr="00BA3289">
        <w:rPr>
          <w:rFonts w:ascii="Times New Roman" w:hAnsi="Times New Roman"/>
          <w:lang w:val="es-ES"/>
        </w:rPr>
        <w:t xml:space="preserve"> y el Sistema Continuo de Reportes sobre Migración Internacional en las Américas (SICREMI)</w:t>
      </w:r>
      <w:r w:rsidR="0056311B">
        <w:rPr>
          <w:rFonts w:ascii="Times New Roman" w:hAnsi="Times New Roman"/>
          <w:lang w:val="es-ES"/>
        </w:rPr>
        <w:t xml:space="preserve"> de la OEA</w:t>
      </w:r>
      <w:r w:rsidRPr="00BA3289">
        <w:rPr>
          <w:rFonts w:ascii="Times New Roman" w:hAnsi="Times New Roman"/>
          <w:lang w:val="es-ES"/>
        </w:rPr>
        <w:t>, recopilan datos y analizan tendencias. Recientemente, la mayoría de los países en la región han invertido en la gestión de la migración, sentando las bases para obtener mejores datos migratorios.</w:t>
      </w:r>
      <w:r w:rsidR="0056311B" w:rsidRPr="0056311B">
        <w:rPr>
          <w:rFonts w:ascii="Times New Roman" w:hAnsi="Times New Roman"/>
          <w:i/>
          <w:iCs/>
          <w:lang w:val="es-ES"/>
        </w:rPr>
        <w:t xml:space="preserve"> </w:t>
      </w:r>
      <w:r w:rsidR="0056311B" w:rsidRPr="0056311B">
        <w:rPr>
          <w:rFonts w:ascii="Times New Roman" w:hAnsi="Times New Roman"/>
          <w:lang w:val="es-ES"/>
        </w:rPr>
        <w:t>L</w:t>
      </w:r>
      <w:r w:rsidR="0056311B" w:rsidRPr="00BA3289">
        <w:rPr>
          <w:rFonts w:ascii="Times New Roman" w:hAnsi="Times New Roman"/>
          <w:lang w:val="es-ES"/>
        </w:rPr>
        <w:t>a región</w:t>
      </w:r>
      <w:r w:rsidR="0056311B" w:rsidRPr="0056311B">
        <w:rPr>
          <w:rFonts w:ascii="Times New Roman" w:hAnsi="Times New Roman"/>
          <w:lang w:val="es-ES"/>
        </w:rPr>
        <w:t xml:space="preserve"> también</w:t>
      </w:r>
      <w:r w:rsidR="0056311B" w:rsidRPr="00BA3289">
        <w:rPr>
          <w:rFonts w:ascii="Times New Roman" w:hAnsi="Times New Roman"/>
          <w:lang w:val="es-ES"/>
        </w:rPr>
        <w:t xml:space="preserve"> cuenta con instituciones de investigación y academia que publican análisis y estudios de </w:t>
      </w:r>
      <w:r w:rsidR="006F6A0E">
        <w:rPr>
          <w:rFonts w:ascii="Times New Roman" w:hAnsi="Times New Roman"/>
          <w:lang w:val="es-ES"/>
        </w:rPr>
        <w:t>nuestras</w:t>
      </w:r>
      <w:r w:rsidR="0056311B" w:rsidRPr="00BA3289">
        <w:rPr>
          <w:rFonts w:ascii="Times New Roman" w:hAnsi="Times New Roman"/>
          <w:lang w:val="es-ES"/>
        </w:rPr>
        <w:t xml:space="preserve"> dinámicas migratorias</w:t>
      </w:r>
      <w:r w:rsidR="0056311B" w:rsidRPr="0056311B">
        <w:rPr>
          <w:rFonts w:ascii="Times New Roman" w:hAnsi="Times New Roman"/>
          <w:lang w:val="es-ES"/>
        </w:rPr>
        <w:t xml:space="preserve">. </w:t>
      </w:r>
    </w:p>
    <w:p w14:paraId="3BF94EB8" w14:textId="77777777" w:rsidR="00BA3289" w:rsidRPr="00BA3289" w:rsidRDefault="00BA3289" w:rsidP="00BA3289">
      <w:pPr>
        <w:spacing w:after="0" w:line="240" w:lineRule="auto"/>
        <w:jc w:val="both"/>
        <w:rPr>
          <w:rFonts w:ascii="Times New Roman" w:hAnsi="Times New Roman"/>
          <w:i/>
          <w:iCs/>
          <w:lang w:val="es-ES"/>
        </w:rPr>
      </w:pPr>
    </w:p>
    <w:p w14:paraId="146647B8" w14:textId="00B3BA51" w:rsidR="00664143" w:rsidRPr="00BF65CE" w:rsidRDefault="00746A9E" w:rsidP="00746A9E">
      <w:pPr>
        <w:spacing w:after="0" w:line="240" w:lineRule="auto"/>
        <w:jc w:val="both"/>
        <w:rPr>
          <w:rFonts w:ascii="Times New Roman" w:hAnsi="Times New Roman"/>
          <w:lang w:val="es-ES_tradnl"/>
        </w:rPr>
      </w:pPr>
      <w:r>
        <w:rPr>
          <w:rFonts w:ascii="Times New Roman" w:hAnsi="Times New Roman"/>
          <w:lang w:val="es-419"/>
        </w:rPr>
        <w:t>En lo que respecta a</w:t>
      </w:r>
      <w:r w:rsidR="00A20B1C" w:rsidRPr="00A20B1C">
        <w:rPr>
          <w:rFonts w:ascii="Times New Roman" w:hAnsi="Times New Roman"/>
          <w:lang w:val="es-ES_tradnl"/>
        </w:rPr>
        <w:t>l SICREMI</w:t>
      </w:r>
      <w:r w:rsidR="006F6A0E">
        <w:rPr>
          <w:rFonts w:ascii="Times New Roman" w:hAnsi="Times New Roman"/>
          <w:lang w:val="es-ES_tradnl"/>
        </w:rPr>
        <w:t>,</w:t>
      </w:r>
      <w:r>
        <w:rPr>
          <w:rFonts w:ascii="Times New Roman" w:hAnsi="Times New Roman"/>
          <w:lang w:val="es-ES_tradnl"/>
        </w:rPr>
        <w:t xml:space="preserve"> es importante destacar que </w:t>
      </w:r>
      <w:r w:rsidRPr="00A20B1C">
        <w:rPr>
          <w:rFonts w:ascii="Times New Roman" w:hAnsi="Times New Roman"/>
          <w:lang w:val="es-ES_tradnl"/>
        </w:rPr>
        <w:t xml:space="preserve">responde a un mandato de los </w:t>
      </w:r>
      <w:r w:rsidR="006F6A0E">
        <w:rPr>
          <w:rFonts w:ascii="Times New Roman" w:hAnsi="Times New Roman"/>
          <w:lang w:val="es-ES_tradnl"/>
        </w:rPr>
        <w:t>e</w:t>
      </w:r>
      <w:r w:rsidRPr="00A20B1C">
        <w:rPr>
          <w:rFonts w:ascii="Times New Roman" w:hAnsi="Times New Roman"/>
          <w:lang w:val="es-ES_tradnl"/>
        </w:rPr>
        <w:t>stados miembros de la OEA</w:t>
      </w:r>
      <w:r w:rsidR="006F6A0E">
        <w:rPr>
          <w:rFonts w:ascii="Times New Roman" w:hAnsi="Times New Roman"/>
          <w:lang w:val="es-ES_tradnl"/>
        </w:rPr>
        <w:t>,</w:t>
      </w:r>
      <w:r w:rsidRPr="00A20B1C">
        <w:rPr>
          <w:rFonts w:ascii="Times New Roman" w:hAnsi="Times New Roman"/>
          <w:lang w:val="es-ES_tradnl"/>
        </w:rPr>
        <w:t xml:space="preserve"> </w:t>
      </w:r>
      <w:r w:rsidR="006F6A0E">
        <w:rPr>
          <w:rFonts w:ascii="Times New Roman" w:hAnsi="Times New Roman"/>
          <w:lang w:val="es-ES_tradnl"/>
        </w:rPr>
        <w:t xml:space="preserve">cuyo </w:t>
      </w:r>
      <w:r w:rsidR="00A20B1C" w:rsidRPr="00A20B1C">
        <w:rPr>
          <w:rFonts w:ascii="Times New Roman" w:hAnsi="Times New Roman"/>
          <w:lang w:val="es-ES_tradnl"/>
        </w:rPr>
        <w:t xml:space="preserve">objetivo </w:t>
      </w:r>
      <w:r>
        <w:rPr>
          <w:rFonts w:ascii="Times New Roman" w:hAnsi="Times New Roman"/>
          <w:lang w:val="es-ES_tradnl"/>
        </w:rPr>
        <w:t>principal</w:t>
      </w:r>
      <w:r w:rsidR="00A20B1C" w:rsidRPr="00A20B1C">
        <w:rPr>
          <w:rFonts w:ascii="Times New Roman" w:hAnsi="Times New Roman"/>
          <w:lang w:val="es-ES_tradnl"/>
        </w:rPr>
        <w:t xml:space="preserve"> </w:t>
      </w:r>
      <w:r>
        <w:rPr>
          <w:rFonts w:ascii="Times New Roman" w:hAnsi="Times New Roman"/>
          <w:lang w:val="es-ES_tradnl"/>
        </w:rPr>
        <w:t>es</w:t>
      </w:r>
      <w:r w:rsidR="00A20B1C" w:rsidRPr="00A20B1C">
        <w:rPr>
          <w:rFonts w:ascii="Times New Roman" w:hAnsi="Times New Roman"/>
          <w:lang w:val="es-ES_tradnl"/>
        </w:rPr>
        <w:t xml:space="preserve"> generar y sistematizar datos precisos y confiables sobre migración internacional en la región para </w:t>
      </w:r>
      <w:r w:rsidR="006F6A0E">
        <w:rPr>
          <w:rFonts w:ascii="Times New Roman" w:hAnsi="Times New Roman"/>
          <w:lang w:val="es-ES_tradnl"/>
        </w:rPr>
        <w:t>servir como herramienta para e</w:t>
      </w:r>
      <w:r w:rsidR="00A20B1C" w:rsidRPr="00A20B1C">
        <w:rPr>
          <w:rFonts w:ascii="Times New Roman" w:hAnsi="Times New Roman"/>
          <w:lang w:val="es-ES_tradnl"/>
        </w:rPr>
        <w:t xml:space="preserve">l diseño e implementación de políticas en </w:t>
      </w:r>
      <w:r w:rsidR="006F6A0E">
        <w:rPr>
          <w:rFonts w:ascii="Times New Roman" w:hAnsi="Times New Roman"/>
          <w:lang w:val="es-ES_tradnl"/>
        </w:rPr>
        <w:t>la</w:t>
      </w:r>
      <w:r w:rsidR="00A20B1C" w:rsidRPr="00A20B1C">
        <w:rPr>
          <w:rFonts w:ascii="Times New Roman" w:hAnsi="Times New Roman"/>
          <w:lang w:val="es-ES_tradnl"/>
        </w:rPr>
        <w:t xml:space="preserve"> materia. Hasta</w:t>
      </w:r>
      <w:r>
        <w:rPr>
          <w:rFonts w:ascii="Times New Roman" w:hAnsi="Times New Roman"/>
          <w:lang w:val="es-ES_tradnl"/>
        </w:rPr>
        <w:t xml:space="preserve"> la fecha</w:t>
      </w:r>
      <w:r w:rsidR="006F6A0E">
        <w:rPr>
          <w:rFonts w:ascii="Times New Roman" w:hAnsi="Times New Roman"/>
          <w:lang w:val="es-ES_tradnl"/>
        </w:rPr>
        <w:t>,</w:t>
      </w:r>
      <w:r>
        <w:rPr>
          <w:rFonts w:ascii="Times New Roman" w:hAnsi="Times New Roman"/>
          <w:lang w:val="es-ES_tradnl"/>
        </w:rPr>
        <w:t xml:space="preserve"> se han publicado</w:t>
      </w:r>
      <w:r w:rsidR="00A20B1C" w:rsidRPr="00A20B1C">
        <w:rPr>
          <w:rFonts w:ascii="Times New Roman" w:hAnsi="Times New Roman"/>
          <w:lang w:val="es-ES_tradnl"/>
        </w:rPr>
        <w:t xml:space="preserve"> cuatro informes (2011, 2012, 2015 y 2017). La última edición del informe presentad</w:t>
      </w:r>
      <w:r w:rsidR="006F6A0E">
        <w:rPr>
          <w:rFonts w:ascii="Times New Roman" w:hAnsi="Times New Roman"/>
          <w:lang w:val="es-ES_tradnl"/>
        </w:rPr>
        <w:t>a</w:t>
      </w:r>
      <w:r w:rsidR="00A20B1C" w:rsidRPr="00A20B1C">
        <w:rPr>
          <w:rFonts w:ascii="Times New Roman" w:hAnsi="Times New Roman"/>
          <w:lang w:val="es-ES_tradnl"/>
        </w:rPr>
        <w:t xml:space="preserve"> en diciembre de </w:t>
      </w:r>
      <w:r w:rsidR="007F1EAA" w:rsidRPr="00A20B1C">
        <w:rPr>
          <w:rFonts w:ascii="Times New Roman" w:hAnsi="Times New Roman"/>
          <w:lang w:val="es-ES_tradnl"/>
        </w:rPr>
        <w:t>2017</w:t>
      </w:r>
      <w:r w:rsidR="00A20B1C" w:rsidRPr="00A20B1C">
        <w:rPr>
          <w:rFonts w:ascii="Times New Roman" w:hAnsi="Times New Roman"/>
          <w:lang w:val="es-ES_tradnl"/>
        </w:rPr>
        <w:t xml:space="preserve"> recabó información hasta el año 2015. </w:t>
      </w:r>
      <w:r>
        <w:rPr>
          <w:rFonts w:ascii="Times New Roman" w:hAnsi="Times New Roman"/>
          <w:lang w:val="es-ES_tradnl"/>
        </w:rPr>
        <w:t>Desafortuna</w:t>
      </w:r>
      <w:r w:rsidR="006F6A0E">
        <w:rPr>
          <w:rFonts w:ascii="Times New Roman" w:hAnsi="Times New Roman"/>
          <w:lang w:val="es-ES_tradnl"/>
        </w:rPr>
        <w:t>da</w:t>
      </w:r>
      <w:r>
        <w:rPr>
          <w:rFonts w:ascii="Times New Roman" w:hAnsi="Times New Roman"/>
          <w:lang w:val="es-ES_tradnl"/>
        </w:rPr>
        <w:t>mente, como consecuencia de la falta de recursos financieros no se ha podido continuar con la elaboración de los informes del SICREMI</w:t>
      </w:r>
      <w:r w:rsidR="006F6A0E">
        <w:rPr>
          <w:rFonts w:ascii="Times New Roman" w:hAnsi="Times New Roman"/>
          <w:lang w:val="es-ES_tradnl"/>
        </w:rPr>
        <w:t xml:space="preserve"> desde esa fecha, Por ello, urge contar con financiamiento para continuar con su adecuada implementación. </w:t>
      </w:r>
    </w:p>
    <w:p w14:paraId="22DE61B3" w14:textId="5D2C0A21" w:rsidR="00A74A27" w:rsidRPr="0064043D" w:rsidRDefault="00A74A27" w:rsidP="00825D4F">
      <w:pPr>
        <w:spacing w:after="0" w:line="240" w:lineRule="auto"/>
        <w:jc w:val="both"/>
        <w:rPr>
          <w:rFonts w:ascii="Times New Roman" w:hAnsi="Times New Roman"/>
          <w:u w:val="single"/>
        </w:rPr>
      </w:pPr>
    </w:p>
    <w:p w14:paraId="0D588912" w14:textId="5A257711" w:rsidR="00477535" w:rsidRPr="00F90BE2" w:rsidRDefault="00562781" w:rsidP="00825D4F">
      <w:pPr>
        <w:spacing w:after="0" w:line="240" w:lineRule="auto"/>
        <w:jc w:val="both"/>
        <w:rPr>
          <w:rFonts w:ascii="Times New Roman" w:hAnsi="Times New Roman"/>
          <w:lang w:val="es-ES"/>
        </w:rPr>
      </w:pPr>
      <w:r w:rsidRPr="0064043D">
        <w:rPr>
          <w:rFonts w:ascii="Times New Roman" w:hAnsi="Times New Roman"/>
          <w:lang w:val="es-ES"/>
        </w:rPr>
        <w:tab/>
      </w:r>
      <w:r w:rsidR="00707BD1" w:rsidRPr="0064043D">
        <w:rPr>
          <w:rFonts w:ascii="Times New Roman" w:hAnsi="Times New Roman"/>
          <w:lang w:val="es-ES"/>
        </w:rPr>
        <w:t>Luego de las exposiciones de los especialistas invitados, s</w:t>
      </w:r>
      <w:r w:rsidRPr="0064043D">
        <w:rPr>
          <w:rFonts w:ascii="Times New Roman" w:hAnsi="Times New Roman"/>
          <w:lang w:val="es-ES"/>
        </w:rPr>
        <w:t>e abrirá espacio para interven</w:t>
      </w:r>
      <w:r w:rsidR="009E260F" w:rsidRPr="0064043D">
        <w:rPr>
          <w:rFonts w:ascii="Times New Roman" w:hAnsi="Times New Roman"/>
          <w:lang w:val="es-ES"/>
        </w:rPr>
        <w:t xml:space="preserve">ciones de los Estados </w:t>
      </w:r>
      <w:r w:rsidR="006B0005">
        <w:rPr>
          <w:rFonts w:ascii="Times New Roman" w:hAnsi="Times New Roman"/>
          <w:lang w:val="es-ES"/>
        </w:rPr>
        <w:t>M</w:t>
      </w:r>
      <w:r w:rsidR="009E260F" w:rsidRPr="0064043D">
        <w:rPr>
          <w:rFonts w:ascii="Times New Roman" w:hAnsi="Times New Roman"/>
          <w:lang w:val="es-ES"/>
        </w:rPr>
        <w:t>iembros re</w:t>
      </w:r>
      <w:r w:rsidR="00334203" w:rsidRPr="0064043D">
        <w:rPr>
          <w:rFonts w:ascii="Times New Roman" w:hAnsi="Times New Roman"/>
          <w:lang w:val="es-ES"/>
        </w:rPr>
        <w:t>ferentes a los temas anteriormente mencionados</w:t>
      </w:r>
      <w:r w:rsidR="009E260F" w:rsidRPr="0064043D">
        <w:rPr>
          <w:rFonts w:ascii="Times New Roman" w:hAnsi="Times New Roman"/>
          <w:lang w:val="es-ES"/>
        </w:rPr>
        <w:t>.</w:t>
      </w:r>
      <w:r w:rsidR="00E70229" w:rsidRPr="0064043D">
        <w:rPr>
          <w:rFonts w:ascii="Times New Roman" w:hAnsi="Times New Roman"/>
          <w:lang w:val="es-ES"/>
        </w:rPr>
        <w:t xml:space="preserve"> Se solicita especialmente que los Estados </w:t>
      </w:r>
      <w:r w:rsidR="006F6A0E">
        <w:rPr>
          <w:rFonts w:ascii="Times New Roman" w:hAnsi="Times New Roman"/>
          <w:lang w:val="es-ES"/>
        </w:rPr>
        <w:t>tengan a bien compartir las</w:t>
      </w:r>
      <w:r w:rsidR="00A74A27" w:rsidRPr="0064043D">
        <w:rPr>
          <w:rFonts w:ascii="Times New Roman" w:hAnsi="Times New Roman"/>
          <w:lang w:val="es-ES"/>
        </w:rPr>
        <w:t xml:space="preserve"> buenas</w:t>
      </w:r>
      <w:r w:rsidR="00E70229" w:rsidRPr="0064043D">
        <w:rPr>
          <w:rFonts w:ascii="Times New Roman" w:hAnsi="Times New Roman"/>
          <w:lang w:val="es-ES"/>
        </w:rPr>
        <w:t xml:space="preserve"> prácticas</w:t>
      </w:r>
      <w:r w:rsidR="00746A9E">
        <w:rPr>
          <w:rFonts w:ascii="Times New Roman" w:hAnsi="Times New Roman"/>
          <w:lang w:val="es-ES"/>
        </w:rPr>
        <w:t xml:space="preserve"> que vienen implementando a nivel nacional y regional</w:t>
      </w:r>
      <w:r w:rsidR="006F6A0E">
        <w:rPr>
          <w:rFonts w:ascii="Times New Roman" w:hAnsi="Times New Roman"/>
          <w:lang w:val="es-ES"/>
        </w:rPr>
        <w:t>,</w:t>
      </w:r>
      <w:r w:rsidR="00E70229" w:rsidRPr="0064043D">
        <w:rPr>
          <w:rFonts w:ascii="Times New Roman" w:hAnsi="Times New Roman"/>
          <w:lang w:val="es-ES"/>
        </w:rPr>
        <w:t xml:space="preserve"> respecto a </w:t>
      </w:r>
      <w:r w:rsidR="00746A9E">
        <w:rPr>
          <w:rFonts w:ascii="Times New Roman" w:hAnsi="Times New Roman"/>
          <w:lang w:val="es-ES"/>
        </w:rPr>
        <w:t xml:space="preserve">la temática de la </w:t>
      </w:r>
      <w:r w:rsidR="006F6A0E">
        <w:rPr>
          <w:rFonts w:ascii="Times New Roman" w:hAnsi="Times New Roman"/>
          <w:lang w:val="es-ES"/>
        </w:rPr>
        <w:t xml:space="preserve">presente </w:t>
      </w:r>
      <w:r w:rsidR="00746A9E">
        <w:rPr>
          <w:rFonts w:ascii="Times New Roman" w:hAnsi="Times New Roman"/>
          <w:lang w:val="es-ES"/>
        </w:rPr>
        <w:t>sesión</w:t>
      </w:r>
      <w:r w:rsidR="00E70229" w:rsidRPr="0064043D">
        <w:rPr>
          <w:rFonts w:ascii="Times New Roman" w:hAnsi="Times New Roman"/>
          <w:lang w:val="es-ES"/>
        </w:rPr>
        <w:t>.</w:t>
      </w:r>
      <w:r w:rsidR="00A504FE" w:rsidRPr="0064043D">
        <w:rPr>
          <w:rFonts w:ascii="Times New Roman" w:hAnsi="Times New Roman"/>
          <w:noProof/>
          <w:lang w:val="en-US"/>
        </w:rPr>
        <mc:AlternateContent>
          <mc:Choice Requires="wps">
            <w:drawing>
              <wp:anchor distT="0" distB="0" distL="114300" distR="114300" simplePos="0" relativeHeight="251659264" behindDoc="0" locked="1" layoutInCell="1" allowOverlap="1" wp14:anchorId="2B176F9A" wp14:editId="75251039">
                <wp:simplePos x="0" y="0"/>
                <wp:positionH relativeFrom="column">
                  <wp:posOffset>-88265</wp:posOffset>
                </wp:positionH>
                <wp:positionV relativeFrom="page">
                  <wp:posOffset>9372600</wp:posOffset>
                </wp:positionV>
                <wp:extent cx="3383280" cy="2571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57175"/>
                        </a:xfrm>
                        <a:prstGeom prst="rect">
                          <a:avLst/>
                        </a:prstGeom>
                        <a:noFill/>
                        <a:ln w="9525" cap="flat" cmpd="sng" algn="ctr">
                          <a:noFill/>
                          <a:prstDash val="solid"/>
                          <a:round/>
                          <a:headEnd type="none" w="med" len="med"/>
                          <a:tailEnd type="none" w="med" len="med"/>
                        </a:ln>
                      </wps:spPr>
                      <wps:txbx>
                        <w:txbxContent>
                          <w:p w14:paraId="5C3CAC27" w14:textId="70EB2A72" w:rsidR="00A504FE" w:rsidRPr="00A504FE" w:rsidRDefault="00A504FE">
                            <w:pPr>
                              <w:rPr>
                                <w:rFonts w:ascii="Times New Roman" w:hAnsi="Times New Roman"/>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176F9A" id="_x0000_t202" coordsize="21600,21600" o:spt="202" path="m,l,21600r21600,l21600,xe">
                <v:stroke joinstyle="miter"/>
                <v:path gradientshapeok="t" o:connecttype="rect"/>
              </v:shapetype>
              <v:shape id="Text Box 1" o:spid="_x0000_s1026" type="#_x0000_t202" style="position:absolute;left:0;text-align:left;margin-left:-6.95pt;margin-top:738pt;width:266.4pt;height:20.25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" filled="f" stroked="f">
                <v:stroke joinstyle="round"/>
                <v:textbox>
                  <w:txbxContent>
                    <w:p w14:paraId="5C3CAC27" w14:textId="70EB2A72" w:rsidR="00A504FE" w:rsidRPr="00A504FE" w:rsidRDefault="00A504FE">
                      <w:pPr>
                        <w:rPr>
                          <w:rFonts w:ascii="Times New Roman" w:hAnsi="Times New Roman"/>
                          <w:sz w:val="18"/>
                        </w:rPr>
                      </w:pPr>
                    </w:p>
                  </w:txbxContent>
                </v:textbox>
                <w10:wrap anchory="page"/>
                <w10:anchorlock/>
              </v:shape>
            </w:pict>
          </mc:Fallback>
        </mc:AlternateContent>
      </w:r>
      <w:r w:rsidR="007F1EAA">
        <w:rPr>
          <w:rFonts w:ascii="Times New Roman" w:hAnsi="Times New Roman"/>
          <w:noProof/>
          <w:lang w:val="es-ES"/>
        </w:rPr>
        <mc:AlternateContent>
          <mc:Choice Requires="wps">
            <w:drawing>
              <wp:anchor distT="0" distB="0" distL="114300" distR="114300" simplePos="0" relativeHeight="251660288" behindDoc="0" locked="1" layoutInCell="1" allowOverlap="1" wp14:anchorId="6A55BCD0" wp14:editId="06CDD1A2">
                <wp:simplePos x="0" y="0"/>
                <wp:positionH relativeFrom="column">
                  <wp:posOffset>-91440</wp:posOffset>
                </wp:positionH>
                <wp:positionV relativeFrom="page">
                  <wp:posOffset>9144000</wp:posOffset>
                </wp:positionV>
                <wp:extent cx="338328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7D88BBE7" w14:textId="27857AF4" w:rsidR="007F1EAA" w:rsidRPr="007F1EAA" w:rsidRDefault="007F1EAA">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CIDRP03469S01</w:t>
                            </w:r>
                            <w:r>
                              <w:rPr>
                                <w:rFonts w:ascii="Times New Roman" w:hAnsi="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55BCD0" id="Text Box 2" o:spid="_x0000_s1027" type="#_x0000_t202" style="position:absolute;left:0;text-align:left;margin-left:-7.2pt;margin-top:10in;width:266.4pt;height:18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" filled="f" stroked="f">
                <v:stroke joinstyle="round"/>
                <v:textbox>
                  <w:txbxContent>
                    <w:p w14:paraId="7D88BBE7" w14:textId="27857AF4" w:rsidR="007F1EAA" w:rsidRPr="007F1EAA" w:rsidRDefault="007F1EAA">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CIDRP03469S01</w:t>
                      </w:r>
                      <w:r>
                        <w:rPr>
                          <w:rFonts w:ascii="Times New Roman" w:hAnsi="Times New Roman"/>
                          <w:sz w:val="18"/>
                        </w:rPr>
                        <w:fldChar w:fldCharType="end"/>
                      </w:r>
                    </w:p>
                  </w:txbxContent>
                </v:textbox>
                <w10:wrap anchory="page"/>
                <w10:anchorlock/>
              </v:shape>
            </w:pict>
          </mc:Fallback>
        </mc:AlternateContent>
      </w:r>
    </w:p>
    <w:sectPr w:rsidR="00477535" w:rsidRPr="00F90BE2" w:rsidSect="0064043D">
      <w:headerReference w:type="default" r:id="rId8"/>
      <w:pgSz w:w="12240" w:h="15840"/>
      <w:pgMar w:top="2160" w:right="1570" w:bottom="1296" w:left="1699"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81DF0" w14:textId="77777777" w:rsidR="00B10BE9" w:rsidRDefault="00B10BE9" w:rsidP="004E14E8">
      <w:pPr>
        <w:spacing w:after="0" w:line="240" w:lineRule="auto"/>
      </w:pPr>
      <w:r>
        <w:separator/>
      </w:r>
    </w:p>
  </w:endnote>
  <w:endnote w:type="continuationSeparator" w:id="0">
    <w:p w14:paraId="19F04062" w14:textId="77777777" w:rsidR="00B10BE9" w:rsidRDefault="00B10BE9" w:rsidP="004E1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25B31" w14:textId="77777777" w:rsidR="00B10BE9" w:rsidRDefault="00B10BE9" w:rsidP="004E14E8">
      <w:pPr>
        <w:spacing w:after="0" w:line="240" w:lineRule="auto"/>
      </w:pPr>
      <w:r>
        <w:separator/>
      </w:r>
    </w:p>
  </w:footnote>
  <w:footnote w:type="continuationSeparator" w:id="0">
    <w:p w14:paraId="5124E46B" w14:textId="77777777" w:rsidR="00B10BE9" w:rsidRDefault="00B10BE9" w:rsidP="004E14E8">
      <w:pPr>
        <w:spacing w:after="0" w:line="240" w:lineRule="auto"/>
      </w:pPr>
      <w:r>
        <w:continuationSeparator/>
      </w:r>
    </w:p>
  </w:footnote>
  <w:footnote w:id="1">
    <w:p w14:paraId="2342EB3E" w14:textId="77777777" w:rsidR="00272B3F" w:rsidRPr="005F44D6" w:rsidRDefault="00272B3F" w:rsidP="00F90BE2">
      <w:pPr>
        <w:spacing w:after="0" w:line="240" w:lineRule="auto"/>
        <w:jc w:val="both"/>
        <w:rPr>
          <w:sz w:val="18"/>
          <w:szCs w:val="18"/>
          <w:lang w:val="fr-CA"/>
        </w:rPr>
      </w:pPr>
      <w:r w:rsidRPr="00F90BE2">
        <w:rPr>
          <w:sz w:val="18"/>
          <w:szCs w:val="18"/>
          <w:vertAlign w:val="superscript"/>
        </w:rPr>
        <w:footnoteRef/>
      </w:r>
      <w:r w:rsidRPr="005F44D6">
        <w:rPr>
          <w:sz w:val="18"/>
          <w:szCs w:val="18"/>
          <w:lang w:val="fr-CA"/>
        </w:rPr>
        <w:t xml:space="preserve"> OIM, </w:t>
      </w:r>
      <w:hyperlink r:id="rId1" w:history="1">
        <w:r w:rsidRPr="005F44D6">
          <w:rPr>
            <w:rStyle w:val="Hyperlink"/>
            <w:color w:val="1155CC"/>
            <w:sz w:val="18"/>
            <w:szCs w:val="18"/>
            <w:lang w:val="fr-CA"/>
          </w:rPr>
          <w:t>World Migration Report</w:t>
        </w:r>
      </w:hyperlink>
      <w:r w:rsidRPr="005F44D6">
        <w:rPr>
          <w:sz w:val="18"/>
          <w:szCs w:val="18"/>
          <w:lang w:val="fr-CA"/>
        </w:rPr>
        <w:t>, 1 de diciembre de 2021.</w:t>
      </w:r>
    </w:p>
  </w:footnote>
  <w:footnote w:id="2">
    <w:p w14:paraId="2F484646" w14:textId="6C622C37" w:rsidR="00F31D46" w:rsidRPr="00F90BE2" w:rsidRDefault="00F31D46" w:rsidP="00F90BE2">
      <w:pPr>
        <w:pStyle w:val="FootnoteText"/>
        <w:spacing w:after="0" w:line="240" w:lineRule="auto"/>
        <w:jc w:val="both"/>
        <w:rPr>
          <w:sz w:val="18"/>
          <w:szCs w:val="18"/>
          <w:lang w:val="es-ES"/>
        </w:rPr>
      </w:pPr>
      <w:r w:rsidRPr="00F90BE2">
        <w:rPr>
          <w:rStyle w:val="FootnoteReference"/>
          <w:sz w:val="18"/>
          <w:szCs w:val="18"/>
        </w:rPr>
        <w:footnoteRef/>
      </w:r>
      <w:r w:rsidRPr="00F90BE2">
        <w:rPr>
          <w:sz w:val="18"/>
          <w:szCs w:val="18"/>
        </w:rPr>
        <w:t xml:space="preserve"> </w:t>
      </w:r>
      <w:r w:rsidRPr="00F90BE2">
        <w:rPr>
          <w:sz w:val="18"/>
          <w:szCs w:val="18"/>
          <w:lang w:val="es-ES"/>
        </w:rPr>
        <w:t>Para la presente nota conceptual se utilizan las categorizaciones de regiones del Centro de Análisis de Datos Mundiales sobre la Migración de la Organización Internacional para las Migraciones (OIM), las cuales para el caso de América del Norte sólo incluyen a Estados Unidos y Canadá.</w:t>
      </w:r>
    </w:p>
  </w:footnote>
  <w:footnote w:id="3">
    <w:p w14:paraId="4B54AF6D" w14:textId="066C1AFC" w:rsidR="005B2DE6" w:rsidRPr="00F90BE2" w:rsidRDefault="005B2DE6" w:rsidP="00F90BE2">
      <w:pPr>
        <w:pStyle w:val="FootnoteText"/>
        <w:spacing w:after="0" w:line="240" w:lineRule="auto"/>
        <w:jc w:val="both"/>
        <w:rPr>
          <w:sz w:val="18"/>
          <w:szCs w:val="18"/>
        </w:rPr>
      </w:pPr>
      <w:r w:rsidRPr="00F90BE2">
        <w:rPr>
          <w:rStyle w:val="FootnoteReference"/>
          <w:sz w:val="18"/>
          <w:szCs w:val="18"/>
        </w:rPr>
        <w:footnoteRef/>
      </w:r>
      <w:r w:rsidRPr="00F90BE2">
        <w:rPr>
          <w:sz w:val="18"/>
          <w:szCs w:val="18"/>
        </w:rPr>
        <w:t xml:space="preserve"> ONU DAES, 2020.</w:t>
      </w:r>
    </w:p>
  </w:footnote>
  <w:footnote w:id="4">
    <w:p w14:paraId="76880261" w14:textId="77EE755B" w:rsidR="008B629D" w:rsidRPr="00F90BE2" w:rsidRDefault="008B629D" w:rsidP="00F90BE2">
      <w:pPr>
        <w:pStyle w:val="FootnoteText"/>
        <w:spacing w:after="0" w:line="240" w:lineRule="auto"/>
        <w:jc w:val="both"/>
        <w:rPr>
          <w:sz w:val="18"/>
          <w:szCs w:val="18"/>
        </w:rPr>
      </w:pPr>
      <w:r w:rsidRPr="00F90BE2">
        <w:rPr>
          <w:rStyle w:val="FootnoteReference"/>
          <w:sz w:val="18"/>
          <w:szCs w:val="18"/>
        </w:rPr>
        <w:footnoteRef/>
      </w:r>
      <w:r w:rsidRPr="00F90BE2">
        <w:rPr>
          <w:sz w:val="18"/>
          <w:szCs w:val="18"/>
        </w:rPr>
        <w:t xml:space="preserve"> OIM, 2018. </w:t>
      </w:r>
    </w:p>
  </w:footnote>
  <w:footnote w:id="5">
    <w:p w14:paraId="6F9B2838" w14:textId="77777777" w:rsidR="0056311B" w:rsidRPr="00F90BE2" w:rsidRDefault="0056311B" w:rsidP="00F90BE2">
      <w:pPr>
        <w:spacing w:after="0" w:line="240" w:lineRule="auto"/>
        <w:jc w:val="both"/>
        <w:rPr>
          <w:sz w:val="18"/>
          <w:szCs w:val="18"/>
          <w:lang w:val="es-ES"/>
        </w:rPr>
      </w:pPr>
      <w:r w:rsidRPr="00F90BE2">
        <w:rPr>
          <w:sz w:val="18"/>
          <w:szCs w:val="18"/>
          <w:vertAlign w:val="superscript"/>
        </w:rPr>
        <w:footnoteRef/>
      </w:r>
      <w:r w:rsidRPr="00F90BE2">
        <w:rPr>
          <w:sz w:val="18"/>
          <w:szCs w:val="18"/>
        </w:rPr>
        <w:t xml:space="preserve"> OIM, Grandes movimientos de migrantes altamente vulnerables en las Américas provenientes del Caribe, </w:t>
      </w:r>
      <w:proofErr w:type="spellStart"/>
      <w:r w:rsidRPr="00F90BE2">
        <w:rPr>
          <w:sz w:val="18"/>
          <w:szCs w:val="18"/>
        </w:rPr>
        <w:t>Latinoamerica</w:t>
      </w:r>
      <w:proofErr w:type="spellEnd"/>
      <w:r w:rsidRPr="00F90BE2">
        <w:rPr>
          <w:sz w:val="18"/>
          <w:szCs w:val="18"/>
        </w:rPr>
        <w:t xml:space="preserve"> y otras regiones. </w:t>
      </w:r>
      <w:r w:rsidRPr="00F90BE2">
        <w:rPr>
          <w:sz w:val="18"/>
          <w:szCs w:val="18"/>
          <w:lang w:val="es-ES"/>
        </w:rPr>
        <w:t>Destinos en tránsito. octubre de 2021</w:t>
      </w:r>
    </w:p>
  </w:footnote>
  <w:footnote w:id="6">
    <w:p w14:paraId="49F742F1" w14:textId="77777777" w:rsidR="0056311B" w:rsidRPr="00F90BE2" w:rsidRDefault="0056311B" w:rsidP="00F90BE2">
      <w:pPr>
        <w:spacing w:after="0" w:line="240" w:lineRule="auto"/>
        <w:jc w:val="both"/>
        <w:rPr>
          <w:sz w:val="18"/>
          <w:szCs w:val="18"/>
        </w:rPr>
      </w:pPr>
      <w:r w:rsidRPr="00F90BE2">
        <w:rPr>
          <w:sz w:val="18"/>
          <w:szCs w:val="18"/>
          <w:vertAlign w:val="superscript"/>
        </w:rPr>
        <w:footnoteRef/>
      </w:r>
      <w:r w:rsidRPr="00F90BE2">
        <w:rPr>
          <w:sz w:val="18"/>
          <w:szCs w:val="18"/>
        </w:rPr>
        <w:t xml:space="preserve"> Noticias ONU, </w:t>
      </w:r>
      <w:hyperlink r:id="rId2" w:anchor=":~:text=Hasta%20el%20mes%20de%20noviembre,cuanto%20al%20n%C3%BAmero%20de%20desplazados" w:history="1">
        <w:r w:rsidRPr="00F90BE2">
          <w:rPr>
            <w:rStyle w:val="Hyperlink"/>
            <w:color w:val="1155CC"/>
            <w:sz w:val="18"/>
            <w:szCs w:val="18"/>
          </w:rPr>
          <w:t>Migración en 2021: Aumenta el número de refugiados y migrantes pese a las restricciones de viaje</w:t>
        </w:r>
      </w:hyperlink>
      <w:r w:rsidRPr="00F90BE2">
        <w:rPr>
          <w:sz w:val="18"/>
          <w:szCs w:val="18"/>
        </w:rPr>
        <w:t>, 28 de diciembre de 2021.</w:t>
      </w:r>
    </w:p>
  </w:footnote>
  <w:footnote w:id="7">
    <w:p w14:paraId="2DCFF4C3" w14:textId="77777777" w:rsidR="0056311B" w:rsidRPr="00F90BE2" w:rsidRDefault="0056311B" w:rsidP="00F90BE2">
      <w:pPr>
        <w:spacing w:after="0" w:line="240" w:lineRule="auto"/>
        <w:jc w:val="both"/>
        <w:rPr>
          <w:sz w:val="18"/>
          <w:szCs w:val="18"/>
        </w:rPr>
      </w:pPr>
      <w:r w:rsidRPr="00F90BE2">
        <w:rPr>
          <w:sz w:val="18"/>
          <w:szCs w:val="18"/>
          <w:vertAlign w:val="superscript"/>
        </w:rPr>
        <w:footnoteRef/>
      </w:r>
      <w:r w:rsidRPr="00F90BE2">
        <w:rPr>
          <w:sz w:val="18"/>
          <w:szCs w:val="18"/>
        </w:rPr>
        <w:t xml:space="preserve"> ACNUR, </w:t>
      </w:r>
      <w:hyperlink r:id="rId3" w:history="1">
        <w:r w:rsidRPr="00F90BE2">
          <w:rPr>
            <w:rStyle w:val="Hyperlink"/>
            <w:color w:val="1155CC"/>
            <w:sz w:val="18"/>
            <w:szCs w:val="18"/>
          </w:rPr>
          <w:t>Informe Tendencias Globales del Desplazamiento Forzado</w:t>
        </w:r>
      </w:hyperlink>
      <w:r w:rsidRPr="00F90BE2">
        <w:rPr>
          <w:sz w:val="18"/>
          <w:szCs w:val="18"/>
        </w:rPr>
        <w:t>, junio de 2021.</w:t>
      </w:r>
    </w:p>
  </w:footnote>
  <w:footnote w:id="8">
    <w:p w14:paraId="1DEDB52F" w14:textId="77777777" w:rsidR="0056311B" w:rsidRPr="00F90BE2" w:rsidRDefault="0056311B" w:rsidP="00F90BE2">
      <w:pPr>
        <w:spacing w:after="0" w:line="240" w:lineRule="auto"/>
        <w:jc w:val="both"/>
        <w:rPr>
          <w:sz w:val="18"/>
          <w:szCs w:val="18"/>
        </w:rPr>
      </w:pPr>
      <w:r w:rsidRPr="00F90BE2">
        <w:rPr>
          <w:sz w:val="18"/>
          <w:szCs w:val="18"/>
          <w:vertAlign w:val="superscript"/>
        </w:rPr>
        <w:footnoteRef/>
      </w:r>
      <w:r w:rsidRPr="00F90BE2">
        <w:rPr>
          <w:sz w:val="18"/>
          <w:szCs w:val="18"/>
        </w:rPr>
        <w:t xml:space="preserve"> ACNUR &amp; OIM, </w:t>
      </w:r>
      <w:hyperlink r:id="rId4" w:history="1">
        <w:r w:rsidRPr="00F90BE2">
          <w:rPr>
            <w:rStyle w:val="Hyperlink"/>
            <w:color w:val="1155CC"/>
            <w:sz w:val="18"/>
            <w:szCs w:val="18"/>
          </w:rPr>
          <w:t xml:space="preserve">Plataforma de Coordinación </w:t>
        </w:r>
        <w:proofErr w:type="spellStart"/>
        <w:r w:rsidRPr="00F90BE2">
          <w:rPr>
            <w:rStyle w:val="Hyperlink"/>
            <w:color w:val="1155CC"/>
            <w:sz w:val="18"/>
            <w:szCs w:val="18"/>
          </w:rPr>
          <w:t>Interagencial</w:t>
        </w:r>
        <w:proofErr w:type="spellEnd"/>
        <w:r w:rsidRPr="00F90BE2">
          <w:rPr>
            <w:rStyle w:val="Hyperlink"/>
            <w:color w:val="1155CC"/>
            <w:sz w:val="18"/>
            <w:szCs w:val="18"/>
          </w:rPr>
          <w:t xml:space="preserve"> para Refugiados y Migrantes de Venezuela</w:t>
        </w:r>
      </w:hyperlink>
      <w:r w:rsidRPr="00F90BE2">
        <w:rPr>
          <w:sz w:val="18"/>
          <w:szCs w:val="18"/>
        </w:rPr>
        <w:t>, febrero de 2022.</w:t>
      </w:r>
    </w:p>
  </w:footnote>
  <w:footnote w:id="9">
    <w:p w14:paraId="434C8578" w14:textId="77777777" w:rsidR="0056311B" w:rsidRDefault="0056311B" w:rsidP="00F90BE2">
      <w:pPr>
        <w:spacing w:after="0" w:line="240" w:lineRule="auto"/>
        <w:jc w:val="both"/>
        <w:rPr>
          <w:sz w:val="20"/>
          <w:szCs w:val="20"/>
        </w:rPr>
      </w:pPr>
      <w:r w:rsidRPr="00F90BE2">
        <w:rPr>
          <w:sz w:val="18"/>
          <w:szCs w:val="18"/>
          <w:vertAlign w:val="superscript"/>
        </w:rPr>
        <w:footnoteRef/>
      </w:r>
      <w:r w:rsidRPr="00F90BE2">
        <w:rPr>
          <w:sz w:val="18"/>
          <w:szCs w:val="18"/>
        </w:rPr>
        <w:t xml:space="preserve"> MIRPS, </w:t>
      </w:r>
      <w:hyperlink r:id="rId5" w:history="1">
        <w:r w:rsidRPr="00F90BE2">
          <w:rPr>
            <w:rStyle w:val="Hyperlink"/>
            <w:color w:val="1155CC"/>
            <w:sz w:val="18"/>
            <w:szCs w:val="18"/>
          </w:rPr>
          <w:t>Informe Anual 2021</w:t>
        </w:r>
      </w:hyperlink>
      <w:r w:rsidRPr="00F90BE2">
        <w:rPr>
          <w:sz w:val="18"/>
          <w:szCs w:val="18"/>
        </w:rPr>
        <w:t>, diciembre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903853"/>
      <w:docPartObj>
        <w:docPartGallery w:val="Page Numbers (Top of Page)"/>
        <w:docPartUnique/>
      </w:docPartObj>
    </w:sdtPr>
    <w:sdtEndPr>
      <w:rPr>
        <w:noProof/>
      </w:rPr>
    </w:sdtEndPr>
    <w:sdtContent>
      <w:p w14:paraId="7C529957" w14:textId="0B942EDC" w:rsidR="00A74A27" w:rsidRDefault="00A74A27">
        <w:pPr>
          <w:pStyle w:val="Header"/>
          <w:jc w:val="center"/>
        </w:pPr>
        <w:r>
          <w:fldChar w:fldCharType="begin"/>
        </w:r>
        <w:r>
          <w:instrText xml:space="preserve"> PAGE   \* MERGEFORMAT </w:instrText>
        </w:r>
        <w:r>
          <w:fldChar w:fldCharType="separate"/>
        </w:r>
        <w:r w:rsidR="006A41F2">
          <w:rPr>
            <w:noProof/>
          </w:rPr>
          <w:t>- 3 -</w:t>
        </w:r>
        <w:r>
          <w:rPr>
            <w:noProof/>
          </w:rPr>
          <w:fldChar w:fldCharType="end"/>
        </w:r>
      </w:p>
    </w:sdtContent>
  </w:sdt>
  <w:p w14:paraId="07D1A45B" w14:textId="77777777" w:rsidR="00A74A27" w:rsidRDefault="00A74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069"/>
    <w:multiLevelType w:val="hybridMultilevel"/>
    <w:tmpl w:val="48B473B4"/>
    <w:lvl w:ilvl="0" w:tplc="6B4E1D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824FC2"/>
    <w:multiLevelType w:val="hybridMultilevel"/>
    <w:tmpl w:val="8A72D3A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CC628B8"/>
    <w:multiLevelType w:val="hybridMultilevel"/>
    <w:tmpl w:val="F384D0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CC7930"/>
    <w:multiLevelType w:val="hybridMultilevel"/>
    <w:tmpl w:val="0CDEF85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0140522"/>
    <w:multiLevelType w:val="hybridMultilevel"/>
    <w:tmpl w:val="1D606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913F8"/>
    <w:multiLevelType w:val="hybridMultilevel"/>
    <w:tmpl w:val="784A1AAA"/>
    <w:lvl w:ilvl="0" w:tplc="6354162E">
      <w:start w:val="1"/>
      <w:numFmt w:val="bullet"/>
      <w:lvlText w:val="•"/>
      <w:lvlJc w:val="left"/>
      <w:pPr>
        <w:tabs>
          <w:tab w:val="num" w:pos="720"/>
        </w:tabs>
        <w:ind w:left="720" w:hanging="360"/>
      </w:pPr>
      <w:rPr>
        <w:rFonts w:ascii="Arial" w:hAnsi="Arial" w:hint="default"/>
      </w:rPr>
    </w:lvl>
    <w:lvl w:ilvl="1" w:tplc="5566A79A" w:tentative="1">
      <w:start w:val="1"/>
      <w:numFmt w:val="bullet"/>
      <w:lvlText w:val="•"/>
      <w:lvlJc w:val="left"/>
      <w:pPr>
        <w:tabs>
          <w:tab w:val="num" w:pos="1440"/>
        </w:tabs>
        <w:ind w:left="1440" w:hanging="360"/>
      </w:pPr>
      <w:rPr>
        <w:rFonts w:ascii="Arial" w:hAnsi="Arial" w:hint="default"/>
      </w:rPr>
    </w:lvl>
    <w:lvl w:ilvl="2" w:tplc="6AF46DD2" w:tentative="1">
      <w:start w:val="1"/>
      <w:numFmt w:val="bullet"/>
      <w:lvlText w:val="•"/>
      <w:lvlJc w:val="left"/>
      <w:pPr>
        <w:tabs>
          <w:tab w:val="num" w:pos="2160"/>
        </w:tabs>
        <w:ind w:left="2160" w:hanging="360"/>
      </w:pPr>
      <w:rPr>
        <w:rFonts w:ascii="Arial" w:hAnsi="Arial" w:hint="default"/>
      </w:rPr>
    </w:lvl>
    <w:lvl w:ilvl="3" w:tplc="6890CF3A" w:tentative="1">
      <w:start w:val="1"/>
      <w:numFmt w:val="bullet"/>
      <w:lvlText w:val="•"/>
      <w:lvlJc w:val="left"/>
      <w:pPr>
        <w:tabs>
          <w:tab w:val="num" w:pos="2880"/>
        </w:tabs>
        <w:ind w:left="2880" w:hanging="360"/>
      </w:pPr>
      <w:rPr>
        <w:rFonts w:ascii="Arial" w:hAnsi="Arial" w:hint="default"/>
      </w:rPr>
    </w:lvl>
    <w:lvl w:ilvl="4" w:tplc="A3C44896" w:tentative="1">
      <w:start w:val="1"/>
      <w:numFmt w:val="bullet"/>
      <w:lvlText w:val="•"/>
      <w:lvlJc w:val="left"/>
      <w:pPr>
        <w:tabs>
          <w:tab w:val="num" w:pos="3600"/>
        </w:tabs>
        <w:ind w:left="3600" w:hanging="360"/>
      </w:pPr>
      <w:rPr>
        <w:rFonts w:ascii="Arial" w:hAnsi="Arial" w:hint="default"/>
      </w:rPr>
    </w:lvl>
    <w:lvl w:ilvl="5" w:tplc="FC12F59C" w:tentative="1">
      <w:start w:val="1"/>
      <w:numFmt w:val="bullet"/>
      <w:lvlText w:val="•"/>
      <w:lvlJc w:val="left"/>
      <w:pPr>
        <w:tabs>
          <w:tab w:val="num" w:pos="4320"/>
        </w:tabs>
        <w:ind w:left="4320" w:hanging="360"/>
      </w:pPr>
      <w:rPr>
        <w:rFonts w:ascii="Arial" w:hAnsi="Arial" w:hint="default"/>
      </w:rPr>
    </w:lvl>
    <w:lvl w:ilvl="6" w:tplc="11E4D1D8" w:tentative="1">
      <w:start w:val="1"/>
      <w:numFmt w:val="bullet"/>
      <w:lvlText w:val="•"/>
      <w:lvlJc w:val="left"/>
      <w:pPr>
        <w:tabs>
          <w:tab w:val="num" w:pos="5040"/>
        </w:tabs>
        <w:ind w:left="5040" w:hanging="360"/>
      </w:pPr>
      <w:rPr>
        <w:rFonts w:ascii="Arial" w:hAnsi="Arial" w:hint="default"/>
      </w:rPr>
    </w:lvl>
    <w:lvl w:ilvl="7" w:tplc="E57E987C" w:tentative="1">
      <w:start w:val="1"/>
      <w:numFmt w:val="bullet"/>
      <w:lvlText w:val="•"/>
      <w:lvlJc w:val="left"/>
      <w:pPr>
        <w:tabs>
          <w:tab w:val="num" w:pos="5760"/>
        </w:tabs>
        <w:ind w:left="5760" w:hanging="360"/>
      </w:pPr>
      <w:rPr>
        <w:rFonts w:ascii="Arial" w:hAnsi="Arial" w:hint="default"/>
      </w:rPr>
    </w:lvl>
    <w:lvl w:ilvl="8" w:tplc="3A24F8A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9A073A"/>
    <w:multiLevelType w:val="hybridMultilevel"/>
    <w:tmpl w:val="272288C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8A63C9A"/>
    <w:multiLevelType w:val="hybridMultilevel"/>
    <w:tmpl w:val="EE4C79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B0C99"/>
    <w:multiLevelType w:val="hybridMultilevel"/>
    <w:tmpl w:val="4462EEF0"/>
    <w:lvl w:ilvl="0" w:tplc="6B425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C41313"/>
    <w:multiLevelType w:val="hybridMultilevel"/>
    <w:tmpl w:val="627E18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D76D2"/>
    <w:multiLevelType w:val="hybridMultilevel"/>
    <w:tmpl w:val="90AC899E"/>
    <w:lvl w:ilvl="0" w:tplc="100AA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1E369E"/>
    <w:multiLevelType w:val="hybridMultilevel"/>
    <w:tmpl w:val="B042811A"/>
    <w:lvl w:ilvl="0" w:tplc="B0AC33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EA243E"/>
    <w:multiLevelType w:val="hybridMultilevel"/>
    <w:tmpl w:val="3A9E425C"/>
    <w:lvl w:ilvl="0" w:tplc="1E3EB8B2">
      <w:start w:val="1"/>
      <w:numFmt w:val="bullet"/>
      <w:lvlText w:val="•"/>
      <w:lvlJc w:val="left"/>
      <w:pPr>
        <w:tabs>
          <w:tab w:val="num" w:pos="720"/>
        </w:tabs>
        <w:ind w:left="720" w:hanging="360"/>
      </w:pPr>
      <w:rPr>
        <w:rFonts w:ascii="Arial" w:hAnsi="Arial" w:hint="default"/>
      </w:rPr>
    </w:lvl>
    <w:lvl w:ilvl="1" w:tplc="2174E964" w:tentative="1">
      <w:start w:val="1"/>
      <w:numFmt w:val="bullet"/>
      <w:lvlText w:val="•"/>
      <w:lvlJc w:val="left"/>
      <w:pPr>
        <w:tabs>
          <w:tab w:val="num" w:pos="1440"/>
        </w:tabs>
        <w:ind w:left="1440" w:hanging="360"/>
      </w:pPr>
      <w:rPr>
        <w:rFonts w:ascii="Arial" w:hAnsi="Arial" w:hint="default"/>
      </w:rPr>
    </w:lvl>
    <w:lvl w:ilvl="2" w:tplc="5CB63850" w:tentative="1">
      <w:start w:val="1"/>
      <w:numFmt w:val="bullet"/>
      <w:lvlText w:val="•"/>
      <w:lvlJc w:val="left"/>
      <w:pPr>
        <w:tabs>
          <w:tab w:val="num" w:pos="2160"/>
        </w:tabs>
        <w:ind w:left="2160" w:hanging="360"/>
      </w:pPr>
      <w:rPr>
        <w:rFonts w:ascii="Arial" w:hAnsi="Arial" w:hint="default"/>
      </w:rPr>
    </w:lvl>
    <w:lvl w:ilvl="3" w:tplc="B7C0E688" w:tentative="1">
      <w:start w:val="1"/>
      <w:numFmt w:val="bullet"/>
      <w:lvlText w:val="•"/>
      <w:lvlJc w:val="left"/>
      <w:pPr>
        <w:tabs>
          <w:tab w:val="num" w:pos="2880"/>
        </w:tabs>
        <w:ind w:left="2880" w:hanging="360"/>
      </w:pPr>
      <w:rPr>
        <w:rFonts w:ascii="Arial" w:hAnsi="Arial" w:hint="default"/>
      </w:rPr>
    </w:lvl>
    <w:lvl w:ilvl="4" w:tplc="831E9158" w:tentative="1">
      <w:start w:val="1"/>
      <w:numFmt w:val="bullet"/>
      <w:lvlText w:val="•"/>
      <w:lvlJc w:val="left"/>
      <w:pPr>
        <w:tabs>
          <w:tab w:val="num" w:pos="3600"/>
        </w:tabs>
        <w:ind w:left="3600" w:hanging="360"/>
      </w:pPr>
      <w:rPr>
        <w:rFonts w:ascii="Arial" w:hAnsi="Arial" w:hint="default"/>
      </w:rPr>
    </w:lvl>
    <w:lvl w:ilvl="5" w:tplc="76FE921E" w:tentative="1">
      <w:start w:val="1"/>
      <w:numFmt w:val="bullet"/>
      <w:lvlText w:val="•"/>
      <w:lvlJc w:val="left"/>
      <w:pPr>
        <w:tabs>
          <w:tab w:val="num" w:pos="4320"/>
        </w:tabs>
        <w:ind w:left="4320" w:hanging="360"/>
      </w:pPr>
      <w:rPr>
        <w:rFonts w:ascii="Arial" w:hAnsi="Arial" w:hint="default"/>
      </w:rPr>
    </w:lvl>
    <w:lvl w:ilvl="6" w:tplc="21E26438" w:tentative="1">
      <w:start w:val="1"/>
      <w:numFmt w:val="bullet"/>
      <w:lvlText w:val="•"/>
      <w:lvlJc w:val="left"/>
      <w:pPr>
        <w:tabs>
          <w:tab w:val="num" w:pos="5040"/>
        </w:tabs>
        <w:ind w:left="5040" w:hanging="360"/>
      </w:pPr>
      <w:rPr>
        <w:rFonts w:ascii="Arial" w:hAnsi="Arial" w:hint="default"/>
      </w:rPr>
    </w:lvl>
    <w:lvl w:ilvl="7" w:tplc="4A529170" w:tentative="1">
      <w:start w:val="1"/>
      <w:numFmt w:val="bullet"/>
      <w:lvlText w:val="•"/>
      <w:lvlJc w:val="left"/>
      <w:pPr>
        <w:tabs>
          <w:tab w:val="num" w:pos="5760"/>
        </w:tabs>
        <w:ind w:left="5760" w:hanging="360"/>
      </w:pPr>
      <w:rPr>
        <w:rFonts w:ascii="Arial" w:hAnsi="Arial" w:hint="default"/>
      </w:rPr>
    </w:lvl>
    <w:lvl w:ilvl="8" w:tplc="F5AED3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4B086F"/>
    <w:multiLevelType w:val="hybridMultilevel"/>
    <w:tmpl w:val="50CAB6E8"/>
    <w:lvl w:ilvl="0" w:tplc="67CC86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2F0739"/>
    <w:multiLevelType w:val="hybridMultilevel"/>
    <w:tmpl w:val="326EECFE"/>
    <w:lvl w:ilvl="0" w:tplc="C3506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D53BD6"/>
    <w:multiLevelType w:val="hybridMultilevel"/>
    <w:tmpl w:val="C02CEA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240327"/>
    <w:multiLevelType w:val="hybridMultilevel"/>
    <w:tmpl w:val="54B8ABE0"/>
    <w:lvl w:ilvl="0" w:tplc="040A000F">
      <w:start w:val="1"/>
      <w:numFmt w:val="decimal"/>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7" w15:restartNumberingAfterBreak="0">
    <w:nsid w:val="3C0C5ECF"/>
    <w:multiLevelType w:val="hybridMultilevel"/>
    <w:tmpl w:val="D9B6D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9B3192"/>
    <w:multiLevelType w:val="hybridMultilevel"/>
    <w:tmpl w:val="F8EAB5A6"/>
    <w:lvl w:ilvl="0" w:tplc="50702EA2">
      <w:start w:val="1"/>
      <w:numFmt w:val="bullet"/>
      <w:lvlText w:val="•"/>
      <w:lvlJc w:val="left"/>
      <w:pPr>
        <w:tabs>
          <w:tab w:val="num" w:pos="720"/>
        </w:tabs>
        <w:ind w:left="720" w:hanging="360"/>
      </w:pPr>
      <w:rPr>
        <w:rFonts w:ascii="Arial" w:hAnsi="Arial" w:hint="default"/>
      </w:rPr>
    </w:lvl>
    <w:lvl w:ilvl="1" w:tplc="48347D98" w:tentative="1">
      <w:start w:val="1"/>
      <w:numFmt w:val="bullet"/>
      <w:lvlText w:val="•"/>
      <w:lvlJc w:val="left"/>
      <w:pPr>
        <w:tabs>
          <w:tab w:val="num" w:pos="1440"/>
        </w:tabs>
        <w:ind w:left="1440" w:hanging="360"/>
      </w:pPr>
      <w:rPr>
        <w:rFonts w:ascii="Arial" w:hAnsi="Arial" w:hint="default"/>
      </w:rPr>
    </w:lvl>
    <w:lvl w:ilvl="2" w:tplc="C664954A">
      <w:start w:val="1"/>
      <w:numFmt w:val="bullet"/>
      <w:lvlText w:val="•"/>
      <w:lvlJc w:val="left"/>
      <w:pPr>
        <w:tabs>
          <w:tab w:val="num" w:pos="2160"/>
        </w:tabs>
        <w:ind w:left="2160" w:hanging="360"/>
      </w:pPr>
      <w:rPr>
        <w:rFonts w:ascii="Arial" w:hAnsi="Arial" w:hint="default"/>
      </w:rPr>
    </w:lvl>
    <w:lvl w:ilvl="3" w:tplc="DAE2ADC6" w:tentative="1">
      <w:start w:val="1"/>
      <w:numFmt w:val="bullet"/>
      <w:lvlText w:val="•"/>
      <w:lvlJc w:val="left"/>
      <w:pPr>
        <w:tabs>
          <w:tab w:val="num" w:pos="2880"/>
        </w:tabs>
        <w:ind w:left="2880" w:hanging="360"/>
      </w:pPr>
      <w:rPr>
        <w:rFonts w:ascii="Arial" w:hAnsi="Arial" w:hint="default"/>
      </w:rPr>
    </w:lvl>
    <w:lvl w:ilvl="4" w:tplc="25385E3C" w:tentative="1">
      <w:start w:val="1"/>
      <w:numFmt w:val="bullet"/>
      <w:lvlText w:val="•"/>
      <w:lvlJc w:val="left"/>
      <w:pPr>
        <w:tabs>
          <w:tab w:val="num" w:pos="3600"/>
        </w:tabs>
        <w:ind w:left="3600" w:hanging="360"/>
      </w:pPr>
      <w:rPr>
        <w:rFonts w:ascii="Arial" w:hAnsi="Arial" w:hint="default"/>
      </w:rPr>
    </w:lvl>
    <w:lvl w:ilvl="5" w:tplc="81F2C75E" w:tentative="1">
      <w:start w:val="1"/>
      <w:numFmt w:val="bullet"/>
      <w:lvlText w:val="•"/>
      <w:lvlJc w:val="left"/>
      <w:pPr>
        <w:tabs>
          <w:tab w:val="num" w:pos="4320"/>
        </w:tabs>
        <w:ind w:left="4320" w:hanging="360"/>
      </w:pPr>
      <w:rPr>
        <w:rFonts w:ascii="Arial" w:hAnsi="Arial" w:hint="default"/>
      </w:rPr>
    </w:lvl>
    <w:lvl w:ilvl="6" w:tplc="DB04CBDA" w:tentative="1">
      <w:start w:val="1"/>
      <w:numFmt w:val="bullet"/>
      <w:lvlText w:val="•"/>
      <w:lvlJc w:val="left"/>
      <w:pPr>
        <w:tabs>
          <w:tab w:val="num" w:pos="5040"/>
        </w:tabs>
        <w:ind w:left="5040" w:hanging="360"/>
      </w:pPr>
      <w:rPr>
        <w:rFonts w:ascii="Arial" w:hAnsi="Arial" w:hint="default"/>
      </w:rPr>
    </w:lvl>
    <w:lvl w:ilvl="7" w:tplc="E318973C" w:tentative="1">
      <w:start w:val="1"/>
      <w:numFmt w:val="bullet"/>
      <w:lvlText w:val="•"/>
      <w:lvlJc w:val="left"/>
      <w:pPr>
        <w:tabs>
          <w:tab w:val="num" w:pos="5760"/>
        </w:tabs>
        <w:ind w:left="5760" w:hanging="360"/>
      </w:pPr>
      <w:rPr>
        <w:rFonts w:ascii="Arial" w:hAnsi="Arial" w:hint="default"/>
      </w:rPr>
    </w:lvl>
    <w:lvl w:ilvl="8" w:tplc="5D42001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EB13ECF"/>
    <w:multiLevelType w:val="hybridMultilevel"/>
    <w:tmpl w:val="8E3ACEBC"/>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05F3DF5"/>
    <w:multiLevelType w:val="hybridMultilevel"/>
    <w:tmpl w:val="F070C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CB0F8E"/>
    <w:multiLevelType w:val="hybridMultilevel"/>
    <w:tmpl w:val="C2E0BB9A"/>
    <w:lvl w:ilvl="0" w:tplc="12EC406C">
      <w:numFmt w:val="bullet"/>
      <w:lvlText w:val="-"/>
      <w:lvlJc w:val="left"/>
      <w:pPr>
        <w:ind w:left="720" w:hanging="360"/>
      </w:pPr>
      <w:rPr>
        <w:rFonts w:ascii="Cambria" w:eastAsia="SimSun"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216E9D"/>
    <w:multiLevelType w:val="multilevel"/>
    <w:tmpl w:val="B2D4F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F21F04"/>
    <w:multiLevelType w:val="hybridMultilevel"/>
    <w:tmpl w:val="323A49B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4AAE2AE2"/>
    <w:multiLevelType w:val="hybridMultilevel"/>
    <w:tmpl w:val="C87E317A"/>
    <w:lvl w:ilvl="0" w:tplc="C35063AC">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C5B0C93"/>
    <w:multiLevelType w:val="hybridMultilevel"/>
    <w:tmpl w:val="19262532"/>
    <w:lvl w:ilvl="0" w:tplc="70B445C0">
      <w:start w:val="1"/>
      <w:numFmt w:val="bullet"/>
      <w:lvlText w:val="•"/>
      <w:lvlJc w:val="left"/>
      <w:pPr>
        <w:tabs>
          <w:tab w:val="num" w:pos="720"/>
        </w:tabs>
        <w:ind w:left="720" w:hanging="360"/>
      </w:pPr>
      <w:rPr>
        <w:rFonts w:ascii="Arial" w:hAnsi="Arial" w:hint="default"/>
      </w:rPr>
    </w:lvl>
    <w:lvl w:ilvl="1" w:tplc="3B0249CE" w:tentative="1">
      <w:start w:val="1"/>
      <w:numFmt w:val="bullet"/>
      <w:lvlText w:val="•"/>
      <w:lvlJc w:val="left"/>
      <w:pPr>
        <w:tabs>
          <w:tab w:val="num" w:pos="1440"/>
        </w:tabs>
        <w:ind w:left="1440" w:hanging="360"/>
      </w:pPr>
      <w:rPr>
        <w:rFonts w:ascii="Arial" w:hAnsi="Arial" w:hint="default"/>
      </w:rPr>
    </w:lvl>
    <w:lvl w:ilvl="2" w:tplc="CFE62126">
      <w:start w:val="1"/>
      <w:numFmt w:val="decimal"/>
      <w:lvlText w:val="%3."/>
      <w:lvlJc w:val="left"/>
      <w:pPr>
        <w:tabs>
          <w:tab w:val="num" w:pos="2160"/>
        </w:tabs>
        <w:ind w:left="2160" w:hanging="360"/>
      </w:pPr>
    </w:lvl>
    <w:lvl w:ilvl="3" w:tplc="1B8E930A" w:tentative="1">
      <w:start w:val="1"/>
      <w:numFmt w:val="bullet"/>
      <w:lvlText w:val="•"/>
      <w:lvlJc w:val="left"/>
      <w:pPr>
        <w:tabs>
          <w:tab w:val="num" w:pos="2880"/>
        </w:tabs>
        <w:ind w:left="2880" w:hanging="360"/>
      </w:pPr>
      <w:rPr>
        <w:rFonts w:ascii="Arial" w:hAnsi="Arial" w:hint="default"/>
      </w:rPr>
    </w:lvl>
    <w:lvl w:ilvl="4" w:tplc="8B6E76DC" w:tentative="1">
      <w:start w:val="1"/>
      <w:numFmt w:val="bullet"/>
      <w:lvlText w:val="•"/>
      <w:lvlJc w:val="left"/>
      <w:pPr>
        <w:tabs>
          <w:tab w:val="num" w:pos="3600"/>
        </w:tabs>
        <w:ind w:left="3600" w:hanging="360"/>
      </w:pPr>
      <w:rPr>
        <w:rFonts w:ascii="Arial" w:hAnsi="Arial" w:hint="default"/>
      </w:rPr>
    </w:lvl>
    <w:lvl w:ilvl="5" w:tplc="5238BA1A" w:tentative="1">
      <w:start w:val="1"/>
      <w:numFmt w:val="bullet"/>
      <w:lvlText w:val="•"/>
      <w:lvlJc w:val="left"/>
      <w:pPr>
        <w:tabs>
          <w:tab w:val="num" w:pos="4320"/>
        </w:tabs>
        <w:ind w:left="4320" w:hanging="360"/>
      </w:pPr>
      <w:rPr>
        <w:rFonts w:ascii="Arial" w:hAnsi="Arial" w:hint="default"/>
      </w:rPr>
    </w:lvl>
    <w:lvl w:ilvl="6" w:tplc="F022D8C4" w:tentative="1">
      <w:start w:val="1"/>
      <w:numFmt w:val="bullet"/>
      <w:lvlText w:val="•"/>
      <w:lvlJc w:val="left"/>
      <w:pPr>
        <w:tabs>
          <w:tab w:val="num" w:pos="5040"/>
        </w:tabs>
        <w:ind w:left="5040" w:hanging="360"/>
      </w:pPr>
      <w:rPr>
        <w:rFonts w:ascii="Arial" w:hAnsi="Arial" w:hint="default"/>
      </w:rPr>
    </w:lvl>
    <w:lvl w:ilvl="7" w:tplc="541E906C" w:tentative="1">
      <w:start w:val="1"/>
      <w:numFmt w:val="bullet"/>
      <w:lvlText w:val="•"/>
      <w:lvlJc w:val="left"/>
      <w:pPr>
        <w:tabs>
          <w:tab w:val="num" w:pos="5760"/>
        </w:tabs>
        <w:ind w:left="5760" w:hanging="360"/>
      </w:pPr>
      <w:rPr>
        <w:rFonts w:ascii="Arial" w:hAnsi="Arial" w:hint="default"/>
      </w:rPr>
    </w:lvl>
    <w:lvl w:ilvl="8" w:tplc="ECF2A71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C8458B"/>
    <w:multiLevelType w:val="hybridMultilevel"/>
    <w:tmpl w:val="40DC9046"/>
    <w:lvl w:ilvl="0" w:tplc="6E702A10">
      <w:start w:val="1"/>
      <w:numFmt w:val="bullet"/>
      <w:lvlText w:val="•"/>
      <w:lvlJc w:val="left"/>
      <w:pPr>
        <w:tabs>
          <w:tab w:val="num" w:pos="720"/>
        </w:tabs>
        <w:ind w:left="720" w:hanging="360"/>
      </w:pPr>
      <w:rPr>
        <w:rFonts w:ascii="Arial" w:hAnsi="Arial" w:hint="default"/>
      </w:rPr>
    </w:lvl>
    <w:lvl w:ilvl="1" w:tplc="18F26976" w:tentative="1">
      <w:start w:val="1"/>
      <w:numFmt w:val="bullet"/>
      <w:lvlText w:val="•"/>
      <w:lvlJc w:val="left"/>
      <w:pPr>
        <w:tabs>
          <w:tab w:val="num" w:pos="1440"/>
        </w:tabs>
        <w:ind w:left="1440" w:hanging="360"/>
      </w:pPr>
      <w:rPr>
        <w:rFonts w:ascii="Arial" w:hAnsi="Arial" w:hint="default"/>
      </w:rPr>
    </w:lvl>
    <w:lvl w:ilvl="2" w:tplc="731091B4" w:tentative="1">
      <w:start w:val="1"/>
      <w:numFmt w:val="bullet"/>
      <w:lvlText w:val="•"/>
      <w:lvlJc w:val="left"/>
      <w:pPr>
        <w:tabs>
          <w:tab w:val="num" w:pos="2160"/>
        </w:tabs>
        <w:ind w:left="2160" w:hanging="360"/>
      </w:pPr>
      <w:rPr>
        <w:rFonts w:ascii="Arial" w:hAnsi="Arial" w:hint="default"/>
      </w:rPr>
    </w:lvl>
    <w:lvl w:ilvl="3" w:tplc="1D6AD4BA" w:tentative="1">
      <w:start w:val="1"/>
      <w:numFmt w:val="bullet"/>
      <w:lvlText w:val="•"/>
      <w:lvlJc w:val="left"/>
      <w:pPr>
        <w:tabs>
          <w:tab w:val="num" w:pos="2880"/>
        </w:tabs>
        <w:ind w:left="2880" w:hanging="360"/>
      </w:pPr>
      <w:rPr>
        <w:rFonts w:ascii="Arial" w:hAnsi="Arial" w:hint="default"/>
      </w:rPr>
    </w:lvl>
    <w:lvl w:ilvl="4" w:tplc="91DE7248" w:tentative="1">
      <w:start w:val="1"/>
      <w:numFmt w:val="bullet"/>
      <w:lvlText w:val="•"/>
      <w:lvlJc w:val="left"/>
      <w:pPr>
        <w:tabs>
          <w:tab w:val="num" w:pos="3600"/>
        </w:tabs>
        <w:ind w:left="3600" w:hanging="360"/>
      </w:pPr>
      <w:rPr>
        <w:rFonts w:ascii="Arial" w:hAnsi="Arial" w:hint="default"/>
      </w:rPr>
    </w:lvl>
    <w:lvl w:ilvl="5" w:tplc="D39A50C4" w:tentative="1">
      <w:start w:val="1"/>
      <w:numFmt w:val="bullet"/>
      <w:lvlText w:val="•"/>
      <w:lvlJc w:val="left"/>
      <w:pPr>
        <w:tabs>
          <w:tab w:val="num" w:pos="4320"/>
        </w:tabs>
        <w:ind w:left="4320" w:hanging="360"/>
      </w:pPr>
      <w:rPr>
        <w:rFonts w:ascii="Arial" w:hAnsi="Arial" w:hint="default"/>
      </w:rPr>
    </w:lvl>
    <w:lvl w:ilvl="6" w:tplc="DFE4BC2C" w:tentative="1">
      <w:start w:val="1"/>
      <w:numFmt w:val="bullet"/>
      <w:lvlText w:val="•"/>
      <w:lvlJc w:val="left"/>
      <w:pPr>
        <w:tabs>
          <w:tab w:val="num" w:pos="5040"/>
        </w:tabs>
        <w:ind w:left="5040" w:hanging="360"/>
      </w:pPr>
      <w:rPr>
        <w:rFonts w:ascii="Arial" w:hAnsi="Arial" w:hint="default"/>
      </w:rPr>
    </w:lvl>
    <w:lvl w:ilvl="7" w:tplc="54B04E08" w:tentative="1">
      <w:start w:val="1"/>
      <w:numFmt w:val="bullet"/>
      <w:lvlText w:val="•"/>
      <w:lvlJc w:val="left"/>
      <w:pPr>
        <w:tabs>
          <w:tab w:val="num" w:pos="5760"/>
        </w:tabs>
        <w:ind w:left="5760" w:hanging="360"/>
      </w:pPr>
      <w:rPr>
        <w:rFonts w:ascii="Arial" w:hAnsi="Arial" w:hint="default"/>
      </w:rPr>
    </w:lvl>
    <w:lvl w:ilvl="8" w:tplc="F8B84F7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02437B9"/>
    <w:multiLevelType w:val="hybridMultilevel"/>
    <w:tmpl w:val="DEF63EA8"/>
    <w:lvl w:ilvl="0" w:tplc="05BC7C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C91A86"/>
    <w:multiLevelType w:val="hybridMultilevel"/>
    <w:tmpl w:val="6868B44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57CD2D1F"/>
    <w:multiLevelType w:val="hybridMultilevel"/>
    <w:tmpl w:val="73309482"/>
    <w:lvl w:ilvl="0" w:tplc="F3F6E6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434EF2"/>
    <w:multiLevelType w:val="hybridMultilevel"/>
    <w:tmpl w:val="C67AED3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612802E7"/>
    <w:multiLevelType w:val="hybridMultilevel"/>
    <w:tmpl w:val="36746B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614C40"/>
    <w:multiLevelType w:val="hybridMultilevel"/>
    <w:tmpl w:val="04CC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7C6B14"/>
    <w:multiLevelType w:val="hybridMultilevel"/>
    <w:tmpl w:val="971ECA8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6F4B5ECE"/>
    <w:multiLevelType w:val="hybridMultilevel"/>
    <w:tmpl w:val="D9F07742"/>
    <w:lvl w:ilvl="0" w:tplc="B7EEBE5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7F7FFB"/>
    <w:multiLevelType w:val="hybridMultilevel"/>
    <w:tmpl w:val="E86E6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386003"/>
    <w:multiLevelType w:val="hybridMultilevel"/>
    <w:tmpl w:val="47BE95CE"/>
    <w:lvl w:ilvl="0" w:tplc="C35063AC">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19"/>
  </w:num>
  <w:num w:numId="3">
    <w:abstractNumId w:val="35"/>
  </w:num>
  <w:num w:numId="4">
    <w:abstractNumId w:val="34"/>
  </w:num>
  <w:num w:numId="5">
    <w:abstractNumId w:val="21"/>
  </w:num>
  <w:num w:numId="6">
    <w:abstractNumId w:val="4"/>
  </w:num>
  <w:num w:numId="7">
    <w:abstractNumId w:val="20"/>
  </w:num>
  <w:num w:numId="8">
    <w:abstractNumId w:val="32"/>
  </w:num>
  <w:num w:numId="9">
    <w:abstractNumId w:val="6"/>
  </w:num>
  <w:num w:numId="10">
    <w:abstractNumId w:val="18"/>
  </w:num>
  <w:num w:numId="11">
    <w:abstractNumId w:val="25"/>
  </w:num>
  <w:num w:numId="12">
    <w:abstractNumId w:val="12"/>
  </w:num>
  <w:num w:numId="13">
    <w:abstractNumId w:val="5"/>
  </w:num>
  <w:num w:numId="14">
    <w:abstractNumId w:val="26"/>
  </w:num>
  <w:num w:numId="15">
    <w:abstractNumId w:val="31"/>
  </w:num>
  <w:num w:numId="16">
    <w:abstractNumId w:val="22"/>
  </w:num>
  <w:num w:numId="17">
    <w:abstractNumId w:val="8"/>
  </w:num>
  <w:num w:numId="18">
    <w:abstractNumId w:val="9"/>
  </w:num>
  <w:num w:numId="19">
    <w:abstractNumId w:val="27"/>
  </w:num>
  <w:num w:numId="20">
    <w:abstractNumId w:val="17"/>
  </w:num>
  <w:num w:numId="21">
    <w:abstractNumId w:val="15"/>
  </w:num>
  <w:num w:numId="22">
    <w:abstractNumId w:val="10"/>
  </w:num>
  <w:num w:numId="23">
    <w:abstractNumId w:val="13"/>
  </w:num>
  <w:num w:numId="24">
    <w:abstractNumId w:val="11"/>
  </w:num>
  <w:num w:numId="25">
    <w:abstractNumId w:val="7"/>
  </w:num>
  <w:num w:numId="26">
    <w:abstractNumId w:val="0"/>
  </w:num>
  <w:num w:numId="27">
    <w:abstractNumId w:val="29"/>
  </w:num>
  <w:num w:numId="28">
    <w:abstractNumId w:val="30"/>
  </w:num>
  <w:num w:numId="29">
    <w:abstractNumId w:val="16"/>
  </w:num>
  <w:num w:numId="30">
    <w:abstractNumId w:val="1"/>
  </w:num>
  <w:num w:numId="31">
    <w:abstractNumId w:val="3"/>
  </w:num>
  <w:num w:numId="32">
    <w:abstractNumId w:val="28"/>
  </w:num>
  <w:num w:numId="33">
    <w:abstractNumId w:val="33"/>
  </w:num>
  <w:num w:numId="34">
    <w:abstractNumId w:val="14"/>
  </w:num>
  <w:num w:numId="35">
    <w:abstractNumId w:val="36"/>
  </w:num>
  <w:num w:numId="36">
    <w:abstractNumId w:val="24"/>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E8"/>
    <w:rsid w:val="00000FA5"/>
    <w:rsid w:val="00002D73"/>
    <w:rsid w:val="00003741"/>
    <w:rsid w:val="00011663"/>
    <w:rsid w:val="000156D2"/>
    <w:rsid w:val="000202A4"/>
    <w:rsid w:val="00020958"/>
    <w:rsid w:val="00024B99"/>
    <w:rsid w:val="00026A25"/>
    <w:rsid w:val="00044AA0"/>
    <w:rsid w:val="000476D1"/>
    <w:rsid w:val="00053CA2"/>
    <w:rsid w:val="00074455"/>
    <w:rsid w:val="000901C7"/>
    <w:rsid w:val="00095EF0"/>
    <w:rsid w:val="000A05DC"/>
    <w:rsid w:val="000A09F7"/>
    <w:rsid w:val="000A19D8"/>
    <w:rsid w:val="000A2A41"/>
    <w:rsid w:val="000B54DE"/>
    <w:rsid w:val="000C0CAB"/>
    <w:rsid w:val="000C6073"/>
    <w:rsid w:val="000C71B5"/>
    <w:rsid w:val="000D13A3"/>
    <w:rsid w:val="000D5385"/>
    <w:rsid w:val="000E1309"/>
    <w:rsid w:val="000E1FFB"/>
    <w:rsid w:val="000E211D"/>
    <w:rsid w:val="000E3CDF"/>
    <w:rsid w:val="000E4BCE"/>
    <w:rsid w:val="000E7767"/>
    <w:rsid w:val="000E7E40"/>
    <w:rsid w:val="000F4808"/>
    <w:rsid w:val="001020E5"/>
    <w:rsid w:val="001055DB"/>
    <w:rsid w:val="0011108F"/>
    <w:rsid w:val="00114A52"/>
    <w:rsid w:val="001164A9"/>
    <w:rsid w:val="00116EA5"/>
    <w:rsid w:val="0011718F"/>
    <w:rsid w:val="00117533"/>
    <w:rsid w:val="001178B3"/>
    <w:rsid w:val="00127881"/>
    <w:rsid w:val="00131DE4"/>
    <w:rsid w:val="0013205F"/>
    <w:rsid w:val="0014324D"/>
    <w:rsid w:val="00143941"/>
    <w:rsid w:val="00143CA2"/>
    <w:rsid w:val="001500A2"/>
    <w:rsid w:val="0017147A"/>
    <w:rsid w:val="001714FF"/>
    <w:rsid w:val="001723CE"/>
    <w:rsid w:val="00172F1A"/>
    <w:rsid w:val="00177D8C"/>
    <w:rsid w:val="0018267F"/>
    <w:rsid w:val="0018412F"/>
    <w:rsid w:val="001860FD"/>
    <w:rsid w:val="00186772"/>
    <w:rsid w:val="001959A4"/>
    <w:rsid w:val="0019736B"/>
    <w:rsid w:val="001974DA"/>
    <w:rsid w:val="00197702"/>
    <w:rsid w:val="001A3CEB"/>
    <w:rsid w:val="001A56A3"/>
    <w:rsid w:val="001B1B18"/>
    <w:rsid w:val="001B4050"/>
    <w:rsid w:val="001C051C"/>
    <w:rsid w:val="001C173E"/>
    <w:rsid w:val="001C256A"/>
    <w:rsid w:val="001C545F"/>
    <w:rsid w:val="001D0BD8"/>
    <w:rsid w:val="001D2F5F"/>
    <w:rsid w:val="001D50E8"/>
    <w:rsid w:val="001D5428"/>
    <w:rsid w:val="001D5B48"/>
    <w:rsid w:val="001D5B51"/>
    <w:rsid w:val="001D5F80"/>
    <w:rsid w:val="001D6C42"/>
    <w:rsid w:val="001E15EB"/>
    <w:rsid w:val="001E3002"/>
    <w:rsid w:val="001F12DD"/>
    <w:rsid w:val="001F2834"/>
    <w:rsid w:val="001F3FC5"/>
    <w:rsid w:val="001F5B71"/>
    <w:rsid w:val="002006AA"/>
    <w:rsid w:val="00203CBA"/>
    <w:rsid w:val="002063E0"/>
    <w:rsid w:val="00207338"/>
    <w:rsid w:val="002079E4"/>
    <w:rsid w:val="0021299A"/>
    <w:rsid w:val="00215DAA"/>
    <w:rsid w:val="002168DD"/>
    <w:rsid w:val="002242CF"/>
    <w:rsid w:val="00224EA1"/>
    <w:rsid w:val="00225319"/>
    <w:rsid w:val="002253C4"/>
    <w:rsid w:val="00226887"/>
    <w:rsid w:val="002313E7"/>
    <w:rsid w:val="00233389"/>
    <w:rsid w:val="002443C2"/>
    <w:rsid w:val="00245E12"/>
    <w:rsid w:val="0025059C"/>
    <w:rsid w:val="00250D74"/>
    <w:rsid w:val="00254236"/>
    <w:rsid w:val="00257E95"/>
    <w:rsid w:val="002604D2"/>
    <w:rsid w:val="0026210A"/>
    <w:rsid w:val="002659CE"/>
    <w:rsid w:val="00266F52"/>
    <w:rsid w:val="00272B3F"/>
    <w:rsid w:val="002753A2"/>
    <w:rsid w:val="002867DD"/>
    <w:rsid w:val="00290F90"/>
    <w:rsid w:val="00291A7C"/>
    <w:rsid w:val="0029342A"/>
    <w:rsid w:val="002957D3"/>
    <w:rsid w:val="00295B56"/>
    <w:rsid w:val="002A7C01"/>
    <w:rsid w:val="002B0170"/>
    <w:rsid w:val="002B3A05"/>
    <w:rsid w:val="002B3ECF"/>
    <w:rsid w:val="002B72C4"/>
    <w:rsid w:val="002C2822"/>
    <w:rsid w:val="002C2A99"/>
    <w:rsid w:val="002C2AB8"/>
    <w:rsid w:val="002C5DA9"/>
    <w:rsid w:val="002D273F"/>
    <w:rsid w:val="002D27D0"/>
    <w:rsid w:val="002D3E24"/>
    <w:rsid w:val="002E108E"/>
    <w:rsid w:val="002E2625"/>
    <w:rsid w:val="002E6EB7"/>
    <w:rsid w:val="00301481"/>
    <w:rsid w:val="0030611C"/>
    <w:rsid w:val="00311334"/>
    <w:rsid w:val="00314CD6"/>
    <w:rsid w:val="00315BE1"/>
    <w:rsid w:val="0031671E"/>
    <w:rsid w:val="003175EE"/>
    <w:rsid w:val="00322A6B"/>
    <w:rsid w:val="00323F4E"/>
    <w:rsid w:val="00334203"/>
    <w:rsid w:val="0033535A"/>
    <w:rsid w:val="00336005"/>
    <w:rsid w:val="0033770A"/>
    <w:rsid w:val="00340BF3"/>
    <w:rsid w:val="003451BF"/>
    <w:rsid w:val="0034621B"/>
    <w:rsid w:val="0034683E"/>
    <w:rsid w:val="00346DBD"/>
    <w:rsid w:val="003472EE"/>
    <w:rsid w:val="00347419"/>
    <w:rsid w:val="003521A3"/>
    <w:rsid w:val="00353898"/>
    <w:rsid w:val="00353D57"/>
    <w:rsid w:val="00353DE5"/>
    <w:rsid w:val="0035538B"/>
    <w:rsid w:val="0036359F"/>
    <w:rsid w:val="00365647"/>
    <w:rsid w:val="00365B44"/>
    <w:rsid w:val="00365E48"/>
    <w:rsid w:val="003667A4"/>
    <w:rsid w:val="00370C7D"/>
    <w:rsid w:val="00371322"/>
    <w:rsid w:val="003732BE"/>
    <w:rsid w:val="00375697"/>
    <w:rsid w:val="00376DA2"/>
    <w:rsid w:val="0038213F"/>
    <w:rsid w:val="00382E1D"/>
    <w:rsid w:val="0038438B"/>
    <w:rsid w:val="003853C5"/>
    <w:rsid w:val="00386626"/>
    <w:rsid w:val="00390A92"/>
    <w:rsid w:val="00390E59"/>
    <w:rsid w:val="00392F4C"/>
    <w:rsid w:val="003956F5"/>
    <w:rsid w:val="00396CEE"/>
    <w:rsid w:val="003A1A48"/>
    <w:rsid w:val="003A2B1A"/>
    <w:rsid w:val="003A3D0A"/>
    <w:rsid w:val="003A40E7"/>
    <w:rsid w:val="003A5916"/>
    <w:rsid w:val="003B2E6A"/>
    <w:rsid w:val="003B45E9"/>
    <w:rsid w:val="003B6F62"/>
    <w:rsid w:val="003B6F64"/>
    <w:rsid w:val="003C0367"/>
    <w:rsid w:val="003C218B"/>
    <w:rsid w:val="003C35B6"/>
    <w:rsid w:val="003C4E48"/>
    <w:rsid w:val="003C69C2"/>
    <w:rsid w:val="003C7813"/>
    <w:rsid w:val="003E338E"/>
    <w:rsid w:val="003E4127"/>
    <w:rsid w:val="003F2109"/>
    <w:rsid w:val="003F2A64"/>
    <w:rsid w:val="003F6051"/>
    <w:rsid w:val="00403179"/>
    <w:rsid w:val="004076CB"/>
    <w:rsid w:val="0041112D"/>
    <w:rsid w:val="00414710"/>
    <w:rsid w:val="004163F1"/>
    <w:rsid w:val="00421208"/>
    <w:rsid w:val="00422045"/>
    <w:rsid w:val="0042476E"/>
    <w:rsid w:val="00435F03"/>
    <w:rsid w:val="0044227E"/>
    <w:rsid w:val="00442A2C"/>
    <w:rsid w:val="00451E92"/>
    <w:rsid w:val="00454059"/>
    <w:rsid w:val="00457A8B"/>
    <w:rsid w:val="004659A6"/>
    <w:rsid w:val="00466336"/>
    <w:rsid w:val="00467F2A"/>
    <w:rsid w:val="00470656"/>
    <w:rsid w:val="00471A54"/>
    <w:rsid w:val="00474BD4"/>
    <w:rsid w:val="00477535"/>
    <w:rsid w:val="004822F9"/>
    <w:rsid w:val="00482B4D"/>
    <w:rsid w:val="00490E83"/>
    <w:rsid w:val="00492EC1"/>
    <w:rsid w:val="00493525"/>
    <w:rsid w:val="004963FD"/>
    <w:rsid w:val="00497289"/>
    <w:rsid w:val="004977AC"/>
    <w:rsid w:val="004A298A"/>
    <w:rsid w:val="004A7280"/>
    <w:rsid w:val="004B22F5"/>
    <w:rsid w:val="004B31A7"/>
    <w:rsid w:val="004C1618"/>
    <w:rsid w:val="004C5EA7"/>
    <w:rsid w:val="004C72C9"/>
    <w:rsid w:val="004C7C83"/>
    <w:rsid w:val="004D210E"/>
    <w:rsid w:val="004D2C54"/>
    <w:rsid w:val="004D4470"/>
    <w:rsid w:val="004D5BFF"/>
    <w:rsid w:val="004E14E8"/>
    <w:rsid w:val="004E360D"/>
    <w:rsid w:val="004E73DA"/>
    <w:rsid w:val="004E7792"/>
    <w:rsid w:val="004F1A9A"/>
    <w:rsid w:val="004F484E"/>
    <w:rsid w:val="004F4B8B"/>
    <w:rsid w:val="004F4CF0"/>
    <w:rsid w:val="004F5964"/>
    <w:rsid w:val="004F6F2C"/>
    <w:rsid w:val="004F794E"/>
    <w:rsid w:val="005011EB"/>
    <w:rsid w:val="00501C5D"/>
    <w:rsid w:val="00503A91"/>
    <w:rsid w:val="00504E2C"/>
    <w:rsid w:val="00511AFB"/>
    <w:rsid w:val="00512540"/>
    <w:rsid w:val="00514653"/>
    <w:rsid w:val="005158FB"/>
    <w:rsid w:val="0052227B"/>
    <w:rsid w:val="005263D1"/>
    <w:rsid w:val="00530949"/>
    <w:rsid w:val="00532450"/>
    <w:rsid w:val="00535812"/>
    <w:rsid w:val="00545092"/>
    <w:rsid w:val="00552255"/>
    <w:rsid w:val="00554FCE"/>
    <w:rsid w:val="00562781"/>
    <w:rsid w:val="0056311B"/>
    <w:rsid w:val="005655C7"/>
    <w:rsid w:val="0056697C"/>
    <w:rsid w:val="00580789"/>
    <w:rsid w:val="005838F9"/>
    <w:rsid w:val="005840FA"/>
    <w:rsid w:val="0058770C"/>
    <w:rsid w:val="005920EB"/>
    <w:rsid w:val="0059305C"/>
    <w:rsid w:val="00593AE2"/>
    <w:rsid w:val="005941E4"/>
    <w:rsid w:val="0059466A"/>
    <w:rsid w:val="00596FD2"/>
    <w:rsid w:val="005A2463"/>
    <w:rsid w:val="005A6966"/>
    <w:rsid w:val="005A6AFD"/>
    <w:rsid w:val="005B0D5A"/>
    <w:rsid w:val="005B2C56"/>
    <w:rsid w:val="005B2DE6"/>
    <w:rsid w:val="005B4A58"/>
    <w:rsid w:val="005B6841"/>
    <w:rsid w:val="005B6B60"/>
    <w:rsid w:val="005C22B4"/>
    <w:rsid w:val="005C3B3A"/>
    <w:rsid w:val="005C5500"/>
    <w:rsid w:val="005D0B5D"/>
    <w:rsid w:val="005E3F15"/>
    <w:rsid w:val="005E3F8B"/>
    <w:rsid w:val="005E65D4"/>
    <w:rsid w:val="005E7784"/>
    <w:rsid w:val="005F44D6"/>
    <w:rsid w:val="005F45F7"/>
    <w:rsid w:val="005F5437"/>
    <w:rsid w:val="005F6E84"/>
    <w:rsid w:val="00601A35"/>
    <w:rsid w:val="0060466E"/>
    <w:rsid w:val="00605F39"/>
    <w:rsid w:val="00605F42"/>
    <w:rsid w:val="00607AA9"/>
    <w:rsid w:val="00612395"/>
    <w:rsid w:val="00622718"/>
    <w:rsid w:val="00624A51"/>
    <w:rsid w:val="0062588F"/>
    <w:rsid w:val="00626735"/>
    <w:rsid w:val="00632813"/>
    <w:rsid w:val="0064043D"/>
    <w:rsid w:val="0064477C"/>
    <w:rsid w:val="0065596C"/>
    <w:rsid w:val="0066200D"/>
    <w:rsid w:val="00663791"/>
    <w:rsid w:val="00664143"/>
    <w:rsid w:val="00665575"/>
    <w:rsid w:val="00667975"/>
    <w:rsid w:val="00667A3A"/>
    <w:rsid w:val="00667A7D"/>
    <w:rsid w:val="006726FC"/>
    <w:rsid w:val="006732C8"/>
    <w:rsid w:val="00675EEB"/>
    <w:rsid w:val="00681E31"/>
    <w:rsid w:val="00684555"/>
    <w:rsid w:val="0068660B"/>
    <w:rsid w:val="006910D0"/>
    <w:rsid w:val="0069314E"/>
    <w:rsid w:val="00693F8B"/>
    <w:rsid w:val="00695679"/>
    <w:rsid w:val="00697331"/>
    <w:rsid w:val="006A231C"/>
    <w:rsid w:val="006A41F2"/>
    <w:rsid w:val="006A6065"/>
    <w:rsid w:val="006A6E32"/>
    <w:rsid w:val="006A7ABA"/>
    <w:rsid w:val="006B0005"/>
    <w:rsid w:val="006B0F17"/>
    <w:rsid w:val="006B51FC"/>
    <w:rsid w:val="006B675F"/>
    <w:rsid w:val="006C161E"/>
    <w:rsid w:val="006C4F40"/>
    <w:rsid w:val="006C5D93"/>
    <w:rsid w:val="006D4280"/>
    <w:rsid w:val="006D78B6"/>
    <w:rsid w:val="006E1D65"/>
    <w:rsid w:val="006E225B"/>
    <w:rsid w:val="006E45AE"/>
    <w:rsid w:val="006E4D30"/>
    <w:rsid w:val="006F5CA5"/>
    <w:rsid w:val="006F5D11"/>
    <w:rsid w:val="006F6A0E"/>
    <w:rsid w:val="006F6EBE"/>
    <w:rsid w:val="006F7728"/>
    <w:rsid w:val="0070103F"/>
    <w:rsid w:val="00707AF3"/>
    <w:rsid w:val="00707BD1"/>
    <w:rsid w:val="007116F5"/>
    <w:rsid w:val="00712AF3"/>
    <w:rsid w:val="00717742"/>
    <w:rsid w:val="007225B6"/>
    <w:rsid w:val="00723B40"/>
    <w:rsid w:val="007248DC"/>
    <w:rsid w:val="007259F0"/>
    <w:rsid w:val="007409E7"/>
    <w:rsid w:val="00742642"/>
    <w:rsid w:val="007429FD"/>
    <w:rsid w:val="00746A9E"/>
    <w:rsid w:val="007470B5"/>
    <w:rsid w:val="00751269"/>
    <w:rsid w:val="0075246A"/>
    <w:rsid w:val="0075478A"/>
    <w:rsid w:val="00757E4F"/>
    <w:rsid w:val="00757EA0"/>
    <w:rsid w:val="00760568"/>
    <w:rsid w:val="007617D9"/>
    <w:rsid w:val="00762F32"/>
    <w:rsid w:val="00767B9D"/>
    <w:rsid w:val="007703E9"/>
    <w:rsid w:val="00771C4C"/>
    <w:rsid w:val="00771C81"/>
    <w:rsid w:val="00771CA1"/>
    <w:rsid w:val="00774729"/>
    <w:rsid w:val="00776EC6"/>
    <w:rsid w:val="00780BB7"/>
    <w:rsid w:val="00785140"/>
    <w:rsid w:val="0078515B"/>
    <w:rsid w:val="00791A93"/>
    <w:rsid w:val="007947F5"/>
    <w:rsid w:val="007957DA"/>
    <w:rsid w:val="007A2B61"/>
    <w:rsid w:val="007B2252"/>
    <w:rsid w:val="007B23CB"/>
    <w:rsid w:val="007B55F2"/>
    <w:rsid w:val="007C0C36"/>
    <w:rsid w:val="007C234D"/>
    <w:rsid w:val="007D02A7"/>
    <w:rsid w:val="007D4028"/>
    <w:rsid w:val="007D480D"/>
    <w:rsid w:val="007E4557"/>
    <w:rsid w:val="007E5FBD"/>
    <w:rsid w:val="007F1EAA"/>
    <w:rsid w:val="007F4BC3"/>
    <w:rsid w:val="007F4C9E"/>
    <w:rsid w:val="007F5524"/>
    <w:rsid w:val="007F5530"/>
    <w:rsid w:val="008042BA"/>
    <w:rsid w:val="00804E5A"/>
    <w:rsid w:val="00805E0A"/>
    <w:rsid w:val="0081075C"/>
    <w:rsid w:val="008108CE"/>
    <w:rsid w:val="0081161D"/>
    <w:rsid w:val="00812F07"/>
    <w:rsid w:val="008134D5"/>
    <w:rsid w:val="00816146"/>
    <w:rsid w:val="008202A0"/>
    <w:rsid w:val="00820A42"/>
    <w:rsid w:val="00821000"/>
    <w:rsid w:val="008252F4"/>
    <w:rsid w:val="00825D4F"/>
    <w:rsid w:val="00832C26"/>
    <w:rsid w:val="0083340F"/>
    <w:rsid w:val="008402CA"/>
    <w:rsid w:val="008453A3"/>
    <w:rsid w:val="008462EC"/>
    <w:rsid w:val="00852782"/>
    <w:rsid w:val="00853580"/>
    <w:rsid w:val="00853615"/>
    <w:rsid w:val="008566A9"/>
    <w:rsid w:val="00857FF0"/>
    <w:rsid w:val="00861ED8"/>
    <w:rsid w:val="008625F6"/>
    <w:rsid w:val="008708C6"/>
    <w:rsid w:val="00871893"/>
    <w:rsid w:val="00873BB7"/>
    <w:rsid w:val="008808BA"/>
    <w:rsid w:val="00882A15"/>
    <w:rsid w:val="008844FB"/>
    <w:rsid w:val="00885DCE"/>
    <w:rsid w:val="00893ED6"/>
    <w:rsid w:val="00894F31"/>
    <w:rsid w:val="00895D21"/>
    <w:rsid w:val="008A0FC0"/>
    <w:rsid w:val="008A445C"/>
    <w:rsid w:val="008A4F6C"/>
    <w:rsid w:val="008A71D1"/>
    <w:rsid w:val="008A7C27"/>
    <w:rsid w:val="008B4E94"/>
    <w:rsid w:val="008B5F75"/>
    <w:rsid w:val="008B60D0"/>
    <w:rsid w:val="008B629D"/>
    <w:rsid w:val="008C541F"/>
    <w:rsid w:val="008C7841"/>
    <w:rsid w:val="008C7E53"/>
    <w:rsid w:val="008D0D5E"/>
    <w:rsid w:val="008D5F68"/>
    <w:rsid w:val="008D603A"/>
    <w:rsid w:val="008D618F"/>
    <w:rsid w:val="008E164F"/>
    <w:rsid w:val="008E76CC"/>
    <w:rsid w:val="008F090F"/>
    <w:rsid w:val="00904750"/>
    <w:rsid w:val="00906734"/>
    <w:rsid w:val="00906F55"/>
    <w:rsid w:val="00927A43"/>
    <w:rsid w:val="00927CB9"/>
    <w:rsid w:val="009314A8"/>
    <w:rsid w:val="0093307C"/>
    <w:rsid w:val="00935BB0"/>
    <w:rsid w:val="00935D0C"/>
    <w:rsid w:val="00940962"/>
    <w:rsid w:val="00941CFF"/>
    <w:rsid w:val="00945F95"/>
    <w:rsid w:val="00951187"/>
    <w:rsid w:val="00954405"/>
    <w:rsid w:val="00955E15"/>
    <w:rsid w:val="0096135D"/>
    <w:rsid w:val="00962D62"/>
    <w:rsid w:val="0096345F"/>
    <w:rsid w:val="00967618"/>
    <w:rsid w:val="009727F2"/>
    <w:rsid w:val="00975451"/>
    <w:rsid w:val="00984F93"/>
    <w:rsid w:val="00985516"/>
    <w:rsid w:val="00985580"/>
    <w:rsid w:val="00986424"/>
    <w:rsid w:val="00987640"/>
    <w:rsid w:val="00993A60"/>
    <w:rsid w:val="009A197E"/>
    <w:rsid w:val="009B096A"/>
    <w:rsid w:val="009B7338"/>
    <w:rsid w:val="009C2526"/>
    <w:rsid w:val="009C37C6"/>
    <w:rsid w:val="009C7050"/>
    <w:rsid w:val="009C740D"/>
    <w:rsid w:val="009D0B3E"/>
    <w:rsid w:val="009D2FD6"/>
    <w:rsid w:val="009D3D60"/>
    <w:rsid w:val="009D62D9"/>
    <w:rsid w:val="009E260F"/>
    <w:rsid w:val="009E45A6"/>
    <w:rsid w:val="009E466D"/>
    <w:rsid w:val="009E5E35"/>
    <w:rsid w:val="009E7066"/>
    <w:rsid w:val="009E73A7"/>
    <w:rsid w:val="009E751A"/>
    <w:rsid w:val="009E7BCD"/>
    <w:rsid w:val="009F13A1"/>
    <w:rsid w:val="009F2153"/>
    <w:rsid w:val="009F484F"/>
    <w:rsid w:val="009F62CA"/>
    <w:rsid w:val="009F78E2"/>
    <w:rsid w:val="009F7F43"/>
    <w:rsid w:val="00A05DE0"/>
    <w:rsid w:val="00A05FFF"/>
    <w:rsid w:val="00A155B9"/>
    <w:rsid w:val="00A20B1C"/>
    <w:rsid w:val="00A214F5"/>
    <w:rsid w:val="00A23D9C"/>
    <w:rsid w:val="00A27251"/>
    <w:rsid w:val="00A27924"/>
    <w:rsid w:val="00A33370"/>
    <w:rsid w:val="00A33EDF"/>
    <w:rsid w:val="00A34618"/>
    <w:rsid w:val="00A35D2F"/>
    <w:rsid w:val="00A4083D"/>
    <w:rsid w:val="00A41A90"/>
    <w:rsid w:val="00A43581"/>
    <w:rsid w:val="00A504FE"/>
    <w:rsid w:val="00A524FA"/>
    <w:rsid w:val="00A52F5B"/>
    <w:rsid w:val="00A53031"/>
    <w:rsid w:val="00A55AB8"/>
    <w:rsid w:val="00A616E9"/>
    <w:rsid w:val="00A663A0"/>
    <w:rsid w:val="00A7489D"/>
    <w:rsid w:val="00A74A27"/>
    <w:rsid w:val="00A818B8"/>
    <w:rsid w:val="00A82300"/>
    <w:rsid w:val="00A823A5"/>
    <w:rsid w:val="00A82EEC"/>
    <w:rsid w:val="00A82F03"/>
    <w:rsid w:val="00A8460D"/>
    <w:rsid w:val="00A91CDF"/>
    <w:rsid w:val="00A9500C"/>
    <w:rsid w:val="00A9711C"/>
    <w:rsid w:val="00A973C2"/>
    <w:rsid w:val="00AA012B"/>
    <w:rsid w:val="00AA0CCE"/>
    <w:rsid w:val="00AA1AA4"/>
    <w:rsid w:val="00AB3524"/>
    <w:rsid w:val="00AB3AC1"/>
    <w:rsid w:val="00AB5414"/>
    <w:rsid w:val="00AB5B0D"/>
    <w:rsid w:val="00AC05F3"/>
    <w:rsid w:val="00AC081E"/>
    <w:rsid w:val="00AC24B6"/>
    <w:rsid w:val="00AC4403"/>
    <w:rsid w:val="00AC586A"/>
    <w:rsid w:val="00AD1243"/>
    <w:rsid w:val="00AD280A"/>
    <w:rsid w:val="00AD7DF3"/>
    <w:rsid w:val="00AE178A"/>
    <w:rsid w:val="00AE3645"/>
    <w:rsid w:val="00AE7621"/>
    <w:rsid w:val="00AE7A1A"/>
    <w:rsid w:val="00AF08BB"/>
    <w:rsid w:val="00AF2455"/>
    <w:rsid w:val="00AF3FB4"/>
    <w:rsid w:val="00AF4CA9"/>
    <w:rsid w:val="00AF55AD"/>
    <w:rsid w:val="00AF6A9E"/>
    <w:rsid w:val="00B01788"/>
    <w:rsid w:val="00B031B8"/>
    <w:rsid w:val="00B07CEC"/>
    <w:rsid w:val="00B10BE9"/>
    <w:rsid w:val="00B11601"/>
    <w:rsid w:val="00B126B2"/>
    <w:rsid w:val="00B2071C"/>
    <w:rsid w:val="00B224AD"/>
    <w:rsid w:val="00B2600E"/>
    <w:rsid w:val="00B270B9"/>
    <w:rsid w:val="00B36E59"/>
    <w:rsid w:val="00B3753F"/>
    <w:rsid w:val="00B41CF3"/>
    <w:rsid w:val="00B5749B"/>
    <w:rsid w:val="00B57536"/>
    <w:rsid w:val="00B57F66"/>
    <w:rsid w:val="00B631FB"/>
    <w:rsid w:val="00B66A68"/>
    <w:rsid w:val="00B72EC1"/>
    <w:rsid w:val="00B741BE"/>
    <w:rsid w:val="00B74D31"/>
    <w:rsid w:val="00B9264E"/>
    <w:rsid w:val="00B93FF5"/>
    <w:rsid w:val="00BA1ADC"/>
    <w:rsid w:val="00BA3289"/>
    <w:rsid w:val="00BB013A"/>
    <w:rsid w:val="00BB3507"/>
    <w:rsid w:val="00BB4524"/>
    <w:rsid w:val="00BB5E9F"/>
    <w:rsid w:val="00BC0504"/>
    <w:rsid w:val="00BC2062"/>
    <w:rsid w:val="00BC5933"/>
    <w:rsid w:val="00BC69D8"/>
    <w:rsid w:val="00BD0AB9"/>
    <w:rsid w:val="00BD2DE7"/>
    <w:rsid w:val="00BD2FBD"/>
    <w:rsid w:val="00BD55DF"/>
    <w:rsid w:val="00BD784B"/>
    <w:rsid w:val="00BE0477"/>
    <w:rsid w:val="00BE15FE"/>
    <w:rsid w:val="00BE18DA"/>
    <w:rsid w:val="00BE3B43"/>
    <w:rsid w:val="00BF03C9"/>
    <w:rsid w:val="00BF0BDB"/>
    <w:rsid w:val="00BF3DBB"/>
    <w:rsid w:val="00BF5758"/>
    <w:rsid w:val="00BF65CE"/>
    <w:rsid w:val="00BF72DD"/>
    <w:rsid w:val="00C005DE"/>
    <w:rsid w:val="00C00CF4"/>
    <w:rsid w:val="00C0712A"/>
    <w:rsid w:val="00C1555C"/>
    <w:rsid w:val="00C20D15"/>
    <w:rsid w:val="00C2241C"/>
    <w:rsid w:val="00C3067B"/>
    <w:rsid w:val="00C30862"/>
    <w:rsid w:val="00C30DAB"/>
    <w:rsid w:val="00C31A54"/>
    <w:rsid w:val="00C32809"/>
    <w:rsid w:val="00C32E7E"/>
    <w:rsid w:val="00C33420"/>
    <w:rsid w:val="00C34ECA"/>
    <w:rsid w:val="00C36169"/>
    <w:rsid w:val="00C37E6F"/>
    <w:rsid w:val="00C44656"/>
    <w:rsid w:val="00C45064"/>
    <w:rsid w:val="00C462EA"/>
    <w:rsid w:val="00C47833"/>
    <w:rsid w:val="00C5181F"/>
    <w:rsid w:val="00C53B10"/>
    <w:rsid w:val="00C56DC7"/>
    <w:rsid w:val="00C622C3"/>
    <w:rsid w:val="00C64F1C"/>
    <w:rsid w:val="00C65DC6"/>
    <w:rsid w:val="00C67D42"/>
    <w:rsid w:val="00C76FFC"/>
    <w:rsid w:val="00C7712D"/>
    <w:rsid w:val="00C77558"/>
    <w:rsid w:val="00C77686"/>
    <w:rsid w:val="00C829EE"/>
    <w:rsid w:val="00C83840"/>
    <w:rsid w:val="00C84655"/>
    <w:rsid w:val="00C91BE2"/>
    <w:rsid w:val="00C96C5F"/>
    <w:rsid w:val="00CA4C44"/>
    <w:rsid w:val="00CB1335"/>
    <w:rsid w:val="00CB1965"/>
    <w:rsid w:val="00CB1FC8"/>
    <w:rsid w:val="00CB4DF5"/>
    <w:rsid w:val="00CB6BC0"/>
    <w:rsid w:val="00CC1228"/>
    <w:rsid w:val="00CC28DE"/>
    <w:rsid w:val="00CC4145"/>
    <w:rsid w:val="00CC5EED"/>
    <w:rsid w:val="00CC6D23"/>
    <w:rsid w:val="00CD1E54"/>
    <w:rsid w:val="00CD42F2"/>
    <w:rsid w:val="00CF0543"/>
    <w:rsid w:val="00CF3709"/>
    <w:rsid w:val="00D007D2"/>
    <w:rsid w:val="00D01E5A"/>
    <w:rsid w:val="00D04F36"/>
    <w:rsid w:val="00D148EB"/>
    <w:rsid w:val="00D1572D"/>
    <w:rsid w:val="00D16C9F"/>
    <w:rsid w:val="00D2090E"/>
    <w:rsid w:val="00D21B3E"/>
    <w:rsid w:val="00D21B67"/>
    <w:rsid w:val="00D266C1"/>
    <w:rsid w:val="00D30F7A"/>
    <w:rsid w:val="00D3106C"/>
    <w:rsid w:val="00D33023"/>
    <w:rsid w:val="00D33985"/>
    <w:rsid w:val="00D33BA4"/>
    <w:rsid w:val="00D342D8"/>
    <w:rsid w:val="00D3700A"/>
    <w:rsid w:val="00D42E89"/>
    <w:rsid w:val="00D440F7"/>
    <w:rsid w:val="00D44B42"/>
    <w:rsid w:val="00D44B65"/>
    <w:rsid w:val="00D475B1"/>
    <w:rsid w:val="00D47F1E"/>
    <w:rsid w:val="00D543DD"/>
    <w:rsid w:val="00D547F7"/>
    <w:rsid w:val="00D63E4B"/>
    <w:rsid w:val="00D705CE"/>
    <w:rsid w:val="00D75542"/>
    <w:rsid w:val="00D76B31"/>
    <w:rsid w:val="00D82B8B"/>
    <w:rsid w:val="00D83AA2"/>
    <w:rsid w:val="00D90233"/>
    <w:rsid w:val="00D9248D"/>
    <w:rsid w:val="00D92B47"/>
    <w:rsid w:val="00D93AB7"/>
    <w:rsid w:val="00D942E7"/>
    <w:rsid w:val="00D9459D"/>
    <w:rsid w:val="00D9793E"/>
    <w:rsid w:val="00DA09F3"/>
    <w:rsid w:val="00DB15C4"/>
    <w:rsid w:val="00DB176D"/>
    <w:rsid w:val="00DB1779"/>
    <w:rsid w:val="00DC3796"/>
    <w:rsid w:val="00DC3A37"/>
    <w:rsid w:val="00DC56B8"/>
    <w:rsid w:val="00DC6C5D"/>
    <w:rsid w:val="00DD0A13"/>
    <w:rsid w:val="00DD16CE"/>
    <w:rsid w:val="00DD2AC7"/>
    <w:rsid w:val="00DD3D74"/>
    <w:rsid w:val="00DE474B"/>
    <w:rsid w:val="00DF0FF9"/>
    <w:rsid w:val="00DF144A"/>
    <w:rsid w:val="00DF1FD9"/>
    <w:rsid w:val="00DF21E6"/>
    <w:rsid w:val="00DF4204"/>
    <w:rsid w:val="00DF4472"/>
    <w:rsid w:val="00DF7F0D"/>
    <w:rsid w:val="00E02C67"/>
    <w:rsid w:val="00E04BF5"/>
    <w:rsid w:val="00E06ED5"/>
    <w:rsid w:val="00E110C1"/>
    <w:rsid w:val="00E11D8A"/>
    <w:rsid w:val="00E21DE1"/>
    <w:rsid w:val="00E23173"/>
    <w:rsid w:val="00E23AC2"/>
    <w:rsid w:val="00E278B7"/>
    <w:rsid w:val="00E3256F"/>
    <w:rsid w:val="00E32990"/>
    <w:rsid w:val="00E36024"/>
    <w:rsid w:val="00E41CF2"/>
    <w:rsid w:val="00E42088"/>
    <w:rsid w:val="00E43311"/>
    <w:rsid w:val="00E44F0A"/>
    <w:rsid w:val="00E47AE9"/>
    <w:rsid w:val="00E53037"/>
    <w:rsid w:val="00E55391"/>
    <w:rsid w:val="00E62052"/>
    <w:rsid w:val="00E632AC"/>
    <w:rsid w:val="00E674BC"/>
    <w:rsid w:val="00E70229"/>
    <w:rsid w:val="00E7136B"/>
    <w:rsid w:val="00E76C9B"/>
    <w:rsid w:val="00E77FB4"/>
    <w:rsid w:val="00E8073F"/>
    <w:rsid w:val="00E81218"/>
    <w:rsid w:val="00E84B72"/>
    <w:rsid w:val="00E84EB9"/>
    <w:rsid w:val="00EA0AC2"/>
    <w:rsid w:val="00EA3378"/>
    <w:rsid w:val="00EA625C"/>
    <w:rsid w:val="00EA7FEA"/>
    <w:rsid w:val="00EB07AF"/>
    <w:rsid w:val="00EB2BF2"/>
    <w:rsid w:val="00EC05E5"/>
    <w:rsid w:val="00EC0FCF"/>
    <w:rsid w:val="00ED1256"/>
    <w:rsid w:val="00ED4E56"/>
    <w:rsid w:val="00EE14F7"/>
    <w:rsid w:val="00EE1F37"/>
    <w:rsid w:val="00EF462A"/>
    <w:rsid w:val="00F050B1"/>
    <w:rsid w:val="00F06E99"/>
    <w:rsid w:val="00F0732D"/>
    <w:rsid w:val="00F14793"/>
    <w:rsid w:val="00F15FFE"/>
    <w:rsid w:val="00F16A54"/>
    <w:rsid w:val="00F25E76"/>
    <w:rsid w:val="00F31D46"/>
    <w:rsid w:val="00F33F40"/>
    <w:rsid w:val="00F412AA"/>
    <w:rsid w:val="00F430EE"/>
    <w:rsid w:val="00F44B71"/>
    <w:rsid w:val="00F45D29"/>
    <w:rsid w:val="00F47BD2"/>
    <w:rsid w:val="00F5015E"/>
    <w:rsid w:val="00F50A40"/>
    <w:rsid w:val="00F56218"/>
    <w:rsid w:val="00F60EA6"/>
    <w:rsid w:val="00F61044"/>
    <w:rsid w:val="00F63D53"/>
    <w:rsid w:val="00F73068"/>
    <w:rsid w:val="00F732F0"/>
    <w:rsid w:val="00F80B06"/>
    <w:rsid w:val="00F83D48"/>
    <w:rsid w:val="00F852FF"/>
    <w:rsid w:val="00F90BA6"/>
    <w:rsid w:val="00F90BE2"/>
    <w:rsid w:val="00F96947"/>
    <w:rsid w:val="00FA227B"/>
    <w:rsid w:val="00FA50C6"/>
    <w:rsid w:val="00FA5998"/>
    <w:rsid w:val="00FB12FE"/>
    <w:rsid w:val="00FB2DF1"/>
    <w:rsid w:val="00FB2EEF"/>
    <w:rsid w:val="00FB60CF"/>
    <w:rsid w:val="00FC6685"/>
    <w:rsid w:val="00FC6A48"/>
    <w:rsid w:val="00FD48E5"/>
    <w:rsid w:val="00FD5949"/>
    <w:rsid w:val="00FE176B"/>
    <w:rsid w:val="00FF2093"/>
    <w:rsid w:val="00FF4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505AF"/>
  <w15:chartTrackingRefBased/>
  <w15:docId w15:val="{ACF0C442-50A7-4702-95F3-A6B955BE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34"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73"/>
    <w:lsdException w:name="Plain Table 2" w:uiPriority="60"/>
    <w:lsdException w:name="Plain Table 3" w:uiPriority="61" w:qFormat="1"/>
    <w:lsdException w:name="Plain Table 4" w:uiPriority="62" w:qFormat="1"/>
    <w:lsdException w:name="Plain Table 5" w:uiPriority="63" w:qFormat="1"/>
    <w:lsdException w:name="Grid Table Light" w:uiPriority="64" w:qFormat="1"/>
    <w:lsdException w:name="Grid Table 1 Light" w:uiPriority="65" w:qFormat="1"/>
    <w:lsdException w:name="Grid Table 2" w:uiPriority="66"/>
    <w:lsdException w:name="Grid Table 3" w:uiPriority="67" w:qFormat="1"/>
    <w:lsdException w:name="Grid Table 4" w:uiPriority="68"/>
    <w:lsdException w:name="Grid Table 5 Dark" w:uiPriority="69"/>
    <w:lsdException w:name="Grid Table 6 Colorful" w:uiPriority="70" w:qFormat="1"/>
    <w:lsdException w:name="Grid Table 7 Colorful" w:uiPriority="71" w:qFormat="1"/>
    <w:lsdException w:name="Grid Table 1 Light Accent 1" w:uiPriority="72" w:qFormat="1"/>
    <w:lsdException w:name="Grid Table 2 Accent 1" w:uiPriority="73" w:qFormat="1"/>
    <w:lsdException w:name="Grid Table 3 Accent 1" w:uiPriority="60" w:qFormat="1"/>
    <w:lsdException w:name="Grid Table 4 Accent 1" w:uiPriority="61"/>
    <w:lsdException w:name="Grid Table 5 Dark Accent 1" w:uiPriority="62"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4E14E8"/>
    <w:rPr>
      <w:sz w:val="20"/>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link w:val="FootnoteText"/>
    <w:uiPriority w:val="99"/>
    <w:rsid w:val="004E14E8"/>
    <w:rPr>
      <w:lang w:val="es-EC"/>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
    <w:uiPriority w:val="99"/>
    <w:unhideWhenUsed/>
    <w:qFormat/>
    <w:rsid w:val="004E14E8"/>
    <w:rPr>
      <w:vertAlign w:val="superscript"/>
    </w:rPr>
  </w:style>
  <w:style w:type="paragraph" w:customStyle="1" w:styleId="MediumShading1-Accent11">
    <w:name w:val="Medium Shading 1 - Accent 11"/>
    <w:uiPriority w:val="1"/>
    <w:qFormat/>
    <w:rsid w:val="004E14E8"/>
    <w:rPr>
      <w:sz w:val="22"/>
      <w:szCs w:val="22"/>
      <w:lang w:val="es-EC"/>
    </w:rPr>
  </w:style>
  <w:style w:type="paragraph" w:styleId="Header">
    <w:name w:val="header"/>
    <w:basedOn w:val="Normal"/>
    <w:link w:val="HeaderChar"/>
    <w:uiPriority w:val="99"/>
    <w:unhideWhenUsed/>
    <w:rsid w:val="00024B99"/>
    <w:pPr>
      <w:tabs>
        <w:tab w:val="center" w:pos="4680"/>
        <w:tab w:val="right" w:pos="9360"/>
      </w:tabs>
    </w:pPr>
  </w:style>
  <w:style w:type="character" w:customStyle="1" w:styleId="HeaderChar">
    <w:name w:val="Header Char"/>
    <w:link w:val="Header"/>
    <w:uiPriority w:val="99"/>
    <w:rsid w:val="00024B99"/>
    <w:rPr>
      <w:sz w:val="22"/>
      <w:szCs w:val="22"/>
      <w:lang w:val="es-EC"/>
    </w:rPr>
  </w:style>
  <w:style w:type="paragraph" w:styleId="Footer">
    <w:name w:val="footer"/>
    <w:basedOn w:val="Normal"/>
    <w:link w:val="FooterChar"/>
    <w:uiPriority w:val="99"/>
    <w:unhideWhenUsed/>
    <w:rsid w:val="00024B99"/>
    <w:pPr>
      <w:tabs>
        <w:tab w:val="center" w:pos="4680"/>
        <w:tab w:val="right" w:pos="9360"/>
      </w:tabs>
    </w:pPr>
  </w:style>
  <w:style w:type="character" w:customStyle="1" w:styleId="FooterChar">
    <w:name w:val="Footer Char"/>
    <w:link w:val="Footer"/>
    <w:uiPriority w:val="99"/>
    <w:rsid w:val="00024B99"/>
    <w:rPr>
      <w:sz w:val="22"/>
      <w:szCs w:val="22"/>
      <w:lang w:val="es-EC"/>
    </w:rPr>
  </w:style>
  <w:style w:type="character" w:styleId="Hyperlink">
    <w:name w:val="Hyperlink"/>
    <w:uiPriority w:val="99"/>
    <w:unhideWhenUsed/>
    <w:rsid w:val="00074455"/>
    <w:rPr>
      <w:color w:val="0563C1"/>
      <w:u w:val="single"/>
    </w:rPr>
  </w:style>
  <w:style w:type="paragraph" w:styleId="EndnoteText">
    <w:name w:val="endnote text"/>
    <w:basedOn w:val="Normal"/>
    <w:link w:val="EndnoteTextChar"/>
    <w:uiPriority w:val="99"/>
    <w:semiHidden/>
    <w:unhideWhenUsed/>
    <w:rsid w:val="009E466D"/>
    <w:rPr>
      <w:sz w:val="20"/>
      <w:szCs w:val="20"/>
    </w:rPr>
  </w:style>
  <w:style w:type="character" w:customStyle="1" w:styleId="EndnoteTextChar">
    <w:name w:val="Endnote Text Char"/>
    <w:link w:val="EndnoteText"/>
    <w:uiPriority w:val="99"/>
    <w:semiHidden/>
    <w:rsid w:val="009E466D"/>
    <w:rPr>
      <w:lang w:val="es-EC"/>
    </w:rPr>
  </w:style>
  <w:style w:type="character" w:styleId="EndnoteReference">
    <w:name w:val="endnote reference"/>
    <w:uiPriority w:val="99"/>
    <w:semiHidden/>
    <w:unhideWhenUsed/>
    <w:rsid w:val="009E466D"/>
    <w:rPr>
      <w:vertAlign w:val="superscript"/>
    </w:rPr>
  </w:style>
  <w:style w:type="paragraph" w:customStyle="1" w:styleId="ColorfulList-Accent11">
    <w:name w:val="Colorful List - Accent 11"/>
    <w:basedOn w:val="Normal"/>
    <w:uiPriority w:val="34"/>
    <w:qFormat/>
    <w:rsid w:val="003E338E"/>
    <w:pPr>
      <w:spacing w:after="160" w:line="259" w:lineRule="auto"/>
      <w:ind w:left="720"/>
      <w:contextualSpacing/>
    </w:pPr>
    <w:rPr>
      <w:lang w:val="es-ES_tradnl"/>
    </w:rPr>
  </w:style>
  <w:style w:type="paragraph" w:styleId="BlockText">
    <w:name w:val="Block Text"/>
    <w:basedOn w:val="Normal"/>
    <w:uiPriority w:val="99"/>
    <w:semiHidden/>
    <w:unhideWhenUsed/>
    <w:rsid w:val="00DF4472"/>
    <w:pPr>
      <w:spacing w:after="120"/>
      <w:ind w:left="1440" w:right="1440"/>
    </w:pPr>
  </w:style>
  <w:style w:type="paragraph" w:styleId="BalloonText">
    <w:name w:val="Balloon Text"/>
    <w:basedOn w:val="Normal"/>
    <w:link w:val="BalloonTextChar"/>
    <w:uiPriority w:val="99"/>
    <w:semiHidden/>
    <w:unhideWhenUsed/>
    <w:rsid w:val="00DA09F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A09F3"/>
    <w:rPr>
      <w:rFonts w:ascii="Segoe UI" w:hAnsi="Segoe UI" w:cs="Segoe UI"/>
      <w:sz w:val="18"/>
      <w:szCs w:val="18"/>
      <w:lang w:val="es-EC"/>
    </w:rPr>
  </w:style>
  <w:style w:type="character" w:styleId="CommentReference">
    <w:name w:val="annotation reference"/>
    <w:uiPriority w:val="99"/>
    <w:semiHidden/>
    <w:unhideWhenUsed/>
    <w:rsid w:val="00C31A54"/>
    <w:rPr>
      <w:sz w:val="16"/>
      <w:szCs w:val="16"/>
    </w:rPr>
  </w:style>
  <w:style w:type="paragraph" w:styleId="CommentText">
    <w:name w:val="annotation text"/>
    <w:basedOn w:val="Normal"/>
    <w:link w:val="CommentTextChar"/>
    <w:uiPriority w:val="99"/>
    <w:semiHidden/>
    <w:unhideWhenUsed/>
    <w:rsid w:val="00C31A54"/>
    <w:rPr>
      <w:sz w:val="20"/>
      <w:szCs w:val="20"/>
    </w:rPr>
  </w:style>
  <w:style w:type="character" w:customStyle="1" w:styleId="CommentTextChar">
    <w:name w:val="Comment Text Char"/>
    <w:link w:val="CommentText"/>
    <w:uiPriority w:val="99"/>
    <w:semiHidden/>
    <w:rsid w:val="00C31A54"/>
    <w:rPr>
      <w:lang w:val="es-EC"/>
    </w:rPr>
  </w:style>
  <w:style w:type="paragraph" w:styleId="CommentSubject">
    <w:name w:val="annotation subject"/>
    <w:basedOn w:val="CommentText"/>
    <w:next w:val="CommentText"/>
    <w:link w:val="CommentSubjectChar"/>
    <w:uiPriority w:val="99"/>
    <w:semiHidden/>
    <w:unhideWhenUsed/>
    <w:rsid w:val="00C31A54"/>
    <w:rPr>
      <w:b/>
      <w:bCs/>
    </w:rPr>
  </w:style>
  <w:style w:type="character" w:customStyle="1" w:styleId="CommentSubjectChar">
    <w:name w:val="Comment Subject Char"/>
    <w:link w:val="CommentSubject"/>
    <w:uiPriority w:val="99"/>
    <w:semiHidden/>
    <w:rsid w:val="00C31A54"/>
    <w:rPr>
      <w:b/>
      <w:bCs/>
      <w:lang w:val="es-EC"/>
    </w:rPr>
  </w:style>
  <w:style w:type="paragraph" w:customStyle="1" w:styleId="MediumGrid1-Accent21">
    <w:name w:val="Medium Grid 1 - Accent 21"/>
    <w:basedOn w:val="Normal"/>
    <w:uiPriority w:val="34"/>
    <w:qFormat/>
    <w:rsid w:val="00B41CF3"/>
    <w:pPr>
      <w:spacing w:after="160" w:line="259" w:lineRule="auto"/>
      <w:ind w:left="720"/>
      <w:contextualSpacing/>
    </w:pPr>
    <w:rPr>
      <w:lang w:val="en-US"/>
    </w:rPr>
  </w:style>
  <w:style w:type="character" w:styleId="FollowedHyperlink">
    <w:name w:val="FollowedHyperlink"/>
    <w:uiPriority w:val="99"/>
    <w:semiHidden/>
    <w:unhideWhenUsed/>
    <w:rsid w:val="007C234D"/>
    <w:rPr>
      <w:color w:val="954F72"/>
      <w:u w:val="single"/>
    </w:rPr>
  </w:style>
  <w:style w:type="paragraph" w:customStyle="1" w:styleId="MediumGrid2-Accent11">
    <w:name w:val="Medium Grid 2 - Accent 11"/>
    <w:uiPriority w:val="1"/>
    <w:qFormat/>
    <w:rsid w:val="00477535"/>
    <w:rPr>
      <w:sz w:val="22"/>
      <w:szCs w:val="22"/>
      <w:lang w:val="es-EC"/>
    </w:rPr>
  </w:style>
  <w:style w:type="character" w:styleId="UnresolvedMention">
    <w:name w:val="Unresolved Mention"/>
    <w:basedOn w:val="DefaultParagraphFont"/>
    <w:uiPriority w:val="99"/>
    <w:semiHidden/>
    <w:unhideWhenUsed/>
    <w:rsid w:val="00272B3F"/>
    <w:rPr>
      <w:color w:val="605E5C"/>
      <w:shd w:val="clear" w:color="auto" w:fill="E1DFDD"/>
    </w:rPr>
  </w:style>
  <w:style w:type="paragraph" w:styleId="NormalWeb">
    <w:name w:val="Normal (Web)"/>
    <w:basedOn w:val="Normal"/>
    <w:uiPriority w:val="99"/>
    <w:semiHidden/>
    <w:unhideWhenUsed/>
    <w:rsid w:val="00BA3289"/>
    <w:rPr>
      <w:rFonts w:ascii="Times New Roman" w:hAnsi="Times New Roman"/>
      <w:sz w:val="24"/>
      <w:szCs w:val="24"/>
    </w:rPr>
  </w:style>
  <w:style w:type="paragraph" w:styleId="ListParagraph">
    <w:name w:val="List Paragraph"/>
    <w:basedOn w:val="Normal"/>
    <w:uiPriority w:val="99"/>
    <w:qFormat/>
    <w:rsid w:val="00BE1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71558">
      <w:bodyDiv w:val="1"/>
      <w:marLeft w:val="0"/>
      <w:marRight w:val="0"/>
      <w:marTop w:val="0"/>
      <w:marBottom w:val="0"/>
      <w:divBdr>
        <w:top w:val="none" w:sz="0" w:space="0" w:color="auto"/>
        <w:left w:val="none" w:sz="0" w:space="0" w:color="auto"/>
        <w:bottom w:val="none" w:sz="0" w:space="0" w:color="auto"/>
        <w:right w:val="none" w:sz="0" w:space="0" w:color="auto"/>
      </w:divBdr>
    </w:div>
    <w:div w:id="284508051">
      <w:bodyDiv w:val="1"/>
      <w:marLeft w:val="0"/>
      <w:marRight w:val="0"/>
      <w:marTop w:val="0"/>
      <w:marBottom w:val="0"/>
      <w:divBdr>
        <w:top w:val="none" w:sz="0" w:space="0" w:color="auto"/>
        <w:left w:val="none" w:sz="0" w:space="0" w:color="auto"/>
        <w:bottom w:val="none" w:sz="0" w:space="0" w:color="auto"/>
        <w:right w:val="none" w:sz="0" w:space="0" w:color="auto"/>
      </w:divBdr>
    </w:div>
    <w:div w:id="438181419">
      <w:bodyDiv w:val="1"/>
      <w:marLeft w:val="0"/>
      <w:marRight w:val="0"/>
      <w:marTop w:val="0"/>
      <w:marBottom w:val="0"/>
      <w:divBdr>
        <w:top w:val="none" w:sz="0" w:space="0" w:color="auto"/>
        <w:left w:val="none" w:sz="0" w:space="0" w:color="auto"/>
        <w:bottom w:val="none" w:sz="0" w:space="0" w:color="auto"/>
        <w:right w:val="none" w:sz="0" w:space="0" w:color="auto"/>
      </w:divBdr>
      <w:divsChild>
        <w:div w:id="486946651">
          <w:marLeft w:val="720"/>
          <w:marRight w:val="0"/>
          <w:marTop w:val="200"/>
          <w:marBottom w:val="0"/>
          <w:divBdr>
            <w:top w:val="none" w:sz="0" w:space="0" w:color="auto"/>
            <w:left w:val="none" w:sz="0" w:space="0" w:color="auto"/>
            <w:bottom w:val="none" w:sz="0" w:space="0" w:color="auto"/>
            <w:right w:val="none" w:sz="0" w:space="0" w:color="auto"/>
          </w:divBdr>
        </w:div>
        <w:div w:id="1205291524">
          <w:marLeft w:val="720"/>
          <w:marRight w:val="0"/>
          <w:marTop w:val="200"/>
          <w:marBottom w:val="0"/>
          <w:divBdr>
            <w:top w:val="none" w:sz="0" w:space="0" w:color="auto"/>
            <w:left w:val="none" w:sz="0" w:space="0" w:color="auto"/>
            <w:bottom w:val="none" w:sz="0" w:space="0" w:color="auto"/>
            <w:right w:val="none" w:sz="0" w:space="0" w:color="auto"/>
          </w:divBdr>
        </w:div>
      </w:divsChild>
    </w:div>
    <w:div w:id="577131326">
      <w:bodyDiv w:val="1"/>
      <w:marLeft w:val="0"/>
      <w:marRight w:val="0"/>
      <w:marTop w:val="0"/>
      <w:marBottom w:val="0"/>
      <w:divBdr>
        <w:top w:val="none" w:sz="0" w:space="0" w:color="auto"/>
        <w:left w:val="none" w:sz="0" w:space="0" w:color="auto"/>
        <w:bottom w:val="none" w:sz="0" w:space="0" w:color="auto"/>
        <w:right w:val="none" w:sz="0" w:space="0" w:color="auto"/>
      </w:divBdr>
      <w:divsChild>
        <w:div w:id="261956761">
          <w:marLeft w:val="720"/>
          <w:marRight w:val="0"/>
          <w:marTop w:val="200"/>
          <w:marBottom w:val="0"/>
          <w:divBdr>
            <w:top w:val="none" w:sz="0" w:space="0" w:color="auto"/>
            <w:left w:val="none" w:sz="0" w:space="0" w:color="auto"/>
            <w:bottom w:val="none" w:sz="0" w:space="0" w:color="auto"/>
            <w:right w:val="none" w:sz="0" w:space="0" w:color="auto"/>
          </w:divBdr>
        </w:div>
        <w:div w:id="342708822">
          <w:marLeft w:val="720"/>
          <w:marRight w:val="0"/>
          <w:marTop w:val="200"/>
          <w:marBottom w:val="0"/>
          <w:divBdr>
            <w:top w:val="none" w:sz="0" w:space="0" w:color="auto"/>
            <w:left w:val="none" w:sz="0" w:space="0" w:color="auto"/>
            <w:bottom w:val="none" w:sz="0" w:space="0" w:color="auto"/>
            <w:right w:val="none" w:sz="0" w:space="0" w:color="auto"/>
          </w:divBdr>
        </w:div>
      </w:divsChild>
    </w:div>
    <w:div w:id="742801317">
      <w:bodyDiv w:val="1"/>
      <w:marLeft w:val="0"/>
      <w:marRight w:val="0"/>
      <w:marTop w:val="0"/>
      <w:marBottom w:val="0"/>
      <w:divBdr>
        <w:top w:val="none" w:sz="0" w:space="0" w:color="auto"/>
        <w:left w:val="none" w:sz="0" w:space="0" w:color="auto"/>
        <w:bottom w:val="none" w:sz="0" w:space="0" w:color="auto"/>
        <w:right w:val="none" w:sz="0" w:space="0" w:color="auto"/>
      </w:divBdr>
    </w:div>
    <w:div w:id="972439821">
      <w:bodyDiv w:val="1"/>
      <w:marLeft w:val="0"/>
      <w:marRight w:val="0"/>
      <w:marTop w:val="0"/>
      <w:marBottom w:val="0"/>
      <w:divBdr>
        <w:top w:val="none" w:sz="0" w:space="0" w:color="auto"/>
        <w:left w:val="none" w:sz="0" w:space="0" w:color="auto"/>
        <w:bottom w:val="none" w:sz="0" w:space="0" w:color="auto"/>
        <w:right w:val="none" w:sz="0" w:space="0" w:color="auto"/>
      </w:divBdr>
      <w:divsChild>
        <w:div w:id="347954311">
          <w:marLeft w:val="720"/>
          <w:marRight w:val="0"/>
          <w:marTop w:val="200"/>
          <w:marBottom w:val="0"/>
          <w:divBdr>
            <w:top w:val="none" w:sz="0" w:space="0" w:color="auto"/>
            <w:left w:val="none" w:sz="0" w:space="0" w:color="auto"/>
            <w:bottom w:val="none" w:sz="0" w:space="0" w:color="auto"/>
            <w:right w:val="none" w:sz="0" w:space="0" w:color="auto"/>
          </w:divBdr>
        </w:div>
        <w:div w:id="440106562">
          <w:marLeft w:val="720"/>
          <w:marRight w:val="0"/>
          <w:marTop w:val="200"/>
          <w:marBottom w:val="0"/>
          <w:divBdr>
            <w:top w:val="none" w:sz="0" w:space="0" w:color="auto"/>
            <w:left w:val="none" w:sz="0" w:space="0" w:color="auto"/>
            <w:bottom w:val="none" w:sz="0" w:space="0" w:color="auto"/>
            <w:right w:val="none" w:sz="0" w:space="0" w:color="auto"/>
          </w:divBdr>
        </w:div>
        <w:div w:id="695617496">
          <w:marLeft w:val="720"/>
          <w:marRight w:val="0"/>
          <w:marTop w:val="200"/>
          <w:marBottom w:val="0"/>
          <w:divBdr>
            <w:top w:val="none" w:sz="0" w:space="0" w:color="auto"/>
            <w:left w:val="none" w:sz="0" w:space="0" w:color="auto"/>
            <w:bottom w:val="none" w:sz="0" w:space="0" w:color="auto"/>
            <w:right w:val="none" w:sz="0" w:space="0" w:color="auto"/>
          </w:divBdr>
        </w:div>
        <w:div w:id="1823423279">
          <w:marLeft w:val="720"/>
          <w:marRight w:val="0"/>
          <w:marTop w:val="200"/>
          <w:marBottom w:val="0"/>
          <w:divBdr>
            <w:top w:val="none" w:sz="0" w:space="0" w:color="auto"/>
            <w:left w:val="none" w:sz="0" w:space="0" w:color="auto"/>
            <w:bottom w:val="none" w:sz="0" w:space="0" w:color="auto"/>
            <w:right w:val="none" w:sz="0" w:space="0" w:color="auto"/>
          </w:divBdr>
        </w:div>
      </w:divsChild>
    </w:div>
    <w:div w:id="996499057">
      <w:bodyDiv w:val="1"/>
      <w:marLeft w:val="0"/>
      <w:marRight w:val="0"/>
      <w:marTop w:val="0"/>
      <w:marBottom w:val="0"/>
      <w:divBdr>
        <w:top w:val="none" w:sz="0" w:space="0" w:color="auto"/>
        <w:left w:val="none" w:sz="0" w:space="0" w:color="auto"/>
        <w:bottom w:val="none" w:sz="0" w:space="0" w:color="auto"/>
        <w:right w:val="none" w:sz="0" w:space="0" w:color="auto"/>
      </w:divBdr>
      <w:divsChild>
        <w:div w:id="253365771">
          <w:marLeft w:val="2434"/>
          <w:marRight w:val="0"/>
          <w:marTop w:val="100"/>
          <w:marBottom w:val="0"/>
          <w:divBdr>
            <w:top w:val="none" w:sz="0" w:space="0" w:color="auto"/>
            <w:left w:val="none" w:sz="0" w:space="0" w:color="auto"/>
            <w:bottom w:val="none" w:sz="0" w:space="0" w:color="auto"/>
            <w:right w:val="none" w:sz="0" w:space="0" w:color="auto"/>
          </w:divBdr>
        </w:div>
        <w:div w:id="436874948">
          <w:marLeft w:val="2434"/>
          <w:marRight w:val="0"/>
          <w:marTop w:val="100"/>
          <w:marBottom w:val="0"/>
          <w:divBdr>
            <w:top w:val="none" w:sz="0" w:space="0" w:color="auto"/>
            <w:left w:val="none" w:sz="0" w:space="0" w:color="auto"/>
            <w:bottom w:val="none" w:sz="0" w:space="0" w:color="auto"/>
            <w:right w:val="none" w:sz="0" w:space="0" w:color="auto"/>
          </w:divBdr>
        </w:div>
        <w:div w:id="621376962">
          <w:marLeft w:val="2434"/>
          <w:marRight w:val="0"/>
          <w:marTop w:val="100"/>
          <w:marBottom w:val="0"/>
          <w:divBdr>
            <w:top w:val="none" w:sz="0" w:space="0" w:color="auto"/>
            <w:left w:val="none" w:sz="0" w:space="0" w:color="auto"/>
            <w:bottom w:val="none" w:sz="0" w:space="0" w:color="auto"/>
            <w:right w:val="none" w:sz="0" w:space="0" w:color="auto"/>
          </w:divBdr>
        </w:div>
        <w:div w:id="1017315558">
          <w:marLeft w:val="720"/>
          <w:marRight w:val="0"/>
          <w:marTop w:val="200"/>
          <w:marBottom w:val="0"/>
          <w:divBdr>
            <w:top w:val="none" w:sz="0" w:space="0" w:color="auto"/>
            <w:left w:val="none" w:sz="0" w:space="0" w:color="auto"/>
            <w:bottom w:val="none" w:sz="0" w:space="0" w:color="auto"/>
            <w:right w:val="none" w:sz="0" w:space="0" w:color="auto"/>
          </w:divBdr>
        </w:div>
      </w:divsChild>
    </w:div>
    <w:div w:id="1219170718">
      <w:bodyDiv w:val="1"/>
      <w:marLeft w:val="0"/>
      <w:marRight w:val="0"/>
      <w:marTop w:val="0"/>
      <w:marBottom w:val="0"/>
      <w:divBdr>
        <w:top w:val="none" w:sz="0" w:space="0" w:color="auto"/>
        <w:left w:val="none" w:sz="0" w:space="0" w:color="auto"/>
        <w:bottom w:val="none" w:sz="0" w:space="0" w:color="auto"/>
        <w:right w:val="none" w:sz="0" w:space="0" w:color="auto"/>
      </w:divBdr>
      <w:divsChild>
        <w:div w:id="68695372">
          <w:marLeft w:val="720"/>
          <w:marRight w:val="0"/>
          <w:marTop w:val="200"/>
          <w:marBottom w:val="0"/>
          <w:divBdr>
            <w:top w:val="none" w:sz="0" w:space="0" w:color="auto"/>
            <w:left w:val="none" w:sz="0" w:space="0" w:color="auto"/>
            <w:bottom w:val="none" w:sz="0" w:space="0" w:color="auto"/>
            <w:right w:val="none" w:sz="0" w:space="0" w:color="auto"/>
          </w:divBdr>
        </w:div>
        <w:div w:id="1042941855">
          <w:marLeft w:val="720"/>
          <w:marRight w:val="0"/>
          <w:marTop w:val="200"/>
          <w:marBottom w:val="0"/>
          <w:divBdr>
            <w:top w:val="none" w:sz="0" w:space="0" w:color="auto"/>
            <w:left w:val="none" w:sz="0" w:space="0" w:color="auto"/>
            <w:bottom w:val="none" w:sz="0" w:space="0" w:color="auto"/>
            <w:right w:val="none" w:sz="0" w:space="0" w:color="auto"/>
          </w:divBdr>
        </w:div>
      </w:divsChild>
    </w:div>
    <w:div w:id="1265461553">
      <w:bodyDiv w:val="1"/>
      <w:marLeft w:val="0"/>
      <w:marRight w:val="0"/>
      <w:marTop w:val="0"/>
      <w:marBottom w:val="0"/>
      <w:divBdr>
        <w:top w:val="none" w:sz="0" w:space="0" w:color="auto"/>
        <w:left w:val="none" w:sz="0" w:space="0" w:color="auto"/>
        <w:bottom w:val="none" w:sz="0" w:space="0" w:color="auto"/>
        <w:right w:val="none" w:sz="0" w:space="0" w:color="auto"/>
      </w:divBdr>
    </w:div>
    <w:div w:id="189303446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44">
          <w:marLeft w:val="0"/>
          <w:marRight w:val="0"/>
          <w:marTop w:val="0"/>
          <w:marBottom w:val="0"/>
          <w:divBdr>
            <w:top w:val="none" w:sz="0" w:space="0" w:color="auto"/>
            <w:left w:val="none" w:sz="0" w:space="0" w:color="auto"/>
            <w:bottom w:val="none" w:sz="0" w:space="0" w:color="auto"/>
            <w:right w:val="none" w:sz="0" w:space="0" w:color="auto"/>
          </w:divBdr>
          <w:divsChild>
            <w:div w:id="1993946021">
              <w:marLeft w:val="0"/>
              <w:marRight w:val="0"/>
              <w:marTop w:val="0"/>
              <w:marBottom w:val="0"/>
              <w:divBdr>
                <w:top w:val="none" w:sz="0" w:space="0" w:color="auto"/>
                <w:left w:val="none" w:sz="0" w:space="0" w:color="auto"/>
                <w:bottom w:val="none" w:sz="0" w:space="0" w:color="auto"/>
                <w:right w:val="none" w:sz="0" w:space="0" w:color="auto"/>
              </w:divBdr>
              <w:divsChild>
                <w:div w:id="11105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804">
      <w:bodyDiv w:val="1"/>
      <w:marLeft w:val="0"/>
      <w:marRight w:val="0"/>
      <w:marTop w:val="0"/>
      <w:marBottom w:val="0"/>
      <w:divBdr>
        <w:top w:val="none" w:sz="0" w:space="0" w:color="auto"/>
        <w:left w:val="none" w:sz="0" w:space="0" w:color="auto"/>
        <w:bottom w:val="none" w:sz="0" w:space="0" w:color="auto"/>
        <w:right w:val="none" w:sz="0" w:space="0" w:color="auto"/>
      </w:divBdr>
    </w:div>
    <w:div w:id="206617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nhcr.org/flagship-reports/globaltrends/" TargetMode="External"/><Relationship Id="rId2" Type="http://schemas.openxmlformats.org/officeDocument/2006/relationships/hyperlink" Target="https://news.un.org/es/story/2021/12/1501972" TargetMode="External"/><Relationship Id="rId1" Type="http://schemas.openxmlformats.org/officeDocument/2006/relationships/hyperlink" Target="https://publications.iom.int/books/world-migration-report-2022" TargetMode="External"/><Relationship Id="rId5" Type="http://schemas.openxmlformats.org/officeDocument/2006/relationships/hyperlink" Target="https://reliefweb.int/report/mexico/informe-anual-del-marco-integral-regional-para-la-protecci-n-y-soluciones-mirps-2021" TargetMode="External"/><Relationship Id="rId4" Type="http://schemas.openxmlformats.org/officeDocument/2006/relationships/hyperlink" Target="https://www.r4v.info/es/refugiadosymigra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3092F-B3EE-4497-805A-A1F7E3F16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1520</Words>
  <Characters>8669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Burns, Sandra</cp:lastModifiedBy>
  <cp:revision>4</cp:revision>
  <cp:lastPrinted>2022-03-02T20:23:00Z</cp:lastPrinted>
  <dcterms:created xsi:type="dcterms:W3CDTF">2022-03-02T21:39:00Z</dcterms:created>
  <dcterms:modified xsi:type="dcterms:W3CDTF">2022-03-04T17:41:00Z</dcterms:modified>
</cp:coreProperties>
</file>