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352C" w14:textId="1A95EFD5" w:rsidR="005D6B12" w:rsidRPr="00ED09E2" w:rsidRDefault="005D6B12" w:rsidP="005D6B12">
      <w:pPr>
        <w:tabs>
          <w:tab w:val="left" w:pos="6210"/>
          <w:tab w:val="left" w:pos="6300"/>
          <w:tab w:val="left" w:pos="6660"/>
          <w:tab w:val="left" w:pos="7020"/>
        </w:tabs>
        <w:spacing w:after="0" w:line="240" w:lineRule="auto"/>
        <w:jc w:val="both"/>
        <w:rPr>
          <w:rFonts w:ascii="Times New Roman" w:eastAsia="Times New Roman" w:hAnsi="Times New Roman"/>
        </w:rPr>
      </w:pPr>
      <w:r w:rsidRPr="00ED09E2">
        <w:rPr>
          <w:rFonts w:ascii="Times New Roman" w:hAnsi="Times New Roman"/>
        </w:rPr>
        <w:t>COMMISSION DES QUESTIONS DE MIGRATION</w:t>
      </w:r>
      <w:r w:rsidRPr="00ED09E2">
        <w:rPr>
          <w:rFonts w:ascii="Times New Roman" w:hAnsi="Times New Roman"/>
        </w:rPr>
        <w:tab/>
      </w:r>
      <w:r w:rsidRPr="00ED09E2">
        <w:rPr>
          <w:rFonts w:ascii="Times New Roman" w:hAnsi="Times New Roman"/>
        </w:rPr>
        <w:tab/>
        <w:t>OEA/Ser.W</w:t>
      </w:r>
    </w:p>
    <w:p w14:paraId="728AAC4D" w14:textId="77777777" w:rsidR="005D6B12" w:rsidRPr="00ED09E2" w:rsidRDefault="005D6B12" w:rsidP="005D6B12">
      <w:pPr>
        <w:tabs>
          <w:tab w:val="left" w:pos="6300"/>
          <w:tab w:val="left" w:pos="6660"/>
          <w:tab w:val="left" w:pos="7020"/>
        </w:tabs>
        <w:spacing w:after="0" w:line="240" w:lineRule="auto"/>
        <w:jc w:val="both"/>
        <w:rPr>
          <w:rFonts w:ascii="Times New Roman" w:eastAsia="Times New Roman" w:hAnsi="Times New Roman"/>
        </w:rPr>
      </w:pPr>
      <w:r w:rsidRPr="00ED09E2">
        <w:rPr>
          <w:rFonts w:ascii="Times New Roman" w:hAnsi="Times New Roman"/>
        </w:rPr>
        <w:tab/>
        <w:t>CIDI/CAM/doc.108/22</w:t>
      </w:r>
    </w:p>
    <w:p w14:paraId="4D010593" w14:textId="77777777" w:rsidR="005D6B12" w:rsidRPr="00ED09E2" w:rsidRDefault="005D6B12" w:rsidP="005D6B12">
      <w:pPr>
        <w:tabs>
          <w:tab w:val="left" w:pos="6210"/>
          <w:tab w:val="left" w:pos="6300"/>
          <w:tab w:val="left" w:pos="6390"/>
          <w:tab w:val="left" w:pos="6480"/>
          <w:tab w:val="left" w:pos="6660"/>
          <w:tab w:val="left" w:pos="7020"/>
        </w:tabs>
        <w:spacing w:after="0" w:line="240" w:lineRule="auto"/>
        <w:jc w:val="both"/>
        <w:rPr>
          <w:rFonts w:ascii="Times New Roman" w:eastAsia="Times New Roman" w:hAnsi="Times New Roman"/>
        </w:rPr>
      </w:pPr>
      <w:r w:rsidRPr="00ED09E2">
        <w:rPr>
          <w:rFonts w:ascii="Times New Roman" w:hAnsi="Times New Roman"/>
          <w:smallCaps/>
        </w:rPr>
        <w:tab/>
      </w:r>
      <w:r w:rsidRPr="00ED09E2">
        <w:rPr>
          <w:rFonts w:ascii="Times New Roman" w:hAnsi="Times New Roman"/>
          <w:smallCaps/>
        </w:rPr>
        <w:tab/>
      </w:r>
      <w:r w:rsidRPr="00ED09E2">
        <w:rPr>
          <w:rFonts w:ascii="Times New Roman" w:hAnsi="Times New Roman"/>
        </w:rPr>
        <w:t>13 avril 2022</w:t>
      </w:r>
    </w:p>
    <w:p w14:paraId="3B3FBF21" w14:textId="77777777" w:rsidR="005D6B12" w:rsidRPr="00ED09E2" w:rsidRDefault="005D6B12" w:rsidP="005D6B12">
      <w:pPr>
        <w:tabs>
          <w:tab w:val="left" w:pos="6120"/>
          <w:tab w:val="left" w:pos="6300"/>
          <w:tab w:val="left" w:pos="6660"/>
          <w:tab w:val="left" w:pos="7020"/>
        </w:tabs>
        <w:spacing w:after="0" w:line="240" w:lineRule="auto"/>
        <w:jc w:val="both"/>
        <w:rPr>
          <w:rFonts w:ascii="Times New Roman" w:eastAsia="Times New Roman" w:hAnsi="Times New Roman"/>
        </w:rPr>
      </w:pPr>
      <w:r w:rsidRPr="00ED09E2">
        <w:rPr>
          <w:rFonts w:ascii="Times New Roman" w:hAnsi="Times New Roman"/>
        </w:rPr>
        <w:tab/>
      </w:r>
      <w:r w:rsidRPr="00ED09E2">
        <w:rPr>
          <w:rFonts w:ascii="Times New Roman" w:hAnsi="Times New Roman"/>
        </w:rPr>
        <w:tab/>
        <w:t>Original: espagnol</w:t>
      </w:r>
    </w:p>
    <w:p w14:paraId="17942FF4" w14:textId="77777777" w:rsidR="005D6B12" w:rsidRPr="00E917E0" w:rsidRDefault="005D6B12" w:rsidP="005D6B12">
      <w:pPr>
        <w:pBdr>
          <w:bottom w:val="single" w:sz="12" w:space="1" w:color="auto"/>
        </w:pBdr>
        <w:tabs>
          <w:tab w:val="left" w:pos="6750"/>
        </w:tabs>
        <w:spacing w:after="0" w:line="240" w:lineRule="auto"/>
        <w:jc w:val="both"/>
        <w:rPr>
          <w:rFonts w:ascii="Times New Roman" w:hAnsi="Times New Roman"/>
          <w:b/>
          <w:bCs/>
          <w:lang w:val="pt-BR"/>
        </w:rPr>
      </w:pPr>
    </w:p>
    <w:p w14:paraId="2B006AC0" w14:textId="77777777" w:rsidR="005D6B12" w:rsidRPr="00ED09E2" w:rsidRDefault="005D6B12" w:rsidP="005D6B12">
      <w:pPr>
        <w:pStyle w:val="MediumShading1-Accent11"/>
        <w:jc w:val="both"/>
        <w:rPr>
          <w:rFonts w:ascii="Times New Roman" w:hAnsi="Times New Roman"/>
        </w:rPr>
      </w:pPr>
    </w:p>
    <w:p w14:paraId="4A0C09B0" w14:textId="77777777" w:rsidR="005D6B12" w:rsidRPr="00ED09E2" w:rsidRDefault="005D6B12" w:rsidP="005D6B12">
      <w:pPr>
        <w:pStyle w:val="MediumShading1-Accent11"/>
        <w:jc w:val="both"/>
        <w:rPr>
          <w:rFonts w:ascii="Times New Roman" w:hAnsi="Times New Roman"/>
        </w:rPr>
      </w:pPr>
    </w:p>
    <w:p w14:paraId="4ADC78C8" w14:textId="77777777" w:rsidR="005D6B12" w:rsidRPr="00ED09E2" w:rsidRDefault="005D6B12" w:rsidP="005D6B12">
      <w:pPr>
        <w:pStyle w:val="MediumShading1-Accent11"/>
        <w:jc w:val="center"/>
        <w:rPr>
          <w:rFonts w:ascii="Times New Roman" w:hAnsi="Times New Roman"/>
          <w:noProof/>
        </w:rPr>
      </w:pPr>
      <w:r w:rsidRPr="00ED09E2">
        <w:rPr>
          <w:rFonts w:ascii="Times New Roman" w:hAnsi="Times New Roman"/>
        </w:rPr>
        <w:t>DOCUMENT DE RÉFLEXION</w:t>
      </w:r>
    </w:p>
    <w:p w14:paraId="07127451" w14:textId="77777777" w:rsidR="005D6B12" w:rsidRPr="00ED09E2" w:rsidRDefault="005D6B12" w:rsidP="00E917E0">
      <w:pPr>
        <w:pStyle w:val="MediumShading1-Accent11"/>
        <w:rPr>
          <w:rFonts w:ascii="Times New Roman" w:hAnsi="Times New Roman"/>
          <w:noProof/>
        </w:rPr>
      </w:pPr>
    </w:p>
    <w:p w14:paraId="6A04EADD" w14:textId="77777777" w:rsidR="005D6B12" w:rsidRPr="00ED09E2" w:rsidRDefault="005D6B12" w:rsidP="005D6B12">
      <w:pPr>
        <w:pStyle w:val="MediumShading1-Accent11"/>
        <w:jc w:val="center"/>
        <w:rPr>
          <w:rFonts w:ascii="Times New Roman" w:hAnsi="Times New Roman"/>
        </w:rPr>
      </w:pPr>
      <w:r w:rsidRPr="00ED09E2">
        <w:rPr>
          <w:rFonts w:ascii="Times New Roman" w:hAnsi="Times New Roman"/>
        </w:rPr>
        <w:t>RÉUNION THÉMATIQUE : « MIGRATION EN AMÉRIQUE DU SUD ET MIGRATION DANS LES CARAÏBES »</w:t>
      </w:r>
    </w:p>
    <w:p w14:paraId="59B31D44" w14:textId="77777777" w:rsidR="005D6B12" w:rsidRPr="00ED09E2" w:rsidRDefault="005D6B12" w:rsidP="00E917E0">
      <w:pPr>
        <w:pStyle w:val="MediumShading1-Accent11"/>
        <w:rPr>
          <w:rFonts w:ascii="Times New Roman" w:hAnsi="Times New Roman"/>
        </w:rPr>
      </w:pPr>
    </w:p>
    <w:p w14:paraId="477692A5" w14:textId="77777777" w:rsidR="005D6B12" w:rsidRPr="00ED09E2" w:rsidRDefault="005D6B12" w:rsidP="005D6B12">
      <w:pPr>
        <w:pStyle w:val="MediumShading1-Accent11"/>
        <w:jc w:val="center"/>
        <w:rPr>
          <w:rFonts w:ascii="Times New Roman" w:hAnsi="Times New Roman"/>
        </w:rPr>
      </w:pPr>
      <w:r w:rsidRPr="00ED09E2">
        <w:rPr>
          <w:rFonts w:ascii="Times New Roman" w:hAnsi="Times New Roman"/>
        </w:rPr>
        <w:t>(28 avril 2022)</w:t>
      </w:r>
    </w:p>
    <w:p w14:paraId="2AE48EB9" w14:textId="77777777" w:rsidR="005D6B12" w:rsidRPr="00ED09E2" w:rsidRDefault="005D6B12" w:rsidP="00E917E0">
      <w:pPr>
        <w:pStyle w:val="MediumShading1-Accent11"/>
        <w:rPr>
          <w:rFonts w:ascii="Times New Roman" w:hAnsi="Times New Roman"/>
        </w:rPr>
      </w:pPr>
    </w:p>
    <w:p w14:paraId="1D440D53" w14:textId="77777777" w:rsidR="005D6B12" w:rsidRPr="00ED09E2" w:rsidRDefault="005D6B12" w:rsidP="005D6B12">
      <w:pPr>
        <w:pStyle w:val="MediumShading1-Accent11"/>
        <w:jc w:val="center"/>
        <w:rPr>
          <w:rFonts w:ascii="Times New Roman" w:hAnsi="Times New Roman"/>
        </w:rPr>
      </w:pPr>
      <w:r w:rsidRPr="00ED09E2">
        <w:rPr>
          <w:rFonts w:ascii="Times New Roman" w:hAnsi="Times New Roman"/>
        </w:rPr>
        <w:t>(Document élaboré par la présidence de la CAM avec le concours du Secrétariat technique)</w:t>
      </w:r>
    </w:p>
    <w:p w14:paraId="56BFF2E1" w14:textId="77777777" w:rsidR="005D6B12" w:rsidRPr="00ED09E2" w:rsidRDefault="005D6B12" w:rsidP="005D6B12">
      <w:pPr>
        <w:spacing w:after="0" w:line="240" w:lineRule="auto"/>
        <w:jc w:val="both"/>
        <w:rPr>
          <w:rFonts w:ascii="Times New Roman" w:hAnsi="Times New Roman"/>
        </w:rPr>
      </w:pPr>
    </w:p>
    <w:p w14:paraId="1CD597C1" w14:textId="0A003AB8" w:rsidR="005D6B12" w:rsidRPr="00ED09E2" w:rsidRDefault="005D6B12" w:rsidP="005D6B12">
      <w:pPr>
        <w:spacing w:after="0" w:line="240" w:lineRule="auto"/>
        <w:ind w:firstLine="720"/>
        <w:jc w:val="both"/>
        <w:rPr>
          <w:rFonts w:ascii="Times New Roman" w:hAnsi="Times New Roman"/>
          <w:vertAlign w:val="superscript"/>
        </w:rPr>
      </w:pPr>
      <w:r w:rsidRPr="00ED09E2">
        <w:rPr>
          <w:rFonts w:ascii="Times New Roman" w:hAnsi="Times New Roman"/>
        </w:rPr>
        <w:t>Selon l'Organisation internationale pour les migrations (OIM), au cours des 15 dernières années, le nombre de migrants internationaux en Amérique latine et dans les Caraïbes est passé de 7 à 15 millions</w:t>
      </w:r>
      <w:r w:rsidRPr="00E917E0">
        <w:rPr>
          <w:rStyle w:val="FootnoteReference"/>
          <w:rFonts w:ascii="Times New Roman" w:hAnsi="Times New Roman"/>
          <w:u w:val="single"/>
          <w:lang w:val="es-419"/>
        </w:rPr>
        <w:footnoteReference w:id="1"/>
      </w:r>
      <w:r w:rsidR="00E917E0">
        <w:rPr>
          <w:rFonts w:ascii="Times New Roman" w:hAnsi="Times New Roman"/>
          <w:vertAlign w:val="superscript"/>
        </w:rPr>
        <w:t>/</w:t>
      </w:r>
      <w:r w:rsidRPr="00ED09E2">
        <w:rPr>
          <w:rFonts w:ascii="Times New Roman" w:hAnsi="Times New Roman"/>
        </w:rPr>
        <w:t>, ce qui en fait la région ayant le plus fort taux de croissance des migrants internationaux et la destination de 5,3 % de tous les migrants internationaux</w:t>
      </w:r>
      <w:r w:rsidRPr="00E917E0">
        <w:rPr>
          <w:rStyle w:val="FootnoteReference"/>
          <w:rFonts w:ascii="Times New Roman" w:hAnsi="Times New Roman"/>
          <w:u w:val="single"/>
          <w:lang w:val="es-419"/>
        </w:rPr>
        <w:footnoteReference w:id="2"/>
      </w:r>
      <w:r w:rsidR="00E917E0">
        <w:rPr>
          <w:rFonts w:ascii="Times New Roman" w:hAnsi="Times New Roman"/>
          <w:vertAlign w:val="superscript"/>
        </w:rPr>
        <w:t>/</w:t>
      </w:r>
      <w:r w:rsidRPr="00ED09E2">
        <w:rPr>
          <w:rFonts w:ascii="Times New Roman" w:hAnsi="Times New Roman"/>
        </w:rPr>
        <w:t>.</w:t>
      </w:r>
    </w:p>
    <w:p w14:paraId="492B7DD0" w14:textId="77777777" w:rsidR="005D6B12" w:rsidRPr="00E917E0" w:rsidRDefault="005D6B12" w:rsidP="00E917E0">
      <w:pPr>
        <w:spacing w:after="0" w:line="240" w:lineRule="auto"/>
        <w:jc w:val="both"/>
        <w:rPr>
          <w:rFonts w:ascii="Times New Roman" w:hAnsi="Times New Roman"/>
        </w:rPr>
      </w:pPr>
    </w:p>
    <w:p w14:paraId="24865EF8" w14:textId="77777777" w:rsidR="005D6B12" w:rsidRPr="00ED09E2" w:rsidRDefault="005D6B12" w:rsidP="005D6B12">
      <w:pPr>
        <w:spacing w:after="0" w:line="240" w:lineRule="auto"/>
        <w:ind w:firstLine="720"/>
        <w:jc w:val="both"/>
        <w:rPr>
          <w:rFonts w:ascii="Times New Roman" w:hAnsi="Times New Roman"/>
        </w:rPr>
      </w:pPr>
      <w:r w:rsidRPr="00ED09E2">
        <w:rPr>
          <w:rFonts w:ascii="Times New Roman" w:hAnsi="Times New Roman"/>
        </w:rPr>
        <w:t>Les perspectives régionales et sous-régionales facilitent la compréhension de la diversité des modèles de migration, des changements récents, des tendances et des défis. En particulier en Amérique du Sud et dans les Caraïbes, en octobre 2021, l'OIM présente trois principaux constats</w:t>
      </w:r>
      <w:r w:rsidRPr="00ED09E2">
        <w:rPr>
          <w:rStyle w:val="FootnoteReference"/>
          <w:rFonts w:ascii="Times New Roman" w:hAnsi="Times New Roman"/>
        </w:rPr>
        <w:footnoteReference w:id="3"/>
      </w:r>
      <w:r w:rsidRPr="00ED09E2">
        <w:rPr>
          <w:rFonts w:ascii="Times New Roman" w:hAnsi="Times New Roman"/>
        </w:rPr>
        <w:t xml:space="preserve">. Tout d'abord, la composition des flux migratoires connaissant une situation de vulnérabilité est clairement hétérogène en termes de genre, d'âge et d'origine, les ressortissants du Venezuela, d'Haïti, de Cuba et d'autres pays des Caraïbes, ainsi que d'Asie et d'Afrique, se distinguant. D'autre part, ces dernières années, on a pu constater que des migrants se sont installés régulièrement dans des pays d'Amérique du Sud, notamment au Chili et au Brésil, et il existe des cas de personnes de nationalité sud-américaine dont les mères et les pères sont originaires des Caraïbes. Troisièmement, les catastrophes naturelles et l'instabilité politique dans les pays d'origine, associées à la crise socioéconomique provoquée par la COVID-19, ont augmenté les flux migratoires de l'Amérique du Sud vers l'Amérique du Nord. </w:t>
      </w:r>
    </w:p>
    <w:p w14:paraId="51F611BB" w14:textId="77777777" w:rsidR="005D6B12" w:rsidRPr="00ED09E2" w:rsidRDefault="005D6B12" w:rsidP="00E917E0">
      <w:pPr>
        <w:spacing w:after="0" w:line="240" w:lineRule="auto"/>
        <w:jc w:val="both"/>
        <w:rPr>
          <w:rFonts w:ascii="Times New Roman" w:hAnsi="Times New Roman"/>
        </w:rPr>
      </w:pPr>
    </w:p>
    <w:p w14:paraId="68131144" w14:textId="39C64904" w:rsidR="005D6B12" w:rsidRPr="00ED09E2" w:rsidRDefault="00ED09E2" w:rsidP="00E917E0">
      <w:pPr>
        <w:pStyle w:val="ListParagraph"/>
        <w:numPr>
          <w:ilvl w:val="0"/>
          <w:numId w:val="1"/>
        </w:numPr>
        <w:spacing w:after="0" w:line="240" w:lineRule="auto"/>
        <w:ind w:hanging="720"/>
        <w:jc w:val="both"/>
        <w:rPr>
          <w:rFonts w:ascii="Times New Roman" w:hAnsi="Times New Roman"/>
        </w:rPr>
      </w:pPr>
      <w:r w:rsidRPr="00ED09E2">
        <w:rPr>
          <w:rFonts w:ascii="Times New Roman" w:hAnsi="Times New Roman"/>
        </w:rPr>
        <w:t>Amérique du Sud</w:t>
      </w:r>
    </w:p>
    <w:p w14:paraId="3E8A51D8" w14:textId="77777777" w:rsidR="005D6B12" w:rsidRPr="00E917E0" w:rsidRDefault="005D6B12" w:rsidP="00E917E0">
      <w:pPr>
        <w:spacing w:after="0" w:line="240" w:lineRule="auto"/>
        <w:jc w:val="both"/>
        <w:rPr>
          <w:rFonts w:ascii="Times New Roman" w:hAnsi="Times New Roman"/>
          <w:lang w:val="es-419"/>
        </w:rPr>
      </w:pPr>
    </w:p>
    <w:p w14:paraId="5B7293C6" w14:textId="47605D9A" w:rsidR="005D6B12" w:rsidRPr="00ED09E2" w:rsidRDefault="005D6B12" w:rsidP="005D6B12">
      <w:pPr>
        <w:spacing w:after="0" w:line="240" w:lineRule="auto"/>
        <w:ind w:firstLine="720"/>
        <w:jc w:val="both"/>
        <w:rPr>
          <w:rFonts w:ascii="Times New Roman" w:hAnsi="Times New Roman"/>
        </w:rPr>
      </w:pPr>
      <w:r w:rsidRPr="00ED09E2">
        <w:rPr>
          <w:rFonts w:ascii="Times New Roman" w:hAnsi="Times New Roman"/>
        </w:rPr>
        <w:t>La dynamique migratoire prédominante en Amérique du Sud reste la migration intrarégionale, essentiellement en raison des mouvements à grande échelle de migrants et de réfugiés vénézuéliens au cours des cinq dernières années. Cette réalité est mise en évidence par les données statistiques du Département des affaires économiques et sociales des Nations Unies (DESA), qui couvrent la période de 1990 à 2020</w:t>
      </w:r>
      <w:r w:rsidRPr="00E40519">
        <w:rPr>
          <w:rStyle w:val="FootnoteReference"/>
          <w:rFonts w:ascii="Times New Roman" w:hAnsi="Times New Roman"/>
          <w:u w:val="single"/>
          <w:lang w:val="es-419"/>
        </w:rPr>
        <w:footnoteReference w:id="4"/>
      </w:r>
      <w:r w:rsidR="00E40519" w:rsidRPr="00E40519">
        <w:rPr>
          <w:rFonts w:ascii="Times New Roman" w:hAnsi="Times New Roman"/>
          <w:vertAlign w:val="superscript"/>
        </w:rPr>
        <w:t>/</w:t>
      </w:r>
      <w:r w:rsidRPr="00ED09E2">
        <w:rPr>
          <w:rFonts w:ascii="Times New Roman" w:hAnsi="Times New Roman"/>
        </w:rPr>
        <w:t xml:space="preserve">: </w:t>
      </w:r>
    </w:p>
    <w:p w14:paraId="559BF7A2" w14:textId="77777777" w:rsidR="005D6B12" w:rsidRPr="00E917E0" w:rsidRDefault="005D6B12" w:rsidP="00E917E0">
      <w:pPr>
        <w:spacing w:after="0" w:line="240" w:lineRule="auto"/>
        <w:jc w:val="both"/>
        <w:rPr>
          <w:rFonts w:ascii="Times New Roman" w:hAnsi="Times New Roman"/>
        </w:rPr>
      </w:pPr>
    </w:p>
    <w:p w14:paraId="5B77E07C" w14:textId="77777777" w:rsidR="005D6B12" w:rsidRPr="00ED09E2" w:rsidRDefault="005D6B12" w:rsidP="00E40519">
      <w:pPr>
        <w:pStyle w:val="ListParagraph"/>
        <w:numPr>
          <w:ilvl w:val="0"/>
          <w:numId w:val="2"/>
        </w:numPr>
        <w:spacing w:after="0" w:line="240" w:lineRule="auto"/>
        <w:ind w:hanging="720"/>
        <w:jc w:val="both"/>
        <w:rPr>
          <w:rFonts w:ascii="Times New Roman" w:hAnsi="Times New Roman"/>
        </w:rPr>
      </w:pPr>
      <w:r w:rsidRPr="00ED09E2">
        <w:rPr>
          <w:rFonts w:ascii="Times New Roman" w:hAnsi="Times New Roman"/>
        </w:rPr>
        <w:lastRenderedPageBreak/>
        <w:t xml:space="preserve">Sur les presque 18 millions de migrants originaires d'Amérique du Sud, 8 557 503 ont pour destination d'autres pays de la même région, comme l'Argentine, le Brésil et le Chili. En d'autres termes, près de la moitié des migrants d'Amérique du Sud ont pour destination d'autres pays de la même région. </w:t>
      </w:r>
    </w:p>
    <w:p w14:paraId="20EBDEB3" w14:textId="77777777" w:rsidR="005D6B12" w:rsidRPr="00ED09E2" w:rsidRDefault="005D6B12" w:rsidP="005D6B12">
      <w:pPr>
        <w:spacing w:after="0" w:line="240" w:lineRule="auto"/>
        <w:jc w:val="both"/>
        <w:rPr>
          <w:rFonts w:ascii="Times New Roman" w:hAnsi="Times New Roman"/>
          <w:lang w:val="es-419"/>
        </w:rPr>
      </w:pPr>
    </w:p>
    <w:p w14:paraId="13CB30DA" w14:textId="54FABA27" w:rsidR="005D6B12" w:rsidRPr="00ED09E2" w:rsidRDefault="005D6B12" w:rsidP="005D6B12">
      <w:pPr>
        <w:spacing w:after="0" w:line="240" w:lineRule="auto"/>
        <w:ind w:firstLine="720"/>
        <w:jc w:val="both"/>
        <w:rPr>
          <w:rFonts w:ascii="Times New Roman" w:hAnsi="Times New Roman"/>
        </w:rPr>
      </w:pPr>
      <w:r w:rsidRPr="00ED09E2">
        <w:rPr>
          <w:rFonts w:ascii="Times New Roman" w:hAnsi="Times New Roman"/>
        </w:rPr>
        <w:t>Cette situation a conduit à la signature d'accords régionaux qui facilitent la circulation régulière dans la région et cherchent à réduire les dangers auxquels sont exposés les migrants irréguliers, tels que l'exploitation, la violence, l'extorsion, la traite des personnes, la violence sexuelle, l'enlèvement, le recrutement forcé par des groupes criminels organisés, la disparition et la mort</w:t>
      </w:r>
      <w:r w:rsidRPr="00E40519">
        <w:rPr>
          <w:rStyle w:val="FootnoteReference"/>
          <w:rFonts w:ascii="Times New Roman" w:hAnsi="Times New Roman"/>
          <w:u w:val="single"/>
          <w:lang w:val="es-419"/>
        </w:rPr>
        <w:footnoteReference w:id="5"/>
      </w:r>
      <w:r w:rsidR="00E40519">
        <w:rPr>
          <w:rFonts w:ascii="Times New Roman" w:hAnsi="Times New Roman"/>
          <w:vertAlign w:val="superscript"/>
        </w:rPr>
        <w:t>/</w:t>
      </w:r>
      <w:r w:rsidRPr="00ED09E2">
        <w:rPr>
          <w:rFonts w:ascii="Times New Roman" w:hAnsi="Times New Roman"/>
        </w:rPr>
        <w:t xml:space="preserve">. </w:t>
      </w:r>
    </w:p>
    <w:p w14:paraId="751DDB08" w14:textId="77777777" w:rsidR="005D6B12" w:rsidRPr="00ED09E2" w:rsidRDefault="005D6B12" w:rsidP="00E40519">
      <w:pPr>
        <w:spacing w:after="0" w:line="240" w:lineRule="auto"/>
        <w:jc w:val="both"/>
        <w:rPr>
          <w:rFonts w:ascii="Times New Roman" w:hAnsi="Times New Roman"/>
          <w:lang w:val="es-419"/>
        </w:rPr>
      </w:pPr>
    </w:p>
    <w:p w14:paraId="1568B8D2" w14:textId="31C44129" w:rsidR="005D6B12" w:rsidRPr="00ED09E2" w:rsidRDefault="005D6B12" w:rsidP="005D6B12">
      <w:pPr>
        <w:spacing w:after="0" w:line="240" w:lineRule="auto"/>
        <w:ind w:firstLine="720"/>
        <w:jc w:val="both"/>
        <w:rPr>
          <w:rFonts w:ascii="Times New Roman" w:hAnsi="Times New Roman"/>
        </w:rPr>
      </w:pPr>
      <w:r w:rsidRPr="00ED09E2">
        <w:rPr>
          <w:rFonts w:ascii="Times New Roman" w:hAnsi="Times New Roman"/>
        </w:rPr>
        <w:t xml:space="preserve">Cependant, il existe encore des itinéraires peu sûrs où les droits de la personne de la population migrante sont violés. Par conséquent, afin d'aborder les principales caractéristiques et évolutions de la migration, il est nécessaire de mettre en évidence les routes migratoires intrarégionales et inter-régionales, qui constituent un défi pour garantir la vie et l'intégrité des migrants. Le projet sur les migrants disparus de l’OIM met en évidence les points suivants avec les observations les concernant </w:t>
      </w:r>
      <w:r w:rsidRPr="00E40519">
        <w:rPr>
          <w:rStyle w:val="FootnoteReference"/>
          <w:rFonts w:ascii="Times New Roman" w:hAnsi="Times New Roman"/>
          <w:u w:val="single"/>
          <w:lang w:val="es-419"/>
        </w:rPr>
        <w:footnoteReference w:id="6"/>
      </w:r>
      <w:r w:rsidR="00E40519">
        <w:rPr>
          <w:rFonts w:ascii="Times New Roman" w:hAnsi="Times New Roman"/>
          <w:vertAlign w:val="superscript"/>
        </w:rPr>
        <w:t>/</w:t>
      </w:r>
      <w:r w:rsidRPr="00ED09E2">
        <w:rPr>
          <w:rFonts w:ascii="Times New Roman" w:hAnsi="Times New Roman"/>
        </w:rPr>
        <w:t xml:space="preserve">: </w:t>
      </w:r>
    </w:p>
    <w:p w14:paraId="6D870DF4" w14:textId="77777777" w:rsidR="005D6B12" w:rsidRPr="00ED09E2" w:rsidRDefault="005D6B12" w:rsidP="005D6B12">
      <w:pPr>
        <w:spacing w:after="0" w:line="240" w:lineRule="auto"/>
        <w:ind w:firstLine="720"/>
        <w:jc w:val="both"/>
        <w:rPr>
          <w:rFonts w:ascii="Times New Roman" w:hAnsi="Times New Roman"/>
          <w:lang w:val="es-419"/>
        </w:rPr>
      </w:pPr>
    </w:p>
    <w:p w14:paraId="712F3649" w14:textId="77777777" w:rsidR="005D6B12" w:rsidRPr="00ED09E2" w:rsidRDefault="005D6B12" w:rsidP="00E40519">
      <w:pPr>
        <w:pStyle w:val="ListParagraph"/>
        <w:numPr>
          <w:ilvl w:val="0"/>
          <w:numId w:val="3"/>
        </w:numPr>
        <w:spacing w:after="0" w:line="240" w:lineRule="auto"/>
        <w:ind w:left="1440" w:hanging="720"/>
        <w:jc w:val="both"/>
        <w:rPr>
          <w:rFonts w:ascii="Times New Roman" w:hAnsi="Times New Roman"/>
        </w:rPr>
      </w:pPr>
      <w:r w:rsidRPr="00ED09E2">
        <w:rPr>
          <w:rFonts w:ascii="Times New Roman" w:hAnsi="Times New Roman"/>
        </w:rPr>
        <w:t>Venezuela-Colombie : Les dangers ne sont pas seulement les caractéristiques géographiques et les barrières naturelles, mais aussi la présence du crime organisé et des groupes de guérilla.</w:t>
      </w:r>
    </w:p>
    <w:p w14:paraId="3B42770C" w14:textId="48341473" w:rsidR="005D6B12" w:rsidRPr="00ED09E2" w:rsidRDefault="005D6B12" w:rsidP="00E40519">
      <w:pPr>
        <w:pStyle w:val="ListParagraph"/>
        <w:numPr>
          <w:ilvl w:val="0"/>
          <w:numId w:val="3"/>
        </w:numPr>
        <w:spacing w:after="0" w:line="240" w:lineRule="auto"/>
        <w:ind w:left="1440" w:hanging="720"/>
        <w:jc w:val="both"/>
        <w:rPr>
          <w:rFonts w:ascii="Times New Roman" w:hAnsi="Times New Roman"/>
        </w:rPr>
      </w:pPr>
      <w:r w:rsidRPr="00ED09E2">
        <w:rPr>
          <w:rFonts w:ascii="Times New Roman" w:hAnsi="Times New Roman"/>
        </w:rPr>
        <w:t xml:space="preserve">« Bouchon » du Darien (Colombie-Panama) : Les mouvements vers l'Amérique du Nord depuis l'Amérique du Sud, qui traverse le « Bouchon » du Darien, partent essentiellement du Chili, de l'Équateur, du Guyana et du Brésil. On constate également une augmentation des migrants caribéens et </w:t>
      </w:r>
      <w:r w:rsidR="009A00CF" w:rsidRPr="00ED09E2">
        <w:rPr>
          <w:rFonts w:ascii="Times New Roman" w:hAnsi="Times New Roman"/>
        </w:rPr>
        <w:t>extracontinentaux</w:t>
      </w:r>
      <w:r w:rsidRPr="00ED09E2">
        <w:rPr>
          <w:rFonts w:ascii="Times New Roman" w:hAnsi="Times New Roman"/>
        </w:rPr>
        <w:t>, principalement en provenance d'Asie et d'Afrique.</w:t>
      </w:r>
    </w:p>
    <w:p w14:paraId="7FDDC9D1" w14:textId="77777777" w:rsidR="005D6B12" w:rsidRPr="00ED09E2" w:rsidRDefault="005D6B12" w:rsidP="00E40519">
      <w:pPr>
        <w:pStyle w:val="ListParagraph"/>
        <w:numPr>
          <w:ilvl w:val="0"/>
          <w:numId w:val="3"/>
        </w:numPr>
        <w:spacing w:after="0" w:line="240" w:lineRule="auto"/>
        <w:ind w:left="1440" w:hanging="720"/>
        <w:jc w:val="both"/>
        <w:rPr>
          <w:rFonts w:ascii="Times New Roman" w:hAnsi="Times New Roman"/>
        </w:rPr>
      </w:pPr>
      <w:r w:rsidRPr="00ED09E2">
        <w:rPr>
          <w:rFonts w:ascii="Times New Roman" w:hAnsi="Times New Roman"/>
        </w:rPr>
        <w:t xml:space="preserve">Venezuela-Caraïbes : Vers 2013, depuis le début de la crise sociopolitique au Venezuela, une route migratoire maritime s'est consolidée depuis la côte caribéenne vénézuélienne vers plusieurs îles des Caraïbes comme Aruba, Curaçao et Bonaire, et en particulier vers Trinité-et-Tobago. En outre, les personnes qui y transitent sont exposées à des risques liés à des voyages en bateau peu sûrs, à des naufrages et à la criminalité, notamment la traite des personnes. En 2019, la mobilité humaine sur cet itinéraire a augmenté, étant principalement utilisée par des migrants et des réfugiés vénézuéliens. </w:t>
      </w:r>
    </w:p>
    <w:p w14:paraId="7A945B8C" w14:textId="77777777" w:rsidR="005D6B12" w:rsidRPr="00E40519" w:rsidRDefault="005D6B12" w:rsidP="00E40519">
      <w:pPr>
        <w:spacing w:after="0" w:line="240" w:lineRule="auto"/>
        <w:jc w:val="both"/>
        <w:rPr>
          <w:rFonts w:ascii="Times New Roman" w:hAnsi="Times New Roman"/>
          <w:lang w:val="es-419"/>
        </w:rPr>
      </w:pPr>
    </w:p>
    <w:p w14:paraId="2888F72E" w14:textId="518B3199" w:rsidR="005D6B12" w:rsidRPr="00E40519" w:rsidRDefault="005D6B12" w:rsidP="005D6B12">
      <w:pPr>
        <w:spacing w:after="0" w:line="240" w:lineRule="auto"/>
        <w:ind w:firstLine="720"/>
        <w:jc w:val="both"/>
        <w:rPr>
          <w:rFonts w:ascii="Times New Roman" w:hAnsi="Times New Roman"/>
          <w:vertAlign w:val="superscript"/>
        </w:rPr>
      </w:pPr>
      <w:r w:rsidRPr="00ED09E2">
        <w:rPr>
          <w:rFonts w:ascii="Times New Roman" w:hAnsi="Times New Roman"/>
        </w:rPr>
        <w:t>En outre, en ce qui concerne les cas de migrants disparus ou décédés sur ces itinéraires (y compris les réfugiés et les demandeurs d'asile), l'OIM signale 171 incidents dans le Bouchon du Darien de 2014 à ce jour, dont 51 se sont produits en 2021. Parallèlement, sur la route Venezuela-Caraïbes, 187 incidents ont été recensés avec un pic de 53 décès de migrants en décembre 2020. En ce qui concerne ces chiffres, le projet sur les migrants disparus souligne que la collecte d'informations sur les migrants qui disparaissent et meurent le long des routes maritimes des Caraïbes est très complexe en raison de plusieurs facteurs : l'éloignement des routes maritimes, le secret qui entoure les départs des bateaux et le manque d'informations sur les trajectoires. Par conséquent, de nombreux naufrages avec des migrants ne sont jamais identifiés et, de plus, le nombre exact de personnes à bord et leur identité sont rarement connus.</w:t>
      </w:r>
      <w:r w:rsidRPr="00E40519">
        <w:rPr>
          <w:rStyle w:val="FootnoteReference"/>
          <w:rFonts w:ascii="Times New Roman" w:hAnsi="Times New Roman"/>
          <w:u w:val="single"/>
        </w:rPr>
        <w:footnoteReference w:id="7"/>
      </w:r>
      <w:r w:rsidR="00E40519">
        <w:rPr>
          <w:rFonts w:ascii="Times New Roman" w:hAnsi="Times New Roman"/>
          <w:vertAlign w:val="superscript"/>
        </w:rPr>
        <w:t>/</w:t>
      </w:r>
    </w:p>
    <w:p w14:paraId="297F7A27" w14:textId="77777777" w:rsidR="005D6B12" w:rsidRPr="00ED09E2" w:rsidRDefault="005D6B12" w:rsidP="005D6B12">
      <w:pPr>
        <w:spacing w:after="0" w:line="240" w:lineRule="auto"/>
        <w:jc w:val="both"/>
        <w:rPr>
          <w:rFonts w:ascii="Times New Roman" w:hAnsi="Times New Roman"/>
        </w:rPr>
      </w:pPr>
    </w:p>
    <w:p w14:paraId="1A7DE6DD" w14:textId="1C00553B" w:rsidR="005D6B12" w:rsidRPr="00ED09E2" w:rsidRDefault="005D6B12" w:rsidP="005D6B12">
      <w:pPr>
        <w:spacing w:after="0" w:line="240" w:lineRule="auto"/>
        <w:ind w:firstLine="720"/>
        <w:jc w:val="both"/>
        <w:rPr>
          <w:rFonts w:ascii="Times New Roman" w:hAnsi="Times New Roman"/>
        </w:rPr>
      </w:pPr>
      <w:r w:rsidRPr="00ED09E2">
        <w:rPr>
          <w:rFonts w:ascii="Times New Roman" w:hAnsi="Times New Roman"/>
        </w:rPr>
        <w:t xml:space="preserve">Alors que la région est confrontée à l'une des plus grandes crises humanitaires de son histoire récente, les principaux défis auxquels sont confrontés les migrants concernent l'accès à la </w:t>
      </w:r>
      <w:r w:rsidRPr="00ED09E2">
        <w:rPr>
          <w:rFonts w:ascii="Times New Roman" w:hAnsi="Times New Roman"/>
        </w:rPr>
        <w:lastRenderedPageBreak/>
        <w:t>régularisation, la reconnaissance du statut de réfugié et l'intégration des ressortissants vénézuéliens</w:t>
      </w:r>
      <w:r w:rsidRPr="001717C6">
        <w:rPr>
          <w:rStyle w:val="FootnoteReference"/>
          <w:rFonts w:ascii="Times New Roman" w:hAnsi="Times New Roman"/>
          <w:u w:val="single"/>
        </w:rPr>
        <w:footnoteReference w:id="8"/>
      </w:r>
      <w:r w:rsidR="001717C6">
        <w:rPr>
          <w:rFonts w:ascii="Times New Roman" w:hAnsi="Times New Roman"/>
          <w:vertAlign w:val="superscript"/>
        </w:rPr>
        <w:t>/</w:t>
      </w:r>
      <w:r w:rsidRPr="00ED09E2">
        <w:rPr>
          <w:rFonts w:ascii="Times New Roman" w:hAnsi="Times New Roman"/>
        </w:rPr>
        <w:t xml:space="preserve">. En outre, la migration </w:t>
      </w:r>
      <w:r w:rsidR="00ED09E2" w:rsidRPr="00ED09E2">
        <w:rPr>
          <w:rFonts w:ascii="Times New Roman" w:hAnsi="Times New Roman"/>
        </w:rPr>
        <w:t>intrarégionale</w:t>
      </w:r>
      <w:r w:rsidRPr="00ED09E2">
        <w:rPr>
          <w:rFonts w:ascii="Times New Roman" w:hAnsi="Times New Roman"/>
        </w:rPr>
        <w:t xml:space="preserve"> a augmenté à un rythme accéléré et les femmes ont contribué de manière significative à cette augmentation</w:t>
      </w:r>
      <w:r w:rsidRPr="001717C6">
        <w:rPr>
          <w:rStyle w:val="FootnoteReference"/>
          <w:rFonts w:ascii="Times New Roman" w:hAnsi="Times New Roman"/>
          <w:u w:val="single"/>
        </w:rPr>
        <w:footnoteReference w:id="9"/>
      </w:r>
      <w:r w:rsidR="001717C6">
        <w:rPr>
          <w:rFonts w:ascii="Times New Roman" w:hAnsi="Times New Roman"/>
          <w:vertAlign w:val="superscript"/>
        </w:rPr>
        <w:t>/</w:t>
      </w:r>
      <w:r w:rsidRPr="00ED09E2">
        <w:rPr>
          <w:rFonts w:ascii="Times New Roman" w:hAnsi="Times New Roman"/>
        </w:rPr>
        <w:t xml:space="preserve">. </w:t>
      </w:r>
    </w:p>
    <w:p w14:paraId="6B0E64B4" w14:textId="77777777" w:rsidR="005D6B12" w:rsidRPr="001717C6" w:rsidRDefault="005D6B12" w:rsidP="001717C6">
      <w:pPr>
        <w:spacing w:after="0" w:line="240" w:lineRule="auto"/>
        <w:jc w:val="both"/>
        <w:rPr>
          <w:rFonts w:ascii="Times New Roman" w:hAnsi="Times New Roman"/>
        </w:rPr>
      </w:pPr>
    </w:p>
    <w:p w14:paraId="223A44FA" w14:textId="77777777" w:rsidR="005D6B12" w:rsidRPr="00ED09E2" w:rsidRDefault="005D6B12" w:rsidP="001717C6">
      <w:pPr>
        <w:pStyle w:val="ListParagraph"/>
        <w:numPr>
          <w:ilvl w:val="0"/>
          <w:numId w:val="1"/>
        </w:numPr>
        <w:spacing w:after="0" w:line="240" w:lineRule="auto"/>
        <w:ind w:hanging="720"/>
        <w:jc w:val="both"/>
        <w:rPr>
          <w:rFonts w:ascii="Times New Roman" w:hAnsi="Times New Roman"/>
        </w:rPr>
      </w:pPr>
      <w:r w:rsidRPr="00ED09E2">
        <w:rPr>
          <w:rFonts w:ascii="Times New Roman" w:hAnsi="Times New Roman"/>
        </w:rPr>
        <w:t>Caraïbes</w:t>
      </w:r>
    </w:p>
    <w:p w14:paraId="307500C4" w14:textId="77777777" w:rsidR="005D6B12" w:rsidRPr="001717C6" w:rsidRDefault="005D6B12" w:rsidP="001717C6">
      <w:pPr>
        <w:spacing w:after="0" w:line="240" w:lineRule="auto"/>
        <w:jc w:val="both"/>
        <w:rPr>
          <w:rFonts w:ascii="Times New Roman" w:hAnsi="Times New Roman"/>
          <w:lang w:val="es-ES"/>
        </w:rPr>
      </w:pPr>
    </w:p>
    <w:p w14:paraId="13AB1FCB" w14:textId="53D2865C" w:rsidR="005D6B12" w:rsidRPr="00ED09E2" w:rsidRDefault="005D6B12" w:rsidP="005D6B12">
      <w:pPr>
        <w:spacing w:after="0" w:line="240" w:lineRule="auto"/>
        <w:ind w:firstLine="720"/>
        <w:jc w:val="both"/>
        <w:rPr>
          <w:rFonts w:ascii="Times New Roman" w:hAnsi="Times New Roman"/>
        </w:rPr>
      </w:pPr>
      <w:r w:rsidRPr="00ED09E2">
        <w:rPr>
          <w:rFonts w:ascii="Times New Roman" w:hAnsi="Times New Roman"/>
        </w:rPr>
        <w:t>En ce qui concerne les Caraïbes, l'histoire à ce jour montre deux modèles de migration caractéristiques. D'une part, les migrations extrarégionales dont la destination principale est l'Amérique du Nord, plus précisément les États-Unis, et d'autre part, les migrations intrarégionales (temporaires et permanentes) constituées essentiellement de flux d'Haïtiens vers la République dominicaine et d'Haïtiens et de Dominicains vers d'autres îles (Bahamas et Saint-Kitts-et-Nevis)</w:t>
      </w:r>
      <w:r w:rsidRPr="001717C6">
        <w:rPr>
          <w:rStyle w:val="FootnoteReference"/>
          <w:rFonts w:ascii="Times New Roman" w:hAnsi="Times New Roman"/>
          <w:u w:val="single"/>
          <w:lang w:val="es-ES"/>
        </w:rPr>
        <w:footnoteReference w:id="10"/>
      </w:r>
      <w:r w:rsidR="001717C6">
        <w:rPr>
          <w:rFonts w:ascii="Times New Roman" w:hAnsi="Times New Roman"/>
          <w:vertAlign w:val="superscript"/>
        </w:rPr>
        <w:t>/</w:t>
      </w:r>
      <w:r w:rsidRPr="00ED09E2">
        <w:rPr>
          <w:rFonts w:ascii="Times New Roman" w:hAnsi="Times New Roman"/>
        </w:rPr>
        <w:t>. Cette migration intrarégionale des ressortissants des pays membres de l'Organisation des États des Caraïbes orientales (OECO) et de la Communauté des Caraïbes (CARICOM) a pris de l'ampleur ces dernières années.</w:t>
      </w:r>
      <w:r w:rsidR="00ED09E2">
        <w:rPr>
          <w:rFonts w:ascii="Times New Roman" w:hAnsi="Times New Roman"/>
        </w:rPr>
        <w:t xml:space="preserve"> </w:t>
      </w:r>
    </w:p>
    <w:p w14:paraId="26EF7841" w14:textId="77777777" w:rsidR="005D6B12" w:rsidRPr="00E917E0" w:rsidRDefault="005D6B12" w:rsidP="001717C6">
      <w:pPr>
        <w:spacing w:after="0" w:line="240" w:lineRule="auto"/>
        <w:jc w:val="both"/>
        <w:rPr>
          <w:rFonts w:ascii="Times New Roman" w:hAnsi="Times New Roman"/>
        </w:rPr>
      </w:pPr>
    </w:p>
    <w:p w14:paraId="4BE5105B" w14:textId="1EA54F39" w:rsidR="005D6B12" w:rsidRPr="00ED09E2" w:rsidRDefault="005D6B12" w:rsidP="005D6B12">
      <w:pPr>
        <w:spacing w:after="0" w:line="240" w:lineRule="auto"/>
        <w:ind w:firstLine="720"/>
        <w:jc w:val="both"/>
        <w:rPr>
          <w:rFonts w:ascii="Times New Roman" w:hAnsi="Times New Roman"/>
        </w:rPr>
      </w:pPr>
      <w:r w:rsidRPr="00ED09E2">
        <w:rPr>
          <w:rFonts w:ascii="Times New Roman" w:hAnsi="Times New Roman"/>
        </w:rPr>
        <w:t>Comme en Amérique du Sud, il existe des routes migratoires intrarégionales et inter-régionales très fréquentées et extrêmement dangereuses. À cet égard, le projet sur les migrants disparus de l'OIM distingue les routes dangereuses suivantes, principalement maritimes, avec leurs observations respectives pour 2020 et les cas de migrants disparus ou décédés de 2014 à ce jour</w:t>
      </w:r>
      <w:r w:rsidRPr="001717C6">
        <w:rPr>
          <w:rStyle w:val="FootnoteReference"/>
          <w:rFonts w:ascii="Times New Roman" w:hAnsi="Times New Roman"/>
          <w:u w:val="single"/>
          <w:lang w:val="es-ES"/>
        </w:rPr>
        <w:footnoteReference w:id="11"/>
      </w:r>
      <w:r w:rsidR="001717C6">
        <w:rPr>
          <w:rFonts w:ascii="Times New Roman" w:hAnsi="Times New Roman"/>
          <w:vertAlign w:val="superscript"/>
        </w:rPr>
        <w:t>/</w:t>
      </w:r>
      <w:r w:rsidRPr="00ED09E2">
        <w:rPr>
          <w:rFonts w:ascii="Times New Roman" w:hAnsi="Times New Roman"/>
        </w:rPr>
        <w:t xml:space="preserve">: </w:t>
      </w:r>
    </w:p>
    <w:p w14:paraId="2DB15C7C" w14:textId="77777777" w:rsidR="005D6B12" w:rsidRPr="00E917E0" w:rsidRDefault="005D6B12" w:rsidP="001717C6">
      <w:pPr>
        <w:spacing w:after="0" w:line="240" w:lineRule="auto"/>
        <w:jc w:val="both"/>
        <w:rPr>
          <w:rFonts w:ascii="Times New Roman" w:hAnsi="Times New Roman"/>
        </w:rPr>
      </w:pPr>
    </w:p>
    <w:p w14:paraId="0835CA55" w14:textId="77777777" w:rsidR="005D6B12" w:rsidRPr="00ED09E2" w:rsidRDefault="005D6B12" w:rsidP="001717C6">
      <w:pPr>
        <w:pStyle w:val="ListParagraph"/>
        <w:numPr>
          <w:ilvl w:val="0"/>
          <w:numId w:val="4"/>
        </w:numPr>
        <w:spacing w:after="0" w:line="240" w:lineRule="auto"/>
        <w:ind w:left="1440" w:hanging="720"/>
        <w:jc w:val="both"/>
        <w:rPr>
          <w:rFonts w:ascii="Times New Roman" w:hAnsi="Times New Roman"/>
        </w:rPr>
      </w:pPr>
      <w:r w:rsidRPr="00ED09E2">
        <w:rPr>
          <w:rFonts w:ascii="Times New Roman" w:hAnsi="Times New Roman"/>
        </w:rPr>
        <w:t>Passage ou canal de la Mona (République dominicaine-Porto Rico) : Cette route est souvent utilisée par les migrants dominicains, mais aussi par les Vénézuéliens, les Cubains et les Haïtiens. Les personnes qui empruntent cette route courent le risque de mourir si elles voyagent dans des navires en mauvais état, qui peuvent couler ou chavirer en haute mer. Sur cet itinéraire, 184 incidents de migrants disparus ou décédés sont enregistrés au cours de cette période, avec un pic de 65 en 2021.</w:t>
      </w:r>
    </w:p>
    <w:p w14:paraId="129FC4B9" w14:textId="77777777" w:rsidR="005D6B12" w:rsidRPr="00ED09E2" w:rsidRDefault="005D6B12" w:rsidP="001717C6">
      <w:pPr>
        <w:pStyle w:val="ListParagraph"/>
        <w:numPr>
          <w:ilvl w:val="0"/>
          <w:numId w:val="4"/>
        </w:numPr>
        <w:spacing w:after="0" w:line="240" w:lineRule="auto"/>
        <w:ind w:left="1440" w:hanging="720"/>
        <w:jc w:val="both"/>
        <w:rPr>
          <w:rFonts w:ascii="Times New Roman" w:hAnsi="Times New Roman"/>
        </w:rPr>
      </w:pPr>
      <w:r w:rsidRPr="00ED09E2">
        <w:rPr>
          <w:rFonts w:ascii="Times New Roman" w:hAnsi="Times New Roman"/>
        </w:rPr>
        <w:t>Caraïbes-États-Unis : Dans les Caraïbes, un trajet notoire s'étend de Cuba à l'État de Floride aux États-Unis. Bien qu’il soit moins utilisé que lors des décennies précédentes, les migrants continuent d'y risquer leur vie, avec 127 incidents de migrants disparus ou décédés enregistrés, avec une augmentation substantielle à 67 en 2021.</w:t>
      </w:r>
    </w:p>
    <w:p w14:paraId="164A9645" w14:textId="77777777" w:rsidR="005D6B12" w:rsidRPr="00ED09E2" w:rsidRDefault="005D6B12" w:rsidP="001717C6">
      <w:pPr>
        <w:pStyle w:val="ListParagraph"/>
        <w:numPr>
          <w:ilvl w:val="0"/>
          <w:numId w:val="4"/>
        </w:numPr>
        <w:spacing w:line="240" w:lineRule="auto"/>
        <w:ind w:left="1440" w:hanging="720"/>
        <w:jc w:val="both"/>
        <w:rPr>
          <w:rFonts w:ascii="Times New Roman" w:hAnsi="Times New Roman"/>
        </w:rPr>
      </w:pPr>
      <w:r w:rsidRPr="00ED09E2">
        <w:rPr>
          <w:rFonts w:ascii="Times New Roman" w:hAnsi="Times New Roman"/>
        </w:rPr>
        <w:t xml:space="preserve">Haïti-République dominicaine : Sur cet itinéraire, depuis 2014 à ce jour, 40 incidents de migrants disparus ou décédés ont été enregistrés, dont 26 en 2017. </w:t>
      </w:r>
      <w:bookmarkStart w:id="0" w:name="_Hlk98429987"/>
    </w:p>
    <w:p w14:paraId="5C636A79" w14:textId="20407F46" w:rsidR="005D6B12" w:rsidRPr="00E917E0" w:rsidRDefault="005D6B12" w:rsidP="001717C6">
      <w:pPr>
        <w:spacing w:after="0" w:line="240" w:lineRule="auto"/>
        <w:ind w:firstLine="720"/>
        <w:jc w:val="both"/>
        <w:rPr>
          <w:rFonts w:ascii="Times New Roman" w:hAnsi="Times New Roman"/>
        </w:rPr>
      </w:pPr>
      <w:r w:rsidRPr="00ED09E2">
        <w:rPr>
          <w:rFonts w:ascii="Times New Roman" w:hAnsi="Times New Roman"/>
        </w:rPr>
        <w:t xml:space="preserve">En résumé, il convient de souligner les tendances migratoires actuelles liées au changement climatique, à la COVID-19 et à d'autres facteurs qui sont nécessaires pour mieux comprendre cette question : </w:t>
      </w:r>
    </w:p>
    <w:bookmarkEnd w:id="0"/>
    <w:p w14:paraId="6CF88AD5" w14:textId="3B8FBF13" w:rsidR="005D6B12" w:rsidRPr="00ED09E2" w:rsidRDefault="005D6B12" w:rsidP="001717C6">
      <w:pPr>
        <w:pStyle w:val="ListParagraph"/>
        <w:numPr>
          <w:ilvl w:val="0"/>
          <w:numId w:val="5"/>
        </w:numPr>
        <w:spacing w:after="0" w:line="240" w:lineRule="auto"/>
        <w:ind w:left="1440" w:hanging="720"/>
        <w:jc w:val="both"/>
        <w:rPr>
          <w:rFonts w:ascii="Times New Roman" w:hAnsi="Times New Roman"/>
        </w:rPr>
      </w:pPr>
      <w:r w:rsidRPr="00ED09E2">
        <w:rPr>
          <w:rFonts w:ascii="Times New Roman" w:hAnsi="Times New Roman"/>
        </w:rPr>
        <w:t>De nombreux pays des Caraïbes sont de plus en plus sensibles aux changements climatiques et environnementaux à évolution lente, et ces phénomènes devraient jouer un rôle de plus en plus important dans les migrations dans la région</w:t>
      </w:r>
      <w:r w:rsidRPr="001717C6">
        <w:rPr>
          <w:rStyle w:val="FootnoteReference"/>
          <w:rFonts w:ascii="Times New Roman" w:hAnsi="Times New Roman"/>
          <w:u w:val="single"/>
          <w:lang w:val="es-ES"/>
        </w:rPr>
        <w:footnoteReference w:id="12"/>
      </w:r>
      <w:r w:rsidR="001717C6">
        <w:rPr>
          <w:rFonts w:ascii="Times New Roman" w:hAnsi="Times New Roman"/>
          <w:vertAlign w:val="superscript"/>
        </w:rPr>
        <w:t>/</w:t>
      </w:r>
      <w:r w:rsidRPr="00ED09E2">
        <w:rPr>
          <w:rFonts w:ascii="Times New Roman" w:hAnsi="Times New Roman"/>
        </w:rPr>
        <w:t>.</w:t>
      </w:r>
    </w:p>
    <w:p w14:paraId="15F2F648" w14:textId="1C95A2EA" w:rsidR="005D6B12" w:rsidRPr="00ED09E2" w:rsidRDefault="005D6B12" w:rsidP="001717C6">
      <w:pPr>
        <w:pStyle w:val="ListParagraph"/>
        <w:numPr>
          <w:ilvl w:val="0"/>
          <w:numId w:val="5"/>
        </w:numPr>
        <w:spacing w:after="0" w:line="240" w:lineRule="auto"/>
        <w:ind w:left="1440" w:hanging="720"/>
        <w:jc w:val="both"/>
        <w:rPr>
          <w:rFonts w:ascii="Times New Roman" w:hAnsi="Times New Roman"/>
        </w:rPr>
      </w:pPr>
      <w:r w:rsidRPr="00ED09E2">
        <w:rPr>
          <w:rFonts w:ascii="Times New Roman" w:hAnsi="Times New Roman"/>
        </w:rPr>
        <w:t xml:space="preserve">Fin 2020, on comptait dans le monde plus de 187 320 réfugiés et demandeurs d'asile en provenance des pays des Caraïbes, dont la grande majorité était originaire </w:t>
      </w:r>
      <w:r w:rsidRPr="00ED09E2">
        <w:rPr>
          <w:rFonts w:ascii="Times New Roman" w:hAnsi="Times New Roman"/>
        </w:rPr>
        <w:lastRenderedPageBreak/>
        <w:t>d'Haïti (104 991) et de Cuba (69 349), les États-Unis étant leur principal pays de destination</w:t>
      </w:r>
      <w:r w:rsidRPr="001717C6">
        <w:rPr>
          <w:rStyle w:val="FootnoteReference"/>
          <w:rFonts w:ascii="Times New Roman" w:hAnsi="Times New Roman"/>
          <w:u w:val="single"/>
          <w:lang w:val="es-ES"/>
        </w:rPr>
        <w:footnoteReference w:id="13"/>
      </w:r>
      <w:r w:rsidR="001717C6" w:rsidRPr="001717C6">
        <w:rPr>
          <w:rFonts w:ascii="Times New Roman" w:hAnsi="Times New Roman"/>
          <w:vertAlign w:val="superscript"/>
        </w:rPr>
        <w:t>/</w:t>
      </w:r>
      <w:r w:rsidRPr="00ED09E2">
        <w:rPr>
          <w:rFonts w:ascii="Times New Roman" w:hAnsi="Times New Roman"/>
        </w:rPr>
        <w:t>.</w:t>
      </w:r>
    </w:p>
    <w:p w14:paraId="24DEE706" w14:textId="2FC5645C" w:rsidR="005D6B12" w:rsidRPr="00ED09E2" w:rsidRDefault="005D6B12" w:rsidP="001717C6">
      <w:pPr>
        <w:pStyle w:val="ListParagraph"/>
        <w:numPr>
          <w:ilvl w:val="0"/>
          <w:numId w:val="5"/>
        </w:numPr>
        <w:spacing w:after="0" w:line="240" w:lineRule="auto"/>
        <w:ind w:left="1440" w:hanging="720"/>
        <w:jc w:val="both"/>
        <w:rPr>
          <w:rFonts w:ascii="Times New Roman" w:hAnsi="Times New Roman"/>
        </w:rPr>
      </w:pPr>
      <w:r w:rsidRPr="00ED09E2">
        <w:rPr>
          <w:rFonts w:ascii="Times New Roman" w:hAnsi="Times New Roman"/>
        </w:rPr>
        <w:t>Les Caraïbes sont une région où la tendance à l'émigration est élevée. En témoigne le fait que, en 2019, dix des 20 premiers pays et territoires d'émigration (en termes de part de la population totale) dans le monde se trouvent dans les Caraïbes</w:t>
      </w:r>
      <w:r w:rsidRPr="001717C6">
        <w:rPr>
          <w:rStyle w:val="FootnoteReference"/>
          <w:rFonts w:ascii="Times New Roman" w:hAnsi="Times New Roman"/>
          <w:u w:val="single"/>
          <w:lang w:val="es-ES"/>
        </w:rPr>
        <w:footnoteReference w:id="14"/>
      </w:r>
      <w:r w:rsidR="001717C6" w:rsidRPr="001717C6">
        <w:rPr>
          <w:rFonts w:ascii="Times New Roman" w:hAnsi="Times New Roman"/>
          <w:vertAlign w:val="superscript"/>
        </w:rPr>
        <w:t>/</w:t>
      </w:r>
      <w:r w:rsidRPr="00ED09E2">
        <w:rPr>
          <w:rFonts w:ascii="Times New Roman" w:hAnsi="Times New Roman"/>
        </w:rPr>
        <w:t>.</w:t>
      </w:r>
    </w:p>
    <w:p w14:paraId="165193DE" w14:textId="241409B7" w:rsidR="005D6B12" w:rsidRPr="00ED09E2" w:rsidRDefault="005D6B12" w:rsidP="001717C6">
      <w:pPr>
        <w:pStyle w:val="ListParagraph"/>
        <w:numPr>
          <w:ilvl w:val="0"/>
          <w:numId w:val="5"/>
        </w:numPr>
        <w:spacing w:after="0" w:line="240" w:lineRule="auto"/>
        <w:ind w:left="1440" w:hanging="720"/>
        <w:jc w:val="both"/>
        <w:rPr>
          <w:rFonts w:ascii="Times New Roman" w:hAnsi="Times New Roman"/>
        </w:rPr>
      </w:pPr>
      <w:r w:rsidRPr="00ED09E2">
        <w:rPr>
          <w:rFonts w:ascii="Times New Roman" w:hAnsi="Times New Roman"/>
        </w:rPr>
        <w:t>Le nombre de migrants intrarégionaux a continué à augmenter chaque année, doublant presque au cours des 30 dernières années</w:t>
      </w:r>
      <w:r w:rsidRPr="001717C6">
        <w:rPr>
          <w:rStyle w:val="FootnoteReference"/>
          <w:rFonts w:ascii="Times New Roman" w:hAnsi="Times New Roman"/>
          <w:u w:val="single"/>
          <w:lang w:val="es-ES"/>
        </w:rPr>
        <w:footnoteReference w:id="15"/>
      </w:r>
      <w:r w:rsidR="001717C6" w:rsidRPr="001717C6">
        <w:rPr>
          <w:rFonts w:ascii="Times New Roman" w:hAnsi="Times New Roman"/>
          <w:vertAlign w:val="superscript"/>
        </w:rPr>
        <w:t>/</w:t>
      </w:r>
      <w:r w:rsidR="009A00CF">
        <w:rPr>
          <w:rFonts w:ascii="Times New Roman" w:hAnsi="Times New Roman"/>
        </w:rPr>
        <w:t>.</w:t>
      </w:r>
    </w:p>
    <w:p w14:paraId="52A27873" w14:textId="42A7DDB6" w:rsidR="005D6B12" w:rsidRPr="00ED09E2" w:rsidRDefault="005D6B12" w:rsidP="001717C6">
      <w:pPr>
        <w:pStyle w:val="ListParagraph"/>
        <w:numPr>
          <w:ilvl w:val="0"/>
          <w:numId w:val="5"/>
        </w:numPr>
        <w:spacing w:after="0" w:line="240" w:lineRule="auto"/>
        <w:ind w:left="1440" w:hanging="720"/>
        <w:jc w:val="both"/>
        <w:rPr>
          <w:rFonts w:ascii="Times New Roman" w:hAnsi="Times New Roman"/>
        </w:rPr>
      </w:pPr>
      <w:r w:rsidRPr="00ED09E2">
        <w:rPr>
          <w:rFonts w:ascii="Times New Roman" w:hAnsi="Times New Roman"/>
        </w:rPr>
        <w:t>Le phénomène de la migration de retour est une composante essentielle de la dynamique globale de la migration dans les Caraïbes. On identifie les retours volontaires de jeunes économiquement actifs, de personnes qui ont été expulsées par les autorités des pays de destination, les retours volontaires de retraités plus âgés qui avaient émigré des Caraïbes dans les années 1960, et les migrants qui reviennent pour payer leurs études et élever leurs enfants.</w:t>
      </w:r>
      <w:r w:rsidRPr="001717C6">
        <w:rPr>
          <w:rStyle w:val="FootnoteReference"/>
          <w:rFonts w:ascii="Times New Roman" w:hAnsi="Times New Roman"/>
          <w:u w:val="single"/>
          <w:lang w:val="es-ES"/>
        </w:rPr>
        <w:footnoteReference w:id="16"/>
      </w:r>
      <w:r w:rsidR="001717C6" w:rsidRPr="001717C6">
        <w:rPr>
          <w:rFonts w:ascii="Times New Roman" w:hAnsi="Times New Roman"/>
          <w:vertAlign w:val="superscript"/>
        </w:rPr>
        <w:t>/</w:t>
      </w:r>
    </w:p>
    <w:p w14:paraId="3DF3B496" w14:textId="77777777" w:rsidR="005D6B12" w:rsidRPr="00E917E0" w:rsidRDefault="005D6B12" w:rsidP="005D6B12">
      <w:pPr>
        <w:spacing w:after="0" w:line="240" w:lineRule="auto"/>
        <w:jc w:val="both"/>
        <w:rPr>
          <w:rFonts w:ascii="Times New Roman" w:hAnsi="Times New Roman"/>
        </w:rPr>
      </w:pPr>
    </w:p>
    <w:p w14:paraId="4963AC0B" w14:textId="77777777" w:rsidR="005D6B12" w:rsidRPr="00ED09E2" w:rsidRDefault="005D6B12" w:rsidP="001717C6">
      <w:pPr>
        <w:numPr>
          <w:ilvl w:val="0"/>
          <w:numId w:val="1"/>
        </w:numPr>
        <w:spacing w:after="0" w:line="240" w:lineRule="auto"/>
        <w:ind w:hanging="720"/>
        <w:jc w:val="both"/>
        <w:rPr>
          <w:rFonts w:ascii="Times New Roman" w:hAnsi="Times New Roman"/>
        </w:rPr>
      </w:pPr>
      <w:r w:rsidRPr="00ED09E2">
        <w:rPr>
          <w:rFonts w:ascii="Times New Roman" w:hAnsi="Times New Roman"/>
        </w:rPr>
        <w:t xml:space="preserve">Recommandations </w:t>
      </w:r>
    </w:p>
    <w:p w14:paraId="0FCBFBC3" w14:textId="77777777" w:rsidR="005D6B12" w:rsidRPr="00ED09E2" w:rsidRDefault="005D6B12" w:rsidP="005D6B12">
      <w:pPr>
        <w:spacing w:after="0" w:line="240" w:lineRule="auto"/>
        <w:jc w:val="both"/>
        <w:rPr>
          <w:rFonts w:ascii="Times New Roman" w:hAnsi="Times New Roman"/>
          <w:lang w:val="es-419"/>
        </w:rPr>
      </w:pPr>
    </w:p>
    <w:p w14:paraId="1F86328C" w14:textId="0E4BA91F" w:rsidR="005D6B12" w:rsidRPr="00ED09E2" w:rsidRDefault="005D6B12" w:rsidP="005D6B12">
      <w:pPr>
        <w:spacing w:after="0" w:line="240" w:lineRule="auto"/>
        <w:ind w:firstLine="720"/>
        <w:jc w:val="both"/>
        <w:rPr>
          <w:rFonts w:ascii="Times New Roman" w:hAnsi="Times New Roman"/>
        </w:rPr>
      </w:pPr>
      <w:r w:rsidRPr="00ED09E2">
        <w:rPr>
          <w:rFonts w:ascii="Times New Roman" w:hAnsi="Times New Roman"/>
        </w:rPr>
        <w:t>Afin de prendre des mesures pour s'adapter aux nouvelles dynamiques migratoires, fortement influencées par la COVID-19 et le changement climatique, il est impératif non seulement d'examiner les principales caractéristiques des migrations, telles que la migration de main-d'œuvre et les transferts de fonds internationaux, la migration irrégulière, la traite des personnes et les déplacements internes et internationaux, mais aussi de préciser que les réponses doivent être organisées autour du respect des droits de la personne, des preuves scientifiques sur la COVID-19 et des politiques qui garantissent que les économies ont la capacité de soutenir le bien-être national, communautaire et individuel, et qui engagent ces populations dans un redressement durable.</w:t>
      </w:r>
      <w:r w:rsidRPr="001717C6">
        <w:rPr>
          <w:rStyle w:val="FootnoteReference"/>
          <w:rFonts w:ascii="Times New Roman" w:hAnsi="Times New Roman"/>
          <w:u w:val="single"/>
          <w:lang w:val="es-419"/>
        </w:rPr>
        <w:footnoteReference w:id="17"/>
      </w:r>
      <w:r w:rsidR="001717C6" w:rsidRPr="001717C6">
        <w:rPr>
          <w:rFonts w:ascii="Times New Roman" w:hAnsi="Times New Roman"/>
          <w:vertAlign w:val="superscript"/>
        </w:rPr>
        <w:t>/</w:t>
      </w:r>
      <w:r w:rsidRPr="00ED09E2">
        <w:rPr>
          <w:rFonts w:ascii="Times New Roman" w:hAnsi="Times New Roman"/>
        </w:rPr>
        <w:t xml:space="preserve"> Les principales lignes politiques sont détaillées ci-dessous :</w:t>
      </w:r>
    </w:p>
    <w:p w14:paraId="7A4DDC01" w14:textId="77777777" w:rsidR="005D6B12" w:rsidRPr="00ED09E2" w:rsidRDefault="005D6B12" w:rsidP="005D6B12">
      <w:pPr>
        <w:spacing w:after="0" w:line="240" w:lineRule="auto"/>
        <w:jc w:val="both"/>
        <w:rPr>
          <w:rFonts w:ascii="Times New Roman" w:hAnsi="Times New Roman"/>
          <w:lang w:val="es-419"/>
        </w:rPr>
      </w:pPr>
    </w:p>
    <w:p w14:paraId="17FE0694" w14:textId="77777777" w:rsidR="005D6B12" w:rsidRPr="00ED09E2" w:rsidRDefault="005D6B12" w:rsidP="001717C6">
      <w:pPr>
        <w:pStyle w:val="ListParagraph"/>
        <w:numPr>
          <w:ilvl w:val="0"/>
          <w:numId w:val="6"/>
        </w:numPr>
        <w:spacing w:after="0" w:line="240" w:lineRule="auto"/>
        <w:ind w:left="1440" w:hanging="720"/>
        <w:jc w:val="both"/>
        <w:rPr>
          <w:rFonts w:ascii="Times New Roman" w:hAnsi="Times New Roman"/>
        </w:rPr>
      </w:pPr>
      <w:r w:rsidRPr="00ED09E2">
        <w:rPr>
          <w:rFonts w:ascii="Times New Roman" w:hAnsi="Times New Roman"/>
        </w:rPr>
        <w:t>Droit à la santé, aux soins médicaux et à l'accès aux vaccins ;</w:t>
      </w:r>
    </w:p>
    <w:p w14:paraId="074F2B1E" w14:textId="77777777" w:rsidR="005D6B12" w:rsidRPr="00ED09E2" w:rsidRDefault="005D6B12" w:rsidP="001717C6">
      <w:pPr>
        <w:pStyle w:val="ListParagraph"/>
        <w:numPr>
          <w:ilvl w:val="0"/>
          <w:numId w:val="6"/>
        </w:numPr>
        <w:spacing w:after="0" w:line="240" w:lineRule="auto"/>
        <w:ind w:left="1440" w:hanging="720"/>
        <w:jc w:val="both"/>
        <w:rPr>
          <w:rFonts w:ascii="Times New Roman" w:hAnsi="Times New Roman"/>
        </w:rPr>
      </w:pPr>
      <w:r w:rsidRPr="00ED09E2">
        <w:rPr>
          <w:rFonts w:ascii="Times New Roman" w:hAnsi="Times New Roman"/>
        </w:rPr>
        <w:t>Non-discrimination, inclusion, égalité de traitement ;</w:t>
      </w:r>
    </w:p>
    <w:p w14:paraId="0335DF17" w14:textId="77777777" w:rsidR="005D6B12" w:rsidRPr="00ED09E2" w:rsidRDefault="005D6B12" w:rsidP="001717C6">
      <w:pPr>
        <w:pStyle w:val="ListParagraph"/>
        <w:numPr>
          <w:ilvl w:val="0"/>
          <w:numId w:val="6"/>
        </w:numPr>
        <w:spacing w:after="0" w:line="240" w:lineRule="auto"/>
        <w:ind w:left="1440" w:hanging="720"/>
        <w:jc w:val="both"/>
        <w:rPr>
          <w:rFonts w:ascii="Times New Roman" w:hAnsi="Times New Roman"/>
        </w:rPr>
      </w:pPr>
      <w:r w:rsidRPr="00ED09E2">
        <w:rPr>
          <w:rFonts w:ascii="Times New Roman" w:hAnsi="Times New Roman"/>
        </w:rPr>
        <w:t>Promotion des communautés d'accueil ;</w:t>
      </w:r>
    </w:p>
    <w:p w14:paraId="44BC29E1" w14:textId="77777777" w:rsidR="005D6B12" w:rsidRPr="00ED09E2" w:rsidRDefault="005D6B12" w:rsidP="001717C6">
      <w:pPr>
        <w:pStyle w:val="ListParagraph"/>
        <w:numPr>
          <w:ilvl w:val="0"/>
          <w:numId w:val="6"/>
        </w:numPr>
        <w:spacing w:after="0" w:line="240" w:lineRule="auto"/>
        <w:ind w:left="1440" w:hanging="720"/>
        <w:jc w:val="both"/>
        <w:rPr>
          <w:rFonts w:ascii="Times New Roman" w:hAnsi="Times New Roman"/>
        </w:rPr>
      </w:pPr>
      <w:r w:rsidRPr="00ED09E2">
        <w:rPr>
          <w:rFonts w:ascii="Times New Roman" w:hAnsi="Times New Roman"/>
        </w:rPr>
        <w:t>Immigration, franchissement des frontières, non-refoulement ;</w:t>
      </w:r>
    </w:p>
    <w:p w14:paraId="019F833F" w14:textId="77777777" w:rsidR="005D6B12" w:rsidRPr="00ED09E2" w:rsidRDefault="005D6B12" w:rsidP="001717C6">
      <w:pPr>
        <w:pStyle w:val="ListParagraph"/>
        <w:numPr>
          <w:ilvl w:val="0"/>
          <w:numId w:val="6"/>
        </w:numPr>
        <w:spacing w:after="0" w:line="240" w:lineRule="auto"/>
        <w:ind w:left="1440" w:hanging="720"/>
        <w:jc w:val="both"/>
        <w:rPr>
          <w:rFonts w:ascii="Times New Roman" w:hAnsi="Times New Roman"/>
        </w:rPr>
      </w:pPr>
      <w:r w:rsidRPr="00ED09E2">
        <w:rPr>
          <w:rFonts w:ascii="Times New Roman" w:hAnsi="Times New Roman"/>
        </w:rPr>
        <w:t>Protection des travailleurs migrants et des réfugiés ;</w:t>
      </w:r>
    </w:p>
    <w:p w14:paraId="5F7ABE95" w14:textId="77777777" w:rsidR="005D6B12" w:rsidRPr="00ED09E2" w:rsidRDefault="005D6B12" w:rsidP="001717C6">
      <w:pPr>
        <w:pStyle w:val="ListParagraph"/>
        <w:numPr>
          <w:ilvl w:val="0"/>
          <w:numId w:val="6"/>
        </w:numPr>
        <w:spacing w:after="0" w:line="240" w:lineRule="auto"/>
        <w:ind w:left="1440" w:hanging="720"/>
        <w:jc w:val="both"/>
        <w:rPr>
          <w:rFonts w:ascii="Times New Roman" w:hAnsi="Times New Roman"/>
        </w:rPr>
      </w:pPr>
      <w:r w:rsidRPr="00ED09E2">
        <w:rPr>
          <w:rFonts w:ascii="Times New Roman" w:hAnsi="Times New Roman"/>
        </w:rPr>
        <w:t>Protection sociale, accès à la scolarité et à l'éducation ;</w:t>
      </w:r>
    </w:p>
    <w:p w14:paraId="02EE4AE7" w14:textId="77777777" w:rsidR="005D6B12" w:rsidRPr="00ED09E2" w:rsidRDefault="005D6B12" w:rsidP="001717C6">
      <w:pPr>
        <w:pStyle w:val="ListParagraph"/>
        <w:numPr>
          <w:ilvl w:val="0"/>
          <w:numId w:val="6"/>
        </w:numPr>
        <w:spacing w:after="0" w:line="240" w:lineRule="auto"/>
        <w:ind w:left="1440" w:hanging="720"/>
        <w:jc w:val="both"/>
        <w:rPr>
          <w:rFonts w:ascii="Times New Roman" w:hAnsi="Times New Roman"/>
        </w:rPr>
      </w:pPr>
      <w:r w:rsidRPr="00ED09E2">
        <w:rPr>
          <w:rFonts w:ascii="Times New Roman" w:hAnsi="Times New Roman"/>
        </w:rPr>
        <w:t>Mesures spécifiques pour les réfugiés, les demandeurs d'asile, les apatrides, les déplacés internes ;</w:t>
      </w:r>
    </w:p>
    <w:p w14:paraId="0ABC26A9" w14:textId="77777777" w:rsidR="005D6B12" w:rsidRPr="00ED09E2" w:rsidRDefault="005D6B12" w:rsidP="001717C6">
      <w:pPr>
        <w:pStyle w:val="ListParagraph"/>
        <w:numPr>
          <w:ilvl w:val="0"/>
          <w:numId w:val="6"/>
        </w:numPr>
        <w:spacing w:after="0" w:line="240" w:lineRule="auto"/>
        <w:ind w:left="1440" w:hanging="720"/>
        <w:jc w:val="both"/>
        <w:rPr>
          <w:rFonts w:ascii="Times New Roman" w:hAnsi="Times New Roman"/>
        </w:rPr>
      </w:pPr>
      <w:r w:rsidRPr="00ED09E2">
        <w:rPr>
          <w:rFonts w:ascii="Times New Roman" w:hAnsi="Times New Roman"/>
        </w:rPr>
        <w:t>Considérations spécifiques au genre ;</w:t>
      </w:r>
    </w:p>
    <w:p w14:paraId="6F23D159" w14:textId="77777777" w:rsidR="005D6B12" w:rsidRPr="00ED09E2" w:rsidRDefault="005D6B12" w:rsidP="001717C6">
      <w:pPr>
        <w:pStyle w:val="ListParagraph"/>
        <w:numPr>
          <w:ilvl w:val="0"/>
          <w:numId w:val="6"/>
        </w:numPr>
        <w:spacing w:after="0" w:line="240" w:lineRule="auto"/>
        <w:ind w:left="1440" w:hanging="720"/>
        <w:jc w:val="both"/>
        <w:rPr>
          <w:rFonts w:ascii="Times New Roman" w:hAnsi="Times New Roman"/>
        </w:rPr>
      </w:pPr>
      <w:r w:rsidRPr="00ED09E2">
        <w:rPr>
          <w:rFonts w:ascii="Times New Roman" w:hAnsi="Times New Roman"/>
        </w:rPr>
        <w:t>Politiques fondées sur des données, des informations et des connaissances précises et fiables ;</w:t>
      </w:r>
    </w:p>
    <w:p w14:paraId="4C233DC1" w14:textId="77777777" w:rsidR="005D6B12" w:rsidRPr="00ED09E2" w:rsidRDefault="005D6B12" w:rsidP="001717C6">
      <w:pPr>
        <w:pStyle w:val="ListParagraph"/>
        <w:numPr>
          <w:ilvl w:val="0"/>
          <w:numId w:val="6"/>
        </w:numPr>
        <w:spacing w:after="0" w:line="240" w:lineRule="auto"/>
        <w:ind w:left="1440" w:hanging="720"/>
        <w:jc w:val="both"/>
        <w:rPr>
          <w:rFonts w:ascii="Times New Roman" w:hAnsi="Times New Roman"/>
        </w:rPr>
      </w:pPr>
      <w:r w:rsidRPr="00ED09E2">
        <w:rPr>
          <w:rFonts w:ascii="Times New Roman" w:hAnsi="Times New Roman"/>
        </w:rPr>
        <w:t>Inclure la population migrante dans le rétablissement post-pandémie ;</w:t>
      </w:r>
    </w:p>
    <w:p w14:paraId="7F04FE89" w14:textId="6ADD1C31" w:rsidR="005D6B12" w:rsidRPr="00ED09E2" w:rsidRDefault="005D6B12" w:rsidP="00AF6A71">
      <w:pPr>
        <w:pStyle w:val="ListParagraph"/>
        <w:numPr>
          <w:ilvl w:val="0"/>
          <w:numId w:val="6"/>
        </w:numPr>
        <w:spacing w:after="0" w:line="240" w:lineRule="auto"/>
        <w:ind w:left="1440" w:hanging="720"/>
        <w:jc w:val="both"/>
        <w:rPr>
          <w:rFonts w:ascii="Times New Roman" w:hAnsi="Times New Roman"/>
        </w:rPr>
      </w:pPr>
      <w:r w:rsidRPr="00ED09E2">
        <w:rPr>
          <w:rFonts w:ascii="Times New Roman" w:hAnsi="Times New Roman"/>
        </w:rPr>
        <w:t>Approche multilatérale des questions de migration dans les tribunes spécialisées</w:t>
      </w:r>
      <w:r w:rsidRPr="00ED09E2">
        <w:rPr>
          <w:rFonts w:ascii="Times New Roman" w:hAnsi="Times New Roman"/>
          <w:noProof/>
        </w:rPr>
        <mc:AlternateContent>
          <mc:Choice Requires="wps">
            <w:drawing>
              <wp:anchor distT="0" distB="0" distL="114300" distR="114300" simplePos="0" relativeHeight="251657216" behindDoc="0" locked="1" layoutInCell="1" allowOverlap="1" wp14:anchorId="104D0DC7" wp14:editId="32A1B016">
                <wp:simplePos x="0" y="0"/>
                <wp:positionH relativeFrom="column">
                  <wp:posOffset>-20320</wp:posOffset>
                </wp:positionH>
                <wp:positionV relativeFrom="page">
                  <wp:posOffset>9501505</wp:posOffset>
                </wp:positionV>
                <wp:extent cx="33832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7163E64" w14:textId="77777777" w:rsidR="005D6B12" w:rsidRDefault="005D6B12" w:rsidP="005D6B12">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sz w:val="18"/>
                              </w:rPr>
                              <w:t>CIDRP03502S01</w:t>
                            </w:r>
                            <w:r>
                              <w:rPr>
                                <w:rFonts w:ascii="Times New Roman" w:hAnsi="Times New Roman"/>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04D0DC7" id="_x0000_t202" coordsize="21600,21600" o:spt="202" path="m,l,21600r21600,l21600,xe">
                <v:stroke joinstyle="miter"/>
                <v:path gradientshapeok="t" o:connecttype="rect"/>
              </v:shapetype>
              <v:shape id="Text Box 4" o:spid="_x0000_s1026" type="#_x0000_t202" style="position:absolute;left:0;text-align:left;margin-left:-1.6pt;margin-top:748.15pt;width:266.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" filled="f" stroked="f">
                <v:stroke joinstyle="round"/>
                <v:textbox>
                  <w:txbxContent>
                    <w:p w14:paraId="77163E64" w14:textId="77777777" w:rsidR="005D6B12" w:rsidRDefault="005D6B12" w:rsidP="005D6B12">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sz w:val="18"/>
                        </w:rPr>
                        <w:t>CIDRP03502S01</w:t>
                      </w:r>
                      <w:r>
                        <w:rPr>
                          <w:rFonts w:ascii="Times New Roman" w:hAnsi="Times New Roman"/>
                          <w:sz w:val="18"/>
                        </w:rPr>
                        <w:fldChar w:fldCharType="end"/>
                      </w:r>
                    </w:p>
                  </w:txbxContent>
                </v:textbox>
                <w10:wrap anchory="page"/>
                <w10:anchorlock/>
              </v:shape>
            </w:pict>
          </mc:Fallback>
        </mc:AlternateContent>
      </w:r>
      <w:r w:rsidR="009A00CF">
        <w:rPr>
          <w:rFonts w:ascii="Times New Roman" w:hAnsi="Times New Roman"/>
        </w:rPr>
        <w:t>.</w:t>
      </w:r>
    </w:p>
    <w:p w14:paraId="7DBE0C76" w14:textId="77777777" w:rsidR="00391A8F" w:rsidRPr="00ED09E2" w:rsidRDefault="00391A8F">
      <w:pPr>
        <w:rPr>
          <w:rFonts w:ascii="Times New Roman" w:hAnsi="Times New Roman"/>
          <w:lang w:val="es-419"/>
        </w:rPr>
      </w:pPr>
    </w:p>
    <w:sectPr w:rsidR="00391A8F" w:rsidRPr="00ED09E2" w:rsidSect="00AF6A7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B88D" w14:textId="77777777" w:rsidR="005D6B12" w:rsidRDefault="005D6B12" w:rsidP="005D6B12">
      <w:pPr>
        <w:spacing w:after="0" w:line="240" w:lineRule="auto"/>
      </w:pPr>
      <w:r>
        <w:separator/>
      </w:r>
    </w:p>
  </w:endnote>
  <w:endnote w:type="continuationSeparator" w:id="0">
    <w:p w14:paraId="0E5FE7D2" w14:textId="77777777" w:rsidR="005D6B12" w:rsidRDefault="005D6B12" w:rsidP="005D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AD72" w14:textId="77777777" w:rsidR="00AF6A71" w:rsidRDefault="00AF6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7C00" w14:textId="77777777" w:rsidR="00AF6A71" w:rsidRDefault="00AF6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6AA5" w14:textId="77777777" w:rsidR="00AF6A71" w:rsidRDefault="00AF6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77A1" w14:textId="77777777" w:rsidR="005D6B12" w:rsidRDefault="005D6B12" w:rsidP="005D6B12">
      <w:pPr>
        <w:spacing w:after="0" w:line="240" w:lineRule="auto"/>
      </w:pPr>
      <w:r>
        <w:separator/>
      </w:r>
    </w:p>
  </w:footnote>
  <w:footnote w:type="continuationSeparator" w:id="0">
    <w:p w14:paraId="2C9BC024" w14:textId="77777777" w:rsidR="005D6B12" w:rsidRDefault="005D6B12" w:rsidP="005D6B12">
      <w:pPr>
        <w:spacing w:after="0" w:line="240" w:lineRule="auto"/>
      </w:pPr>
      <w:r>
        <w:continuationSeparator/>
      </w:r>
    </w:p>
  </w:footnote>
  <w:footnote w:id="1">
    <w:p w14:paraId="7DA5BD69" w14:textId="03B806A8" w:rsidR="005D6B12" w:rsidRPr="00ED09E2" w:rsidRDefault="005D6B12" w:rsidP="00ED09E2">
      <w:pPr>
        <w:pStyle w:val="FootnoteText"/>
        <w:spacing w:after="0" w:line="240" w:lineRule="auto"/>
        <w:ind w:left="360" w:hanging="360"/>
        <w:jc w:val="both"/>
        <w:rPr>
          <w:rFonts w:ascii="Calibri" w:hAnsi="Calibri"/>
        </w:rPr>
      </w:pPr>
      <w:r w:rsidRPr="00ED09E2">
        <w:rPr>
          <w:rStyle w:val="FootnoteReference"/>
          <w:vertAlign w:val="baseline"/>
        </w:rPr>
        <w:footnoteRef/>
      </w:r>
      <w:r w:rsidRPr="00ED09E2">
        <w:t xml:space="preserve"> </w:t>
      </w:r>
      <w:r w:rsidR="00ED09E2" w:rsidRPr="00ED09E2">
        <w:tab/>
      </w:r>
      <w:r w:rsidRPr="00ED09E2">
        <w:t>Le DESA de l’ONU utilise six divisions régionales établies par les Nations Unies pour mener ses analyses, à savoir l'Afrique, l'Asie, l'Europe, l'Amérique latine et les Caraïbes, l'Amérique du Nord et l'Océanie. L’Amérique du Sud et les Caraïbes sont considérées comme des sous-régions de l'Amérique latine et des Caraïbes.</w:t>
      </w:r>
    </w:p>
  </w:footnote>
  <w:footnote w:id="2">
    <w:p w14:paraId="5A6057DC" w14:textId="05500429" w:rsidR="005D6B12" w:rsidRPr="00ED09E2" w:rsidRDefault="005D6B12" w:rsidP="001717C6">
      <w:pPr>
        <w:pStyle w:val="FootnoteText"/>
        <w:tabs>
          <w:tab w:val="left" w:pos="360"/>
        </w:tabs>
        <w:spacing w:after="0"/>
        <w:jc w:val="both"/>
      </w:pPr>
      <w:r w:rsidRPr="00ED09E2">
        <w:rPr>
          <w:rStyle w:val="FootnoteReference"/>
          <w:vertAlign w:val="baseline"/>
        </w:rPr>
        <w:footnoteRef/>
      </w:r>
      <w:r w:rsidR="00ED09E2">
        <w:t xml:space="preserve"> </w:t>
      </w:r>
      <w:r w:rsidR="001717C6">
        <w:t>.</w:t>
      </w:r>
      <w:r w:rsidR="001717C6">
        <w:tab/>
      </w:r>
      <w:r w:rsidRPr="00ED09E2">
        <w:t xml:space="preserve">OIM, </w:t>
      </w:r>
      <w:hyperlink r:id="rId1" w:history="1">
        <w:r w:rsidRPr="00ED09E2">
          <w:rPr>
            <w:rStyle w:val="Hyperlink"/>
          </w:rPr>
          <w:t>Rapport État de la migration dans le monde 2022</w:t>
        </w:r>
      </w:hyperlink>
      <w:r w:rsidRPr="00ED09E2">
        <w:t>, 1</w:t>
      </w:r>
      <w:r w:rsidRPr="00ED09E2">
        <w:rPr>
          <w:vertAlign w:val="superscript"/>
        </w:rPr>
        <w:t>er</w:t>
      </w:r>
      <w:r w:rsidR="00ED09E2">
        <w:t xml:space="preserve"> </w:t>
      </w:r>
      <w:r w:rsidRPr="00ED09E2">
        <w:t>décembre 2021.</w:t>
      </w:r>
    </w:p>
  </w:footnote>
  <w:footnote w:id="3">
    <w:p w14:paraId="3D17705C" w14:textId="52EDA712" w:rsidR="005D6B12" w:rsidRPr="00ED09E2" w:rsidRDefault="005D6B12" w:rsidP="00ED09E2">
      <w:pPr>
        <w:pStyle w:val="FootnoteText"/>
        <w:spacing w:after="0" w:line="240" w:lineRule="auto"/>
        <w:ind w:left="360" w:hanging="360"/>
        <w:jc w:val="both"/>
      </w:pPr>
      <w:r w:rsidRPr="00ED09E2">
        <w:rPr>
          <w:rStyle w:val="FootnoteReference"/>
          <w:vertAlign w:val="baseline"/>
        </w:rPr>
        <w:footnoteRef/>
      </w:r>
      <w:r w:rsidR="00ED09E2">
        <w:tab/>
      </w:r>
      <w:hyperlink r:id="rId2" w:history="1">
        <w:r w:rsidRPr="00ED09E2">
          <w:rPr>
            <w:rStyle w:val="Hyperlink"/>
          </w:rPr>
          <w:t>OIM, Grands mouvements de migrants hautement vulnérables dans les Amériques en provenance des Caraïbes, d'Amérique latine et d'autres régions</w:t>
        </w:r>
      </w:hyperlink>
      <w:r w:rsidRPr="00ED09E2">
        <w:t>, 26 novembre 2021</w:t>
      </w:r>
    </w:p>
  </w:footnote>
  <w:footnote w:id="4">
    <w:p w14:paraId="473E404E" w14:textId="53C03A97" w:rsidR="005D6B12" w:rsidRPr="00ED09E2" w:rsidRDefault="005D6B12" w:rsidP="00ED09E2">
      <w:pPr>
        <w:pStyle w:val="FootnoteText"/>
        <w:spacing w:after="0" w:line="240" w:lineRule="auto"/>
        <w:ind w:left="360" w:hanging="360"/>
      </w:pPr>
      <w:r w:rsidRPr="00ED09E2">
        <w:rPr>
          <w:rStyle w:val="FootnoteReference"/>
          <w:vertAlign w:val="baseline"/>
        </w:rPr>
        <w:footnoteRef/>
      </w:r>
      <w:r w:rsidRPr="00ED09E2">
        <w:t xml:space="preserve"> </w:t>
      </w:r>
      <w:r w:rsidR="00ED09E2">
        <w:tab/>
        <w:t>DESA</w:t>
      </w:r>
      <w:r w:rsidRPr="00ED09E2">
        <w:t xml:space="preserve">, </w:t>
      </w:r>
      <w:hyperlink r:id="rId3" w:history="1">
        <w:r w:rsidRPr="00ED09E2">
          <w:rPr>
            <w:rStyle w:val="Hyperlink"/>
          </w:rPr>
          <w:t>Nombre de migrants internationaux 2020</w:t>
        </w:r>
      </w:hyperlink>
      <w:r w:rsidRPr="00ED09E2">
        <w:t xml:space="preserve">, 2021. </w:t>
      </w:r>
    </w:p>
  </w:footnote>
  <w:footnote w:id="5">
    <w:p w14:paraId="3A35C3BB" w14:textId="2475E2EC" w:rsidR="005D6B12" w:rsidRPr="00ED09E2" w:rsidRDefault="005D6B12" w:rsidP="00E40519">
      <w:pPr>
        <w:pStyle w:val="FootnoteText"/>
        <w:spacing w:after="0" w:line="240" w:lineRule="auto"/>
        <w:ind w:left="360" w:hanging="360"/>
      </w:pPr>
      <w:r w:rsidRPr="00ED09E2">
        <w:rPr>
          <w:rStyle w:val="FootnoteReference"/>
          <w:vertAlign w:val="baseline"/>
        </w:rPr>
        <w:footnoteRef/>
      </w:r>
      <w:r w:rsidRPr="00ED09E2">
        <w:t xml:space="preserve"> </w:t>
      </w:r>
      <w:r w:rsidR="00E40519">
        <w:t>.</w:t>
      </w:r>
      <w:r w:rsidR="00E40519">
        <w:tab/>
      </w:r>
      <w:r w:rsidRPr="00ED09E2">
        <w:t xml:space="preserve">OIM, </w:t>
      </w:r>
      <w:hyperlink r:id="rId4" w:history="1">
        <w:r w:rsidRPr="00ED09E2">
          <w:rPr>
            <w:rStyle w:val="Hyperlink"/>
          </w:rPr>
          <w:t>Projet sur les migrants disparus</w:t>
        </w:r>
      </w:hyperlink>
      <w:r w:rsidRPr="00ED09E2">
        <w:t xml:space="preserve">, </w:t>
      </w:r>
      <w:proofErr w:type="spellStart"/>
      <w:r w:rsidRPr="00ED09E2">
        <w:t>n.d</w:t>
      </w:r>
      <w:proofErr w:type="spellEnd"/>
      <w:r w:rsidRPr="00ED09E2">
        <w:t>.</w:t>
      </w:r>
    </w:p>
  </w:footnote>
  <w:footnote w:id="6">
    <w:p w14:paraId="3BA2BD24" w14:textId="6587BC21" w:rsidR="005D6B12" w:rsidRPr="00ED09E2" w:rsidRDefault="005D6B12" w:rsidP="00E40519">
      <w:pPr>
        <w:pStyle w:val="FootnoteText"/>
        <w:spacing w:after="0" w:line="240" w:lineRule="auto"/>
        <w:ind w:left="360" w:hanging="360"/>
      </w:pPr>
      <w:r w:rsidRPr="00ED09E2">
        <w:rPr>
          <w:rStyle w:val="FootnoteReference"/>
          <w:vertAlign w:val="baseline"/>
        </w:rPr>
        <w:footnoteRef/>
      </w:r>
      <w:r w:rsidRPr="00ED09E2">
        <w:t xml:space="preserve"> </w:t>
      </w:r>
      <w:r w:rsidR="00E40519">
        <w:t>.</w:t>
      </w:r>
      <w:r w:rsidR="00E40519">
        <w:tab/>
      </w:r>
      <w:r w:rsidRPr="00ED09E2">
        <w:rPr>
          <w:i/>
          <w:iCs/>
        </w:rPr>
        <w:t>Ibid</w:t>
      </w:r>
      <w:r w:rsidRPr="00ED09E2">
        <w:t>.</w:t>
      </w:r>
    </w:p>
  </w:footnote>
  <w:footnote w:id="7">
    <w:p w14:paraId="6D3EF09B" w14:textId="4B42B6B7" w:rsidR="005D6B12" w:rsidRPr="00ED09E2" w:rsidRDefault="005D6B12" w:rsidP="00E40519">
      <w:pPr>
        <w:pStyle w:val="FootnoteText"/>
        <w:spacing w:after="0" w:line="240" w:lineRule="auto"/>
        <w:ind w:left="360" w:hanging="360"/>
      </w:pPr>
      <w:r w:rsidRPr="00ED09E2">
        <w:rPr>
          <w:rStyle w:val="FootnoteReference"/>
          <w:vertAlign w:val="baseline"/>
        </w:rPr>
        <w:footnoteRef/>
      </w:r>
      <w:r w:rsidRPr="00ED09E2">
        <w:t xml:space="preserve"> </w:t>
      </w:r>
      <w:r w:rsidR="00E40519">
        <w:t>.</w:t>
      </w:r>
      <w:r w:rsidR="00E40519">
        <w:tab/>
      </w:r>
      <w:r w:rsidRPr="00ED09E2">
        <w:rPr>
          <w:i/>
          <w:iCs/>
        </w:rPr>
        <w:t>Ibid</w:t>
      </w:r>
      <w:r w:rsidRPr="00ED09E2">
        <w:t>.</w:t>
      </w:r>
    </w:p>
  </w:footnote>
  <w:footnote w:id="8">
    <w:p w14:paraId="22A1650B" w14:textId="26A719EF" w:rsidR="005D6B12" w:rsidRPr="00ED09E2" w:rsidRDefault="005D6B12" w:rsidP="00ED09E2">
      <w:pPr>
        <w:pStyle w:val="FootnoteText"/>
        <w:spacing w:after="0" w:line="240" w:lineRule="auto"/>
        <w:ind w:left="360" w:hanging="360"/>
        <w:jc w:val="both"/>
      </w:pPr>
      <w:r w:rsidRPr="00ED09E2">
        <w:rPr>
          <w:rStyle w:val="FootnoteReference"/>
          <w:vertAlign w:val="baseline"/>
        </w:rPr>
        <w:footnoteRef/>
      </w:r>
      <w:r w:rsidRPr="00ED09E2">
        <w:t xml:space="preserve"> </w:t>
      </w:r>
      <w:r w:rsidR="001717C6">
        <w:t>.</w:t>
      </w:r>
      <w:r w:rsidR="001717C6">
        <w:tab/>
      </w:r>
      <w:r w:rsidRPr="00ED09E2">
        <w:t xml:space="preserve">Plateforme régionale de coordination inter-agences pour les réfugiés et les migrants au Venezuela (R4V), </w:t>
      </w:r>
      <w:hyperlink r:id="rId5" w:history="1">
        <w:r w:rsidRPr="00ED09E2">
          <w:rPr>
            <w:rStyle w:val="Hyperlink"/>
          </w:rPr>
          <w:t>Plan régional d'intervention pour les réfugiés et les migrants en provenance du Venezuela (janvier-décembre 2021</w:t>
        </w:r>
        <w:r w:rsidRPr="00ED09E2">
          <w:rPr>
            <w:rStyle w:val="Hyperlink"/>
            <w:u w:val="none"/>
          </w:rPr>
          <w:t>)</w:t>
        </w:r>
      </w:hyperlink>
      <w:r w:rsidR="00ED09E2">
        <w:t xml:space="preserve">, </w:t>
      </w:r>
      <w:r w:rsidRPr="00ED09E2">
        <w:t>2020</w:t>
      </w:r>
      <w:r w:rsidR="00ED09E2">
        <w:t>.</w:t>
      </w:r>
    </w:p>
  </w:footnote>
  <w:footnote w:id="9">
    <w:p w14:paraId="24AE1EDB" w14:textId="107BA82B" w:rsidR="005D6B12" w:rsidRPr="00ED09E2" w:rsidRDefault="005D6B12" w:rsidP="00ED09E2">
      <w:pPr>
        <w:pStyle w:val="FootnoteText"/>
        <w:spacing w:after="0" w:line="240" w:lineRule="auto"/>
        <w:ind w:left="360" w:hanging="360"/>
        <w:jc w:val="both"/>
      </w:pPr>
      <w:r w:rsidRPr="00ED09E2">
        <w:rPr>
          <w:rStyle w:val="FootnoteReference"/>
          <w:vertAlign w:val="baseline"/>
        </w:rPr>
        <w:footnoteRef/>
      </w:r>
      <w:r w:rsidR="001717C6">
        <w:t>.</w:t>
      </w:r>
      <w:r w:rsidR="001717C6">
        <w:tab/>
      </w:r>
      <w:r w:rsidRPr="00ED09E2">
        <w:t xml:space="preserve"> </w:t>
      </w:r>
      <w:proofErr w:type="spellStart"/>
      <w:r w:rsidRPr="00ED09E2">
        <w:t>Cerrutti</w:t>
      </w:r>
      <w:proofErr w:type="spellEnd"/>
      <w:r w:rsidRPr="00ED09E2">
        <w:t xml:space="preserve">, M, </w:t>
      </w:r>
      <w:hyperlink r:id="rId6" w:anchor=":~:text=Nowadays%20in%20South%20America%2C%20the,residing%20elsewhere%20in%20the%20world.&amp;amp;text=Annual%20South%20American%20inflows%20to,2015%20to%20256%2C210%20in%202018" w:history="1">
        <w:r w:rsidRPr="00ED09E2">
          <w:rPr>
            <w:rStyle w:val="Hyperlink"/>
          </w:rPr>
          <w:t xml:space="preserve">5 </w:t>
        </w:r>
        <w:proofErr w:type="spellStart"/>
        <w:r w:rsidRPr="00ED09E2">
          <w:rPr>
            <w:rStyle w:val="Hyperlink"/>
          </w:rPr>
          <w:t>salient</w:t>
        </w:r>
        <w:proofErr w:type="spellEnd"/>
        <w:r w:rsidRPr="00ED09E2">
          <w:rPr>
            <w:rStyle w:val="Hyperlink"/>
          </w:rPr>
          <w:t xml:space="preserve"> </w:t>
        </w:r>
        <w:proofErr w:type="spellStart"/>
        <w:r w:rsidRPr="00ED09E2">
          <w:rPr>
            <w:rStyle w:val="Hyperlink"/>
          </w:rPr>
          <w:t>facts</w:t>
        </w:r>
        <w:proofErr w:type="spellEnd"/>
        <w:r w:rsidRPr="00ED09E2">
          <w:rPr>
            <w:rStyle w:val="Hyperlink"/>
          </w:rPr>
          <w:t xml:space="preserve"> about </w:t>
        </w:r>
        <w:proofErr w:type="spellStart"/>
        <w:r w:rsidRPr="00ED09E2">
          <w:rPr>
            <w:rStyle w:val="Hyperlink"/>
          </w:rPr>
          <w:t>intra-regional</w:t>
        </w:r>
        <w:proofErr w:type="spellEnd"/>
        <w:r w:rsidRPr="00ED09E2">
          <w:rPr>
            <w:rStyle w:val="Hyperlink"/>
          </w:rPr>
          <w:t xml:space="preserve"> migration in South America.</w:t>
        </w:r>
      </w:hyperlink>
      <w:hyperlink r:id="rId7" w:anchor=":~:text=Nowadays%20in%20South%20America%2C%20the,residing%20elsewhere%20in%20the%20world.&amp;amp;text=Annual%20South%20American%20inflows%20to,2015%20to%20256%2C210%20in%202018" w:history="1">
        <w:r w:rsidRPr="00ED09E2">
          <w:rPr>
            <w:rStyle w:val="Hyperlink"/>
          </w:rPr>
          <w:t xml:space="preserve"> Immigration &amp; </w:t>
        </w:r>
        <w:proofErr w:type="spellStart"/>
        <w:r w:rsidRPr="00ED09E2">
          <w:rPr>
            <w:rStyle w:val="Hyperlink"/>
          </w:rPr>
          <w:t>Emigration</w:t>
        </w:r>
        <w:proofErr w:type="spellEnd"/>
        <w:r w:rsidRPr="00ED09E2">
          <w:rPr>
            <w:rStyle w:val="Hyperlink"/>
          </w:rPr>
          <w:t xml:space="preserve"> </w:t>
        </w:r>
        <w:proofErr w:type="spellStart"/>
        <w:r w:rsidRPr="00ED09E2">
          <w:rPr>
            <w:rStyle w:val="Hyperlink"/>
          </w:rPr>
          <w:t>Statistics</w:t>
        </w:r>
        <w:proofErr w:type="spellEnd"/>
        <w:r w:rsidRPr="00ED09E2">
          <w:rPr>
            <w:rStyle w:val="Hyperlink"/>
          </w:rPr>
          <w:t xml:space="preserve"> Blog, Migration Data Portal</w:t>
        </w:r>
      </w:hyperlink>
      <w:r w:rsidRPr="00ED09E2">
        <w:t>, 13 mars 2020.</w:t>
      </w:r>
    </w:p>
  </w:footnote>
  <w:footnote w:id="10">
    <w:p w14:paraId="46E27274" w14:textId="5EBE5170" w:rsidR="005D6B12" w:rsidRPr="00ED09E2" w:rsidRDefault="005D6B12" w:rsidP="00ED09E2">
      <w:pPr>
        <w:pStyle w:val="FootnoteText"/>
        <w:spacing w:after="0" w:line="240" w:lineRule="auto"/>
        <w:ind w:left="360" w:hanging="360"/>
      </w:pPr>
      <w:r w:rsidRPr="00ED09E2">
        <w:rPr>
          <w:rStyle w:val="FootnoteReference"/>
          <w:vertAlign w:val="baseline"/>
        </w:rPr>
        <w:footnoteRef/>
      </w:r>
      <w:r w:rsidR="001717C6">
        <w:t>.</w:t>
      </w:r>
      <w:r w:rsidR="001717C6">
        <w:tab/>
      </w:r>
      <w:r w:rsidRPr="00ED09E2">
        <w:t xml:space="preserve"> OIM, 2018.</w:t>
      </w:r>
    </w:p>
  </w:footnote>
  <w:footnote w:id="11">
    <w:p w14:paraId="784D9D23" w14:textId="33C04AF3" w:rsidR="005D6B12" w:rsidRPr="00ED09E2" w:rsidRDefault="005D6B12" w:rsidP="00ED09E2">
      <w:pPr>
        <w:pStyle w:val="FootnoteText"/>
        <w:spacing w:after="0" w:line="240" w:lineRule="auto"/>
        <w:ind w:left="360" w:hanging="360"/>
      </w:pPr>
      <w:r w:rsidRPr="00ED09E2">
        <w:rPr>
          <w:rStyle w:val="FootnoteReference"/>
          <w:vertAlign w:val="baseline"/>
        </w:rPr>
        <w:footnoteRef/>
      </w:r>
      <w:r w:rsidR="001717C6">
        <w:t>.</w:t>
      </w:r>
      <w:r w:rsidR="001717C6">
        <w:tab/>
      </w:r>
      <w:r w:rsidRPr="00ED09E2">
        <w:t xml:space="preserve"> </w:t>
      </w:r>
      <w:r w:rsidRPr="00ED09E2">
        <w:rPr>
          <w:i/>
          <w:iCs/>
        </w:rPr>
        <w:t>Ibid</w:t>
      </w:r>
      <w:r w:rsidRPr="00ED09E2">
        <w:t>.</w:t>
      </w:r>
    </w:p>
  </w:footnote>
  <w:footnote w:id="12">
    <w:p w14:paraId="54922F1D" w14:textId="7D1742EF" w:rsidR="005D6B12" w:rsidRPr="00ED09E2" w:rsidRDefault="005D6B12" w:rsidP="00ED09E2">
      <w:pPr>
        <w:pStyle w:val="FootnoteText"/>
        <w:spacing w:after="0"/>
        <w:ind w:left="360" w:hanging="360"/>
      </w:pPr>
      <w:r w:rsidRPr="00ED09E2">
        <w:rPr>
          <w:rStyle w:val="FootnoteReference"/>
          <w:vertAlign w:val="baseline"/>
        </w:rPr>
        <w:footnoteRef/>
      </w:r>
      <w:r w:rsidRPr="00ED09E2">
        <w:t xml:space="preserve"> </w:t>
      </w:r>
      <w:r w:rsidR="001717C6">
        <w:t>.</w:t>
      </w:r>
      <w:r w:rsidR="001717C6">
        <w:tab/>
      </w:r>
      <w:r w:rsidRPr="00ED09E2">
        <w:t xml:space="preserve">OIM, </w:t>
      </w:r>
      <w:hyperlink r:id="rId8" w:history="1">
        <w:r w:rsidRPr="00ED09E2">
          <w:rPr>
            <w:rStyle w:val="Hyperlink"/>
          </w:rPr>
          <w:t xml:space="preserve">Migration </w:t>
        </w:r>
        <w:proofErr w:type="spellStart"/>
        <w:r w:rsidRPr="00ED09E2">
          <w:rPr>
            <w:rStyle w:val="Hyperlink"/>
          </w:rPr>
          <w:t>governance</w:t>
        </w:r>
        <w:proofErr w:type="spellEnd"/>
        <w:r w:rsidRPr="00ED09E2">
          <w:rPr>
            <w:rStyle w:val="Hyperlink"/>
          </w:rPr>
          <w:t>:</w:t>
        </w:r>
      </w:hyperlink>
      <w:hyperlink r:id="rId9" w:history="1">
        <w:r w:rsidRPr="00ED09E2">
          <w:rPr>
            <w:rStyle w:val="Hyperlink"/>
          </w:rPr>
          <w:t xml:space="preserve"> An adaptation </w:t>
        </w:r>
        <w:proofErr w:type="spellStart"/>
        <w:r w:rsidRPr="00ED09E2">
          <w:rPr>
            <w:rStyle w:val="Hyperlink"/>
          </w:rPr>
          <w:t>strategy</w:t>
        </w:r>
        <w:proofErr w:type="spellEnd"/>
        <w:r w:rsidRPr="00ED09E2">
          <w:rPr>
            <w:rStyle w:val="Hyperlink"/>
          </w:rPr>
          <w:t xml:space="preserve"> to </w:t>
        </w:r>
        <w:proofErr w:type="spellStart"/>
        <w:r w:rsidRPr="00ED09E2">
          <w:rPr>
            <w:rStyle w:val="Hyperlink"/>
          </w:rPr>
          <w:t>Climate</w:t>
        </w:r>
        <w:proofErr w:type="spellEnd"/>
        <w:r w:rsidRPr="00ED09E2">
          <w:rPr>
            <w:rStyle w:val="Hyperlink"/>
          </w:rPr>
          <w:t xml:space="preserve"> Change</w:t>
        </w:r>
      </w:hyperlink>
      <w:r w:rsidRPr="00ED09E2">
        <w:t>, 14 février 2019.</w:t>
      </w:r>
    </w:p>
  </w:footnote>
  <w:footnote w:id="13">
    <w:p w14:paraId="07265EDB" w14:textId="59FB092B" w:rsidR="005D6B12" w:rsidRPr="00ED09E2" w:rsidRDefault="005D6B12" w:rsidP="00ED09E2">
      <w:pPr>
        <w:pStyle w:val="FootnoteText"/>
        <w:spacing w:after="0" w:line="240" w:lineRule="auto"/>
        <w:ind w:left="360" w:hanging="360"/>
      </w:pPr>
      <w:r w:rsidRPr="00ED09E2">
        <w:rPr>
          <w:rStyle w:val="FootnoteReference"/>
          <w:vertAlign w:val="baseline"/>
        </w:rPr>
        <w:footnoteRef/>
      </w:r>
      <w:r w:rsidRPr="00ED09E2">
        <w:t xml:space="preserve"> </w:t>
      </w:r>
      <w:r w:rsidR="001717C6">
        <w:t>.</w:t>
      </w:r>
      <w:r w:rsidR="001717C6">
        <w:tab/>
      </w:r>
      <w:r w:rsidRPr="00ED09E2">
        <w:t xml:space="preserve">HCR, </w:t>
      </w:r>
      <w:hyperlink r:id="rId10" w:history="1">
        <w:r w:rsidRPr="00ED09E2">
          <w:rPr>
            <w:rStyle w:val="Hyperlink"/>
          </w:rPr>
          <w:t>Chiffres de population</w:t>
        </w:r>
      </w:hyperlink>
      <w:r w:rsidRPr="00ED09E2">
        <w:t xml:space="preserve">, </w:t>
      </w:r>
      <w:proofErr w:type="spellStart"/>
      <w:r w:rsidRPr="00ED09E2">
        <w:t>n.d</w:t>
      </w:r>
      <w:proofErr w:type="spellEnd"/>
      <w:r w:rsidRPr="00ED09E2">
        <w:t>.</w:t>
      </w:r>
    </w:p>
  </w:footnote>
  <w:footnote w:id="14">
    <w:p w14:paraId="66119993" w14:textId="01E4F1CA" w:rsidR="005D6B12" w:rsidRPr="00ED09E2" w:rsidRDefault="005D6B12" w:rsidP="00ED09E2">
      <w:pPr>
        <w:pStyle w:val="FootnoteText"/>
        <w:spacing w:after="0" w:line="240" w:lineRule="auto"/>
        <w:ind w:left="360" w:hanging="360"/>
      </w:pPr>
      <w:r w:rsidRPr="00ED09E2">
        <w:rPr>
          <w:rStyle w:val="FootnoteReference"/>
          <w:vertAlign w:val="baseline"/>
        </w:rPr>
        <w:footnoteRef/>
      </w:r>
      <w:r w:rsidRPr="00ED09E2">
        <w:t xml:space="preserve"> </w:t>
      </w:r>
      <w:r w:rsidR="001717C6">
        <w:t>.</w:t>
      </w:r>
      <w:r w:rsidR="001717C6">
        <w:tab/>
      </w:r>
      <w:r w:rsidRPr="00ED09E2">
        <w:t xml:space="preserve">DESA, </w:t>
      </w:r>
      <w:hyperlink r:id="rId11" w:history="1">
        <w:r w:rsidRPr="00ED09E2">
          <w:rPr>
            <w:rStyle w:val="Hyperlink"/>
          </w:rPr>
          <w:t>Nombre de migrants internationaux 2020</w:t>
        </w:r>
      </w:hyperlink>
      <w:r w:rsidRPr="00ED09E2">
        <w:t>, OIM, 2020.</w:t>
      </w:r>
    </w:p>
  </w:footnote>
  <w:footnote w:id="15">
    <w:p w14:paraId="4C3D8813" w14:textId="2DF74733" w:rsidR="005D6B12" w:rsidRPr="00ED09E2" w:rsidRDefault="005D6B12" w:rsidP="00ED09E2">
      <w:pPr>
        <w:pStyle w:val="FootnoteText"/>
        <w:spacing w:after="0" w:line="240" w:lineRule="auto"/>
        <w:ind w:left="360" w:hanging="360"/>
      </w:pPr>
      <w:r w:rsidRPr="00ED09E2">
        <w:rPr>
          <w:rStyle w:val="FootnoteReference"/>
          <w:vertAlign w:val="baseline"/>
        </w:rPr>
        <w:footnoteRef/>
      </w:r>
      <w:r w:rsidR="001717C6">
        <w:t>.</w:t>
      </w:r>
      <w:r w:rsidR="001717C6">
        <w:tab/>
      </w:r>
      <w:r w:rsidRPr="00ED09E2">
        <w:t xml:space="preserve"> </w:t>
      </w:r>
      <w:r w:rsidRPr="00ED09E2">
        <w:rPr>
          <w:i/>
          <w:iCs/>
        </w:rPr>
        <w:t>Ibid</w:t>
      </w:r>
      <w:r w:rsidRPr="00ED09E2">
        <w:t>.</w:t>
      </w:r>
    </w:p>
  </w:footnote>
  <w:footnote w:id="16">
    <w:p w14:paraId="6F9A1B6A" w14:textId="18CD2F9D" w:rsidR="005D6B12" w:rsidRPr="00ED09E2" w:rsidRDefault="005D6B12" w:rsidP="00ED09E2">
      <w:pPr>
        <w:pStyle w:val="FootnoteText"/>
        <w:spacing w:after="0" w:line="240" w:lineRule="auto"/>
        <w:ind w:left="360" w:hanging="360"/>
      </w:pPr>
      <w:r w:rsidRPr="00ED09E2">
        <w:rPr>
          <w:rStyle w:val="FootnoteReference"/>
          <w:vertAlign w:val="baseline"/>
        </w:rPr>
        <w:footnoteRef/>
      </w:r>
      <w:r w:rsidRPr="00ED09E2">
        <w:t xml:space="preserve"> </w:t>
      </w:r>
      <w:r w:rsidR="001717C6">
        <w:t>.</w:t>
      </w:r>
      <w:r w:rsidR="001717C6">
        <w:tab/>
      </w:r>
      <w:r w:rsidRPr="00ED09E2">
        <w:t xml:space="preserve">OIM, </w:t>
      </w:r>
      <w:hyperlink r:id="rId12" w:history="1">
        <w:r w:rsidRPr="00ED09E2">
          <w:rPr>
            <w:rStyle w:val="Hyperlink"/>
          </w:rPr>
          <w:t>Migration In the Caribbean:</w:t>
        </w:r>
      </w:hyperlink>
      <w:hyperlink r:id="rId13" w:history="1">
        <w:r w:rsidRPr="00ED09E2">
          <w:rPr>
            <w:rStyle w:val="Hyperlink"/>
          </w:rPr>
          <w:t xml:space="preserve"> </w:t>
        </w:r>
        <w:proofErr w:type="spellStart"/>
        <w:r w:rsidRPr="00ED09E2">
          <w:rPr>
            <w:rStyle w:val="Hyperlink"/>
          </w:rPr>
          <w:t>Current</w:t>
        </w:r>
        <w:proofErr w:type="spellEnd"/>
        <w:r w:rsidRPr="00ED09E2">
          <w:rPr>
            <w:rStyle w:val="Hyperlink"/>
          </w:rPr>
          <w:t xml:space="preserve"> Trends, </w:t>
        </w:r>
        <w:proofErr w:type="spellStart"/>
        <w:r w:rsidRPr="00ED09E2">
          <w:rPr>
            <w:rStyle w:val="Hyperlink"/>
          </w:rPr>
          <w:t>Opportunities</w:t>
        </w:r>
        <w:proofErr w:type="spellEnd"/>
        <w:r w:rsidRPr="00ED09E2">
          <w:rPr>
            <w:rStyle w:val="Hyperlink"/>
          </w:rPr>
          <w:t xml:space="preserve"> and Challenges</w:t>
        </w:r>
      </w:hyperlink>
      <w:r w:rsidRPr="00ED09E2">
        <w:t>, 25 septembre 2017.</w:t>
      </w:r>
    </w:p>
  </w:footnote>
  <w:footnote w:id="17">
    <w:p w14:paraId="795FE301" w14:textId="5D08EAE5" w:rsidR="005D6B12" w:rsidRPr="001717C6" w:rsidRDefault="005D6B12" w:rsidP="001717C6">
      <w:pPr>
        <w:pStyle w:val="FootnoteText"/>
        <w:spacing w:after="0" w:line="240" w:lineRule="auto"/>
        <w:ind w:left="360" w:hanging="360"/>
      </w:pPr>
      <w:r w:rsidRPr="00ED09E2">
        <w:rPr>
          <w:rStyle w:val="FootnoteReference"/>
          <w:vertAlign w:val="baseline"/>
        </w:rPr>
        <w:footnoteRef/>
      </w:r>
      <w:r w:rsidRPr="00ED09E2">
        <w:t xml:space="preserve"> </w:t>
      </w:r>
      <w:r w:rsidR="001717C6">
        <w:t>.</w:t>
      </w:r>
      <w:r w:rsidR="001717C6">
        <w:tab/>
      </w:r>
      <w:r w:rsidRPr="00ED09E2">
        <w:t xml:space="preserve">Patrick </w:t>
      </w:r>
      <w:proofErr w:type="spellStart"/>
      <w:r w:rsidRPr="00ED09E2">
        <w:t>Taran</w:t>
      </w:r>
      <w:proofErr w:type="spellEnd"/>
      <w:r w:rsidRPr="00ED09E2">
        <w:t xml:space="preserve"> et Olga </w:t>
      </w:r>
      <w:proofErr w:type="spellStart"/>
      <w:r w:rsidRPr="00ED09E2">
        <w:t>Kadysheva</w:t>
      </w:r>
      <w:proofErr w:type="spellEnd"/>
      <w:r w:rsidRPr="00ED09E2">
        <w:t xml:space="preserve">, </w:t>
      </w:r>
      <w:hyperlink r:id="rId14" w:history="1">
        <w:r w:rsidRPr="00ED09E2">
          <w:rPr>
            <w:rStyle w:val="Hyperlink"/>
          </w:rPr>
          <w:t xml:space="preserve">COVID-19, Migrants, </w:t>
        </w:r>
        <w:proofErr w:type="spellStart"/>
        <w:r w:rsidRPr="00ED09E2">
          <w:rPr>
            <w:rStyle w:val="Hyperlink"/>
          </w:rPr>
          <w:t>Refugees</w:t>
        </w:r>
        <w:proofErr w:type="spellEnd"/>
        <w:r w:rsidRPr="00ED09E2">
          <w:rPr>
            <w:rStyle w:val="Hyperlink"/>
          </w:rPr>
          <w:t xml:space="preserve">, Mobile </w:t>
        </w:r>
        <w:proofErr w:type="spellStart"/>
        <w:r w:rsidRPr="00ED09E2">
          <w:rPr>
            <w:rStyle w:val="Hyperlink"/>
          </w:rPr>
          <w:t>Workers</w:t>
        </w:r>
        <w:proofErr w:type="spellEnd"/>
        <w:r w:rsidRPr="00ED09E2">
          <w:rPr>
            <w:rStyle w:val="Hyperlink"/>
          </w:rPr>
          <w:t>:</w:t>
        </w:r>
      </w:hyperlink>
      <w:hyperlink r:id="rId15" w:history="1">
        <w:r w:rsidRPr="00ED09E2">
          <w:rPr>
            <w:rStyle w:val="Hyperlink"/>
          </w:rPr>
          <w:t xml:space="preserve"> Global </w:t>
        </w:r>
        <w:proofErr w:type="spellStart"/>
        <w:r w:rsidRPr="00ED09E2">
          <w:rPr>
            <w:rStyle w:val="Hyperlink"/>
          </w:rPr>
          <w:t>Assessment</w:t>
        </w:r>
        <w:proofErr w:type="spellEnd"/>
        <w:r w:rsidRPr="00ED09E2">
          <w:rPr>
            <w:rStyle w:val="Hyperlink"/>
          </w:rPr>
          <w:t xml:space="preserve"> and Action Agenda</w:t>
        </w:r>
      </w:hyperlink>
      <w:r w:rsidRPr="00ED09E2">
        <w:t>, 15 mars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5902" w14:textId="77777777" w:rsidR="00AF6A71" w:rsidRDefault="00AF6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202001"/>
      <w:docPartObj>
        <w:docPartGallery w:val="Page Numbers (Top of Page)"/>
        <w:docPartUnique/>
      </w:docPartObj>
    </w:sdtPr>
    <w:sdtEndPr>
      <w:rPr>
        <w:noProof/>
      </w:rPr>
    </w:sdtEndPr>
    <w:sdtContent>
      <w:p w14:paraId="183E4F82" w14:textId="1916421A" w:rsidR="00AF6A71" w:rsidRDefault="00AF6A71">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w:t>
        </w:r>
      </w:p>
    </w:sdtContent>
  </w:sdt>
  <w:p w14:paraId="1AA55122" w14:textId="77777777" w:rsidR="00AF6A71" w:rsidRDefault="00AF6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4001" w14:textId="77777777" w:rsidR="00AF6A71" w:rsidRDefault="00AF6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F4C"/>
    <w:multiLevelType w:val="hybridMultilevel"/>
    <w:tmpl w:val="1362E340"/>
    <w:lvl w:ilvl="0" w:tplc="4092876E">
      <w:start w:val="1"/>
      <w:numFmt w:val="decimal"/>
      <w:lvlText w:val="%1)"/>
      <w:lvlJc w:val="left"/>
      <w:pPr>
        <w:ind w:left="1080" w:hanging="360"/>
      </w:pPr>
    </w:lvl>
    <w:lvl w:ilvl="1" w:tplc="300A0019">
      <w:start w:val="1"/>
      <w:numFmt w:val="lowerLetter"/>
      <w:lvlText w:val="%2."/>
      <w:lvlJc w:val="left"/>
      <w:pPr>
        <w:ind w:left="1800" w:hanging="360"/>
      </w:pPr>
    </w:lvl>
    <w:lvl w:ilvl="2" w:tplc="300A001B">
      <w:start w:val="1"/>
      <w:numFmt w:val="lowerRoman"/>
      <w:lvlText w:val="%3."/>
      <w:lvlJc w:val="right"/>
      <w:pPr>
        <w:ind w:left="2520" w:hanging="180"/>
      </w:pPr>
    </w:lvl>
    <w:lvl w:ilvl="3" w:tplc="300A000F">
      <w:start w:val="1"/>
      <w:numFmt w:val="decimal"/>
      <w:lvlText w:val="%4."/>
      <w:lvlJc w:val="left"/>
      <w:pPr>
        <w:ind w:left="3240" w:hanging="360"/>
      </w:pPr>
    </w:lvl>
    <w:lvl w:ilvl="4" w:tplc="300A0019">
      <w:start w:val="1"/>
      <w:numFmt w:val="lowerLetter"/>
      <w:lvlText w:val="%5."/>
      <w:lvlJc w:val="left"/>
      <w:pPr>
        <w:ind w:left="3960" w:hanging="360"/>
      </w:pPr>
    </w:lvl>
    <w:lvl w:ilvl="5" w:tplc="300A001B">
      <w:start w:val="1"/>
      <w:numFmt w:val="lowerRoman"/>
      <w:lvlText w:val="%6."/>
      <w:lvlJc w:val="right"/>
      <w:pPr>
        <w:ind w:left="4680" w:hanging="180"/>
      </w:pPr>
    </w:lvl>
    <w:lvl w:ilvl="6" w:tplc="300A000F">
      <w:start w:val="1"/>
      <w:numFmt w:val="decimal"/>
      <w:lvlText w:val="%7."/>
      <w:lvlJc w:val="left"/>
      <w:pPr>
        <w:ind w:left="5400" w:hanging="360"/>
      </w:pPr>
    </w:lvl>
    <w:lvl w:ilvl="7" w:tplc="300A0019">
      <w:start w:val="1"/>
      <w:numFmt w:val="lowerLetter"/>
      <w:lvlText w:val="%8."/>
      <w:lvlJc w:val="left"/>
      <w:pPr>
        <w:ind w:left="6120" w:hanging="360"/>
      </w:pPr>
    </w:lvl>
    <w:lvl w:ilvl="8" w:tplc="300A001B">
      <w:start w:val="1"/>
      <w:numFmt w:val="lowerRoman"/>
      <w:lvlText w:val="%9."/>
      <w:lvlJc w:val="right"/>
      <w:pPr>
        <w:ind w:left="6840" w:hanging="180"/>
      </w:pPr>
    </w:lvl>
  </w:abstractNum>
  <w:abstractNum w:abstractNumId="1"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3384137"/>
    <w:multiLevelType w:val="hybridMultilevel"/>
    <w:tmpl w:val="6368E75C"/>
    <w:lvl w:ilvl="0" w:tplc="87D4379A">
      <w:start w:val="1"/>
      <w:numFmt w:val="decimal"/>
      <w:lvlText w:val="%1)"/>
      <w:lvlJc w:val="left"/>
      <w:pPr>
        <w:ind w:left="1080" w:hanging="360"/>
      </w:pPr>
    </w:lvl>
    <w:lvl w:ilvl="1" w:tplc="300A0019">
      <w:start w:val="1"/>
      <w:numFmt w:val="lowerLetter"/>
      <w:lvlText w:val="%2."/>
      <w:lvlJc w:val="left"/>
      <w:pPr>
        <w:ind w:left="1800" w:hanging="360"/>
      </w:pPr>
    </w:lvl>
    <w:lvl w:ilvl="2" w:tplc="300A001B">
      <w:start w:val="1"/>
      <w:numFmt w:val="lowerRoman"/>
      <w:lvlText w:val="%3."/>
      <w:lvlJc w:val="right"/>
      <w:pPr>
        <w:ind w:left="2520" w:hanging="180"/>
      </w:pPr>
    </w:lvl>
    <w:lvl w:ilvl="3" w:tplc="300A000F">
      <w:start w:val="1"/>
      <w:numFmt w:val="decimal"/>
      <w:lvlText w:val="%4."/>
      <w:lvlJc w:val="left"/>
      <w:pPr>
        <w:ind w:left="3240" w:hanging="360"/>
      </w:pPr>
    </w:lvl>
    <w:lvl w:ilvl="4" w:tplc="300A0019">
      <w:start w:val="1"/>
      <w:numFmt w:val="lowerLetter"/>
      <w:lvlText w:val="%5."/>
      <w:lvlJc w:val="left"/>
      <w:pPr>
        <w:ind w:left="3960" w:hanging="360"/>
      </w:pPr>
    </w:lvl>
    <w:lvl w:ilvl="5" w:tplc="300A001B">
      <w:start w:val="1"/>
      <w:numFmt w:val="lowerRoman"/>
      <w:lvlText w:val="%6."/>
      <w:lvlJc w:val="right"/>
      <w:pPr>
        <w:ind w:left="4680" w:hanging="180"/>
      </w:pPr>
    </w:lvl>
    <w:lvl w:ilvl="6" w:tplc="300A000F">
      <w:start w:val="1"/>
      <w:numFmt w:val="decimal"/>
      <w:lvlText w:val="%7."/>
      <w:lvlJc w:val="left"/>
      <w:pPr>
        <w:ind w:left="5400" w:hanging="360"/>
      </w:pPr>
    </w:lvl>
    <w:lvl w:ilvl="7" w:tplc="300A0019">
      <w:start w:val="1"/>
      <w:numFmt w:val="lowerLetter"/>
      <w:lvlText w:val="%8."/>
      <w:lvlJc w:val="left"/>
      <w:pPr>
        <w:ind w:left="6120" w:hanging="360"/>
      </w:pPr>
    </w:lvl>
    <w:lvl w:ilvl="8" w:tplc="300A001B">
      <w:start w:val="1"/>
      <w:numFmt w:val="lowerRoman"/>
      <w:lvlText w:val="%9."/>
      <w:lvlJc w:val="right"/>
      <w:pPr>
        <w:ind w:left="6840" w:hanging="180"/>
      </w:pPr>
    </w:lvl>
  </w:abstractNum>
  <w:abstractNum w:abstractNumId="3" w15:restartNumberingAfterBreak="0">
    <w:nsid w:val="41FA66C4"/>
    <w:multiLevelType w:val="hybridMultilevel"/>
    <w:tmpl w:val="922655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56333A55"/>
    <w:multiLevelType w:val="hybridMultilevel"/>
    <w:tmpl w:val="26529A82"/>
    <w:lvl w:ilvl="0" w:tplc="395A88BC">
      <w:start w:val="1"/>
      <w:numFmt w:val="decimal"/>
      <w:lvlText w:val="%1)"/>
      <w:lvlJc w:val="left"/>
      <w:pPr>
        <w:ind w:left="1080" w:hanging="360"/>
      </w:pPr>
    </w:lvl>
    <w:lvl w:ilvl="1" w:tplc="300A0019">
      <w:start w:val="1"/>
      <w:numFmt w:val="lowerLetter"/>
      <w:lvlText w:val="%2."/>
      <w:lvlJc w:val="left"/>
      <w:pPr>
        <w:ind w:left="1800" w:hanging="360"/>
      </w:pPr>
    </w:lvl>
    <w:lvl w:ilvl="2" w:tplc="300A001B">
      <w:start w:val="1"/>
      <w:numFmt w:val="lowerRoman"/>
      <w:lvlText w:val="%3."/>
      <w:lvlJc w:val="right"/>
      <w:pPr>
        <w:ind w:left="2520" w:hanging="180"/>
      </w:pPr>
    </w:lvl>
    <w:lvl w:ilvl="3" w:tplc="300A000F">
      <w:start w:val="1"/>
      <w:numFmt w:val="decimal"/>
      <w:lvlText w:val="%4."/>
      <w:lvlJc w:val="left"/>
      <w:pPr>
        <w:ind w:left="3240" w:hanging="360"/>
      </w:pPr>
    </w:lvl>
    <w:lvl w:ilvl="4" w:tplc="300A0019">
      <w:start w:val="1"/>
      <w:numFmt w:val="lowerLetter"/>
      <w:lvlText w:val="%5."/>
      <w:lvlJc w:val="left"/>
      <w:pPr>
        <w:ind w:left="3960" w:hanging="360"/>
      </w:pPr>
    </w:lvl>
    <w:lvl w:ilvl="5" w:tplc="300A001B">
      <w:start w:val="1"/>
      <w:numFmt w:val="lowerRoman"/>
      <w:lvlText w:val="%6."/>
      <w:lvlJc w:val="right"/>
      <w:pPr>
        <w:ind w:left="4680" w:hanging="180"/>
      </w:pPr>
    </w:lvl>
    <w:lvl w:ilvl="6" w:tplc="300A000F">
      <w:start w:val="1"/>
      <w:numFmt w:val="decimal"/>
      <w:lvlText w:val="%7."/>
      <w:lvlJc w:val="left"/>
      <w:pPr>
        <w:ind w:left="5400" w:hanging="360"/>
      </w:pPr>
    </w:lvl>
    <w:lvl w:ilvl="7" w:tplc="300A0019">
      <w:start w:val="1"/>
      <w:numFmt w:val="lowerLetter"/>
      <w:lvlText w:val="%8."/>
      <w:lvlJc w:val="left"/>
      <w:pPr>
        <w:ind w:left="6120" w:hanging="360"/>
      </w:pPr>
    </w:lvl>
    <w:lvl w:ilvl="8" w:tplc="300A001B">
      <w:start w:val="1"/>
      <w:numFmt w:val="lowerRoman"/>
      <w:lvlText w:val="%9."/>
      <w:lvlJc w:val="right"/>
      <w:pPr>
        <w:ind w:left="6840" w:hanging="180"/>
      </w:pPr>
    </w:lvl>
  </w:abstractNum>
  <w:abstractNum w:abstractNumId="5" w15:restartNumberingAfterBreak="0">
    <w:nsid w:val="710B1256"/>
    <w:multiLevelType w:val="hybridMultilevel"/>
    <w:tmpl w:val="362A5C6A"/>
    <w:lvl w:ilvl="0" w:tplc="711E0E98">
      <w:start w:val="1"/>
      <w:numFmt w:val="decimal"/>
      <w:lvlText w:val="%1)"/>
      <w:lvlJc w:val="left"/>
      <w:pPr>
        <w:ind w:left="1080" w:hanging="360"/>
      </w:pPr>
    </w:lvl>
    <w:lvl w:ilvl="1" w:tplc="300A0019">
      <w:start w:val="1"/>
      <w:numFmt w:val="lowerLetter"/>
      <w:lvlText w:val="%2."/>
      <w:lvlJc w:val="left"/>
      <w:pPr>
        <w:ind w:left="1800" w:hanging="360"/>
      </w:pPr>
    </w:lvl>
    <w:lvl w:ilvl="2" w:tplc="300A001B">
      <w:start w:val="1"/>
      <w:numFmt w:val="lowerRoman"/>
      <w:lvlText w:val="%3."/>
      <w:lvlJc w:val="right"/>
      <w:pPr>
        <w:ind w:left="2520" w:hanging="180"/>
      </w:pPr>
    </w:lvl>
    <w:lvl w:ilvl="3" w:tplc="300A000F">
      <w:start w:val="1"/>
      <w:numFmt w:val="decimal"/>
      <w:lvlText w:val="%4."/>
      <w:lvlJc w:val="left"/>
      <w:pPr>
        <w:ind w:left="3240" w:hanging="360"/>
      </w:pPr>
    </w:lvl>
    <w:lvl w:ilvl="4" w:tplc="300A0019">
      <w:start w:val="1"/>
      <w:numFmt w:val="lowerLetter"/>
      <w:lvlText w:val="%5."/>
      <w:lvlJc w:val="left"/>
      <w:pPr>
        <w:ind w:left="3960" w:hanging="360"/>
      </w:pPr>
    </w:lvl>
    <w:lvl w:ilvl="5" w:tplc="300A001B">
      <w:start w:val="1"/>
      <w:numFmt w:val="lowerRoman"/>
      <w:lvlText w:val="%6."/>
      <w:lvlJc w:val="right"/>
      <w:pPr>
        <w:ind w:left="4680" w:hanging="180"/>
      </w:pPr>
    </w:lvl>
    <w:lvl w:ilvl="6" w:tplc="300A000F">
      <w:start w:val="1"/>
      <w:numFmt w:val="decimal"/>
      <w:lvlText w:val="%7."/>
      <w:lvlJc w:val="left"/>
      <w:pPr>
        <w:ind w:left="5400" w:hanging="360"/>
      </w:pPr>
    </w:lvl>
    <w:lvl w:ilvl="7" w:tplc="300A0019">
      <w:start w:val="1"/>
      <w:numFmt w:val="lowerLetter"/>
      <w:lvlText w:val="%8."/>
      <w:lvlJc w:val="left"/>
      <w:pPr>
        <w:ind w:left="6120" w:hanging="360"/>
      </w:pPr>
    </w:lvl>
    <w:lvl w:ilvl="8" w:tplc="300A001B">
      <w:start w:val="1"/>
      <w:numFmt w:val="lowerRoman"/>
      <w:lvlText w:val="%9."/>
      <w:lvlJc w:val="right"/>
      <w:pPr>
        <w:ind w:left="6840" w:hanging="180"/>
      </w:pPr>
    </w:lvl>
  </w:abstractNum>
  <w:num w:numId="1" w16cid:durableId="136918266">
    <w:abstractNumId w:val="1"/>
  </w:num>
  <w:num w:numId="2" w16cid:durableId="2009282091">
    <w:abstractNumId w:val="3"/>
  </w:num>
  <w:num w:numId="3" w16cid:durableId="516582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4052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3675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925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3C"/>
    <w:rsid w:val="001717C6"/>
    <w:rsid w:val="00391A8F"/>
    <w:rsid w:val="005D6B12"/>
    <w:rsid w:val="008D1406"/>
    <w:rsid w:val="00915F98"/>
    <w:rsid w:val="009A00CF"/>
    <w:rsid w:val="00AF6A71"/>
    <w:rsid w:val="00E40519"/>
    <w:rsid w:val="00E8323C"/>
    <w:rsid w:val="00E917E0"/>
    <w:rsid w:val="00ED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F4C53"/>
  <w15:docId w15:val="{D872D489-6906-4428-9BFB-C79A01C3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B12"/>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D6B12"/>
    <w:rPr>
      <w:color w:val="0563C1"/>
      <w:u w:val="single"/>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locked/>
    <w:rsid w:val="005D6B12"/>
    <w:rPr>
      <w:lang w:val="fr-CA"/>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
    <w:basedOn w:val="Normal"/>
    <w:link w:val="FootnoteTextChar"/>
    <w:uiPriority w:val="99"/>
    <w:unhideWhenUsed/>
    <w:qFormat/>
    <w:rsid w:val="005D6B12"/>
    <w:rPr>
      <w:rFonts w:ascii="Times New Roman" w:eastAsia="Times New Roman" w:hAnsi="Times New Roman"/>
      <w:sz w:val="20"/>
      <w:szCs w:val="20"/>
    </w:rPr>
  </w:style>
  <w:style w:type="character" w:customStyle="1" w:styleId="FootnoteTextChar1">
    <w:name w:val="Footnote Text Char1"/>
    <w:basedOn w:val="DefaultParagraphFont"/>
    <w:semiHidden/>
    <w:rsid w:val="005D6B12"/>
    <w:rPr>
      <w:rFonts w:ascii="Calibri" w:eastAsia="Calibri" w:hAnsi="Calibri"/>
      <w:lang w:val="fr-CA"/>
    </w:rPr>
  </w:style>
  <w:style w:type="paragraph" w:styleId="ListParagraph">
    <w:name w:val="List Paragraph"/>
    <w:basedOn w:val="Normal"/>
    <w:uiPriority w:val="99"/>
    <w:qFormat/>
    <w:rsid w:val="005D6B12"/>
    <w:pPr>
      <w:ind w:left="720"/>
      <w:contextualSpacing/>
    </w:pPr>
  </w:style>
  <w:style w:type="paragraph" w:customStyle="1" w:styleId="MediumShading1-Accent11">
    <w:name w:val="Medium Shading 1 - Accent 11"/>
    <w:uiPriority w:val="1"/>
    <w:qFormat/>
    <w:rsid w:val="005D6B12"/>
    <w:rPr>
      <w:rFonts w:ascii="Calibri" w:eastAsia="Calibri" w:hAnsi="Calibri"/>
      <w:sz w:val="22"/>
      <w:szCs w:val="22"/>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semiHidden/>
    <w:unhideWhenUsed/>
    <w:qFormat/>
    <w:rsid w:val="005D6B12"/>
    <w:rPr>
      <w:vertAlign w:val="superscript"/>
    </w:rPr>
  </w:style>
  <w:style w:type="paragraph" w:styleId="Header">
    <w:name w:val="header"/>
    <w:basedOn w:val="Normal"/>
    <w:link w:val="HeaderChar"/>
    <w:uiPriority w:val="99"/>
    <w:unhideWhenUsed/>
    <w:rsid w:val="00AF6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71"/>
    <w:rPr>
      <w:rFonts w:ascii="Calibri" w:eastAsia="Calibri" w:hAnsi="Calibri"/>
      <w:sz w:val="22"/>
      <w:szCs w:val="22"/>
    </w:rPr>
  </w:style>
  <w:style w:type="paragraph" w:styleId="Footer">
    <w:name w:val="footer"/>
    <w:basedOn w:val="Normal"/>
    <w:link w:val="FooterChar"/>
    <w:unhideWhenUsed/>
    <w:rsid w:val="00AF6A71"/>
    <w:pPr>
      <w:tabs>
        <w:tab w:val="center" w:pos="4680"/>
        <w:tab w:val="right" w:pos="9360"/>
      </w:tabs>
      <w:spacing w:after="0" w:line="240" w:lineRule="auto"/>
    </w:pPr>
  </w:style>
  <w:style w:type="character" w:customStyle="1" w:styleId="FooterChar">
    <w:name w:val="Footer Char"/>
    <w:basedOn w:val="DefaultParagraphFont"/>
    <w:link w:val="Footer"/>
    <w:rsid w:val="00AF6A7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osanjose.iom.int/en/blogs/migration-governance-adaptation-strategy-climate-change" TargetMode="External"/><Relationship Id="rId13" Type="http://schemas.openxmlformats.org/officeDocument/2006/relationships/hyperlink" Target="https://reliefweb.int/report/haiti/migration-caribbean-current-trends-opportunities-and-challenges" TargetMode="External"/><Relationship Id="rId3" Type="http://schemas.openxmlformats.org/officeDocument/2006/relationships/hyperlink" Target="https://www.un.org/development/desa/pd/content/international-migrant-stock" TargetMode="External"/><Relationship Id="rId7" Type="http://schemas.openxmlformats.org/officeDocument/2006/relationships/hyperlink" Target="https://migrationdataportal.org/blog/5-salient-facts-about-intra-regional-migration-south-america" TargetMode="External"/><Relationship Id="rId12" Type="http://schemas.openxmlformats.org/officeDocument/2006/relationships/hyperlink" Target="https://reliefweb.int/report/haiti/migration-caribbean-current-trends-opportunities-and-challenges" TargetMode="External"/><Relationship Id="rId2" Type="http://schemas.openxmlformats.org/officeDocument/2006/relationships/hyperlink" Target="https://publications.iom.int/books/grandes-movimientos-de-migrantes-altamente-vulnerables-en-las-americas-provenientes-del" TargetMode="External"/><Relationship Id="rId1" Type="http://schemas.openxmlformats.org/officeDocument/2006/relationships/hyperlink" Target="https://worldmigrationreport.iom.int/wmr-2022-interactive/?lang=FR" TargetMode="External"/><Relationship Id="rId6" Type="http://schemas.openxmlformats.org/officeDocument/2006/relationships/hyperlink" Target="https://migrationdataportal.org/blog/5-salient-facts-about-intra-regional-migration-south-america" TargetMode="External"/><Relationship Id="rId11" Type="http://schemas.openxmlformats.org/officeDocument/2006/relationships/hyperlink" Target="https://www.un.org/development/desa/pd/content/international-migrant-stock" TargetMode="External"/><Relationship Id="rId5" Type="http://schemas.openxmlformats.org/officeDocument/2006/relationships/hyperlink" Target="https://reliefweb.int/report/colombia/rmrp-2021-regional-refugee-and-migrant-response-plan-refugees-and-migrants-venezuela" TargetMode="External"/><Relationship Id="rId15" Type="http://schemas.openxmlformats.org/officeDocument/2006/relationships/hyperlink" Target="https://doi.org/10.37815/rte.v34n1.889" TargetMode="External"/><Relationship Id="rId10" Type="http://schemas.openxmlformats.org/officeDocument/2006/relationships/hyperlink" Target="https://www.unhcr.org/refugee-statistics/" TargetMode="External"/><Relationship Id="rId4" Type="http://schemas.openxmlformats.org/officeDocument/2006/relationships/hyperlink" Target="https://missingmigrants.iom.int/region/americas" TargetMode="External"/><Relationship Id="rId9" Type="http://schemas.openxmlformats.org/officeDocument/2006/relationships/hyperlink" Target="https://rosanjose.iom.int/en/blogs/migration-governance-adaptation-strategy-climate-change" TargetMode="External"/><Relationship Id="rId14" Type="http://schemas.openxmlformats.org/officeDocument/2006/relationships/hyperlink" Target="https://doi.org/10.37815/rte.v34n1.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1707</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fsole</dc:creator>
  <cp:lastModifiedBy>Santos, Ada</cp:lastModifiedBy>
  <cp:revision>3</cp:revision>
  <dcterms:created xsi:type="dcterms:W3CDTF">2022-04-18T18:58:00Z</dcterms:created>
  <dcterms:modified xsi:type="dcterms:W3CDTF">2022-04-18T20:40:00Z</dcterms:modified>
</cp:coreProperties>
</file>